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72" w:type="dxa"/>
          <w:right w:w="72" w:type="dxa"/>
        </w:tblCellMar>
        <w:tblLook w:val="0000" w:firstRow="0" w:lastRow="0" w:firstColumn="0" w:lastColumn="0" w:noHBand="0" w:noVBand="0"/>
      </w:tblPr>
      <w:tblGrid>
        <w:gridCol w:w="3007"/>
        <w:gridCol w:w="3010"/>
        <w:gridCol w:w="3010"/>
      </w:tblGrid>
      <w:tr w:rsidR="00F018AA" w14:paraId="5072F431" w14:textId="72B51BF7" w:rsidTr="00F018AA">
        <w:trPr>
          <w:cantSplit/>
          <w:jc w:val="center"/>
        </w:trPr>
        <w:tc>
          <w:tcPr>
            <w:tcW w:w="1666" w:type="pct"/>
            <w:tcBorders>
              <w:top w:val="nil"/>
              <w:left w:val="nil"/>
              <w:bottom w:val="nil"/>
              <w:right w:val="nil"/>
            </w:tcBorders>
          </w:tcPr>
          <w:p w14:paraId="7DDF1B76" w14:textId="77777777" w:rsidR="00F018AA" w:rsidRPr="00571974" w:rsidRDefault="00F018AA"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b/>
                <w:bCs/>
                <w:lang w:val="en-GB" w:eastAsia="en-GB" w:bidi="ar-SA"/>
              </w:rPr>
            </w:pPr>
            <w:r w:rsidRPr="00571974">
              <w:rPr>
                <w:b/>
                <w:bCs/>
                <w:lang w:val="en-GB" w:eastAsia="en-GB" w:bidi="ar-SA"/>
              </w:rPr>
              <w:t>PROSPECTUS</w:t>
            </w:r>
          </w:p>
          <w:p w14:paraId="732D674A" w14:textId="77777777" w:rsidR="00F018AA" w:rsidRPr="00571974" w:rsidRDefault="00F018AA"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b/>
                <w:bCs/>
                <w:lang w:val="en-GB" w:eastAsia="en-GB" w:bidi="ar-SA"/>
              </w:rPr>
            </w:pPr>
          </w:p>
        </w:tc>
        <w:tc>
          <w:tcPr>
            <w:tcW w:w="1667" w:type="pct"/>
            <w:tcBorders>
              <w:top w:val="nil"/>
              <w:left w:val="nil"/>
              <w:bottom w:val="nil"/>
              <w:right w:val="nil"/>
            </w:tcBorders>
          </w:tcPr>
          <w:p w14:paraId="2FE0719A" w14:textId="77777777" w:rsidR="00F018AA" w:rsidRPr="00571974" w:rsidRDefault="00F018AA"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b/>
                <w:bCs/>
                <w:lang w:val="en-GB" w:eastAsia="en-GB" w:bidi="ar-SA"/>
              </w:rPr>
            </w:pPr>
          </w:p>
        </w:tc>
        <w:tc>
          <w:tcPr>
            <w:tcW w:w="1667" w:type="pct"/>
            <w:tcBorders>
              <w:top w:val="nil"/>
              <w:left w:val="nil"/>
              <w:bottom w:val="nil"/>
              <w:right w:val="nil"/>
            </w:tcBorders>
          </w:tcPr>
          <w:p w14:paraId="28FECFCA" w14:textId="77777777" w:rsidR="00F018AA" w:rsidRPr="00571974" w:rsidRDefault="00F018AA"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b/>
                <w:bCs/>
                <w:lang w:val="en-GB" w:eastAsia="en-GB" w:bidi="ar-SA"/>
              </w:rPr>
            </w:pPr>
          </w:p>
        </w:tc>
      </w:tr>
      <w:tr w:rsidR="00D45DB2" w14:paraId="04047351" w14:textId="52763200" w:rsidTr="00D45DB2">
        <w:trPr>
          <w:cantSplit/>
          <w:jc w:val="center"/>
        </w:trPr>
        <w:tc>
          <w:tcPr>
            <w:tcW w:w="5000" w:type="pct"/>
            <w:gridSpan w:val="3"/>
            <w:tcBorders>
              <w:top w:val="nil"/>
              <w:left w:val="nil"/>
              <w:bottom w:val="nil"/>
              <w:right w:val="nil"/>
            </w:tcBorders>
          </w:tcPr>
          <w:p w14:paraId="1B691DFE" w14:textId="735AB5F2" w:rsidR="00D45DB2" w:rsidRPr="00836D74" w:rsidRDefault="00D45DB2" w:rsidP="00D45DB2">
            <w:pPr>
              <w:widowControl/>
              <w:tabs>
                <w:tab w:val="center" w:pos="5400"/>
              </w:tabs>
              <w:suppressAutoHyphens/>
              <w:spacing w:after="240"/>
              <w:jc w:val="center"/>
              <w:rPr>
                <w:noProof/>
                <w:sz w:val="22"/>
                <w:lang w:val="en-GB" w:eastAsia="en-GB" w:bidi="ar-SA"/>
              </w:rPr>
            </w:pPr>
            <w:r w:rsidRPr="00836D74">
              <w:rPr>
                <w:b/>
                <w:bCs/>
                <w:noProof/>
                <w:sz w:val="22"/>
                <w:lang w:val="en-GB" w:eastAsia="en-GB" w:bidi="ar-SA"/>
              </w:rPr>
              <w:drawing>
                <wp:anchor distT="0" distB="0" distL="114300" distR="114300" simplePos="0" relativeHeight="251718656" behindDoc="0" locked="0" layoutInCell="1" allowOverlap="1" wp14:anchorId="561C4DD2" wp14:editId="7A030291">
                  <wp:simplePos x="0" y="0"/>
                  <wp:positionH relativeFrom="page">
                    <wp:posOffset>1191895</wp:posOffset>
                  </wp:positionH>
                  <wp:positionV relativeFrom="page">
                    <wp:posOffset>217805</wp:posOffset>
                  </wp:positionV>
                  <wp:extent cx="3397250" cy="855980"/>
                  <wp:effectExtent l="0" t="0" r="0" b="0"/>
                  <wp:wrapThrough wrapText="bothSides">
                    <wp:wrapPolygon edited="0">
                      <wp:start x="0" y="0"/>
                      <wp:lineTo x="0" y="21151"/>
                      <wp:lineTo x="21439" y="21151"/>
                      <wp:lineTo x="21439" y="0"/>
                      <wp:lineTo x="0" y="0"/>
                    </wp:wrapPolygon>
                  </wp:wrapThrough>
                  <wp:docPr id="87" name="Picture 3" descr="Logo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P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25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D74">
              <w:rPr>
                <w:b/>
                <w:bCs/>
                <w:sz w:val="22"/>
                <w:lang w:val="en-GB" w:eastAsia="en-GB" w:bidi="ar-SA"/>
              </w:rPr>
              <w:t>US$</w:t>
            </w:r>
            <w:r w:rsidR="00323A30" w:rsidRPr="00836D74">
              <w:rPr>
                <w:b/>
                <w:bCs/>
                <w:sz w:val="22"/>
                <w:lang w:val="en-GB" w:eastAsia="en-GB" w:bidi="ar-SA"/>
              </w:rPr>
              <w:t>1,500,000,000</w:t>
            </w:r>
          </w:p>
        </w:tc>
      </w:tr>
      <w:tr w:rsidR="00D45DB2" w14:paraId="5F6FE352" w14:textId="2AB053A5" w:rsidTr="00D45DB2">
        <w:trPr>
          <w:cantSplit/>
          <w:trHeight w:val="1150"/>
          <w:jc w:val="center"/>
        </w:trPr>
        <w:tc>
          <w:tcPr>
            <w:tcW w:w="5000" w:type="pct"/>
            <w:gridSpan w:val="3"/>
            <w:tcBorders>
              <w:top w:val="nil"/>
              <w:left w:val="nil"/>
              <w:right w:val="nil"/>
            </w:tcBorders>
          </w:tcPr>
          <w:p w14:paraId="5AD5A18E" w14:textId="77777777" w:rsidR="00D45DB2" w:rsidRPr="00571974" w:rsidRDefault="00D45DB2" w:rsidP="007C63D0">
            <w:pPr>
              <w:widowControl/>
              <w:tabs>
                <w:tab w:val="center" w:pos="5400"/>
              </w:tabs>
              <w:suppressAutoHyphens/>
              <w:jc w:val="center"/>
              <w:rPr>
                <w:b/>
                <w:bCs/>
                <w:lang w:val="en-GB" w:eastAsia="en-GB" w:bidi="ar-SA"/>
              </w:rPr>
            </w:pPr>
            <w:r w:rsidRPr="00571974">
              <w:rPr>
                <w:b/>
                <w:bCs/>
                <w:lang w:val="en-GB" w:eastAsia="en-GB" w:bidi="ar-SA"/>
              </w:rPr>
              <w:t>Anglo American Capital plc</w:t>
            </w:r>
          </w:p>
          <w:p w14:paraId="50A3B5E0" w14:textId="7AF5368A" w:rsidR="00D45DB2" w:rsidRDefault="00D45DB2" w:rsidP="007C63D0">
            <w:pPr>
              <w:widowControl/>
              <w:tabs>
                <w:tab w:val="center" w:pos="5400"/>
              </w:tabs>
              <w:suppressAutoHyphens/>
              <w:jc w:val="center"/>
              <w:rPr>
                <w:b/>
                <w:bCs/>
                <w:lang w:val="en-GB" w:eastAsia="en-GB" w:bidi="ar-SA"/>
              </w:rPr>
            </w:pPr>
            <w:r w:rsidRPr="00571974">
              <w:rPr>
                <w:b/>
                <w:bCs/>
                <w:lang w:val="en-GB" w:eastAsia="en-GB" w:bidi="ar-SA"/>
              </w:rPr>
              <w:t>US$</w:t>
            </w:r>
            <w:r w:rsidR="00323A30">
              <w:rPr>
                <w:b/>
                <w:bCs/>
                <w:lang w:val="en-GB" w:eastAsia="en-GB" w:bidi="ar-SA"/>
              </w:rPr>
              <w:t>750,000,000 5.375</w:t>
            </w:r>
            <w:r w:rsidRPr="00571974">
              <w:rPr>
                <w:b/>
                <w:bCs/>
                <w:lang w:val="en-GB" w:eastAsia="en-GB" w:bidi="ar-SA"/>
              </w:rPr>
              <w:t>% Senior Notes due 20</w:t>
            </w:r>
            <w:r w:rsidR="00323A30">
              <w:rPr>
                <w:b/>
                <w:bCs/>
                <w:lang w:val="en-GB" w:eastAsia="en-GB" w:bidi="ar-SA"/>
              </w:rPr>
              <w:t>25</w:t>
            </w:r>
          </w:p>
          <w:p w14:paraId="338544CB" w14:textId="4C1D2C38" w:rsidR="00D45DB2" w:rsidRPr="00571974" w:rsidRDefault="00D45DB2" w:rsidP="007C63D0">
            <w:pPr>
              <w:widowControl/>
              <w:tabs>
                <w:tab w:val="center" w:pos="5400"/>
              </w:tabs>
              <w:suppressAutoHyphens/>
              <w:jc w:val="center"/>
              <w:rPr>
                <w:b/>
                <w:bCs/>
                <w:lang w:val="en-GB" w:eastAsia="en-GB" w:bidi="ar-SA"/>
              </w:rPr>
            </w:pPr>
            <w:r w:rsidRPr="00571974">
              <w:rPr>
                <w:b/>
                <w:bCs/>
                <w:lang w:val="en-GB" w:eastAsia="en-GB" w:bidi="ar-SA"/>
              </w:rPr>
              <w:t>US$</w:t>
            </w:r>
            <w:r w:rsidR="00323A30">
              <w:rPr>
                <w:b/>
                <w:bCs/>
                <w:lang w:val="en-GB" w:eastAsia="en-GB" w:bidi="ar-SA"/>
              </w:rPr>
              <w:t>750,000,000 5.625</w:t>
            </w:r>
            <w:r w:rsidRPr="00571974">
              <w:rPr>
                <w:b/>
                <w:bCs/>
                <w:lang w:val="en-GB" w:eastAsia="en-GB" w:bidi="ar-SA"/>
              </w:rPr>
              <w:t>% Senior Notes due 20</w:t>
            </w:r>
            <w:r w:rsidR="00323A30">
              <w:rPr>
                <w:b/>
                <w:bCs/>
                <w:lang w:val="en-GB" w:eastAsia="en-GB" w:bidi="ar-SA"/>
              </w:rPr>
              <w:t>30</w:t>
            </w:r>
          </w:p>
          <w:p w14:paraId="4985A786" w14:textId="1AACE13C" w:rsidR="00D45DB2" w:rsidRPr="00571974" w:rsidRDefault="00D45DB2" w:rsidP="007C63D0">
            <w:pPr>
              <w:tabs>
                <w:tab w:val="center" w:pos="5400"/>
              </w:tabs>
              <w:suppressAutoHyphens/>
              <w:jc w:val="center"/>
              <w:rPr>
                <w:b/>
                <w:bCs/>
                <w:lang w:val="en-GB" w:eastAsia="en-GB" w:bidi="ar-SA"/>
              </w:rPr>
            </w:pPr>
            <w:r w:rsidRPr="00571974">
              <w:rPr>
                <w:b/>
                <w:bCs/>
                <w:lang w:val="en-GB" w:eastAsia="en-GB" w:bidi="ar-SA"/>
              </w:rPr>
              <w:t>Guaranteed by Anglo American plc</w:t>
            </w:r>
          </w:p>
        </w:tc>
      </w:tr>
    </w:tbl>
    <w:p w14:paraId="05FED6FD" w14:textId="77777777" w:rsidR="00542FF4" w:rsidRPr="00571974" w:rsidRDefault="00542FF4" w:rsidP="00542FF4">
      <w:pPr>
        <w:rPr>
          <w:lang w:val="en-GB"/>
        </w:rPr>
      </w:pPr>
    </w:p>
    <w:p w14:paraId="1C8A59BD" w14:textId="1E856FBD" w:rsidR="00542FF4" w:rsidRPr="00571974" w:rsidRDefault="003D4D89" w:rsidP="00542FF4">
      <w:pPr>
        <w:pStyle w:val="BodyText"/>
        <w:widowControl/>
        <w:autoSpaceDE/>
        <w:autoSpaceDN/>
        <w:adjustRightInd/>
        <w:ind w:firstLine="360"/>
        <w:rPr>
          <w:lang w:val="en-GB"/>
        </w:rPr>
      </w:pPr>
      <w:r w:rsidRPr="00571974">
        <w:rPr>
          <w:lang w:val="en-GB"/>
        </w:rPr>
        <w:t xml:space="preserve">This prospectus is being published by Anglo American Capital plc (the </w:t>
      </w:r>
      <w:r w:rsidR="00A311D8">
        <w:rPr>
          <w:lang w:val="en-GB"/>
        </w:rPr>
        <w:t>“</w:t>
      </w:r>
      <w:r w:rsidRPr="00571974">
        <w:rPr>
          <w:lang w:val="en-GB"/>
        </w:rPr>
        <w:t>Issuer</w:t>
      </w:r>
      <w:r w:rsidR="00A311D8">
        <w:rPr>
          <w:lang w:val="en-GB"/>
        </w:rPr>
        <w:t>”</w:t>
      </w:r>
      <w:r w:rsidRPr="00571974">
        <w:rPr>
          <w:lang w:val="en-GB"/>
        </w:rPr>
        <w:t xml:space="preserve"> or </w:t>
      </w:r>
      <w:r w:rsidR="00A311D8">
        <w:rPr>
          <w:lang w:val="en-GB"/>
        </w:rPr>
        <w:t>“</w:t>
      </w:r>
      <w:r w:rsidRPr="00571974">
        <w:rPr>
          <w:lang w:val="en-GB"/>
        </w:rPr>
        <w:t>Anglo American Capital</w:t>
      </w:r>
      <w:r w:rsidR="00A311D8">
        <w:rPr>
          <w:lang w:val="en-GB"/>
        </w:rPr>
        <w:t>”</w:t>
      </w:r>
      <w:r w:rsidRPr="00571974">
        <w:rPr>
          <w:lang w:val="en-GB"/>
        </w:rPr>
        <w:t>) in connection with Admission (as defined below) of</w:t>
      </w:r>
      <w:r w:rsidR="00987745">
        <w:rPr>
          <w:lang w:val="en-GB"/>
        </w:rPr>
        <w:t xml:space="preserve"> </w:t>
      </w:r>
      <w:bookmarkStart w:id="0" w:name="_cp_text_1_26"/>
      <w:bookmarkEnd w:id="0"/>
      <w:r w:rsidR="00987745" w:rsidRPr="00F018AA">
        <w:rPr>
          <w:lang w:val="en-GB"/>
        </w:rPr>
        <w:t>its US$</w:t>
      </w:r>
      <w:r w:rsidR="00323A30">
        <w:rPr>
          <w:lang w:val="en-GB"/>
        </w:rPr>
        <w:t xml:space="preserve">750 </w:t>
      </w:r>
      <w:r w:rsidR="00987745" w:rsidRPr="00F018AA">
        <w:rPr>
          <w:lang w:val="en-GB"/>
        </w:rPr>
        <w:t xml:space="preserve">million </w:t>
      </w:r>
      <w:r w:rsidR="00ED78E6">
        <w:rPr>
          <w:lang w:val="en-GB"/>
        </w:rPr>
        <w:t>of its</w:t>
      </w:r>
      <w:r w:rsidR="00ED78E6" w:rsidRPr="00F018AA">
        <w:rPr>
          <w:lang w:val="en-GB"/>
        </w:rPr>
        <w:t xml:space="preserve"> </w:t>
      </w:r>
      <w:r w:rsidR="00323A30">
        <w:rPr>
          <w:lang w:val="en-GB"/>
        </w:rPr>
        <w:t>5.375</w:t>
      </w:r>
      <w:r w:rsidR="00ED78E6">
        <w:rPr>
          <w:lang w:val="en-GB"/>
        </w:rPr>
        <w:t>% Senior Notes due 20</w:t>
      </w:r>
      <w:r w:rsidR="00323A30">
        <w:rPr>
          <w:lang w:val="en-GB"/>
        </w:rPr>
        <w:t>25</w:t>
      </w:r>
      <w:r w:rsidR="00ED78E6" w:rsidRPr="00F018AA">
        <w:rPr>
          <w:lang w:val="en-GB"/>
        </w:rPr>
        <w:t xml:space="preserve"> </w:t>
      </w:r>
      <w:r w:rsidR="00987745" w:rsidRPr="00F018AA">
        <w:rPr>
          <w:lang w:val="en-GB"/>
        </w:rPr>
        <w:t xml:space="preserve">(the </w:t>
      </w:r>
      <w:r w:rsidR="00A311D8">
        <w:rPr>
          <w:lang w:val="en-GB"/>
        </w:rPr>
        <w:t>“</w:t>
      </w:r>
      <w:r w:rsidR="00987745" w:rsidRPr="00F018AA">
        <w:rPr>
          <w:lang w:val="en-GB"/>
        </w:rPr>
        <w:t>20</w:t>
      </w:r>
      <w:r w:rsidR="00323A30">
        <w:rPr>
          <w:lang w:val="en-GB"/>
        </w:rPr>
        <w:t xml:space="preserve">25 </w:t>
      </w:r>
      <w:r w:rsidR="00987745" w:rsidRPr="00F018AA">
        <w:rPr>
          <w:lang w:val="en-GB"/>
        </w:rPr>
        <w:t>Notes</w:t>
      </w:r>
      <w:r w:rsidR="00A311D8">
        <w:rPr>
          <w:lang w:val="en-GB"/>
        </w:rPr>
        <w:t>”</w:t>
      </w:r>
      <w:r w:rsidR="00987745" w:rsidRPr="00F018AA">
        <w:rPr>
          <w:lang w:val="en-GB"/>
        </w:rPr>
        <w:t>) and</w:t>
      </w:r>
      <w:r w:rsidRPr="00571974">
        <w:rPr>
          <w:lang w:val="en-GB"/>
        </w:rPr>
        <w:t xml:space="preserve"> </w:t>
      </w:r>
      <w:r w:rsidR="003E1CBD" w:rsidRPr="00571974">
        <w:rPr>
          <w:lang w:val="en-GB"/>
        </w:rPr>
        <w:t>US$</w:t>
      </w:r>
      <w:r w:rsidR="00323A30">
        <w:rPr>
          <w:lang w:val="en-GB"/>
        </w:rPr>
        <w:t>750</w:t>
      </w:r>
      <w:r w:rsidR="00ED78E6" w:rsidRPr="00F018AA">
        <w:rPr>
          <w:lang w:val="en-GB"/>
        </w:rPr>
        <w:t xml:space="preserve"> </w:t>
      </w:r>
      <w:r w:rsidR="002F47A8" w:rsidRPr="00571974">
        <w:rPr>
          <w:lang w:val="en-GB"/>
        </w:rPr>
        <w:t>million</w:t>
      </w:r>
      <w:r w:rsidRPr="00571974">
        <w:rPr>
          <w:lang w:val="en-GB"/>
        </w:rPr>
        <w:t xml:space="preserve"> of its</w:t>
      </w:r>
      <w:r w:rsidR="00ED78E6" w:rsidRPr="00F018AA">
        <w:rPr>
          <w:lang w:val="en-GB"/>
        </w:rPr>
        <w:t xml:space="preserve"> </w:t>
      </w:r>
      <w:r w:rsidR="00323A30">
        <w:rPr>
          <w:lang w:val="en-GB"/>
        </w:rPr>
        <w:t>5.625</w:t>
      </w:r>
      <w:r w:rsidRPr="00571974">
        <w:rPr>
          <w:lang w:val="en-GB"/>
        </w:rPr>
        <w:t xml:space="preserve">% Senior Notes due </w:t>
      </w:r>
      <w:r w:rsidR="00747064" w:rsidRPr="00571974">
        <w:rPr>
          <w:lang w:val="en-GB"/>
        </w:rPr>
        <w:t>20</w:t>
      </w:r>
      <w:r w:rsidR="00323A30">
        <w:rPr>
          <w:lang w:val="en-GB"/>
        </w:rPr>
        <w:t>30</w:t>
      </w:r>
      <w:r w:rsidR="00ED78E6" w:rsidRPr="00F018AA">
        <w:rPr>
          <w:lang w:val="en-GB"/>
        </w:rPr>
        <w:t xml:space="preserve"> </w:t>
      </w:r>
      <w:r w:rsidRPr="00571974">
        <w:rPr>
          <w:lang w:val="en-GB"/>
        </w:rPr>
        <w:t xml:space="preserve">(the </w:t>
      </w:r>
      <w:r w:rsidR="00A311D8">
        <w:rPr>
          <w:lang w:val="en-GB"/>
        </w:rPr>
        <w:t>“</w:t>
      </w:r>
      <w:bookmarkStart w:id="1" w:name="_cp_text_1_27"/>
      <w:bookmarkEnd w:id="1"/>
      <w:r w:rsidR="00987745" w:rsidRPr="00F018AA">
        <w:rPr>
          <w:lang w:val="en-GB"/>
        </w:rPr>
        <w:t>20</w:t>
      </w:r>
      <w:r w:rsidR="00323A30">
        <w:rPr>
          <w:lang w:val="en-GB"/>
        </w:rPr>
        <w:t>30</w:t>
      </w:r>
      <w:r w:rsidR="00ED78E6" w:rsidRPr="00F018AA">
        <w:rPr>
          <w:lang w:val="en-GB"/>
        </w:rPr>
        <w:t xml:space="preserve"> </w:t>
      </w:r>
      <w:r w:rsidR="00987745" w:rsidRPr="00F018AA">
        <w:rPr>
          <w:lang w:val="en-GB"/>
        </w:rPr>
        <w:t>Notes</w:t>
      </w:r>
      <w:r w:rsidR="00A311D8">
        <w:rPr>
          <w:lang w:val="en-GB"/>
        </w:rPr>
        <w:t>”</w:t>
      </w:r>
      <w:r w:rsidR="00987745" w:rsidRPr="00F018AA">
        <w:rPr>
          <w:lang w:val="en-GB"/>
        </w:rPr>
        <w:t xml:space="preserve"> and, together with the 20</w:t>
      </w:r>
      <w:r w:rsidR="00323A30">
        <w:rPr>
          <w:lang w:val="en-GB"/>
        </w:rPr>
        <w:t>25</w:t>
      </w:r>
      <w:r w:rsidR="00ED78E6" w:rsidRPr="00F018AA">
        <w:rPr>
          <w:lang w:val="en-GB"/>
        </w:rPr>
        <w:t xml:space="preserve"> </w:t>
      </w:r>
      <w:r w:rsidR="00987745" w:rsidRPr="00F018AA">
        <w:rPr>
          <w:lang w:val="en-GB"/>
        </w:rPr>
        <w:t xml:space="preserve">Notes, the </w:t>
      </w:r>
      <w:r w:rsidR="00A311D8">
        <w:rPr>
          <w:lang w:val="en-GB"/>
        </w:rPr>
        <w:t>“</w:t>
      </w:r>
      <w:r w:rsidRPr="00571974">
        <w:rPr>
          <w:lang w:val="en-GB"/>
        </w:rPr>
        <w:t>Notes</w:t>
      </w:r>
      <w:r w:rsidR="00A311D8">
        <w:rPr>
          <w:lang w:val="en-GB"/>
        </w:rPr>
        <w:t>”</w:t>
      </w:r>
      <w:r w:rsidRPr="00571974">
        <w:rPr>
          <w:lang w:val="en-GB"/>
        </w:rPr>
        <w:t xml:space="preserve">) with such Notes to be guaranteed (the </w:t>
      </w:r>
      <w:r w:rsidR="00A311D8">
        <w:rPr>
          <w:lang w:val="en-GB"/>
        </w:rPr>
        <w:t>“</w:t>
      </w:r>
      <w:r w:rsidRPr="00571974">
        <w:rPr>
          <w:lang w:val="en-GB"/>
        </w:rPr>
        <w:t>Guarantees</w:t>
      </w:r>
      <w:r w:rsidR="00A311D8">
        <w:rPr>
          <w:lang w:val="en-GB"/>
        </w:rPr>
        <w:t>”</w:t>
      </w:r>
      <w:r w:rsidRPr="00571974">
        <w:rPr>
          <w:lang w:val="en-GB"/>
        </w:rPr>
        <w:t xml:space="preserve">) by Anglo American plc (the </w:t>
      </w:r>
      <w:r w:rsidR="00A311D8">
        <w:rPr>
          <w:lang w:val="en-GB"/>
        </w:rPr>
        <w:t>“</w:t>
      </w:r>
      <w:r w:rsidRPr="00571974">
        <w:rPr>
          <w:lang w:val="en-GB"/>
        </w:rPr>
        <w:t>Company</w:t>
      </w:r>
      <w:r w:rsidR="00A311D8">
        <w:rPr>
          <w:lang w:val="en-GB"/>
        </w:rPr>
        <w:t>”</w:t>
      </w:r>
      <w:r w:rsidRPr="00571974">
        <w:rPr>
          <w:lang w:val="en-GB"/>
        </w:rPr>
        <w:t xml:space="preserve">, </w:t>
      </w:r>
      <w:r w:rsidR="00A311D8">
        <w:rPr>
          <w:lang w:val="en-GB"/>
        </w:rPr>
        <w:t>“</w:t>
      </w:r>
      <w:r w:rsidRPr="00571974">
        <w:rPr>
          <w:lang w:val="en-GB"/>
        </w:rPr>
        <w:t>Guarantor</w:t>
      </w:r>
      <w:r w:rsidR="00A311D8">
        <w:rPr>
          <w:lang w:val="en-GB"/>
        </w:rPr>
        <w:t>”</w:t>
      </w:r>
      <w:r w:rsidRPr="00571974">
        <w:rPr>
          <w:lang w:val="en-GB"/>
        </w:rPr>
        <w:t xml:space="preserve"> or </w:t>
      </w:r>
      <w:r w:rsidR="00A311D8">
        <w:rPr>
          <w:lang w:val="en-GB"/>
        </w:rPr>
        <w:t>“</w:t>
      </w:r>
      <w:r w:rsidRPr="00571974">
        <w:rPr>
          <w:lang w:val="en-GB"/>
        </w:rPr>
        <w:t>Anglo American</w:t>
      </w:r>
      <w:r w:rsidR="00A311D8">
        <w:rPr>
          <w:lang w:val="en-GB"/>
        </w:rPr>
        <w:t>”</w:t>
      </w:r>
      <w:r w:rsidRPr="00571974">
        <w:rPr>
          <w:lang w:val="en-GB"/>
        </w:rPr>
        <w:t xml:space="preserve"> and, together with the Company</w:t>
      </w:r>
      <w:r w:rsidR="00A311D8">
        <w:rPr>
          <w:lang w:val="en-GB"/>
        </w:rPr>
        <w:t>’</w:t>
      </w:r>
      <w:r w:rsidRPr="00571974">
        <w:rPr>
          <w:lang w:val="en-GB"/>
        </w:rPr>
        <w:t xml:space="preserve">s subsidiaries, joint ventures and associates, </w:t>
      </w:r>
      <w:r w:rsidR="00A311D8">
        <w:rPr>
          <w:lang w:val="en-GB"/>
        </w:rPr>
        <w:t>“</w:t>
      </w:r>
      <w:r w:rsidRPr="00571974">
        <w:rPr>
          <w:lang w:val="en-GB"/>
        </w:rPr>
        <w:t>Anglo American Group</w:t>
      </w:r>
      <w:r w:rsidR="00A311D8">
        <w:rPr>
          <w:lang w:val="en-GB"/>
        </w:rPr>
        <w:t>”</w:t>
      </w:r>
      <w:r w:rsidRPr="00571974">
        <w:rPr>
          <w:lang w:val="en-GB"/>
        </w:rPr>
        <w:t xml:space="preserve">, the </w:t>
      </w:r>
      <w:r w:rsidR="00A311D8">
        <w:rPr>
          <w:lang w:val="en-GB"/>
        </w:rPr>
        <w:t>“</w:t>
      </w:r>
      <w:r w:rsidRPr="00571974">
        <w:rPr>
          <w:lang w:val="en-GB"/>
        </w:rPr>
        <w:t>Group</w:t>
      </w:r>
      <w:r w:rsidR="00A311D8">
        <w:rPr>
          <w:lang w:val="en-GB"/>
        </w:rPr>
        <w:t>”</w:t>
      </w:r>
      <w:r w:rsidRPr="00571974">
        <w:rPr>
          <w:lang w:val="en-GB"/>
        </w:rPr>
        <w:t xml:space="preserve">, or </w:t>
      </w:r>
      <w:r w:rsidR="00A311D8">
        <w:rPr>
          <w:lang w:val="en-GB"/>
        </w:rPr>
        <w:t>“</w:t>
      </w:r>
      <w:r w:rsidRPr="00571974">
        <w:rPr>
          <w:lang w:val="en-GB"/>
        </w:rPr>
        <w:t>we</w:t>
      </w:r>
      <w:r w:rsidR="00A311D8">
        <w:rPr>
          <w:lang w:val="en-GB"/>
        </w:rPr>
        <w:t>”</w:t>
      </w:r>
      <w:r w:rsidRPr="00571974">
        <w:rPr>
          <w:lang w:val="en-GB"/>
        </w:rPr>
        <w:t>). Interest will be paid on the Notes semi-annually and in arrears on</w:t>
      </w:r>
      <w:r w:rsidR="00ED78E6" w:rsidRPr="00F018AA">
        <w:rPr>
          <w:lang w:val="en-GB"/>
        </w:rPr>
        <w:t xml:space="preserve"> </w:t>
      </w:r>
      <w:r w:rsidR="00323A30">
        <w:rPr>
          <w:lang w:val="en-GB"/>
        </w:rPr>
        <w:t xml:space="preserve">April 1 </w:t>
      </w:r>
      <w:r w:rsidRPr="00571974">
        <w:rPr>
          <w:lang w:val="en-GB"/>
        </w:rPr>
        <w:t>and</w:t>
      </w:r>
      <w:r w:rsidR="00ED78E6" w:rsidRPr="00F018AA">
        <w:rPr>
          <w:lang w:val="en-GB"/>
        </w:rPr>
        <w:t xml:space="preserve"> </w:t>
      </w:r>
      <w:r w:rsidR="00323A30">
        <w:rPr>
          <w:lang w:val="en-GB"/>
        </w:rPr>
        <w:t xml:space="preserve">October 1 </w:t>
      </w:r>
      <w:r w:rsidRPr="00571974">
        <w:rPr>
          <w:lang w:val="en-GB"/>
        </w:rPr>
        <w:t>of each year, commencing on</w:t>
      </w:r>
      <w:r w:rsidR="00ED78E6" w:rsidRPr="00F018AA">
        <w:rPr>
          <w:lang w:val="en-GB"/>
        </w:rPr>
        <w:t xml:space="preserve"> </w:t>
      </w:r>
      <w:r w:rsidR="00323A30">
        <w:rPr>
          <w:lang w:val="en-GB"/>
        </w:rPr>
        <w:t>October 1</w:t>
      </w:r>
      <w:r w:rsidRPr="00571974">
        <w:rPr>
          <w:lang w:val="en-GB"/>
        </w:rPr>
        <w:t xml:space="preserve">, </w:t>
      </w:r>
      <w:r w:rsidR="00E21126" w:rsidRPr="00571974">
        <w:rPr>
          <w:lang w:val="en-GB"/>
        </w:rPr>
        <w:t>20</w:t>
      </w:r>
      <w:r w:rsidR="00AB07DA" w:rsidRPr="00571974">
        <w:rPr>
          <w:lang w:val="en-GB"/>
        </w:rPr>
        <w:t>20</w:t>
      </w:r>
      <w:r w:rsidRPr="00571974">
        <w:rPr>
          <w:lang w:val="en-GB"/>
        </w:rPr>
        <w:t xml:space="preserve">. The </w:t>
      </w:r>
      <w:bookmarkStart w:id="2" w:name="_cp_text_1_32"/>
      <w:bookmarkEnd w:id="2"/>
      <w:r w:rsidR="00987745" w:rsidRPr="00ED78E6">
        <w:rPr>
          <w:lang w:val="en-GB"/>
        </w:rPr>
        <w:t>20</w:t>
      </w:r>
      <w:r w:rsidR="00323A30">
        <w:rPr>
          <w:lang w:val="en-GB"/>
        </w:rPr>
        <w:t xml:space="preserve">25 </w:t>
      </w:r>
      <w:r w:rsidR="00987745" w:rsidRPr="00ED78E6">
        <w:rPr>
          <w:lang w:val="en-GB"/>
        </w:rPr>
        <w:t>Notes and the 20</w:t>
      </w:r>
      <w:r w:rsidR="00323A30">
        <w:rPr>
          <w:lang w:val="en-GB"/>
        </w:rPr>
        <w:t>30</w:t>
      </w:r>
      <w:r w:rsidR="00987745" w:rsidRPr="00ED78E6">
        <w:rPr>
          <w:lang w:val="en-GB"/>
        </w:rPr>
        <w:t xml:space="preserve"> </w:t>
      </w:r>
      <w:r w:rsidRPr="00571974">
        <w:rPr>
          <w:lang w:val="en-GB"/>
        </w:rPr>
        <w:t>Notes will mature on</w:t>
      </w:r>
      <w:r w:rsidR="00ED78E6" w:rsidRPr="00F018AA">
        <w:rPr>
          <w:lang w:val="en-GB"/>
        </w:rPr>
        <w:t xml:space="preserve"> </w:t>
      </w:r>
      <w:r w:rsidR="00323A30">
        <w:rPr>
          <w:lang w:val="en-GB"/>
        </w:rPr>
        <w:t>April 1</w:t>
      </w:r>
      <w:r w:rsidRPr="00571974">
        <w:rPr>
          <w:lang w:val="en-GB"/>
        </w:rPr>
        <w:t xml:space="preserve">, </w:t>
      </w:r>
      <w:r w:rsidR="00747064" w:rsidRPr="00571974">
        <w:rPr>
          <w:lang w:val="en-GB"/>
        </w:rPr>
        <w:t>20</w:t>
      </w:r>
      <w:r w:rsidR="00323A30">
        <w:rPr>
          <w:lang w:val="en-GB"/>
        </w:rPr>
        <w:t>25</w:t>
      </w:r>
      <w:r w:rsidR="00ED78E6" w:rsidRPr="00F018AA">
        <w:rPr>
          <w:lang w:val="en-GB"/>
        </w:rPr>
        <w:t xml:space="preserve"> </w:t>
      </w:r>
      <w:r w:rsidR="00987745" w:rsidRPr="00ED78E6">
        <w:rPr>
          <w:lang w:val="en-GB"/>
        </w:rPr>
        <w:t xml:space="preserve">and </w:t>
      </w:r>
      <w:r w:rsidR="00ED78E6">
        <w:rPr>
          <w:lang w:val="en-GB"/>
        </w:rPr>
        <w:t>on</w:t>
      </w:r>
      <w:r w:rsidR="00323A30">
        <w:rPr>
          <w:lang w:val="en-GB"/>
        </w:rPr>
        <w:t xml:space="preserve"> April 1, </w:t>
      </w:r>
      <w:r w:rsidR="00ED78E6">
        <w:rPr>
          <w:lang w:val="en-GB"/>
        </w:rPr>
        <w:t>20</w:t>
      </w:r>
      <w:r w:rsidR="00323A30">
        <w:rPr>
          <w:lang w:val="en-GB"/>
        </w:rPr>
        <w:t>30</w:t>
      </w:r>
      <w:r w:rsidR="00987745">
        <w:rPr>
          <w:lang w:val="en-GB"/>
        </w:rPr>
        <w:t>,</w:t>
      </w:r>
      <w:r w:rsidR="00987745" w:rsidRPr="00ED78E6">
        <w:rPr>
          <w:lang w:val="en-GB"/>
        </w:rPr>
        <w:t xml:space="preserve"> respectively</w:t>
      </w:r>
      <w:r w:rsidRPr="00571974">
        <w:rPr>
          <w:lang w:val="en-GB"/>
        </w:rPr>
        <w:t>.</w:t>
      </w:r>
    </w:p>
    <w:p w14:paraId="02A1797C" w14:textId="77777777" w:rsidR="00542FF4" w:rsidRPr="00571974" w:rsidRDefault="003D4D89" w:rsidP="00542FF4">
      <w:pPr>
        <w:pStyle w:val="BodyText"/>
        <w:widowControl/>
        <w:autoSpaceDE/>
        <w:autoSpaceDN/>
        <w:adjustRightInd/>
        <w:ind w:firstLine="360"/>
        <w:rPr>
          <w:lang w:val="en-GB"/>
        </w:rPr>
      </w:pPr>
      <w:r w:rsidRPr="00571974">
        <w:rPr>
          <w:lang w:val="en-GB"/>
        </w:rPr>
        <w:t>The Issuer has the option to redeem all or a portion of the Notes at any time at the redemption prices set forth in this document.</w:t>
      </w:r>
    </w:p>
    <w:p w14:paraId="07BE4B03" w14:textId="77777777" w:rsidR="00542FF4" w:rsidRPr="00571974" w:rsidRDefault="003D4D89" w:rsidP="00542FF4">
      <w:pPr>
        <w:pStyle w:val="BodyText"/>
        <w:widowControl/>
        <w:autoSpaceDE/>
        <w:autoSpaceDN/>
        <w:adjustRightInd/>
        <w:ind w:firstLine="360"/>
        <w:rPr>
          <w:lang w:val="en-GB"/>
        </w:rPr>
      </w:pPr>
      <w:r w:rsidRPr="00571974">
        <w:rPr>
          <w:lang w:val="en-GB"/>
        </w:rPr>
        <w:t>The Notes will be unsecured senior obligations of the Issuer and will rank equally with all of its other existing and future unsubordinated indebtedness.</w:t>
      </w:r>
    </w:p>
    <w:p w14:paraId="2A507814"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The Notes will be issued in fully registered form and only in denominations of </w:t>
      </w:r>
      <w:r w:rsidR="003E1CBD" w:rsidRPr="00571974">
        <w:rPr>
          <w:lang w:val="en-GB"/>
        </w:rPr>
        <w:t>US$</w:t>
      </w:r>
      <w:r w:rsidRPr="00571974">
        <w:rPr>
          <w:lang w:val="en-GB"/>
        </w:rPr>
        <w:t xml:space="preserve">200,000 and integral multiples of </w:t>
      </w:r>
      <w:r w:rsidR="003E1CBD" w:rsidRPr="00571974">
        <w:rPr>
          <w:lang w:val="en-GB"/>
        </w:rPr>
        <w:t>US$</w:t>
      </w:r>
      <w:r w:rsidRPr="00571974">
        <w:rPr>
          <w:lang w:val="en-GB"/>
        </w:rPr>
        <w:t>1,000 in excess thereof.</w:t>
      </w:r>
      <w:r w:rsidR="00F86F8F" w:rsidRPr="00571974">
        <w:rPr>
          <w:b/>
          <w:bCs/>
          <w:noProof/>
          <w:lang w:val="en-GB"/>
        </w:rPr>
        <w:t xml:space="preserve"> </w:t>
      </w:r>
    </w:p>
    <w:p w14:paraId="6C1B5465" w14:textId="215E8156" w:rsidR="00542FF4" w:rsidRPr="00571974" w:rsidRDefault="00542FF4" w:rsidP="00542FF4">
      <w:pPr>
        <w:pStyle w:val="BodyText"/>
        <w:widowControl/>
        <w:autoSpaceDE/>
        <w:autoSpaceDN/>
        <w:adjustRightInd/>
        <w:ind w:firstLine="360"/>
        <w:rPr>
          <w:lang w:val="en-GB"/>
        </w:rPr>
      </w:pPr>
      <w:r w:rsidRPr="00571974">
        <w:rPr>
          <w:b/>
          <w:bCs/>
          <w:i/>
          <w:iCs/>
          <w:lang w:val="en-GB"/>
        </w:rPr>
        <w:t xml:space="preserve">For a </w:t>
      </w:r>
      <w:r w:rsidRPr="00571974">
        <w:rPr>
          <w:b/>
          <w:i/>
          <w:lang w:val="en-GB"/>
        </w:rPr>
        <w:t>more</w:t>
      </w:r>
      <w:r w:rsidRPr="00571974">
        <w:rPr>
          <w:b/>
          <w:bCs/>
          <w:i/>
          <w:iCs/>
          <w:lang w:val="en-GB"/>
        </w:rPr>
        <w:t xml:space="preserve"> detailed description of the Notes, see </w:t>
      </w:r>
      <w:r w:rsidR="00A311D8">
        <w:rPr>
          <w:b/>
          <w:bCs/>
          <w:i/>
          <w:iCs/>
          <w:lang w:val="en-GB"/>
        </w:rPr>
        <w:t>“</w:t>
      </w:r>
      <w:r w:rsidRPr="00571974">
        <w:rPr>
          <w:b/>
          <w:bCs/>
          <w:i/>
          <w:iCs/>
          <w:lang w:val="en-GB"/>
        </w:rPr>
        <w:t>Description of the Notes and the Guarantees</w:t>
      </w:r>
      <w:r w:rsidR="00A311D8">
        <w:rPr>
          <w:b/>
          <w:bCs/>
          <w:i/>
          <w:iCs/>
          <w:lang w:val="en-GB"/>
        </w:rPr>
        <w:t>”</w:t>
      </w:r>
      <w:r w:rsidRPr="00571974">
        <w:rPr>
          <w:b/>
          <w:bCs/>
          <w:i/>
          <w:iCs/>
          <w:lang w:val="en-GB"/>
        </w:rPr>
        <w:t xml:space="preserve"> beginning on page </w:t>
      </w:r>
      <w:r w:rsidR="0069562C">
        <w:rPr>
          <w:b/>
          <w:bCs/>
          <w:i/>
          <w:iCs/>
          <w:lang w:val="en-GB"/>
        </w:rPr>
        <w:t>10</w:t>
      </w:r>
      <w:r w:rsidR="00187A2C">
        <w:rPr>
          <w:b/>
          <w:bCs/>
          <w:i/>
          <w:iCs/>
          <w:lang w:val="en-GB"/>
        </w:rPr>
        <w:t>5</w:t>
      </w:r>
      <w:r w:rsidRPr="00571974">
        <w:rPr>
          <w:b/>
          <w:bCs/>
          <w:i/>
          <w:iCs/>
          <w:lang w:val="en-GB"/>
        </w:rPr>
        <w:t>.</w:t>
      </w:r>
      <w:r w:rsidR="003D4D89" w:rsidRPr="00571974">
        <w:rPr>
          <w:noProof/>
          <w:lang w:val="en-GB"/>
        </w:rPr>
        <w:t xml:space="preserve"> </w:t>
      </w:r>
    </w:p>
    <w:p w14:paraId="6F81A009" w14:textId="5AEAAD02" w:rsidR="00542FF4" w:rsidRPr="00571974" w:rsidRDefault="003D4D89" w:rsidP="00542FF4">
      <w:pPr>
        <w:pStyle w:val="BodyText"/>
        <w:widowControl/>
        <w:autoSpaceDE/>
        <w:autoSpaceDN/>
        <w:adjustRightInd/>
        <w:ind w:firstLine="360"/>
        <w:rPr>
          <w:lang w:val="en-GB"/>
        </w:rPr>
      </w:pPr>
      <w:r w:rsidRPr="00571974">
        <w:rPr>
          <w:b/>
          <w:bCs/>
          <w:lang w:val="en-GB"/>
        </w:rPr>
        <w:t xml:space="preserve">An </w:t>
      </w:r>
      <w:r w:rsidRPr="00571974">
        <w:rPr>
          <w:b/>
          <w:lang w:val="en-GB"/>
        </w:rPr>
        <w:t>investment</w:t>
      </w:r>
      <w:r w:rsidRPr="00571974">
        <w:rPr>
          <w:b/>
          <w:bCs/>
          <w:lang w:val="en-GB"/>
        </w:rPr>
        <w:t xml:space="preserve"> in the Notes involves risks. See </w:t>
      </w:r>
      <w:r w:rsidR="00A311D8">
        <w:rPr>
          <w:b/>
          <w:bCs/>
          <w:lang w:val="en-GB"/>
        </w:rPr>
        <w:t>“</w:t>
      </w:r>
      <w:r w:rsidRPr="00571974">
        <w:rPr>
          <w:b/>
          <w:bCs/>
          <w:lang w:val="en-GB"/>
        </w:rPr>
        <w:t>Risk Factors</w:t>
      </w:r>
      <w:r w:rsidR="00A311D8">
        <w:rPr>
          <w:b/>
          <w:bCs/>
          <w:lang w:val="en-GB"/>
        </w:rPr>
        <w:t>”</w:t>
      </w:r>
      <w:r w:rsidRPr="00571974">
        <w:rPr>
          <w:b/>
          <w:bCs/>
          <w:lang w:val="en-GB"/>
        </w:rPr>
        <w:t xml:space="preserve"> beginning on page </w:t>
      </w:r>
      <w:r w:rsidR="0069562C">
        <w:rPr>
          <w:b/>
          <w:bCs/>
          <w:lang w:val="en-GB"/>
        </w:rPr>
        <w:t>24</w:t>
      </w:r>
      <w:r w:rsidRPr="00571974">
        <w:rPr>
          <w:b/>
          <w:bCs/>
          <w:lang w:val="en-GB"/>
        </w:rPr>
        <w:t>.</w:t>
      </w:r>
    </w:p>
    <w:p w14:paraId="5AE56CBC" w14:textId="77777777" w:rsidR="00542FF4" w:rsidRPr="00571974" w:rsidRDefault="00836D74" w:rsidP="00542FF4">
      <w:pPr>
        <w:tabs>
          <w:tab w:val="left" w:pos="-720"/>
        </w:tabs>
        <w:suppressAutoHyphens/>
        <w:spacing w:after="240"/>
        <w:jc w:val="both"/>
        <w:rPr>
          <w:lang w:val="en-GB"/>
        </w:rPr>
      </w:pPr>
      <w:r>
        <w:rPr>
          <w:lang w:val="en-GB"/>
        </w:rPr>
        <w:pict w14:anchorId="72DB7D90">
          <v:rect id="_x0000_i1025" style="width:184.5pt;height:1pt" o:hrpct="250" o:hralign="center" o:hrstd="t" o:hrnoshade="t" o:hr="t" fillcolor="black" stroked="f"/>
        </w:pict>
      </w:r>
    </w:p>
    <w:p w14:paraId="2E893EB1" w14:textId="34F63EAD" w:rsidR="00542FF4" w:rsidRDefault="003D4D89" w:rsidP="00542FF4">
      <w:pPr>
        <w:pStyle w:val="BodyText"/>
        <w:widowControl/>
        <w:autoSpaceDE/>
        <w:autoSpaceDN/>
        <w:adjustRightInd/>
        <w:ind w:firstLine="360"/>
        <w:jc w:val="center"/>
        <w:rPr>
          <w:b/>
          <w:bCs/>
          <w:lang w:val="en-GB"/>
        </w:rPr>
      </w:pPr>
      <w:r w:rsidRPr="00571974">
        <w:rPr>
          <w:b/>
          <w:lang w:val="en-GB"/>
        </w:rPr>
        <w:t>Offering</w:t>
      </w:r>
      <w:r w:rsidRPr="00571974">
        <w:rPr>
          <w:b/>
          <w:bCs/>
          <w:lang w:val="en-GB"/>
        </w:rPr>
        <w:t xml:space="preserve"> Price for the </w:t>
      </w:r>
      <w:r w:rsidR="00987745">
        <w:rPr>
          <w:b/>
          <w:bCs/>
          <w:lang w:val="en-GB"/>
        </w:rPr>
        <w:t>20</w:t>
      </w:r>
      <w:r w:rsidR="00323A30">
        <w:rPr>
          <w:b/>
          <w:bCs/>
          <w:lang w:val="en-GB"/>
        </w:rPr>
        <w:t>25</w:t>
      </w:r>
      <w:r w:rsidR="00987745">
        <w:rPr>
          <w:b/>
          <w:bCs/>
          <w:lang w:val="en-GB"/>
        </w:rPr>
        <w:t xml:space="preserve"> </w:t>
      </w:r>
      <w:r w:rsidRPr="00571974">
        <w:rPr>
          <w:b/>
          <w:bCs/>
          <w:lang w:val="en-GB"/>
        </w:rPr>
        <w:t>Notes:</w:t>
      </w:r>
      <w:r w:rsidR="00DF59DF" w:rsidRPr="00571974">
        <w:rPr>
          <w:b/>
          <w:bCs/>
          <w:lang w:val="en-GB"/>
        </w:rPr>
        <w:t xml:space="preserve"> </w:t>
      </w:r>
      <w:r w:rsidR="00323A30">
        <w:rPr>
          <w:b/>
          <w:bCs/>
          <w:lang w:val="en-GB"/>
        </w:rPr>
        <w:t>99.909</w:t>
      </w:r>
      <w:r w:rsidRPr="00571974">
        <w:rPr>
          <w:b/>
          <w:bCs/>
          <w:lang w:val="en-GB"/>
        </w:rPr>
        <w:t>% plu</w:t>
      </w:r>
      <w:r w:rsidR="00DF59DF" w:rsidRPr="00571974">
        <w:rPr>
          <w:b/>
          <w:bCs/>
          <w:lang w:val="en-GB"/>
        </w:rPr>
        <w:t xml:space="preserve">s accrued interest, if any, from </w:t>
      </w:r>
      <w:r w:rsidR="00323A30">
        <w:rPr>
          <w:b/>
          <w:bCs/>
          <w:lang w:val="en-GB"/>
        </w:rPr>
        <w:t>April 1</w:t>
      </w:r>
      <w:r w:rsidRPr="00571974">
        <w:rPr>
          <w:b/>
          <w:bCs/>
          <w:lang w:val="en-GB"/>
        </w:rPr>
        <w:t xml:space="preserve">, </w:t>
      </w:r>
      <w:r w:rsidR="006407F6" w:rsidRPr="00571974">
        <w:rPr>
          <w:b/>
          <w:bCs/>
          <w:lang w:val="en-GB"/>
        </w:rPr>
        <w:t>2020</w:t>
      </w:r>
    </w:p>
    <w:p w14:paraId="7A5C7FC1" w14:textId="3485637B" w:rsidR="00987745" w:rsidRPr="00571974" w:rsidRDefault="00987745" w:rsidP="00987745">
      <w:pPr>
        <w:pStyle w:val="BodyText"/>
        <w:widowControl/>
        <w:autoSpaceDE/>
        <w:autoSpaceDN/>
        <w:adjustRightInd/>
        <w:ind w:firstLine="360"/>
        <w:jc w:val="center"/>
        <w:rPr>
          <w:b/>
          <w:bCs/>
          <w:lang w:val="en-GB"/>
        </w:rPr>
      </w:pPr>
      <w:r w:rsidRPr="00571974">
        <w:rPr>
          <w:b/>
          <w:lang w:val="en-GB"/>
        </w:rPr>
        <w:t>Offering</w:t>
      </w:r>
      <w:r w:rsidRPr="00571974">
        <w:rPr>
          <w:b/>
          <w:bCs/>
          <w:lang w:val="en-GB"/>
        </w:rPr>
        <w:t xml:space="preserve"> Price for the </w:t>
      </w:r>
      <w:r>
        <w:rPr>
          <w:b/>
          <w:bCs/>
          <w:lang w:val="en-GB"/>
        </w:rPr>
        <w:t>20</w:t>
      </w:r>
      <w:r w:rsidR="00323A30">
        <w:rPr>
          <w:b/>
          <w:bCs/>
          <w:lang w:val="en-GB"/>
        </w:rPr>
        <w:t>30</w:t>
      </w:r>
      <w:r>
        <w:rPr>
          <w:b/>
          <w:bCs/>
          <w:lang w:val="en-GB"/>
        </w:rPr>
        <w:t xml:space="preserve"> </w:t>
      </w:r>
      <w:r w:rsidRPr="00571974">
        <w:rPr>
          <w:b/>
          <w:bCs/>
          <w:lang w:val="en-GB"/>
        </w:rPr>
        <w:t xml:space="preserve">Notes: </w:t>
      </w:r>
      <w:r w:rsidR="00323A30">
        <w:rPr>
          <w:b/>
          <w:bCs/>
          <w:lang w:val="en-GB"/>
        </w:rPr>
        <w:t>99.434</w:t>
      </w:r>
      <w:r w:rsidRPr="00571974">
        <w:rPr>
          <w:b/>
          <w:bCs/>
          <w:lang w:val="en-GB"/>
        </w:rPr>
        <w:t xml:space="preserve">% plus accrued interest, if any, from </w:t>
      </w:r>
      <w:r w:rsidR="00323A30">
        <w:rPr>
          <w:b/>
          <w:bCs/>
          <w:lang w:val="en-GB"/>
        </w:rPr>
        <w:t>April 1</w:t>
      </w:r>
      <w:r w:rsidRPr="00571974">
        <w:rPr>
          <w:b/>
          <w:bCs/>
          <w:lang w:val="en-GB"/>
        </w:rPr>
        <w:t>, 2020</w:t>
      </w:r>
    </w:p>
    <w:p w14:paraId="6236D055" w14:textId="77777777" w:rsidR="00542FF4" w:rsidRPr="00571974" w:rsidRDefault="00836D74" w:rsidP="00542FF4">
      <w:pPr>
        <w:pStyle w:val="BodyText"/>
        <w:widowControl/>
        <w:autoSpaceDE/>
        <w:autoSpaceDN/>
        <w:adjustRightInd/>
        <w:rPr>
          <w:lang w:val="en-GB"/>
        </w:rPr>
      </w:pPr>
      <w:r>
        <w:rPr>
          <w:lang w:val="en-GB"/>
        </w:rPr>
        <w:pict w14:anchorId="696CE83C">
          <v:rect id="_x0000_i1026" style="width:184.5pt;height:1pt" o:hrpct="250" o:hralign="center" o:hrstd="t" o:hrnoshade="t" o:hr="t" fillcolor="black" stroked="f"/>
        </w:pict>
      </w:r>
    </w:p>
    <w:p w14:paraId="6BE34A62" w14:textId="3F8AB445" w:rsidR="00542FF4" w:rsidRPr="00571974" w:rsidRDefault="003D4D89" w:rsidP="006D61C0">
      <w:pPr>
        <w:pStyle w:val="BodyText"/>
        <w:widowControl/>
        <w:autoSpaceDE/>
        <w:autoSpaceDN/>
        <w:adjustRightInd/>
        <w:ind w:firstLine="360"/>
        <w:rPr>
          <w:lang w:val="en-GB"/>
        </w:rPr>
      </w:pPr>
      <w:r w:rsidRPr="00571974">
        <w:rPr>
          <w:lang w:val="en-GB"/>
        </w:rPr>
        <w:t xml:space="preserve">Application has been made to the Financial Conduct Authority in its capacity as competent authority pursuant to Part VI of the Financial Services and Markets Act 2000 (the </w:t>
      </w:r>
      <w:r w:rsidR="00A311D8">
        <w:rPr>
          <w:lang w:val="en-GB"/>
        </w:rPr>
        <w:t>“</w:t>
      </w:r>
      <w:r w:rsidR="00912965" w:rsidRPr="00571974">
        <w:rPr>
          <w:lang w:val="en-GB"/>
        </w:rPr>
        <w:t>FCA</w:t>
      </w:r>
      <w:r w:rsidR="00A311D8">
        <w:rPr>
          <w:lang w:val="en-GB"/>
        </w:rPr>
        <w:t>”</w:t>
      </w:r>
      <w:r w:rsidRPr="00571974">
        <w:rPr>
          <w:lang w:val="en-GB"/>
        </w:rPr>
        <w:t xml:space="preserve">) for </w:t>
      </w:r>
      <w:r w:rsidR="00C40784">
        <w:rPr>
          <w:lang w:val="en-GB"/>
        </w:rPr>
        <w:t xml:space="preserve">each series of </w:t>
      </w:r>
      <w:r w:rsidRPr="00571974">
        <w:rPr>
          <w:lang w:val="en-GB"/>
        </w:rPr>
        <w:t xml:space="preserve">the Notes to be admitted to the official list of the </w:t>
      </w:r>
      <w:r w:rsidR="001649AB">
        <w:rPr>
          <w:lang w:val="en-GB"/>
        </w:rPr>
        <w:t>FCA</w:t>
      </w:r>
      <w:r w:rsidRPr="00571974">
        <w:rPr>
          <w:lang w:val="en-GB"/>
        </w:rPr>
        <w:t xml:space="preserve"> (the </w:t>
      </w:r>
      <w:r w:rsidR="00A311D8">
        <w:rPr>
          <w:lang w:val="en-GB"/>
        </w:rPr>
        <w:t>“</w:t>
      </w:r>
      <w:r w:rsidRPr="00571974">
        <w:rPr>
          <w:lang w:val="en-GB"/>
        </w:rPr>
        <w:t>Official List</w:t>
      </w:r>
      <w:r w:rsidR="00A311D8">
        <w:rPr>
          <w:lang w:val="en-GB"/>
        </w:rPr>
        <w:t>”</w:t>
      </w:r>
      <w:r w:rsidRPr="00571974">
        <w:rPr>
          <w:lang w:val="en-GB"/>
        </w:rPr>
        <w:t xml:space="preserve">) and to the London Stock Exchange plc (the </w:t>
      </w:r>
      <w:r w:rsidR="00A311D8">
        <w:rPr>
          <w:lang w:val="en-GB"/>
        </w:rPr>
        <w:t>“</w:t>
      </w:r>
      <w:r w:rsidRPr="00571974">
        <w:rPr>
          <w:lang w:val="en-GB"/>
        </w:rPr>
        <w:t>London Stock Exchange</w:t>
      </w:r>
      <w:r w:rsidR="00A311D8">
        <w:rPr>
          <w:lang w:val="en-GB"/>
        </w:rPr>
        <w:t>”</w:t>
      </w:r>
      <w:r w:rsidRPr="00571974">
        <w:rPr>
          <w:lang w:val="en-GB"/>
        </w:rPr>
        <w:t xml:space="preserve">) </w:t>
      </w:r>
      <w:r w:rsidR="004F4F07" w:rsidRPr="00571974">
        <w:rPr>
          <w:lang w:val="en-GB"/>
        </w:rPr>
        <w:t xml:space="preserve">for </w:t>
      </w:r>
      <w:r w:rsidR="00C40784">
        <w:rPr>
          <w:lang w:val="en-GB"/>
        </w:rPr>
        <w:t xml:space="preserve">each series of </w:t>
      </w:r>
      <w:r w:rsidRPr="00571974">
        <w:rPr>
          <w:lang w:val="en-GB"/>
        </w:rPr>
        <w:t>the Notes to be admitted to trading on the London Stock Exchange</w:t>
      </w:r>
      <w:r w:rsidR="00A311D8">
        <w:rPr>
          <w:lang w:val="en-GB"/>
        </w:rPr>
        <w:t>’</w:t>
      </w:r>
      <w:r w:rsidRPr="00571974">
        <w:rPr>
          <w:lang w:val="en-GB"/>
        </w:rPr>
        <w:t>s Regulated Market (</w:t>
      </w:r>
      <w:r w:rsidR="00A311D8">
        <w:rPr>
          <w:lang w:val="en-GB"/>
        </w:rPr>
        <w:t>“</w:t>
      </w:r>
      <w:r w:rsidRPr="00571974">
        <w:rPr>
          <w:lang w:val="en-GB"/>
        </w:rPr>
        <w:t>Admission</w:t>
      </w:r>
      <w:r w:rsidR="00A311D8">
        <w:rPr>
          <w:lang w:val="en-GB"/>
        </w:rPr>
        <w:t>”</w:t>
      </w:r>
      <w:r w:rsidRPr="00571974">
        <w:rPr>
          <w:lang w:val="en-GB"/>
        </w:rPr>
        <w:t>). References in this document to the Notes being listed (and all related references) shall mean that the Notes have been admitted to trading on the London Stock Exchange</w:t>
      </w:r>
      <w:r w:rsidR="00A311D8">
        <w:rPr>
          <w:lang w:val="en-GB"/>
        </w:rPr>
        <w:t>’</w:t>
      </w:r>
      <w:r w:rsidRPr="00571974">
        <w:rPr>
          <w:lang w:val="en-GB"/>
        </w:rPr>
        <w:t>s Regulated Market and have been admitted to the Official List. The London Stock Exchange</w:t>
      </w:r>
      <w:r w:rsidR="00A311D8">
        <w:rPr>
          <w:lang w:val="en-GB"/>
        </w:rPr>
        <w:t>’</w:t>
      </w:r>
      <w:r w:rsidRPr="00571974">
        <w:rPr>
          <w:lang w:val="en-GB"/>
        </w:rPr>
        <w:t>s Regulated Market is a regulated market for purposes of Directive 20</w:t>
      </w:r>
      <w:r w:rsidR="008358D0" w:rsidRPr="00571974">
        <w:rPr>
          <w:lang w:val="en-GB"/>
        </w:rPr>
        <w:t>1</w:t>
      </w:r>
      <w:r w:rsidRPr="00571974">
        <w:rPr>
          <w:lang w:val="en-GB"/>
        </w:rPr>
        <w:t>4/</w:t>
      </w:r>
      <w:r w:rsidR="008358D0" w:rsidRPr="00571974">
        <w:rPr>
          <w:lang w:val="en-GB"/>
        </w:rPr>
        <w:t>65</w:t>
      </w:r>
      <w:r w:rsidRPr="00571974">
        <w:rPr>
          <w:lang w:val="en-GB"/>
        </w:rPr>
        <w:t>/E</w:t>
      </w:r>
      <w:r w:rsidR="008358D0" w:rsidRPr="00571974">
        <w:rPr>
          <w:lang w:val="en-GB"/>
        </w:rPr>
        <w:t>U</w:t>
      </w:r>
      <w:r w:rsidRPr="00571974">
        <w:rPr>
          <w:lang w:val="en-GB"/>
        </w:rPr>
        <w:t xml:space="preserve"> (</w:t>
      </w:r>
      <w:r w:rsidR="00A311D8">
        <w:rPr>
          <w:lang w:val="en-GB"/>
        </w:rPr>
        <w:t>“</w:t>
      </w:r>
      <w:r w:rsidR="008358D0" w:rsidRPr="00571974">
        <w:rPr>
          <w:lang w:val="en-GB"/>
        </w:rPr>
        <w:t>MiFID II</w:t>
      </w:r>
      <w:r w:rsidR="00A311D8">
        <w:rPr>
          <w:lang w:val="en-GB"/>
        </w:rPr>
        <w:t>”</w:t>
      </w:r>
      <w:r w:rsidRPr="00571974">
        <w:rPr>
          <w:lang w:val="en-GB"/>
        </w:rPr>
        <w:t xml:space="preserve">). </w:t>
      </w:r>
      <w:r w:rsidRPr="00571974">
        <w:rPr>
          <w:b/>
          <w:bCs/>
          <w:lang w:val="en-GB"/>
        </w:rPr>
        <w:t xml:space="preserve">The securities to which this document relates have not been recommended by the United States Securities and Exchange Commission or any other </w:t>
      </w:r>
      <w:r w:rsidR="006D150F" w:rsidRPr="00571974">
        <w:rPr>
          <w:b/>
          <w:bCs/>
          <w:lang w:val="en-GB"/>
        </w:rPr>
        <w:t>U.S.</w:t>
      </w:r>
      <w:r w:rsidRPr="00571974">
        <w:rPr>
          <w:b/>
          <w:bCs/>
          <w:lang w:val="en-GB"/>
        </w:rPr>
        <w:t xml:space="preserve"> federal or state securities commission or regulatory authority nor have such authorities confirmed the accuracy or adequacy of this document. Any representation to the contrary is a criminal offense in the United States.</w:t>
      </w:r>
    </w:p>
    <w:p w14:paraId="09A974F6" w14:textId="36DB678F" w:rsidR="00542FF4" w:rsidRPr="00571974" w:rsidRDefault="003D4D89" w:rsidP="00542FF4">
      <w:pPr>
        <w:pStyle w:val="BodyText"/>
        <w:widowControl/>
        <w:autoSpaceDE/>
        <w:autoSpaceDN/>
        <w:adjustRightInd/>
        <w:ind w:firstLine="360"/>
        <w:rPr>
          <w:lang w:val="en-GB"/>
        </w:rPr>
      </w:pPr>
      <w:r w:rsidRPr="00571974">
        <w:rPr>
          <w:lang w:val="en-GB"/>
        </w:rPr>
        <w:t xml:space="preserve">The Notes and the Guarantees have not been registered, and we do not intend to register the Notes or the Guarantees, under the </w:t>
      </w:r>
      <w:r w:rsidR="006D150F" w:rsidRPr="00571974">
        <w:rPr>
          <w:lang w:val="en-GB"/>
        </w:rPr>
        <w:t>U.S.</w:t>
      </w:r>
      <w:r w:rsidRPr="00571974">
        <w:rPr>
          <w:lang w:val="en-GB"/>
        </w:rPr>
        <w:t xml:space="preserve"> Securities Act of 1933, as amended (the </w:t>
      </w:r>
      <w:r w:rsidR="00A311D8">
        <w:rPr>
          <w:lang w:val="en-GB"/>
        </w:rPr>
        <w:t>“</w:t>
      </w:r>
      <w:r w:rsidRPr="00571974">
        <w:rPr>
          <w:lang w:val="en-GB"/>
        </w:rPr>
        <w:t>Securities Act</w:t>
      </w:r>
      <w:r w:rsidR="00A311D8">
        <w:rPr>
          <w:lang w:val="en-GB"/>
        </w:rPr>
        <w:t>”</w:t>
      </w:r>
      <w:r w:rsidRPr="00571974">
        <w:rPr>
          <w:lang w:val="en-GB"/>
        </w:rPr>
        <w:t>), or any securities laws of any other jurisdiction. Accordingly, the Notes are being offered and sold in the United States only to qualified institutional buyers in accordance with Rule 144A under the Securities Act (</w:t>
      </w:r>
      <w:r w:rsidR="00A311D8">
        <w:rPr>
          <w:lang w:val="en-GB"/>
        </w:rPr>
        <w:t>“</w:t>
      </w:r>
      <w:r w:rsidRPr="00571974">
        <w:rPr>
          <w:lang w:val="en-GB"/>
        </w:rPr>
        <w:t>Rule 144A</w:t>
      </w:r>
      <w:r w:rsidR="00A311D8">
        <w:rPr>
          <w:lang w:val="en-GB"/>
        </w:rPr>
        <w:t>”</w:t>
      </w:r>
      <w:r w:rsidRPr="00571974">
        <w:rPr>
          <w:lang w:val="en-GB"/>
        </w:rPr>
        <w:t>) and outside the United States to certain non-</w:t>
      </w:r>
      <w:r w:rsidR="006D150F" w:rsidRPr="00571974">
        <w:rPr>
          <w:lang w:val="en-GB"/>
        </w:rPr>
        <w:t>U.S.</w:t>
      </w:r>
      <w:r w:rsidRPr="00571974">
        <w:rPr>
          <w:lang w:val="en-GB"/>
        </w:rPr>
        <w:t xml:space="preserve"> persons in accordance with Regulation S under the Securities Act (</w:t>
      </w:r>
      <w:r w:rsidR="00A311D8">
        <w:rPr>
          <w:lang w:val="en-GB"/>
        </w:rPr>
        <w:t>“</w:t>
      </w:r>
      <w:r w:rsidRPr="00571974">
        <w:rPr>
          <w:lang w:val="en-GB"/>
        </w:rPr>
        <w:t>Regulation S</w:t>
      </w:r>
      <w:r w:rsidR="00A311D8">
        <w:rPr>
          <w:lang w:val="en-GB"/>
        </w:rPr>
        <w:t>”</w:t>
      </w:r>
      <w:r w:rsidRPr="00571974">
        <w:rPr>
          <w:lang w:val="en-GB"/>
        </w:rPr>
        <w:t xml:space="preserve">). </w:t>
      </w:r>
      <w:r w:rsidRPr="00571974">
        <w:rPr>
          <w:b/>
          <w:bCs/>
          <w:lang w:val="en-GB"/>
        </w:rPr>
        <w:t>Prospective purchasers that are qualified institutional buyers are hereby notified that the seller of the Notes and the related Guarantees may be relying on the exemption from the provisions of Section 5 of the Securities Act provided by Rule 144A.</w:t>
      </w:r>
      <w:r w:rsidRPr="00571974">
        <w:rPr>
          <w:lang w:val="en-GB"/>
        </w:rPr>
        <w:t xml:space="preserve"> For further details about eligible offerees and transfer restrictions, see </w:t>
      </w:r>
      <w:r w:rsidR="00A311D8">
        <w:rPr>
          <w:lang w:val="en-GB"/>
        </w:rPr>
        <w:t>“</w:t>
      </w:r>
      <w:r w:rsidRPr="00571974">
        <w:rPr>
          <w:lang w:val="en-GB"/>
        </w:rPr>
        <w:t>Plan of Distribution</w:t>
      </w:r>
      <w:r w:rsidR="00A311D8">
        <w:rPr>
          <w:lang w:val="en-GB"/>
        </w:rPr>
        <w:t>”</w:t>
      </w:r>
      <w:r w:rsidRPr="00571974">
        <w:rPr>
          <w:lang w:val="en-GB"/>
        </w:rPr>
        <w:t xml:space="preserve"> and </w:t>
      </w:r>
      <w:r w:rsidR="00A311D8">
        <w:rPr>
          <w:lang w:val="en-GB"/>
        </w:rPr>
        <w:t>“</w:t>
      </w:r>
      <w:r w:rsidRPr="00571974">
        <w:rPr>
          <w:lang w:val="en-GB"/>
        </w:rPr>
        <w:t>Transfer Restrictions</w:t>
      </w:r>
      <w:r w:rsidR="00A311D8">
        <w:rPr>
          <w:lang w:val="en-GB"/>
        </w:rPr>
        <w:t>”</w:t>
      </w:r>
      <w:r w:rsidRPr="00571974">
        <w:rPr>
          <w:lang w:val="en-GB"/>
        </w:rPr>
        <w:t xml:space="preserve">. </w:t>
      </w:r>
    </w:p>
    <w:p w14:paraId="44F8AF73" w14:textId="270CD172" w:rsidR="00542FF4" w:rsidRPr="00571974" w:rsidRDefault="00542FF4" w:rsidP="00542FF4">
      <w:pPr>
        <w:pStyle w:val="BodyText"/>
        <w:widowControl/>
        <w:autoSpaceDE/>
        <w:autoSpaceDN/>
        <w:adjustRightInd/>
        <w:ind w:firstLine="360"/>
        <w:rPr>
          <w:lang w:val="en-GB"/>
        </w:rPr>
      </w:pPr>
      <w:r w:rsidRPr="00571974">
        <w:rPr>
          <w:lang w:val="en-GB"/>
        </w:rPr>
        <w:lastRenderedPageBreak/>
        <w:t>The Company</w:t>
      </w:r>
      <w:r w:rsidR="00A311D8">
        <w:rPr>
          <w:lang w:val="en-GB"/>
        </w:rPr>
        <w:t>’</w:t>
      </w:r>
      <w:r w:rsidRPr="00571974">
        <w:rPr>
          <w:lang w:val="en-GB"/>
        </w:rPr>
        <w:t>s credit ratings have been issued by Moody</w:t>
      </w:r>
      <w:r w:rsidR="00A311D8">
        <w:rPr>
          <w:lang w:val="en-GB"/>
        </w:rPr>
        <w:t>’</w:t>
      </w:r>
      <w:r w:rsidRPr="00571974">
        <w:rPr>
          <w:lang w:val="en-GB"/>
        </w:rPr>
        <w:t>s Investors Service Ltd. (</w:t>
      </w:r>
      <w:r w:rsidR="00A311D8">
        <w:rPr>
          <w:lang w:val="en-GB"/>
        </w:rPr>
        <w:t>“</w:t>
      </w:r>
      <w:r w:rsidRPr="00571974">
        <w:rPr>
          <w:lang w:val="en-GB"/>
        </w:rPr>
        <w:t>Moody</w:t>
      </w:r>
      <w:r w:rsidR="00A311D8">
        <w:rPr>
          <w:lang w:val="en-GB"/>
        </w:rPr>
        <w:t>’</w:t>
      </w:r>
      <w:r w:rsidRPr="00571974">
        <w:rPr>
          <w:lang w:val="en-GB"/>
        </w:rPr>
        <w:t>s</w:t>
      </w:r>
      <w:r w:rsidR="00A311D8">
        <w:rPr>
          <w:lang w:val="en-GB"/>
        </w:rPr>
        <w:t>”</w:t>
      </w:r>
      <w:r w:rsidRPr="00571974">
        <w:rPr>
          <w:lang w:val="en-GB"/>
        </w:rPr>
        <w:t>) and Standard &amp; Poor</w:t>
      </w:r>
      <w:r w:rsidR="00A311D8">
        <w:rPr>
          <w:lang w:val="en-GB"/>
        </w:rPr>
        <w:t>’</w:t>
      </w:r>
      <w:r w:rsidRPr="00571974">
        <w:rPr>
          <w:lang w:val="en-GB"/>
        </w:rPr>
        <w:t>s Credit Market Services Europe Limited (</w:t>
      </w:r>
      <w:r w:rsidR="00A311D8">
        <w:rPr>
          <w:lang w:val="en-GB"/>
        </w:rPr>
        <w:t>“</w:t>
      </w:r>
      <w:r w:rsidRPr="00571974">
        <w:rPr>
          <w:lang w:val="en-GB"/>
        </w:rPr>
        <w:t>S&amp;P</w:t>
      </w:r>
      <w:r w:rsidR="00A311D8">
        <w:rPr>
          <w:lang w:val="en-GB"/>
        </w:rPr>
        <w:t>”</w:t>
      </w:r>
      <w:r w:rsidRPr="00571974">
        <w:rPr>
          <w:lang w:val="en-GB"/>
        </w:rPr>
        <w:t>) and are Ba</w:t>
      </w:r>
      <w:r w:rsidR="00B46C9B" w:rsidRPr="00571974">
        <w:rPr>
          <w:lang w:val="en-GB"/>
        </w:rPr>
        <w:t>a</w:t>
      </w:r>
      <w:r w:rsidR="00C77A1B" w:rsidRPr="00571974">
        <w:rPr>
          <w:lang w:val="en-GB"/>
        </w:rPr>
        <w:t>2</w:t>
      </w:r>
      <w:r w:rsidRPr="00571974">
        <w:rPr>
          <w:lang w:val="en-GB"/>
        </w:rPr>
        <w:t xml:space="preserve"> (</w:t>
      </w:r>
      <w:r w:rsidR="00C77A1B" w:rsidRPr="00571974">
        <w:rPr>
          <w:lang w:val="en-GB"/>
        </w:rPr>
        <w:t>stable</w:t>
      </w:r>
      <w:r w:rsidRPr="00571974">
        <w:rPr>
          <w:lang w:val="en-GB"/>
        </w:rPr>
        <w:t xml:space="preserve"> outlook) and BB</w:t>
      </w:r>
      <w:r w:rsidR="00634B4D" w:rsidRPr="00571974">
        <w:rPr>
          <w:lang w:val="en-GB"/>
        </w:rPr>
        <w:t>B</w:t>
      </w:r>
      <w:r w:rsidRPr="00571974">
        <w:rPr>
          <w:lang w:val="en-GB"/>
        </w:rPr>
        <w:t xml:space="preserve"> (</w:t>
      </w:r>
      <w:r w:rsidR="00C77A1B" w:rsidRPr="00571974">
        <w:rPr>
          <w:lang w:val="en-GB"/>
        </w:rPr>
        <w:t>stable</w:t>
      </w:r>
      <w:r w:rsidR="0048775B" w:rsidRPr="00571974">
        <w:rPr>
          <w:lang w:val="en-GB"/>
        </w:rPr>
        <w:t xml:space="preserve"> </w:t>
      </w:r>
      <w:r w:rsidRPr="00571974">
        <w:rPr>
          <w:lang w:val="en-GB"/>
        </w:rPr>
        <w:t xml:space="preserve">outlook), respectively. In general, European regulated investors are restricted from using a rating for regulatory purposes if such rating is not issued by a credit rating agency established in the European Union and registered under Regulation (EC) No. 1060/2009 (the </w:t>
      </w:r>
      <w:r w:rsidR="00A311D8">
        <w:rPr>
          <w:lang w:val="en-GB"/>
        </w:rPr>
        <w:t>“</w:t>
      </w:r>
      <w:r w:rsidRPr="00571974">
        <w:rPr>
          <w:lang w:val="en-GB"/>
        </w:rPr>
        <w:t>CRA Regulation</w:t>
      </w:r>
      <w:r w:rsidR="00A311D8">
        <w:rPr>
          <w:lang w:val="en-GB"/>
        </w:rPr>
        <w:t>”</w:t>
      </w:r>
      <w:r w:rsidRPr="00571974">
        <w:rPr>
          <w:lang w:val="en-GB"/>
        </w:rPr>
        <w:t>), unless the rating is provided by a credit rating agency operating in the European Union before June 7, 2010 which has submitted an application for registration in accordance with the CRA Regulation and such registration is not refused. S&amp;P and Moody</w:t>
      </w:r>
      <w:r w:rsidR="00A311D8">
        <w:rPr>
          <w:lang w:val="en-GB"/>
        </w:rPr>
        <w:t>’</w:t>
      </w:r>
      <w:r w:rsidRPr="00571974">
        <w:rPr>
          <w:lang w:val="en-GB"/>
        </w:rPr>
        <w:t>s have each been registered under the CRA Regulation by the European Securities and Markets Authority as of October 31, 2011.</w:t>
      </w:r>
    </w:p>
    <w:p w14:paraId="136F9D75" w14:textId="77777777" w:rsidR="00542FF4" w:rsidRPr="00571974" w:rsidRDefault="00836D74" w:rsidP="00542FF4">
      <w:pPr>
        <w:tabs>
          <w:tab w:val="left" w:pos="-720"/>
        </w:tabs>
        <w:suppressAutoHyphens/>
        <w:spacing w:after="240"/>
        <w:jc w:val="both"/>
        <w:rPr>
          <w:lang w:val="en-GB"/>
        </w:rPr>
      </w:pPr>
      <w:r>
        <w:rPr>
          <w:lang w:val="en-GB"/>
        </w:rPr>
        <w:pict w14:anchorId="74C6BF7B">
          <v:rect id="_x0000_i1027" style="width:184.5pt;height:1pt" o:hrpct="250" o:hralign="center" o:hrstd="t" o:hrnoshade="t" o:hr="t" fillcolor="black" stroked="f"/>
        </w:pict>
      </w:r>
    </w:p>
    <w:p w14:paraId="3BF83A57" w14:textId="4327AF0B" w:rsidR="00542FF4" w:rsidRPr="00571974" w:rsidRDefault="003D4D89" w:rsidP="006D61C0">
      <w:pPr>
        <w:widowControl/>
        <w:rPr>
          <w:lang w:val="en-GB"/>
        </w:rPr>
      </w:pPr>
      <w:r w:rsidRPr="00571974">
        <w:rPr>
          <w:lang w:val="en-GB"/>
        </w:rPr>
        <w:t xml:space="preserve">Citigroup Global Markets Inc., Mizuho Securities USA LLC, RBC </w:t>
      </w:r>
      <w:r w:rsidR="00A51E0C" w:rsidRPr="00571974">
        <w:rPr>
          <w:lang w:val="en-GB"/>
        </w:rPr>
        <w:t>Capital Markets, L</w:t>
      </w:r>
      <w:r w:rsidR="00ED4F4E" w:rsidRPr="00571974">
        <w:rPr>
          <w:lang w:val="en-GB"/>
        </w:rPr>
        <w:t>L</w:t>
      </w:r>
      <w:r w:rsidR="00A51E0C" w:rsidRPr="00571974">
        <w:rPr>
          <w:lang w:val="en-GB"/>
        </w:rPr>
        <w:t xml:space="preserve">C, </w:t>
      </w:r>
      <w:r w:rsidR="00B86D05" w:rsidRPr="00571974">
        <w:rPr>
          <w:lang w:val="en-GB"/>
        </w:rPr>
        <w:t>Standard Chartered Bank</w:t>
      </w:r>
      <w:r w:rsidR="00A51E0C" w:rsidRPr="00571974">
        <w:rPr>
          <w:lang w:val="en-GB"/>
        </w:rPr>
        <w:t>, BMO Capital Markets Corp. and TD Securities (USA) LLC</w:t>
      </w:r>
      <w:r w:rsidR="00FC7734" w:rsidRPr="00571974">
        <w:rPr>
          <w:lang w:val="en-GB"/>
        </w:rPr>
        <w:t xml:space="preserve"> </w:t>
      </w:r>
      <w:r w:rsidR="006D61C0" w:rsidRPr="00571974">
        <w:rPr>
          <w:lang w:val="en-GB"/>
        </w:rPr>
        <w:t xml:space="preserve">(collectively, the </w:t>
      </w:r>
      <w:r w:rsidR="00A311D8">
        <w:rPr>
          <w:lang w:val="en-GB"/>
        </w:rPr>
        <w:t>“</w:t>
      </w:r>
      <w:r w:rsidR="006D61C0" w:rsidRPr="00571974">
        <w:rPr>
          <w:lang w:val="en-GB"/>
        </w:rPr>
        <w:t>Joint Bookrunners</w:t>
      </w:r>
      <w:r w:rsidR="00A311D8">
        <w:rPr>
          <w:lang w:val="en-GB"/>
        </w:rPr>
        <w:t>”</w:t>
      </w:r>
      <w:r w:rsidR="006D61C0" w:rsidRPr="00571974">
        <w:rPr>
          <w:lang w:val="en-GB"/>
        </w:rPr>
        <w:t xml:space="preserve"> or the </w:t>
      </w:r>
      <w:r w:rsidR="00A311D8">
        <w:rPr>
          <w:lang w:val="en-GB"/>
        </w:rPr>
        <w:t>“</w:t>
      </w:r>
      <w:r w:rsidR="006D61C0" w:rsidRPr="00571974">
        <w:rPr>
          <w:lang w:val="en-GB"/>
        </w:rPr>
        <w:t>Initial Purchasers</w:t>
      </w:r>
      <w:r w:rsidR="00A311D8">
        <w:rPr>
          <w:lang w:val="en-GB"/>
        </w:rPr>
        <w:t>”</w:t>
      </w:r>
      <w:r w:rsidR="006D61C0" w:rsidRPr="00571974">
        <w:rPr>
          <w:lang w:val="en-GB"/>
        </w:rPr>
        <w:t xml:space="preserve">) expect to deliver the Notes to purchasers on or </w:t>
      </w:r>
      <w:r w:rsidR="00323A30" w:rsidRPr="00571974">
        <w:rPr>
          <w:lang w:val="en-GB"/>
        </w:rPr>
        <w:t xml:space="preserve">about </w:t>
      </w:r>
      <w:r w:rsidR="00323A30">
        <w:rPr>
          <w:lang w:val="en-GB"/>
        </w:rPr>
        <w:t>April 1</w:t>
      </w:r>
      <w:r w:rsidR="004F4F07" w:rsidRPr="00571974">
        <w:rPr>
          <w:lang w:val="en-GB"/>
        </w:rPr>
        <w:t xml:space="preserve">, </w:t>
      </w:r>
      <w:r w:rsidR="00E21126" w:rsidRPr="00571974">
        <w:rPr>
          <w:lang w:val="en-GB"/>
        </w:rPr>
        <w:t>20</w:t>
      </w:r>
      <w:r w:rsidR="00AB07DA" w:rsidRPr="00571974">
        <w:rPr>
          <w:lang w:val="en-GB"/>
        </w:rPr>
        <w:t>20</w:t>
      </w:r>
      <w:r w:rsidR="00E21126" w:rsidRPr="00571974">
        <w:rPr>
          <w:lang w:val="en-GB"/>
        </w:rPr>
        <w:t xml:space="preserve"> </w:t>
      </w:r>
      <w:r w:rsidR="006D61C0" w:rsidRPr="00571974">
        <w:rPr>
          <w:lang w:val="en-GB"/>
        </w:rPr>
        <w:t>through the facilities of The Depository Trust Company including it</w:t>
      </w:r>
      <w:r w:rsidR="00C248C2">
        <w:rPr>
          <w:lang w:val="en-GB"/>
        </w:rPr>
        <w:t>s participants Euroclear Bank SA</w:t>
      </w:r>
      <w:r w:rsidR="006D61C0" w:rsidRPr="00571974">
        <w:rPr>
          <w:lang w:val="en-GB"/>
        </w:rPr>
        <w:t xml:space="preserve">/NV and Clearstream Banking, </w:t>
      </w:r>
      <w:r w:rsidR="006D61C0" w:rsidRPr="00571974">
        <w:rPr>
          <w:i/>
          <w:iCs/>
          <w:lang w:val="en-GB"/>
        </w:rPr>
        <w:t>société anonyme</w:t>
      </w:r>
      <w:r w:rsidR="006D61C0" w:rsidRPr="00571974">
        <w:rPr>
          <w:lang w:val="en-GB"/>
        </w:rPr>
        <w:t>.</w:t>
      </w:r>
    </w:p>
    <w:p w14:paraId="3CE2F538" w14:textId="77777777" w:rsidR="00542FF4" w:rsidRPr="00571974" w:rsidRDefault="00836D74" w:rsidP="00542FF4">
      <w:pPr>
        <w:tabs>
          <w:tab w:val="left" w:pos="-720"/>
        </w:tabs>
        <w:suppressAutoHyphens/>
        <w:spacing w:after="240"/>
        <w:jc w:val="both"/>
        <w:rPr>
          <w:lang w:val="en-GB"/>
        </w:rPr>
      </w:pPr>
      <w:r>
        <w:rPr>
          <w:lang w:val="en-GB"/>
        </w:rPr>
        <w:pict w14:anchorId="07ACC6F3">
          <v:rect id="_x0000_i1028" style="width:184.5pt;height:1pt" o:hrpct="250" o:hralign="center" o:hrstd="t" o:hrnoshade="t" o:hr="t" fillcolor="black" stroked="f"/>
        </w:pict>
      </w:r>
    </w:p>
    <w:p w14:paraId="69E64879" w14:textId="77777777" w:rsidR="00542FF4" w:rsidRPr="00571974" w:rsidRDefault="003D4D89" w:rsidP="00542FF4">
      <w:pPr>
        <w:tabs>
          <w:tab w:val="center" w:pos="5400"/>
        </w:tabs>
        <w:suppressAutoHyphens/>
        <w:spacing w:after="240"/>
        <w:jc w:val="center"/>
        <w:rPr>
          <w:i/>
          <w:iCs/>
          <w:lang w:val="en-GB"/>
        </w:rPr>
      </w:pPr>
      <w:r w:rsidRPr="00571974">
        <w:rPr>
          <w:i/>
          <w:iCs/>
          <w:lang w:val="en-GB"/>
        </w:rPr>
        <w:t>Joint Bookrunners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56"/>
        <w:gridCol w:w="2254"/>
        <w:gridCol w:w="2255"/>
        <w:gridCol w:w="2252"/>
      </w:tblGrid>
      <w:tr w:rsidR="002228B8" w14:paraId="70655FEA" w14:textId="77777777" w:rsidTr="003D4D89">
        <w:tc>
          <w:tcPr>
            <w:tcW w:w="2256" w:type="dxa"/>
            <w:shd w:val="clear" w:color="auto" w:fill="auto"/>
          </w:tcPr>
          <w:p w14:paraId="42772FB6" w14:textId="77777777" w:rsidR="00B65FFA" w:rsidRPr="003D4D89" w:rsidRDefault="003D4D89" w:rsidP="003D4D89">
            <w:pPr>
              <w:widowControl/>
              <w:tabs>
                <w:tab w:val="center" w:pos="5400"/>
              </w:tabs>
              <w:suppressAutoHyphens/>
              <w:spacing w:before="240" w:after="240"/>
              <w:jc w:val="center"/>
              <w:rPr>
                <w:rFonts w:eastAsia="MS Mincho"/>
                <w:b/>
                <w:lang w:val="en-GB" w:eastAsia="en-GB" w:bidi="ar-SA"/>
              </w:rPr>
            </w:pPr>
            <w:r w:rsidRPr="003D4D89">
              <w:rPr>
                <w:rFonts w:eastAsia="MS Mincho"/>
                <w:b/>
                <w:lang w:val="en-GB" w:eastAsia="en-GB" w:bidi="ar-SA"/>
              </w:rPr>
              <w:t>Citigroup</w:t>
            </w:r>
          </w:p>
        </w:tc>
        <w:tc>
          <w:tcPr>
            <w:tcW w:w="2254" w:type="dxa"/>
            <w:shd w:val="clear" w:color="auto" w:fill="auto"/>
          </w:tcPr>
          <w:p w14:paraId="716E2637" w14:textId="77777777" w:rsidR="00B65FFA" w:rsidRPr="003D4D89" w:rsidRDefault="003D4D89" w:rsidP="003D4D89">
            <w:pPr>
              <w:widowControl/>
              <w:tabs>
                <w:tab w:val="center" w:pos="5400"/>
              </w:tabs>
              <w:suppressAutoHyphens/>
              <w:spacing w:before="240" w:after="240"/>
              <w:jc w:val="center"/>
              <w:rPr>
                <w:rFonts w:eastAsia="MS Mincho"/>
                <w:b/>
                <w:lang w:val="en-GB" w:eastAsia="en-GB" w:bidi="ar-SA"/>
              </w:rPr>
            </w:pPr>
            <w:r w:rsidRPr="003D4D89">
              <w:rPr>
                <w:rFonts w:eastAsia="MS Mincho"/>
                <w:b/>
                <w:lang w:val="en-GB" w:eastAsia="en-GB" w:bidi="ar-SA"/>
              </w:rPr>
              <w:t>Mizuho Securities</w:t>
            </w:r>
          </w:p>
        </w:tc>
        <w:tc>
          <w:tcPr>
            <w:tcW w:w="2255" w:type="dxa"/>
            <w:shd w:val="clear" w:color="auto" w:fill="auto"/>
          </w:tcPr>
          <w:p w14:paraId="29BD08AA" w14:textId="77777777" w:rsidR="00B65FFA" w:rsidRPr="003D4D89" w:rsidRDefault="003D4D89" w:rsidP="003D4D89">
            <w:pPr>
              <w:widowControl/>
              <w:tabs>
                <w:tab w:val="center" w:pos="5400"/>
              </w:tabs>
              <w:suppressAutoHyphens/>
              <w:spacing w:before="240" w:after="240"/>
              <w:jc w:val="center"/>
              <w:rPr>
                <w:rFonts w:eastAsia="MS Mincho"/>
                <w:b/>
                <w:lang w:val="en-GB" w:eastAsia="en-GB" w:bidi="ar-SA"/>
              </w:rPr>
            </w:pPr>
            <w:r w:rsidRPr="003D4D89">
              <w:rPr>
                <w:rFonts w:eastAsia="MS Mincho"/>
                <w:b/>
                <w:lang w:val="en-GB" w:eastAsia="en-GB" w:bidi="ar-SA"/>
              </w:rPr>
              <w:t>RBC Capital Markets</w:t>
            </w:r>
          </w:p>
        </w:tc>
        <w:tc>
          <w:tcPr>
            <w:tcW w:w="2252" w:type="dxa"/>
            <w:shd w:val="clear" w:color="auto" w:fill="auto"/>
          </w:tcPr>
          <w:p w14:paraId="54021ED3" w14:textId="77777777" w:rsidR="00B65FFA" w:rsidRPr="003D4D89" w:rsidRDefault="003D4D89" w:rsidP="003D4D89">
            <w:pPr>
              <w:widowControl/>
              <w:tabs>
                <w:tab w:val="center" w:pos="5400"/>
              </w:tabs>
              <w:suppressAutoHyphens/>
              <w:spacing w:before="240" w:after="240"/>
              <w:jc w:val="center"/>
              <w:rPr>
                <w:rFonts w:eastAsia="MS Mincho"/>
                <w:b/>
                <w:lang w:val="en-GB" w:eastAsia="en-GB" w:bidi="ar-SA"/>
              </w:rPr>
            </w:pPr>
            <w:r w:rsidRPr="003D4D89">
              <w:rPr>
                <w:rFonts w:eastAsia="MS Mincho"/>
                <w:b/>
                <w:lang w:val="en-GB" w:eastAsia="en-GB" w:bidi="ar-SA"/>
              </w:rPr>
              <w:t xml:space="preserve">Standard Chartered  Bank </w:t>
            </w:r>
          </w:p>
        </w:tc>
      </w:tr>
    </w:tbl>
    <w:p w14:paraId="7C1D76FC" w14:textId="2DAF0D07" w:rsidR="00542FF4" w:rsidRPr="007539E8" w:rsidRDefault="00C16591" w:rsidP="006D61C0">
      <w:pPr>
        <w:widowControl/>
        <w:tabs>
          <w:tab w:val="center" w:pos="5400"/>
        </w:tabs>
        <w:suppressAutoHyphens/>
        <w:spacing w:before="240" w:after="240"/>
        <w:jc w:val="center"/>
        <w:rPr>
          <w:b/>
          <w:lang w:val="en-GB"/>
        </w:rPr>
      </w:pPr>
      <w:r w:rsidRPr="007539E8">
        <w:rPr>
          <w:b/>
          <w:lang w:val="en-GB"/>
        </w:rPr>
        <w:t xml:space="preserve">BMO Capital Markets </w:t>
      </w:r>
      <w:r w:rsidRPr="007539E8">
        <w:rPr>
          <w:b/>
          <w:lang w:val="en-GB"/>
        </w:rPr>
        <w:tab/>
        <w:t>TD Securities</w:t>
      </w:r>
    </w:p>
    <w:p w14:paraId="116A9FCE" w14:textId="77777777" w:rsidR="00A266F5" w:rsidRPr="00571974" w:rsidRDefault="00A266F5" w:rsidP="00542FF4">
      <w:pPr>
        <w:widowControl/>
        <w:tabs>
          <w:tab w:val="center" w:pos="5400"/>
        </w:tabs>
        <w:suppressAutoHyphens/>
        <w:spacing w:before="240" w:after="240"/>
        <w:jc w:val="center"/>
        <w:rPr>
          <w:lang w:val="en-GB"/>
        </w:rPr>
      </w:pPr>
    </w:p>
    <w:p w14:paraId="428157DC" w14:textId="642DFD71" w:rsidR="00542FF4" w:rsidRPr="00571974" w:rsidRDefault="003D4D89" w:rsidP="00542FF4">
      <w:pPr>
        <w:widowControl/>
        <w:tabs>
          <w:tab w:val="center" w:pos="5400"/>
        </w:tabs>
        <w:suppressAutoHyphens/>
        <w:spacing w:before="240" w:after="240"/>
        <w:jc w:val="center"/>
        <w:rPr>
          <w:lang w:val="en-GB"/>
        </w:rPr>
      </w:pPr>
      <w:r w:rsidRPr="00571974">
        <w:rPr>
          <w:lang w:val="en-GB"/>
        </w:rPr>
        <w:t>Prospectus dated</w:t>
      </w:r>
      <w:r w:rsidR="00A266F5" w:rsidRPr="00571974">
        <w:rPr>
          <w:lang w:val="en-GB"/>
        </w:rPr>
        <w:t xml:space="preserve"> </w:t>
      </w:r>
      <w:r w:rsidR="00836D74">
        <w:rPr>
          <w:lang w:val="en-GB"/>
        </w:rPr>
        <w:t>April 1</w:t>
      </w:r>
      <w:r w:rsidRPr="00571974">
        <w:rPr>
          <w:lang w:val="en-GB"/>
        </w:rPr>
        <w:t xml:space="preserve">, </w:t>
      </w:r>
      <w:r w:rsidR="00AB07DA" w:rsidRPr="00571974">
        <w:rPr>
          <w:lang w:val="en-GB"/>
        </w:rPr>
        <w:t>2020</w:t>
      </w:r>
    </w:p>
    <w:p w14:paraId="77146B56" w14:textId="77777777" w:rsidR="00542FF4" w:rsidRPr="00571974" w:rsidRDefault="00542FF4" w:rsidP="00542FF4">
      <w:pPr>
        <w:keepNext/>
        <w:keepLines/>
        <w:widowControl/>
        <w:tabs>
          <w:tab w:val="left" w:pos="720"/>
          <w:tab w:val="left" w:pos="1440"/>
          <w:tab w:val="center" w:pos="5400"/>
        </w:tabs>
        <w:suppressAutoHyphens/>
        <w:spacing w:after="240"/>
        <w:jc w:val="center"/>
        <w:rPr>
          <w:lang w:val="en-GB"/>
        </w:rPr>
      </w:pPr>
    </w:p>
    <w:p w14:paraId="6566A8F8" w14:textId="77777777" w:rsidR="00542FF4" w:rsidRPr="00571974" w:rsidRDefault="00542FF4" w:rsidP="00542FF4">
      <w:pPr>
        <w:keepNext/>
        <w:keepLines/>
        <w:widowControl/>
        <w:tabs>
          <w:tab w:val="left" w:pos="720"/>
          <w:tab w:val="left" w:pos="1440"/>
          <w:tab w:val="center" w:pos="5400"/>
        </w:tabs>
        <w:suppressAutoHyphens/>
        <w:spacing w:after="240"/>
        <w:jc w:val="center"/>
        <w:rPr>
          <w:b/>
          <w:bCs/>
          <w:lang w:val="en-GB"/>
        </w:rPr>
        <w:sectPr w:rsidR="00542FF4" w:rsidRPr="00571974" w:rsidSect="00F706B0">
          <w:headerReference w:type="even" r:id="rId9"/>
          <w:headerReference w:type="default" r:id="rId10"/>
          <w:footerReference w:type="even" r:id="rId11"/>
          <w:footerReference w:type="default" r:id="rId12"/>
          <w:headerReference w:type="first" r:id="rId13"/>
          <w:footerReference w:type="first" r:id="rId14"/>
          <w:pgSz w:w="11907" w:h="16839" w:code="9"/>
          <w:pgMar w:top="1077" w:right="1440" w:bottom="1134" w:left="1440" w:header="720" w:footer="720" w:gutter="0"/>
          <w:cols w:space="720"/>
          <w:titlePg/>
          <w:docGrid w:linePitch="299"/>
        </w:sectPr>
      </w:pPr>
    </w:p>
    <w:p w14:paraId="2E6D0D22" w14:textId="77777777" w:rsidR="00542FF4" w:rsidRPr="00571974" w:rsidRDefault="003D4D89" w:rsidP="00102727">
      <w:pPr>
        <w:pStyle w:val="Heading1"/>
        <w:rPr>
          <w:lang w:val="en-GB"/>
        </w:rPr>
      </w:pPr>
      <w:bookmarkStart w:id="3" w:name="_Toc421615861"/>
      <w:bookmarkStart w:id="4" w:name="_Toc433740173"/>
      <w:bookmarkStart w:id="5" w:name="_Toc36388950"/>
      <w:r w:rsidRPr="00571974">
        <w:rPr>
          <w:lang w:val="en-GB"/>
        </w:rPr>
        <w:lastRenderedPageBreak/>
        <w:t>TABLE OF CONTENTS</w:t>
      </w:r>
      <w:bookmarkEnd w:id="3"/>
      <w:bookmarkEnd w:id="4"/>
      <w:bookmarkEnd w:id="5"/>
    </w:p>
    <w:p w14:paraId="289D9F6E" w14:textId="77777777" w:rsidR="00542FF4" w:rsidRPr="00571974" w:rsidRDefault="003D4D89" w:rsidP="00542FF4">
      <w:pPr>
        <w:jc w:val="right"/>
        <w:rPr>
          <w:u w:val="single"/>
          <w:lang w:val="en-GB"/>
        </w:rPr>
      </w:pPr>
      <w:r w:rsidRPr="00571974">
        <w:rPr>
          <w:u w:val="single"/>
          <w:lang w:val="en-GB"/>
        </w:rPr>
        <w:t>Page</w:t>
      </w:r>
    </w:p>
    <w:p w14:paraId="185119DD" w14:textId="61735684" w:rsidR="00231BBF" w:rsidRDefault="003D4D89">
      <w:pPr>
        <w:pStyle w:val="TOC1"/>
        <w:rPr>
          <w:rFonts w:asciiTheme="minorHAnsi" w:eastAsiaTheme="minorEastAsia" w:hAnsiTheme="minorHAnsi" w:cstheme="minorBidi"/>
          <w:noProof/>
          <w:sz w:val="22"/>
          <w:lang w:val="en-GB" w:eastAsia="en-GB" w:bidi="ar-SA"/>
        </w:rPr>
      </w:pPr>
      <w:r w:rsidRPr="00571974">
        <w:rPr>
          <w:lang w:val="en-GB"/>
        </w:rPr>
        <w:fldChar w:fldCharType="begin"/>
      </w:r>
      <w:r w:rsidR="00542FF4" w:rsidRPr="00571974">
        <w:rPr>
          <w:lang w:val="en-GB"/>
        </w:rPr>
        <w:instrText xml:space="preserve"> TOC \h \z \t "Heading 1,1" </w:instrText>
      </w:r>
      <w:r w:rsidRPr="00571974">
        <w:rPr>
          <w:lang w:val="en-GB"/>
        </w:rPr>
        <w:fldChar w:fldCharType="separate"/>
      </w:r>
      <w:hyperlink w:anchor="_Toc36388950" w:history="1">
        <w:r w:rsidR="00231BBF" w:rsidRPr="001C59C6">
          <w:rPr>
            <w:rStyle w:val="Hyperlink"/>
            <w:noProof/>
            <w:lang w:val="en-GB"/>
          </w:rPr>
          <w:t>TABLE OF CONTENTS</w:t>
        </w:r>
        <w:r w:rsidR="00231BBF">
          <w:rPr>
            <w:noProof/>
            <w:webHidden/>
          </w:rPr>
          <w:tab/>
        </w:r>
        <w:r w:rsidR="00231BBF">
          <w:rPr>
            <w:noProof/>
            <w:webHidden/>
          </w:rPr>
          <w:fldChar w:fldCharType="begin"/>
        </w:r>
        <w:r w:rsidR="00231BBF">
          <w:rPr>
            <w:noProof/>
            <w:webHidden/>
          </w:rPr>
          <w:instrText xml:space="preserve"> PAGEREF _Toc36388950 \h </w:instrText>
        </w:r>
        <w:r w:rsidR="00231BBF">
          <w:rPr>
            <w:noProof/>
            <w:webHidden/>
          </w:rPr>
        </w:r>
        <w:r w:rsidR="00231BBF">
          <w:rPr>
            <w:noProof/>
            <w:webHidden/>
          </w:rPr>
          <w:fldChar w:fldCharType="separate"/>
        </w:r>
        <w:r w:rsidR="00FA6858">
          <w:rPr>
            <w:noProof/>
            <w:webHidden/>
          </w:rPr>
          <w:t>3</w:t>
        </w:r>
        <w:r w:rsidR="00231BBF">
          <w:rPr>
            <w:noProof/>
            <w:webHidden/>
          </w:rPr>
          <w:fldChar w:fldCharType="end"/>
        </w:r>
      </w:hyperlink>
    </w:p>
    <w:p w14:paraId="7A59E5C9" w14:textId="6CFB1318" w:rsidR="00231BBF" w:rsidRDefault="00836D74">
      <w:pPr>
        <w:pStyle w:val="TOC1"/>
        <w:rPr>
          <w:rFonts w:asciiTheme="minorHAnsi" w:eastAsiaTheme="minorEastAsia" w:hAnsiTheme="minorHAnsi" w:cstheme="minorBidi"/>
          <w:noProof/>
          <w:sz w:val="22"/>
          <w:lang w:val="en-GB" w:eastAsia="en-GB" w:bidi="ar-SA"/>
        </w:rPr>
      </w:pPr>
      <w:hyperlink w:anchor="_Toc36388951" w:history="1">
        <w:r w:rsidR="00231BBF" w:rsidRPr="001C59C6">
          <w:rPr>
            <w:rStyle w:val="Hyperlink"/>
            <w:noProof/>
            <w:lang w:val="en-GB"/>
          </w:rPr>
          <w:t>IMPORTANT INFORMATION</w:t>
        </w:r>
        <w:r w:rsidR="00231BBF">
          <w:rPr>
            <w:noProof/>
            <w:webHidden/>
          </w:rPr>
          <w:tab/>
        </w:r>
        <w:r w:rsidR="00231BBF">
          <w:rPr>
            <w:noProof/>
            <w:webHidden/>
          </w:rPr>
          <w:fldChar w:fldCharType="begin"/>
        </w:r>
        <w:r w:rsidR="00231BBF">
          <w:rPr>
            <w:noProof/>
            <w:webHidden/>
          </w:rPr>
          <w:instrText xml:space="preserve"> PAGEREF _Toc36388951 \h </w:instrText>
        </w:r>
        <w:r w:rsidR="00231BBF">
          <w:rPr>
            <w:noProof/>
            <w:webHidden/>
          </w:rPr>
        </w:r>
        <w:r w:rsidR="00231BBF">
          <w:rPr>
            <w:noProof/>
            <w:webHidden/>
          </w:rPr>
          <w:fldChar w:fldCharType="separate"/>
        </w:r>
        <w:r w:rsidR="00FA6858">
          <w:rPr>
            <w:noProof/>
            <w:webHidden/>
          </w:rPr>
          <w:t>4</w:t>
        </w:r>
        <w:r w:rsidR="00231BBF">
          <w:rPr>
            <w:noProof/>
            <w:webHidden/>
          </w:rPr>
          <w:fldChar w:fldCharType="end"/>
        </w:r>
      </w:hyperlink>
    </w:p>
    <w:p w14:paraId="65D13A31" w14:textId="433A2032" w:rsidR="00231BBF" w:rsidRDefault="00836D74">
      <w:pPr>
        <w:pStyle w:val="TOC1"/>
        <w:rPr>
          <w:rFonts w:asciiTheme="minorHAnsi" w:eastAsiaTheme="minorEastAsia" w:hAnsiTheme="minorHAnsi" w:cstheme="minorBidi"/>
          <w:noProof/>
          <w:sz w:val="22"/>
          <w:lang w:val="en-GB" w:eastAsia="en-GB" w:bidi="ar-SA"/>
        </w:rPr>
      </w:pPr>
      <w:hyperlink w:anchor="_Toc36388952" w:history="1">
        <w:r w:rsidR="00231BBF" w:rsidRPr="001C59C6">
          <w:rPr>
            <w:rStyle w:val="Hyperlink"/>
            <w:noProof/>
            <w:lang w:val="en-GB"/>
          </w:rPr>
          <w:t>PRESENTATION OF FINANCIAL INFORMATION</w:t>
        </w:r>
        <w:r w:rsidR="00231BBF">
          <w:rPr>
            <w:noProof/>
            <w:webHidden/>
          </w:rPr>
          <w:tab/>
        </w:r>
        <w:r w:rsidR="00231BBF">
          <w:rPr>
            <w:noProof/>
            <w:webHidden/>
          </w:rPr>
          <w:fldChar w:fldCharType="begin"/>
        </w:r>
        <w:r w:rsidR="00231BBF">
          <w:rPr>
            <w:noProof/>
            <w:webHidden/>
          </w:rPr>
          <w:instrText xml:space="preserve"> PAGEREF _Toc36388952 \h </w:instrText>
        </w:r>
        <w:r w:rsidR="00231BBF">
          <w:rPr>
            <w:noProof/>
            <w:webHidden/>
          </w:rPr>
        </w:r>
        <w:r w:rsidR="00231BBF">
          <w:rPr>
            <w:noProof/>
            <w:webHidden/>
          </w:rPr>
          <w:fldChar w:fldCharType="separate"/>
        </w:r>
        <w:r w:rsidR="00FA6858">
          <w:rPr>
            <w:noProof/>
            <w:webHidden/>
          </w:rPr>
          <w:t>9</w:t>
        </w:r>
        <w:r w:rsidR="00231BBF">
          <w:rPr>
            <w:noProof/>
            <w:webHidden/>
          </w:rPr>
          <w:fldChar w:fldCharType="end"/>
        </w:r>
      </w:hyperlink>
    </w:p>
    <w:p w14:paraId="26B2527A" w14:textId="06344AD1" w:rsidR="00231BBF" w:rsidRDefault="00836D74">
      <w:pPr>
        <w:pStyle w:val="TOC1"/>
        <w:rPr>
          <w:rFonts w:asciiTheme="minorHAnsi" w:eastAsiaTheme="minorEastAsia" w:hAnsiTheme="minorHAnsi" w:cstheme="minorBidi"/>
          <w:noProof/>
          <w:sz w:val="22"/>
          <w:lang w:val="en-GB" w:eastAsia="en-GB" w:bidi="ar-SA"/>
        </w:rPr>
      </w:pPr>
      <w:hyperlink w:anchor="_Toc36388953" w:history="1">
        <w:r w:rsidR="00231BBF" w:rsidRPr="001C59C6">
          <w:rPr>
            <w:rStyle w:val="Hyperlink"/>
            <w:noProof/>
            <w:lang w:val="en-GB"/>
          </w:rPr>
          <w:t>INCORPORATION OF CERTAIN INFORMATION BY REFERENCE</w:t>
        </w:r>
        <w:r w:rsidR="00231BBF">
          <w:rPr>
            <w:noProof/>
            <w:webHidden/>
          </w:rPr>
          <w:tab/>
        </w:r>
        <w:r w:rsidR="00231BBF">
          <w:rPr>
            <w:noProof/>
            <w:webHidden/>
          </w:rPr>
          <w:fldChar w:fldCharType="begin"/>
        </w:r>
        <w:r w:rsidR="00231BBF">
          <w:rPr>
            <w:noProof/>
            <w:webHidden/>
          </w:rPr>
          <w:instrText xml:space="preserve"> PAGEREF _Toc36388953 \h </w:instrText>
        </w:r>
        <w:r w:rsidR="00231BBF">
          <w:rPr>
            <w:noProof/>
            <w:webHidden/>
          </w:rPr>
        </w:r>
        <w:r w:rsidR="00231BBF">
          <w:rPr>
            <w:noProof/>
            <w:webHidden/>
          </w:rPr>
          <w:fldChar w:fldCharType="separate"/>
        </w:r>
        <w:r w:rsidR="00FA6858">
          <w:rPr>
            <w:noProof/>
            <w:webHidden/>
          </w:rPr>
          <w:t>14</w:t>
        </w:r>
        <w:r w:rsidR="00231BBF">
          <w:rPr>
            <w:noProof/>
            <w:webHidden/>
          </w:rPr>
          <w:fldChar w:fldCharType="end"/>
        </w:r>
      </w:hyperlink>
    </w:p>
    <w:p w14:paraId="2212E2A5" w14:textId="1CFF5B7D" w:rsidR="00231BBF" w:rsidRDefault="00836D74">
      <w:pPr>
        <w:pStyle w:val="TOC1"/>
        <w:rPr>
          <w:rFonts w:asciiTheme="minorHAnsi" w:eastAsiaTheme="minorEastAsia" w:hAnsiTheme="minorHAnsi" w:cstheme="minorBidi"/>
          <w:noProof/>
          <w:sz w:val="22"/>
          <w:lang w:val="en-GB" w:eastAsia="en-GB" w:bidi="ar-SA"/>
        </w:rPr>
      </w:pPr>
      <w:hyperlink w:anchor="_Toc36388954" w:history="1">
        <w:r w:rsidR="00231BBF" w:rsidRPr="001C59C6">
          <w:rPr>
            <w:rStyle w:val="Hyperlink"/>
            <w:noProof/>
            <w:lang w:val="en-GB"/>
          </w:rPr>
          <w:t>OVERVIEW</w:t>
        </w:r>
        <w:r w:rsidR="00231BBF">
          <w:rPr>
            <w:noProof/>
            <w:webHidden/>
          </w:rPr>
          <w:tab/>
        </w:r>
        <w:r w:rsidR="00231BBF">
          <w:rPr>
            <w:noProof/>
            <w:webHidden/>
          </w:rPr>
          <w:fldChar w:fldCharType="begin"/>
        </w:r>
        <w:r w:rsidR="00231BBF">
          <w:rPr>
            <w:noProof/>
            <w:webHidden/>
          </w:rPr>
          <w:instrText xml:space="preserve"> PAGEREF _Toc36388954 \h </w:instrText>
        </w:r>
        <w:r w:rsidR="00231BBF">
          <w:rPr>
            <w:noProof/>
            <w:webHidden/>
          </w:rPr>
        </w:r>
        <w:r w:rsidR="00231BBF">
          <w:rPr>
            <w:noProof/>
            <w:webHidden/>
          </w:rPr>
          <w:fldChar w:fldCharType="separate"/>
        </w:r>
        <w:r w:rsidR="00FA6858">
          <w:rPr>
            <w:noProof/>
            <w:webHidden/>
          </w:rPr>
          <w:t>16</w:t>
        </w:r>
        <w:r w:rsidR="00231BBF">
          <w:rPr>
            <w:noProof/>
            <w:webHidden/>
          </w:rPr>
          <w:fldChar w:fldCharType="end"/>
        </w:r>
      </w:hyperlink>
    </w:p>
    <w:p w14:paraId="498DA2FE" w14:textId="700778BC" w:rsidR="00231BBF" w:rsidRDefault="00836D74">
      <w:pPr>
        <w:pStyle w:val="TOC1"/>
        <w:rPr>
          <w:rFonts w:asciiTheme="minorHAnsi" w:eastAsiaTheme="minorEastAsia" w:hAnsiTheme="minorHAnsi" w:cstheme="minorBidi"/>
          <w:noProof/>
          <w:sz w:val="22"/>
          <w:lang w:val="en-GB" w:eastAsia="en-GB" w:bidi="ar-SA"/>
        </w:rPr>
      </w:pPr>
      <w:hyperlink w:anchor="_Toc36388955" w:history="1">
        <w:r w:rsidR="00231BBF" w:rsidRPr="001C59C6">
          <w:rPr>
            <w:rStyle w:val="Hyperlink"/>
            <w:noProof/>
            <w:lang w:val="en-GB"/>
          </w:rPr>
          <w:t>SUMMARY FINANCIAL INFORMATION</w:t>
        </w:r>
        <w:r w:rsidR="00231BBF">
          <w:rPr>
            <w:noProof/>
            <w:webHidden/>
          </w:rPr>
          <w:tab/>
        </w:r>
        <w:r w:rsidR="00231BBF">
          <w:rPr>
            <w:noProof/>
            <w:webHidden/>
          </w:rPr>
          <w:fldChar w:fldCharType="begin"/>
        </w:r>
        <w:r w:rsidR="00231BBF">
          <w:rPr>
            <w:noProof/>
            <w:webHidden/>
          </w:rPr>
          <w:instrText xml:space="preserve"> PAGEREF _Toc36388955 \h </w:instrText>
        </w:r>
        <w:r w:rsidR="00231BBF">
          <w:rPr>
            <w:noProof/>
            <w:webHidden/>
          </w:rPr>
        </w:r>
        <w:r w:rsidR="00231BBF">
          <w:rPr>
            <w:noProof/>
            <w:webHidden/>
          </w:rPr>
          <w:fldChar w:fldCharType="separate"/>
        </w:r>
        <w:r w:rsidR="00FA6858">
          <w:rPr>
            <w:noProof/>
            <w:webHidden/>
          </w:rPr>
          <w:t>23</w:t>
        </w:r>
        <w:r w:rsidR="00231BBF">
          <w:rPr>
            <w:noProof/>
            <w:webHidden/>
          </w:rPr>
          <w:fldChar w:fldCharType="end"/>
        </w:r>
      </w:hyperlink>
    </w:p>
    <w:p w14:paraId="59B2B5F3" w14:textId="292A1C71" w:rsidR="00231BBF" w:rsidRDefault="00836D74">
      <w:pPr>
        <w:pStyle w:val="TOC1"/>
        <w:rPr>
          <w:rFonts w:asciiTheme="minorHAnsi" w:eastAsiaTheme="minorEastAsia" w:hAnsiTheme="minorHAnsi" w:cstheme="minorBidi"/>
          <w:noProof/>
          <w:sz w:val="22"/>
          <w:lang w:val="en-GB" w:eastAsia="en-GB" w:bidi="ar-SA"/>
        </w:rPr>
      </w:pPr>
      <w:hyperlink w:anchor="_Toc36388956" w:history="1">
        <w:r w:rsidR="00231BBF" w:rsidRPr="001C59C6">
          <w:rPr>
            <w:rStyle w:val="Hyperlink"/>
            <w:noProof/>
            <w:lang w:val="en-GB"/>
          </w:rPr>
          <w:t>RISK FACTORS</w:t>
        </w:r>
        <w:r w:rsidR="00231BBF">
          <w:rPr>
            <w:noProof/>
            <w:webHidden/>
          </w:rPr>
          <w:tab/>
        </w:r>
        <w:r w:rsidR="00231BBF">
          <w:rPr>
            <w:noProof/>
            <w:webHidden/>
          </w:rPr>
          <w:fldChar w:fldCharType="begin"/>
        </w:r>
        <w:r w:rsidR="00231BBF">
          <w:rPr>
            <w:noProof/>
            <w:webHidden/>
          </w:rPr>
          <w:instrText xml:space="preserve"> PAGEREF _Toc36388956 \h </w:instrText>
        </w:r>
        <w:r w:rsidR="00231BBF">
          <w:rPr>
            <w:noProof/>
            <w:webHidden/>
          </w:rPr>
        </w:r>
        <w:r w:rsidR="00231BBF">
          <w:rPr>
            <w:noProof/>
            <w:webHidden/>
          </w:rPr>
          <w:fldChar w:fldCharType="separate"/>
        </w:r>
        <w:r w:rsidR="00FA6858">
          <w:rPr>
            <w:noProof/>
            <w:webHidden/>
          </w:rPr>
          <w:t>24</w:t>
        </w:r>
        <w:r w:rsidR="00231BBF">
          <w:rPr>
            <w:noProof/>
            <w:webHidden/>
          </w:rPr>
          <w:fldChar w:fldCharType="end"/>
        </w:r>
      </w:hyperlink>
    </w:p>
    <w:p w14:paraId="37FB16A7" w14:textId="78F84638" w:rsidR="00231BBF" w:rsidRDefault="00836D74">
      <w:pPr>
        <w:pStyle w:val="TOC1"/>
        <w:rPr>
          <w:rFonts w:asciiTheme="minorHAnsi" w:eastAsiaTheme="minorEastAsia" w:hAnsiTheme="minorHAnsi" w:cstheme="minorBidi"/>
          <w:noProof/>
          <w:sz w:val="22"/>
          <w:lang w:val="en-GB" w:eastAsia="en-GB" w:bidi="ar-SA"/>
        </w:rPr>
      </w:pPr>
      <w:hyperlink w:anchor="_Toc36388957" w:history="1">
        <w:r w:rsidR="00231BBF" w:rsidRPr="001C59C6">
          <w:rPr>
            <w:rStyle w:val="Hyperlink"/>
            <w:noProof/>
            <w:lang w:val="en-GB"/>
          </w:rPr>
          <w:t>CAPITALIZATION</w:t>
        </w:r>
        <w:r w:rsidR="00231BBF">
          <w:rPr>
            <w:noProof/>
            <w:webHidden/>
          </w:rPr>
          <w:tab/>
        </w:r>
        <w:r w:rsidR="00231BBF">
          <w:rPr>
            <w:noProof/>
            <w:webHidden/>
          </w:rPr>
          <w:fldChar w:fldCharType="begin"/>
        </w:r>
        <w:r w:rsidR="00231BBF">
          <w:rPr>
            <w:noProof/>
            <w:webHidden/>
          </w:rPr>
          <w:instrText xml:space="preserve"> PAGEREF _Toc36388957 \h </w:instrText>
        </w:r>
        <w:r w:rsidR="00231BBF">
          <w:rPr>
            <w:noProof/>
            <w:webHidden/>
          </w:rPr>
        </w:r>
        <w:r w:rsidR="00231BBF">
          <w:rPr>
            <w:noProof/>
            <w:webHidden/>
          </w:rPr>
          <w:fldChar w:fldCharType="separate"/>
        </w:r>
        <w:r w:rsidR="00FA6858">
          <w:rPr>
            <w:noProof/>
            <w:webHidden/>
          </w:rPr>
          <w:t>36</w:t>
        </w:r>
        <w:r w:rsidR="00231BBF">
          <w:rPr>
            <w:noProof/>
            <w:webHidden/>
          </w:rPr>
          <w:fldChar w:fldCharType="end"/>
        </w:r>
      </w:hyperlink>
    </w:p>
    <w:p w14:paraId="36A0C34F" w14:textId="40E2CB34" w:rsidR="00231BBF" w:rsidRDefault="00836D74">
      <w:pPr>
        <w:pStyle w:val="TOC1"/>
        <w:rPr>
          <w:rFonts w:asciiTheme="minorHAnsi" w:eastAsiaTheme="minorEastAsia" w:hAnsiTheme="minorHAnsi" w:cstheme="minorBidi"/>
          <w:noProof/>
          <w:sz w:val="22"/>
          <w:lang w:val="en-GB" w:eastAsia="en-GB" w:bidi="ar-SA"/>
        </w:rPr>
      </w:pPr>
      <w:hyperlink w:anchor="_Toc36388958" w:history="1">
        <w:r w:rsidR="00231BBF" w:rsidRPr="001C59C6">
          <w:rPr>
            <w:rStyle w:val="Hyperlink"/>
            <w:noProof/>
            <w:lang w:val="en-GB"/>
          </w:rPr>
          <w:t>RECENT DEVELOPMENTS</w:t>
        </w:r>
        <w:r w:rsidR="00231BBF">
          <w:rPr>
            <w:noProof/>
            <w:webHidden/>
          </w:rPr>
          <w:tab/>
        </w:r>
        <w:r w:rsidR="00231BBF">
          <w:rPr>
            <w:noProof/>
            <w:webHidden/>
          </w:rPr>
          <w:fldChar w:fldCharType="begin"/>
        </w:r>
        <w:r w:rsidR="00231BBF">
          <w:rPr>
            <w:noProof/>
            <w:webHidden/>
          </w:rPr>
          <w:instrText xml:space="preserve"> PAGEREF _Toc36388958 \h </w:instrText>
        </w:r>
        <w:r w:rsidR="00231BBF">
          <w:rPr>
            <w:noProof/>
            <w:webHidden/>
          </w:rPr>
        </w:r>
        <w:r w:rsidR="00231BBF">
          <w:rPr>
            <w:noProof/>
            <w:webHidden/>
          </w:rPr>
          <w:fldChar w:fldCharType="separate"/>
        </w:r>
        <w:r w:rsidR="00FA6858">
          <w:rPr>
            <w:noProof/>
            <w:webHidden/>
          </w:rPr>
          <w:t>37</w:t>
        </w:r>
        <w:r w:rsidR="00231BBF">
          <w:rPr>
            <w:noProof/>
            <w:webHidden/>
          </w:rPr>
          <w:fldChar w:fldCharType="end"/>
        </w:r>
      </w:hyperlink>
    </w:p>
    <w:p w14:paraId="507181D8" w14:textId="0A09FA0A" w:rsidR="00231BBF" w:rsidRDefault="00836D74">
      <w:pPr>
        <w:pStyle w:val="TOC1"/>
        <w:rPr>
          <w:rFonts w:asciiTheme="minorHAnsi" w:eastAsiaTheme="minorEastAsia" w:hAnsiTheme="minorHAnsi" w:cstheme="minorBidi"/>
          <w:noProof/>
          <w:sz w:val="22"/>
          <w:lang w:val="en-GB" w:eastAsia="en-GB" w:bidi="ar-SA"/>
        </w:rPr>
      </w:pPr>
      <w:hyperlink w:anchor="_Toc36388959" w:history="1">
        <w:r w:rsidR="00231BBF" w:rsidRPr="001C59C6">
          <w:rPr>
            <w:rStyle w:val="Hyperlink"/>
            <w:noProof/>
            <w:lang w:val="en-GB"/>
          </w:rPr>
          <w:t>USE OF PROCEEDS</w:t>
        </w:r>
        <w:r w:rsidR="00231BBF">
          <w:rPr>
            <w:noProof/>
            <w:webHidden/>
          </w:rPr>
          <w:tab/>
        </w:r>
        <w:r w:rsidR="00231BBF">
          <w:rPr>
            <w:noProof/>
            <w:webHidden/>
          </w:rPr>
          <w:fldChar w:fldCharType="begin"/>
        </w:r>
        <w:r w:rsidR="00231BBF">
          <w:rPr>
            <w:noProof/>
            <w:webHidden/>
          </w:rPr>
          <w:instrText xml:space="preserve"> PAGEREF _Toc36388959 \h </w:instrText>
        </w:r>
        <w:r w:rsidR="00231BBF">
          <w:rPr>
            <w:noProof/>
            <w:webHidden/>
          </w:rPr>
        </w:r>
        <w:r w:rsidR="00231BBF">
          <w:rPr>
            <w:noProof/>
            <w:webHidden/>
          </w:rPr>
          <w:fldChar w:fldCharType="separate"/>
        </w:r>
        <w:r w:rsidR="00FA6858">
          <w:rPr>
            <w:noProof/>
            <w:webHidden/>
          </w:rPr>
          <w:t>39</w:t>
        </w:r>
        <w:r w:rsidR="00231BBF">
          <w:rPr>
            <w:noProof/>
            <w:webHidden/>
          </w:rPr>
          <w:fldChar w:fldCharType="end"/>
        </w:r>
      </w:hyperlink>
    </w:p>
    <w:p w14:paraId="2D8F14A3" w14:textId="02550088" w:rsidR="00231BBF" w:rsidRDefault="00836D74">
      <w:pPr>
        <w:pStyle w:val="TOC1"/>
        <w:rPr>
          <w:rFonts w:asciiTheme="minorHAnsi" w:eastAsiaTheme="minorEastAsia" w:hAnsiTheme="minorHAnsi" w:cstheme="minorBidi"/>
          <w:noProof/>
          <w:sz w:val="22"/>
          <w:lang w:val="en-GB" w:eastAsia="en-GB" w:bidi="ar-SA"/>
        </w:rPr>
      </w:pPr>
      <w:hyperlink w:anchor="_Toc36388960" w:history="1">
        <w:r w:rsidR="00231BBF" w:rsidRPr="001C59C6">
          <w:rPr>
            <w:rStyle w:val="Hyperlink"/>
            <w:noProof/>
            <w:lang w:val="en-GB"/>
          </w:rPr>
          <w:t>BUSINESS DESCRIPTION</w:t>
        </w:r>
        <w:r w:rsidR="00231BBF">
          <w:rPr>
            <w:noProof/>
            <w:webHidden/>
          </w:rPr>
          <w:tab/>
        </w:r>
        <w:r w:rsidR="00231BBF">
          <w:rPr>
            <w:noProof/>
            <w:webHidden/>
          </w:rPr>
          <w:fldChar w:fldCharType="begin"/>
        </w:r>
        <w:r w:rsidR="00231BBF">
          <w:rPr>
            <w:noProof/>
            <w:webHidden/>
          </w:rPr>
          <w:instrText xml:space="preserve"> PAGEREF _Toc36388960 \h </w:instrText>
        </w:r>
        <w:r w:rsidR="00231BBF">
          <w:rPr>
            <w:noProof/>
            <w:webHidden/>
          </w:rPr>
        </w:r>
        <w:r w:rsidR="00231BBF">
          <w:rPr>
            <w:noProof/>
            <w:webHidden/>
          </w:rPr>
          <w:fldChar w:fldCharType="separate"/>
        </w:r>
        <w:r w:rsidR="00FA6858">
          <w:rPr>
            <w:noProof/>
            <w:webHidden/>
          </w:rPr>
          <w:t>40</w:t>
        </w:r>
        <w:r w:rsidR="00231BBF">
          <w:rPr>
            <w:noProof/>
            <w:webHidden/>
          </w:rPr>
          <w:fldChar w:fldCharType="end"/>
        </w:r>
      </w:hyperlink>
    </w:p>
    <w:p w14:paraId="65176A88" w14:textId="67CD65A2" w:rsidR="00231BBF" w:rsidRDefault="00836D74">
      <w:pPr>
        <w:pStyle w:val="TOC1"/>
        <w:rPr>
          <w:rFonts w:asciiTheme="minorHAnsi" w:eastAsiaTheme="minorEastAsia" w:hAnsiTheme="minorHAnsi" w:cstheme="minorBidi"/>
          <w:noProof/>
          <w:sz w:val="22"/>
          <w:lang w:val="en-GB" w:eastAsia="en-GB" w:bidi="ar-SA"/>
        </w:rPr>
      </w:pPr>
      <w:hyperlink w:anchor="_Toc36388961" w:history="1">
        <w:r w:rsidR="00231BBF" w:rsidRPr="001C59C6">
          <w:rPr>
            <w:rStyle w:val="Hyperlink"/>
            <w:noProof/>
            <w:lang w:val="en-GB"/>
          </w:rPr>
          <w:t>MINERAL PRODUCTION</w:t>
        </w:r>
        <w:r w:rsidR="00231BBF">
          <w:rPr>
            <w:noProof/>
            <w:webHidden/>
          </w:rPr>
          <w:tab/>
        </w:r>
        <w:r w:rsidR="00231BBF">
          <w:rPr>
            <w:noProof/>
            <w:webHidden/>
          </w:rPr>
          <w:fldChar w:fldCharType="begin"/>
        </w:r>
        <w:r w:rsidR="00231BBF">
          <w:rPr>
            <w:noProof/>
            <w:webHidden/>
          </w:rPr>
          <w:instrText xml:space="preserve"> PAGEREF _Toc36388961 \h </w:instrText>
        </w:r>
        <w:r w:rsidR="00231BBF">
          <w:rPr>
            <w:noProof/>
            <w:webHidden/>
          </w:rPr>
        </w:r>
        <w:r w:rsidR="00231BBF">
          <w:rPr>
            <w:noProof/>
            <w:webHidden/>
          </w:rPr>
          <w:fldChar w:fldCharType="separate"/>
        </w:r>
        <w:r w:rsidR="00FA6858">
          <w:rPr>
            <w:noProof/>
            <w:webHidden/>
          </w:rPr>
          <w:t>55</w:t>
        </w:r>
        <w:r w:rsidR="00231BBF">
          <w:rPr>
            <w:noProof/>
            <w:webHidden/>
          </w:rPr>
          <w:fldChar w:fldCharType="end"/>
        </w:r>
      </w:hyperlink>
    </w:p>
    <w:p w14:paraId="4E5EE1E2" w14:textId="4D85079D" w:rsidR="00231BBF" w:rsidRDefault="00836D74">
      <w:pPr>
        <w:pStyle w:val="TOC1"/>
        <w:rPr>
          <w:rFonts w:asciiTheme="minorHAnsi" w:eastAsiaTheme="minorEastAsia" w:hAnsiTheme="minorHAnsi" w:cstheme="minorBidi"/>
          <w:noProof/>
          <w:sz w:val="22"/>
          <w:lang w:val="en-GB" w:eastAsia="en-GB" w:bidi="ar-SA"/>
        </w:rPr>
      </w:pPr>
      <w:hyperlink w:anchor="_Toc36388962" w:history="1">
        <w:r w:rsidR="00231BBF" w:rsidRPr="001C59C6">
          <w:rPr>
            <w:rStyle w:val="Hyperlink"/>
            <w:noProof/>
            <w:lang w:val="en-GB"/>
          </w:rPr>
          <w:t>INDUSTRY OVERVIEW</w:t>
        </w:r>
        <w:r w:rsidR="00231BBF">
          <w:rPr>
            <w:noProof/>
            <w:webHidden/>
          </w:rPr>
          <w:tab/>
        </w:r>
        <w:r w:rsidR="00231BBF">
          <w:rPr>
            <w:noProof/>
            <w:webHidden/>
          </w:rPr>
          <w:fldChar w:fldCharType="begin"/>
        </w:r>
        <w:r w:rsidR="00231BBF">
          <w:rPr>
            <w:noProof/>
            <w:webHidden/>
          </w:rPr>
          <w:instrText xml:space="preserve"> PAGEREF _Toc36388962 \h </w:instrText>
        </w:r>
        <w:r w:rsidR="00231BBF">
          <w:rPr>
            <w:noProof/>
            <w:webHidden/>
          </w:rPr>
        </w:r>
        <w:r w:rsidR="00231BBF">
          <w:rPr>
            <w:noProof/>
            <w:webHidden/>
          </w:rPr>
          <w:fldChar w:fldCharType="separate"/>
        </w:r>
        <w:r w:rsidR="00FA6858">
          <w:rPr>
            <w:noProof/>
            <w:webHidden/>
          </w:rPr>
          <w:t>57</w:t>
        </w:r>
        <w:r w:rsidR="00231BBF">
          <w:rPr>
            <w:noProof/>
            <w:webHidden/>
          </w:rPr>
          <w:fldChar w:fldCharType="end"/>
        </w:r>
      </w:hyperlink>
    </w:p>
    <w:p w14:paraId="290C8C52" w14:textId="1E921D5B" w:rsidR="00231BBF" w:rsidRDefault="00836D74">
      <w:pPr>
        <w:pStyle w:val="TOC1"/>
        <w:rPr>
          <w:rFonts w:asciiTheme="minorHAnsi" w:eastAsiaTheme="minorEastAsia" w:hAnsiTheme="minorHAnsi" w:cstheme="minorBidi"/>
          <w:noProof/>
          <w:sz w:val="22"/>
          <w:lang w:val="en-GB" w:eastAsia="en-GB" w:bidi="ar-SA"/>
        </w:rPr>
      </w:pPr>
      <w:hyperlink w:anchor="_Toc36388963" w:history="1">
        <w:r w:rsidR="00231BBF" w:rsidRPr="001C59C6">
          <w:rPr>
            <w:rStyle w:val="Hyperlink"/>
            <w:noProof/>
            <w:lang w:val="en-GB"/>
          </w:rPr>
          <w:t>SELECTED FINANCIAL INFORMATION</w:t>
        </w:r>
        <w:r w:rsidR="00231BBF">
          <w:rPr>
            <w:noProof/>
            <w:webHidden/>
          </w:rPr>
          <w:tab/>
        </w:r>
        <w:r w:rsidR="00231BBF">
          <w:rPr>
            <w:noProof/>
            <w:webHidden/>
          </w:rPr>
          <w:fldChar w:fldCharType="begin"/>
        </w:r>
        <w:r w:rsidR="00231BBF">
          <w:rPr>
            <w:noProof/>
            <w:webHidden/>
          </w:rPr>
          <w:instrText xml:space="preserve"> PAGEREF _Toc36388963 \h </w:instrText>
        </w:r>
        <w:r w:rsidR="00231BBF">
          <w:rPr>
            <w:noProof/>
            <w:webHidden/>
          </w:rPr>
        </w:r>
        <w:r w:rsidR="00231BBF">
          <w:rPr>
            <w:noProof/>
            <w:webHidden/>
          </w:rPr>
          <w:fldChar w:fldCharType="separate"/>
        </w:r>
        <w:r w:rsidR="00FA6858">
          <w:rPr>
            <w:noProof/>
            <w:webHidden/>
          </w:rPr>
          <w:t>60</w:t>
        </w:r>
        <w:r w:rsidR="00231BBF">
          <w:rPr>
            <w:noProof/>
            <w:webHidden/>
          </w:rPr>
          <w:fldChar w:fldCharType="end"/>
        </w:r>
      </w:hyperlink>
    </w:p>
    <w:p w14:paraId="616FEADF" w14:textId="57287B5E" w:rsidR="00231BBF" w:rsidRDefault="00836D74">
      <w:pPr>
        <w:pStyle w:val="TOC1"/>
        <w:rPr>
          <w:rFonts w:asciiTheme="minorHAnsi" w:eastAsiaTheme="minorEastAsia" w:hAnsiTheme="minorHAnsi" w:cstheme="minorBidi"/>
          <w:noProof/>
          <w:sz w:val="22"/>
          <w:lang w:val="en-GB" w:eastAsia="en-GB" w:bidi="ar-SA"/>
        </w:rPr>
      </w:pPr>
      <w:hyperlink w:anchor="_Toc36388964" w:history="1">
        <w:r w:rsidR="00231BBF" w:rsidRPr="001C59C6">
          <w:rPr>
            <w:rStyle w:val="Hyperlink"/>
            <w:noProof/>
            <w:lang w:val="en-GB"/>
          </w:rPr>
          <w:t>OPERATING AND FINANCIAL REVIEW</w:t>
        </w:r>
        <w:r w:rsidR="00231BBF">
          <w:rPr>
            <w:noProof/>
            <w:webHidden/>
          </w:rPr>
          <w:tab/>
        </w:r>
        <w:r w:rsidR="00231BBF">
          <w:rPr>
            <w:noProof/>
            <w:webHidden/>
          </w:rPr>
          <w:fldChar w:fldCharType="begin"/>
        </w:r>
        <w:r w:rsidR="00231BBF">
          <w:rPr>
            <w:noProof/>
            <w:webHidden/>
          </w:rPr>
          <w:instrText xml:space="preserve"> PAGEREF _Toc36388964 \h </w:instrText>
        </w:r>
        <w:r w:rsidR="00231BBF">
          <w:rPr>
            <w:noProof/>
            <w:webHidden/>
          </w:rPr>
        </w:r>
        <w:r w:rsidR="00231BBF">
          <w:rPr>
            <w:noProof/>
            <w:webHidden/>
          </w:rPr>
          <w:fldChar w:fldCharType="separate"/>
        </w:r>
        <w:r w:rsidR="00FA6858">
          <w:rPr>
            <w:noProof/>
            <w:webHidden/>
          </w:rPr>
          <w:t>61</w:t>
        </w:r>
        <w:r w:rsidR="00231BBF">
          <w:rPr>
            <w:noProof/>
            <w:webHidden/>
          </w:rPr>
          <w:fldChar w:fldCharType="end"/>
        </w:r>
      </w:hyperlink>
    </w:p>
    <w:p w14:paraId="1D9258FC" w14:textId="5786A818" w:rsidR="00231BBF" w:rsidRDefault="00836D74">
      <w:pPr>
        <w:pStyle w:val="TOC1"/>
        <w:rPr>
          <w:rFonts w:asciiTheme="minorHAnsi" w:eastAsiaTheme="minorEastAsia" w:hAnsiTheme="minorHAnsi" w:cstheme="minorBidi"/>
          <w:noProof/>
          <w:sz w:val="22"/>
          <w:lang w:val="en-GB" w:eastAsia="en-GB" w:bidi="ar-SA"/>
        </w:rPr>
      </w:pPr>
      <w:hyperlink w:anchor="_Toc36388965" w:history="1">
        <w:r w:rsidR="00231BBF" w:rsidRPr="001C59C6">
          <w:rPr>
            <w:rStyle w:val="Hyperlink"/>
            <w:noProof/>
            <w:lang w:val="en-GB"/>
          </w:rPr>
          <w:t>REGULATION</w:t>
        </w:r>
        <w:r w:rsidR="00231BBF">
          <w:rPr>
            <w:noProof/>
            <w:webHidden/>
          </w:rPr>
          <w:tab/>
        </w:r>
        <w:r w:rsidR="00231BBF">
          <w:rPr>
            <w:noProof/>
            <w:webHidden/>
          </w:rPr>
          <w:fldChar w:fldCharType="begin"/>
        </w:r>
        <w:r w:rsidR="00231BBF">
          <w:rPr>
            <w:noProof/>
            <w:webHidden/>
          </w:rPr>
          <w:instrText xml:space="preserve"> PAGEREF _Toc36388965 \h </w:instrText>
        </w:r>
        <w:r w:rsidR="00231BBF">
          <w:rPr>
            <w:noProof/>
            <w:webHidden/>
          </w:rPr>
        </w:r>
        <w:r w:rsidR="00231BBF">
          <w:rPr>
            <w:noProof/>
            <w:webHidden/>
          </w:rPr>
          <w:fldChar w:fldCharType="separate"/>
        </w:r>
        <w:r w:rsidR="00FA6858">
          <w:rPr>
            <w:noProof/>
            <w:webHidden/>
          </w:rPr>
          <w:t>87</w:t>
        </w:r>
        <w:r w:rsidR="00231BBF">
          <w:rPr>
            <w:noProof/>
            <w:webHidden/>
          </w:rPr>
          <w:fldChar w:fldCharType="end"/>
        </w:r>
      </w:hyperlink>
    </w:p>
    <w:p w14:paraId="126C8B93" w14:textId="216158EE" w:rsidR="00231BBF" w:rsidRDefault="00836D74">
      <w:pPr>
        <w:pStyle w:val="TOC1"/>
        <w:rPr>
          <w:rFonts w:asciiTheme="minorHAnsi" w:eastAsiaTheme="minorEastAsia" w:hAnsiTheme="minorHAnsi" w:cstheme="minorBidi"/>
          <w:noProof/>
          <w:sz w:val="22"/>
          <w:lang w:val="en-GB" w:eastAsia="en-GB" w:bidi="ar-SA"/>
        </w:rPr>
      </w:pPr>
      <w:hyperlink w:anchor="_Toc36388966" w:history="1">
        <w:r w:rsidR="00231BBF" w:rsidRPr="001C59C6">
          <w:rPr>
            <w:rStyle w:val="Hyperlink"/>
            <w:noProof/>
            <w:lang w:val="en-GB"/>
          </w:rPr>
          <w:t>SUSTAINABLE DEVELOPMENT (INCLUDING SAFETY, HEALTH, ENVIRONMENT AND SOCIAL)</w:t>
        </w:r>
        <w:r w:rsidR="00231BBF">
          <w:rPr>
            <w:noProof/>
            <w:webHidden/>
          </w:rPr>
          <w:tab/>
        </w:r>
        <w:r w:rsidR="00231BBF">
          <w:rPr>
            <w:noProof/>
            <w:webHidden/>
          </w:rPr>
          <w:fldChar w:fldCharType="begin"/>
        </w:r>
        <w:r w:rsidR="00231BBF">
          <w:rPr>
            <w:noProof/>
            <w:webHidden/>
          </w:rPr>
          <w:instrText xml:space="preserve"> PAGEREF _Toc36388966 \h </w:instrText>
        </w:r>
        <w:r w:rsidR="00231BBF">
          <w:rPr>
            <w:noProof/>
            <w:webHidden/>
          </w:rPr>
        </w:r>
        <w:r w:rsidR="00231BBF">
          <w:rPr>
            <w:noProof/>
            <w:webHidden/>
          </w:rPr>
          <w:fldChar w:fldCharType="separate"/>
        </w:r>
        <w:r w:rsidR="00FA6858">
          <w:rPr>
            <w:noProof/>
            <w:webHidden/>
          </w:rPr>
          <w:t>91</w:t>
        </w:r>
        <w:r w:rsidR="00231BBF">
          <w:rPr>
            <w:noProof/>
            <w:webHidden/>
          </w:rPr>
          <w:fldChar w:fldCharType="end"/>
        </w:r>
      </w:hyperlink>
    </w:p>
    <w:p w14:paraId="69333994" w14:textId="54068318" w:rsidR="00231BBF" w:rsidRDefault="00836D74">
      <w:pPr>
        <w:pStyle w:val="TOC1"/>
        <w:rPr>
          <w:rFonts w:asciiTheme="minorHAnsi" w:eastAsiaTheme="minorEastAsia" w:hAnsiTheme="minorHAnsi" w:cstheme="minorBidi"/>
          <w:noProof/>
          <w:sz w:val="22"/>
          <w:lang w:val="en-GB" w:eastAsia="en-GB" w:bidi="ar-SA"/>
        </w:rPr>
      </w:pPr>
      <w:hyperlink w:anchor="_Toc36388967" w:history="1">
        <w:r w:rsidR="00231BBF" w:rsidRPr="001C59C6">
          <w:rPr>
            <w:rStyle w:val="Hyperlink"/>
            <w:noProof/>
            <w:lang w:val="en-GB"/>
          </w:rPr>
          <w:t>BOARD OF DIRECTORS AND MANAGEMENT OF ANGLO AMERICAN PLC</w:t>
        </w:r>
        <w:r w:rsidR="00231BBF">
          <w:rPr>
            <w:noProof/>
            <w:webHidden/>
          </w:rPr>
          <w:tab/>
        </w:r>
        <w:r w:rsidR="00231BBF">
          <w:rPr>
            <w:noProof/>
            <w:webHidden/>
          </w:rPr>
          <w:fldChar w:fldCharType="begin"/>
        </w:r>
        <w:r w:rsidR="00231BBF">
          <w:rPr>
            <w:noProof/>
            <w:webHidden/>
          </w:rPr>
          <w:instrText xml:space="preserve"> PAGEREF _Toc36388967 \h </w:instrText>
        </w:r>
        <w:r w:rsidR="00231BBF">
          <w:rPr>
            <w:noProof/>
            <w:webHidden/>
          </w:rPr>
        </w:r>
        <w:r w:rsidR="00231BBF">
          <w:rPr>
            <w:noProof/>
            <w:webHidden/>
          </w:rPr>
          <w:fldChar w:fldCharType="separate"/>
        </w:r>
        <w:r w:rsidR="00FA6858">
          <w:rPr>
            <w:noProof/>
            <w:webHidden/>
          </w:rPr>
          <w:t>95</w:t>
        </w:r>
        <w:r w:rsidR="00231BBF">
          <w:rPr>
            <w:noProof/>
            <w:webHidden/>
          </w:rPr>
          <w:fldChar w:fldCharType="end"/>
        </w:r>
      </w:hyperlink>
    </w:p>
    <w:p w14:paraId="6D34BEED" w14:textId="139E0405" w:rsidR="00231BBF" w:rsidRDefault="00836D74">
      <w:pPr>
        <w:pStyle w:val="TOC1"/>
        <w:rPr>
          <w:rFonts w:asciiTheme="minorHAnsi" w:eastAsiaTheme="minorEastAsia" w:hAnsiTheme="minorHAnsi" w:cstheme="minorBidi"/>
          <w:noProof/>
          <w:sz w:val="22"/>
          <w:lang w:val="en-GB" w:eastAsia="en-GB" w:bidi="ar-SA"/>
        </w:rPr>
      </w:pPr>
      <w:hyperlink w:anchor="_Toc36388968" w:history="1">
        <w:r w:rsidR="00231BBF" w:rsidRPr="001C59C6">
          <w:rPr>
            <w:rStyle w:val="Hyperlink"/>
            <w:noProof/>
            <w:lang w:val="en-GB"/>
          </w:rPr>
          <w:t>RELATED PARTY TRANSACTIONS</w:t>
        </w:r>
        <w:r w:rsidR="00231BBF">
          <w:rPr>
            <w:noProof/>
            <w:webHidden/>
          </w:rPr>
          <w:tab/>
        </w:r>
        <w:r w:rsidR="00231BBF">
          <w:rPr>
            <w:noProof/>
            <w:webHidden/>
          </w:rPr>
          <w:fldChar w:fldCharType="begin"/>
        </w:r>
        <w:r w:rsidR="00231BBF">
          <w:rPr>
            <w:noProof/>
            <w:webHidden/>
          </w:rPr>
          <w:instrText xml:space="preserve"> PAGEREF _Toc36388968 \h </w:instrText>
        </w:r>
        <w:r w:rsidR="00231BBF">
          <w:rPr>
            <w:noProof/>
            <w:webHidden/>
          </w:rPr>
        </w:r>
        <w:r w:rsidR="00231BBF">
          <w:rPr>
            <w:noProof/>
            <w:webHidden/>
          </w:rPr>
          <w:fldChar w:fldCharType="separate"/>
        </w:r>
        <w:r w:rsidR="00FA6858">
          <w:rPr>
            <w:noProof/>
            <w:webHidden/>
          </w:rPr>
          <w:t>103</w:t>
        </w:r>
        <w:r w:rsidR="00231BBF">
          <w:rPr>
            <w:noProof/>
            <w:webHidden/>
          </w:rPr>
          <w:fldChar w:fldCharType="end"/>
        </w:r>
      </w:hyperlink>
    </w:p>
    <w:p w14:paraId="1B8D73F9" w14:textId="37E38F05" w:rsidR="00231BBF" w:rsidRDefault="00836D74">
      <w:pPr>
        <w:pStyle w:val="TOC1"/>
        <w:rPr>
          <w:rFonts w:asciiTheme="minorHAnsi" w:eastAsiaTheme="minorEastAsia" w:hAnsiTheme="minorHAnsi" w:cstheme="minorBidi"/>
          <w:noProof/>
          <w:sz w:val="22"/>
          <w:lang w:val="en-GB" w:eastAsia="en-GB" w:bidi="ar-SA"/>
        </w:rPr>
      </w:pPr>
      <w:hyperlink w:anchor="_Toc36388969" w:history="1">
        <w:r w:rsidR="00231BBF" w:rsidRPr="001C59C6">
          <w:rPr>
            <w:rStyle w:val="Hyperlink"/>
            <w:noProof/>
            <w:lang w:val="en-GB"/>
          </w:rPr>
          <w:t>DESCRIPTION OF THE NOTES AND THE GUARANTEES</w:t>
        </w:r>
        <w:r w:rsidR="00231BBF">
          <w:rPr>
            <w:noProof/>
            <w:webHidden/>
          </w:rPr>
          <w:tab/>
        </w:r>
        <w:r w:rsidR="00231BBF">
          <w:rPr>
            <w:noProof/>
            <w:webHidden/>
          </w:rPr>
          <w:fldChar w:fldCharType="begin"/>
        </w:r>
        <w:r w:rsidR="00231BBF">
          <w:rPr>
            <w:noProof/>
            <w:webHidden/>
          </w:rPr>
          <w:instrText xml:space="preserve"> PAGEREF _Toc36388969 \h </w:instrText>
        </w:r>
        <w:r w:rsidR="00231BBF">
          <w:rPr>
            <w:noProof/>
            <w:webHidden/>
          </w:rPr>
        </w:r>
        <w:r w:rsidR="00231BBF">
          <w:rPr>
            <w:noProof/>
            <w:webHidden/>
          </w:rPr>
          <w:fldChar w:fldCharType="separate"/>
        </w:r>
        <w:r w:rsidR="00FA6858">
          <w:rPr>
            <w:noProof/>
            <w:webHidden/>
          </w:rPr>
          <w:t>105</w:t>
        </w:r>
        <w:r w:rsidR="00231BBF">
          <w:rPr>
            <w:noProof/>
            <w:webHidden/>
          </w:rPr>
          <w:fldChar w:fldCharType="end"/>
        </w:r>
      </w:hyperlink>
    </w:p>
    <w:p w14:paraId="1CA6E443" w14:textId="547FEFDE" w:rsidR="00231BBF" w:rsidRDefault="00836D74">
      <w:pPr>
        <w:pStyle w:val="TOC1"/>
        <w:rPr>
          <w:rFonts w:asciiTheme="minorHAnsi" w:eastAsiaTheme="minorEastAsia" w:hAnsiTheme="minorHAnsi" w:cstheme="minorBidi"/>
          <w:noProof/>
          <w:sz w:val="22"/>
          <w:lang w:val="en-GB" w:eastAsia="en-GB" w:bidi="ar-SA"/>
        </w:rPr>
      </w:pPr>
      <w:hyperlink w:anchor="_Toc36388970" w:history="1">
        <w:r w:rsidR="00231BBF" w:rsidRPr="001C59C6">
          <w:rPr>
            <w:rStyle w:val="Hyperlink"/>
            <w:noProof/>
            <w:lang w:val="en-GB"/>
          </w:rPr>
          <w:t>BOOK-ENTRY SETTLEMENT AND CLEARANCE</w:t>
        </w:r>
        <w:r w:rsidR="00231BBF">
          <w:rPr>
            <w:noProof/>
            <w:webHidden/>
          </w:rPr>
          <w:tab/>
        </w:r>
        <w:r w:rsidR="00231BBF">
          <w:rPr>
            <w:noProof/>
            <w:webHidden/>
          </w:rPr>
          <w:fldChar w:fldCharType="begin"/>
        </w:r>
        <w:r w:rsidR="00231BBF">
          <w:rPr>
            <w:noProof/>
            <w:webHidden/>
          </w:rPr>
          <w:instrText xml:space="preserve"> PAGEREF _Toc36388970 \h </w:instrText>
        </w:r>
        <w:r w:rsidR="00231BBF">
          <w:rPr>
            <w:noProof/>
            <w:webHidden/>
          </w:rPr>
        </w:r>
        <w:r w:rsidR="00231BBF">
          <w:rPr>
            <w:noProof/>
            <w:webHidden/>
          </w:rPr>
          <w:fldChar w:fldCharType="separate"/>
        </w:r>
        <w:r w:rsidR="00FA6858">
          <w:rPr>
            <w:noProof/>
            <w:webHidden/>
          </w:rPr>
          <w:t>123</w:t>
        </w:r>
        <w:r w:rsidR="00231BBF">
          <w:rPr>
            <w:noProof/>
            <w:webHidden/>
          </w:rPr>
          <w:fldChar w:fldCharType="end"/>
        </w:r>
      </w:hyperlink>
    </w:p>
    <w:p w14:paraId="498F98C9" w14:textId="1B437B73" w:rsidR="00231BBF" w:rsidRDefault="00836D74">
      <w:pPr>
        <w:pStyle w:val="TOC1"/>
        <w:rPr>
          <w:rFonts w:asciiTheme="minorHAnsi" w:eastAsiaTheme="minorEastAsia" w:hAnsiTheme="minorHAnsi" w:cstheme="minorBidi"/>
          <w:noProof/>
          <w:sz w:val="22"/>
          <w:lang w:val="en-GB" w:eastAsia="en-GB" w:bidi="ar-SA"/>
        </w:rPr>
      </w:pPr>
      <w:hyperlink w:anchor="_Toc36388971" w:history="1">
        <w:r w:rsidR="00231BBF" w:rsidRPr="001C59C6">
          <w:rPr>
            <w:rStyle w:val="Hyperlink"/>
            <w:noProof/>
            <w:lang w:val="en-GB"/>
          </w:rPr>
          <w:t>TAXATION</w:t>
        </w:r>
        <w:r w:rsidR="00231BBF">
          <w:rPr>
            <w:noProof/>
            <w:webHidden/>
          </w:rPr>
          <w:tab/>
        </w:r>
        <w:r w:rsidR="00231BBF">
          <w:rPr>
            <w:noProof/>
            <w:webHidden/>
          </w:rPr>
          <w:fldChar w:fldCharType="begin"/>
        </w:r>
        <w:r w:rsidR="00231BBF">
          <w:rPr>
            <w:noProof/>
            <w:webHidden/>
          </w:rPr>
          <w:instrText xml:space="preserve"> PAGEREF _Toc36388971 \h </w:instrText>
        </w:r>
        <w:r w:rsidR="00231BBF">
          <w:rPr>
            <w:noProof/>
            <w:webHidden/>
          </w:rPr>
        </w:r>
        <w:r w:rsidR="00231BBF">
          <w:rPr>
            <w:noProof/>
            <w:webHidden/>
          </w:rPr>
          <w:fldChar w:fldCharType="separate"/>
        </w:r>
        <w:r w:rsidR="00FA6858">
          <w:rPr>
            <w:noProof/>
            <w:webHidden/>
          </w:rPr>
          <w:t>125</w:t>
        </w:r>
        <w:r w:rsidR="00231BBF">
          <w:rPr>
            <w:noProof/>
            <w:webHidden/>
          </w:rPr>
          <w:fldChar w:fldCharType="end"/>
        </w:r>
      </w:hyperlink>
    </w:p>
    <w:p w14:paraId="24E52493" w14:textId="589719FB" w:rsidR="00231BBF" w:rsidRDefault="00836D74">
      <w:pPr>
        <w:pStyle w:val="TOC1"/>
        <w:rPr>
          <w:rFonts w:asciiTheme="minorHAnsi" w:eastAsiaTheme="minorEastAsia" w:hAnsiTheme="minorHAnsi" w:cstheme="minorBidi"/>
          <w:noProof/>
          <w:sz w:val="22"/>
          <w:lang w:val="en-GB" w:eastAsia="en-GB" w:bidi="ar-SA"/>
        </w:rPr>
      </w:pPr>
      <w:hyperlink w:anchor="_Toc36388972" w:history="1">
        <w:r w:rsidR="00231BBF" w:rsidRPr="001C59C6">
          <w:rPr>
            <w:rStyle w:val="Hyperlink"/>
            <w:noProof/>
            <w:lang w:val="en-GB"/>
          </w:rPr>
          <w:t>PLAN OF DISTRIBUTION</w:t>
        </w:r>
        <w:r w:rsidR="00231BBF">
          <w:rPr>
            <w:noProof/>
            <w:webHidden/>
          </w:rPr>
          <w:tab/>
        </w:r>
        <w:r w:rsidR="00231BBF">
          <w:rPr>
            <w:noProof/>
            <w:webHidden/>
          </w:rPr>
          <w:fldChar w:fldCharType="begin"/>
        </w:r>
        <w:r w:rsidR="00231BBF">
          <w:rPr>
            <w:noProof/>
            <w:webHidden/>
          </w:rPr>
          <w:instrText xml:space="preserve"> PAGEREF _Toc36388972 \h </w:instrText>
        </w:r>
        <w:r w:rsidR="00231BBF">
          <w:rPr>
            <w:noProof/>
            <w:webHidden/>
          </w:rPr>
        </w:r>
        <w:r w:rsidR="00231BBF">
          <w:rPr>
            <w:noProof/>
            <w:webHidden/>
          </w:rPr>
          <w:fldChar w:fldCharType="separate"/>
        </w:r>
        <w:r w:rsidR="00FA6858">
          <w:rPr>
            <w:noProof/>
            <w:webHidden/>
          </w:rPr>
          <w:t>129</w:t>
        </w:r>
        <w:r w:rsidR="00231BBF">
          <w:rPr>
            <w:noProof/>
            <w:webHidden/>
          </w:rPr>
          <w:fldChar w:fldCharType="end"/>
        </w:r>
      </w:hyperlink>
    </w:p>
    <w:p w14:paraId="05B8CECF" w14:textId="728EC9D9" w:rsidR="00231BBF" w:rsidRDefault="00836D74">
      <w:pPr>
        <w:pStyle w:val="TOC1"/>
        <w:rPr>
          <w:rFonts w:asciiTheme="minorHAnsi" w:eastAsiaTheme="minorEastAsia" w:hAnsiTheme="minorHAnsi" w:cstheme="minorBidi"/>
          <w:noProof/>
          <w:sz w:val="22"/>
          <w:lang w:val="en-GB" w:eastAsia="en-GB" w:bidi="ar-SA"/>
        </w:rPr>
      </w:pPr>
      <w:hyperlink w:anchor="_Toc36388973" w:history="1">
        <w:r w:rsidR="00231BBF" w:rsidRPr="001C59C6">
          <w:rPr>
            <w:rStyle w:val="Hyperlink"/>
            <w:noProof/>
            <w:lang w:val="en-GB"/>
          </w:rPr>
          <w:t>TRANSFER RESTRICTIONS</w:t>
        </w:r>
        <w:r w:rsidR="00231BBF">
          <w:rPr>
            <w:noProof/>
            <w:webHidden/>
          </w:rPr>
          <w:tab/>
        </w:r>
        <w:r w:rsidR="00231BBF">
          <w:rPr>
            <w:noProof/>
            <w:webHidden/>
          </w:rPr>
          <w:fldChar w:fldCharType="begin"/>
        </w:r>
        <w:r w:rsidR="00231BBF">
          <w:rPr>
            <w:noProof/>
            <w:webHidden/>
          </w:rPr>
          <w:instrText xml:space="preserve"> PAGEREF _Toc36388973 \h </w:instrText>
        </w:r>
        <w:r w:rsidR="00231BBF">
          <w:rPr>
            <w:noProof/>
            <w:webHidden/>
          </w:rPr>
        </w:r>
        <w:r w:rsidR="00231BBF">
          <w:rPr>
            <w:noProof/>
            <w:webHidden/>
          </w:rPr>
          <w:fldChar w:fldCharType="separate"/>
        </w:r>
        <w:r w:rsidR="00FA6858">
          <w:rPr>
            <w:noProof/>
            <w:webHidden/>
          </w:rPr>
          <w:t>134</w:t>
        </w:r>
        <w:r w:rsidR="00231BBF">
          <w:rPr>
            <w:noProof/>
            <w:webHidden/>
          </w:rPr>
          <w:fldChar w:fldCharType="end"/>
        </w:r>
      </w:hyperlink>
    </w:p>
    <w:p w14:paraId="1DE27F8B" w14:textId="6710AD27" w:rsidR="00231BBF" w:rsidRDefault="00836D74">
      <w:pPr>
        <w:pStyle w:val="TOC1"/>
        <w:rPr>
          <w:rFonts w:asciiTheme="minorHAnsi" w:eastAsiaTheme="minorEastAsia" w:hAnsiTheme="minorHAnsi" w:cstheme="minorBidi"/>
          <w:noProof/>
          <w:sz w:val="22"/>
          <w:lang w:val="en-GB" w:eastAsia="en-GB" w:bidi="ar-SA"/>
        </w:rPr>
      </w:pPr>
      <w:hyperlink w:anchor="_Toc36388974" w:history="1">
        <w:r w:rsidR="00231BBF" w:rsidRPr="001C59C6">
          <w:rPr>
            <w:rStyle w:val="Hyperlink"/>
            <w:noProof/>
            <w:lang w:val="en-GB"/>
          </w:rPr>
          <w:t>LEGAL MATTERS</w:t>
        </w:r>
        <w:r w:rsidR="00231BBF">
          <w:rPr>
            <w:noProof/>
            <w:webHidden/>
          </w:rPr>
          <w:tab/>
        </w:r>
        <w:r w:rsidR="00231BBF">
          <w:rPr>
            <w:noProof/>
            <w:webHidden/>
          </w:rPr>
          <w:fldChar w:fldCharType="begin"/>
        </w:r>
        <w:r w:rsidR="00231BBF">
          <w:rPr>
            <w:noProof/>
            <w:webHidden/>
          </w:rPr>
          <w:instrText xml:space="preserve"> PAGEREF _Toc36388974 \h </w:instrText>
        </w:r>
        <w:r w:rsidR="00231BBF">
          <w:rPr>
            <w:noProof/>
            <w:webHidden/>
          </w:rPr>
        </w:r>
        <w:r w:rsidR="00231BBF">
          <w:rPr>
            <w:noProof/>
            <w:webHidden/>
          </w:rPr>
          <w:fldChar w:fldCharType="separate"/>
        </w:r>
        <w:r w:rsidR="00FA6858">
          <w:rPr>
            <w:noProof/>
            <w:webHidden/>
          </w:rPr>
          <w:t>137</w:t>
        </w:r>
        <w:r w:rsidR="00231BBF">
          <w:rPr>
            <w:noProof/>
            <w:webHidden/>
          </w:rPr>
          <w:fldChar w:fldCharType="end"/>
        </w:r>
      </w:hyperlink>
    </w:p>
    <w:p w14:paraId="1543AEA5" w14:textId="57B009A7" w:rsidR="00231BBF" w:rsidRDefault="00836D74">
      <w:pPr>
        <w:pStyle w:val="TOC1"/>
        <w:rPr>
          <w:rFonts w:asciiTheme="minorHAnsi" w:eastAsiaTheme="minorEastAsia" w:hAnsiTheme="minorHAnsi" w:cstheme="minorBidi"/>
          <w:noProof/>
          <w:sz w:val="22"/>
          <w:lang w:val="en-GB" w:eastAsia="en-GB" w:bidi="ar-SA"/>
        </w:rPr>
      </w:pPr>
      <w:hyperlink w:anchor="_Toc36388975" w:history="1">
        <w:r w:rsidR="00231BBF" w:rsidRPr="001C59C6">
          <w:rPr>
            <w:rStyle w:val="Hyperlink"/>
            <w:noProof/>
            <w:lang w:val="en-GB"/>
          </w:rPr>
          <w:t>INDEPENDENT AUDITORS</w:t>
        </w:r>
        <w:r w:rsidR="00231BBF">
          <w:rPr>
            <w:noProof/>
            <w:webHidden/>
          </w:rPr>
          <w:tab/>
        </w:r>
        <w:r w:rsidR="00231BBF">
          <w:rPr>
            <w:noProof/>
            <w:webHidden/>
          </w:rPr>
          <w:fldChar w:fldCharType="begin"/>
        </w:r>
        <w:r w:rsidR="00231BBF">
          <w:rPr>
            <w:noProof/>
            <w:webHidden/>
          </w:rPr>
          <w:instrText xml:space="preserve"> PAGEREF _Toc36388975 \h </w:instrText>
        </w:r>
        <w:r w:rsidR="00231BBF">
          <w:rPr>
            <w:noProof/>
            <w:webHidden/>
          </w:rPr>
        </w:r>
        <w:r w:rsidR="00231BBF">
          <w:rPr>
            <w:noProof/>
            <w:webHidden/>
          </w:rPr>
          <w:fldChar w:fldCharType="separate"/>
        </w:r>
        <w:r w:rsidR="00FA6858">
          <w:rPr>
            <w:noProof/>
            <w:webHidden/>
          </w:rPr>
          <w:t>138</w:t>
        </w:r>
        <w:r w:rsidR="00231BBF">
          <w:rPr>
            <w:noProof/>
            <w:webHidden/>
          </w:rPr>
          <w:fldChar w:fldCharType="end"/>
        </w:r>
      </w:hyperlink>
    </w:p>
    <w:p w14:paraId="608FBDCA" w14:textId="563E6BEC" w:rsidR="00231BBF" w:rsidRDefault="00836D74">
      <w:pPr>
        <w:pStyle w:val="TOC1"/>
        <w:rPr>
          <w:rFonts w:asciiTheme="minorHAnsi" w:eastAsiaTheme="minorEastAsia" w:hAnsiTheme="minorHAnsi" w:cstheme="minorBidi"/>
          <w:noProof/>
          <w:sz w:val="22"/>
          <w:lang w:val="en-GB" w:eastAsia="en-GB" w:bidi="ar-SA"/>
        </w:rPr>
      </w:pPr>
      <w:hyperlink w:anchor="_Toc36388976" w:history="1">
        <w:r w:rsidR="00231BBF" w:rsidRPr="001C59C6">
          <w:rPr>
            <w:rStyle w:val="Hyperlink"/>
            <w:noProof/>
            <w:lang w:val="en-GB"/>
          </w:rPr>
          <w:t>DESCRIPTION OF ANGLO AMERICAN CAPITAL PLC</w:t>
        </w:r>
        <w:r w:rsidR="00231BBF">
          <w:rPr>
            <w:noProof/>
            <w:webHidden/>
          </w:rPr>
          <w:tab/>
        </w:r>
        <w:r w:rsidR="00231BBF">
          <w:rPr>
            <w:noProof/>
            <w:webHidden/>
          </w:rPr>
          <w:fldChar w:fldCharType="begin"/>
        </w:r>
        <w:r w:rsidR="00231BBF">
          <w:rPr>
            <w:noProof/>
            <w:webHidden/>
          </w:rPr>
          <w:instrText xml:space="preserve"> PAGEREF _Toc36388976 \h </w:instrText>
        </w:r>
        <w:r w:rsidR="00231BBF">
          <w:rPr>
            <w:noProof/>
            <w:webHidden/>
          </w:rPr>
        </w:r>
        <w:r w:rsidR="00231BBF">
          <w:rPr>
            <w:noProof/>
            <w:webHidden/>
          </w:rPr>
          <w:fldChar w:fldCharType="separate"/>
        </w:r>
        <w:r w:rsidR="00FA6858">
          <w:rPr>
            <w:noProof/>
            <w:webHidden/>
          </w:rPr>
          <w:t>139</w:t>
        </w:r>
        <w:r w:rsidR="00231BBF">
          <w:rPr>
            <w:noProof/>
            <w:webHidden/>
          </w:rPr>
          <w:fldChar w:fldCharType="end"/>
        </w:r>
      </w:hyperlink>
    </w:p>
    <w:p w14:paraId="0570E406" w14:textId="7E3B5A16" w:rsidR="00231BBF" w:rsidRDefault="00836D74">
      <w:pPr>
        <w:pStyle w:val="TOC1"/>
        <w:rPr>
          <w:rFonts w:asciiTheme="minorHAnsi" w:eastAsiaTheme="minorEastAsia" w:hAnsiTheme="minorHAnsi" w:cstheme="minorBidi"/>
          <w:noProof/>
          <w:sz w:val="22"/>
          <w:lang w:val="en-GB" w:eastAsia="en-GB" w:bidi="ar-SA"/>
        </w:rPr>
      </w:pPr>
      <w:hyperlink w:anchor="_Toc36388977" w:history="1">
        <w:r w:rsidR="00231BBF" w:rsidRPr="001C59C6">
          <w:rPr>
            <w:rStyle w:val="Hyperlink"/>
            <w:noProof/>
            <w:lang w:val="en-GB"/>
          </w:rPr>
          <w:t>GENERAL INFORMATION</w:t>
        </w:r>
        <w:r w:rsidR="00231BBF">
          <w:rPr>
            <w:noProof/>
            <w:webHidden/>
          </w:rPr>
          <w:tab/>
        </w:r>
        <w:r w:rsidR="00231BBF">
          <w:rPr>
            <w:noProof/>
            <w:webHidden/>
          </w:rPr>
          <w:fldChar w:fldCharType="begin"/>
        </w:r>
        <w:r w:rsidR="00231BBF">
          <w:rPr>
            <w:noProof/>
            <w:webHidden/>
          </w:rPr>
          <w:instrText xml:space="preserve"> PAGEREF _Toc36388977 \h </w:instrText>
        </w:r>
        <w:r w:rsidR="00231BBF">
          <w:rPr>
            <w:noProof/>
            <w:webHidden/>
          </w:rPr>
        </w:r>
        <w:r w:rsidR="00231BBF">
          <w:rPr>
            <w:noProof/>
            <w:webHidden/>
          </w:rPr>
          <w:fldChar w:fldCharType="separate"/>
        </w:r>
        <w:r w:rsidR="00FA6858">
          <w:rPr>
            <w:noProof/>
            <w:webHidden/>
          </w:rPr>
          <w:t>140</w:t>
        </w:r>
        <w:r w:rsidR="00231BBF">
          <w:rPr>
            <w:noProof/>
            <w:webHidden/>
          </w:rPr>
          <w:fldChar w:fldCharType="end"/>
        </w:r>
      </w:hyperlink>
    </w:p>
    <w:p w14:paraId="56E87466" w14:textId="61298EEF" w:rsidR="00231BBF" w:rsidRDefault="00836D74">
      <w:pPr>
        <w:pStyle w:val="TOC1"/>
        <w:rPr>
          <w:rFonts w:asciiTheme="minorHAnsi" w:eastAsiaTheme="minorEastAsia" w:hAnsiTheme="minorHAnsi" w:cstheme="minorBidi"/>
          <w:noProof/>
          <w:sz w:val="22"/>
          <w:lang w:val="en-GB" w:eastAsia="en-GB" w:bidi="ar-SA"/>
        </w:rPr>
      </w:pPr>
      <w:hyperlink w:anchor="_Toc36388978" w:history="1">
        <w:r w:rsidR="00231BBF" w:rsidRPr="001C59C6">
          <w:rPr>
            <w:rStyle w:val="Hyperlink"/>
            <w:noProof/>
            <w:lang w:val="en-GB"/>
          </w:rPr>
          <w:t>DEFINED TERMS</w:t>
        </w:r>
        <w:r w:rsidR="00231BBF">
          <w:rPr>
            <w:noProof/>
            <w:webHidden/>
          </w:rPr>
          <w:tab/>
        </w:r>
        <w:r w:rsidR="00231BBF">
          <w:rPr>
            <w:noProof/>
            <w:webHidden/>
          </w:rPr>
          <w:fldChar w:fldCharType="begin"/>
        </w:r>
        <w:r w:rsidR="00231BBF">
          <w:rPr>
            <w:noProof/>
            <w:webHidden/>
          </w:rPr>
          <w:instrText xml:space="preserve"> PAGEREF _Toc36388978 \h </w:instrText>
        </w:r>
        <w:r w:rsidR="00231BBF">
          <w:rPr>
            <w:noProof/>
            <w:webHidden/>
          </w:rPr>
        </w:r>
        <w:r w:rsidR="00231BBF">
          <w:rPr>
            <w:noProof/>
            <w:webHidden/>
          </w:rPr>
          <w:fldChar w:fldCharType="separate"/>
        </w:r>
        <w:r w:rsidR="00FA6858">
          <w:rPr>
            <w:noProof/>
            <w:webHidden/>
          </w:rPr>
          <w:t>143</w:t>
        </w:r>
        <w:r w:rsidR="00231BBF">
          <w:rPr>
            <w:noProof/>
            <w:webHidden/>
          </w:rPr>
          <w:fldChar w:fldCharType="end"/>
        </w:r>
      </w:hyperlink>
    </w:p>
    <w:p w14:paraId="1B00187C" w14:textId="54413437" w:rsidR="00542FF4" w:rsidRPr="00571974" w:rsidRDefault="003D4D89" w:rsidP="00542FF4">
      <w:pPr>
        <w:keepNext/>
        <w:keepLines/>
        <w:widowControl/>
        <w:tabs>
          <w:tab w:val="left" w:pos="720"/>
          <w:tab w:val="left" w:pos="1440"/>
          <w:tab w:val="center" w:pos="5400"/>
          <w:tab w:val="right" w:leader="dot" w:pos="10065"/>
        </w:tabs>
        <w:suppressAutoHyphens/>
        <w:jc w:val="center"/>
        <w:rPr>
          <w:lang w:val="en-GB"/>
        </w:rPr>
        <w:sectPr w:rsidR="00542FF4" w:rsidRPr="00571974" w:rsidSect="00321339">
          <w:pgSz w:w="12240" w:h="15840"/>
          <w:pgMar w:top="1077" w:right="1440" w:bottom="1134" w:left="1440" w:header="720" w:footer="720" w:gutter="0"/>
          <w:cols w:space="720"/>
          <w:docGrid w:linePitch="299"/>
        </w:sectPr>
      </w:pPr>
      <w:r w:rsidRPr="00571974">
        <w:rPr>
          <w:lang w:val="en-GB"/>
        </w:rPr>
        <w:fldChar w:fldCharType="end"/>
      </w:r>
    </w:p>
    <w:p w14:paraId="6DB81546" w14:textId="77777777" w:rsidR="00542FF4" w:rsidRPr="00571974" w:rsidRDefault="003D4D89" w:rsidP="00542FF4">
      <w:pPr>
        <w:pStyle w:val="Heading1"/>
        <w:rPr>
          <w:lang w:val="en-GB"/>
        </w:rPr>
      </w:pPr>
      <w:bookmarkStart w:id="6" w:name="_Toc36388951"/>
      <w:bookmarkStart w:id="7" w:name="_Toc349210404"/>
      <w:bookmarkStart w:id="8" w:name="_Toc349210417"/>
      <w:r w:rsidRPr="00571974">
        <w:rPr>
          <w:lang w:val="en-GB"/>
        </w:rPr>
        <w:lastRenderedPageBreak/>
        <w:t>IMPORTANT INFORMATION</w:t>
      </w:r>
      <w:bookmarkEnd w:id="6"/>
    </w:p>
    <w:p w14:paraId="4A152287" w14:textId="77777777" w:rsidR="00542FF4" w:rsidRPr="00571974" w:rsidRDefault="003D4D89" w:rsidP="00542FF4">
      <w:pPr>
        <w:pStyle w:val="BodyText"/>
        <w:widowControl/>
        <w:autoSpaceDE/>
        <w:autoSpaceDN/>
        <w:adjustRightInd/>
        <w:jc w:val="center"/>
        <w:rPr>
          <w:b/>
          <w:lang w:val="en-GB"/>
        </w:rPr>
      </w:pPr>
      <w:r w:rsidRPr="00571974">
        <w:rPr>
          <w:b/>
          <w:lang w:val="en-GB"/>
        </w:rPr>
        <w:t>NOTICE TO INVESTORS</w:t>
      </w:r>
      <w:bookmarkEnd w:id="7"/>
    </w:p>
    <w:p w14:paraId="27DA77E0" w14:textId="03EEFCE7" w:rsidR="00542FF4" w:rsidRPr="00571974" w:rsidRDefault="00F7022D" w:rsidP="00542FF4">
      <w:pPr>
        <w:pStyle w:val="BodyText"/>
        <w:widowControl/>
        <w:autoSpaceDE/>
        <w:autoSpaceDN/>
        <w:adjustRightInd/>
        <w:ind w:firstLine="360"/>
        <w:rPr>
          <w:i/>
          <w:lang w:val="en-GB"/>
        </w:rPr>
      </w:pPr>
      <w:r w:rsidRPr="00571974">
        <w:rPr>
          <w:i/>
          <w:lang w:val="en-GB"/>
        </w:rPr>
        <w:t xml:space="preserve">The Issuer and the Company accept responsibility for the information contained in this document. To the best of the knowledge of the Issuer and the Company the information contained in this document is in accordance with the facts and </w:t>
      </w:r>
      <w:r w:rsidR="001649AB">
        <w:rPr>
          <w:i/>
          <w:lang w:val="en-GB"/>
        </w:rPr>
        <w:t xml:space="preserve">this document </w:t>
      </w:r>
      <w:r w:rsidR="007117E5">
        <w:rPr>
          <w:i/>
          <w:lang w:val="en-GB"/>
        </w:rPr>
        <w:t>contains</w:t>
      </w:r>
      <w:r w:rsidRPr="00571974">
        <w:rPr>
          <w:i/>
          <w:lang w:val="en-GB"/>
        </w:rPr>
        <w:t xml:space="preserve"> no omission likely to affect its import. Where the information in this document has been sourced from a third party, such information has been accurately reproduced and so far as the Issuer and the Company are aware and are able to ascertain from information published by that third party, no facts have been omitted which would render the reproduced information inaccurate or misleading.</w:t>
      </w:r>
    </w:p>
    <w:p w14:paraId="03359642" w14:textId="65683425" w:rsidR="00542FF4" w:rsidRPr="00571974" w:rsidRDefault="003D4D89" w:rsidP="00542FF4">
      <w:pPr>
        <w:pStyle w:val="BodyText"/>
        <w:widowControl/>
        <w:autoSpaceDE/>
        <w:autoSpaceDN/>
        <w:adjustRightInd/>
        <w:ind w:firstLine="360"/>
        <w:rPr>
          <w:lang w:val="en-GB"/>
        </w:rPr>
      </w:pPr>
      <w:r w:rsidRPr="00571974">
        <w:rPr>
          <w:lang w:val="en-GB"/>
        </w:rPr>
        <w:t>This document contains and incorporates</w:t>
      </w:r>
      <w:r w:rsidR="00F7022D" w:rsidRPr="00571974">
        <w:rPr>
          <w:lang w:val="en-GB"/>
        </w:rPr>
        <w:t xml:space="preserve"> by reference </w:t>
      </w:r>
      <w:r w:rsidRPr="00571974">
        <w:rPr>
          <w:lang w:val="en-GB"/>
        </w:rPr>
        <w:t>information that you should consider when making your investment decision</w:t>
      </w:r>
      <w:r w:rsidR="00F7022D" w:rsidRPr="00571974">
        <w:rPr>
          <w:lang w:val="en-GB"/>
        </w:rPr>
        <w:t xml:space="preserve">. We have not authorized anyone to provide you with information, whether orally or in writing, either different from that contained in this document or not set forth in this document, and if you believe that there is any other information upon which you wish to rely that is either different from or not set forth in this document you should not rely on it at all. We are offering to sell the Notes only where offers and sales are permitted. The information contained in this document is accurate only as of the date of this document, regardless of the time of delivery of this document or any resale of the Notes and, except as required by the </w:t>
      </w:r>
      <w:r w:rsidR="001649AB">
        <w:rPr>
          <w:lang w:val="en-GB"/>
        </w:rPr>
        <w:t>FCA</w:t>
      </w:r>
      <w:r w:rsidR="00F7022D" w:rsidRPr="00571974">
        <w:rPr>
          <w:lang w:val="en-GB"/>
        </w:rPr>
        <w:t xml:space="preserve"> or applicable law and regulation, will not be updated.</w:t>
      </w:r>
    </w:p>
    <w:p w14:paraId="39D21933" w14:textId="77777777" w:rsidR="00542FF4" w:rsidRPr="00571974" w:rsidRDefault="003D4D89" w:rsidP="00542FF4">
      <w:pPr>
        <w:pStyle w:val="BodyText"/>
        <w:widowControl/>
        <w:autoSpaceDE/>
        <w:autoSpaceDN/>
        <w:adjustRightInd/>
        <w:ind w:firstLine="360"/>
        <w:rPr>
          <w:lang w:val="en-GB"/>
        </w:rPr>
      </w:pPr>
      <w:r w:rsidRPr="00571974">
        <w:rPr>
          <w:lang w:val="en-GB"/>
        </w:rPr>
        <w:t>By purchasing any Notes, you will be deemed to have acknowledged that: (1) you have reviewed this document; (2) you have had an opportunity to review all information considered by you to be necessary to make your investment decision and to verify the accuracy of, or to supplement, the information contained in this document; (3) you have not relied on the Initial Purchasers or any person affiliated with the Initial Purchasers in connection with your investigation of the accuracy of such information or your investment decision; (4) the Initial Purchasers are not responsible for, and are not making any representation to you concerning, our future performance or the accuracy or completeness of this document; and (5) no person has been authorized to give any information or to make any representation concerning us or the Notes, other than as contained in this document. If given or made, any such other information or representation should not be relied upon as having been authorized by us or the Initial Purchasers.</w:t>
      </w:r>
    </w:p>
    <w:p w14:paraId="4C1D8E59" w14:textId="77777777" w:rsidR="00542FF4" w:rsidRPr="00571974" w:rsidRDefault="003D4D89" w:rsidP="00542FF4">
      <w:pPr>
        <w:pStyle w:val="BodyText"/>
        <w:widowControl/>
        <w:autoSpaceDE/>
        <w:autoSpaceDN/>
        <w:adjustRightInd/>
        <w:ind w:firstLine="360"/>
        <w:rPr>
          <w:lang w:val="en-GB"/>
        </w:rPr>
      </w:pPr>
      <w:r w:rsidRPr="00571974">
        <w:rPr>
          <w:lang w:val="en-GB"/>
        </w:rPr>
        <w:t>You should read this document before making a decision whether to purchase any Notes. In making any investment decision, you must rely on your own examination of the Issuer and the Company and the terms of this offering, including the merits and risks involved. You should consult with your own advisors as needed to assist you in making your investment decision and to advise you whether you are legally permitted to purchase the Notes.</w:t>
      </w:r>
    </w:p>
    <w:p w14:paraId="24EACE7D" w14:textId="77777777" w:rsidR="00542FF4" w:rsidRPr="00571974" w:rsidRDefault="003D4D89" w:rsidP="00542FF4">
      <w:pPr>
        <w:pStyle w:val="BodyText"/>
        <w:widowControl/>
        <w:autoSpaceDE/>
        <w:autoSpaceDN/>
        <w:adjustRightInd/>
        <w:ind w:firstLine="360"/>
        <w:rPr>
          <w:lang w:val="en-GB"/>
        </w:rPr>
      </w:pPr>
      <w:r w:rsidRPr="00571974">
        <w:rPr>
          <w:lang w:val="en-GB"/>
        </w:rPr>
        <w:t>You must comply with all applicable laws and regulations in force in any jurisdiction in connection with the possession or distribution of this document and the purchase, offer or sale of the Notes, and you must obtain any required consent, approval or permission for the purchase, offer or sale by you of the Notes under the laws and regulations applicable to you in force in any jurisdiction to which you are subject or in which you make such purchases, offers or sales. Neither we nor the Initial Purchasers are responsible for your compliance with these legal requirements.</w:t>
      </w:r>
    </w:p>
    <w:p w14:paraId="5F00694D" w14:textId="77777777" w:rsidR="00542FF4" w:rsidRPr="00571974" w:rsidRDefault="003D4D89" w:rsidP="00542FF4">
      <w:pPr>
        <w:pStyle w:val="BodyText"/>
        <w:widowControl/>
        <w:autoSpaceDE/>
        <w:autoSpaceDN/>
        <w:adjustRightInd/>
        <w:ind w:firstLine="360"/>
        <w:rPr>
          <w:lang w:val="en-GB"/>
        </w:rPr>
      </w:pPr>
      <w:r w:rsidRPr="00571974">
        <w:rPr>
          <w:lang w:val="en-GB"/>
        </w:rPr>
        <w:t>We are offering the Notes and the Guarantees in reliance on exemptions from the registration requirements of the Securities Act. These exemptions apply to offers and sales of securities that do not involve a public offering.</w:t>
      </w:r>
    </w:p>
    <w:p w14:paraId="2DD48B49" w14:textId="56B2AF89" w:rsidR="00542FF4" w:rsidRPr="00571974" w:rsidRDefault="003D4D89" w:rsidP="00542FF4">
      <w:pPr>
        <w:pStyle w:val="BodyText"/>
        <w:widowControl/>
        <w:autoSpaceDE/>
        <w:autoSpaceDN/>
        <w:adjustRightInd/>
        <w:ind w:firstLine="360"/>
        <w:rPr>
          <w:lang w:val="en-GB"/>
        </w:rPr>
      </w:pPr>
      <w:r w:rsidRPr="00571974">
        <w:rPr>
          <w:lang w:val="en-GB"/>
        </w:rPr>
        <w:t xml:space="preserve">The Notes are subject to restrictions on resale and transfer as described under </w:t>
      </w:r>
      <w:r w:rsidR="00A311D8">
        <w:rPr>
          <w:lang w:val="en-GB"/>
        </w:rPr>
        <w:t>“</w:t>
      </w:r>
      <w:r w:rsidRPr="00571974">
        <w:rPr>
          <w:lang w:val="en-GB"/>
        </w:rPr>
        <w:t>Transfer Restrictions</w:t>
      </w:r>
      <w:r w:rsidR="00A311D8">
        <w:rPr>
          <w:lang w:val="en-GB"/>
        </w:rPr>
        <w:t>”</w:t>
      </w:r>
      <w:r w:rsidRPr="00571974">
        <w:rPr>
          <w:lang w:val="en-GB"/>
        </w:rPr>
        <w:t>. By purchasing any Notes, you will be deemed to have made certain acknowledgments, representations and agreements as described in that section of this document. You may be required to bear the financial risks of investing in the Notes for an indefinite period of time.</w:t>
      </w:r>
    </w:p>
    <w:p w14:paraId="4DF040F7" w14:textId="77777777" w:rsidR="00542FF4" w:rsidRPr="00571974" w:rsidRDefault="003D4D89" w:rsidP="00542FF4">
      <w:pPr>
        <w:pStyle w:val="BodyText"/>
        <w:widowControl/>
        <w:autoSpaceDE/>
        <w:autoSpaceDN/>
        <w:adjustRightInd/>
        <w:ind w:firstLine="360"/>
        <w:rPr>
          <w:lang w:val="en-GB"/>
        </w:rPr>
      </w:pPr>
      <w:r w:rsidRPr="00571974">
        <w:rPr>
          <w:lang w:val="en-GB"/>
        </w:rPr>
        <w:t>The Initial Purchasers make no representation or warranty, express or implied, as to the accuracy or completeness of the information contained in this document. Nothing contained in this document is, or should be relied upon as, a promise or representation by the Initial Purchasers as to the past or future. The Initial Purchasers have not independently verified any of the information contained herein (financial, legal or otherwise) and assume no responsibility for the accuracy or completeness of any such information.</w:t>
      </w:r>
    </w:p>
    <w:p w14:paraId="14F92E95" w14:textId="070A16D7" w:rsidR="00542FF4" w:rsidRPr="00571974" w:rsidRDefault="003D4D89" w:rsidP="00542FF4">
      <w:pPr>
        <w:pStyle w:val="BodyText"/>
        <w:widowControl/>
        <w:autoSpaceDE/>
        <w:autoSpaceDN/>
        <w:adjustRightInd/>
        <w:jc w:val="center"/>
        <w:rPr>
          <w:lang w:val="en-GB"/>
        </w:rPr>
      </w:pPr>
      <w:r w:rsidRPr="00571974">
        <w:rPr>
          <w:b/>
          <w:lang w:val="en-GB"/>
        </w:rPr>
        <w:t>NOTICE TO INVESTORS IN THE EUROPEAN ECONOMIC AREA</w:t>
      </w:r>
      <w:r w:rsidR="00DF0ED6">
        <w:rPr>
          <w:b/>
          <w:lang w:val="en-GB"/>
        </w:rPr>
        <w:t xml:space="preserve"> AND THE UNITED KINGDOM</w:t>
      </w:r>
    </w:p>
    <w:p w14:paraId="367CBE5B" w14:textId="57ADA5D8" w:rsidR="00542FF4" w:rsidRDefault="003D4D89" w:rsidP="00542FF4">
      <w:pPr>
        <w:pStyle w:val="BodyText"/>
        <w:widowControl/>
        <w:autoSpaceDE/>
        <w:autoSpaceDN/>
        <w:adjustRightInd/>
        <w:ind w:firstLine="360"/>
        <w:rPr>
          <w:lang w:val="en-GB"/>
        </w:rPr>
      </w:pPr>
      <w:r w:rsidRPr="00571974">
        <w:rPr>
          <w:lang w:val="en-GB"/>
        </w:rPr>
        <w:t xml:space="preserve">This document constitutes a prospectus that has been prepared solely for use in connection with Admission of the Notes, and it has been approved by the </w:t>
      </w:r>
      <w:r w:rsidR="001649AB">
        <w:rPr>
          <w:lang w:val="en-GB"/>
        </w:rPr>
        <w:t>FCA</w:t>
      </w:r>
      <w:r w:rsidRPr="00571974">
        <w:rPr>
          <w:lang w:val="en-GB"/>
        </w:rPr>
        <w:t xml:space="preserve"> for such purpose. Purchasers of Notes are notified that this document does not constitute an offer for sale of the Notes and has not been approved by the </w:t>
      </w:r>
      <w:r w:rsidR="001649AB">
        <w:rPr>
          <w:lang w:val="en-GB"/>
        </w:rPr>
        <w:t>FCA</w:t>
      </w:r>
      <w:r w:rsidRPr="00571974">
        <w:rPr>
          <w:lang w:val="en-GB"/>
        </w:rPr>
        <w:t xml:space="preserve"> in connection with any such offer.</w:t>
      </w:r>
      <w:r w:rsidR="00DF0ED6">
        <w:rPr>
          <w:lang w:val="en-GB"/>
        </w:rPr>
        <w:t xml:space="preserve"> </w:t>
      </w:r>
    </w:p>
    <w:p w14:paraId="2C7237DA" w14:textId="3996C0BE" w:rsidR="00DF0ED6" w:rsidRPr="009C0AD8" w:rsidRDefault="00DF0ED6" w:rsidP="00DF0ED6">
      <w:pPr>
        <w:pStyle w:val="BodyText"/>
        <w:widowControl/>
        <w:autoSpaceDE/>
        <w:autoSpaceDN/>
        <w:adjustRightInd/>
        <w:ind w:firstLine="360"/>
      </w:pPr>
      <w:r>
        <w:lastRenderedPageBreak/>
        <w:t xml:space="preserve">This document </w:t>
      </w:r>
      <w:r w:rsidRPr="003D06A5">
        <w:t xml:space="preserve">has been prepared on the basis that any offer of </w:t>
      </w:r>
      <w:r>
        <w:t>Notes</w:t>
      </w:r>
      <w:r w:rsidRPr="003D06A5">
        <w:t xml:space="preserve"> </w:t>
      </w:r>
      <w:r>
        <w:t xml:space="preserve">in </w:t>
      </w:r>
      <w:r w:rsidRPr="003D06A5">
        <w:t xml:space="preserve">any Member State of </w:t>
      </w:r>
      <w:r>
        <w:t>the European Economic Area (</w:t>
      </w:r>
      <w:r w:rsidR="00A311D8">
        <w:t>“</w:t>
      </w:r>
      <w:r>
        <w:t>EEA</w:t>
      </w:r>
      <w:r w:rsidR="00A311D8">
        <w:t>”</w:t>
      </w:r>
      <w:r w:rsidRPr="003D06A5">
        <w:t xml:space="preserve">) </w:t>
      </w:r>
      <w:r>
        <w:t>or in the United Kingdom (</w:t>
      </w:r>
      <w:r w:rsidR="00A311D8">
        <w:t>“</w:t>
      </w:r>
      <w:r>
        <w:t>UK</w:t>
      </w:r>
      <w:r w:rsidR="00A311D8">
        <w:t>”</w:t>
      </w:r>
      <w:r>
        <w:t xml:space="preserve">) </w:t>
      </w:r>
      <w:r w:rsidRPr="003D06A5">
        <w:t xml:space="preserve">will be made pursuant to an </w:t>
      </w:r>
      <w:r>
        <w:t xml:space="preserve">exemption under the Prospectus </w:t>
      </w:r>
      <w:r w:rsidRPr="003D06A5">
        <w:t>Regulation from the requirement to publ</w:t>
      </w:r>
      <w:r>
        <w:t xml:space="preserve">ish a prospectus for offers of the Notes. The expression </w:t>
      </w:r>
      <w:r w:rsidR="00A311D8">
        <w:t>“</w:t>
      </w:r>
      <w:r w:rsidRPr="003D06A5">
        <w:t xml:space="preserve">Prospectus </w:t>
      </w:r>
      <w:r>
        <w:t>Regulation</w:t>
      </w:r>
      <w:r w:rsidR="00A311D8">
        <w:t>”</w:t>
      </w:r>
      <w:r w:rsidRPr="003D06A5">
        <w:t xml:space="preserve"> means Regulation (EU) 2017/1129 (as amended or superseded)</w:t>
      </w:r>
      <w:r>
        <w:t>.</w:t>
      </w:r>
    </w:p>
    <w:p w14:paraId="6A9F73AF" w14:textId="407086B1" w:rsidR="00CF6DF3" w:rsidRPr="00571974" w:rsidRDefault="003D4D89" w:rsidP="003173D9">
      <w:pPr>
        <w:pStyle w:val="BodyText"/>
        <w:widowControl/>
        <w:autoSpaceDE/>
        <w:autoSpaceDN/>
        <w:adjustRightInd/>
        <w:jc w:val="center"/>
        <w:rPr>
          <w:b/>
          <w:lang w:val="en-GB"/>
        </w:rPr>
      </w:pPr>
      <w:r w:rsidRPr="00571974">
        <w:rPr>
          <w:b/>
          <w:lang w:val="en-GB"/>
        </w:rPr>
        <w:t xml:space="preserve">PRIIPS REGULATION/PROHIBITION OF SALES TO EEA </w:t>
      </w:r>
      <w:r w:rsidR="00BA1675" w:rsidRPr="00571974">
        <w:rPr>
          <w:b/>
          <w:lang w:val="en-GB"/>
        </w:rPr>
        <w:t>AND U</w:t>
      </w:r>
      <w:r w:rsidR="00DF0ED6">
        <w:rPr>
          <w:b/>
          <w:lang w:val="en-GB"/>
        </w:rPr>
        <w:t>NITED KINGDOM</w:t>
      </w:r>
      <w:r w:rsidR="00BA1675" w:rsidRPr="00571974">
        <w:rPr>
          <w:b/>
          <w:lang w:val="en-GB"/>
        </w:rPr>
        <w:t xml:space="preserve"> </w:t>
      </w:r>
      <w:r w:rsidRPr="00571974">
        <w:rPr>
          <w:b/>
          <w:lang w:val="en-GB"/>
        </w:rPr>
        <w:t>RETAIL INVESTORS</w:t>
      </w:r>
    </w:p>
    <w:p w14:paraId="79269EBB" w14:textId="0359AFF1" w:rsidR="005F4712" w:rsidRDefault="003D4D89" w:rsidP="004F4F07">
      <w:pPr>
        <w:pStyle w:val="BodyText"/>
        <w:widowControl/>
        <w:autoSpaceDE/>
        <w:autoSpaceDN/>
        <w:adjustRightInd/>
        <w:ind w:firstLine="360"/>
        <w:rPr>
          <w:lang w:val="en-GB"/>
        </w:rPr>
      </w:pPr>
      <w:r w:rsidRPr="00571974">
        <w:rPr>
          <w:lang w:val="en-GB"/>
        </w:rPr>
        <w:t>The Notes are not intended to be offered, sold or otherwise made available to and should not be offered, sold or otherwise made available to any retail investor in the European Economic Area (</w:t>
      </w:r>
      <w:r w:rsidR="00A311D8">
        <w:rPr>
          <w:lang w:val="en-GB"/>
        </w:rPr>
        <w:t>“</w:t>
      </w:r>
      <w:r w:rsidRPr="00571974">
        <w:rPr>
          <w:lang w:val="en-GB"/>
        </w:rPr>
        <w:t>EEA</w:t>
      </w:r>
      <w:r w:rsidR="00A311D8">
        <w:rPr>
          <w:lang w:val="en-GB"/>
        </w:rPr>
        <w:t>”</w:t>
      </w:r>
      <w:r w:rsidRPr="00571974">
        <w:rPr>
          <w:lang w:val="en-GB"/>
        </w:rPr>
        <w:t>)</w:t>
      </w:r>
      <w:r w:rsidR="00BA1675" w:rsidRPr="00571974">
        <w:rPr>
          <w:lang w:val="en-GB"/>
        </w:rPr>
        <w:t xml:space="preserve"> or in the UK</w:t>
      </w:r>
      <w:r w:rsidRPr="00571974">
        <w:rPr>
          <w:lang w:val="en-GB"/>
        </w:rPr>
        <w:t xml:space="preserve">. For these purposes, a retail investor means a person who is one (or more) of: (i) a retail client as defined in point (11) of Article 4(1) of Directive 2014/65/EU (as amended, </w:t>
      </w:r>
      <w:r w:rsidR="00A311D8">
        <w:rPr>
          <w:lang w:val="en-GB"/>
        </w:rPr>
        <w:t>“</w:t>
      </w:r>
      <w:r w:rsidRPr="00571974">
        <w:rPr>
          <w:lang w:val="en-GB"/>
        </w:rPr>
        <w:t>MiFID II</w:t>
      </w:r>
      <w:r w:rsidR="00A311D8">
        <w:rPr>
          <w:lang w:val="en-GB"/>
        </w:rPr>
        <w:t>”</w:t>
      </w:r>
      <w:r w:rsidRPr="00571974">
        <w:rPr>
          <w:lang w:val="en-GB"/>
        </w:rPr>
        <w:t xml:space="preserve">); or (ii) a customer within the meaning of Directive </w:t>
      </w:r>
      <w:r w:rsidR="005F4712">
        <w:t>(EU) 2016/97</w:t>
      </w:r>
      <w:r w:rsidR="005F4712" w:rsidRPr="00A35370">
        <w:t xml:space="preserve"> </w:t>
      </w:r>
      <w:r w:rsidRPr="00571974">
        <w:rPr>
          <w:lang w:val="en-GB"/>
        </w:rPr>
        <w:t xml:space="preserve">(as amended, the </w:t>
      </w:r>
      <w:r w:rsidR="00A311D8">
        <w:rPr>
          <w:lang w:val="en-GB"/>
        </w:rPr>
        <w:t>“</w:t>
      </w:r>
      <w:r w:rsidRPr="00571974">
        <w:rPr>
          <w:lang w:val="en-GB"/>
        </w:rPr>
        <w:t xml:space="preserve">Insurance </w:t>
      </w:r>
      <w:r w:rsidR="005F4712">
        <w:rPr>
          <w:lang w:val="en-GB"/>
        </w:rPr>
        <w:t>Distribution</w:t>
      </w:r>
      <w:r w:rsidR="005F4712" w:rsidRPr="00571974">
        <w:rPr>
          <w:lang w:val="en-GB"/>
        </w:rPr>
        <w:t xml:space="preserve"> </w:t>
      </w:r>
      <w:r w:rsidRPr="00571974">
        <w:rPr>
          <w:lang w:val="en-GB"/>
        </w:rPr>
        <w:t>Directive</w:t>
      </w:r>
      <w:r w:rsidR="00A311D8">
        <w:rPr>
          <w:lang w:val="en-GB"/>
        </w:rPr>
        <w:t>”</w:t>
      </w:r>
      <w:r w:rsidRPr="00571974">
        <w:rPr>
          <w:lang w:val="en-GB"/>
        </w:rPr>
        <w:t xml:space="preserve">), where that customer would not qualify as a professional client as defined in point (10) of Article 4(1) of MiFID II. Consequently no key information document required by Regulation (EU) No 1286/2014 (the </w:t>
      </w:r>
      <w:r w:rsidR="00A311D8">
        <w:rPr>
          <w:lang w:val="en-GB"/>
        </w:rPr>
        <w:t>“</w:t>
      </w:r>
      <w:r w:rsidRPr="00571974">
        <w:rPr>
          <w:lang w:val="en-GB"/>
        </w:rPr>
        <w:t>PRIIPs Regulation</w:t>
      </w:r>
      <w:r w:rsidR="00A311D8">
        <w:rPr>
          <w:lang w:val="en-GB"/>
        </w:rPr>
        <w:t>”</w:t>
      </w:r>
      <w:r w:rsidRPr="00571974">
        <w:rPr>
          <w:lang w:val="en-GB"/>
        </w:rPr>
        <w:t>) for offering or selling the Notes or otherwise making them available to retail investors in the EEA</w:t>
      </w:r>
      <w:r w:rsidR="00BA1675" w:rsidRPr="00571974">
        <w:rPr>
          <w:lang w:val="en-GB"/>
        </w:rPr>
        <w:t xml:space="preserve"> or in the UK</w:t>
      </w:r>
      <w:r w:rsidRPr="00571974">
        <w:rPr>
          <w:lang w:val="en-GB"/>
        </w:rPr>
        <w:t xml:space="preserve"> has been prepared and therefore offering or selling the Notes or otherwise making them available to any retail investor in the EEA </w:t>
      </w:r>
      <w:r w:rsidR="00BA1675" w:rsidRPr="00571974">
        <w:rPr>
          <w:lang w:val="en-GB"/>
        </w:rPr>
        <w:t xml:space="preserve">or in the UK </w:t>
      </w:r>
      <w:r w:rsidRPr="00571974">
        <w:rPr>
          <w:lang w:val="en-GB"/>
        </w:rPr>
        <w:t>may be unlawful under the PRIIPs Regulation.</w:t>
      </w:r>
    </w:p>
    <w:p w14:paraId="0225FD7C" w14:textId="2864AF3B" w:rsidR="00523134" w:rsidRPr="009C0AD8" w:rsidRDefault="005F4712" w:rsidP="005F4712">
      <w:pPr>
        <w:pStyle w:val="BodyText"/>
        <w:widowControl/>
        <w:autoSpaceDE/>
        <w:autoSpaceDN/>
        <w:adjustRightInd/>
        <w:ind w:firstLine="360"/>
      </w:pPr>
      <w:r w:rsidRPr="004239CC">
        <w:t>References to Regulations or Directiv</w:t>
      </w:r>
      <w:r>
        <w:t>es include, in relation to the U</w:t>
      </w:r>
      <w:r w:rsidRPr="004239CC">
        <w:t>K, those Regulations or Directives as they form part of UK domestic law by virtue of the European Union (Withdrawal) Act 2018 or have been implemented in UK domestic law, as appropriate.</w:t>
      </w:r>
    </w:p>
    <w:p w14:paraId="788DC453" w14:textId="77777777" w:rsidR="000F212B" w:rsidRDefault="000F212B" w:rsidP="000F212B">
      <w:pPr>
        <w:pStyle w:val="BodyText"/>
        <w:autoSpaceDE/>
        <w:jc w:val="center"/>
        <w:rPr>
          <w:b/>
          <w:bCs/>
          <w:color w:val="000000"/>
          <w:szCs w:val="20"/>
        </w:rPr>
      </w:pPr>
      <w:r>
        <w:rPr>
          <w:b/>
          <w:bCs/>
          <w:color w:val="000000"/>
        </w:rPr>
        <w:t>MIFID II PRODUCT GOVERNANCE/ PROFESSIONAL INVESTORS AND ECPS ONLY TARGET MARKET</w:t>
      </w:r>
    </w:p>
    <w:p w14:paraId="71B1A95F" w14:textId="77777777" w:rsidR="000F212B" w:rsidRPr="00571974" w:rsidRDefault="000F212B" w:rsidP="000F212B">
      <w:pPr>
        <w:pStyle w:val="BodyText"/>
        <w:widowControl/>
        <w:autoSpaceDE/>
        <w:autoSpaceDN/>
        <w:adjustRightInd/>
        <w:ind w:firstLine="360"/>
        <w:rPr>
          <w:lang w:val="en-GB"/>
        </w:rPr>
      </w:pPr>
      <w:r>
        <w:rPr>
          <w:color w:val="000000"/>
        </w:rPr>
        <w:t>Solely for the purposes of the manufacturer’s product approval process, the target market assessment in respect of the Notes has led to the conclusion that: (i) the target market for the Notes is eligible counterparties and professional clients only, each as defined in MiFID II; and (ii) all channels for distribution of the Notes to eligible counterparties and professional clients are appropriate. Any person subsequently offering, selling or recommending the Notes (a “distributor”) should take into consideration the manufacturer's target market assessment; however, a distributor subject to MiFID II is responsible for undertaking its own target market assessment in respect of the Notes (by either adopting or refining the manufacturer’s target market assessment) and determining appropriate distribution channels.</w:t>
      </w:r>
    </w:p>
    <w:p w14:paraId="2FD81A40" w14:textId="75BE7340" w:rsidR="00542FF4" w:rsidRPr="00571974" w:rsidRDefault="003D4D89" w:rsidP="00542FF4">
      <w:pPr>
        <w:pStyle w:val="BodyText"/>
        <w:widowControl/>
        <w:autoSpaceDE/>
        <w:autoSpaceDN/>
        <w:adjustRightInd/>
        <w:jc w:val="center"/>
        <w:rPr>
          <w:b/>
          <w:lang w:val="en-GB"/>
        </w:rPr>
      </w:pPr>
      <w:r w:rsidRPr="00571974">
        <w:rPr>
          <w:b/>
          <w:lang w:val="en-GB"/>
        </w:rPr>
        <w:t>STABILIZATION</w:t>
      </w:r>
    </w:p>
    <w:p w14:paraId="1073DCA6" w14:textId="50A8C7E7" w:rsidR="00542FF4" w:rsidRPr="00571974" w:rsidRDefault="003D4D89" w:rsidP="006D61C0">
      <w:pPr>
        <w:pStyle w:val="BodyText"/>
        <w:widowControl/>
        <w:autoSpaceDE/>
        <w:autoSpaceDN/>
        <w:adjustRightInd/>
        <w:ind w:firstLine="360"/>
        <w:rPr>
          <w:b/>
          <w:bCs/>
          <w:u w:val="single"/>
          <w:lang w:val="en-GB"/>
        </w:rPr>
      </w:pPr>
      <w:r w:rsidRPr="00571974">
        <w:rPr>
          <w:lang w:val="en-GB"/>
        </w:rPr>
        <w:t xml:space="preserve">In connection with the issue of the Notes, any one of </w:t>
      </w:r>
      <w:r w:rsidR="00B85939" w:rsidRPr="00571974">
        <w:rPr>
          <w:lang w:val="en-GB"/>
        </w:rPr>
        <w:t>Citigroup Global Markets Inc., Mizuho Securities USA LLC, RBC Capital Markets, L</w:t>
      </w:r>
      <w:r w:rsidR="00ED4F4E" w:rsidRPr="00571974">
        <w:rPr>
          <w:lang w:val="en-GB"/>
        </w:rPr>
        <w:t>L</w:t>
      </w:r>
      <w:r w:rsidR="00B85939" w:rsidRPr="00571974">
        <w:rPr>
          <w:lang w:val="en-GB"/>
        </w:rPr>
        <w:t>C</w:t>
      </w:r>
      <w:r w:rsidR="002F3253" w:rsidRPr="00571974">
        <w:rPr>
          <w:lang w:val="en-GB"/>
        </w:rPr>
        <w:t xml:space="preserve"> or</w:t>
      </w:r>
      <w:r w:rsidR="00B85939" w:rsidRPr="00571974">
        <w:rPr>
          <w:lang w:val="en-GB"/>
        </w:rPr>
        <w:t xml:space="preserve"> Standard Chartered Bank </w:t>
      </w:r>
      <w:r w:rsidRPr="00571974">
        <w:rPr>
          <w:lang w:val="en-GB"/>
        </w:rPr>
        <w:t xml:space="preserve">(the </w:t>
      </w:r>
      <w:r w:rsidR="00A311D8">
        <w:rPr>
          <w:lang w:val="en-GB"/>
        </w:rPr>
        <w:t>“</w:t>
      </w:r>
      <w:r w:rsidRPr="00571974">
        <w:rPr>
          <w:lang w:val="en-GB"/>
        </w:rPr>
        <w:t>Stabilizing Managers</w:t>
      </w:r>
      <w:r w:rsidR="00A311D8">
        <w:rPr>
          <w:lang w:val="en-GB"/>
        </w:rPr>
        <w:t>”</w:t>
      </w:r>
      <w:r w:rsidRPr="00571974">
        <w:rPr>
          <w:lang w:val="en-GB"/>
        </w:rPr>
        <w:t>) or any person acting on behalf of a Stabilizing Manager may over-allot Notes or effect transactions with a view to supporting the market price of the Notes at a level higher than that which might otherwise prevail. However, there is no assurance that the Stabilizing Managers (or persons acting on their behalf) will undertake any stabilization action. Any stabilization action may begin on or after the date on which adequate public disclosure of the terms of the offer of the Notes is made and, if begun, may be ended at any time, but it must end no later than the earlier of 30 days after the date on which the Issuer received the proceeds of the offering, or no later than 60 days after the date of the allotment of the Notes, whichever is the earlier. Any such stabilization or over-allotment must be conducted by the Stabilizing Managers (or persons acting on behalf of any Stabilizing Manager) in accordance with all applicable laws, regulations and rules.</w:t>
      </w:r>
    </w:p>
    <w:p w14:paraId="47E48626" w14:textId="003BCF60" w:rsidR="00542FF4" w:rsidRPr="00571974" w:rsidRDefault="00F7022D" w:rsidP="00542FF4">
      <w:pPr>
        <w:pStyle w:val="BodyText"/>
        <w:widowControl/>
        <w:autoSpaceDE/>
        <w:autoSpaceDN/>
        <w:adjustRightInd/>
        <w:jc w:val="center"/>
        <w:rPr>
          <w:b/>
          <w:lang w:val="en-GB"/>
        </w:rPr>
      </w:pPr>
      <w:r w:rsidRPr="00571974">
        <w:rPr>
          <w:b/>
          <w:lang w:val="en-GB"/>
        </w:rPr>
        <w:t>MISCELLANEOUS INFORMATION</w:t>
      </w:r>
    </w:p>
    <w:p w14:paraId="566A7877" w14:textId="7B9FC649" w:rsidR="001649AB" w:rsidRDefault="001649AB" w:rsidP="00DE1FDC">
      <w:pPr>
        <w:pStyle w:val="BodyText"/>
        <w:widowControl/>
        <w:autoSpaceDE/>
        <w:autoSpaceDN/>
        <w:adjustRightInd/>
        <w:ind w:firstLine="360"/>
        <w:rPr>
          <w:lang w:val="en-GB"/>
        </w:rPr>
      </w:pPr>
      <w:r w:rsidRPr="00321F6A">
        <w:rPr>
          <w:lang w:val="en-GB"/>
        </w:rPr>
        <w:t xml:space="preserve">This document comprises a prospectus for the purposes of Art. 6 of the Prospectus Regulation and has been filed with, and approved by, the FCA, as competent authority under the Prospectus Regulation.  The FCA only approves this document as meeting the standards of completeness, comprehensibility and consistency imposed by the Prospectus Regulation. Such approval should not be considered as an endorsement of the Issuer or the Company </w:t>
      </w:r>
      <w:r w:rsidR="005067D9">
        <w:rPr>
          <w:lang w:val="en-GB"/>
        </w:rPr>
        <w:t xml:space="preserve">or </w:t>
      </w:r>
      <w:r w:rsidR="005067D9" w:rsidRPr="005067D9">
        <w:rPr>
          <w:lang w:val="en-GB"/>
        </w:rPr>
        <w:t xml:space="preserve">of the quality of the </w:t>
      </w:r>
      <w:r w:rsidR="005067D9">
        <w:rPr>
          <w:lang w:val="en-GB"/>
        </w:rPr>
        <w:t>Notes</w:t>
      </w:r>
      <w:r w:rsidR="005067D9" w:rsidRPr="005067D9">
        <w:rPr>
          <w:lang w:val="en-GB"/>
        </w:rPr>
        <w:t xml:space="preserve"> </w:t>
      </w:r>
      <w:r w:rsidRPr="00321F6A">
        <w:rPr>
          <w:lang w:val="en-GB"/>
        </w:rPr>
        <w:t>that are the subjects of this document.</w:t>
      </w:r>
      <w:r w:rsidRPr="00571974">
        <w:rPr>
          <w:lang w:val="en-GB"/>
        </w:rPr>
        <w:t xml:space="preserve"> </w:t>
      </w:r>
      <w:r w:rsidR="00DE1FDC" w:rsidRPr="00DE1FDC">
        <w:rPr>
          <w:lang w:val="en-GB"/>
        </w:rPr>
        <w:t>Investors should</w:t>
      </w:r>
      <w:r w:rsidR="00DE1FDC">
        <w:rPr>
          <w:lang w:val="en-GB"/>
        </w:rPr>
        <w:t xml:space="preserve"> </w:t>
      </w:r>
      <w:r w:rsidR="00DE1FDC" w:rsidRPr="00DE1FDC">
        <w:rPr>
          <w:lang w:val="en-GB"/>
        </w:rPr>
        <w:t xml:space="preserve">make their own assessment as to the suitability of any investment in the </w:t>
      </w:r>
      <w:r w:rsidR="00DE1FDC">
        <w:rPr>
          <w:lang w:val="en-GB"/>
        </w:rPr>
        <w:t>Notes</w:t>
      </w:r>
      <w:r w:rsidR="00DE1FDC" w:rsidRPr="00DE1FDC">
        <w:rPr>
          <w:lang w:val="en-GB"/>
        </w:rPr>
        <w:t>.</w:t>
      </w:r>
    </w:p>
    <w:p w14:paraId="562CB19C" w14:textId="08BDD894" w:rsidR="00542FF4" w:rsidRDefault="003D4D89" w:rsidP="00542FF4">
      <w:pPr>
        <w:pStyle w:val="BodyText"/>
        <w:widowControl/>
        <w:autoSpaceDE/>
        <w:autoSpaceDN/>
        <w:adjustRightInd/>
        <w:ind w:firstLine="360"/>
        <w:rPr>
          <w:lang w:val="en-GB"/>
        </w:rPr>
      </w:pPr>
      <w:r w:rsidRPr="00571974">
        <w:rPr>
          <w:lang w:val="en-GB"/>
        </w:rPr>
        <w:t>The distribution of this document and the offering and sale of the Notes in certain jurisdictions may be restricted by law. The Issuer, the Company and the Initial Purchasers require persons in possession of this document to inform themselves about and to observe any such restrictions. This document does not constitute an offer of, or an invitation to purchase, any of the Notes in any jurisdiction in which such offer or invitation would be unlawful.</w:t>
      </w:r>
    </w:p>
    <w:p w14:paraId="569BE09C" w14:textId="5C118266" w:rsidR="005F4712" w:rsidRDefault="005F4712" w:rsidP="00542FF4">
      <w:pPr>
        <w:pStyle w:val="BodyText"/>
        <w:widowControl/>
        <w:autoSpaceDE/>
        <w:autoSpaceDN/>
        <w:adjustRightInd/>
        <w:ind w:firstLine="360"/>
      </w:pPr>
      <w:r w:rsidRPr="003F4618">
        <w:lastRenderedPageBreak/>
        <w:t xml:space="preserve">This document is for distribution only to persons who (i) have professional experience in matters relating to investments falling within Article 19(5) of the Financial Services and Markets Act 2000 (Financial Promotion) Order 2005 (as amended, the </w:t>
      </w:r>
      <w:r w:rsidR="00A311D8">
        <w:rPr>
          <w:lang w:val="en-GB"/>
        </w:rPr>
        <w:t>“</w:t>
      </w:r>
      <w:r w:rsidRPr="003F4618">
        <w:t>Financial Promotion Order</w:t>
      </w:r>
      <w:r w:rsidR="00A311D8">
        <w:t>”</w:t>
      </w:r>
      <w:r w:rsidRPr="003F4618">
        <w:t>), (ii) are persons falling within Article 49(2)(a) to (d) (</w:t>
      </w:r>
      <w:r w:rsidR="00A311D8">
        <w:t>“</w:t>
      </w:r>
      <w:r w:rsidRPr="003F4618">
        <w:t>high net worth companies, unincorporated associations etc.</w:t>
      </w:r>
      <w:r w:rsidR="00A311D8">
        <w:t>”</w:t>
      </w:r>
      <w:r w:rsidRPr="003F4618">
        <w:t xml:space="preserve">) of the Financial Promotion Order, (iii) are outside the United Kingdom, or (iv) are persons to whom an invitation or inducement to engage in investment activity (within the meaning of section 21 of the Financial Services and Markets Act 2000) in connection with the issue or sale of any securities may otherwise lawfully be communicated or caused to be communicated (all such persons together being referred to as </w:t>
      </w:r>
      <w:r w:rsidR="00A311D8">
        <w:t>“</w:t>
      </w:r>
      <w:r w:rsidRPr="003F4618">
        <w:t>relevant persons</w:t>
      </w:r>
      <w:r w:rsidR="00A311D8">
        <w:t>”</w:t>
      </w:r>
      <w:r w:rsidRPr="003F4618">
        <w:t>).  This document is directed only at relevant persons and must not be acted on or relied on by persons who are not relevant persons. Any investment or investment activity to which this document relates is available only to relevant persons and will be engaged in only with relevant persons.</w:t>
      </w:r>
    </w:p>
    <w:p w14:paraId="1B92AABA" w14:textId="6336B188" w:rsidR="00824460" w:rsidRPr="00571974" w:rsidRDefault="00824460" w:rsidP="00824460">
      <w:pPr>
        <w:pStyle w:val="BodyText"/>
        <w:widowControl/>
        <w:autoSpaceDE/>
        <w:autoSpaceDN/>
        <w:adjustRightInd/>
        <w:ind w:firstLine="360"/>
        <w:rPr>
          <w:lang w:val="en-GB"/>
        </w:rPr>
      </w:pPr>
      <w:r w:rsidRPr="00571974">
        <w:rPr>
          <w:lang w:val="en-GB"/>
        </w:rPr>
        <w:t xml:space="preserve">In this document, references to </w:t>
      </w:r>
      <w:r w:rsidR="00A311D8">
        <w:rPr>
          <w:lang w:val="en-GB"/>
        </w:rPr>
        <w:t>“</w:t>
      </w:r>
      <w:r w:rsidRPr="00571974">
        <w:rPr>
          <w:lang w:val="en-GB"/>
        </w:rPr>
        <w:t>Anglo American</w:t>
      </w:r>
      <w:r w:rsidR="00A311D8">
        <w:rPr>
          <w:lang w:val="en-GB"/>
        </w:rPr>
        <w:t>”</w:t>
      </w:r>
      <w:r w:rsidRPr="00571974">
        <w:rPr>
          <w:lang w:val="en-GB"/>
        </w:rPr>
        <w:t xml:space="preserve">, the </w:t>
      </w:r>
      <w:r w:rsidR="00A311D8">
        <w:rPr>
          <w:lang w:val="en-GB"/>
        </w:rPr>
        <w:t>“</w:t>
      </w:r>
      <w:r w:rsidRPr="00571974">
        <w:rPr>
          <w:lang w:val="en-GB"/>
        </w:rPr>
        <w:t>Anglo American Group</w:t>
      </w:r>
      <w:r w:rsidR="00A311D8">
        <w:rPr>
          <w:lang w:val="en-GB"/>
        </w:rPr>
        <w:t>”</w:t>
      </w:r>
      <w:r w:rsidRPr="00571974">
        <w:rPr>
          <w:lang w:val="en-GB"/>
        </w:rPr>
        <w:t xml:space="preserve">, the </w:t>
      </w:r>
      <w:r w:rsidR="00A311D8">
        <w:rPr>
          <w:lang w:val="en-GB"/>
        </w:rPr>
        <w:t>“</w:t>
      </w:r>
      <w:r w:rsidRPr="00571974">
        <w:rPr>
          <w:lang w:val="en-GB"/>
        </w:rPr>
        <w:t>Group</w:t>
      </w:r>
      <w:r w:rsidR="00A311D8">
        <w:rPr>
          <w:lang w:val="en-GB"/>
        </w:rPr>
        <w:t>”</w:t>
      </w:r>
      <w:r w:rsidRPr="00571974">
        <w:rPr>
          <w:lang w:val="en-GB"/>
        </w:rPr>
        <w:t xml:space="preserve">, </w:t>
      </w:r>
      <w:r w:rsidR="00A311D8">
        <w:rPr>
          <w:lang w:val="en-GB"/>
        </w:rPr>
        <w:t>“</w:t>
      </w:r>
      <w:r w:rsidRPr="00571974">
        <w:rPr>
          <w:lang w:val="en-GB"/>
        </w:rPr>
        <w:t>we</w:t>
      </w:r>
      <w:r w:rsidR="00A311D8">
        <w:rPr>
          <w:lang w:val="en-GB"/>
        </w:rPr>
        <w:t>”</w:t>
      </w:r>
      <w:r w:rsidRPr="00571974">
        <w:rPr>
          <w:lang w:val="en-GB"/>
        </w:rPr>
        <w:t xml:space="preserve">, </w:t>
      </w:r>
      <w:r w:rsidR="00A311D8">
        <w:rPr>
          <w:lang w:val="en-GB"/>
        </w:rPr>
        <w:t>“</w:t>
      </w:r>
      <w:r w:rsidRPr="00571974">
        <w:rPr>
          <w:lang w:val="en-GB"/>
        </w:rPr>
        <w:t>us</w:t>
      </w:r>
      <w:r w:rsidR="00A311D8">
        <w:rPr>
          <w:lang w:val="en-GB"/>
        </w:rPr>
        <w:t>”</w:t>
      </w:r>
      <w:r w:rsidRPr="00571974">
        <w:rPr>
          <w:lang w:val="en-GB"/>
        </w:rPr>
        <w:t xml:space="preserve">, and </w:t>
      </w:r>
      <w:r w:rsidR="00A311D8">
        <w:rPr>
          <w:lang w:val="en-GB"/>
        </w:rPr>
        <w:t>“</w:t>
      </w:r>
      <w:r w:rsidRPr="00571974">
        <w:rPr>
          <w:lang w:val="en-GB"/>
        </w:rPr>
        <w:t>our</w:t>
      </w:r>
      <w:r w:rsidR="00A311D8">
        <w:rPr>
          <w:lang w:val="en-GB"/>
        </w:rPr>
        <w:t>”</w:t>
      </w:r>
      <w:r w:rsidRPr="00571974">
        <w:rPr>
          <w:lang w:val="en-GB"/>
        </w:rPr>
        <w:t xml:space="preserve"> are to refer to either Anglo American plc and its subsidiaries and/or those who work for them generally, or where it is not necessary to refer to a particular entity, entities or persons. The use of </w:t>
      </w:r>
      <w:r>
        <w:rPr>
          <w:lang w:val="en-GB"/>
        </w:rPr>
        <w:t>these</w:t>
      </w:r>
      <w:r w:rsidRPr="00571974">
        <w:rPr>
          <w:lang w:val="en-GB"/>
        </w:rPr>
        <w:t xml:space="preserve"> generic terms herein is for convenience only, and is in no way indicative of how the Anglo American Group or any entity within it is structured, managed or controlled. Anglo American subsidiaries, and their management, are responsible for their own day-to-day operations, including but not limited to securing and maintaining all relevant licen</w:t>
      </w:r>
      <w:r>
        <w:rPr>
          <w:lang w:val="en-GB"/>
        </w:rPr>
        <w:t>s</w:t>
      </w:r>
      <w:r w:rsidRPr="00571974">
        <w:rPr>
          <w:lang w:val="en-GB"/>
        </w:rPr>
        <w:t>es and permits, operational adaptation and implementation of Group policies, management, training and any applicable local grievance mechanisms. Anglo American produces group-wide policies and procedures to ensure best uniform practices and standardisation across the Anglo American Group but is not responsible for the day to day implementation of such policies. Such policies and procedures constitute prescribed minimum standards only. Group operating subsidiaries are responsible for adapting those policies and procedures to reflect local conditions where appropriate, and for implementation, oversight and monitoring within their specific businesses.</w:t>
      </w:r>
      <w:r>
        <w:rPr>
          <w:lang w:val="en-GB"/>
        </w:rPr>
        <w:t xml:space="preserve"> </w:t>
      </w:r>
    </w:p>
    <w:p w14:paraId="0BA69BBF" w14:textId="77777777" w:rsidR="00542FF4" w:rsidRPr="00571974" w:rsidRDefault="003D4D89" w:rsidP="00542FF4">
      <w:pPr>
        <w:pStyle w:val="BodyText"/>
        <w:widowControl/>
        <w:autoSpaceDE/>
        <w:autoSpaceDN/>
        <w:adjustRightInd/>
        <w:jc w:val="center"/>
        <w:rPr>
          <w:b/>
          <w:lang w:val="en-GB"/>
        </w:rPr>
      </w:pPr>
      <w:r w:rsidRPr="00571974">
        <w:rPr>
          <w:b/>
          <w:lang w:val="en-GB"/>
        </w:rPr>
        <w:t>FORWARD-LOOKING STATEMENTS</w:t>
      </w:r>
    </w:p>
    <w:p w14:paraId="11B19B59" w14:textId="305CF77B" w:rsidR="00542FF4" w:rsidRPr="00571974" w:rsidRDefault="003D4D89" w:rsidP="00542FF4">
      <w:pPr>
        <w:pStyle w:val="BodyText"/>
        <w:widowControl/>
        <w:autoSpaceDE/>
        <w:autoSpaceDN/>
        <w:adjustRightInd/>
        <w:ind w:firstLine="360"/>
        <w:rPr>
          <w:lang w:val="en-GB"/>
        </w:rPr>
      </w:pPr>
      <w:r w:rsidRPr="00571974">
        <w:rPr>
          <w:lang w:val="en-GB"/>
        </w:rPr>
        <w:t xml:space="preserve">This document includes </w:t>
      </w:r>
      <w:r w:rsidR="00A311D8">
        <w:rPr>
          <w:lang w:val="en-GB"/>
        </w:rPr>
        <w:t>“</w:t>
      </w:r>
      <w:r w:rsidRPr="00571974">
        <w:rPr>
          <w:lang w:val="en-GB"/>
        </w:rPr>
        <w:t>forward</w:t>
      </w:r>
      <w:r w:rsidRPr="00571974">
        <w:rPr>
          <w:lang w:val="en-GB"/>
        </w:rPr>
        <w:noBreakHyphen/>
        <w:t>looking information</w:t>
      </w:r>
      <w:r w:rsidR="00A311D8">
        <w:rPr>
          <w:lang w:val="en-GB"/>
        </w:rPr>
        <w:t>”</w:t>
      </w:r>
      <w:r w:rsidRPr="00571974">
        <w:rPr>
          <w:lang w:val="en-GB"/>
        </w:rPr>
        <w:t xml:space="preserve"> within the meaning of Section 27A of the Securities Act and Section 21E of the </w:t>
      </w:r>
      <w:r w:rsidR="005A2A50" w:rsidRPr="00571974">
        <w:rPr>
          <w:lang w:val="en-GB"/>
        </w:rPr>
        <w:t xml:space="preserve">United States Securities </w:t>
      </w:r>
      <w:r w:rsidRPr="00571974">
        <w:rPr>
          <w:lang w:val="en-GB"/>
        </w:rPr>
        <w:t>Exchange Act</w:t>
      </w:r>
      <w:r w:rsidR="005A2A50" w:rsidRPr="00571974">
        <w:rPr>
          <w:lang w:val="en-GB"/>
        </w:rPr>
        <w:t xml:space="preserve"> of 1934, as amended (the </w:t>
      </w:r>
      <w:r w:rsidR="00A311D8">
        <w:rPr>
          <w:lang w:val="en-GB"/>
        </w:rPr>
        <w:t>“</w:t>
      </w:r>
      <w:r w:rsidR="005A2A50" w:rsidRPr="00571974">
        <w:rPr>
          <w:lang w:val="en-GB"/>
        </w:rPr>
        <w:t>Exchange Act</w:t>
      </w:r>
      <w:r w:rsidR="00A311D8">
        <w:rPr>
          <w:lang w:val="en-GB"/>
        </w:rPr>
        <w:t>”</w:t>
      </w:r>
      <w:r w:rsidR="005A2A50" w:rsidRPr="00571974">
        <w:rPr>
          <w:lang w:val="en-GB"/>
        </w:rPr>
        <w:t>)</w:t>
      </w:r>
      <w:r w:rsidRPr="00571974">
        <w:rPr>
          <w:lang w:val="en-GB"/>
        </w:rPr>
        <w:t>. All statements other than statements of historical fact are, or may be deemed to be, forward</w:t>
      </w:r>
      <w:r w:rsidRPr="00571974">
        <w:rPr>
          <w:lang w:val="en-GB"/>
        </w:rPr>
        <w:noBreakHyphen/>
        <w:t xml:space="preserve">looking statements, including without limitation those concerning levels of actual production during any period, levels of global demand and commodity market prices, mineral resource exploration and development capabilities, recovery rates and other operational capabilities, </w:t>
      </w:r>
      <w:r w:rsidR="00FC0823" w:rsidRPr="00FC0823">
        <w:rPr>
          <w:lang w:val="en-GB"/>
        </w:rPr>
        <w:t>the effects of global pandemics and outbreaks of infectious diseases,</w:t>
      </w:r>
      <w:r w:rsidR="00FC0823">
        <w:rPr>
          <w:lang w:val="en-GB"/>
        </w:rPr>
        <w:t xml:space="preserve"> </w:t>
      </w:r>
      <w:r w:rsidRPr="00571974">
        <w:rPr>
          <w:lang w:val="en-GB"/>
        </w:rPr>
        <w:t xml:space="preserve">the availability of mining and processing equipment, the ability to produce and transport products profitably, </w:t>
      </w:r>
      <w:r w:rsidR="004B6E9B" w:rsidRPr="00571974">
        <w:rPr>
          <w:lang w:val="en-GB"/>
        </w:rPr>
        <w:t xml:space="preserve">the availability of transportation infrastructure, </w:t>
      </w:r>
      <w:r w:rsidRPr="00571974">
        <w:rPr>
          <w:lang w:val="en-GB"/>
        </w:rPr>
        <w:t>the impact of foreign currency exchange rates on market prices and operating costs, level</w:t>
      </w:r>
      <w:r w:rsidR="004B6E9B" w:rsidRPr="00571974">
        <w:rPr>
          <w:lang w:val="en-GB"/>
        </w:rPr>
        <w:t>s</w:t>
      </w:r>
      <w:r w:rsidRPr="00571974">
        <w:rPr>
          <w:lang w:val="en-GB"/>
        </w:rPr>
        <w:t xml:space="preserve"> of cap</w:t>
      </w:r>
      <w:r w:rsidR="00674F72" w:rsidRPr="00571974">
        <w:rPr>
          <w:lang w:val="en-GB"/>
        </w:rPr>
        <w:t xml:space="preserve">ital </w:t>
      </w:r>
      <w:r w:rsidRPr="00571974">
        <w:rPr>
          <w:lang w:val="en-GB"/>
        </w:rPr>
        <w:t>ex</w:t>
      </w:r>
      <w:r w:rsidR="00674F72" w:rsidRPr="00571974">
        <w:rPr>
          <w:lang w:val="en-GB"/>
        </w:rPr>
        <w:t>penditure</w:t>
      </w:r>
      <w:r w:rsidRPr="00571974">
        <w:rPr>
          <w:lang w:val="en-GB"/>
        </w:rPr>
        <w:t>, rating and leverage targets, the availability of sufficient credit, the effects of inflation, political uncertainty and economic conditions in relevant areas of the world, the actions of competitors, activities by governmental authorities such as</w:t>
      </w:r>
      <w:r w:rsidR="004B6E9B" w:rsidRPr="00571974">
        <w:rPr>
          <w:lang w:val="en-GB"/>
        </w:rPr>
        <w:t xml:space="preserve"> permitting and</w:t>
      </w:r>
      <w:r w:rsidRPr="00571974">
        <w:rPr>
          <w:lang w:val="en-GB"/>
        </w:rPr>
        <w:t xml:space="preserve"> changes in taxation or safety, health, environmental or other types of regulation in the countries where Anglo American operates, conflicts over land and resource ownership rights and such other risk factors identified in this document (see </w:t>
      </w:r>
      <w:r w:rsidR="00A311D8">
        <w:rPr>
          <w:lang w:val="en-GB"/>
        </w:rPr>
        <w:t>“</w:t>
      </w:r>
      <w:r w:rsidRPr="00571974">
        <w:rPr>
          <w:lang w:val="en-GB"/>
        </w:rPr>
        <w:t>Risk Factors</w:t>
      </w:r>
      <w:r w:rsidR="00A311D8">
        <w:rPr>
          <w:lang w:val="en-GB"/>
        </w:rPr>
        <w:t>”</w:t>
      </w:r>
      <w:r w:rsidRPr="00571974">
        <w:rPr>
          <w:lang w:val="en-GB"/>
        </w:rPr>
        <w:t>). These forward</w:t>
      </w:r>
      <w:r w:rsidRPr="00571974">
        <w:rPr>
          <w:lang w:val="en-GB"/>
        </w:rPr>
        <w:noBreakHyphen/>
        <w:t>looking statements are not based on historical facts, but rather reflect our current expectations concerning future results and events and generally may be identified by the use of forward</w:t>
      </w:r>
      <w:r w:rsidRPr="00571974">
        <w:rPr>
          <w:lang w:val="en-GB"/>
        </w:rPr>
        <w:noBreakHyphen/>
        <w:t xml:space="preserve">looking words or phrases such as </w:t>
      </w:r>
      <w:r w:rsidR="00A311D8">
        <w:rPr>
          <w:lang w:val="en-GB"/>
        </w:rPr>
        <w:t>“</w:t>
      </w:r>
      <w:r w:rsidRPr="00571974">
        <w:rPr>
          <w:lang w:val="en-GB"/>
        </w:rPr>
        <w:t>believe</w:t>
      </w:r>
      <w:r w:rsidR="00A311D8">
        <w:rPr>
          <w:lang w:val="en-GB"/>
        </w:rPr>
        <w:t>”</w:t>
      </w:r>
      <w:r w:rsidRPr="00571974">
        <w:rPr>
          <w:lang w:val="en-GB"/>
        </w:rPr>
        <w:t xml:space="preserve">, </w:t>
      </w:r>
      <w:r w:rsidR="00A311D8">
        <w:rPr>
          <w:lang w:val="en-GB"/>
        </w:rPr>
        <w:t>“</w:t>
      </w:r>
      <w:r w:rsidRPr="00571974">
        <w:rPr>
          <w:lang w:val="en-GB"/>
        </w:rPr>
        <w:t>aim</w:t>
      </w:r>
      <w:r w:rsidR="00A311D8">
        <w:rPr>
          <w:lang w:val="en-GB"/>
        </w:rPr>
        <w:t>”</w:t>
      </w:r>
      <w:r w:rsidRPr="00571974">
        <w:rPr>
          <w:lang w:val="en-GB"/>
        </w:rPr>
        <w:t xml:space="preserve">, </w:t>
      </w:r>
      <w:r w:rsidR="00A311D8">
        <w:rPr>
          <w:lang w:val="en-GB"/>
        </w:rPr>
        <w:t>“</w:t>
      </w:r>
      <w:r w:rsidRPr="00571974">
        <w:rPr>
          <w:lang w:val="en-GB"/>
        </w:rPr>
        <w:t>expect</w:t>
      </w:r>
      <w:r w:rsidR="00A311D8">
        <w:rPr>
          <w:lang w:val="en-GB"/>
        </w:rPr>
        <w:t>”</w:t>
      </w:r>
      <w:r w:rsidRPr="00571974">
        <w:rPr>
          <w:lang w:val="en-GB"/>
        </w:rPr>
        <w:t xml:space="preserve">, </w:t>
      </w:r>
      <w:r w:rsidR="00A311D8">
        <w:rPr>
          <w:lang w:val="en-GB"/>
        </w:rPr>
        <w:t>“</w:t>
      </w:r>
      <w:r w:rsidRPr="00571974">
        <w:rPr>
          <w:lang w:val="en-GB"/>
        </w:rPr>
        <w:t>anticipate</w:t>
      </w:r>
      <w:r w:rsidR="00A311D8">
        <w:rPr>
          <w:lang w:val="en-GB"/>
        </w:rPr>
        <w:t>”</w:t>
      </w:r>
      <w:r w:rsidRPr="00571974">
        <w:rPr>
          <w:lang w:val="en-GB"/>
        </w:rPr>
        <w:t xml:space="preserve">, </w:t>
      </w:r>
      <w:r w:rsidR="00A311D8">
        <w:rPr>
          <w:lang w:val="en-GB"/>
        </w:rPr>
        <w:t>“</w:t>
      </w:r>
      <w:r w:rsidRPr="00571974">
        <w:rPr>
          <w:lang w:val="en-GB"/>
        </w:rPr>
        <w:t>intend</w:t>
      </w:r>
      <w:r w:rsidR="00A311D8">
        <w:rPr>
          <w:lang w:val="en-GB"/>
        </w:rPr>
        <w:t>”</w:t>
      </w:r>
      <w:r w:rsidRPr="00571974">
        <w:rPr>
          <w:lang w:val="en-GB"/>
        </w:rPr>
        <w:t xml:space="preserve">, </w:t>
      </w:r>
      <w:r w:rsidR="00A311D8">
        <w:rPr>
          <w:lang w:val="en-GB"/>
        </w:rPr>
        <w:t>“</w:t>
      </w:r>
      <w:r w:rsidRPr="00571974">
        <w:rPr>
          <w:lang w:val="en-GB"/>
        </w:rPr>
        <w:t>foresee</w:t>
      </w:r>
      <w:r w:rsidR="00A311D8">
        <w:rPr>
          <w:lang w:val="en-GB"/>
        </w:rPr>
        <w:t>”</w:t>
      </w:r>
      <w:r w:rsidRPr="00571974">
        <w:rPr>
          <w:lang w:val="en-GB"/>
        </w:rPr>
        <w:t xml:space="preserve">, </w:t>
      </w:r>
      <w:r w:rsidR="00A311D8">
        <w:rPr>
          <w:lang w:val="en-GB"/>
        </w:rPr>
        <w:t>“</w:t>
      </w:r>
      <w:r w:rsidRPr="00571974">
        <w:rPr>
          <w:lang w:val="en-GB"/>
        </w:rPr>
        <w:t>forecast</w:t>
      </w:r>
      <w:r w:rsidR="00A311D8">
        <w:rPr>
          <w:lang w:val="en-GB"/>
        </w:rPr>
        <w:t>”</w:t>
      </w:r>
      <w:r w:rsidRPr="00571974">
        <w:rPr>
          <w:lang w:val="en-GB"/>
        </w:rPr>
        <w:t xml:space="preserve">, </w:t>
      </w:r>
      <w:r w:rsidR="00A311D8">
        <w:rPr>
          <w:lang w:val="en-GB"/>
        </w:rPr>
        <w:t>“</w:t>
      </w:r>
      <w:r w:rsidRPr="00571974">
        <w:rPr>
          <w:lang w:val="en-GB"/>
        </w:rPr>
        <w:t>likely</w:t>
      </w:r>
      <w:r w:rsidR="00A311D8">
        <w:rPr>
          <w:lang w:val="en-GB"/>
        </w:rPr>
        <w:t>”</w:t>
      </w:r>
      <w:r w:rsidRPr="00571974">
        <w:rPr>
          <w:lang w:val="en-GB"/>
        </w:rPr>
        <w:t xml:space="preserve">, </w:t>
      </w:r>
      <w:r w:rsidR="00A311D8">
        <w:rPr>
          <w:lang w:val="en-GB"/>
        </w:rPr>
        <w:t>“</w:t>
      </w:r>
      <w:r w:rsidRPr="00571974">
        <w:rPr>
          <w:lang w:val="en-GB"/>
        </w:rPr>
        <w:t>should</w:t>
      </w:r>
      <w:r w:rsidR="00A311D8">
        <w:rPr>
          <w:lang w:val="en-GB"/>
        </w:rPr>
        <w:t>”</w:t>
      </w:r>
      <w:r w:rsidRPr="00571974">
        <w:rPr>
          <w:lang w:val="en-GB"/>
        </w:rPr>
        <w:t xml:space="preserve">, </w:t>
      </w:r>
      <w:r w:rsidR="00A311D8">
        <w:rPr>
          <w:lang w:val="en-GB"/>
        </w:rPr>
        <w:t>“</w:t>
      </w:r>
      <w:r w:rsidRPr="00571974">
        <w:rPr>
          <w:lang w:val="en-GB"/>
        </w:rPr>
        <w:t>planned</w:t>
      </w:r>
      <w:r w:rsidR="00A311D8">
        <w:rPr>
          <w:lang w:val="en-GB"/>
        </w:rPr>
        <w:t>”</w:t>
      </w:r>
      <w:r w:rsidRPr="00571974">
        <w:rPr>
          <w:lang w:val="en-GB"/>
        </w:rPr>
        <w:t xml:space="preserve">, </w:t>
      </w:r>
      <w:r w:rsidR="00A311D8">
        <w:rPr>
          <w:lang w:val="en-GB"/>
        </w:rPr>
        <w:t>“</w:t>
      </w:r>
      <w:r w:rsidRPr="00571974">
        <w:rPr>
          <w:lang w:val="en-GB"/>
        </w:rPr>
        <w:t>may</w:t>
      </w:r>
      <w:r w:rsidR="00A311D8">
        <w:rPr>
          <w:lang w:val="en-GB"/>
        </w:rPr>
        <w:t>”</w:t>
      </w:r>
      <w:r w:rsidRPr="00571974">
        <w:rPr>
          <w:lang w:val="en-GB"/>
        </w:rPr>
        <w:t xml:space="preserve">, </w:t>
      </w:r>
      <w:r w:rsidR="00A311D8">
        <w:rPr>
          <w:lang w:val="en-GB"/>
        </w:rPr>
        <w:t>“</w:t>
      </w:r>
      <w:r w:rsidRPr="00571974">
        <w:rPr>
          <w:lang w:val="en-GB"/>
        </w:rPr>
        <w:t>estimated</w:t>
      </w:r>
      <w:r w:rsidR="00A311D8">
        <w:rPr>
          <w:lang w:val="en-GB"/>
        </w:rPr>
        <w:t>”</w:t>
      </w:r>
      <w:r w:rsidRPr="00571974">
        <w:rPr>
          <w:lang w:val="en-GB"/>
        </w:rPr>
        <w:t xml:space="preserve">, </w:t>
      </w:r>
      <w:r w:rsidR="00A311D8">
        <w:rPr>
          <w:lang w:val="en-GB"/>
        </w:rPr>
        <w:t>“</w:t>
      </w:r>
      <w:r w:rsidRPr="00571974">
        <w:rPr>
          <w:lang w:val="en-GB"/>
        </w:rPr>
        <w:t>potential</w:t>
      </w:r>
      <w:r w:rsidR="00A311D8">
        <w:rPr>
          <w:lang w:val="en-GB"/>
        </w:rPr>
        <w:t>”</w:t>
      </w:r>
      <w:r w:rsidRPr="00571974">
        <w:rPr>
          <w:lang w:val="en-GB"/>
        </w:rPr>
        <w:t xml:space="preserve">, </w:t>
      </w:r>
      <w:r w:rsidR="00A311D8">
        <w:rPr>
          <w:lang w:val="en-GB"/>
        </w:rPr>
        <w:t>“</w:t>
      </w:r>
      <w:r w:rsidRPr="00571974">
        <w:rPr>
          <w:lang w:val="en-GB"/>
        </w:rPr>
        <w:t>projected</w:t>
      </w:r>
      <w:r w:rsidR="00A311D8">
        <w:rPr>
          <w:lang w:val="en-GB"/>
        </w:rPr>
        <w:t>”</w:t>
      </w:r>
      <w:r w:rsidRPr="00571974">
        <w:rPr>
          <w:lang w:val="en-GB"/>
        </w:rPr>
        <w:t xml:space="preserve">, </w:t>
      </w:r>
      <w:r w:rsidR="00A311D8">
        <w:rPr>
          <w:lang w:val="en-GB"/>
        </w:rPr>
        <w:t>“</w:t>
      </w:r>
      <w:r w:rsidRPr="00571974">
        <w:rPr>
          <w:lang w:val="en-GB"/>
        </w:rPr>
        <w:t>will</w:t>
      </w:r>
      <w:r w:rsidR="00A311D8">
        <w:rPr>
          <w:lang w:val="en-GB"/>
        </w:rPr>
        <w:t>”</w:t>
      </w:r>
      <w:r w:rsidRPr="00571974">
        <w:rPr>
          <w:lang w:val="en-GB"/>
        </w:rPr>
        <w:t xml:space="preserve">, </w:t>
      </w:r>
      <w:r w:rsidR="00A311D8">
        <w:rPr>
          <w:lang w:val="en-GB"/>
        </w:rPr>
        <w:t>“</w:t>
      </w:r>
      <w:r w:rsidRPr="00571974">
        <w:rPr>
          <w:lang w:val="en-GB"/>
        </w:rPr>
        <w:t>continue</w:t>
      </w:r>
      <w:r w:rsidR="00A311D8">
        <w:rPr>
          <w:lang w:val="en-GB"/>
        </w:rPr>
        <w:t>”</w:t>
      </w:r>
      <w:r w:rsidRPr="00571974">
        <w:rPr>
          <w:lang w:val="en-GB"/>
        </w:rPr>
        <w:t xml:space="preserve"> or other similar words and phrases. Similarly, statements that describe our objectives, plans or goals are or may be forward</w:t>
      </w:r>
      <w:r w:rsidRPr="00571974">
        <w:rPr>
          <w:lang w:val="en-GB"/>
        </w:rPr>
        <w:noBreakHyphen/>
        <w:t>looking statements.</w:t>
      </w:r>
    </w:p>
    <w:p w14:paraId="65A15835" w14:textId="77777777" w:rsidR="00542FF4" w:rsidRPr="00571974" w:rsidRDefault="003D4D89" w:rsidP="00542FF4">
      <w:pPr>
        <w:pStyle w:val="BodyText"/>
        <w:widowControl/>
        <w:autoSpaceDE/>
        <w:autoSpaceDN/>
        <w:adjustRightInd/>
        <w:ind w:firstLine="360"/>
        <w:rPr>
          <w:lang w:val="en-GB"/>
        </w:rPr>
      </w:pPr>
      <w:r w:rsidRPr="00571974">
        <w:rPr>
          <w:lang w:val="en-GB"/>
        </w:rPr>
        <w:t>These forward</w:t>
      </w:r>
      <w:r w:rsidRPr="00571974">
        <w:rPr>
          <w:lang w:val="en-GB"/>
        </w:rPr>
        <w:noBreakHyphen/>
        <w:t>looking statements involve known and unknown risks, uncertainties and other factors that may cause our actual results, performance or achievements to differ materially from the anticipated results, performance or achievements expressed or implied by these forward</w:t>
      </w:r>
      <w:r w:rsidRPr="00571974">
        <w:rPr>
          <w:lang w:val="en-GB"/>
        </w:rPr>
        <w:noBreakHyphen/>
        <w:t>looking statements. Although we believe that the expectations reflected in these forward</w:t>
      </w:r>
      <w:r w:rsidRPr="00571974">
        <w:rPr>
          <w:lang w:val="en-GB"/>
        </w:rPr>
        <w:noBreakHyphen/>
        <w:t>looking statements are reasonable, no assurance can be given that such expectations will prove to have been correct.</w:t>
      </w:r>
    </w:p>
    <w:p w14:paraId="79C1CFE7" w14:textId="77777777" w:rsidR="00542FF4" w:rsidRPr="00571974" w:rsidRDefault="003D4D89" w:rsidP="00542FF4">
      <w:pPr>
        <w:pStyle w:val="BodyText"/>
        <w:widowControl/>
        <w:autoSpaceDE/>
        <w:autoSpaceDN/>
        <w:adjustRightInd/>
        <w:ind w:firstLine="360"/>
        <w:rPr>
          <w:lang w:val="en-GB"/>
        </w:rPr>
      </w:pPr>
      <w:r w:rsidRPr="00571974">
        <w:rPr>
          <w:lang w:val="en-GB"/>
        </w:rPr>
        <w:t>The risk factors described in this document could affect our future results, causing these results to differ materially from those expressed in any forward</w:t>
      </w:r>
      <w:r w:rsidRPr="00571974">
        <w:rPr>
          <w:lang w:val="en-GB"/>
        </w:rPr>
        <w:noBreakHyphen/>
        <w:t>looking statements. These factors are not necessarily all the important factors that could cause our actual results to differ materially from those expressed in any forward</w:t>
      </w:r>
      <w:r w:rsidRPr="00571974">
        <w:rPr>
          <w:lang w:val="en-GB"/>
        </w:rPr>
        <w:noBreakHyphen/>
        <w:t>looking statements. Other unknown or unpredictable factors could also have material adverse effects on future results.</w:t>
      </w:r>
    </w:p>
    <w:p w14:paraId="1B51CB47" w14:textId="652D454E" w:rsidR="00542FF4" w:rsidRPr="00571974" w:rsidRDefault="003D4D89" w:rsidP="00542FF4">
      <w:pPr>
        <w:pStyle w:val="BodyText"/>
        <w:widowControl/>
        <w:autoSpaceDE/>
        <w:autoSpaceDN/>
        <w:adjustRightInd/>
        <w:ind w:firstLine="360"/>
        <w:rPr>
          <w:lang w:val="en-GB"/>
        </w:rPr>
      </w:pPr>
      <w:r w:rsidRPr="00571974">
        <w:rPr>
          <w:lang w:val="en-GB"/>
        </w:rPr>
        <w:t>You should review carefully all information, including the financial statements and the notes to the financial statements, which are incorporated by reference into this document. The forward</w:t>
      </w:r>
      <w:r w:rsidRPr="00571974">
        <w:rPr>
          <w:lang w:val="en-GB"/>
        </w:rPr>
        <w:noBreakHyphen/>
        <w:t xml:space="preserve">looking statements included in this document are made only as of the last practicable date prior to the date hereof. Except as required by the </w:t>
      </w:r>
      <w:r w:rsidR="001649AB">
        <w:rPr>
          <w:lang w:val="en-GB"/>
        </w:rPr>
        <w:t>FCA</w:t>
      </w:r>
      <w:r w:rsidRPr="00571974">
        <w:rPr>
          <w:lang w:val="en-GB"/>
        </w:rPr>
        <w:t xml:space="preserve"> or applicable law and regulation, neither we nor the Initial Purchasers undertake any obligation to update publicly or release any revisions to these forward</w:t>
      </w:r>
      <w:r w:rsidRPr="00571974">
        <w:rPr>
          <w:lang w:val="en-GB"/>
        </w:rPr>
        <w:noBreakHyphen/>
        <w:t>looking statements to reflect events or circumstances after the date of this document or to reflect the occurrence of unanticipated events. All subsequent written and oral forward</w:t>
      </w:r>
      <w:r w:rsidRPr="00571974">
        <w:rPr>
          <w:lang w:val="en-GB"/>
        </w:rPr>
        <w:noBreakHyphen/>
        <w:t xml:space="preserve">looking </w:t>
      </w:r>
      <w:r w:rsidRPr="00571974">
        <w:rPr>
          <w:lang w:val="en-GB"/>
        </w:rPr>
        <w:lastRenderedPageBreak/>
        <w:t>statements attributable to us or any person acting on our behalf are qualified by the cautionary statements in this section.</w:t>
      </w:r>
    </w:p>
    <w:p w14:paraId="38253D9D" w14:textId="77777777" w:rsidR="00542FF4" w:rsidRPr="00571974" w:rsidRDefault="003D4D89" w:rsidP="00321F6A">
      <w:pPr>
        <w:pStyle w:val="BodyText"/>
        <w:keepNext/>
        <w:widowControl/>
        <w:autoSpaceDE/>
        <w:autoSpaceDN/>
        <w:adjustRightInd/>
        <w:jc w:val="center"/>
        <w:rPr>
          <w:b/>
          <w:lang w:val="en-GB"/>
        </w:rPr>
      </w:pPr>
      <w:r w:rsidRPr="00571974">
        <w:rPr>
          <w:b/>
          <w:lang w:val="en-GB"/>
        </w:rPr>
        <w:t>MARKET AND INDUSTRY DATA</w:t>
      </w:r>
    </w:p>
    <w:p w14:paraId="07B98349" w14:textId="2341F1F3" w:rsidR="00542FF4" w:rsidRPr="00571974" w:rsidRDefault="00F7022D" w:rsidP="00321F6A">
      <w:pPr>
        <w:pStyle w:val="BodyText"/>
        <w:keepNext/>
        <w:widowControl/>
        <w:autoSpaceDE/>
        <w:autoSpaceDN/>
        <w:adjustRightInd/>
        <w:ind w:firstLine="360"/>
        <w:rPr>
          <w:lang w:val="en-GB"/>
        </w:rPr>
      </w:pPr>
      <w:bookmarkStart w:id="9" w:name="_Hlk33108605"/>
      <w:r w:rsidRPr="00571974">
        <w:rPr>
          <w:lang w:val="en-GB"/>
        </w:rPr>
        <w:t xml:space="preserve">Where cited in this document, market data and industry data and forecasts were obtained and reproduced from reports prepared by Wood Mackenzie, </w:t>
      </w:r>
      <w:r w:rsidR="003E1E5C" w:rsidRPr="00571974">
        <w:rPr>
          <w:lang w:val="en-GB"/>
        </w:rPr>
        <w:t xml:space="preserve">CRU, </w:t>
      </w:r>
      <w:r w:rsidRPr="00571974">
        <w:rPr>
          <w:lang w:val="en-GB"/>
        </w:rPr>
        <w:t>Platts, the World Steel Association, the London Metal Exchange</w:t>
      </w:r>
      <w:r w:rsidR="0009201B">
        <w:rPr>
          <w:lang w:val="en-GB"/>
        </w:rPr>
        <w:t>, the</w:t>
      </w:r>
      <w:r w:rsidRPr="00571974">
        <w:rPr>
          <w:lang w:val="en-GB"/>
        </w:rPr>
        <w:t xml:space="preserve"> </w:t>
      </w:r>
      <w:r w:rsidR="0009201B" w:rsidRPr="0009201B">
        <w:rPr>
          <w:lang w:val="en-GB"/>
        </w:rPr>
        <w:t xml:space="preserve">London Platinum and Palladium Market, Camdaq, </w:t>
      </w:r>
      <w:r w:rsidR="0009201B">
        <w:rPr>
          <w:lang w:val="en-GB"/>
        </w:rPr>
        <w:t xml:space="preserve">the </w:t>
      </w:r>
      <w:r w:rsidR="0009201B" w:rsidRPr="0009201B">
        <w:rPr>
          <w:lang w:val="en-GB"/>
        </w:rPr>
        <w:t>Metal Bulletin, Argus/McCloskey</w:t>
      </w:r>
      <w:r w:rsidR="0009201B">
        <w:rPr>
          <w:lang w:val="en-GB"/>
        </w:rPr>
        <w:t xml:space="preserve"> Coal Price Index and</w:t>
      </w:r>
      <w:r w:rsidR="0009201B" w:rsidRPr="0009201B">
        <w:rPr>
          <w:lang w:val="en-GB"/>
        </w:rPr>
        <w:t xml:space="preserve"> </w:t>
      </w:r>
      <w:r w:rsidR="0009201B" w:rsidRPr="00571974">
        <w:rPr>
          <w:lang w:val="en-GB"/>
        </w:rPr>
        <w:t xml:space="preserve">the </w:t>
      </w:r>
      <w:r w:rsidR="0009201B" w:rsidRPr="0009201B">
        <w:rPr>
          <w:lang w:val="en-GB"/>
        </w:rPr>
        <w:t>globalCOAL</w:t>
      </w:r>
      <w:bookmarkEnd w:id="9"/>
      <w:r w:rsidRPr="00571974">
        <w:rPr>
          <w:lang w:val="en-GB"/>
        </w:rPr>
        <w:t>. Industry surveys, publications, consultant surveys and forecasts generally state that the information contained therein has been obtained from sources believed to be reliable, but that the accuracy and completeness of such information is not guaranteed. We have not independently verified any of the data from third party sources, nor have we ascertained the underlying economic assumptions relied upon therein. Similarly, industry forecasts and market research, which we believe to be reliable based upon the Group management</w:t>
      </w:r>
      <w:r w:rsidR="00A311D8">
        <w:rPr>
          <w:lang w:val="en-GB"/>
        </w:rPr>
        <w:t>’</w:t>
      </w:r>
      <w:r w:rsidRPr="00571974">
        <w:rPr>
          <w:lang w:val="en-GB"/>
        </w:rPr>
        <w:t>s knowledge of the industry, have not been independently verified. Forecasts are particularly likely to be inaccurate, especially over long periods of time. In addition, we do not necessarily know what assumptions regarding general economic growth were used in preparing the forecasts we cite. We do not make any representation as to the accuracy of data from third party sources, industry forecasts and market research</w:t>
      </w:r>
      <w:r w:rsidR="004B6E9B" w:rsidRPr="00571974">
        <w:rPr>
          <w:lang w:val="en-GB"/>
        </w:rPr>
        <w:t xml:space="preserve"> and we expressly disclaim any responsibility for, or liability in respect of, such third party information</w:t>
      </w:r>
      <w:r w:rsidRPr="00571974">
        <w:rPr>
          <w:lang w:val="en-GB"/>
        </w:rPr>
        <w:t>. Statements as to the Group</w:t>
      </w:r>
      <w:r w:rsidR="00A311D8">
        <w:rPr>
          <w:lang w:val="en-GB"/>
        </w:rPr>
        <w:t>’</w:t>
      </w:r>
      <w:r w:rsidRPr="00571974">
        <w:rPr>
          <w:lang w:val="en-GB"/>
        </w:rPr>
        <w:t>s market position are based on the most currently available data. While we are not aware of any misstatements regarding the Group</w:t>
      </w:r>
      <w:r w:rsidR="00A311D8">
        <w:rPr>
          <w:lang w:val="en-GB"/>
        </w:rPr>
        <w:t>’</w:t>
      </w:r>
      <w:r w:rsidRPr="00571974">
        <w:rPr>
          <w:lang w:val="en-GB"/>
        </w:rPr>
        <w:t xml:space="preserve">s industry data presented herein, our estimates involve risks and uncertainties and are subject to change based on various factors, including those discussed under the heading </w:t>
      </w:r>
      <w:r w:rsidR="00A311D8">
        <w:rPr>
          <w:lang w:val="en-GB"/>
        </w:rPr>
        <w:t>“</w:t>
      </w:r>
      <w:r w:rsidRPr="00571974">
        <w:rPr>
          <w:lang w:val="en-GB"/>
        </w:rPr>
        <w:t>Risk Factors</w:t>
      </w:r>
      <w:r w:rsidR="00A311D8">
        <w:rPr>
          <w:lang w:val="en-GB"/>
        </w:rPr>
        <w:t>”</w:t>
      </w:r>
      <w:r w:rsidRPr="00571974">
        <w:rPr>
          <w:lang w:val="en-GB"/>
        </w:rPr>
        <w:t xml:space="preserve"> in this document. Neither we nor the Initial Purchasers can guarantee the accuracy or completeness of any such industry data contained in this document. Where the information in this document has been sourced from a third party, such information has been accurately reproduced and so far as the Issuer and the Company are aware and are able to ascertain from information published by that third party, no facts have been omitted which would render the reproduced information inaccurate or misleading. Further, where the information in this document has been sourced from a third party, reference is made to the third party source where such information appears in the document.</w:t>
      </w:r>
    </w:p>
    <w:p w14:paraId="72EE336D" w14:textId="77777777" w:rsidR="00542FF4" w:rsidRPr="00571974" w:rsidRDefault="003D4D89" w:rsidP="00542FF4">
      <w:pPr>
        <w:pStyle w:val="BodyText"/>
        <w:widowControl/>
        <w:autoSpaceDE/>
        <w:autoSpaceDN/>
        <w:adjustRightInd/>
        <w:jc w:val="center"/>
        <w:rPr>
          <w:b/>
          <w:lang w:val="en-GB"/>
        </w:rPr>
      </w:pPr>
      <w:r w:rsidRPr="00571974">
        <w:rPr>
          <w:b/>
          <w:lang w:val="en-GB"/>
        </w:rPr>
        <w:t xml:space="preserve">CAUTIONARY NOTE TO </w:t>
      </w:r>
      <w:r w:rsidR="006D150F" w:rsidRPr="00571974">
        <w:rPr>
          <w:b/>
          <w:lang w:val="en-GB"/>
        </w:rPr>
        <w:t>U.S.</w:t>
      </w:r>
      <w:r w:rsidRPr="00571974">
        <w:rPr>
          <w:b/>
          <w:lang w:val="en-GB"/>
        </w:rPr>
        <w:t xml:space="preserve"> INVESTORS CONCERNING ESTIMATES OF MEASURED, INDICATED AND INFERRED RESOURCES FOR MINING OPERATIONS</w:t>
      </w:r>
    </w:p>
    <w:p w14:paraId="3737C75F" w14:textId="364BA792" w:rsidR="00542FF4" w:rsidRPr="00571974" w:rsidRDefault="003D4D89" w:rsidP="00542FF4">
      <w:pPr>
        <w:pStyle w:val="BodyText"/>
        <w:ind w:firstLine="360"/>
        <w:rPr>
          <w:rFonts w:eastAsia="PMingLiU"/>
          <w:szCs w:val="20"/>
          <w:lang w:val="en-GB"/>
        </w:rPr>
      </w:pPr>
      <w:r w:rsidRPr="00571974">
        <w:rPr>
          <w:rStyle w:val="DeltaViewInsertion"/>
          <w:rFonts w:eastAsia="PMingLiU"/>
          <w:color w:val="auto"/>
          <w:szCs w:val="20"/>
          <w:u w:val="none"/>
          <w:lang w:val="en-GB"/>
        </w:rPr>
        <w:t xml:space="preserve">There are differences in reporting regimes for </w:t>
      </w:r>
      <w:r w:rsidR="00976CC4">
        <w:rPr>
          <w:rStyle w:val="DeltaViewInsertion"/>
          <w:rFonts w:eastAsia="PMingLiU"/>
          <w:color w:val="auto"/>
          <w:szCs w:val="20"/>
          <w:u w:val="none"/>
          <w:lang w:val="en-GB"/>
        </w:rPr>
        <w:t>Ore</w:t>
      </w:r>
      <w:r w:rsidR="00976CC4" w:rsidRPr="00571974">
        <w:rPr>
          <w:rStyle w:val="DeltaViewInsertion"/>
          <w:rFonts w:eastAsia="PMingLiU"/>
          <w:color w:val="auto"/>
          <w:szCs w:val="20"/>
          <w:u w:val="none"/>
          <w:lang w:val="en-GB"/>
        </w:rPr>
        <w:t xml:space="preserve"> </w:t>
      </w:r>
      <w:r w:rsidR="00976CC4">
        <w:rPr>
          <w:rStyle w:val="DeltaViewInsertion"/>
          <w:rFonts w:eastAsia="PMingLiU"/>
          <w:color w:val="auto"/>
          <w:szCs w:val="20"/>
          <w:u w:val="none"/>
          <w:lang w:val="en-GB"/>
        </w:rPr>
        <w:t>R</w:t>
      </w:r>
      <w:r w:rsidRPr="00571974">
        <w:rPr>
          <w:rStyle w:val="DeltaViewInsertion"/>
          <w:rFonts w:eastAsia="PMingLiU"/>
          <w:color w:val="auto"/>
          <w:szCs w:val="20"/>
          <w:u w:val="none"/>
          <w:lang w:val="en-GB"/>
        </w:rPr>
        <w:t xml:space="preserve">eserve estimates between Australasian Code for Reporting of Exploration Results, Mineral Resources and Ore Reserves, 2012 edition (the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JORC Code</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and the South African Code for Reporting of Exploration Results, Mineral Resources and Mineral Reserves </w:t>
      </w:r>
      <w:r w:rsidRPr="00571974">
        <w:rPr>
          <w:lang w:val="en-GB"/>
        </w:rPr>
        <w:t>(20</w:t>
      </w:r>
      <w:r w:rsidR="00331240" w:rsidRPr="00571974">
        <w:rPr>
          <w:lang w:val="en-GB"/>
        </w:rPr>
        <w:t>16</w:t>
      </w:r>
      <w:r w:rsidRPr="00571974">
        <w:rPr>
          <w:lang w:val="en-GB"/>
        </w:rPr>
        <w:t xml:space="preserve"> Edition )</w:t>
      </w:r>
      <w:r w:rsidRPr="00571974">
        <w:rPr>
          <w:rStyle w:val="DeltaViewInsertion"/>
          <w:rFonts w:eastAsia="PMingLiU"/>
          <w:color w:val="auto"/>
          <w:szCs w:val="20"/>
          <w:u w:val="none"/>
          <w:lang w:val="en-GB"/>
        </w:rPr>
        <w:t xml:space="preserve"> on the one hand, each of which are used by the Group, and the United States reporting regime under the requirements as adopted by the SEC in its Industry Guide 7—Description of Property by Issuers engaged or to be engaged in Significant Mining Operations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Industry Guide 7</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on the other hand. The principal difference is the absence under Industry Guide 7 of any provision for the reporting of estimates other than </w:t>
      </w:r>
      <w:r w:rsidR="007F740D">
        <w:rPr>
          <w:rStyle w:val="DeltaViewInsertion"/>
          <w:rFonts w:eastAsia="PMingLiU"/>
          <w:color w:val="auto"/>
          <w:szCs w:val="20"/>
          <w:u w:val="none"/>
          <w:lang w:val="en-GB"/>
        </w:rPr>
        <w:t>p</w:t>
      </w:r>
      <w:r w:rsidRPr="00571974">
        <w:rPr>
          <w:rStyle w:val="DeltaViewInsertion"/>
          <w:rFonts w:eastAsia="PMingLiU"/>
          <w:color w:val="auto"/>
          <w:szCs w:val="20"/>
          <w:u w:val="none"/>
          <w:lang w:val="en-GB"/>
        </w:rPr>
        <w:t>rove</w:t>
      </w:r>
      <w:r w:rsidR="00331240" w:rsidRPr="00571974">
        <w:rPr>
          <w:rStyle w:val="DeltaViewInsertion"/>
          <w:rFonts w:eastAsia="PMingLiU"/>
          <w:color w:val="auto"/>
          <w:szCs w:val="20"/>
          <w:u w:val="none"/>
          <w:lang w:val="en-GB"/>
        </w:rPr>
        <w:t>n</w:t>
      </w:r>
      <w:r w:rsidRPr="00571974">
        <w:rPr>
          <w:rStyle w:val="DeltaViewInsertion"/>
          <w:rFonts w:eastAsia="PMingLiU"/>
          <w:color w:val="auto"/>
          <w:szCs w:val="20"/>
          <w:u w:val="none"/>
          <w:lang w:val="en-GB"/>
        </w:rPr>
        <w:t xml:space="preserve"> (measured) or </w:t>
      </w:r>
      <w:r w:rsidR="007F740D">
        <w:rPr>
          <w:rStyle w:val="DeltaViewInsertion"/>
          <w:rFonts w:eastAsia="PMingLiU"/>
          <w:color w:val="auto"/>
          <w:szCs w:val="20"/>
          <w:u w:val="none"/>
          <w:lang w:val="en-GB"/>
        </w:rPr>
        <w:t>p</w:t>
      </w:r>
      <w:r w:rsidRPr="00571974">
        <w:rPr>
          <w:rStyle w:val="DeltaViewInsertion"/>
          <w:rFonts w:eastAsia="PMingLiU"/>
          <w:color w:val="auto"/>
          <w:szCs w:val="20"/>
          <w:u w:val="none"/>
          <w:lang w:val="en-GB"/>
        </w:rPr>
        <w:t xml:space="preserve">robable (indicated) reserves, and the SEC does not permit mining companies to disclose </w:t>
      </w:r>
      <w:r w:rsidR="00976CC4">
        <w:rPr>
          <w:rStyle w:val="DeltaViewInsertion"/>
          <w:rFonts w:eastAsia="PMingLiU"/>
          <w:color w:val="auto"/>
          <w:szCs w:val="20"/>
          <w:u w:val="none"/>
          <w:lang w:val="en-GB"/>
        </w:rPr>
        <w:t>M</w:t>
      </w:r>
      <w:r w:rsidRPr="00571974">
        <w:rPr>
          <w:rStyle w:val="DeltaViewInsertion"/>
          <w:rFonts w:eastAsia="PMingLiU"/>
          <w:color w:val="auto"/>
          <w:szCs w:val="20"/>
          <w:u w:val="none"/>
          <w:lang w:val="en-GB"/>
        </w:rPr>
        <w:t xml:space="preserve">ineral </w:t>
      </w:r>
      <w:r w:rsidR="00976CC4">
        <w:rPr>
          <w:rStyle w:val="DeltaViewInsertion"/>
          <w:rFonts w:eastAsia="PMingLiU"/>
          <w:color w:val="auto"/>
          <w:szCs w:val="20"/>
          <w:u w:val="none"/>
          <w:lang w:val="en-GB"/>
        </w:rPr>
        <w:t>R</w:t>
      </w:r>
      <w:r w:rsidRPr="00571974">
        <w:rPr>
          <w:rStyle w:val="DeltaViewInsertion"/>
          <w:rFonts w:eastAsia="PMingLiU"/>
          <w:color w:val="auto"/>
          <w:szCs w:val="20"/>
          <w:u w:val="none"/>
          <w:lang w:val="en-GB"/>
        </w:rPr>
        <w:t xml:space="preserve">esources in SEC filings. There is, therefore, no equivalent for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resources</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or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mineral resources</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under the SEC</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s Industry Guide 7.</w:t>
      </w:r>
    </w:p>
    <w:p w14:paraId="71E85B34" w14:textId="449E7A78" w:rsidR="00542FF4" w:rsidRPr="00571974" w:rsidRDefault="003D4D89" w:rsidP="00542FF4">
      <w:pPr>
        <w:pStyle w:val="BodyText"/>
        <w:ind w:firstLine="360"/>
        <w:rPr>
          <w:rFonts w:eastAsia="PMingLiU"/>
          <w:szCs w:val="20"/>
          <w:lang w:val="en-GB"/>
        </w:rPr>
      </w:pPr>
      <w:r w:rsidRPr="00571974">
        <w:rPr>
          <w:rStyle w:val="DeltaViewInsertion"/>
          <w:rFonts w:eastAsia="PMingLiU"/>
          <w:color w:val="auto"/>
          <w:szCs w:val="20"/>
          <w:u w:val="none"/>
          <w:lang w:val="en-GB"/>
        </w:rPr>
        <w:t xml:space="preserve">Additionally, under Industry Guide 7, reserves must be estimated on the basis of current economic and legal conditions, whereas the JORC Code permits the use of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realistic</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assumptions, which may include forecast prices and reasonable expectations that required permits will be granted in the future and contracts will be entered into for the sale of production. </w:t>
      </w:r>
    </w:p>
    <w:p w14:paraId="79FFD5F8" w14:textId="77777777" w:rsidR="00542FF4" w:rsidRPr="00571974" w:rsidRDefault="003D4D89" w:rsidP="00542FF4">
      <w:pPr>
        <w:pStyle w:val="BodyText"/>
        <w:ind w:firstLine="360"/>
        <w:rPr>
          <w:rFonts w:eastAsia="PMingLiU"/>
          <w:szCs w:val="20"/>
          <w:lang w:val="en-GB"/>
        </w:rPr>
      </w:pPr>
      <w:r w:rsidRPr="00571974">
        <w:rPr>
          <w:rStyle w:val="DeltaViewInsertion"/>
          <w:rFonts w:eastAsia="PMingLiU"/>
          <w:color w:val="auto"/>
          <w:szCs w:val="20"/>
          <w:u w:val="none"/>
          <w:lang w:val="en-GB"/>
        </w:rPr>
        <w:t>The SEC has applied the following reporting definitions to reserves under Industry Guide 7:</w:t>
      </w:r>
    </w:p>
    <w:p w14:paraId="66C08380" w14:textId="4A949D44" w:rsidR="00542FF4" w:rsidRPr="00571974" w:rsidRDefault="003D4D89" w:rsidP="00542FF4">
      <w:pPr>
        <w:pStyle w:val="ListBullet"/>
        <w:tabs>
          <w:tab w:val="clear" w:pos="360"/>
          <w:tab w:val="num" w:pos="757"/>
        </w:tabs>
        <w:ind w:left="1163" w:hanging="397"/>
      </w:pPr>
      <w:r w:rsidRPr="00571974">
        <w:t xml:space="preserve">A </w:t>
      </w:r>
      <w:r w:rsidR="00A311D8">
        <w:t>“</w:t>
      </w:r>
      <w:r w:rsidRPr="00571974">
        <w:t>reserve</w:t>
      </w:r>
      <w:r w:rsidR="00A311D8">
        <w:t>”</w:t>
      </w:r>
      <w:r w:rsidRPr="00571974">
        <w:t xml:space="preserve"> is </w:t>
      </w:r>
      <w:r w:rsidR="00A311D8">
        <w:t>“</w:t>
      </w:r>
      <w:r w:rsidRPr="00571974">
        <w:t xml:space="preserve">that part of a mineral deposit which could be economically and legally extracted or produced at the time of the reserve determination. Reserves are </w:t>
      </w:r>
      <w:r w:rsidR="006350D6" w:rsidRPr="00571974">
        <w:t xml:space="preserve">customarily stated in terms of </w:t>
      </w:r>
      <w:r w:rsidR="00A311D8">
        <w:t>“</w:t>
      </w:r>
      <w:r w:rsidR="006350D6" w:rsidRPr="00571974">
        <w:t>ore</w:t>
      </w:r>
      <w:r w:rsidR="00A311D8">
        <w:t>”</w:t>
      </w:r>
      <w:r w:rsidRPr="00571974">
        <w:t xml:space="preserve"> when dealing with metalliferous minerals; when other materials such as coal, oil, shale, tar, sands, limestone, etc. are involve</w:t>
      </w:r>
      <w:r w:rsidR="006350D6" w:rsidRPr="00571974">
        <w:t xml:space="preserve">d, an appropriate term such as </w:t>
      </w:r>
      <w:r w:rsidR="00A311D8">
        <w:t>“</w:t>
      </w:r>
      <w:r w:rsidR="006350D6" w:rsidRPr="00571974">
        <w:t>recoverable coal</w:t>
      </w:r>
      <w:r w:rsidR="00A311D8">
        <w:t>”</w:t>
      </w:r>
      <w:r w:rsidRPr="00571974">
        <w:t xml:space="preserve"> may be substituted.</w:t>
      </w:r>
      <w:r w:rsidR="00A311D8">
        <w:t>”</w:t>
      </w:r>
    </w:p>
    <w:p w14:paraId="0281C1CF" w14:textId="0B15F280" w:rsidR="00542FF4" w:rsidRPr="00571974" w:rsidRDefault="00A311D8" w:rsidP="00542FF4">
      <w:pPr>
        <w:pStyle w:val="ListBullet"/>
        <w:tabs>
          <w:tab w:val="clear" w:pos="360"/>
          <w:tab w:val="num" w:pos="757"/>
        </w:tabs>
        <w:ind w:left="1163" w:hanging="397"/>
        <w:rPr>
          <w:rStyle w:val="DeltaViewInsertion"/>
          <w:rFonts w:eastAsia="PMingLiU"/>
          <w:color w:val="auto"/>
          <w:u w:val="none"/>
        </w:rPr>
      </w:pPr>
      <w:r>
        <w:rPr>
          <w:rStyle w:val="DeltaViewInsertion"/>
          <w:rFonts w:eastAsia="PMingLiU"/>
          <w:color w:val="auto"/>
          <w:szCs w:val="20"/>
          <w:u w:val="none"/>
        </w:rPr>
        <w:t>“</w:t>
      </w:r>
      <w:r w:rsidR="003D4D89" w:rsidRPr="00571974">
        <w:rPr>
          <w:rStyle w:val="DeltaViewInsertion"/>
          <w:rFonts w:eastAsia="PMingLiU"/>
          <w:color w:val="auto"/>
          <w:szCs w:val="20"/>
          <w:u w:val="none"/>
        </w:rPr>
        <w:t>Proven (measured) reserves</w:t>
      </w:r>
      <w:r>
        <w:rPr>
          <w:rStyle w:val="DeltaViewInsertion"/>
          <w:rFonts w:eastAsia="PMingLiU"/>
          <w:color w:val="auto"/>
          <w:szCs w:val="20"/>
          <w:u w:val="none"/>
        </w:rPr>
        <w:t>”</w:t>
      </w:r>
      <w:r w:rsidR="003D4D89" w:rsidRPr="00571974">
        <w:rPr>
          <w:rStyle w:val="DeltaViewInsertion"/>
          <w:rFonts w:eastAsia="PMingLiU"/>
          <w:color w:val="auto"/>
          <w:szCs w:val="20"/>
          <w:u w:val="none"/>
        </w:rPr>
        <w:t xml:space="preserve"> are </w:t>
      </w:r>
      <w:r>
        <w:rPr>
          <w:rStyle w:val="DeltaViewInsertion"/>
          <w:rFonts w:eastAsia="PMingLiU"/>
          <w:color w:val="auto"/>
          <w:szCs w:val="20"/>
          <w:u w:val="none"/>
        </w:rPr>
        <w:t>“</w:t>
      </w:r>
      <w:r w:rsidR="003D4D89" w:rsidRPr="00571974">
        <w:rPr>
          <w:rStyle w:val="DeltaViewInsertion"/>
          <w:rFonts w:eastAsia="PMingLiU"/>
          <w:color w:val="auto"/>
          <w:szCs w:val="20"/>
          <w:u w:val="none"/>
        </w:rPr>
        <w:t>reserves for which: (a) quantity is computed from dimensions revealed in outcrops, trenches, workings or drill holes; grade and/or quality are computed from the results of detailed sampling; and (b) the sites for inspection, sampling and measurement are spaced so closely and the geologic character is so well defined that size, shape, depth and mineral content of reserves are well-established.</w:t>
      </w:r>
      <w:r>
        <w:rPr>
          <w:rStyle w:val="DeltaViewInsertion"/>
          <w:rFonts w:eastAsia="PMingLiU"/>
          <w:color w:val="auto"/>
          <w:szCs w:val="20"/>
          <w:u w:val="none"/>
        </w:rPr>
        <w:t>”</w:t>
      </w:r>
    </w:p>
    <w:p w14:paraId="46F4E2CA" w14:textId="7AEE4BD6" w:rsidR="00542FF4" w:rsidRPr="00571974" w:rsidRDefault="00A311D8" w:rsidP="00542FF4">
      <w:pPr>
        <w:pStyle w:val="ListBullet"/>
        <w:tabs>
          <w:tab w:val="clear" w:pos="360"/>
          <w:tab w:val="num" w:pos="757"/>
        </w:tabs>
        <w:ind w:left="1163" w:hanging="397"/>
        <w:rPr>
          <w:rStyle w:val="DeltaViewInsertion"/>
          <w:rFonts w:eastAsia="PMingLiU"/>
          <w:color w:val="auto"/>
          <w:u w:val="none"/>
        </w:rPr>
      </w:pPr>
      <w:r>
        <w:rPr>
          <w:rStyle w:val="DeltaViewInsertion"/>
          <w:rFonts w:eastAsia="PMingLiU"/>
          <w:color w:val="auto"/>
          <w:szCs w:val="20"/>
          <w:u w:val="none"/>
        </w:rPr>
        <w:t>“</w:t>
      </w:r>
      <w:r w:rsidR="003D4D89" w:rsidRPr="00571974">
        <w:rPr>
          <w:rStyle w:val="DeltaViewInsertion"/>
          <w:rFonts w:eastAsia="PMingLiU"/>
          <w:color w:val="auto"/>
          <w:szCs w:val="20"/>
          <w:u w:val="none"/>
        </w:rPr>
        <w:t>Probable (indicated) reserves</w:t>
      </w:r>
      <w:r>
        <w:rPr>
          <w:rStyle w:val="DeltaViewInsertion"/>
          <w:rFonts w:eastAsia="PMingLiU"/>
          <w:color w:val="auto"/>
          <w:szCs w:val="20"/>
          <w:u w:val="none"/>
        </w:rPr>
        <w:t>”</w:t>
      </w:r>
      <w:r w:rsidR="003D4D89" w:rsidRPr="00571974">
        <w:rPr>
          <w:rStyle w:val="DeltaViewInsertion"/>
          <w:rFonts w:eastAsia="PMingLiU"/>
          <w:color w:val="auto"/>
          <w:szCs w:val="20"/>
          <w:u w:val="none"/>
        </w:rPr>
        <w:t xml:space="preserve"> are </w:t>
      </w:r>
      <w:r>
        <w:rPr>
          <w:rStyle w:val="DeltaViewInsertion"/>
          <w:rFonts w:eastAsia="PMingLiU"/>
          <w:color w:val="auto"/>
          <w:szCs w:val="20"/>
          <w:u w:val="none"/>
        </w:rPr>
        <w:t>“</w:t>
      </w:r>
      <w:r w:rsidR="003D4D89" w:rsidRPr="00571974">
        <w:rPr>
          <w:rStyle w:val="DeltaViewInsertion"/>
          <w:rFonts w:eastAsia="PMingLiU"/>
          <w:color w:val="auto"/>
          <w:szCs w:val="20"/>
          <w:u w:val="none"/>
        </w:rPr>
        <w:t xml:space="preserve">reserves for which quantity and grade and/or quality are computed from information similar to that used for proven (measured) reserves, but the sites for inspection, sampling and measurement are farther apart or are otherwise less adequately spaced. The </w:t>
      </w:r>
      <w:r w:rsidR="003D4D89" w:rsidRPr="00571974">
        <w:rPr>
          <w:rStyle w:val="DeltaViewInsertion"/>
          <w:rFonts w:eastAsia="PMingLiU"/>
          <w:color w:val="auto"/>
          <w:szCs w:val="20"/>
          <w:u w:val="none"/>
        </w:rPr>
        <w:lastRenderedPageBreak/>
        <w:t>degree of assurance, although lower than that for proven (measured) reserves, is high enough to assume continuity between points of observation.</w:t>
      </w:r>
      <w:r>
        <w:rPr>
          <w:rStyle w:val="DeltaViewInsertion"/>
          <w:rFonts w:eastAsia="PMingLiU"/>
          <w:color w:val="auto"/>
          <w:szCs w:val="20"/>
          <w:u w:val="none"/>
        </w:rPr>
        <w:t>”</w:t>
      </w:r>
    </w:p>
    <w:p w14:paraId="3BAD28E4" w14:textId="6280B6C8" w:rsidR="00542FF4" w:rsidRPr="00571974" w:rsidRDefault="003D4D89" w:rsidP="00542FF4">
      <w:pPr>
        <w:pStyle w:val="BodyText"/>
        <w:ind w:firstLine="360"/>
        <w:rPr>
          <w:rFonts w:eastAsia="PMingLiU"/>
          <w:szCs w:val="20"/>
          <w:lang w:val="en-GB"/>
        </w:rPr>
      </w:pPr>
      <w:r w:rsidRPr="00571974">
        <w:rPr>
          <w:rStyle w:val="DeltaViewInsertion"/>
          <w:rFonts w:eastAsia="PMingLiU"/>
          <w:color w:val="auto"/>
          <w:szCs w:val="20"/>
          <w:u w:val="none"/>
          <w:lang w:val="en-GB"/>
        </w:rPr>
        <w:t xml:space="preserve">This prospectus and the documents incorporated by reference herein use the term </w:t>
      </w:r>
      <w:r w:rsidR="00A311D8">
        <w:rPr>
          <w:rStyle w:val="DeltaViewInsertion"/>
          <w:rFonts w:eastAsia="PMingLiU"/>
          <w:color w:val="auto"/>
          <w:szCs w:val="20"/>
          <w:u w:val="none"/>
          <w:lang w:val="en-GB"/>
        </w:rPr>
        <w:t>“</w:t>
      </w:r>
      <w:r w:rsidR="00976CC4">
        <w:rPr>
          <w:rStyle w:val="DeltaViewInsertion"/>
          <w:rFonts w:eastAsia="PMingLiU"/>
          <w:color w:val="auto"/>
          <w:szCs w:val="20"/>
          <w:u w:val="none"/>
          <w:lang w:val="en-GB"/>
        </w:rPr>
        <w:t>M</w:t>
      </w:r>
      <w:r w:rsidR="00331240" w:rsidRPr="00571974">
        <w:rPr>
          <w:rStyle w:val="DeltaViewInsertion"/>
          <w:rFonts w:eastAsia="PMingLiU"/>
          <w:color w:val="auto"/>
          <w:szCs w:val="20"/>
          <w:u w:val="none"/>
          <w:lang w:val="en-GB"/>
        </w:rPr>
        <w:t xml:space="preserve">ineral </w:t>
      </w:r>
      <w:r w:rsidR="00976CC4">
        <w:rPr>
          <w:rStyle w:val="DeltaViewInsertion"/>
          <w:rFonts w:eastAsia="PMingLiU"/>
          <w:color w:val="auto"/>
          <w:szCs w:val="20"/>
          <w:u w:val="none"/>
          <w:lang w:val="en-GB"/>
        </w:rPr>
        <w:t>R</w:t>
      </w:r>
      <w:r w:rsidRPr="00571974">
        <w:rPr>
          <w:rStyle w:val="DeltaViewInsertion"/>
          <w:rFonts w:eastAsia="PMingLiU"/>
          <w:color w:val="auto"/>
          <w:szCs w:val="20"/>
          <w:u w:val="none"/>
          <w:lang w:val="en-GB"/>
        </w:rPr>
        <w:t>esources</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which are comprised of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measured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indicated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and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inferred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mineral resources.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Inferred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mineral resources have a great amount of uncertainty as to their existence and great uncertainty as to their economic and legal feasibility. It cannot be assumed that all or any part of an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inferred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mineral resource will ever be upgraded to a higher category. Under SEC rules, estimates of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inferred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mineral resources may not form the basis of feasibility or other economic studies. Investors should not assume that all or any part of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measured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or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indicated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resources will ever be converted into Ore Reserves. Investors are also cautioned not to assume that all or any part of an </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inferred</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 mineral resource exists or is economically mineable.</w:t>
      </w:r>
    </w:p>
    <w:p w14:paraId="7D068492" w14:textId="533D48D3" w:rsidR="00542FF4" w:rsidRPr="00571974" w:rsidRDefault="003D4D89" w:rsidP="00542FF4">
      <w:pPr>
        <w:pStyle w:val="BodyText"/>
        <w:ind w:firstLine="360"/>
        <w:rPr>
          <w:rStyle w:val="DeltaViewInsertion"/>
          <w:rFonts w:eastAsia="PMingLiU"/>
          <w:color w:val="auto"/>
          <w:szCs w:val="20"/>
          <w:u w:val="none"/>
          <w:lang w:val="en-GB"/>
        </w:rPr>
      </w:pPr>
      <w:r w:rsidRPr="00571974">
        <w:rPr>
          <w:rStyle w:val="DeltaViewInsertion"/>
          <w:rFonts w:eastAsia="PMingLiU"/>
          <w:color w:val="auto"/>
          <w:szCs w:val="20"/>
          <w:u w:val="none"/>
          <w:lang w:val="en-GB"/>
        </w:rPr>
        <w:t>Accordingly, investors should be aware that if this prospectus and the documents incorporated by reference herein had been prepared in accordance with Industry Guide 7, the Group</w:t>
      </w:r>
      <w:r w:rsidR="00A311D8">
        <w:rPr>
          <w:rStyle w:val="DeltaViewInsertion"/>
          <w:rFonts w:eastAsia="PMingLiU"/>
          <w:color w:val="auto"/>
          <w:szCs w:val="20"/>
          <w:u w:val="none"/>
          <w:lang w:val="en-GB"/>
        </w:rPr>
        <w:t>’</w:t>
      </w:r>
      <w:r w:rsidRPr="00571974">
        <w:rPr>
          <w:rStyle w:val="DeltaViewInsertion"/>
          <w:rFonts w:eastAsia="PMingLiU"/>
          <w:color w:val="auto"/>
          <w:szCs w:val="20"/>
          <w:u w:val="none"/>
          <w:lang w:val="en-GB"/>
        </w:rPr>
        <w:t xml:space="preserve">s mineral resources would not be permitted to be reported and our </w:t>
      </w:r>
      <w:r w:rsidR="00DB7DFA">
        <w:rPr>
          <w:rStyle w:val="DeltaViewInsertion"/>
          <w:rFonts w:eastAsia="PMingLiU"/>
          <w:color w:val="auto"/>
          <w:szCs w:val="20"/>
          <w:u w:val="none"/>
          <w:lang w:val="en-GB"/>
        </w:rPr>
        <w:t>O</w:t>
      </w:r>
      <w:r w:rsidR="00520FC3" w:rsidRPr="00571974">
        <w:rPr>
          <w:rStyle w:val="DeltaViewInsertion"/>
          <w:rFonts w:eastAsia="PMingLiU"/>
          <w:color w:val="auto"/>
          <w:szCs w:val="20"/>
          <w:u w:val="none"/>
          <w:lang w:val="en-GB"/>
        </w:rPr>
        <w:t xml:space="preserve">re </w:t>
      </w:r>
      <w:r w:rsidR="00DB7DFA">
        <w:rPr>
          <w:rStyle w:val="DeltaViewInsertion"/>
          <w:rFonts w:eastAsia="PMingLiU"/>
          <w:color w:val="auto"/>
          <w:szCs w:val="20"/>
          <w:u w:val="none"/>
          <w:lang w:val="en-GB"/>
        </w:rPr>
        <w:t>R</w:t>
      </w:r>
      <w:r w:rsidRPr="00571974">
        <w:rPr>
          <w:rStyle w:val="DeltaViewInsertion"/>
          <w:rFonts w:eastAsia="PMingLiU"/>
          <w:color w:val="auto"/>
          <w:szCs w:val="20"/>
          <w:u w:val="none"/>
          <w:lang w:val="en-GB"/>
        </w:rPr>
        <w:t>eserves would differ from those described herein and therein.</w:t>
      </w:r>
    </w:p>
    <w:p w14:paraId="7E18DBC2" w14:textId="77777777" w:rsidR="00542FF4" w:rsidRPr="00571974" w:rsidRDefault="003D4D89" w:rsidP="00542FF4">
      <w:pPr>
        <w:pStyle w:val="BodyText"/>
        <w:widowControl/>
        <w:autoSpaceDE/>
        <w:autoSpaceDN/>
        <w:adjustRightInd/>
        <w:jc w:val="center"/>
        <w:rPr>
          <w:b/>
          <w:lang w:val="en-GB"/>
        </w:rPr>
      </w:pPr>
      <w:r w:rsidRPr="00571974">
        <w:rPr>
          <w:b/>
          <w:lang w:val="en-GB"/>
        </w:rPr>
        <w:t>SERVICE OF PROCESS AND ENFORCEMENT OF CIVIL LIABILITIES</w:t>
      </w:r>
    </w:p>
    <w:p w14:paraId="1AB39219" w14:textId="2CDC9DE0" w:rsidR="00542FF4" w:rsidRPr="00571974" w:rsidRDefault="003D4D89" w:rsidP="00542FF4">
      <w:pPr>
        <w:pStyle w:val="BodyText"/>
        <w:widowControl/>
        <w:autoSpaceDE/>
        <w:autoSpaceDN/>
        <w:adjustRightInd/>
        <w:ind w:firstLine="360"/>
        <w:rPr>
          <w:lang w:val="en-GB"/>
        </w:rPr>
      </w:pPr>
      <w:r w:rsidRPr="00571974">
        <w:rPr>
          <w:lang w:val="en-GB"/>
        </w:rPr>
        <w:t xml:space="preserve">The Company and the Issuer are incorporated under the laws of England and Wales. </w:t>
      </w:r>
      <w:bookmarkStart w:id="10" w:name="_Hlk1390893"/>
      <w:r w:rsidRPr="00571974">
        <w:rPr>
          <w:lang w:val="en-GB"/>
        </w:rPr>
        <w:t>Most of the directors and executive officers of the Company and all the directors of the Issuer live outside the United States</w:t>
      </w:r>
      <w:bookmarkEnd w:id="10"/>
      <w:r w:rsidRPr="00571974">
        <w:rPr>
          <w:lang w:val="en-GB"/>
        </w:rPr>
        <w:t>. Most of the assets of the Company</w:t>
      </w:r>
      <w:r w:rsidR="00A311D8">
        <w:rPr>
          <w:lang w:val="en-GB"/>
        </w:rPr>
        <w:t>’</w:t>
      </w:r>
      <w:r w:rsidRPr="00571974">
        <w:rPr>
          <w:lang w:val="en-GB"/>
        </w:rPr>
        <w:t>s and the Issuer</w:t>
      </w:r>
      <w:r w:rsidR="00A311D8">
        <w:rPr>
          <w:lang w:val="en-GB"/>
        </w:rPr>
        <w:t>’</w:t>
      </w:r>
      <w:r w:rsidRPr="00571974">
        <w:rPr>
          <w:lang w:val="en-GB"/>
        </w:rPr>
        <w:t>s directors and executive officers and substantially all the Company</w:t>
      </w:r>
      <w:r w:rsidR="00A311D8">
        <w:rPr>
          <w:lang w:val="en-GB"/>
        </w:rPr>
        <w:t>’</w:t>
      </w:r>
      <w:r w:rsidRPr="00571974">
        <w:rPr>
          <w:lang w:val="en-GB"/>
        </w:rPr>
        <w:t>s and the Issuer</w:t>
      </w:r>
      <w:r w:rsidR="00A311D8">
        <w:rPr>
          <w:lang w:val="en-GB"/>
        </w:rPr>
        <w:t>’</w:t>
      </w:r>
      <w:r w:rsidRPr="00571974">
        <w:rPr>
          <w:lang w:val="en-GB"/>
        </w:rPr>
        <w:t xml:space="preserve">s assets are located outside the United States. As a result, it may be difficult for you to serve process on those persons or the Company or the Issuer in the United States or to enforce judgments obtained in </w:t>
      </w:r>
      <w:r w:rsidR="006D150F" w:rsidRPr="00571974">
        <w:rPr>
          <w:lang w:val="en-GB"/>
        </w:rPr>
        <w:t>U.S.</w:t>
      </w:r>
      <w:r w:rsidRPr="00571974">
        <w:rPr>
          <w:lang w:val="en-GB"/>
        </w:rPr>
        <w:t xml:space="preserve"> courts against them based on civil liability provisions of the securities laws of the United States.</w:t>
      </w:r>
    </w:p>
    <w:p w14:paraId="75F87CDB"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There is doubt as to enforceability in the English courts, in original actions or in actions for enforcement of judgments of </w:t>
      </w:r>
      <w:r w:rsidR="006D150F" w:rsidRPr="00571974">
        <w:rPr>
          <w:lang w:val="en-GB"/>
        </w:rPr>
        <w:t>U.S.</w:t>
      </w:r>
      <w:r w:rsidRPr="00571974">
        <w:rPr>
          <w:lang w:val="en-GB"/>
        </w:rPr>
        <w:t xml:space="preserve"> courts, of liabilities predicated solely upon the federal securities laws of the United States. In addition, awards of punitive damages in actions brought in the United States or elsewhere may not be enforceable in the United Kingdom. The enforceability of any judgment in the United Kingdom will depend on the particular facts of the case in effect at the time.</w:t>
      </w:r>
    </w:p>
    <w:p w14:paraId="58DACB1A" w14:textId="77777777" w:rsidR="00542FF4" w:rsidRPr="00571974" w:rsidRDefault="003D4D89" w:rsidP="00542FF4">
      <w:pPr>
        <w:pStyle w:val="BodyText"/>
        <w:widowControl/>
        <w:autoSpaceDE/>
        <w:autoSpaceDN/>
        <w:adjustRightInd/>
        <w:jc w:val="center"/>
        <w:rPr>
          <w:b/>
          <w:lang w:val="en-GB"/>
        </w:rPr>
      </w:pPr>
      <w:r w:rsidRPr="00571974">
        <w:rPr>
          <w:b/>
          <w:lang w:val="en-GB"/>
        </w:rPr>
        <w:t>AVAILABLE INFORMATION</w:t>
      </w:r>
    </w:p>
    <w:p w14:paraId="5CAE93DD" w14:textId="77777777" w:rsidR="00542FF4" w:rsidRPr="00571974" w:rsidRDefault="003D4D89" w:rsidP="00542FF4">
      <w:pPr>
        <w:pStyle w:val="BodyText"/>
        <w:widowControl/>
        <w:autoSpaceDE/>
        <w:autoSpaceDN/>
        <w:adjustRightInd/>
        <w:ind w:firstLine="360"/>
        <w:rPr>
          <w:lang w:val="en-GB"/>
        </w:rPr>
      </w:pPr>
      <w:r w:rsidRPr="00571974">
        <w:rPr>
          <w:lang w:val="en-GB"/>
        </w:rPr>
        <w:t>For so long as the Company is neither subject to Section 13 or 15(d) of the Exchange Act, nor exempt from reporting pursuant to Rule 12g3-2(b) thereunder, the Issuer and the Company, respectively, will furnish to the holder of any Notes and to each prospective purchaser designated by any such holder, upon the request of such holder or prospective purchaser, the information required to be delivered pursuant to Rule </w:t>
      </w:r>
      <w:r w:rsidR="00B36C81" w:rsidRPr="00571974">
        <w:rPr>
          <w:lang w:val="en-GB"/>
        </w:rPr>
        <w:t>144A(</w:t>
      </w:r>
      <w:r w:rsidRPr="00571974">
        <w:rPr>
          <w:lang w:val="en-GB"/>
        </w:rPr>
        <w:t>d)(4) under the Securities Act. Any such request may be made to us at 20 Carlton House Terrace, London, SW1Y 5AN, England. As of the date hereof, the Company is exempt from such reporting obligations under Rule 12g3-2(b) under the Exchange Act.</w:t>
      </w:r>
    </w:p>
    <w:p w14:paraId="306B62F2" w14:textId="212AD4A3" w:rsidR="00DF4A0D" w:rsidRPr="00571974" w:rsidRDefault="003D4D89" w:rsidP="00DF4A0D">
      <w:pPr>
        <w:pStyle w:val="Heading1"/>
        <w:rPr>
          <w:lang w:val="en-GB"/>
        </w:rPr>
      </w:pPr>
      <w:r w:rsidRPr="00571974">
        <w:rPr>
          <w:lang w:val="en-GB"/>
        </w:rPr>
        <w:br w:type="page"/>
      </w:r>
      <w:bookmarkStart w:id="11" w:name="_Toc36388952"/>
      <w:bookmarkStart w:id="12" w:name="_Toc349210411"/>
      <w:bookmarkStart w:id="13" w:name="_Hlk773578"/>
      <w:r w:rsidR="00DF4A0D" w:rsidRPr="00571974">
        <w:rPr>
          <w:lang w:val="en-GB"/>
        </w:rPr>
        <w:lastRenderedPageBreak/>
        <w:t>PRESENTATION OF FINANCIAL INFORMATION</w:t>
      </w:r>
      <w:bookmarkEnd w:id="11"/>
    </w:p>
    <w:p w14:paraId="22BFB9B4" w14:textId="14344A10" w:rsidR="00DF4A0D" w:rsidRPr="00571974" w:rsidRDefault="003D4D89" w:rsidP="00DF4A0D">
      <w:pPr>
        <w:pStyle w:val="BodyText"/>
        <w:widowControl/>
        <w:autoSpaceDE/>
        <w:autoSpaceDN/>
        <w:adjustRightInd/>
        <w:ind w:firstLine="360"/>
        <w:rPr>
          <w:lang w:val="en-GB"/>
        </w:rPr>
      </w:pPr>
      <w:r w:rsidRPr="00571974">
        <w:rPr>
          <w:rFonts w:eastAsia="PMingLiU"/>
          <w:szCs w:val="20"/>
          <w:lang w:val="en-GB" w:eastAsia="en-US"/>
        </w:rPr>
        <w:t>Unless</w:t>
      </w:r>
      <w:r w:rsidRPr="00571974">
        <w:rPr>
          <w:lang w:val="en-GB"/>
        </w:rPr>
        <w:t xml:space="preserve"> otherwise indicated, financial information in this document has been prepared on the basis of International Financial Reporting Standards as adopted for use by the European Union (</w:t>
      </w:r>
      <w:r w:rsidR="00A311D8">
        <w:rPr>
          <w:lang w:val="en-GB"/>
        </w:rPr>
        <w:t>“</w:t>
      </w:r>
      <w:r w:rsidRPr="00571974">
        <w:rPr>
          <w:lang w:val="en-GB"/>
        </w:rPr>
        <w:t>IFRS</w:t>
      </w:r>
      <w:r w:rsidR="00A311D8">
        <w:rPr>
          <w:lang w:val="en-GB"/>
        </w:rPr>
        <w:t>”</w:t>
      </w:r>
      <w:r w:rsidRPr="00571974">
        <w:rPr>
          <w:lang w:val="en-GB"/>
        </w:rPr>
        <w:t xml:space="preserve">). The financial information of the Group has been prepared on the basis of applicable law and IFRS. The financial information of the Issuer has been prepared on the basis of applicable law and Generally Accepted Accounting Principles in the United Kingdom, including FRS 101 </w:t>
      </w:r>
      <w:r w:rsidR="00A311D8">
        <w:rPr>
          <w:lang w:val="en-GB"/>
        </w:rPr>
        <w:t>“</w:t>
      </w:r>
      <w:r w:rsidRPr="00571974">
        <w:rPr>
          <w:lang w:val="en-GB"/>
        </w:rPr>
        <w:t>Reduced Disclosure Framework</w:t>
      </w:r>
      <w:r w:rsidR="00A311D8">
        <w:rPr>
          <w:lang w:val="en-GB"/>
        </w:rPr>
        <w:t>”</w:t>
      </w:r>
      <w:r w:rsidRPr="00571974">
        <w:rPr>
          <w:lang w:val="en-GB"/>
        </w:rPr>
        <w:t xml:space="preserve"> (</w:t>
      </w:r>
      <w:r w:rsidR="00A311D8">
        <w:rPr>
          <w:lang w:val="en-GB"/>
        </w:rPr>
        <w:t>“</w:t>
      </w:r>
      <w:r w:rsidRPr="00571974">
        <w:rPr>
          <w:lang w:val="en-GB"/>
        </w:rPr>
        <w:t>UK GAAP</w:t>
      </w:r>
      <w:r w:rsidR="00A311D8">
        <w:rPr>
          <w:lang w:val="en-GB"/>
        </w:rPr>
        <w:t>”</w:t>
      </w:r>
      <w:r w:rsidRPr="00571974">
        <w:rPr>
          <w:lang w:val="en-GB"/>
        </w:rPr>
        <w:t xml:space="preserve">). </w:t>
      </w:r>
    </w:p>
    <w:p w14:paraId="3043F56D" w14:textId="3592EA63" w:rsidR="00DF4A0D" w:rsidRPr="00571974" w:rsidRDefault="003D4D89" w:rsidP="00DF4A0D">
      <w:pPr>
        <w:pStyle w:val="BodyText"/>
        <w:widowControl/>
        <w:autoSpaceDE/>
        <w:autoSpaceDN/>
        <w:adjustRightInd/>
        <w:ind w:firstLine="360"/>
        <w:rPr>
          <w:lang w:val="en-GB"/>
        </w:rPr>
      </w:pPr>
      <w:r w:rsidRPr="00571974">
        <w:rPr>
          <w:lang w:val="en-GB"/>
        </w:rPr>
        <w:t>The Group 2019 Consolidated Financial Statements, and the Issuer 2019 Financial Statements incorporated by reference into this document, have been audited by Deloitte LLP (</w:t>
      </w:r>
      <w:r w:rsidR="00A311D8">
        <w:rPr>
          <w:lang w:val="en-GB"/>
        </w:rPr>
        <w:t>“</w:t>
      </w:r>
      <w:r w:rsidRPr="00571974">
        <w:rPr>
          <w:lang w:val="en-GB"/>
        </w:rPr>
        <w:t>Deloitte</w:t>
      </w:r>
      <w:r w:rsidR="00A311D8">
        <w:rPr>
          <w:lang w:val="en-GB"/>
        </w:rPr>
        <w:t>”</w:t>
      </w:r>
      <w:r w:rsidRPr="00571974">
        <w:rPr>
          <w:lang w:val="en-GB"/>
        </w:rPr>
        <w:t>), independent accountants who are registered to carry out audit work by the Institute of Chartered Accountants in England and Wales, with an address at 2 New Street Square, London, EC4A 3BZ, as stated in their report appearing therein. The Group 2018 Consolidated Financial Statements, Group 2017 Consolidated Financial Statements, Issuer 2018 Financial Statements and Issuer 2017 Financial Statements are incorporated by reference in this document and have been audited by Deloitte, as stated in their reports also incorporated therein.</w:t>
      </w:r>
    </w:p>
    <w:p w14:paraId="3A2B1191" w14:textId="77777777" w:rsidR="00DF4A0D" w:rsidRPr="00571974" w:rsidRDefault="003D4D89" w:rsidP="00DF4A0D">
      <w:pPr>
        <w:pStyle w:val="BodyText"/>
        <w:widowControl/>
        <w:autoSpaceDE/>
        <w:autoSpaceDN/>
        <w:adjustRightInd/>
        <w:ind w:firstLine="360"/>
        <w:rPr>
          <w:lang w:val="en-GB"/>
        </w:rPr>
      </w:pPr>
      <w:r w:rsidRPr="00571974">
        <w:rPr>
          <w:lang w:val="en-GB"/>
        </w:rPr>
        <w:t>Our business unit structure focuses our portfolio around principal products which are located in areas of key geographic focus for each product. These business units are:</w:t>
      </w:r>
    </w:p>
    <w:p w14:paraId="214DBFA5"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De Beers (Botswana, Canada, Namibia and South Africa);</w:t>
      </w:r>
    </w:p>
    <w:p w14:paraId="3EBDD9DC"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Copper (Chile, Finland and Peru);</w:t>
      </w:r>
    </w:p>
    <w:p w14:paraId="145B9A40" w14:textId="5BB6A7DE"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Platinum Group Metals (</w:t>
      </w:r>
      <w:r w:rsidR="00A311D8">
        <w:rPr>
          <w:rFonts w:cs="Times New Roman"/>
        </w:rPr>
        <w:t>“</w:t>
      </w:r>
      <w:r w:rsidRPr="00956F99">
        <w:rPr>
          <w:rFonts w:cs="Times New Roman"/>
        </w:rPr>
        <w:t>PGMs</w:t>
      </w:r>
      <w:r w:rsidR="00A311D8">
        <w:rPr>
          <w:rFonts w:cs="Times New Roman"/>
        </w:rPr>
        <w:t>”</w:t>
      </w:r>
      <w:r w:rsidRPr="00571974">
        <w:rPr>
          <w:rFonts w:cs="Times New Roman"/>
        </w:rPr>
        <w:t>) (South Africa and Zimbabwe);</w:t>
      </w:r>
    </w:p>
    <w:p w14:paraId="19394E1D"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Iron Ore (Brazil and South Africa);</w:t>
      </w:r>
    </w:p>
    <w:p w14:paraId="46765F3D"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Coal (Australia, Canada, Colombia and South Africa);</w:t>
      </w:r>
    </w:p>
    <w:p w14:paraId="4630838C"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Nickel and Manganese (Australia, Brazil and South Africa); and</w:t>
      </w:r>
    </w:p>
    <w:p w14:paraId="4E336A46"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 xml:space="preserve">Corporate and Other (Worldwide). </w:t>
      </w:r>
    </w:p>
    <w:p w14:paraId="2580E629"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Our Group results are reported on a reportable segment basis in accordance with IFRS. Reportable segments are:</w:t>
      </w:r>
    </w:p>
    <w:p w14:paraId="5D0A677E"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De Beers;</w:t>
      </w:r>
    </w:p>
    <w:p w14:paraId="73313A3E"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Copper;</w:t>
      </w:r>
    </w:p>
    <w:p w14:paraId="429444D3"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PGMs;</w:t>
      </w:r>
    </w:p>
    <w:p w14:paraId="4D21267F"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Iron Ore</w:t>
      </w:r>
      <w:r>
        <w:rPr>
          <w:rFonts w:cs="Times New Roman"/>
        </w:rPr>
        <w:t>;</w:t>
      </w:r>
      <w:r w:rsidRPr="00571974">
        <w:rPr>
          <w:rFonts w:cs="Times New Roman"/>
        </w:rPr>
        <w:t xml:space="preserve"> </w:t>
      </w:r>
    </w:p>
    <w:p w14:paraId="0BCEB9CB"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Coal</w:t>
      </w:r>
      <w:r>
        <w:rPr>
          <w:rFonts w:cs="Times New Roman"/>
        </w:rPr>
        <w:t>;</w:t>
      </w:r>
    </w:p>
    <w:p w14:paraId="14BA6A8E"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Nickel and Manganese; and</w:t>
      </w:r>
    </w:p>
    <w:p w14:paraId="4E9679D7" w14:textId="77777777" w:rsidR="00DF4A0D" w:rsidRPr="00571974" w:rsidRDefault="003D4D89" w:rsidP="00DF4A0D">
      <w:pPr>
        <w:pStyle w:val="ListBullet"/>
        <w:tabs>
          <w:tab w:val="clear" w:pos="360"/>
          <w:tab w:val="num" w:pos="757"/>
        </w:tabs>
        <w:ind w:left="1163" w:hanging="397"/>
        <w:rPr>
          <w:rFonts w:cs="Times New Roman"/>
        </w:rPr>
      </w:pPr>
      <w:r w:rsidRPr="00571974">
        <w:rPr>
          <w:rFonts w:cs="Times New Roman"/>
        </w:rPr>
        <w:t xml:space="preserve">Corporate and Other </w:t>
      </w:r>
    </w:p>
    <w:p w14:paraId="7DCD060B" w14:textId="35462413" w:rsidR="00DF4A0D" w:rsidRPr="00571974" w:rsidRDefault="003D4D89" w:rsidP="007B1404">
      <w:pPr>
        <w:ind w:firstLine="360"/>
        <w:rPr>
          <w:rFonts w:eastAsia="PMingLiU"/>
          <w:szCs w:val="20"/>
          <w:lang w:val="en-GB"/>
        </w:rPr>
      </w:pPr>
      <w:r w:rsidRPr="00571974">
        <w:rPr>
          <w:rFonts w:eastAsia="PMingLiU"/>
          <w:szCs w:val="20"/>
          <w:lang w:val="en-GB" w:eastAsia="en-US"/>
        </w:rPr>
        <w:t>The Group</w:t>
      </w:r>
      <w:r w:rsidR="00A311D8">
        <w:rPr>
          <w:rFonts w:eastAsia="PMingLiU"/>
          <w:szCs w:val="20"/>
          <w:lang w:val="en-GB" w:eastAsia="en-US"/>
        </w:rPr>
        <w:t>’</w:t>
      </w:r>
      <w:r w:rsidRPr="00571974">
        <w:rPr>
          <w:rFonts w:eastAsia="PMingLiU"/>
          <w:szCs w:val="20"/>
          <w:lang w:val="en-GB" w:eastAsia="en-US"/>
        </w:rPr>
        <w:t>s operating segments are aligned to those business units that are evaluated regularly by the chief operating decision maker in deciding how to allocate resources and in assessing performance. Operating segments with similar economic characteristics are aggregated into reportable segments. Shipping revenue related to shipments of the Group</w:t>
      </w:r>
      <w:r w:rsidR="00A311D8">
        <w:rPr>
          <w:rFonts w:eastAsia="PMingLiU"/>
          <w:szCs w:val="20"/>
          <w:lang w:val="en-GB" w:eastAsia="en-US"/>
        </w:rPr>
        <w:t>’</w:t>
      </w:r>
      <w:r w:rsidRPr="00571974">
        <w:rPr>
          <w:rFonts w:eastAsia="PMingLiU"/>
          <w:szCs w:val="20"/>
          <w:lang w:val="en-GB" w:eastAsia="en-US"/>
        </w:rPr>
        <w:t xml:space="preserve">s products is shown within the relevant operating segment. Revenue from other shipping arrangements is presented within the </w:t>
      </w:r>
      <w:r w:rsidR="00A311D8">
        <w:rPr>
          <w:rFonts w:eastAsia="PMingLiU"/>
          <w:szCs w:val="20"/>
          <w:lang w:val="en-GB" w:eastAsia="en-US"/>
        </w:rPr>
        <w:t>‘</w:t>
      </w:r>
      <w:r w:rsidRPr="00571974">
        <w:rPr>
          <w:rFonts w:eastAsia="PMingLiU"/>
          <w:szCs w:val="20"/>
          <w:lang w:val="en-GB" w:eastAsia="en-US"/>
        </w:rPr>
        <w:t xml:space="preserve">Corporate and </w:t>
      </w:r>
      <w:r w:rsidR="00E64C25">
        <w:rPr>
          <w:rFonts w:eastAsia="PMingLiU"/>
          <w:szCs w:val="20"/>
          <w:lang w:val="en-GB" w:eastAsia="en-US"/>
        </w:rPr>
        <w:t>O</w:t>
      </w:r>
      <w:r w:rsidRPr="00571974">
        <w:rPr>
          <w:rFonts w:eastAsia="PMingLiU"/>
          <w:szCs w:val="20"/>
          <w:lang w:val="en-GB" w:eastAsia="en-US"/>
        </w:rPr>
        <w:t>ther</w:t>
      </w:r>
      <w:r w:rsidR="00A311D8">
        <w:rPr>
          <w:rFonts w:eastAsia="PMingLiU"/>
          <w:szCs w:val="20"/>
          <w:lang w:val="en-GB" w:eastAsia="en-US"/>
        </w:rPr>
        <w:t>’</w:t>
      </w:r>
      <w:r w:rsidRPr="00FD12A4">
        <w:rPr>
          <w:rFonts w:eastAsia="PMingLiU"/>
          <w:szCs w:val="20"/>
          <w:lang w:val="en-GB" w:eastAsia="en-US"/>
        </w:rPr>
        <w:t xml:space="preserve"> </w:t>
      </w:r>
      <w:r w:rsidRPr="00571974">
        <w:rPr>
          <w:rFonts w:eastAsia="PMingLiU"/>
          <w:szCs w:val="20"/>
          <w:lang w:val="en-GB" w:eastAsia="en-US"/>
        </w:rPr>
        <w:t>segment, which also includes unallocated corporate costs and exploration costs.</w:t>
      </w:r>
      <w:r w:rsidRPr="00571974">
        <w:rPr>
          <w:rFonts w:eastAsia="PMingLiU"/>
          <w:szCs w:val="20"/>
          <w:lang w:val="en-GB"/>
        </w:rPr>
        <w:t xml:space="preserve"> Segments predominantly derive revenue as follows – De Beers: rough diamonds and diamond jewellery; Copper: copper; Platinum Group Metals (</w:t>
      </w:r>
      <w:r w:rsidR="00A311D8">
        <w:rPr>
          <w:rFonts w:eastAsia="PMingLiU"/>
          <w:szCs w:val="20"/>
          <w:lang w:val="en-GB"/>
        </w:rPr>
        <w:t>“</w:t>
      </w:r>
      <w:r w:rsidRPr="00571974">
        <w:rPr>
          <w:rFonts w:eastAsia="PMingLiU"/>
          <w:szCs w:val="20"/>
          <w:lang w:val="en-GB"/>
        </w:rPr>
        <w:t>PGMs</w:t>
      </w:r>
      <w:r w:rsidR="00A311D8">
        <w:rPr>
          <w:rFonts w:eastAsia="PMingLiU"/>
          <w:szCs w:val="20"/>
          <w:lang w:val="en-GB"/>
        </w:rPr>
        <w:t>”</w:t>
      </w:r>
      <w:r w:rsidRPr="00571974">
        <w:rPr>
          <w:rFonts w:eastAsia="PMingLiU"/>
          <w:szCs w:val="20"/>
          <w:lang w:val="en-GB"/>
        </w:rPr>
        <w:t>): platinum group metals and nickel; Iron Ore: iron ore; Coal: metallurgical coal and thermal coal; Nickel and Manganese: nickel, manganese ore and alloys. The segment results are stated after elimination of inter-segment transactions and include an allocation of corporate costs.</w:t>
      </w:r>
    </w:p>
    <w:p w14:paraId="3D6DC523"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Some financial and other information in this document has been rounded and, as a result, the figures shown as totals in this document may vary slightly from the exact arithmetic aggregation of the figures that precede them.</w:t>
      </w:r>
    </w:p>
    <w:p w14:paraId="3730B458" w14:textId="0E8D0534"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lang w:val="en-GB"/>
        </w:rPr>
        <w:t>The Group 2019, 2018 and 2017 Consolidated Financial Statements and the Issuer 2019, 2018 and 2017 Financial Statements, incorporated by reference herein, contain an independent auditor</w:t>
      </w:r>
      <w:r w:rsidR="00A311D8">
        <w:rPr>
          <w:lang w:val="en-GB"/>
        </w:rPr>
        <w:t>’</w:t>
      </w:r>
      <w:r w:rsidRPr="00571974">
        <w:rPr>
          <w:lang w:val="en-GB"/>
        </w:rPr>
        <w:t xml:space="preserve">s audit report from Deloitte </w:t>
      </w:r>
      <w:r w:rsidRPr="00571974">
        <w:rPr>
          <w:rFonts w:eastAsia="PMingLiU"/>
          <w:szCs w:val="20"/>
          <w:lang w:val="en-GB" w:eastAsia="en-US"/>
        </w:rPr>
        <w:t>that contains language limiting the scope of Deloitte</w:t>
      </w:r>
      <w:r w:rsidR="00A311D8">
        <w:rPr>
          <w:rFonts w:eastAsia="PMingLiU"/>
          <w:szCs w:val="20"/>
          <w:lang w:val="en-GB" w:eastAsia="en-US"/>
        </w:rPr>
        <w:t>’</w:t>
      </w:r>
      <w:r w:rsidRPr="00571974">
        <w:rPr>
          <w:rFonts w:eastAsia="PMingLiU"/>
          <w:szCs w:val="20"/>
          <w:lang w:val="en-GB" w:eastAsia="en-US"/>
        </w:rPr>
        <w:t xml:space="preserve">s duty of care in relation to such reports and the financial statements to which they relate. See </w:t>
      </w:r>
      <w:r w:rsidR="00A311D8">
        <w:rPr>
          <w:rFonts w:eastAsia="PMingLiU"/>
          <w:szCs w:val="20"/>
          <w:lang w:val="en-GB" w:eastAsia="en-US"/>
        </w:rPr>
        <w:t>“</w:t>
      </w:r>
      <w:r w:rsidRPr="00571974">
        <w:rPr>
          <w:rFonts w:eastAsia="PMingLiU"/>
          <w:szCs w:val="20"/>
          <w:lang w:val="en-GB" w:eastAsia="en-US"/>
        </w:rPr>
        <w:t>Independent Auditors</w:t>
      </w:r>
      <w:r w:rsidR="00A311D8">
        <w:rPr>
          <w:rFonts w:eastAsia="PMingLiU"/>
          <w:szCs w:val="20"/>
          <w:lang w:val="en-GB" w:eastAsia="en-US"/>
        </w:rPr>
        <w:t>”</w:t>
      </w:r>
      <w:r w:rsidRPr="00571974">
        <w:rPr>
          <w:rFonts w:eastAsia="PMingLiU"/>
          <w:szCs w:val="20"/>
          <w:lang w:val="en-GB" w:eastAsia="en-US"/>
        </w:rPr>
        <w:t xml:space="preserve"> for a description of the auditor</w:t>
      </w:r>
      <w:r w:rsidR="00A311D8">
        <w:rPr>
          <w:rFonts w:eastAsia="PMingLiU"/>
          <w:szCs w:val="20"/>
          <w:lang w:val="en-GB" w:eastAsia="en-US"/>
        </w:rPr>
        <w:t>’</w:t>
      </w:r>
      <w:r w:rsidRPr="00571974">
        <w:rPr>
          <w:rFonts w:eastAsia="PMingLiU"/>
          <w:szCs w:val="20"/>
          <w:lang w:val="en-GB" w:eastAsia="en-US"/>
        </w:rPr>
        <w:t xml:space="preserve">s audit reports including </w:t>
      </w:r>
      <w:r w:rsidRPr="00571974">
        <w:rPr>
          <w:rFonts w:eastAsia="PMingLiU"/>
          <w:szCs w:val="20"/>
          <w:lang w:val="en-GB" w:eastAsia="en-US"/>
        </w:rPr>
        <w:lastRenderedPageBreak/>
        <w:t>language limiting Deloitte</w:t>
      </w:r>
      <w:r w:rsidR="00A311D8">
        <w:rPr>
          <w:rFonts w:eastAsia="PMingLiU"/>
          <w:szCs w:val="20"/>
          <w:lang w:val="en-GB" w:eastAsia="en-US"/>
        </w:rPr>
        <w:t>’</w:t>
      </w:r>
      <w:r w:rsidRPr="00571974">
        <w:rPr>
          <w:rFonts w:eastAsia="PMingLiU"/>
          <w:szCs w:val="20"/>
          <w:lang w:val="en-GB" w:eastAsia="en-US"/>
        </w:rPr>
        <w:t xml:space="preserve">s scope of responsibility in relation to such reports and the financial statements to which each relates. If any court were to give effect to this limiting language, the recourse that investors in the Notes may have against Deloitte based on their report or the aforementioned financial statements to which they relate could be limited. </w:t>
      </w:r>
    </w:p>
    <w:p w14:paraId="62836BA2" w14:textId="0F19CF92"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auditors have made reports under Chapter 3 of Part 16 of the Companies Act 2006 on the statutory accounts of the Company and the Issuer for the years ended December 31, 201</w:t>
      </w:r>
      <w:r w:rsidR="00640D6A">
        <w:rPr>
          <w:rFonts w:eastAsia="PMingLiU"/>
          <w:szCs w:val="20"/>
          <w:lang w:val="en-GB" w:eastAsia="en-US"/>
        </w:rPr>
        <w:t>9</w:t>
      </w:r>
      <w:r w:rsidRPr="00571974">
        <w:rPr>
          <w:rFonts w:eastAsia="PMingLiU"/>
          <w:szCs w:val="20"/>
          <w:lang w:val="en-GB" w:eastAsia="en-US"/>
        </w:rPr>
        <w:t>, 2018 and 201</w:t>
      </w:r>
      <w:r w:rsidR="00640D6A">
        <w:rPr>
          <w:rFonts w:eastAsia="PMingLiU"/>
          <w:szCs w:val="20"/>
          <w:lang w:val="en-GB" w:eastAsia="en-US"/>
        </w:rPr>
        <w:t>7</w:t>
      </w:r>
      <w:r w:rsidRPr="00571974">
        <w:rPr>
          <w:rFonts w:eastAsia="PMingLiU"/>
          <w:szCs w:val="20"/>
          <w:lang w:val="en-GB" w:eastAsia="en-US"/>
        </w:rPr>
        <w:t xml:space="preserve"> (each incorporated by reference in this document), which were unqualified and did not contain any statement as is described in Sections 498 (2) or (3) of the Companies Act 2006. Any financial information included in this document (other than the statutory accounts incorporated by reference in this document) does not constitute the statutory accounts of the Company or the Issuer within the meaning of Section 435 (1) and (2) of the Companies Act 2006 for any period presented. Statutory accounts of the Company and the Issuer have been delivered to the Registrar of Companies in England and Wales for the year-ended December 31, 2019 in accordance with, and as required by, UK law.</w:t>
      </w:r>
    </w:p>
    <w:p w14:paraId="66C5139F" w14:textId="5941136B"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financial results of the PGMs segment and Kumba</w:t>
      </w:r>
      <w:r w:rsidR="00A311D8">
        <w:rPr>
          <w:rFonts w:eastAsia="PMingLiU"/>
          <w:szCs w:val="20"/>
          <w:lang w:val="en-GB" w:eastAsia="en-US"/>
        </w:rPr>
        <w:t>’</w:t>
      </w:r>
      <w:r w:rsidRPr="00571974">
        <w:rPr>
          <w:rFonts w:eastAsia="PMingLiU"/>
          <w:szCs w:val="20"/>
          <w:lang w:val="en-GB" w:eastAsia="en-US"/>
        </w:rPr>
        <w:t>s contribution to the Iron Ore segment, reconcile to the financial results of Anglo American Platinum and Kumba, respectively, when taking into account certain adjustments, principally consolidation adjustments and corporate cost allocations.</w:t>
      </w:r>
    </w:p>
    <w:p w14:paraId="318E9893" w14:textId="77777777" w:rsidR="00DF4A0D" w:rsidRPr="00571974" w:rsidRDefault="003D4D89" w:rsidP="00DF4A0D">
      <w:pPr>
        <w:pStyle w:val="Heading2"/>
        <w:rPr>
          <w:rFonts w:ascii="Times New Roman" w:hAnsi="Times New Roman"/>
          <w:lang w:val="en-GB"/>
        </w:rPr>
      </w:pPr>
      <w:r w:rsidRPr="00571974">
        <w:rPr>
          <w:rFonts w:ascii="Times New Roman" w:hAnsi="Times New Roman"/>
          <w:lang w:val="en-GB"/>
        </w:rPr>
        <w:t>Non-IFRS Financial Measures</w:t>
      </w:r>
    </w:p>
    <w:p w14:paraId="468002C3" w14:textId="306C1812"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When assessing and discussing the Group</w:t>
      </w:r>
      <w:r w:rsidR="00A311D8">
        <w:rPr>
          <w:rFonts w:eastAsia="PMingLiU"/>
          <w:szCs w:val="20"/>
          <w:lang w:val="en-GB" w:eastAsia="en-US"/>
        </w:rPr>
        <w:t>’</w:t>
      </w:r>
      <w:r w:rsidRPr="00571974">
        <w:rPr>
          <w:rFonts w:eastAsia="PMingLiU"/>
          <w:szCs w:val="20"/>
          <w:lang w:val="en-GB" w:eastAsia="en-US"/>
        </w:rPr>
        <w:t>s reported financial performance, financial position and cash flows, management makes reference to Alternative Performance Measures (</w:t>
      </w:r>
      <w:r w:rsidR="00A311D8">
        <w:rPr>
          <w:rFonts w:eastAsia="PMingLiU"/>
          <w:szCs w:val="20"/>
          <w:lang w:val="en-GB" w:eastAsia="en-US"/>
        </w:rPr>
        <w:t>“</w:t>
      </w:r>
      <w:r w:rsidRPr="00571974">
        <w:rPr>
          <w:rFonts w:eastAsia="PMingLiU"/>
          <w:szCs w:val="20"/>
          <w:lang w:val="en-GB" w:eastAsia="en-US"/>
        </w:rPr>
        <w:t>APMs</w:t>
      </w:r>
      <w:r w:rsidR="00A311D8">
        <w:rPr>
          <w:rFonts w:eastAsia="PMingLiU"/>
          <w:szCs w:val="20"/>
          <w:lang w:val="en-GB" w:eastAsia="en-US"/>
        </w:rPr>
        <w:t>”</w:t>
      </w:r>
      <w:r w:rsidRPr="00571974">
        <w:rPr>
          <w:rFonts w:eastAsia="PMingLiU"/>
          <w:szCs w:val="20"/>
          <w:lang w:val="en-GB" w:eastAsia="en-US"/>
        </w:rPr>
        <w:t>) of historical or future financial performance, financial position or cash flows that are not defined or specified under IFRS.</w:t>
      </w:r>
    </w:p>
    <w:p w14:paraId="37F6D7FE"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APMs used by the Group fall into two categories:</w:t>
      </w:r>
    </w:p>
    <w:p w14:paraId="13C90D5C" w14:textId="77777777" w:rsidR="00DF4A0D" w:rsidRPr="00571974" w:rsidRDefault="003D4D89" w:rsidP="003D4D89">
      <w:pPr>
        <w:pStyle w:val="ListParagraph"/>
        <w:widowControl/>
        <w:numPr>
          <w:ilvl w:val="0"/>
          <w:numId w:val="26"/>
        </w:numPr>
        <w:tabs>
          <w:tab w:val="left" w:pos="-720"/>
        </w:tabs>
        <w:suppressAutoHyphens/>
        <w:spacing w:after="240"/>
        <w:ind w:left="993"/>
        <w:rPr>
          <w:lang w:val="en-GB"/>
        </w:rPr>
      </w:pPr>
      <w:r w:rsidRPr="00571974">
        <w:rPr>
          <w:lang w:val="en-GB"/>
        </w:rPr>
        <w:t xml:space="preserve">Financial APMs: These financial measures are usually derived from the financial statements, prepared in accordance with IFRS. Certain financial measures </w:t>
      </w:r>
      <w:r w:rsidRPr="00571974">
        <w:rPr>
          <w:rFonts w:eastAsia="PMingLiU"/>
          <w:szCs w:val="20"/>
          <w:lang w:val="en-GB" w:eastAsia="en-US"/>
        </w:rPr>
        <w:t>cannot be directly derived from the financial statements as they contain additional information, such as financial information from earlier periods or profit estimates or projections. The accounting policies applied when calculating APMs, where relevant and unless otherwise stated, are the same as those disclosed in the Group 2018 Consolidated Financial Statements with the exception of the new accounting pronouncements disclosed in note 38 of the</w:t>
      </w:r>
      <w:r w:rsidR="00737904">
        <w:rPr>
          <w:rFonts w:eastAsia="PMingLiU"/>
          <w:szCs w:val="20"/>
          <w:lang w:val="en-GB" w:eastAsia="en-US"/>
        </w:rPr>
        <w:t xml:space="preserve"> Group</w:t>
      </w:r>
      <w:r w:rsidRPr="00571974">
        <w:rPr>
          <w:rFonts w:eastAsia="PMingLiU"/>
          <w:szCs w:val="20"/>
          <w:lang w:val="en-GB" w:eastAsia="en-US"/>
        </w:rPr>
        <w:t xml:space="preserve"> 2019 Consolidated Financial Statements.</w:t>
      </w:r>
    </w:p>
    <w:p w14:paraId="23122CFC" w14:textId="77777777" w:rsidR="00DF4A0D" w:rsidRPr="00571974" w:rsidRDefault="003D4D89" w:rsidP="003D4D89">
      <w:pPr>
        <w:pStyle w:val="ListParagraph"/>
        <w:widowControl/>
        <w:numPr>
          <w:ilvl w:val="0"/>
          <w:numId w:val="26"/>
        </w:numPr>
        <w:tabs>
          <w:tab w:val="left" w:pos="-720"/>
        </w:tabs>
        <w:suppressAutoHyphens/>
        <w:spacing w:after="240"/>
        <w:ind w:left="993"/>
        <w:rPr>
          <w:lang w:val="en-GB"/>
        </w:rPr>
      </w:pPr>
      <w:r w:rsidRPr="00571974">
        <w:rPr>
          <w:rFonts w:eastAsia="PMingLiU"/>
          <w:szCs w:val="20"/>
          <w:lang w:val="en-GB" w:eastAsia="en-US"/>
        </w:rPr>
        <w:t>Non-financial APMs: These measures incorporate certain non-financial information that management believes is useful when assessing the performance of the Group.</w:t>
      </w:r>
    </w:p>
    <w:p w14:paraId="0B54799F" w14:textId="5C86BD68"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APMs are not uniformly defined by all companies, including those in the Group</w:t>
      </w:r>
      <w:r w:rsidR="00A311D8">
        <w:rPr>
          <w:rFonts w:eastAsia="PMingLiU"/>
          <w:szCs w:val="20"/>
          <w:lang w:val="en-GB" w:eastAsia="en-US"/>
        </w:rPr>
        <w:t>’</w:t>
      </w:r>
      <w:r w:rsidRPr="00571974">
        <w:rPr>
          <w:rFonts w:eastAsia="PMingLiU"/>
          <w:szCs w:val="20"/>
          <w:lang w:val="en-GB" w:eastAsia="en-US"/>
        </w:rPr>
        <w:t>s industry. Accordingly, the APMs used by the Group may not be comparable with similarly titled measures and disclosures made by other companies. APMs should be considered in addition to, and not as a substitute for or as superior to, measures of financial performance, financial position or cash flows reported in accordance with IFRS.</w:t>
      </w:r>
    </w:p>
    <w:p w14:paraId="42CA7379" w14:textId="5299372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Group uses APMs to improve the comparability of information between reporting periods and business units, either by adjusting for uncontrollable factors or special items which impact upon IFRS measures or, by aggregating measures, to aid the user in understanding the activity taking place across the Group</w:t>
      </w:r>
      <w:r w:rsidR="00A311D8">
        <w:rPr>
          <w:rFonts w:eastAsia="PMingLiU"/>
          <w:szCs w:val="20"/>
          <w:lang w:val="en-GB" w:eastAsia="en-US"/>
        </w:rPr>
        <w:t>’</w:t>
      </w:r>
      <w:r w:rsidRPr="00571974">
        <w:rPr>
          <w:rFonts w:eastAsia="PMingLiU"/>
          <w:szCs w:val="20"/>
          <w:lang w:val="en-GB" w:eastAsia="en-US"/>
        </w:rPr>
        <w:t>s portfolio.</w:t>
      </w:r>
    </w:p>
    <w:p w14:paraId="6BBCB0F6"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Their use is driven by characteristics particularly visible in the mining sector:</w:t>
      </w:r>
    </w:p>
    <w:p w14:paraId="40DDBC90" w14:textId="40131232" w:rsidR="00DF4A0D" w:rsidRPr="00571974" w:rsidRDefault="003D4D89" w:rsidP="003D4D89">
      <w:pPr>
        <w:pStyle w:val="ListParagraph"/>
        <w:widowControl/>
        <w:numPr>
          <w:ilvl w:val="0"/>
          <w:numId w:val="26"/>
        </w:numPr>
        <w:tabs>
          <w:tab w:val="left" w:pos="-720"/>
        </w:tabs>
        <w:suppressAutoHyphens/>
        <w:autoSpaceDE/>
        <w:autoSpaceDN/>
        <w:adjustRightInd/>
        <w:spacing w:after="240"/>
        <w:ind w:left="993"/>
        <w:rPr>
          <w:rFonts w:eastAsia="PMingLiU"/>
          <w:szCs w:val="20"/>
          <w:lang w:val="en-GB" w:eastAsia="en-US"/>
        </w:rPr>
      </w:pPr>
      <w:r w:rsidRPr="00571974">
        <w:rPr>
          <w:rFonts w:eastAsia="PMingLiU"/>
          <w:szCs w:val="20"/>
          <w:lang w:val="en-GB" w:eastAsia="en-US"/>
        </w:rPr>
        <w:t xml:space="preserve">Earnings volatility: The Group mines and markets a number of products, including precious metals and minerals. The sector is characterized by significant volatility in earnings driven by movements in macroeconomic factors, primarily commodity price and foreign exchange rates. This volatility is outside the control of management and can mask underlying changes in performance. As such, when comparing year-on-year performance, management excludes certain items (such as those classed as </w:t>
      </w:r>
      <w:r w:rsidR="00A311D8">
        <w:rPr>
          <w:rFonts w:eastAsia="PMingLiU"/>
          <w:szCs w:val="20"/>
          <w:lang w:val="en-GB" w:eastAsia="en-US"/>
        </w:rPr>
        <w:t>“</w:t>
      </w:r>
      <w:r w:rsidRPr="00571974">
        <w:rPr>
          <w:rFonts w:eastAsia="PMingLiU"/>
          <w:szCs w:val="20"/>
          <w:lang w:val="en-GB" w:eastAsia="en-US"/>
        </w:rPr>
        <w:t>special items</w:t>
      </w:r>
      <w:r w:rsidR="00A311D8">
        <w:rPr>
          <w:rFonts w:eastAsia="PMingLiU"/>
          <w:szCs w:val="20"/>
          <w:lang w:val="en-GB" w:eastAsia="en-US"/>
        </w:rPr>
        <w:t>”</w:t>
      </w:r>
      <w:r w:rsidRPr="00571974">
        <w:rPr>
          <w:rFonts w:eastAsia="PMingLiU"/>
          <w:szCs w:val="20"/>
          <w:lang w:val="en-GB" w:eastAsia="en-US"/>
        </w:rPr>
        <w:t>) to aid comparability and then quantifies and isolates uncontrollable factors in order to improve understanding of the controllable portion of variances.</w:t>
      </w:r>
    </w:p>
    <w:p w14:paraId="1597A912" w14:textId="7F8C34C2" w:rsidR="00DF4A0D" w:rsidRPr="00571974" w:rsidRDefault="003D4D89" w:rsidP="003D4D89">
      <w:pPr>
        <w:pStyle w:val="ListParagraph"/>
        <w:widowControl/>
        <w:numPr>
          <w:ilvl w:val="0"/>
          <w:numId w:val="26"/>
        </w:numPr>
        <w:tabs>
          <w:tab w:val="left" w:pos="-720"/>
        </w:tabs>
        <w:suppressAutoHyphens/>
        <w:spacing w:after="240"/>
        <w:ind w:left="993"/>
        <w:rPr>
          <w:rFonts w:eastAsia="PMingLiU"/>
          <w:szCs w:val="20"/>
          <w:lang w:val="en-GB" w:eastAsia="en-US"/>
        </w:rPr>
      </w:pPr>
      <w:r w:rsidRPr="00571974">
        <w:rPr>
          <w:rFonts w:eastAsia="PMingLiU"/>
          <w:szCs w:val="20"/>
          <w:lang w:val="en-GB" w:eastAsia="en-US"/>
        </w:rPr>
        <w:t>Nature of investment: Investments in the sector typically occur over several years and are large, requiring significant funding before generating cash. These investments are often made with partners and the nature of the Group</w:t>
      </w:r>
      <w:r w:rsidR="00A311D8">
        <w:rPr>
          <w:rFonts w:eastAsia="PMingLiU"/>
          <w:szCs w:val="20"/>
          <w:lang w:val="en-GB" w:eastAsia="en-US"/>
        </w:rPr>
        <w:t>’</w:t>
      </w:r>
      <w:r w:rsidRPr="00571974">
        <w:rPr>
          <w:rFonts w:eastAsia="PMingLiU"/>
          <w:szCs w:val="20"/>
          <w:lang w:val="en-GB" w:eastAsia="en-US"/>
        </w:rPr>
        <w:t>s ownership interest affects how the financial results of these operations are reflected in the Group</w:t>
      </w:r>
      <w:r w:rsidR="00A311D8">
        <w:rPr>
          <w:rFonts w:eastAsia="PMingLiU"/>
          <w:szCs w:val="20"/>
          <w:lang w:val="en-GB" w:eastAsia="en-US"/>
        </w:rPr>
        <w:t>’</w:t>
      </w:r>
      <w:r w:rsidRPr="00571974">
        <w:rPr>
          <w:rFonts w:eastAsia="PMingLiU"/>
          <w:szCs w:val="20"/>
          <w:lang w:val="en-GB" w:eastAsia="en-US"/>
        </w:rPr>
        <w:t>s results, e.g. whether full consolidation (subsidiaries), consolidation of the Group</w:t>
      </w:r>
      <w:r w:rsidR="00A311D8">
        <w:rPr>
          <w:rFonts w:eastAsia="PMingLiU"/>
          <w:szCs w:val="20"/>
          <w:lang w:val="en-GB" w:eastAsia="en-US"/>
        </w:rPr>
        <w:t>’</w:t>
      </w:r>
      <w:r w:rsidRPr="00571974">
        <w:rPr>
          <w:rFonts w:eastAsia="PMingLiU"/>
          <w:szCs w:val="20"/>
          <w:lang w:val="en-GB" w:eastAsia="en-US"/>
        </w:rPr>
        <w:t>s attributable assets and liabilities (joint operations) or equity accounted (associates and joint ventures). Attributable metrics are therefore presented to help demonstrate the financial performance and returns available to the Group, for investment and financing activities, excluding the effect of different accounting treatments for different ownership interests.</w:t>
      </w:r>
    </w:p>
    <w:p w14:paraId="763DD953" w14:textId="77777777" w:rsidR="00DF4A0D" w:rsidRPr="00571974" w:rsidRDefault="003D4D89" w:rsidP="003D4D89">
      <w:pPr>
        <w:pStyle w:val="ListParagraph"/>
        <w:widowControl/>
        <w:numPr>
          <w:ilvl w:val="0"/>
          <w:numId w:val="26"/>
        </w:numPr>
        <w:tabs>
          <w:tab w:val="left" w:pos="-720"/>
        </w:tabs>
        <w:suppressAutoHyphens/>
        <w:spacing w:after="240"/>
        <w:ind w:left="993"/>
        <w:rPr>
          <w:rFonts w:eastAsia="PMingLiU"/>
          <w:szCs w:val="20"/>
          <w:lang w:val="en-GB" w:eastAsia="en-US"/>
        </w:rPr>
      </w:pPr>
      <w:r w:rsidRPr="00571974">
        <w:rPr>
          <w:rFonts w:eastAsia="PMingLiU"/>
          <w:szCs w:val="20"/>
          <w:lang w:val="en-GB" w:eastAsia="en-US"/>
        </w:rPr>
        <w:lastRenderedPageBreak/>
        <w:t>Portfolio complexity: The Group mines, processes, moves and sells a number of different products, including precious metals and minerals. The cost, value of and return from each saleable unit (e.g. tonne, pound, carat, ounce) can differ materially between each business. This makes understanding both the overall portfolio performance and the relative performance of its constituent parts on a like-for-like basis, more challenging. The Group therefore uses composite APMs to provide a consistent metric to assess performance at the portfolio level.</w:t>
      </w:r>
    </w:p>
    <w:p w14:paraId="3DC7316D"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 xml:space="preserve">Consequently, APMs are used by the Board and management for planning, reporting and incentive-setting purposes. A subset is also used by management in setting director and management remuneration. </w:t>
      </w:r>
    </w:p>
    <w:p w14:paraId="1DBFE835" w14:textId="52581C9C"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 xml:space="preserve">The portion of the </w:t>
      </w:r>
      <w:r w:rsidR="002C0614">
        <w:rPr>
          <w:rFonts w:eastAsia="PMingLiU"/>
          <w:szCs w:val="20"/>
          <w:lang w:val="en-GB" w:eastAsia="en-US"/>
        </w:rPr>
        <w:t>Company</w:t>
      </w:r>
      <w:r w:rsidR="00A311D8">
        <w:rPr>
          <w:rFonts w:eastAsia="PMingLiU"/>
          <w:szCs w:val="20"/>
          <w:lang w:val="en-GB" w:eastAsia="en-US"/>
        </w:rPr>
        <w:t>’</w:t>
      </w:r>
      <w:r w:rsidR="002C0614">
        <w:rPr>
          <w:rFonts w:eastAsia="PMingLiU"/>
          <w:szCs w:val="20"/>
          <w:lang w:val="en-GB" w:eastAsia="en-US"/>
        </w:rPr>
        <w:t xml:space="preserve">s </w:t>
      </w:r>
      <w:r w:rsidRPr="00571974">
        <w:rPr>
          <w:rFonts w:eastAsia="PMingLiU"/>
          <w:szCs w:val="20"/>
          <w:lang w:val="en-GB" w:eastAsia="en-US"/>
        </w:rPr>
        <w:t xml:space="preserve">2019 Annual Report incorporated by reference herein contains an Alternative Performance Measures section that sets out the Financial APMs used by the Group along with the closest equivalent IFRS measure and the rationale for adjustments. The </w:t>
      </w:r>
      <w:r w:rsidR="002C0614">
        <w:rPr>
          <w:rFonts w:eastAsia="PMingLiU"/>
          <w:szCs w:val="20"/>
          <w:lang w:val="en-GB" w:eastAsia="en-US"/>
        </w:rPr>
        <w:t xml:space="preserve">Group </w:t>
      </w:r>
      <w:r w:rsidRPr="00571974">
        <w:rPr>
          <w:rFonts w:eastAsia="PMingLiU"/>
          <w:szCs w:val="20"/>
          <w:lang w:val="en-GB" w:eastAsia="en-US"/>
        </w:rPr>
        <w:t>201</w:t>
      </w:r>
      <w:r w:rsidR="00640D6A">
        <w:rPr>
          <w:rFonts w:eastAsia="PMingLiU"/>
          <w:szCs w:val="20"/>
          <w:lang w:val="en-GB" w:eastAsia="en-US"/>
        </w:rPr>
        <w:t>9</w:t>
      </w:r>
      <w:r w:rsidRPr="00571974">
        <w:rPr>
          <w:rFonts w:eastAsia="PMingLiU"/>
          <w:szCs w:val="20"/>
          <w:lang w:val="en-GB" w:eastAsia="en-US"/>
        </w:rPr>
        <w:t>, 2018 and 201</w:t>
      </w:r>
      <w:r w:rsidR="00640D6A">
        <w:rPr>
          <w:rFonts w:eastAsia="PMingLiU"/>
          <w:szCs w:val="20"/>
          <w:lang w:val="en-GB" w:eastAsia="en-US"/>
        </w:rPr>
        <w:t>7</w:t>
      </w:r>
      <w:r w:rsidRPr="00571974">
        <w:rPr>
          <w:rFonts w:eastAsia="PMingLiU"/>
          <w:szCs w:val="20"/>
          <w:lang w:val="en-GB" w:eastAsia="en-US"/>
        </w:rPr>
        <w:t xml:space="preserve"> Consolidated Financial Statements, incorporated by reference in this document, include the adjustments to reconcile the APMs to the primary financial statements. In addition the </w:t>
      </w:r>
      <w:r w:rsidR="002C0614">
        <w:rPr>
          <w:rFonts w:eastAsia="PMingLiU"/>
          <w:szCs w:val="20"/>
          <w:lang w:val="en-GB" w:eastAsia="en-US"/>
        </w:rPr>
        <w:t>Company</w:t>
      </w:r>
      <w:r w:rsidR="00A311D8">
        <w:rPr>
          <w:rFonts w:eastAsia="PMingLiU"/>
          <w:szCs w:val="20"/>
          <w:lang w:val="en-GB" w:eastAsia="en-US"/>
        </w:rPr>
        <w:t>’</w:t>
      </w:r>
      <w:r w:rsidR="002C0614">
        <w:rPr>
          <w:rFonts w:eastAsia="PMingLiU"/>
          <w:szCs w:val="20"/>
          <w:lang w:val="en-GB" w:eastAsia="en-US"/>
        </w:rPr>
        <w:t>s</w:t>
      </w:r>
      <w:r w:rsidR="002C0614" w:rsidRPr="00571974">
        <w:rPr>
          <w:rFonts w:eastAsia="PMingLiU"/>
          <w:szCs w:val="20"/>
          <w:lang w:val="en-GB" w:eastAsia="en-US"/>
        </w:rPr>
        <w:t xml:space="preserve"> </w:t>
      </w:r>
      <w:r w:rsidRPr="00571974">
        <w:rPr>
          <w:rFonts w:eastAsia="PMingLiU"/>
          <w:szCs w:val="20"/>
          <w:lang w:val="en-GB" w:eastAsia="en-US"/>
        </w:rPr>
        <w:t>2019 Annual Report also contains the Non-Financial APMs used by the Group along with the purpose for the Group using these measures. The APMs used by the Group are defined below.</w:t>
      </w:r>
    </w:p>
    <w:p w14:paraId="663C0946" w14:textId="6FEB1EE8" w:rsidR="00DF4A0D" w:rsidRPr="00571974" w:rsidRDefault="003D4D89" w:rsidP="008151C7">
      <w:pPr>
        <w:pStyle w:val="Heading3"/>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w:t>
      </w:r>
    </w:p>
    <w:p w14:paraId="283CC256" w14:textId="6956CACC"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Group revenue includes the Group</w:t>
      </w:r>
      <w:r w:rsidR="00A311D8">
        <w:rPr>
          <w:rFonts w:eastAsia="PMingLiU"/>
          <w:szCs w:val="20"/>
          <w:lang w:val="en-GB" w:eastAsia="en-US"/>
        </w:rPr>
        <w:t>’</w:t>
      </w:r>
      <w:r w:rsidRPr="00571974">
        <w:rPr>
          <w:rFonts w:eastAsia="PMingLiU"/>
          <w:szCs w:val="20"/>
          <w:lang w:val="en-GB" w:eastAsia="en-US"/>
        </w:rPr>
        <w:t>s attributable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revenue. A reconciliation to </w:t>
      </w:r>
      <w:r w:rsidR="00A311D8">
        <w:rPr>
          <w:rFonts w:eastAsia="PMingLiU"/>
          <w:szCs w:val="20"/>
          <w:lang w:val="en-GB" w:eastAsia="en-US"/>
        </w:rPr>
        <w:t>“</w:t>
      </w:r>
      <w:r w:rsidRPr="00571974">
        <w:rPr>
          <w:rFonts w:eastAsia="PMingLiU"/>
          <w:szCs w:val="20"/>
          <w:lang w:val="en-GB" w:eastAsia="en-US"/>
        </w:rPr>
        <w:t>Revenue</w:t>
      </w:r>
      <w:r w:rsidR="00A311D8">
        <w:rPr>
          <w:rFonts w:eastAsia="PMingLiU"/>
          <w:szCs w:val="20"/>
          <w:lang w:val="en-GB" w:eastAsia="en-US"/>
        </w:rPr>
        <w:t>”</w:t>
      </w:r>
      <w:r w:rsidRPr="00571974">
        <w:rPr>
          <w:rFonts w:eastAsia="PMingLiU"/>
          <w:szCs w:val="20"/>
          <w:lang w:val="en-GB" w:eastAsia="en-US"/>
        </w:rPr>
        <w:t xml:space="preserve">, the closest equivalent IFRS measure to Group revenue is disclosed in </w:t>
      </w:r>
      <w:r w:rsidRPr="00571974">
        <w:rPr>
          <w:lang w:val="en-GB"/>
        </w:rPr>
        <w:t>Note 2 to the Group 201</w:t>
      </w:r>
      <w:r w:rsidR="00640D6A">
        <w:rPr>
          <w:lang w:val="en-GB"/>
        </w:rPr>
        <w:t>9</w:t>
      </w:r>
      <w:r w:rsidRPr="00571974">
        <w:rPr>
          <w:lang w:val="en-GB"/>
        </w:rPr>
        <w:t xml:space="preserve"> Consolidated Financial Statements, Note 2 to the Group 2018 Consolidated Financial Statements and Note 2 to the Group 201</w:t>
      </w:r>
      <w:r w:rsidR="00640D6A">
        <w:rPr>
          <w:lang w:val="en-GB"/>
        </w:rPr>
        <w:t>7</w:t>
      </w:r>
      <w:r w:rsidRPr="00571974">
        <w:rPr>
          <w:lang w:val="en-GB"/>
        </w:rPr>
        <w:t xml:space="preserve"> Consolidated Financial Statements, incorporated by reference herein.</w:t>
      </w:r>
    </w:p>
    <w:p w14:paraId="3DF8130B" w14:textId="77777777" w:rsidR="00DF4A0D" w:rsidRPr="00571974" w:rsidRDefault="003D4D89" w:rsidP="007B1404">
      <w:pPr>
        <w:pStyle w:val="Heading3"/>
        <w:rPr>
          <w:lang w:val="en-GB"/>
        </w:rPr>
      </w:pPr>
      <w:r w:rsidRPr="00571974">
        <w:rPr>
          <w:lang w:val="en-GB"/>
        </w:rPr>
        <w:t>Underlying EBIT</w:t>
      </w:r>
    </w:p>
    <w:p w14:paraId="70FF5081" w14:textId="7CEDA7C8"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 xml:space="preserve">Underlying EBIT is </w:t>
      </w:r>
      <w:r w:rsidR="00A311D8">
        <w:rPr>
          <w:rFonts w:eastAsia="PMingLiU"/>
          <w:szCs w:val="20"/>
          <w:lang w:val="en-GB" w:eastAsia="en-US"/>
        </w:rPr>
        <w:t>“</w:t>
      </w:r>
      <w:r w:rsidRPr="00571974">
        <w:rPr>
          <w:rFonts w:eastAsia="PMingLiU"/>
          <w:szCs w:val="20"/>
          <w:lang w:val="en-GB" w:eastAsia="en-US"/>
        </w:rPr>
        <w:t>operating profit/(loss)</w:t>
      </w:r>
      <w:r w:rsidR="00A311D8">
        <w:rPr>
          <w:rFonts w:eastAsia="PMingLiU"/>
          <w:szCs w:val="20"/>
          <w:lang w:val="en-GB" w:eastAsia="en-US"/>
        </w:rPr>
        <w:t>”</w:t>
      </w:r>
      <w:r w:rsidRPr="00571974">
        <w:rPr>
          <w:rFonts w:eastAsia="PMingLiU"/>
          <w:szCs w:val="20"/>
          <w:lang w:val="en-GB" w:eastAsia="en-US"/>
        </w:rPr>
        <w:t xml:space="preserve"> presented before special items and re-measurements and includes the Group</w:t>
      </w:r>
      <w:r w:rsidR="00A311D8">
        <w:rPr>
          <w:rFonts w:eastAsia="PMingLiU"/>
          <w:szCs w:val="20"/>
          <w:lang w:val="en-GB" w:eastAsia="en-US"/>
        </w:rPr>
        <w:t>’</w:t>
      </w:r>
      <w:r w:rsidRPr="00571974">
        <w:rPr>
          <w:rFonts w:eastAsia="PMingLiU"/>
          <w:szCs w:val="20"/>
          <w:lang w:val="en-GB" w:eastAsia="en-US"/>
        </w:rPr>
        <w:t>s attributable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underlying EBIT. Underlying EBIT of associates and joint ventures is the Group</w:t>
      </w:r>
      <w:r w:rsidR="00A311D8">
        <w:rPr>
          <w:rFonts w:eastAsia="PMingLiU"/>
          <w:szCs w:val="20"/>
          <w:lang w:val="en-GB" w:eastAsia="en-US"/>
        </w:rPr>
        <w:t>’</w:t>
      </w:r>
      <w:r w:rsidRPr="00571974">
        <w:rPr>
          <w:rFonts w:eastAsia="PMingLiU"/>
          <w:szCs w:val="20"/>
          <w:lang w:val="en-GB" w:eastAsia="en-US"/>
        </w:rPr>
        <w:t>s attributable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revenue less operating costs before special items and re-measurements of associates and joint ventures. A reconciliation to </w:t>
      </w:r>
      <w:r w:rsidR="00A311D8">
        <w:rPr>
          <w:rFonts w:eastAsia="PMingLiU"/>
          <w:szCs w:val="20"/>
          <w:lang w:val="en-GB" w:eastAsia="en-US"/>
        </w:rPr>
        <w:t>“</w:t>
      </w:r>
      <w:r w:rsidRPr="00571974">
        <w:rPr>
          <w:rFonts w:eastAsia="PMingLiU"/>
          <w:szCs w:val="20"/>
          <w:lang w:val="en-GB" w:eastAsia="en-US"/>
        </w:rPr>
        <w:t>profit/(loss) before net finance income/(costs) and tax</w:t>
      </w:r>
      <w:r w:rsidR="00A311D8">
        <w:rPr>
          <w:rFonts w:eastAsia="PMingLiU"/>
          <w:szCs w:val="20"/>
          <w:lang w:val="en-GB" w:eastAsia="en-US"/>
        </w:rPr>
        <w:t>”</w:t>
      </w:r>
      <w:r w:rsidRPr="00571974">
        <w:rPr>
          <w:rFonts w:eastAsia="PMingLiU"/>
          <w:szCs w:val="20"/>
          <w:lang w:val="en-GB" w:eastAsia="en-US"/>
        </w:rPr>
        <w:t xml:space="preserve">, the closest equivalent IFRS measure to underlying EBIT is provided within Note 2 </w:t>
      </w:r>
      <w:r w:rsidRPr="00571974">
        <w:rPr>
          <w:lang w:val="en-GB"/>
        </w:rPr>
        <w:t>to the Group 201</w:t>
      </w:r>
      <w:r w:rsidR="00640D6A">
        <w:rPr>
          <w:lang w:val="en-GB"/>
        </w:rPr>
        <w:t>9</w:t>
      </w:r>
      <w:r w:rsidRPr="00571974">
        <w:rPr>
          <w:lang w:val="en-GB"/>
        </w:rPr>
        <w:t xml:space="preserve"> Consolidated Financial Statements, Note 2 to the Group 2018 Consolidated Financial Statements and Note 2 to the Group 201</w:t>
      </w:r>
      <w:r w:rsidR="00640D6A">
        <w:rPr>
          <w:lang w:val="en-GB"/>
        </w:rPr>
        <w:t>7</w:t>
      </w:r>
      <w:r w:rsidRPr="00571974">
        <w:rPr>
          <w:lang w:val="en-GB"/>
        </w:rPr>
        <w:t xml:space="preserve"> Consolidated Financial Statements, incorporated by reference herein. Further, </w:t>
      </w:r>
      <w:r w:rsidR="00A311D8">
        <w:rPr>
          <w:lang w:val="en-GB"/>
        </w:rPr>
        <w:t>“</w:t>
      </w:r>
      <w:r w:rsidRPr="00571974">
        <w:rPr>
          <w:lang w:val="en-GB"/>
        </w:rPr>
        <w:t>profit/(loss) before net finance (costs)/income and tax</w:t>
      </w:r>
      <w:r w:rsidR="00A311D8">
        <w:rPr>
          <w:lang w:val="en-GB"/>
        </w:rPr>
        <w:t>”</w:t>
      </w:r>
      <w:r w:rsidRPr="00571974">
        <w:rPr>
          <w:lang w:val="en-GB"/>
        </w:rPr>
        <w:t xml:space="preserve">, is reconciled to </w:t>
      </w:r>
      <w:r w:rsidR="00A311D8">
        <w:rPr>
          <w:lang w:val="en-GB"/>
        </w:rPr>
        <w:t>“</w:t>
      </w:r>
      <w:r w:rsidRPr="00571974">
        <w:rPr>
          <w:lang w:val="en-GB"/>
        </w:rPr>
        <w:t>profit/(loss) for the financial period</w:t>
      </w:r>
      <w:r w:rsidR="00A311D8">
        <w:rPr>
          <w:lang w:val="en-GB"/>
        </w:rPr>
        <w:t>”</w:t>
      </w:r>
      <w:r w:rsidRPr="00571974">
        <w:rPr>
          <w:lang w:val="en-GB"/>
        </w:rPr>
        <w:t xml:space="preserve"> in the consolidated income statement on page </w:t>
      </w:r>
      <w:r w:rsidR="00640D6A">
        <w:rPr>
          <w:lang w:val="en-GB"/>
        </w:rPr>
        <w:t>148</w:t>
      </w:r>
      <w:r w:rsidRPr="00571974">
        <w:rPr>
          <w:lang w:val="en-GB"/>
        </w:rPr>
        <w:t xml:space="preserve"> of the Group 201</w:t>
      </w:r>
      <w:r w:rsidR="00640D6A">
        <w:rPr>
          <w:lang w:val="en-GB"/>
        </w:rPr>
        <w:t>9</w:t>
      </w:r>
      <w:r w:rsidRPr="00571974">
        <w:rPr>
          <w:lang w:val="en-GB"/>
        </w:rPr>
        <w:t xml:space="preserve"> Consolidated Financial Statements, page 134 of the Group 2018 Consolidated Financial Statements and page 1</w:t>
      </w:r>
      <w:r w:rsidR="00640D6A">
        <w:rPr>
          <w:lang w:val="en-GB"/>
        </w:rPr>
        <w:t>22</w:t>
      </w:r>
      <w:r w:rsidRPr="00571974">
        <w:rPr>
          <w:lang w:val="en-GB"/>
        </w:rPr>
        <w:t xml:space="preserve"> of the Group 201</w:t>
      </w:r>
      <w:r w:rsidR="00640D6A">
        <w:rPr>
          <w:lang w:val="en-GB"/>
        </w:rPr>
        <w:t>7</w:t>
      </w:r>
      <w:r w:rsidRPr="00571974">
        <w:rPr>
          <w:lang w:val="en-GB"/>
        </w:rPr>
        <w:t xml:space="preserve"> Consolidated Financial Statements, as included in the respective 201</w:t>
      </w:r>
      <w:r w:rsidR="00640D6A">
        <w:rPr>
          <w:lang w:val="en-GB"/>
        </w:rPr>
        <w:t>9</w:t>
      </w:r>
      <w:r w:rsidRPr="00571974">
        <w:rPr>
          <w:lang w:val="en-GB"/>
        </w:rPr>
        <w:t>, 2018 and 201</w:t>
      </w:r>
      <w:r w:rsidR="00640D6A">
        <w:rPr>
          <w:lang w:val="en-GB"/>
        </w:rPr>
        <w:t>7</w:t>
      </w:r>
      <w:r w:rsidRPr="00571974">
        <w:rPr>
          <w:lang w:val="en-GB"/>
        </w:rPr>
        <w:t xml:space="preserve"> Annual Reports of the Company, incorporated by reference herein.</w:t>
      </w:r>
    </w:p>
    <w:p w14:paraId="0DC057F5" w14:textId="77777777" w:rsidR="00DF4A0D" w:rsidRPr="00571974" w:rsidRDefault="003D4D89" w:rsidP="007B1404">
      <w:pPr>
        <w:pStyle w:val="Heading3"/>
        <w:rPr>
          <w:lang w:val="en-GB"/>
        </w:rPr>
      </w:pPr>
      <w:r w:rsidRPr="00571974">
        <w:rPr>
          <w:lang w:val="en-GB"/>
        </w:rPr>
        <w:t>Underlying EBITDA</w:t>
      </w:r>
    </w:p>
    <w:p w14:paraId="26FB057B" w14:textId="011331DB"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Underlying EBITDA is underlying EBIT before depreciation and amortization and includes the Group</w:t>
      </w:r>
      <w:r w:rsidR="00A311D8">
        <w:rPr>
          <w:rFonts w:eastAsia="PMingLiU"/>
          <w:szCs w:val="20"/>
          <w:lang w:val="en-GB" w:eastAsia="en-US"/>
        </w:rPr>
        <w:t>’</w:t>
      </w:r>
      <w:r w:rsidRPr="00571974">
        <w:rPr>
          <w:rFonts w:eastAsia="PMingLiU"/>
          <w:szCs w:val="20"/>
          <w:lang w:val="en-GB" w:eastAsia="en-US"/>
        </w:rPr>
        <w:t>s attributable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underlying EBIT before depreciation and amortization. A reconciliation to </w:t>
      </w:r>
      <w:r w:rsidR="00A311D8">
        <w:rPr>
          <w:rFonts w:eastAsia="PMingLiU"/>
          <w:szCs w:val="20"/>
          <w:lang w:val="en-GB" w:eastAsia="en-US"/>
        </w:rPr>
        <w:t>“</w:t>
      </w:r>
      <w:r w:rsidRPr="00571974">
        <w:rPr>
          <w:rFonts w:eastAsia="PMingLiU"/>
          <w:szCs w:val="20"/>
          <w:lang w:val="en-GB" w:eastAsia="en-US"/>
        </w:rPr>
        <w:t>profit/(loss) before net finance income/(costs) and tax</w:t>
      </w:r>
      <w:r w:rsidR="00A311D8">
        <w:rPr>
          <w:rFonts w:eastAsia="PMingLiU"/>
          <w:szCs w:val="20"/>
          <w:lang w:val="en-GB" w:eastAsia="en-US"/>
        </w:rPr>
        <w:t>”</w:t>
      </w:r>
      <w:r w:rsidRPr="00571974">
        <w:rPr>
          <w:rFonts w:eastAsia="PMingLiU"/>
          <w:szCs w:val="20"/>
          <w:lang w:val="en-GB" w:eastAsia="en-US"/>
        </w:rPr>
        <w:t xml:space="preserve">, the closest equivalent IFRS measure to underlying EBITDA, is provided within Note 2 </w:t>
      </w:r>
      <w:r w:rsidRPr="00571974">
        <w:rPr>
          <w:lang w:val="en-GB"/>
        </w:rPr>
        <w:t>to the Group 201</w:t>
      </w:r>
      <w:r w:rsidR="00640D6A">
        <w:rPr>
          <w:lang w:val="en-GB"/>
        </w:rPr>
        <w:t>9</w:t>
      </w:r>
      <w:r w:rsidRPr="00571974">
        <w:rPr>
          <w:lang w:val="en-GB"/>
        </w:rPr>
        <w:t xml:space="preserve"> Consolidated Financial Statements, Note 2 to the Group 2018 Consolidated Financial Statements and Note 2 to the Group 201</w:t>
      </w:r>
      <w:r w:rsidR="00640D6A">
        <w:rPr>
          <w:lang w:val="en-GB"/>
        </w:rPr>
        <w:t>7</w:t>
      </w:r>
      <w:r w:rsidRPr="00571974">
        <w:rPr>
          <w:lang w:val="en-GB"/>
        </w:rPr>
        <w:t xml:space="preserve"> Consolidated Financial Statements, incorporated by reference herein. Further, </w:t>
      </w:r>
      <w:r w:rsidR="00A311D8">
        <w:rPr>
          <w:lang w:val="en-GB"/>
        </w:rPr>
        <w:t>“</w:t>
      </w:r>
      <w:r w:rsidRPr="00571974">
        <w:rPr>
          <w:lang w:val="en-GB"/>
        </w:rPr>
        <w:t>profit/(loss) before net finance (costs)/income and tax</w:t>
      </w:r>
      <w:r w:rsidR="00A311D8">
        <w:rPr>
          <w:lang w:val="en-GB"/>
        </w:rPr>
        <w:t>”</w:t>
      </w:r>
      <w:r w:rsidRPr="00571974">
        <w:rPr>
          <w:lang w:val="en-GB"/>
        </w:rPr>
        <w:t xml:space="preserve">, is reconciled to </w:t>
      </w:r>
      <w:r w:rsidR="00A311D8">
        <w:rPr>
          <w:lang w:val="en-GB"/>
        </w:rPr>
        <w:t>“</w:t>
      </w:r>
      <w:r w:rsidRPr="00571974">
        <w:rPr>
          <w:lang w:val="en-GB"/>
        </w:rPr>
        <w:t>profit/(loss) for the financial period</w:t>
      </w:r>
      <w:r w:rsidR="00A311D8">
        <w:rPr>
          <w:lang w:val="en-GB"/>
        </w:rPr>
        <w:t>”</w:t>
      </w:r>
      <w:r w:rsidRPr="00571974">
        <w:rPr>
          <w:lang w:val="en-GB"/>
        </w:rPr>
        <w:t xml:space="preserve"> in the consolidated income statement on page 1</w:t>
      </w:r>
      <w:r w:rsidR="00640D6A">
        <w:rPr>
          <w:lang w:val="en-GB"/>
        </w:rPr>
        <w:t>48</w:t>
      </w:r>
      <w:r w:rsidRPr="00571974">
        <w:rPr>
          <w:lang w:val="en-GB"/>
        </w:rPr>
        <w:t xml:space="preserve"> of the Group 201</w:t>
      </w:r>
      <w:r w:rsidR="00640D6A">
        <w:rPr>
          <w:lang w:val="en-GB"/>
        </w:rPr>
        <w:t>9</w:t>
      </w:r>
      <w:r w:rsidRPr="00571974">
        <w:rPr>
          <w:lang w:val="en-GB"/>
        </w:rPr>
        <w:t xml:space="preserve"> Consolidated Financial Statements,  page 134 of the Group 2018 Consolidated Financial Statements and page 1</w:t>
      </w:r>
      <w:r w:rsidR="00640D6A">
        <w:rPr>
          <w:lang w:val="en-GB"/>
        </w:rPr>
        <w:t>22</w:t>
      </w:r>
      <w:r w:rsidRPr="00571974">
        <w:rPr>
          <w:lang w:val="en-GB"/>
        </w:rPr>
        <w:t xml:space="preserve"> of the Group 201</w:t>
      </w:r>
      <w:r w:rsidR="00640D6A">
        <w:rPr>
          <w:lang w:val="en-GB"/>
        </w:rPr>
        <w:t>7</w:t>
      </w:r>
      <w:r w:rsidRPr="00571974">
        <w:rPr>
          <w:lang w:val="en-GB"/>
        </w:rPr>
        <w:t xml:space="preserve"> Consolidated Financial Statements, as included in the respective 201</w:t>
      </w:r>
      <w:r w:rsidR="00640D6A">
        <w:rPr>
          <w:lang w:val="en-GB"/>
        </w:rPr>
        <w:t>9</w:t>
      </w:r>
      <w:r w:rsidRPr="00571974">
        <w:rPr>
          <w:lang w:val="en-GB"/>
        </w:rPr>
        <w:t>, 2018 and 201</w:t>
      </w:r>
      <w:r w:rsidR="00640D6A">
        <w:rPr>
          <w:lang w:val="en-GB"/>
        </w:rPr>
        <w:t>7</w:t>
      </w:r>
      <w:r w:rsidRPr="00571974">
        <w:rPr>
          <w:lang w:val="en-GB"/>
        </w:rPr>
        <w:t xml:space="preserve"> Annual Reports of the Company, incorporated by reference herein.</w:t>
      </w:r>
    </w:p>
    <w:p w14:paraId="070E115C" w14:textId="77777777" w:rsidR="00DF4A0D" w:rsidRPr="00571974" w:rsidRDefault="003D4D89" w:rsidP="007B1404">
      <w:pPr>
        <w:pStyle w:val="Heading3"/>
        <w:rPr>
          <w:lang w:val="en-GB"/>
        </w:rPr>
      </w:pPr>
      <w:r w:rsidRPr="00571974">
        <w:rPr>
          <w:lang w:val="en-GB"/>
        </w:rPr>
        <w:t>Underlying earnings</w:t>
      </w:r>
    </w:p>
    <w:p w14:paraId="41BCA973" w14:textId="486D8297" w:rsidR="00DF4A0D" w:rsidRPr="00571974" w:rsidRDefault="003D4D89" w:rsidP="00DF4A0D">
      <w:pPr>
        <w:pStyle w:val="BodyText"/>
        <w:widowControl/>
        <w:autoSpaceDE/>
        <w:autoSpaceDN/>
        <w:adjustRightInd/>
        <w:ind w:firstLine="360"/>
        <w:rPr>
          <w:lang w:val="en-GB"/>
        </w:rPr>
      </w:pPr>
      <w:r w:rsidRPr="00571974">
        <w:rPr>
          <w:rFonts w:eastAsia="PMingLiU"/>
          <w:szCs w:val="20"/>
          <w:lang w:val="en-GB" w:eastAsia="en-US"/>
        </w:rPr>
        <w:t xml:space="preserve">Underlying earnings is </w:t>
      </w:r>
      <w:r w:rsidR="00A311D8">
        <w:rPr>
          <w:rFonts w:eastAsia="PMingLiU"/>
          <w:szCs w:val="20"/>
          <w:lang w:val="en-GB" w:eastAsia="en-US"/>
        </w:rPr>
        <w:t>“</w:t>
      </w:r>
      <w:r w:rsidRPr="00571974">
        <w:rPr>
          <w:rFonts w:eastAsia="PMingLiU"/>
          <w:szCs w:val="20"/>
          <w:lang w:val="en-GB" w:eastAsia="en-US"/>
        </w:rPr>
        <w:t>profit/(loss) for the financial period attributable to equity shareholders of the Company</w:t>
      </w:r>
      <w:r w:rsidR="00A311D8">
        <w:rPr>
          <w:rFonts w:eastAsia="PMingLiU"/>
          <w:szCs w:val="20"/>
          <w:lang w:val="en-GB" w:eastAsia="en-US"/>
        </w:rPr>
        <w:t>”</w:t>
      </w:r>
      <w:r w:rsidRPr="00571974">
        <w:rPr>
          <w:rFonts w:eastAsia="PMingLiU"/>
          <w:szCs w:val="20"/>
          <w:lang w:val="en-GB" w:eastAsia="en-US"/>
        </w:rPr>
        <w:t xml:space="preserve"> before special items and remeasurements and is therefore presented after net finance costs, income tax expense and non-controlling interests. A reconciliation to </w:t>
      </w:r>
      <w:r w:rsidR="00A311D8">
        <w:rPr>
          <w:rFonts w:eastAsia="PMingLiU"/>
          <w:szCs w:val="20"/>
          <w:lang w:val="en-GB" w:eastAsia="en-US"/>
        </w:rPr>
        <w:t>“</w:t>
      </w:r>
      <w:r w:rsidRPr="00571974">
        <w:rPr>
          <w:rFonts w:eastAsia="PMingLiU"/>
          <w:szCs w:val="20"/>
          <w:lang w:val="en-GB" w:eastAsia="en-US"/>
        </w:rPr>
        <w:t>profit/(loss)</w:t>
      </w:r>
      <w:r w:rsidRPr="00571974">
        <w:rPr>
          <w:lang w:val="en-GB"/>
        </w:rPr>
        <w:t xml:space="preserve"> </w:t>
      </w:r>
      <w:r w:rsidRPr="00571974">
        <w:rPr>
          <w:rFonts w:eastAsia="PMingLiU"/>
          <w:szCs w:val="20"/>
          <w:lang w:val="en-GB" w:eastAsia="en-US"/>
        </w:rPr>
        <w:t>for the financial period attributable to equity shareholders of the Company</w:t>
      </w:r>
      <w:r w:rsidR="00A311D8">
        <w:rPr>
          <w:rFonts w:eastAsia="PMingLiU"/>
          <w:szCs w:val="20"/>
          <w:lang w:val="en-GB" w:eastAsia="en-US"/>
        </w:rPr>
        <w:t>”</w:t>
      </w:r>
      <w:r w:rsidRPr="00571974">
        <w:rPr>
          <w:rFonts w:eastAsia="PMingLiU"/>
          <w:szCs w:val="20"/>
          <w:lang w:val="en-GB" w:eastAsia="en-US"/>
        </w:rPr>
        <w:t xml:space="preserve">, the closest equivalent IFRS measure to underlying earnings is disclosed in Note 2 </w:t>
      </w:r>
      <w:r w:rsidRPr="00571974">
        <w:rPr>
          <w:lang w:val="en-GB"/>
        </w:rPr>
        <w:t>to the Group 201</w:t>
      </w:r>
      <w:r w:rsidR="00640D6A">
        <w:rPr>
          <w:lang w:val="en-GB"/>
        </w:rPr>
        <w:t>9</w:t>
      </w:r>
      <w:r w:rsidRPr="00571974">
        <w:rPr>
          <w:lang w:val="en-GB"/>
        </w:rPr>
        <w:t xml:space="preserve"> Consolidated Financial Statements, Note 2 to the Group 2018 Consolidated Financial Statements and Note 2 to the Group 201</w:t>
      </w:r>
      <w:r w:rsidR="00640D6A">
        <w:rPr>
          <w:lang w:val="en-GB"/>
        </w:rPr>
        <w:t>7</w:t>
      </w:r>
      <w:r w:rsidRPr="00571974">
        <w:rPr>
          <w:lang w:val="en-GB"/>
        </w:rPr>
        <w:t xml:space="preserve"> Consolidated Financial Statements, incorporated by reference herein.</w:t>
      </w:r>
    </w:p>
    <w:p w14:paraId="7DBD6F00" w14:textId="6DF4B3F7" w:rsidR="00DF4A0D" w:rsidRPr="00671E87" w:rsidRDefault="003D4D89" w:rsidP="007B1404">
      <w:pPr>
        <w:pStyle w:val="Heading3"/>
        <w:rPr>
          <w:lang w:val="en-GB"/>
        </w:rPr>
      </w:pPr>
      <w:r w:rsidRPr="00571974">
        <w:rPr>
          <w:lang w:val="en-GB"/>
        </w:rPr>
        <w:lastRenderedPageBreak/>
        <w:t>Mining EBITDA margin</w:t>
      </w:r>
    </w:p>
    <w:p w14:paraId="6758451D" w14:textId="1C0EE2CE" w:rsidR="00DF4A0D" w:rsidRPr="008151C7" w:rsidRDefault="003D4D89" w:rsidP="007B1404">
      <w:pPr>
        <w:pStyle w:val="Heading3"/>
        <w:rPr>
          <w:rFonts w:ascii="Times New Roman" w:eastAsia="PMingLiU" w:hAnsi="Times New Roman"/>
          <w:b w:val="0"/>
          <w:szCs w:val="20"/>
          <w:lang w:val="en-GB" w:eastAsia="en-US"/>
        </w:rPr>
      </w:pPr>
      <w:r w:rsidRPr="008151C7">
        <w:rPr>
          <w:rFonts w:ascii="Times New Roman" w:eastAsia="PMingLiU" w:hAnsi="Times New Roman"/>
          <w:b w:val="0"/>
          <w:szCs w:val="20"/>
          <w:lang w:val="en-GB" w:eastAsia="en-US"/>
        </w:rPr>
        <w:t>The Mining EBITDA margin is derived from the Group</w:t>
      </w:r>
      <w:r w:rsidR="00A311D8">
        <w:rPr>
          <w:rFonts w:ascii="Times New Roman" w:eastAsia="PMingLiU" w:hAnsi="Times New Roman"/>
          <w:b w:val="0"/>
          <w:szCs w:val="20"/>
          <w:lang w:val="en-GB" w:eastAsia="en-US"/>
        </w:rPr>
        <w:t>’</w:t>
      </w:r>
      <w:r w:rsidRPr="008151C7">
        <w:rPr>
          <w:rFonts w:ascii="Times New Roman" w:eastAsia="PMingLiU" w:hAnsi="Times New Roman"/>
          <w:b w:val="0"/>
          <w:szCs w:val="20"/>
          <w:lang w:val="en-GB" w:eastAsia="en-US"/>
        </w:rPr>
        <w:t>s Underlying EBITDA as a percentage of Group Revenue, adjusted to exclude certain items to better reflect the performance of the Group</w:t>
      </w:r>
      <w:r w:rsidR="00A311D8">
        <w:rPr>
          <w:rFonts w:ascii="Times New Roman" w:eastAsia="PMingLiU" w:hAnsi="Times New Roman"/>
          <w:b w:val="0"/>
          <w:szCs w:val="20"/>
          <w:lang w:val="en-GB" w:eastAsia="en-US"/>
        </w:rPr>
        <w:t>’</w:t>
      </w:r>
      <w:r w:rsidRPr="008151C7">
        <w:rPr>
          <w:rFonts w:ascii="Times New Roman" w:eastAsia="PMingLiU" w:hAnsi="Times New Roman"/>
          <w:b w:val="0"/>
          <w:szCs w:val="20"/>
          <w:lang w:val="en-GB" w:eastAsia="en-US"/>
        </w:rPr>
        <w:t>s mining business. The Mining EBITDA margin reflects Debswana accounting treatment as a 50/50 joint operation, excludes third-party sales, purchases and trading and excludes Platinum Group Metals</w:t>
      </w:r>
      <w:r w:rsidR="00A311D8">
        <w:rPr>
          <w:rFonts w:ascii="Times New Roman" w:eastAsia="PMingLiU" w:hAnsi="Times New Roman"/>
          <w:b w:val="0"/>
          <w:szCs w:val="20"/>
          <w:lang w:val="en-GB" w:eastAsia="en-US"/>
        </w:rPr>
        <w:t>’</w:t>
      </w:r>
      <w:r w:rsidRPr="008151C7">
        <w:rPr>
          <w:rFonts w:ascii="Times New Roman" w:eastAsia="PMingLiU" w:hAnsi="Times New Roman"/>
          <w:b w:val="0"/>
          <w:szCs w:val="20"/>
          <w:lang w:val="en-GB" w:eastAsia="en-US"/>
        </w:rPr>
        <w:t xml:space="preserve"> purchase of concentrate. </w:t>
      </w:r>
      <w:r w:rsidR="00D62318" w:rsidRPr="008151C7">
        <w:rPr>
          <w:rFonts w:ascii="Times New Roman" w:eastAsia="PMingLiU" w:hAnsi="Times New Roman"/>
          <w:b w:val="0"/>
          <w:szCs w:val="20"/>
          <w:lang w:val="en-GB" w:eastAsia="en-US"/>
        </w:rPr>
        <w:t>A reconciliation to the IFRS measure operating profit margin is disclosed in Other Information, Alternative Performance Measures</w:t>
      </w:r>
      <w:r w:rsidR="00554455">
        <w:rPr>
          <w:rFonts w:ascii="Times New Roman" w:eastAsia="PMingLiU" w:hAnsi="Times New Roman"/>
          <w:b w:val="0"/>
          <w:szCs w:val="20"/>
          <w:lang w:val="en-GB" w:eastAsia="en-US"/>
        </w:rPr>
        <w:t>, as included in the 2019 Annual Report of the Company as incorporated by reference herein.</w:t>
      </w:r>
      <w:r w:rsidR="009E0A3F">
        <w:rPr>
          <w:rFonts w:ascii="Times New Roman" w:eastAsia="PMingLiU" w:hAnsi="Times New Roman"/>
          <w:b w:val="0"/>
          <w:szCs w:val="20"/>
          <w:lang w:val="en-GB" w:eastAsia="en-US"/>
        </w:rPr>
        <w:t xml:space="preserve"> </w:t>
      </w:r>
    </w:p>
    <w:p w14:paraId="40605BF3" w14:textId="77777777" w:rsidR="00DF4A0D" w:rsidRPr="00571974" w:rsidRDefault="003D4D89" w:rsidP="00DF4A0D">
      <w:pPr>
        <w:pStyle w:val="BodyText"/>
        <w:widowControl/>
        <w:autoSpaceDE/>
        <w:autoSpaceDN/>
        <w:adjustRightInd/>
        <w:ind w:firstLine="360"/>
        <w:rPr>
          <w:rFonts w:eastAsia="PMingLiU"/>
          <w:b/>
          <w:bCs/>
          <w:szCs w:val="20"/>
          <w:lang w:val="en-GB" w:eastAsia="en-US"/>
        </w:rPr>
      </w:pPr>
      <w:r w:rsidRPr="00571974">
        <w:rPr>
          <w:rFonts w:eastAsia="PMingLiU"/>
          <w:b/>
          <w:bCs/>
          <w:szCs w:val="20"/>
          <w:lang w:val="en-GB" w:eastAsia="en-US"/>
        </w:rPr>
        <w:t>Net debt</w:t>
      </w:r>
    </w:p>
    <w:p w14:paraId="4BB46121" w14:textId="0AB798C1"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 xml:space="preserve">Net debt is calculated as total borrowings less cash and cash equivalents (including derivatives which provide an economic hedge of net debt). A reconciliation to the IFRS measure consolidated balance sheet is disclosed in Note 20 </w:t>
      </w:r>
      <w:r w:rsidRPr="00571974">
        <w:rPr>
          <w:lang w:val="en-GB"/>
        </w:rPr>
        <w:t>to the Group 201</w:t>
      </w:r>
      <w:r w:rsidR="008D2E70">
        <w:rPr>
          <w:lang w:val="en-GB"/>
        </w:rPr>
        <w:t>9</w:t>
      </w:r>
      <w:r w:rsidRPr="00571974">
        <w:rPr>
          <w:lang w:val="en-GB"/>
        </w:rPr>
        <w:t xml:space="preserve"> Consolidated Financial Statements, Note 20 to the Group 2018 Consolidated Financial Statements and Note 20 to the Group 201</w:t>
      </w:r>
      <w:r w:rsidR="008D2E70">
        <w:rPr>
          <w:lang w:val="en-GB"/>
        </w:rPr>
        <w:t>7</w:t>
      </w:r>
      <w:r w:rsidRPr="00571974">
        <w:rPr>
          <w:lang w:val="en-GB"/>
        </w:rPr>
        <w:t xml:space="preserve"> Consolidated Financial Statements, incorporated by reference herein.</w:t>
      </w:r>
    </w:p>
    <w:p w14:paraId="61FEFF62" w14:textId="77777777" w:rsidR="00DF4A0D" w:rsidRPr="00571974" w:rsidRDefault="003D4D89" w:rsidP="007B1404">
      <w:pPr>
        <w:pStyle w:val="Heading3"/>
        <w:rPr>
          <w:lang w:val="en-GB"/>
        </w:rPr>
      </w:pPr>
      <w:r w:rsidRPr="00571974">
        <w:rPr>
          <w:lang w:val="en-GB"/>
        </w:rPr>
        <w:t>Capital expenditure</w:t>
      </w:r>
    </w:p>
    <w:p w14:paraId="0E984EFC" w14:textId="30395630" w:rsidR="00DF4A0D" w:rsidRPr="00571974" w:rsidRDefault="003D4D89" w:rsidP="00DF4A0D">
      <w:pPr>
        <w:pStyle w:val="BodyText"/>
        <w:widowControl/>
        <w:autoSpaceDE/>
        <w:autoSpaceDN/>
        <w:adjustRightInd/>
        <w:ind w:firstLine="360"/>
        <w:rPr>
          <w:lang w:val="en-GB"/>
        </w:rPr>
      </w:pPr>
      <w:r w:rsidRPr="00571974">
        <w:rPr>
          <w:rFonts w:eastAsia="PMingLiU"/>
          <w:szCs w:val="20"/>
          <w:lang w:val="en-GB" w:eastAsia="en-US"/>
        </w:rPr>
        <w:t>Capital expenditure is defined as cash expenditure on property, plant and equipment, including related derivatives, and is presented net of proceeds from disposal of property, plant and equipment and includes direct funding for capital expenditure from non-controlling interests</w:t>
      </w:r>
      <w:r w:rsidRPr="00571974">
        <w:rPr>
          <w:lang w:val="en-GB"/>
        </w:rPr>
        <w:t xml:space="preserve"> </w:t>
      </w:r>
      <w:r w:rsidRPr="00571974">
        <w:rPr>
          <w:rFonts w:eastAsia="PMingLiU"/>
          <w:szCs w:val="20"/>
          <w:lang w:val="en-GB" w:eastAsia="en-US"/>
        </w:rPr>
        <w:t xml:space="preserve">in order to match more closely the way in which it is managed. A reconciliation to </w:t>
      </w:r>
      <w:r w:rsidR="00A311D8">
        <w:rPr>
          <w:rFonts w:eastAsia="PMingLiU"/>
          <w:szCs w:val="20"/>
          <w:lang w:val="en-GB" w:eastAsia="en-US"/>
        </w:rPr>
        <w:t>“</w:t>
      </w:r>
      <w:r w:rsidRPr="00571974">
        <w:rPr>
          <w:rFonts w:eastAsia="PMingLiU"/>
          <w:szCs w:val="20"/>
          <w:lang w:val="en-GB" w:eastAsia="en-US"/>
        </w:rPr>
        <w:t>expenditure on property, plant and equipment</w:t>
      </w:r>
      <w:r w:rsidR="00A311D8">
        <w:rPr>
          <w:rFonts w:eastAsia="PMingLiU"/>
          <w:szCs w:val="20"/>
          <w:lang w:val="en-GB" w:eastAsia="en-US"/>
        </w:rPr>
        <w:t>”</w:t>
      </w:r>
      <w:r w:rsidRPr="00571974">
        <w:rPr>
          <w:rFonts w:eastAsia="PMingLiU"/>
          <w:szCs w:val="20"/>
          <w:lang w:val="en-GB" w:eastAsia="en-US"/>
        </w:rPr>
        <w:t xml:space="preserve">, the closest IFRS measure to capital expenditure is disclosed in Note 12 </w:t>
      </w:r>
      <w:r w:rsidRPr="00571974">
        <w:rPr>
          <w:lang w:val="en-GB"/>
        </w:rPr>
        <w:t>to the Group 201</w:t>
      </w:r>
      <w:r w:rsidR="008D2E70">
        <w:rPr>
          <w:lang w:val="en-GB"/>
        </w:rPr>
        <w:t>9</w:t>
      </w:r>
      <w:r w:rsidRPr="00571974">
        <w:rPr>
          <w:lang w:val="en-GB"/>
        </w:rPr>
        <w:t xml:space="preserve"> Consolidated Financial Statements, Note 12 to the Group 2018 Consolidated Financial Statements and Note 12 to the Group 201</w:t>
      </w:r>
      <w:r w:rsidR="008D2E70">
        <w:rPr>
          <w:lang w:val="en-GB"/>
        </w:rPr>
        <w:t>7</w:t>
      </w:r>
      <w:r w:rsidRPr="00571974">
        <w:rPr>
          <w:lang w:val="en-GB"/>
        </w:rPr>
        <w:t xml:space="preserve"> Consolidated Financial Statements, incorporated by reference herein.</w:t>
      </w:r>
    </w:p>
    <w:p w14:paraId="041AE11B" w14:textId="77777777" w:rsidR="00DF4A0D" w:rsidRPr="00571974" w:rsidRDefault="003D4D89" w:rsidP="007B1404">
      <w:pPr>
        <w:pStyle w:val="Heading3"/>
        <w:rPr>
          <w:lang w:val="en-GB"/>
        </w:rPr>
      </w:pPr>
      <w:r w:rsidRPr="00571974">
        <w:rPr>
          <w:lang w:val="en-GB"/>
        </w:rPr>
        <w:t>Capital employed</w:t>
      </w:r>
    </w:p>
    <w:p w14:paraId="163A8E32" w14:textId="5606C029"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Capital employed is defined as net assets excluding net debt and financial asset investments. Attributable capital employed includes the Group</w:t>
      </w:r>
      <w:r w:rsidR="00A311D8">
        <w:rPr>
          <w:rFonts w:eastAsia="PMingLiU"/>
          <w:szCs w:val="20"/>
          <w:lang w:val="en-GB" w:eastAsia="en-US"/>
        </w:rPr>
        <w:t>’</w:t>
      </w:r>
      <w:r w:rsidRPr="00571974">
        <w:rPr>
          <w:rFonts w:eastAsia="PMingLiU"/>
          <w:szCs w:val="20"/>
          <w:lang w:val="en-GB" w:eastAsia="en-US"/>
        </w:rPr>
        <w:t>s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capital employed and excludes capital employed of non-controlling interests. Average attributable capital employed is calculated by adding the opening and closing attributable capital employed for the relevant period and dividing by two. A reconciliation to the closest IFRS measure is disclosed in Note 9 to the Group 201</w:t>
      </w:r>
      <w:r w:rsidR="008D2E70">
        <w:rPr>
          <w:rFonts w:eastAsia="PMingLiU"/>
          <w:szCs w:val="20"/>
          <w:lang w:val="en-GB" w:eastAsia="en-US"/>
        </w:rPr>
        <w:t>9</w:t>
      </w:r>
      <w:r w:rsidRPr="00571974">
        <w:rPr>
          <w:rFonts w:eastAsia="PMingLiU"/>
          <w:szCs w:val="20"/>
          <w:lang w:val="en-GB" w:eastAsia="en-US"/>
        </w:rPr>
        <w:t xml:space="preserve"> Consolidated Financial Statements, Note 9 to the Group 2018 Consolidated Financial Statements and Note 9 to the Group 201</w:t>
      </w:r>
      <w:r w:rsidR="008D2E70">
        <w:rPr>
          <w:rFonts w:eastAsia="PMingLiU"/>
          <w:szCs w:val="20"/>
          <w:lang w:val="en-GB" w:eastAsia="en-US"/>
        </w:rPr>
        <w:t>7</w:t>
      </w:r>
      <w:r w:rsidRPr="00571974">
        <w:rPr>
          <w:rFonts w:eastAsia="PMingLiU"/>
          <w:szCs w:val="20"/>
          <w:lang w:val="en-GB" w:eastAsia="en-US"/>
        </w:rPr>
        <w:t xml:space="preserve"> Consolidated Financial Statements, incorporated by reference herein.</w:t>
      </w:r>
    </w:p>
    <w:p w14:paraId="5F6DCF48" w14:textId="77777777" w:rsidR="00DF4A0D" w:rsidRPr="00571974" w:rsidRDefault="003D4D89" w:rsidP="007B1404">
      <w:pPr>
        <w:pStyle w:val="Heading3"/>
        <w:rPr>
          <w:lang w:val="en-GB"/>
        </w:rPr>
      </w:pPr>
      <w:r w:rsidRPr="00571974">
        <w:rPr>
          <w:lang w:val="en-GB"/>
        </w:rPr>
        <w:t>Underlying effective tax rate</w:t>
      </w:r>
    </w:p>
    <w:p w14:paraId="12B5E310" w14:textId="49B51468"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underlying effective tax rate equates to the income tax expense before special items and remeasurements and including the Group</w:t>
      </w:r>
      <w:r w:rsidR="00A311D8">
        <w:rPr>
          <w:rFonts w:eastAsia="PMingLiU"/>
          <w:szCs w:val="20"/>
          <w:lang w:val="en-GB" w:eastAsia="en-US"/>
        </w:rPr>
        <w:t>’</w:t>
      </w:r>
      <w:r w:rsidRPr="00571974">
        <w:rPr>
          <w:rFonts w:eastAsia="PMingLiU"/>
          <w:szCs w:val="20"/>
          <w:lang w:val="en-GB" w:eastAsia="en-US"/>
        </w:rPr>
        <w:t>s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tax before special items and remeasurements, divided by profit before tax before special items and remeasurements and including the Group</w:t>
      </w:r>
      <w:r w:rsidR="00A311D8">
        <w:rPr>
          <w:rFonts w:eastAsia="PMingLiU"/>
          <w:szCs w:val="20"/>
          <w:lang w:val="en-GB" w:eastAsia="en-US"/>
        </w:rPr>
        <w:t>’</w:t>
      </w:r>
      <w:r w:rsidRPr="00571974">
        <w:rPr>
          <w:rFonts w:eastAsia="PMingLiU"/>
          <w:szCs w:val="20"/>
          <w:lang w:val="en-GB" w:eastAsia="en-US"/>
        </w:rPr>
        <w:t>s share of associates</w:t>
      </w:r>
      <w:r w:rsidR="00A311D8">
        <w:rPr>
          <w:rFonts w:eastAsia="PMingLiU"/>
          <w:szCs w:val="20"/>
          <w:lang w:val="en-GB" w:eastAsia="en-US"/>
        </w:rPr>
        <w:t>’</w:t>
      </w:r>
      <w:r w:rsidRPr="00571974">
        <w:rPr>
          <w:rFonts w:eastAsia="PMingLiU"/>
          <w:szCs w:val="20"/>
          <w:lang w:val="en-GB" w:eastAsia="en-US"/>
        </w:rPr>
        <w:t xml:space="preserve"> and joint ventures</w:t>
      </w:r>
      <w:r w:rsidR="00A311D8">
        <w:rPr>
          <w:rFonts w:eastAsia="PMingLiU"/>
          <w:szCs w:val="20"/>
          <w:lang w:val="en-GB" w:eastAsia="en-US"/>
        </w:rPr>
        <w:t>’</w:t>
      </w:r>
      <w:r w:rsidRPr="00571974">
        <w:rPr>
          <w:rFonts w:eastAsia="PMingLiU"/>
          <w:szCs w:val="20"/>
          <w:lang w:val="en-GB" w:eastAsia="en-US"/>
        </w:rPr>
        <w:t xml:space="preserve"> profit before tax before special items and remeasurements.</w:t>
      </w:r>
    </w:p>
    <w:p w14:paraId="66D4917C" w14:textId="3CC9FF9C"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calculation of underlying effective tax rate for the years 201</w:t>
      </w:r>
      <w:r w:rsidR="008D2E70">
        <w:rPr>
          <w:rFonts w:eastAsia="PMingLiU"/>
          <w:szCs w:val="20"/>
          <w:lang w:val="en-GB" w:eastAsia="en-US"/>
        </w:rPr>
        <w:t>9</w:t>
      </w:r>
      <w:r w:rsidRPr="00571974">
        <w:rPr>
          <w:rFonts w:eastAsia="PMingLiU"/>
          <w:szCs w:val="20"/>
          <w:lang w:val="en-GB" w:eastAsia="en-US"/>
        </w:rPr>
        <w:t>, 2018 and 201</w:t>
      </w:r>
      <w:r w:rsidR="008D2E70">
        <w:rPr>
          <w:rFonts w:eastAsia="PMingLiU"/>
          <w:szCs w:val="20"/>
          <w:lang w:val="en-GB" w:eastAsia="en-US"/>
        </w:rPr>
        <w:t>7</w:t>
      </w:r>
      <w:r w:rsidRPr="00571974">
        <w:rPr>
          <w:rFonts w:eastAsia="PMingLiU"/>
          <w:szCs w:val="20"/>
          <w:lang w:val="en-GB" w:eastAsia="en-US"/>
        </w:rPr>
        <w:t xml:space="preserve"> is set forth on page </w:t>
      </w:r>
      <w:r w:rsidR="00716FAB">
        <w:rPr>
          <w:rFonts w:eastAsia="PMingLiU"/>
          <w:szCs w:val="20"/>
          <w:lang w:val="en-GB" w:eastAsia="en-US"/>
        </w:rPr>
        <w:t>69</w:t>
      </w:r>
      <w:r w:rsidRPr="00571974">
        <w:rPr>
          <w:rFonts w:eastAsia="PMingLiU"/>
          <w:szCs w:val="20"/>
          <w:lang w:val="en-GB" w:eastAsia="en-US"/>
        </w:rPr>
        <w:t xml:space="preserve"> of this document as part of the Operating and Financial Review.</w:t>
      </w:r>
    </w:p>
    <w:p w14:paraId="03DE367D" w14:textId="77777777" w:rsidR="00DF4A0D" w:rsidRPr="00571974" w:rsidRDefault="003D4D89" w:rsidP="007B1404">
      <w:pPr>
        <w:pStyle w:val="Heading3"/>
        <w:rPr>
          <w:lang w:val="en-GB"/>
        </w:rPr>
      </w:pPr>
      <w:r w:rsidRPr="00571974">
        <w:rPr>
          <w:lang w:val="en-GB"/>
        </w:rPr>
        <w:t>Attributable free cash flow</w:t>
      </w:r>
    </w:p>
    <w:p w14:paraId="7EDD1739" w14:textId="3A2969D7" w:rsidR="00DF4A0D" w:rsidRPr="00571974" w:rsidRDefault="003D4D89" w:rsidP="00DF4A0D">
      <w:pPr>
        <w:pStyle w:val="BodyText"/>
        <w:widowControl/>
        <w:autoSpaceDE/>
        <w:autoSpaceDN/>
        <w:adjustRightInd/>
        <w:ind w:firstLine="360"/>
        <w:rPr>
          <w:lang w:val="en-GB"/>
        </w:rPr>
      </w:pPr>
      <w:r w:rsidRPr="00571974">
        <w:rPr>
          <w:lang w:val="en-GB"/>
        </w:rPr>
        <w:t xml:space="preserve">Attributable free cash flow is calculated as </w:t>
      </w:r>
      <w:r w:rsidR="00A311D8">
        <w:rPr>
          <w:lang w:val="en-GB"/>
        </w:rPr>
        <w:t>“</w:t>
      </w:r>
      <w:r w:rsidRPr="00571974">
        <w:rPr>
          <w:lang w:val="en-GB"/>
        </w:rPr>
        <w:t>Cash flows from operations</w:t>
      </w:r>
      <w:r w:rsidR="00A311D8">
        <w:rPr>
          <w:lang w:val="en-GB"/>
        </w:rPr>
        <w:t>”</w:t>
      </w:r>
      <w:r w:rsidRPr="00571974">
        <w:rPr>
          <w:lang w:val="en-GB"/>
        </w:rPr>
        <w:t xml:space="preserve"> plus dividends received from associates, joint ventures and financial asset investments, less capital expenditure, less tax cash payments excluding tax payments relating to disposals, less net interest paid including interest on derivatives hedging net debt, less dividends paid to non-controlling interests</w:t>
      </w:r>
      <w:r w:rsidR="00554455">
        <w:rPr>
          <w:lang w:val="en-GB"/>
        </w:rPr>
        <w:t>, less capital repayment of lease obligations</w:t>
      </w:r>
      <w:r w:rsidRPr="00571974">
        <w:rPr>
          <w:lang w:val="en-GB"/>
        </w:rPr>
        <w:t xml:space="preserve">. A reconciliation to </w:t>
      </w:r>
      <w:r w:rsidR="00A311D8">
        <w:rPr>
          <w:lang w:val="en-GB"/>
        </w:rPr>
        <w:t>“</w:t>
      </w:r>
      <w:r w:rsidRPr="00571974">
        <w:rPr>
          <w:lang w:val="en-GB"/>
        </w:rPr>
        <w:t>cash flows from operations</w:t>
      </w:r>
      <w:r w:rsidR="00A311D8">
        <w:rPr>
          <w:lang w:val="en-GB"/>
        </w:rPr>
        <w:t>”</w:t>
      </w:r>
      <w:r w:rsidRPr="00571974">
        <w:rPr>
          <w:lang w:val="en-GB"/>
        </w:rPr>
        <w:t xml:space="preserve">, the closest equivalent IFRS measure, is provided on page </w:t>
      </w:r>
      <w:r w:rsidR="008D2E70">
        <w:rPr>
          <w:lang w:val="en-GB"/>
        </w:rPr>
        <w:t>54</w:t>
      </w:r>
      <w:r w:rsidR="008D2E70" w:rsidRPr="00571974">
        <w:rPr>
          <w:lang w:val="en-GB"/>
        </w:rPr>
        <w:t xml:space="preserve"> </w:t>
      </w:r>
      <w:r w:rsidRPr="00571974">
        <w:rPr>
          <w:lang w:val="en-GB"/>
        </w:rPr>
        <w:t>of the Group Financial Review in the 201</w:t>
      </w:r>
      <w:r w:rsidR="008D2E70">
        <w:rPr>
          <w:lang w:val="en-GB"/>
        </w:rPr>
        <w:t>9</w:t>
      </w:r>
      <w:r w:rsidRPr="00571974">
        <w:rPr>
          <w:lang w:val="en-GB"/>
        </w:rPr>
        <w:t xml:space="preserve"> Annual Report of the Company, page 52 of the Group Financial Review in </w:t>
      </w:r>
      <w:r w:rsidR="002C0614">
        <w:rPr>
          <w:lang w:val="en-GB"/>
        </w:rPr>
        <w:t xml:space="preserve">the 2018 Annual Report of the Company and </w:t>
      </w:r>
      <w:r w:rsidRPr="00571974">
        <w:rPr>
          <w:lang w:val="en-GB"/>
        </w:rPr>
        <w:t xml:space="preserve">page </w:t>
      </w:r>
      <w:r w:rsidR="008D2E70">
        <w:rPr>
          <w:lang w:val="en-GB"/>
        </w:rPr>
        <w:t>38</w:t>
      </w:r>
      <w:r w:rsidR="008D2E70" w:rsidRPr="00571974">
        <w:rPr>
          <w:lang w:val="en-GB"/>
        </w:rPr>
        <w:t xml:space="preserve"> </w:t>
      </w:r>
      <w:r w:rsidRPr="00571974">
        <w:rPr>
          <w:lang w:val="en-GB"/>
        </w:rPr>
        <w:t xml:space="preserve">of the Group Financial </w:t>
      </w:r>
      <w:r w:rsidR="002C0614">
        <w:rPr>
          <w:lang w:val="en-GB"/>
        </w:rPr>
        <w:t>R</w:t>
      </w:r>
      <w:r w:rsidRPr="00571974">
        <w:rPr>
          <w:lang w:val="en-GB"/>
        </w:rPr>
        <w:t xml:space="preserve">eview </w:t>
      </w:r>
      <w:r w:rsidR="002C0614">
        <w:rPr>
          <w:lang w:val="en-GB"/>
        </w:rPr>
        <w:t xml:space="preserve">in </w:t>
      </w:r>
      <w:r w:rsidRPr="00571974">
        <w:rPr>
          <w:lang w:val="en-GB"/>
        </w:rPr>
        <w:t>the 201</w:t>
      </w:r>
      <w:r w:rsidR="008D2E70">
        <w:rPr>
          <w:lang w:val="en-GB"/>
        </w:rPr>
        <w:t>7</w:t>
      </w:r>
      <w:r w:rsidRPr="00571974">
        <w:rPr>
          <w:lang w:val="en-GB"/>
        </w:rPr>
        <w:t xml:space="preserve"> Annual Report of the Company, incorporated by reference herein.</w:t>
      </w:r>
    </w:p>
    <w:p w14:paraId="02D0E04B" w14:textId="77777777" w:rsidR="00DF4A0D" w:rsidRPr="00571974" w:rsidRDefault="003D4D89" w:rsidP="007B1404">
      <w:pPr>
        <w:pStyle w:val="Heading3"/>
        <w:rPr>
          <w:lang w:val="en-GB"/>
        </w:rPr>
      </w:pPr>
      <w:r w:rsidRPr="00571974">
        <w:rPr>
          <w:lang w:val="en-GB"/>
        </w:rPr>
        <w:t>Copper equivalent production</w:t>
      </w:r>
    </w:p>
    <w:p w14:paraId="22395705" w14:textId="261D80DE"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Copper equivalent production, expressed as copper equivalent tonnes, shows changes in underlying production volume. It is calculated by expressing each commodity</w:t>
      </w:r>
      <w:r w:rsidR="00A311D8">
        <w:rPr>
          <w:rFonts w:eastAsia="PMingLiU"/>
          <w:szCs w:val="20"/>
          <w:lang w:val="en-GB" w:eastAsia="en-US"/>
        </w:rPr>
        <w:t>’</w:t>
      </w:r>
      <w:r w:rsidRPr="00571974">
        <w:rPr>
          <w:rFonts w:eastAsia="PMingLiU"/>
          <w:szCs w:val="20"/>
          <w:lang w:val="en-GB" w:eastAsia="en-US"/>
        </w:rPr>
        <w:t xml:space="preserve">s volume as revenue, subsequently converting the revenue </w:t>
      </w:r>
      <w:r w:rsidRPr="00571974">
        <w:rPr>
          <w:rFonts w:eastAsia="PMingLiU"/>
          <w:szCs w:val="20"/>
          <w:lang w:val="en-GB" w:eastAsia="en-US"/>
        </w:rPr>
        <w:lastRenderedPageBreak/>
        <w:t>into copper equivalent units by dividing by the copper price (per tonne). Long term prices (and foreign exchange rates where appropriate) are used, in order that period on period comparisons exclude any impact for movements in price.</w:t>
      </w:r>
    </w:p>
    <w:p w14:paraId="0CCC1005"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When calculating copper equivalent production, all volumes relating to domestic sales are excluded, as are volumes from Samancor and sales from non-mining activities. Volume from projects in pre-commercial production are included.</w:t>
      </w:r>
    </w:p>
    <w:p w14:paraId="0B8F58F3" w14:textId="77777777" w:rsidR="00DF4A0D" w:rsidRPr="00571974" w:rsidRDefault="003D4D89" w:rsidP="007B1404">
      <w:pPr>
        <w:pStyle w:val="Heading3"/>
        <w:rPr>
          <w:lang w:val="en-GB"/>
        </w:rPr>
      </w:pPr>
      <w:r w:rsidRPr="00571974">
        <w:rPr>
          <w:lang w:val="en-GB"/>
        </w:rPr>
        <w:t>Unit cost</w:t>
      </w:r>
    </w:p>
    <w:p w14:paraId="1554208C"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Unit cost is the direct cash cost including direct cash support costs incurred in producing one unit of saleable production.</w:t>
      </w:r>
    </w:p>
    <w:p w14:paraId="57714C29"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For bulk products (coal, iron ore), unit costs shown are FOB i.e. cost on board at port. For base metals (copper, nickel), they are shown at C1 i.e. after inclusion of by-product credits and logistics costs. For PGMs and diamonds, unit costs include all direct expensed cash costs incurred i.e. excluding, amongst other things, market development activity, corporate overhead etc. PGM unit costs exclude by-product credits. Royalties are excluded from all unit cost calculations.</w:t>
      </w:r>
    </w:p>
    <w:p w14:paraId="3083AEAA" w14:textId="77777777" w:rsidR="00DF4A0D" w:rsidRPr="00571974" w:rsidRDefault="003D4D89" w:rsidP="007B1404">
      <w:pPr>
        <w:pStyle w:val="Heading3"/>
        <w:rPr>
          <w:lang w:val="en-GB"/>
        </w:rPr>
      </w:pPr>
      <w:r w:rsidRPr="00571974">
        <w:rPr>
          <w:lang w:val="en-GB"/>
        </w:rPr>
        <w:t>Copper equivalent unit cost</w:t>
      </w:r>
    </w:p>
    <w:p w14:paraId="46D08D91"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Copper equivalent unit cost is the cost incurred to produce one tonne of copper equivalent. Only the cost incurred in mined output from subsidiaries and joint operations is included, representing direct costs in the consolidated income statement controllable by the Group. Costs and volumes from associates and joint ventures are excluded, as are those from operations that are not yet in commercial production, that deliver domestic production, and those associated with third-party volume purchases of diamonds and platinum concentrate.</w:t>
      </w:r>
    </w:p>
    <w:p w14:paraId="49D3DD66"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When calculating copper equivalent unit cost, unit costs for each commodity are multiplied by relevant production, combined and then divided by the total copper equivalent production, to get a copper equivalent unit cost i.e. the cost of mining one tonne of copper equivalent. The metric is in U.S. dollars and, where appropriate, long-term foreign exchange rates are used to convert from local currency to U.S. dollars.</w:t>
      </w:r>
    </w:p>
    <w:p w14:paraId="5FE17735" w14:textId="77777777" w:rsidR="00DF4A0D" w:rsidRPr="00571974" w:rsidRDefault="003D4D89" w:rsidP="007B1404">
      <w:pPr>
        <w:pStyle w:val="Heading3"/>
        <w:rPr>
          <w:lang w:val="en-GB"/>
        </w:rPr>
      </w:pPr>
      <w:r w:rsidRPr="00571974">
        <w:rPr>
          <w:lang w:val="en-GB"/>
        </w:rPr>
        <w:t>Productivity</w:t>
      </w:r>
    </w:p>
    <w:p w14:paraId="67A70E55" w14:textId="07C475AC"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Group</w:t>
      </w:r>
      <w:r w:rsidR="00A311D8">
        <w:rPr>
          <w:rFonts w:eastAsia="PMingLiU"/>
          <w:szCs w:val="20"/>
          <w:lang w:val="en-GB" w:eastAsia="en-US"/>
        </w:rPr>
        <w:t>’</w:t>
      </w:r>
      <w:r w:rsidRPr="00571974">
        <w:rPr>
          <w:rFonts w:eastAsia="PMingLiU"/>
          <w:szCs w:val="20"/>
          <w:lang w:val="en-GB" w:eastAsia="en-US"/>
        </w:rPr>
        <w:t>s productivity measure calculates the copper equivalent production generated per employee. It is a measure that represents how well headcount is driving revenue. It is calculated by dividing copper equivalent production by the average direct headcount from consolidated mining operations in a given year.</w:t>
      </w:r>
    </w:p>
    <w:p w14:paraId="0EDDCA2B" w14:textId="77777777" w:rsidR="00DF4A0D" w:rsidRPr="00571974" w:rsidRDefault="003D4D89" w:rsidP="007B1404">
      <w:pPr>
        <w:pStyle w:val="Heading3"/>
        <w:rPr>
          <w:lang w:val="en-GB"/>
        </w:rPr>
      </w:pPr>
      <w:r w:rsidRPr="00571974">
        <w:rPr>
          <w:lang w:val="en-GB"/>
        </w:rPr>
        <w:t>Volume and cash cost improvements</w:t>
      </w:r>
    </w:p>
    <w:p w14:paraId="6DA18DB0"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The Group uses an underlying EBITDA waterfall to understand its year-on-year underlying EBITDA performance. The waterfall isolates the impact of uncontrollable factors in order that the real year-on-year improvement in performance can be seen by the user.</w:t>
      </w:r>
    </w:p>
    <w:p w14:paraId="69C5905F" w14:textId="77777777" w:rsidR="00DF4A0D" w:rsidRPr="00571974" w:rsidRDefault="003D4D89" w:rsidP="00DF4A0D">
      <w:pPr>
        <w:pStyle w:val="BodyText"/>
        <w:widowControl/>
        <w:autoSpaceDE/>
        <w:autoSpaceDN/>
        <w:adjustRightInd/>
        <w:ind w:firstLine="360"/>
        <w:rPr>
          <w:rFonts w:eastAsia="PMingLiU"/>
          <w:szCs w:val="20"/>
          <w:lang w:val="en-GB" w:eastAsia="en-US"/>
        </w:rPr>
      </w:pPr>
      <w:r w:rsidRPr="00571974">
        <w:rPr>
          <w:rFonts w:eastAsia="PMingLiU"/>
          <w:szCs w:val="20"/>
          <w:lang w:val="en-GB" w:eastAsia="en-US"/>
        </w:rPr>
        <w:t>Three variables are normalized in the results of subsidiaries and joint operations, for:</w:t>
      </w:r>
    </w:p>
    <w:p w14:paraId="5B407B08" w14:textId="77777777" w:rsidR="00DF4A0D" w:rsidRPr="00571974" w:rsidRDefault="003D4D89" w:rsidP="003D4D89">
      <w:pPr>
        <w:pStyle w:val="ListParagraph"/>
        <w:widowControl/>
        <w:numPr>
          <w:ilvl w:val="0"/>
          <w:numId w:val="26"/>
        </w:numPr>
        <w:tabs>
          <w:tab w:val="left" w:pos="-720"/>
        </w:tabs>
        <w:suppressAutoHyphens/>
        <w:spacing w:after="240"/>
        <w:ind w:left="993"/>
        <w:rPr>
          <w:rFonts w:eastAsia="PMingLiU"/>
          <w:szCs w:val="20"/>
          <w:lang w:val="en-GB" w:eastAsia="en-US"/>
        </w:rPr>
      </w:pPr>
      <w:r w:rsidRPr="00571974">
        <w:rPr>
          <w:rFonts w:eastAsia="PMingLiU"/>
          <w:szCs w:val="20"/>
          <w:lang w:val="en-GB" w:eastAsia="en-US"/>
        </w:rPr>
        <w:t xml:space="preserve">Price: The movement in price between comparative periods is removed, by multiplying current year sales volume by the movement in realized price for each </w:t>
      </w:r>
      <w:r w:rsidRPr="00571974">
        <w:rPr>
          <w:lang w:val="en-GB"/>
        </w:rPr>
        <w:t>product group.</w:t>
      </w:r>
    </w:p>
    <w:p w14:paraId="53BCB8AC" w14:textId="77777777" w:rsidR="00DF4A0D" w:rsidRPr="00571974" w:rsidRDefault="003D4D89" w:rsidP="003D4D89">
      <w:pPr>
        <w:pStyle w:val="ListParagraph"/>
        <w:widowControl/>
        <w:numPr>
          <w:ilvl w:val="0"/>
          <w:numId w:val="26"/>
        </w:numPr>
        <w:tabs>
          <w:tab w:val="left" w:pos="-720"/>
        </w:tabs>
        <w:suppressAutoHyphens/>
        <w:spacing w:after="240"/>
        <w:ind w:left="993"/>
        <w:rPr>
          <w:rFonts w:eastAsia="PMingLiU"/>
          <w:szCs w:val="20"/>
          <w:lang w:val="en-GB" w:eastAsia="en-US"/>
        </w:rPr>
      </w:pPr>
      <w:r w:rsidRPr="00571974">
        <w:rPr>
          <w:lang w:val="en-GB"/>
        </w:rPr>
        <w:t>Foreign Exchange: The year-on-year movement in exchange is removed from the current year non-U.S. dollar cost base i.e. they are restated at prior year foreign exchange rates. The non-U.S. dollar cash cost base excludes costs which are price linked (e.g. purchase of concentrate from third-party platinum providers, third-party diamond purchases).</w:t>
      </w:r>
    </w:p>
    <w:p w14:paraId="0A05855D" w14:textId="77777777" w:rsidR="00DF4A0D" w:rsidRPr="00571974" w:rsidRDefault="003D4D89" w:rsidP="003D4D89">
      <w:pPr>
        <w:pStyle w:val="ListParagraph"/>
        <w:widowControl/>
        <w:numPr>
          <w:ilvl w:val="0"/>
          <w:numId w:val="26"/>
        </w:numPr>
        <w:tabs>
          <w:tab w:val="left" w:pos="-720"/>
        </w:tabs>
        <w:suppressAutoHyphens/>
        <w:spacing w:after="200"/>
        <w:ind w:left="994"/>
        <w:rPr>
          <w:rFonts w:eastAsia="PMingLiU"/>
          <w:szCs w:val="20"/>
          <w:lang w:val="en-GB" w:eastAsia="en-US"/>
        </w:rPr>
      </w:pPr>
      <w:r w:rsidRPr="00571974">
        <w:rPr>
          <w:lang w:val="en-GB"/>
        </w:rPr>
        <w:t>Inflation: consumer price index (CPI) is removed from cash costs, restating these costs at the level of the base year.</w:t>
      </w:r>
    </w:p>
    <w:p w14:paraId="10DA0353" w14:textId="77777777" w:rsidR="00DF4A0D" w:rsidRPr="00571974" w:rsidRDefault="003D4D89" w:rsidP="003C505A">
      <w:pPr>
        <w:pStyle w:val="BodyText"/>
        <w:widowControl/>
        <w:autoSpaceDE/>
        <w:autoSpaceDN/>
        <w:adjustRightInd/>
        <w:ind w:firstLine="360"/>
        <w:rPr>
          <w:lang w:val="en-GB"/>
        </w:rPr>
      </w:pPr>
      <w:r w:rsidRPr="00571974">
        <w:rPr>
          <w:rFonts w:eastAsia="PMingLiU"/>
          <w:szCs w:val="20"/>
          <w:lang w:val="en-GB" w:eastAsia="en-US"/>
        </w:rPr>
        <w:t>The remaining variances in the underlying EBITDA waterfall are in real U.S. dollar terms for the base year i.e. for a waterfall comparing 2019 with 2018, the sales volume and cash cost variances exclude the impact of price, foreign exchange rates and CPI and are hence in real 2018 terms. This allows the user of the waterfall to understand the underlying real movement in sales volumes and cash costs on a consistent basis.</w:t>
      </w:r>
      <w:r w:rsidRPr="00571974">
        <w:rPr>
          <w:lang w:val="en-GB"/>
        </w:rPr>
        <w:br w:type="page"/>
      </w:r>
    </w:p>
    <w:p w14:paraId="16BE4605" w14:textId="0ED3F2E7" w:rsidR="00542FF4" w:rsidRPr="00571974" w:rsidRDefault="00F7022D" w:rsidP="00DF4A0D">
      <w:pPr>
        <w:pStyle w:val="Heading1"/>
        <w:rPr>
          <w:lang w:val="en-GB"/>
        </w:rPr>
      </w:pPr>
      <w:bookmarkStart w:id="14" w:name="_Toc349210416"/>
      <w:bookmarkStart w:id="15" w:name="_Toc36388953"/>
      <w:bookmarkEnd w:id="12"/>
      <w:bookmarkEnd w:id="13"/>
      <w:r w:rsidRPr="00571974">
        <w:rPr>
          <w:lang w:val="en-GB"/>
        </w:rPr>
        <w:lastRenderedPageBreak/>
        <w:t>INCORPORATION OF CERTAIN INFORMATION BY REFERENCE</w:t>
      </w:r>
      <w:bookmarkEnd w:id="14"/>
      <w:bookmarkEnd w:id="15"/>
    </w:p>
    <w:p w14:paraId="1C90F081" w14:textId="646B1B04" w:rsidR="00542FF4" w:rsidRPr="00571974" w:rsidRDefault="00F7022D" w:rsidP="00542FF4">
      <w:pPr>
        <w:pStyle w:val="BodyText"/>
        <w:widowControl/>
        <w:autoSpaceDE/>
        <w:autoSpaceDN/>
        <w:adjustRightInd/>
        <w:ind w:firstLine="360"/>
        <w:rPr>
          <w:lang w:val="en-GB"/>
        </w:rPr>
      </w:pPr>
      <w:r w:rsidRPr="00571974">
        <w:rPr>
          <w:lang w:val="en-GB"/>
        </w:rPr>
        <w:t xml:space="preserve">We are incorporating by reference certain information into this document, which means we are disclosing important information to you by referring you to such information. The information being incorporated by reference is an important part of this document and should be reviewed before deciding whether or not to purchase the Notes described </w:t>
      </w:r>
      <w:r w:rsidR="00571974" w:rsidRPr="00571974">
        <w:rPr>
          <w:lang w:val="en-GB"/>
        </w:rPr>
        <w:t>herein. Subject</w:t>
      </w:r>
      <w:r w:rsidRPr="00571974">
        <w:rPr>
          <w:lang w:val="en-GB"/>
        </w:rPr>
        <w:t xml:space="preserve"> to the limitations and exclusions described in the paragraphs below, the following documents, which have previously been published and have been filed with the </w:t>
      </w:r>
      <w:r w:rsidR="001649AB">
        <w:rPr>
          <w:lang w:val="en-GB"/>
        </w:rPr>
        <w:t>FCA</w:t>
      </w:r>
      <w:r w:rsidRPr="00571974">
        <w:rPr>
          <w:lang w:val="en-GB"/>
        </w:rPr>
        <w:t xml:space="preserve">, shall be incorporated by reference into this document: </w:t>
      </w:r>
    </w:p>
    <w:p w14:paraId="7F6751A9" w14:textId="326841F6" w:rsidR="00BC0A01" w:rsidRPr="00571974" w:rsidRDefault="003D4D89" w:rsidP="00BC0A01">
      <w:pPr>
        <w:pStyle w:val="ListBullet"/>
        <w:tabs>
          <w:tab w:val="clear" w:pos="360"/>
          <w:tab w:val="num" w:pos="757"/>
        </w:tabs>
        <w:ind w:left="1163" w:hanging="397"/>
      </w:pPr>
      <w:r w:rsidRPr="00571974">
        <w:t>The auditor</w:t>
      </w:r>
      <w:r w:rsidR="00A311D8">
        <w:t>’</w:t>
      </w:r>
      <w:r w:rsidRPr="00571974">
        <w:t xml:space="preserve">s report and audited consolidated annual financial statements for the financial year-ended December 31, 2019 of Anglo American plc </w:t>
      </w:r>
      <w:r w:rsidR="00B74757">
        <w:t>(</w:t>
      </w:r>
      <w:hyperlink r:id="rId15" w:history="1">
        <w:r w:rsidR="00F94C96">
          <w:rPr>
            <w:rStyle w:val="Hyperlink"/>
          </w:rPr>
          <w:t>https://www.angloamerican.com/investors/fixed-income-investors/issuer-document-downloads</w:t>
        </w:r>
      </w:hyperlink>
      <w:r w:rsidR="00B74757">
        <w:t>)</w:t>
      </w:r>
      <w:r w:rsidR="00B74757" w:rsidRPr="00571974">
        <w:t xml:space="preserve"> </w:t>
      </w:r>
      <w:r w:rsidRPr="00571974">
        <w:t xml:space="preserve">(such information, the </w:t>
      </w:r>
      <w:r w:rsidR="00A311D8">
        <w:t>“</w:t>
      </w:r>
      <w:r w:rsidRPr="00571974">
        <w:t>Group 2019 Consolidated Financial Statements</w:t>
      </w:r>
      <w:r w:rsidR="00A311D8">
        <w:t>”</w:t>
      </w:r>
      <w:r w:rsidRPr="00571974">
        <w:t>) as included in the 2019 Annual Report of the Company, on pages </w:t>
      </w:r>
      <w:r w:rsidR="00E06D84">
        <w:t>14</w:t>
      </w:r>
      <w:r w:rsidRPr="00571974">
        <w:t xml:space="preserve">1 to </w:t>
      </w:r>
      <w:r w:rsidR="00E06D84">
        <w:t>220</w:t>
      </w:r>
      <w:r w:rsidRPr="00571974">
        <w:t xml:space="preserve"> thereof;</w:t>
      </w:r>
    </w:p>
    <w:p w14:paraId="39B4C791" w14:textId="1CCCB38D" w:rsidR="00BC0A01" w:rsidRPr="00571974" w:rsidRDefault="003D4D89" w:rsidP="00542FF4">
      <w:pPr>
        <w:pStyle w:val="ListBullet"/>
        <w:tabs>
          <w:tab w:val="clear" w:pos="360"/>
          <w:tab w:val="num" w:pos="757"/>
        </w:tabs>
        <w:ind w:left="1163" w:hanging="397"/>
      </w:pPr>
      <w:r w:rsidRPr="00571974">
        <w:t>Alternative Performan</w:t>
      </w:r>
      <w:r w:rsidR="00B8230C" w:rsidRPr="00571974">
        <w:t>ce</w:t>
      </w:r>
      <w:r w:rsidRPr="00571974">
        <w:t xml:space="preserve"> Measures as included in the 2019 Annual Report of the Company</w:t>
      </w:r>
      <w:r w:rsidR="00BB5FB5" w:rsidRPr="00571974">
        <w:t>,</w:t>
      </w:r>
      <w:r w:rsidRPr="00571974">
        <w:t xml:space="preserve"> on pages 2</w:t>
      </w:r>
      <w:r w:rsidR="00E06D84">
        <w:t>2</w:t>
      </w:r>
      <w:r w:rsidRPr="00571974">
        <w:t>8 – 2</w:t>
      </w:r>
      <w:r w:rsidR="00E06D84">
        <w:t>31</w:t>
      </w:r>
      <w:r w:rsidRPr="00571974">
        <w:t xml:space="preserve"> thereof;</w:t>
      </w:r>
    </w:p>
    <w:p w14:paraId="6758D339" w14:textId="5B1328F2" w:rsidR="00542FF4" w:rsidRPr="00571974" w:rsidRDefault="003D4D89" w:rsidP="00542FF4">
      <w:pPr>
        <w:pStyle w:val="ListBullet"/>
        <w:tabs>
          <w:tab w:val="clear" w:pos="360"/>
          <w:tab w:val="num" w:pos="757"/>
        </w:tabs>
        <w:ind w:left="1163" w:hanging="397"/>
      </w:pPr>
      <w:r w:rsidRPr="00571974">
        <w:t>T</w:t>
      </w:r>
      <w:r w:rsidR="00F7022D" w:rsidRPr="00571974">
        <w:t>he auditor</w:t>
      </w:r>
      <w:r w:rsidR="00A311D8">
        <w:t>’</w:t>
      </w:r>
      <w:r w:rsidR="00F7022D" w:rsidRPr="00571974">
        <w:t xml:space="preserve">s report and audited consolidated annual financial statements for the financial year-ended December 31, </w:t>
      </w:r>
      <w:r w:rsidR="004D678B" w:rsidRPr="00571974">
        <w:t xml:space="preserve">2018 </w:t>
      </w:r>
      <w:r w:rsidR="00F7022D" w:rsidRPr="00571974">
        <w:t xml:space="preserve">of Anglo American plc </w:t>
      </w:r>
      <w:r w:rsidR="00B74757">
        <w:t>(</w:t>
      </w:r>
      <w:hyperlink r:id="rId16" w:history="1">
        <w:r w:rsidR="00F94C96">
          <w:rPr>
            <w:rStyle w:val="Hyperlink"/>
          </w:rPr>
          <w:t>https://www.angloamerican.com/investors/fixed-income-investors/issuer-document-downloads</w:t>
        </w:r>
      </w:hyperlink>
      <w:r w:rsidR="00B74757">
        <w:t xml:space="preserve">) </w:t>
      </w:r>
      <w:r w:rsidR="00F7022D" w:rsidRPr="00571974">
        <w:t xml:space="preserve">(such information, the </w:t>
      </w:r>
      <w:r w:rsidR="00A311D8">
        <w:t>“</w:t>
      </w:r>
      <w:r w:rsidR="000037CA" w:rsidRPr="00571974">
        <w:t xml:space="preserve">Group </w:t>
      </w:r>
      <w:r w:rsidR="004D678B" w:rsidRPr="00571974">
        <w:t xml:space="preserve">2018 </w:t>
      </w:r>
      <w:r w:rsidR="00F7022D" w:rsidRPr="00571974">
        <w:t>Consolidated Financial Statements</w:t>
      </w:r>
      <w:r w:rsidR="00A311D8">
        <w:t>”</w:t>
      </w:r>
      <w:r w:rsidR="00F7022D" w:rsidRPr="00571974">
        <w:t xml:space="preserve">) as included in the </w:t>
      </w:r>
      <w:r w:rsidR="004D678B" w:rsidRPr="00571974">
        <w:t xml:space="preserve">2018 </w:t>
      </w:r>
      <w:r w:rsidR="00F7022D" w:rsidRPr="00571974">
        <w:t xml:space="preserve">Annual Report of the Company, on pages </w:t>
      </w:r>
      <w:r w:rsidR="00CF6DF3" w:rsidRPr="00571974">
        <w:t>1</w:t>
      </w:r>
      <w:r w:rsidR="0039491D" w:rsidRPr="00571974">
        <w:t>2</w:t>
      </w:r>
      <w:r w:rsidR="00CE7304" w:rsidRPr="00571974">
        <w:t>7</w:t>
      </w:r>
      <w:r w:rsidR="00CF6DF3" w:rsidRPr="00571974">
        <w:t xml:space="preserve"> to </w:t>
      </w:r>
      <w:r w:rsidR="00CD11AF" w:rsidRPr="00571974">
        <w:t>200</w:t>
      </w:r>
      <w:r w:rsidR="006B7908" w:rsidRPr="00571974">
        <w:t xml:space="preserve"> </w:t>
      </w:r>
      <w:r w:rsidR="00F7022D" w:rsidRPr="00571974">
        <w:t>thereof;</w:t>
      </w:r>
    </w:p>
    <w:p w14:paraId="55AC31D5" w14:textId="77777777" w:rsidR="00542FF4" w:rsidRPr="00571974" w:rsidRDefault="003D4D89" w:rsidP="00542FF4">
      <w:pPr>
        <w:pStyle w:val="ListBullet"/>
        <w:tabs>
          <w:tab w:val="clear" w:pos="360"/>
          <w:tab w:val="num" w:pos="757"/>
        </w:tabs>
        <w:ind w:left="1163" w:hanging="397"/>
      </w:pPr>
      <w:r w:rsidRPr="00571974">
        <w:t xml:space="preserve">Alternative Performance Measures as included in the </w:t>
      </w:r>
      <w:r w:rsidR="004D678B" w:rsidRPr="00571974">
        <w:t xml:space="preserve">2018 </w:t>
      </w:r>
      <w:r w:rsidRPr="00571974">
        <w:t xml:space="preserve">Annual Report of the Company, on pages </w:t>
      </w:r>
      <w:r w:rsidR="0039491D" w:rsidRPr="00571974">
        <w:t xml:space="preserve">208 </w:t>
      </w:r>
      <w:r w:rsidR="00424F2A" w:rsidRPr="00571974">
        <w:t xml:space="preserve">to </w:t>
      </w:r>
      <w:r w:rsidR="0039491D" w:rsidRPr="00571974">
        <w:t>211</w:t>
      </w:r>
      <w:r w:rsidRPr="00571974">
        <w:t xml:space="preserve"> thereof;</w:t>
      </w:r>
    </w:p>
    <w:p w14:paraId="4A00A972" w14:textId="0C65F9FA" w:rsidR="004D678B" w:rsidRPr="00571974" w:rsidRDefault="003D4D89" w:rsidP="004D678B">
      <w:pPr>
        <w:pStyle w:val="ListBullet"/>
        <w:tabs>
          <w:tab w:val="clear" w:pos="360"/>
          <w:tab w:val="num" w:pos="757"/>
        </w:tabs>
        <w:ind w:left="1163" w:hanging="397"/>
      </w:pPr>
      <w:r w:rsidRPr="00571974">
        <w:t>The auditor</w:t>
      </w:r>
      <w:r w:rsidR="00A311D8">
        <w:t>’</w:t>
      </w:r>
      <w:r w:rsidRPr="00571974">
        <w:t xml:space="preserve">s report and audited consolidated annual financial statements for the financial year-ended December 31, 2017 of Anglo American plc </w:t>
      </w:r>
      <w:r w:rsidR="00B74757">
        <w:t>(</w:t>
      </w:r>
      <w:hyperlink r:id="rId17" w:history="1">
        <w:r w:rsidR="00F94C96">
          <w:rPr>
            <w:rStyle w:val="Hyperlink"/>
          </w:rPr>
          <w:t>https://www.angloamerican.com/investors/fixed-income-investors/issuer-document-downloads</w:t>
        </w:r>
      </w:hyperlink>
      <w:r w:rsidR="00B74757">
        <w:t>)</w:t>
      </w:r>
      <w:r w:rsidR="00B74757" w:rsidRPr="00571974">
        <w:t xml:space="preserve"> </w:t>
      </w:r>
      <w:r w:rsidRPr="00571974">
        <w:t xml:space="preserve">(such information, the </w:t>
      </w:r>
      <w:r w:rsidR="00A311D8">
        <w:t>“</w:t>
      </w:r>
      <w:r w:rsidRPr="00571974">
        <w:t>Group 2017 Consolidated Financial Statements</w:t>
      </w:r>
      <w:r w:rsidR="00A311D8">
        <w:t>”</w:t>
      </w:r>
      <w:r w:rsidRPr="00571974">
        <w:t>) as included in the 2017 Annual Report of the Company, on pages 117 to 186 thereof;</w:t>
      </w:r>
    </w:p>
    <w:p w14:paraId="167157ED" w14:textId="77777777" w:rsidR="001F3786" w:rsidRPr="00571974" w:rsidRDefault="003D4D89" w:rsidP="001F3786">
      <w:pPr>
        <w:pStyle w:val="ListBullet"/>
        <w:tabs>
          <w:tab w:val="clear" w:pos="360"/>
          <w:tab w:val="num" w:pos="757"/>
        </w:tabs>
        <w:ind w:left="1163" w:hanging="397"/>
      </w:pPr>
      <w:r w:rsidRPr="00571974">
        <w:t>Alternative Performance Measures as included in the 2017 Annual Report of the Company, on pages 194 to 197 thereof;</w:t>
      </w:r>
    </w:p>
    <w:p w14:paraId="1546ECF3" w14:textId="51F8D887" w:rsidR="00BC0A01" w:rsidRPr="00571974" w:rsidRDefault="003D4D89" w:rsidP="00BC0A01">
      <w:pPr>
        <w:pStyle w:val="ListBullet"/>
        <w:tabs>
          <w:tab w:val="clear" w:pos="360"/>
          <w:tab w:val="num" w:pos="757"/>
        </w:tabs>
        <w:ind w:left="1163" w:hanging="397"/>
      </w:pPr>
      <w:r w:rsidRPr="00571974">
        <w:t>The auditor</w:t>
      </w:r>
      <w:r w:rsidR="00A311D8">
        <w:t>’</w:t>
      </w:r>
      <w:r w:rsidRPr="00571974">
        <w:t>s report and audited non-consolidated annual financial statements for the year-ended December 31, 2019 of Anglo American Capital plc</w:t>
      </w:r>
      <w:r w:rsidR="00B74757">
        <w:t xml:space="preserve"> (</w:t>
      </w:r>
      <w:hyperlink r:id="rId18" w:history="1">
        <w:r w:rsidR="00F94C96">
          <w:rPr>
            <w:rStyle w:val="Hyperlink"/>
          </w:rPr>
          <w:t>https://www.angloamerican.com/investors/fixed-income-investors/issuer-document-downloads</w:t>
        </w:r>
      </w:hyperlink>
      <w:r w:rsidR="00B74757">
        <w:t>)</w:t>
      </w:r>
      <w:r w:rsidRPr="00571974">
        <w:t xml:space="preserve"> (such information, the </w:t>
      </w:r>
      <w:r w:rsidR="00A311D8">
        <w:t>“</w:t>
      </w:r>
      <w:r w:rsidRPr="00571974">
        <w:t>Issuer 2019 Financial Statements</w:t>
      </w:r>
      <w:r w:rsidR="00A311D8">
        <w:t>”</w:t>
      </w:r>
      <w:r w:rsidRPr="00571974">
        <w:t>) as included in the 2019 Annual Report and Financial Statements of the Issuer, on pages </w:t>
      </w:r>
      <w:r w:rsidR="00BA253B">
        <w:t>6</w:t>
      </w:r>
      <w:r w:rsidRPr="00571974">
        <w:t xml:space="preserve"> to </w:t>
      </w:r>
      <w:r w:rsidR="00BA253B">
        <w:t>31</w:t>
      </w:r>
      <w:r w:rsidRPr="00571974">
        <w:t xml:space="preserve"> thereof; </w:t>
      </w:r>
    </w:p>
    <w:p w14:paraId="5CFCF58D" w14:textId="3320C656" w:rsidR="004D678B" w:rsidRPr="00571974" w:rsidRDefault="003D4D89" w:rsidP="004D678B">
      <w:pPr>
        <w:pStyle w:val="ListBullet"/>
        <w:tabs>
          <w:tab w:val="clear" w:pos="360"/>
          <w:tab w:val="num" w:pos="757"/>
        </w:tabs>
        <w:ind w:left="1163" w:hanging="397"/>
      </w:pPr>
      <w:r w:rsidRPr="00571974">
        <w:t>The auditor</w:t>
      </w:r>
      <w:r w:rsidR="00A311D8">
        <w:t>’</w:t>
      </w:r>
      <w:r w:rsidRPr="00571974">
        <w:t xml:space="preserve">s report and audited non-consolidated annual financial statements for the year-ended December 31, 2018 of Anglo American Capital plc </w:t>
      </w:r>
      <w:r w:rsidR="00B74757">
        <w:t>(</w:t>
      </w:r>
      <w:hyperlink r:id="rId19" w:history="1">
        <w:r w:rsidR="00F94C96">
          <w:rPr>
            <w:rStyle w:val="Hyperlink"/>
          </w:rPr>
          <w:t>https://www.angloamerican.com/investors/fixed-income-investors/issuer-document-downloads</w:t>
        </w:r>
      </w:hyperlink>
      <w:r w:rsidR="00B74757">
        <w:t>)</w:t>
      </w:r>
      <w:r w:rsidR="00B74757" w:rsidRPr="00571974">
        <w:t xml:space="preserve"> </w:t>
      </w:r>
      <w:r w:rsidRPr="00571974">
        <w:t xml:space="preserve">(such information, the </w:t>
      </w:r>
      <w:r w:rsidR="00A311D8">
        <w:t>“</w:t>
      </w:r>
      <w:r w:rsidRPr="00571974">
        <w:t>Issuer 2018 Financial Statements</w:t>
      </w:r>
      <w:r w:rsidR="00A311D8">
        <w:t>”</w:t>
      </w:r>
      <w:r w:rsidRPr="00571974">
        <w:t xml:space="preserve">) as included in the 2018 Annual Report and Financial Statements of the Issuer, on pages </w:t>
      </w:r>
      <w:r w:rsidR="001207FC" w:rsidRPr="00571974">
        <w:t>5</w:t>
      </w:r>
      <w:r w:rsidRPr="00571974">
        <w:t xml:space="preserve"> to </w:t>
      </w:r>
      <w:r w:rsidR="001207FC" w:rsidRPr="00571974">
        <w:t>31</w:t>
      </w:r>
      <w:r w:rsidRPr="00571974">
        <w:t xml:space="preserve"> thereof;</w:t>
      </w:r>
    </w:p>
    <w:p w14:paraId="6F6502CD" w14:textId="52219019" w:rsidR="00542FF4" w:rsidRPr="00571974" w:rsidRDefault="003D4D89" w:rsidP="00542FF4">
      <w:pPr>
        <w:pStyle w:val="ListBullet"/>
        <w:tabs>
          <w:tab w:val="clear" w:pos="360"/>
          <w:tab w:val="num" w:pos="757"/>
        </w:tabs>
        <w:ind w:left="1163" w:hanging="397"/>
      </w:pPr>
      <w:r w:rsidRPr="00571974">
        <w:t>T</w:t>
      </w:r>
      <w:r w:rsidR="00F7022D" w:rsidRPr="00571974">
        <w:t>he auditor</w:t>
      </w:r>
      <w:r w:rsidR="00A311D8">
        <w:t>’</w:t>
      </w:r>
      <w:r w:rsidR="00F7022D" w:rsidRPr="00571974">
        <w:t>s report and audited non-consolidated annual financial statements for the year-ended December 31, 201</w:t>
      </w:r>
      <w:r w:rsidR="007C3B6D" w:rsidRPr="00571974">
        <w:t>7</w:t>
      </w:r>
      <w:r w:rsidR="00F7022D" w:rsidRPr="00571974">
        <w:t xml:space="preserve"> of Anglo American Capital plc</w:t>
      </w:r>
      <w:r w:rsidR="00B74757">
        <w:t xml:space="preserve"> (</w:t>
      </w:r>
      <w:hyperlink r:id="rId20" w:history="1">
        <w:r w:rsidR="00F94C96">
          <w:rPr>
            <w:rStyle w:val="Hyperlink"/>
          </w:rPr>
          <w:t>https://www.angloamerican.com/investors/fixed-income-investors/issuer-document-downloads</w:t>
        </w:r>
      </w:hyperlink>
      <w:r w:rsidR="00B74757">
        <w:t>)</w:t>
      </w:r>
      <w:r w:rsidR="00F7022D" w:rsidRPr="00571974">
        <w:t xml:space="preserve"> (such information, the </w:t>
      </w:r>
      <w:r w:rsidR="00A311D8">
        <w:t>“</w:t>
      </w:r>
      <w:r w:rsidR="000037CA" w:rsidRPr="00571974">
        <w:t>Issuer 2017</w:t>
      </w:r>
      <w:r w:rsidR="00F7022D" w:rsidRPr="00571974">
        <w:t xml:space="preserve"> Financial Statements</w:t>
      </w:r>
      <w:r w:rsidR="00A311D8">
        <w:t>”</w:t>
      </w:r>
      <w:r w:rsidR="00F7022D" w:rsidRPr="00571974">
        <w:t>) as included in the 201</w:t>
      </w:r>
      <w:r w:rsidR="007C3B6D" w:rsidRPr="00571974">
        <w:t>7</w:t>
      </w:r>
      <w:r w:rsidR="00F7022D" w:rsidRPr="00571974">
        <w:t xml:space="preserve"> Annual Report and Financial Statements of the Issuer, on pages </w:t>
      </w:r>
      <w:r w:rsidR="006B7908" w:rsidRPr="00571974">
        <w:t>6</w:t>
      </w:r>
      <w:r w:rsidR="00F7022D" w:rsidRPr="00571974">
        <w:t xml:space="preserve"> to </w:t>
      </w:r>
      <w:r w:rsidR="006B7908" w:rsidRPr="00571974">
        <w:t>34</w:t>
      </w:r>
      <w:r w:rsidR="00F7022D" w:rsidRPr="00571974">
        <w:t xml:space="preserve"> thereof;</w:t>
      </w:r>
      <w:r w:rsidR="005D4D30">
        <w:t xml:space="preserve"> and</w:t>
      </w:r>
    </w:p>
    <w:p w14:paraId="112977D9" w14:textId="632CB048" w:rsidR="0002635A" w:rsidRPr="00571974" w:rsidRDefault="003D4D89" w:rsidP="00672ABA">
      <w:pPr>
        <w:pStyle w:val="ListBullet"/>
        <w:tabs>
          <w:tab w:val="clear" w:pos="360"/>
          <w:tab w:val="num" w:pos="757"/>
        </w:tabs>
        <w:ind w:left="1163" w:hanging="397"/>
      </w:pPr>
      <w:r w:rsidRPr="00571974">
        <w:t>E</w:t>
      </w:r>
      <w:r w:rsidR="00F7022D" w:rsidRPr="00571974">
        <w:t xml:space="preserve">stimated </w:t>
      </w:r>
      <w:r w:rsidR="007730E2" w:rsidRPr="00571974">
        <w:t>O</w:t>
      </w:r>
      <w:r w:rsidR="00F7022D" w:rsidRPr="00571974">
        <w:t xml:space="preserve">re </w:t>
      </w:r>
      <w:r w:rsidR="007730E2" w:rsidRPr="00571974">
        <w:t>R</w:t>
      </w:r>
      <w:r w:rsidR="00F7022D" w:rsidRPr="00571974">
        <w:t xml:space="preserve">eserves and estimated </w:t>
      </w:r>
      <w:r w:rsidR="00DB7DFA">
        <w:t>M</w:t>
      </w:r>
      <w:r w:rsidR="00F7022D" w:rsidRPr="00571974">
        <w:t xml:space="preserve">ineral </w:t>
      </w:r>
      <w:r w:rsidR="00DB7DFA">
        <w:t>R</w:t>
      </w:r>
      <w:r w:rsidR="00F7022D" w:rsidRPr="00571974">
        <w:t xml:space="preserve">esources as at December 31, </w:t>
      </w:r>
      <w:r w:rsidR="004D678B" w:rsidRPr="00571974">
        <w:t>201</w:t>
      </w:r>
      <w:r w:rsidR="00BC0A01" w:rsidRPr="00571974">
        <w:t>9</w:t>
      </w:r>
      <w:r w:rsidR="004D678B" w:rsidRPr="00571974">
        <w:t xml:space="preserve"> </w:t>
      </w:r>
      <w:r w:rsidR="00F7022D" w:rsidRPr="00571974">
        <w:t xml:space="preserve">of Anglo American plc as included in the </w:t>
      </w:r>
      <w:r w:rsidR="004D678B" w:rsidRPr="00571974">
        <w:t>201</w:t>
      </w:r>
      <w:r w:rsidR="00BC0A01" w:rsidRPr="00571974">
        <w:t>9</w:t>
      </w:r>
      <w:r w:rsidR="004D678B" w:rsidRPr="00571974">
        <w:t xml:space="preserve"> </w:t>
      </w:r>
      <w:r w:rsidR="00F7022D" w:rsidRPr="00571974">
        <w:t>Annual Report of the Compa</w:t>
      </w:r>
      <w:r w:rsidR="00B30034" w:rsidRPr="00571974">
        <w:t xml:space="preserve">ny, on pages </w:t>
      </w:r>
      <w:r w:rsidR="00520FC3" w:rsidRPr="00571974">
        <w:t>2</w:t>
      </w:r>
      <w:r w:rsidR="00DB7DFA">
        <w:t>2</w:t>
      </w:r>
      <w:r w:rsidR="006B7908" w:rsidRPr="00571974">
        <w:t>1</w:t>
      </w:r>
      <w:r w:rsidR="00B30034" w:rsidRPr="00571974">
        <w:t xml:space="preserve"> to </w:t>
      </w:r>
      <w:r w:rsidR="00520FC3" w:rsidRPr="00571974">
        <w:t>2</w:t>
      </w:r>
      <w:r w:rsidR="00DB7DFA">
        <w:t>2</w:t>
      </w:r>
      <w:r w:rsidR="006B7908" w:rsidRPr="00571974">
        <w:t>5</w:t>
      </w:r>
      <w:r w:rsidR="00B30034" w:rsidRPr="00571974">
        <w:t xml:space="preserve"> thereof.</w:t>
      </w:r>
    </w:p>
    <w:p w14:paraId="7EE77F98" w14:textId="0E77B61A" w:rsidR="00542FF4" w:rsidRPr="00571974" w:rsidRDefault="003D4D89" w:rsidP="00C248C2">
      <w:pPr>
        <w:pStyle w:val="BodyText"/>
        <w:widowControl/>
        <w:autoSpaceDE/>
        <w:autoSpaceDN/>
        <w:adjustRightInd/>
        <w:ind w:firstLine="360"/>
        <w:rPr>
          <w:lang w:val="en-GB"/>
        </w:rPr>
      </w:pPr>
      <w:r w:rsidRPr="00571974">
        <w:rPr>
          <w:lang w:val="en-GB"/>
        </w:rPr>
        <w:t xml:space="preserve">Except as expressly stated above, no part of the </w:t>
      </w:r>
      <w:r w:rsidR="004D678B" w:rsidRPr="00571974">
        <w:rPr>
          <w:lang w:val="en-GB"/>
        </w:rPr>
        <w:t>201</w:t>
      </w:r>
      <w:r w:rsidR="00BC0A01" w:rsidRPr="00571974">
        <w:rPr>
          <w:lang w:val="en-GB"/>
        </w:rPr>
        <w:t>9</w:t>
      </w:r>
      <w:r w:rsidR="004D678B" w:rsidRPr="00571974">
        <w:rPr>
          <w:lang w:val="en-GB"/>
        </w:rPr>
        <w:t xml:space="preserve"> </w:t>
      </w:r>
      <w:r w:rsidRPr="00571974">
        <w:rPr>
          <w:lang w:val="en-GB"/>
        </w:rPr>
        <w:t xml:space="preserve">Annual Report of the Company, the </w:t>
      </w:r>
      <w:r w:rsidR="004D678B" w:rsidRPr="00571974">
        <w:rPr>
          <w:lang w:val="en-GB"/>
        </w:rPr>
        <w:t>201</w:t>
      </w:r>
      <w:r w:rsidR="00BC0A01" w:rsidRPr="00571974">
        <w:rPr>
          <w:lang w:val="en-GB"/>
        </w:rPr>
        <w:t>8</w:t>
      </w:r>
      <w:r w:rsidR="004D678B" w:rsidRPr="00571974">
        <w:rPr>
          <w:lang w:val="en-GB"/>
        </w:rPr>
        <w:t xml:space="preserve"> </w:t>
      </w:r>
      <w:r w:rsidRPr="00571974">
        <w:rPr>
          <w:lang w:val="en-GB"/>
        </w:rPr>
        <w:t xml:space="preserve">Annual Report of the Company, the </w:t>
      </w:r>
      <w:r w:rsidR="004D678B" w:rsidRPr="00571974">
        <w:rPr>
          <w:lang w:val="en-GB"/>
        </w:rPr>
        <w:t>201</w:t>
      </w:r>
      <w:r w:rsidR="00BC0A01" w:rsidRPr="00571974">
        <w:rPr>
          <w:lang w:val="en-GB"/>
        </w:rPr>
        <w:t>7</w:t>
      </w:r>
      <w:r w:rsidR="004D678B" w:rsidRPr="00571974">
        <w:rPr>
          <w:lang w:val="en-GB"/>
        </w:rPr>
        <w:t xml:space="preserve"> </w:t>
      </w:r>
      <w:r w:rsidRPr="00571974">
        <w:rPr>
          <w:lang w:val="en-GB"/>
        </w:rPr>
        <w:t xml:space="preserve">Annual Report of the Company, the </w:t>
      </w:r>
      <w:r w:rsidR="004D678B" w:rsidRPr="00571974">
        <w:rPr>
          <w:lang w:val="en-GB"/>
        </w:rPr>
        <w:t>201</w:t>
      </w:r>
      <w:r w:rsidR="00BC0A01" w:rsidRPr="00571974">
        <w:rPr>
          <w:lang w:val="en-GB"/>
        </w:rPr>
        <w:t>9</w:t>
      </w:r>
      <w:r w:rsidR="004D678B" w:rsidRPr="00571974">
        <w:rPr>
          <w:lang w:val="en-GB"/>
        </w:rPr>
        <w:t xml:space="preserve"> </w:t>
      </w:r>
      <w:r w:rsidRPr="00571974">
        <w:rPr>
          <w:lang w:val="en-GB"/>
        </w:rPr>
        <w:t xml:space="preserve">Annual Report and Financial Statements of the Issuer, the </w:t>
      </w:r>
      <w:r w:rsidR="004D678B" w:rsidRPr="00571974">
        <w:rPr>
          <w:lang w:val="en-GB"/>
        </w:rPr>
        <w:t>201</w:t>
      </w:r>
      <w:r w:rsidR="00BC0A01" w:rsidRPr="00571974">
        <w:rPr>
          <w:lang w:val="en-GB"/>
        </w:rPr>
        <w:t>8</w:t>
      </w:r>
      <w:r w:rsidR="004D678B" w:rsidRPr="00571974">
        <w:rPr>
          <w:lang w:val="en-GB"/>
        </w:rPr>
        <w:t xml:space="preserve"> </w:t>
      </w:r>
      <w:r w:rsidRPr="00571974">
        <w:rPr>
          <w:lang w:val="en-GB"/>
        </w:rPr>
        <w:t xml:space="preserve">Annual Report and Financial Statements of the Issuer or the </w:t>
      </w:r>
      <w:r w:rsidR="004D678B" w:rsidRPr="00571974">
        <w:rPr>
          <w:lang w:val="en-GB"/>
        </w:rPr>
        <w:t>201</w:t>
      </w:r>
      <w:r w:rsidR="00BC0A01" w:rsidRPr="00571974">
        <w:rPr>
          <w:lang w:val="en-GB"/>
        </w:rPr>
        <w:t>7</w:t>
      </w:r>
      <w:r w:rsidR="004D678B" w:rsidRPr="00571974">
        <w:rPr>
          <w:lang w:val="en-GB"/>
        </w:rPr>
        <w:t xml:space="preserve"> </w:t>
      </w:r>
      <w:r w:rsidRPr="00571974">
        <w:rPr>
          <w:lang w:val="en-GB"/>
        </w:rPr>
        <w:t>Annual Report and Financial Statements of the Issuer or any other document referred to in the documents listed above is incorporated by reference herein</w:t>
      </w:r>
      <w:r w:rsidR="00323F34" w:rsidRPr="00571974">
        <w:rPr>
          <w:lang w:val="en-GB"/>
        </w:rPr>
        <w:t xml:space="preserve"> and does not form any part of this document</w:t>
      </w:r>
      <w:r w:rsidRPr="00571974">
        <w:rPr>
          <w:lang w:val="en-GB"/>
        </w:rPr>
        <w:t>. Non-incorporated parts or other documents referred to in the documents listed above are either not relevant for the investor or are covered elsewhere in the document.</w:t>
      </w:r>
      <w:r w:rsidR="00C248C2">
        <w:rPr>
          <w:lang w:val="en-GB"/>
        </w:rPr>
        <w:t xml:space="preserve"> </w:t>
      </w:r>
    </w:p>
    <w:p w14:paraId="60EF7AFF" w14:textId="0EF6B0E0" w:rsidR="00B74D6F" w:rsidRDefault="003D4D89" w:rsidP="003C505A">
      <w:pPr>
        <w:ind w:firstLine="360"/>
        <w:rPr>
          <w:lang w:val="en-GB"/>
        </w:rPr>
      </w:pPr>
      <w:r w:rsidRPr="00571974">
        <w:rPr>
          <w:lang w:val="en-GB"/>
        </w:rPr>
        <w:t>The documents which have been incorporated by reference into this document may</w:t>
      </w:r>
      <w:r w:rsidR="00C248C2">
        <w:rPr>
          <w:lang w:val="en-GB"/>
        </w:rPr>
        <w:t xml:space="preserve"> also</w:t>
      </w:r>
      <w:r w:rsidRPr="00571974">
        <w:rPr>
          <w:lang w:val="en-GB"/>
        </w:rPr>
        <w:t xml:space="preserve"> be accessed at </w:t>
      </w:r>
      <w:hyperlink r:id="rId21" w:history="1">
        <w:r w:rsidR="00A14682" w:rsidRPr="00A64406">
          <w:rPr>
            <w:rStyle w:val="Hyperlink"/>
          </w:rPr>
          <w:t>https://www.angloamerican.com/investors/fixed-income-investors</w:t>
        </w:r>
      </w:hyperlink>
      <w:r w:rsidR="004B7157" w:rsidRPr="00571974">
        <w:rPr>
          <w:u w:val="single"/>
          <w:lang w:val="en-GB"/>
        </w:rPr>
        <w:t xml:space="preserve"> </w:t>
      </w:r>
      <w:r w:rsidRPr="00571974">
        <w:rPr>
          <w:lang w:val="en-GB"/>
        </w:rPr>
        <w:t xml:space="preserve">(the </w:t>
      </w:r>
      <w:r w:rsidR="00A311D8">
        <w:rPr>
          <w:lang w:val="en-GB"/>
        </w:rPr>
        <w:t>“</w:t>
      </w:r>
      <w:r w:rsidRPr="00571974">
        <w:rPr>
          <w:lang w:val="en-GB"/>
        </w:rPr>
        <w:t>special purpose website</w:t>
      </w:r>
      <w:r w:rsidR="00A311D8">
        <w:rPr>
          <w:lang w:val="en-GB"/>
        </w:rPr>
        <w:t>”</w:t>
      </w:r>
      <w:r w:rsidRPr="00571974">
        <w:rPr>
          <w:lang w:val="en-GB"/>
        </w:rPr>
        <w:t xml:space="preserve">). The special purpose website contains only the foregoing information and is not part of our website. The content of our website </w:t>
      </w:r>
      <w:r w:rsidRPr="00571974">
        <w:rPr>
          <w:lang w:val="en-GB"/>
        </w:rPr>
        <w:lastRenderedPageBreak/>
        <w:t>does not form any part of this document. You may also obtain copies of this information by telephoning +44 (0) 20 7968 8888.</w:t>
      </w:r>
      <w:r w:rsidR="00155C67" w:rsidRPr="00571974">
        <w:rPr>
          <w:lang w:val="en-GB"/>
        </w:rPr>
        <w:t xml:space="preserve"> </w:t>
      </w:r>
      <w:r w:rsidRPr="00571974">
        <w:rPr>
          <w:lang w:val="en-GB"/>
        </w:rPr>
        <w:t xml:space="preserve">This document will be published, in accordance with paragraph </w:t>
      </w:r>
      <w:r w:rsidR="00FE6751">
        <w:rPr>
          <w:lang w:val="en-GB"/>
        </w:rPr>
        <w:t>3.2.2</w:t>
      </w:r>
      <w:r w:rsidRPr="00571974">
        <w:rPr>
          <w:lang w:val="en-GB"/>
        </w:rPr>
        <w:t xml:space="preserve"> of the </w:t>
      </w:r>
      <w:r w:rsidR="009A1B86">
        <w:rPr>
          <w:lang w:val="en-GB"/>
        </w:rPr>
        <w:t xml:space="preserve">FCA </w:t>
      </w:r>
      <w:r w:rsidR="00FE6751">
        <w:rPr>
          <w:lang w:val="en-GB"/>
        </w:rPr>
        <w:t>Prospectus Regulation</w:t>
      </w:r>
      <w:r w:rsidR="00FE6751" w:rsidRPr="00571974">
        <w:rPr>
          <w:lang w:val="en-GB"/>
        </w:rPr>
        <w:t xml:space="preserve"> </w:t>
      </w:r>
      <w:r w:rsidRPr="00571974">
        <w:rPr>
          <w:lang w:val="en-GB"/>
        </w:rPr>
        <w:t xml:space="preserve">Rules, on the website of the London Stock Exchange, by means of an announcement through </w:t>
      </w:r>
      <w:r w:rsidR="00EA3F32">
        <w:rPr>
          <w:lang w:val="en-GB"/>
        </w:rPr>
        <w:t>a</w:t>
      </w:r>
      <w:r w:rsidRPr="00571974">
        <w:rPr>
          <w:lang w:val="en-GB"/>
        </w:rPr>
        <w:t xml:space="preserve"> Regulatory Information Service (which may be accessed at </w:t>
      </w:r>
      <w:r w:rsidRPr="00571974">
        <w:rPr>
          <w:u w:val="single"/>
          <w:lang w:val="en-GB"/>
        </w:rPr>
        <w:t>http://www.londonstockexchange.com/exchange/news/market-news/market-news-home.html</w:t>
      </w:r>
      <w:r w:rsidRPr="00571974">
        <w:rPr>
          <w:lang w:val="en-GB"/>
        </w:rPr>
        <w:t>).</w:t>
      </w:r>
    </w:p>
    <w:p w14:paraId="29A7CE22" w14:textId="77777777" w:rsidR="00B74D6F" w:rsidRDefault="00B74D6F" w:rsidP="00B74D6F">
      <w:pPr>
        <w:rPr>
          <w:lang w:val="en-GB"/>
        </w:rPr>
      </w:pPr>
    </w:p>
    <w:p w14:paraId="42EA4511" w14:textId="28E52C1F" w:rsidR="00B74D6F" w:rsidRDefault="00B74D6F" w:rsidP="00B74D6F">
      <w:pPr>
        <w:rPr>
          <w:lang w:val="en-GB"/>
        </w:rPr>
      </w:pPr>
    </w:p>
    <w:p w14:paraId="12C8EB63" w14:textId="77777777" w:rsidR="00B74D6F" w:rsidRDefault="00B74D6F" w:rsidP="00B74D6F">
      <w:pPr>
        <w:rPr>
          <w:lang w:val="en-GB"/>
        </w:rPr>
        <w:sectPr w:rsidR="00B74D6F" w:rsidSect="00EE6387">
          <w:footerReference w:type="default" r:id="rId22"/>
          <w:pgSz w:w="12240" w:h="15840"/>
          <w:pgMar w:top="1077" w:right="1608" w:bottom="1077" w:left="1276" w:header="720" w:footer="720" w:gutter="0"/>
          <w:cols w:space="720"/>
          <w:docGrid w:linePitch="299"/>
        </w:sectPr>
      </w:pPr>
    </w:p>
    <w:p w14:paraId="11BC3F1F" w14:textId="77777777" w:rsidR="00542FF4" w:rsidRPr="00571974" w:rsidRDefault="00542FF4" w:rsidP="00542FF4">
      <w:pPr>
        <w:ind w:firstLine="360"/>
        <w:rPr>
          <w:lang w:val="en-GB"/>
        </w:rPr>
      </w:pPr>
    </w:p>
    <w:p w14:paraId="7DCE5522" w14:textId="77777777" w:rsidR="00542FF4" w:rsidRPr="00571974" w:rsidRDefault="003D4D89" w:rsidP="00542FF4">
      <w:pPr>
        <w:pStyle w:val="Heading1"/>
        <w:rPr>
          <w:lang w:val="en-GB"/>
        </w:rPr>
      </w:pPr>
      <w:bookmarkStart w:id="16" w:name="_Toc36388954"/>
      <w:r w:rsidRPr="00571974">
        <w:rPr>
          <w:lang w:val="en-GB"/>
        </w:rPr>
        <w:t>OVERVIEW</w:t>
      </w:r>
      <w:bookmarkEnd w:id="8"/>
      <w:bookmarkEnd w:id="16"/>
    </w:p>
    <w:p w14:paraId="6FA5077D" w14:textId="63AFC646" w:rsidR="00542FF4" w:rsidRPr="00571974" w:rsidRDefault="003D4D89" w:rsidP="00542FF4">
      <w:pPr>
        <w:pStyle w:val="BodyText"/>
        <w:widowControl/>
        <w:autoSpaceDE/>
        <w:autoSpaceDN/>
        <w:adjustRightInd/>
        <w:ind w:firstLine="360"/>
        <w:rPr>
          <w:lang w:val="en-GB"/>
        </w:rPr>
      </w:pPr>
      <w:r w:rsidRPr="00571974">
        <w:rPr>
          <w:i/>
          <w:iCs/>
          <w:lang w:val="en-GB"/>
        </w:rPr>
        <w:t xml:space="preserve">This overview highlights certain information contained in this document. This overview does not contain </w:t>
      </w:r>
      <w:r w:rsidRPr="00571974">
        <w:rPr>
          <w:i/>
          <w:lang w:val="en-GB"/>
        </w:rPr>
        <w:t>all</w:t>
      </w:r>
      <w:r w:rsidRPr="00571974">
        <w:rPr>
          <w:i/>
          <w:iCs/>
          <w:lang w:val="en-GB"/>
        </w:rPr>
        <w:t xml:space="preserve"> the information you should consider before purchasing the Notes. You should read this entire document carefully, including the sections entitled </w:t>
      </w:r>
      <w:r w:rsidR="00A311D8">
        <w:rPr>
          <w:i/>
          <w:iCs/>
          <w:lang w:val="en-GB"/>
        </w:rPr>
        <w:t>“</w:t>
      </w:r>
      <w:r w:rsidRPr="00571974">
        <w:rPr>
          <w:i/>
          <w:iCs/>
          <w:lang w:val="en-GB"/>
        </w:rPr>
        <w:t>Forward-Looking Statements</w:t>
      </w:r>
      <w:r w:rsidR="00A311D8">
        <w:rPr>
          <w:i/>
          <w:iCs/>
          <w:lang w:val="en-GB"/>
        </w:rPr>
        <w:t>”</w:t>
      </w:r>
      <w:r w:rsidRPr="00571974">
        <w:rPr>
          <w:i/>
          <w:iCs/>
          <w:lang w:val="en-GB"/>
        </w:rPr>
        <w:t xml:space="preserve">, </w:t>
      </w:r>
      <w:r w:rsidR="00A311D8">
        <w:rPr>
          <w:i/>
          <w:iCs/>
          <w:lang w:val="en-GB"/>
        </w:rPr>
        <w:t>“</w:t>
      </w:r>
      <w:r w:rsidRPr="00571974">
        <w:rPr>
          <w:i/>
          <w:iCs/>
          <w:lang w:val="en-GB"/>
        </w:rPr>
        <w:t xml:space="preserve">Risk </w:t>
      </w:r>
      <w:r w:rsidR="00817D8C" w:rsidRPr="00571974">
        <w:rPr>
          <w:i/>
          <w:iCs/>
          <w:lang w:val="en-GB"/>
        </w:rPr>
        <w:t>Factors</w:t>
      </w:r>
      <w:r w:rsidR="00A311D8">
        <w:rPr>
          <w:i/>
          <w:iCs/>
          <w:lang w:val="en-GB"/>
        </w:rPr>
        <w:t>”</w:t>
      </w:r>
      <w:r w:rsidR="00817D8C" w:rsidRPr="00571974">
        <w:rPr>
          <w:i/>
          <w:iCs/>
          <w:lang w:val="en-GB"/>
        </w:rPr>
        <w:t xml:space="preserve">, </w:t>
      </w:r>
      <w:r w:rsidR="00A311D8">
        <w:rPr>
          <w:i/>
          <w:iCs/>
          <w:lang w:val="en-GB"/>
        </w:rPr>
        <w:t>“</w:t>
      </w:r>
      <w:r w:rsidR="00817D8C" w:rsidRPr="00571974">
        <w:rPr>
          <w:i/>
          <w:iCs/>
          <w:lang w:val="en-GB"/>
        </w:rPr>
        <w:t>Business Description</w:t>
      </w:r>
      <w:r w:rsidR="00A311D8">
        <w:rPr>
          <w:i/>
          <w:iCs/>
          <w:lang w:val="en-GB"/>
        </w:rPr>
        <w:t>”</w:t>
      </w:r>
      <w:r w:rsidRPr="00571974">
        <w:rPr>
          <w:i/>
          <w:iCs/>
          <w:lang w:val="en-GB"/>
        </w:rPr>
        <w:t xml:space="preserve"> and </w:t>
      </w:r>
      <w:r w:rsidR="00A311D8">
        <w:rPr>
          <w:i/>
          <w:iCs/>
          <w:lang w:val="en-GB"/>
        </w:rPr>
        <w:t>“</w:t>
      </w:r>
      <w:r w:rsidRPr="00571974">
        <w:rPr>
          <w:i/>
          <w:iCs/>
          <w:lang w:val="en-GB"/>
        </w:rPr>
        <w:t>Operating and Financial Review</w:t>
      </w:r>
      <w:r w:rsidR="00A311D8">
        <w:rPr>
          <w:i/>
          <w:iCs/>
          <w:lang w:val="en-GB"/>
        </w:rPr>
        <w:t>”</w:t>
      </w:r>
      <w:r w:rsidRPr="00571974">
        <w:rPr>
          <w:i/>
          <w:iCs/>
          <w:lang w:val="en-GB"/>
        </w:rPr>
        <w:t xml:space="preserve"> included elsewhere in this document and the financial information and the notes thereto incorporated by reference as outlined in the section entitled </w:t>
      </w:r>
      <w:r w:rsidR="00A311D8">
        <w:rPr>
          <w:i/>
          <w:iCs/>
          <w:lang w:val="en-GB"/>
        </w:rPr>
        <w:t>“</w:t>
      </w:r>
      <w:r w:rsidRPr="00571974">
        <w:rPr>
          <w:i/>
          <w:iCs/>
          <w:lang w:val="en-GB"/>
        </w:rPr>
        <w:t>Incorporation of Certain Information by Reference</w:t>
      </w:r>
      <w:r w:rsidR="00A311D8">
        <w:rPr>
          <w:i/>
          <w:iCs/>
          <w:lang w:val="en-GB"/>
        </w:rPr>
        <w:t>”</w:t>
      </w:r>
      <w:r w:rsidRPr="00571974">
        <w:rPr>
          <w:i/>
          <w:iCs/>
          <w:lang w:val="en-GB"/>
        </w:rPr>
        <w:t xml:space="preserve">. Other than under </w:t>
      </w:r>
      <w:r w:rsidR="00A311D8">
        <w:rPr>
          <w:i/>
          <w:iCs/>
          <w:lang w:val="en-GB"/>
        </w:rPr>
        <w:t>“</w:t>
      </w:r>
      <w:r w:rsidRPr="00571974">
        <w:rPr>
          <w:i/>
          <w:iCs/>
          <w:lang w:val="en-GB"/>
        </w:rPr>
        <w:t>Description of the Notes and the Guarantees</w:t>
      </w:r>
      <w:r w:rsidR="00A311D8">
        <w:rPr>
          <w:i/>
          <w:iCs/>
          <w:lang w:val="en-GB"/>
        </w:rPr>
        <w:t>”</w:t>
      </w:r>
      <w:r w:rsidRPr="00571974">
        <w:rPr>
          <w:i/>
          <w:iCs/>
          <w:lang w:val="en-GB"/>
        </w:rPr>
        <w:t xml:space="preserve"> or where the context indicates otherwise, references herein to </w:t>
      </w:r>
      <w:r w:rsidR="00A311D8">
        <w:rPr>
          <w:i/>
          <w:iCs/>
          <w:lang w:val="en-GB"/>
        </w:rPr>
        <w:t>“</w:t>
      </w:r>
      <w:r w:rsidRPr="00571974">
        <w:rPr>
          <w:i/>
          <w:iCs/>
          <w:lang w:val="en-GB"/>
        </w:rPr>
        <w:t>us</w:t>
      </w:r>
      <w:r w:rsidR="00A311D8">
        <w:rPr>
          <w:i/>
          <w:iCs/>
          <w:lang w:val="en-GB"/>
        </w:rPr>
        <w:t>”</w:t>
      </w:r>
      <w:r w:rsidRPr="00571974">
        <w:rPr>
          <w:i/>
          <w:iCs/>
          <w:lang w:val="en-GB"/>
        </w:rPr>
        <w:t xml:space="preserve">, </w:t>
      </w:r>
      <w:r w:rsidR="00A311D8">
        <w:rPr>
          <w:i/>
          <w:iCs/>
          <w:lang w:val="en-GB"/>
        </w:rPr>
        <w:t>“</w:t>
      </w:r>
      <w:r w:rsidRPr="00571974">
        <w:rPr>
          <w:i/>
          <w:iCs/>
          <w:lang w:val="en-GB"/>
        </w:rPr>
        <w:t>we</w:t>
      </w:r>
      <w:r w:rsidR="00A311D8">
        <w:rPr>
          <w:i/>
          <w:iCs/>
          <w:lang w:val="en-GB"/>
        </w:rPr>
        <w:t>”</w:t>
      </w:r>
      <w:r w:rsidRPr="00571974">
        <w:rPr>
          <w:i/>
          <w:iCs/>
          <w:lang w:val="en-GB"/>
        </w:rPr>
        <w:t xml:space="preserve">, </w:t>
      </w:r>
      <w:r w:rsidR="00A311D8">
        <w:rPr>
          <w:i/>
          <w:iCs/>
          <w:lang w:val="en-GB"/>
        </w:rPr>
        <w:t>“</w:t>
      </w:r>
      <w:r w:rsidRPr="00571974">
        <w:rPr>
          <w:i/>
          <w:iCs/>
          <w:lang w:val="en-GB"/>
        </w:rPr>
        <w:t>our</w:t>
      </w:r>
      <w:r w:rsidR="00A311D8">
        <w:rPr>
          <w:i/>
          <w:iCs/>
          <w:lang w:val="en-GB"/>
        </w:rPr>
        <w:t>”</w:t>
      </w:r>
      <w:r w:rsidRPr="00571974">
        <w:rPr>
          <w:i/>
          <w:iCs/>
          <w:lang w:val="en-GB"/>
        </w:rPr>
        <w:t xml:space="preserve"> and similar terms are to the Group.</w:t>
      </w:r>
    </w:p>
    <w:p w14:paraId="291D3648" w14:textId="77777777" w:rsidR="00542FF4" w:rsidRPr="00571974" w:rsidRDefault="003D4D89" w:rsidP="00542FF4">
      <w:pPr>
        <w:pStyle w:val="Heading2"/>
        <w:rPr>
          <w:lang w:val="en-GB"/>
        </w:rPr>
      </w:pPr>
      <w:r w:rsidRPr="00571974">
        <w:rPr>
          <w:lang w:val="en-GB"/>
        </w:rPr>
        <w:t>The Anglo American Group</w:t>
      </w:r>
    </w:p>
    <w:p w14:paraId="60B822F9" w14:textId="0AE87FD1" w:rsidR="00F84570" w:rsidRPr="00571974" w:rsidRDefault="003D4D89" w:rsidP="003C505A">
      <w:pPr>
        <w:pStyle w:val="BodyText"/>
        <w:widowControl/>
        <w:autoSpaceDE/>
        <w:autoSpaceDN/>
        <w:adjustRightInd/>
        <w:ind w:firstLine="360"/>
        <w:rPr>
          <w:lang w:val="en-GB"/>
        </w:rPr>
      </w:pPr>
      <w:r w:rsidRPr="00571974">
        <w:rPr>
          <w:lang w:val="en-GB"/>
        </w:rPr>
        <w:t xml:space="preserve">Anglo American is a </w:t>
      </w:r>
      <w:r w:rsidR="00785F2D" w:rsidRPr="00571974">
        <w:rPr>
          <w:lang w:val="en-GB"/>
        </w:rPr>
        <w:t xml:space="preserve">leading </w:t>
      </w:r>
      <w:r w:rsidRPr="00571974">
        <w:rPr>
          <w:lang w:val="en-GB"/>
        </w:rPr>
        <w:t>global mining company</w:t>
      </w:r>
      <w:r w:rsidR="00785F2D" w:rsidRPr="00571974">
        <w:rPr>
          <w:lang w:val="en-GB"/>
        </w:rPr>
        <w:t>, with a world class portfolio of mining and processing operations and undeveloped resources</w:t>
      </w:r>
      <w:r w:rsidR="007353D1" w:rsidRPr="00571974">
        <w:rPr>
          <w:lang w:val="en-GB"/>
        </w:rPr>
        <w:t xml:space="preserve"> – spanning diamonds (through De Beers), copper, platinum group metals, iron ore, coal, nickel and manganese.</w:t>
      </w:r>
      <w:r w:rsidR="00785F2D" w:rsidRPr="00571974">
        <w:rPr>
          <w:lang w:val="en-GB"/>
        </w:rPr>
        <w:t xml:space="preserve"> We provide </w:t>
      </w:r>
      <w:r w:rsidR="003637DD">
        <w:rPr>
          <w:lang w:val="en-GB"/>
        </w:rPr>
        <w:t xml:space="preserve">the </w:t>
      </w:r>
      <w:r w:rsidR="00785F2D" w:rsidRPr="00571974">
        <w:rPr>
          <w:lang w:val="en-GB"/>
        </w:rPr>
        <w:t>essential metals and minerals that enable a cleaner, greener</w:t>
      </w:r>
      <w:r w:rsidR="00763C98" w:rsidRPr="00571974">
        <w:rPr>
          <w:lang w:val="en-GB"/>
        </w:rPr>
        <w:t xml:space="preserve"> and</w:t>
      </w:r>
      <w:r w:rsidR="00785F2D" w:rsidRPr="00571974">
        <w:rPr>
          <w:lang w:val="en-GB"/>
        </w:rPr>
        <w:t xml:space="preserve"> more sustainable world and that meet the growing consumer-driven demands of the world</w:t>
      </w:r>
      <w:r w:rsidR="00A311D8">
        <w:rPr>
          <w:lang w:val="en-GB"/>
        </w:rPr>
        <w:t>’</w:t>
      </w:r>
      <w:r w:rsidR="00785F2D" w:rsidRPr="00571974">
        <w:rPr>
          <w:lang w:val="en-GB"/>
        </w:rPr>
        <w:t>s developed and maturing economies.</w:t>
      </w:r>
      <w:r w:rsidRPr="00571974">
        <w:rPr>
          <w:lang w:val="en-GB"/>
        </w:rPr>
        <w:t xml:space="preserve"> </w:t>
      </w:r>
    </w:p>
    <w:p w14:paraId="13229ADA" w14:textId="14D666CA" w:rsidR="00542FF4" w:rsidRPr="00571974" w:rsidRDefault="00542FF4" w:rsidP="00542FF4">
      <w:pPr>
        <w:pStyle w:val="BodyText"/>
        <w:widowControl/>
        <w:autoSpaceDE/>
        <w:autoSpaceDN/>
        <w:adjustRightInd/>
        <w:ind w:firstLine="360"/>
        <w:rPr>
          <w:lang w:val="en-GB"/>
        </w:rPr>
      </w:pPr>
      <w:r w:rsidRPr="00571974">
        <w:rPr>
          <w:lang w:val="en-GB"/>
        </w:rPr>
        <w:t>Anglo American plc is the holding company of the Group</w:t>
      </w:r>
      <w:r w:rsidR="00CD55AD" w:rsidRPr="00571974">
        <w:rPr>
          <w:lang w:val="en-GB"/>
        </w:rPr>
        <w:t xml:space="preserve">. It is a </w:t>
      </w:r>
      <w:r w:rsidR="00F94FC3" w:rsidRPr="00571974">
        <w:rPr>
          <w:lang w:val="en-GB"/>
        </w:rPr>
        <w:t xml:space="preserve">public limited company incorporated under the laws of England and Wales </w:t>
      </w:r>
      <w:r w:rsidRPr="00571974">
        <w:rPr>
          <w:lang w:val="en-GB"/>
        </w:rPr>
        <w:t>and registered in England and Wales.</w:t>
      </w:r>
    </w:p>
    <w:p w14:paraId="319B625B" w14:textId="53734887" w:rsidR="00542FF4" w:rsidRPr="00571974" w:rsidRDefault="003D4D89" w:rsidP="00542FF4">
      <w:pPr>
        <w:pStyle w:val="BodyText"/>
        <w:widowControl/>
        <w:autoSpaceDE/>
        <w:autoSpaceDN/>
        <w:adjustRightInd/>
        <w:ind w:firstLine="360"/>
        <w:rPr>
          <w:lang w:val="en-GB"/>
        </w:rPr>
      </w:pPr>
      <w:r w:rsidRPr="00571974">
        <w:rPr>
          <w:lang w:val="en-GB"/>
        </w:rPr>
        <w:t>Our businesses</w:t>
      </w:r>
      <w:r w:rsidR="00A311D8">
        <w:rPr>
          <w:lang w:val="en-GB"/>
        </w:rPr>
        <w:t>’</w:t>
      </w:r>
      <w:r w:rsidRPr="00571974">
        <w:rPr>
          <w:lang w:val="en-GB"/>
        </w:rPr>
        <w:t xml:space="preserve"> contribution to under</w:t>
      </w:r>
      <w:r w:rsidR="006350D6" w:rsidRPr="00571974">
        <w:rPr>
          <w:lang w:val="en-GB"/>
        </w:rPr>
        <w:t xml:space="preserve">lying EBIT (underlying EBIT is </w:t>
      </w:r>
      <w:r w:rsidR="00A311D8">
        <w:rPr>
          <w:lang w:val="en-GB"/>
        </w:rPr>
        <w:t>“</w:t>
      </w:r>
      <w:r w:rsidR="006350D6" w:rsidRPr="00571974">
        <w:rPr>
          <w:lang w:val="en-GB"/>
        </w:rPr>
        <w:t>operating profit/(loss)</w:t>
      </w:r>
      <w:r w:rsidR="00A311D8">
        <w:rPr>
          <w:lang w:val="en-GB"/>
        </w:rPr>
        <w:t>”</w:t>
      </w:r>
      <w:r w:rsidRPr="00571974">
        <w:rPr>
          <w:lang w:val="en-GB"/>
        </w:rPr>
        <w:t xml:space="preserve"> presented before special items and remeasurements and includes the Group</w:t>
      </w:r>
      <w:r w:rsidR="00A311D8">
        <w:rPr>
          <w:lang w:val="en-GB"/>
        </w:rPr>
        <w:t>’</w:t>
      </w:r>
      <w:r w:rsidRPr="00571974">
        <w:rPr>
          <w:lang w:val="en-GB"/>
        </w:rPr>
        <w:t>s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underlying EBIT) in </w:t>
      </w:r>
      <w:r w:rsidR="00BC0A01" w:rsidRPr="00571974">
        <w:rPr>
          <w:lang w:val="en-GB"/>
        </w:rPr>
        <w:t>201</w:t>
      </w:r>
      <w:r w:rsidR="001F3E6A">
        <w:rPr>
          <w:lang w:val="en-GB"/>
        </w:rPr>
        <w:t>9</w:t>
      </w:r>
      <w:r w:rsidRPr="00571974">
        <w:rPr>
          <w:lang w:val="en-GB"/>
        </w:rPr>
        <w:t xml:space="preserve">, </w:t>
      </w:r>
      <w:r w:rsidR="00BC0A01" w:rsidRPr="00571974">
        <w:rPr>
          <w:lang w:val="en-GB"/>
        </w:rPr>
        <w:t xml:space="preserve">2018 </w:t>
      </w:r>
      <w:r w:rsidRPr="00571974">
        <w:rPr>
          <w:lang w:val="en-GB"/>
        </w:rPr>
        <w:t xml:space="preserve">and </w:t>
      </w:r>
      <w:r w:rsidR="00BC0A01" w:rsidRPr="00571974">
        <w:rPr>
          <w:lang w:val="en-GB"/>
        </w:rPr>
        <w:t>201</w:t>
      </w:r>
      <w:r w:rsidR="001F3E6A">
        <w:rPr>
          <w:lang w:val="en-GB"/>
        </w:rPr>
        <w:t>7</w:t>
      </w:r>
      <w:r w:rsidR="00BC0A01" w:rsidRPr="00571974">
        <w:rPr>
          <w:lang w:val="en-GB"/>
        </w:rPr>
        <w:t xml:space="preserve"> </w:t>
      </w:r>
      <w:r w:rsidRPr="00571974">
        <w:rPr>
          <w:lang w:val="en-GB"/>
        </w:rPr>
        <w:t>is summarized in the table below:</w:t>
      </w:r>
    </w:p>
    <w:tbl>
      <w:tblPr>
        <w:tblW w:w="5000" w:type="pct"/>
        <w:tblLayout w:type="fixed"/>
        <w:tblCellMar>
          <w:left w:w="72" w:type="dxa"/>
          <w:right w:w="72" w:type="dxa"/>
        </w:tblCellMar>
        <w:tblLook w:val="0000" w:firstRow="0" w:lastRow="0" w:firstColumn="0" w:lastColumn="0" w:noHBand="0" w:noVBand="0"/>
      </w:tblPr>
      <w:tblGrid>
        <w:gridCol w:w="5802"/>
        <w:gridCol w:w="1179"/>
        <w:gridCol w:w="1179"/>
        <w:gridCol w:w="1196"/>
      </w:tblGrid>
      <w:tr w:rsidR="002228B8" w14:paraId="3D5A1ED0" w14:textId="77777777" w:rsidTr="00897ADC">
        <w:trPr>
          <w:cantSplit/>
          <w:trHeight w:val="297"/>
        </w:trPr>
        <w:tc>
          <w:tcPr>
            <w:tcW w:w="3101" w:type="pct"/>
            <w:tcBorders>
              <w:top w:val="nil"/>
              <w:left w:val="nil"/>
              <w:bottom w:val="nil"/>
              <w:right w:val="nil"/>
            </w:tcBorders>
            <w:vAlign w:val="bottom"/>
          </w:tcPr>
          <w:p w14:paraId="311909A3" w14:textId="77777777" w:rsidR="00897ADC" w:rsidRPr="00571974" w:rsidRDefault="00897ADC" w:rsidP="009E7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899" w:type="pct"/>
            <w:gridSpan w:val="3"/>
            <w:tcBorders>
              <w:top w:val="nil"/>
              <w:left w:val="nil"/>
              <w:bottom w:val="nil"/>
              <w:right w:val="nil"/>
            </w:tcBorders>
            <w:vAlign w:val="bottom"/>
          </w:tcPr>
          <w:p w14:paraId="28937E1E" w14:textId="77777777" w:rsidR="00897ADC" w:rsidRPr="00571974" w:rsidRDefault="003D4D89" w:rsidP="009E7997">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023978E3" w14:textId="77777777" w:rsidTr="00897ADC">
        <w:trPr>
          <w:cantSplit/>
          <w:trHeight w:val="297"/>
        </w:trPr>
        <w:tc>
          <w:tcPr>
            <w:tcW w:w="3101" w:type="pct"/>
            <w:tcBorders>
              <w:top w:val="nil"/>
              <w:left w:val="nil"/>
              <w:bottom w:val="nil"/>
              <w:right w:val="nil"/>
            </w:tcBorders>
            <w:vAlign w:val="bottom"/>
          </w:tcPr>
          <w:p w14:paraId="455CEA34" w14:textId="77777777" w:rsidR="00897ADC" w:rsidRPr="00571974" w:rsidRDefault="00897ADC" w:rsidP="009E7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30" w:type="pct"/>
            <w:tcBorders>
              <w:top w:val="nil"/>
              <w:left w:val="nil"/>
              <w:bottom w:val="nil"/>
              <w:right w:val="nil"/>
            </w:tcBorders>
            <w:vAlign w:val="bottom"/>
          </w:tcPr>
          <w:p w14:paraId="1891A229" w14:textId="77777777" w:rsidR="00897ADC" w:rsidRPr="00571974" w:rsidRDefault="003D4D89" w:rsidP="00897ADC">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630" w:type="pct"/>
            <w:tcBorders>
              <w:top w:val="nil"/>
              <w:left w:val="nil"/>
              <w:bottom w:val="nil"/>
              <w:right w:val="nil"/>
            </w:tcBorders>
            <w:vAlign w:val="bottom"/>
          </w:tcPr>
          <w:p w14:paraId="2606CD7F" w14:textId="77777777" w:rsidR="00897ADC" w:rsidRPr="00571974" w:rsidRDefault="003D4D89" w:rsidP="00897ADC">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w:t>
            </w:r>
            <w:r w:rsidR="00BC0A01" w:rsidRPr="00571974">
              <w:rPr>
                <w:b/>
                <w:bCs/>
                <w:sz w:val="18"/>
                <w:szCs w:val="18"/>
                <w:lang w:val="en-GB" w:eastAsia="en-GB" w:bidi="ar-SA"/>
              </w:rPr>
              <w:t>8</w:t>
            </w:r>
          </w:p>
        </w:tc>
        <w:tc>
          <w:tcPr>
            <w:tcW w:w="639" w:type="pct"/>
            <w:tcBorders>
              <w:top w:val="nil"/>
              <w:left w:val="nil"/>
              <w:bottom w:val="nil"/>
              <w:right w:val="nil"/>
            </w:tcBorders>
            <w:vAlign w:val="bottom"/>
          </w:tcPr>
          <w:p w14:paraId="6E06495D" w14:textId="77777777" w:rsidR="00897ADC" w:rsidRPr="00571974" w:rsidRDefault="003D4D89" w:rsidP="00897ADC">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w:t>
            </w:r>
            <w:r w:rsidR="00BC0A01" w:rsidRPr="00571974">
              <w:rPr>
                <w:b/>
                <w:bCs/>
                <w:sz w:val="18"/>
                <w:szCs w:val="18"/>
                <w:lang w:val="en-GB" w:eastAsia="en-GB" w:bidi="ar-SA"/>
              </w:rPr>
              <w:t>9</w:t>
            </w:r>
          </w:p>
        </w:tc>
      </w:tr>
      <w:tr w:rsidR="002228B8" w14:paraId="26FFF80E" w14:textId="77777777" w:rsidTr="00897ADC">
        <w:trPr>
          <w:cantSplit/>
          <w:trHeight w:val="241"/>
        </w:trPr>
        <w:tc>
          <w:tcPr>
            <w:tcW w:w="3101" w:type="pct"/>
            <w:tcBorders>
              <w:top w:val="nil"/>
              <w:left w:val="nil"/>
              <w:bottom w:val="nil"/>
              <w:right w:val="nil"/>
            </w:tcBorders>
            <w:vAlign w:val="bottom"/>
          </w:tcPr>
          <w:p w14:paraId="71DF58EE" w14:textId="77777777" w:rsidR="00897ADC" w:rsidRPr="00571974" w:rsidRDefault="00897ADC" w:rsidP="009E7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899" w:type="pct"/>
            <w:gridSpan w:val="3"/>
            <w:tcBorders>
              <w:top w:val="nil"/>
              <w:left w:val="nil"/>
              <w:bottom w:val="nil"/>
              <w:right w:val="nil"/>
            </w:tcBorders>
            <w:vAlign w:val="bottom"/>
          </w:tcPr>
          <w:p w14:paraId="206392B5" w14:textId="77777777" w:rsidR="00897ADC" w:rsidRPr="00571974" w:rsidRDefault="003D4D89" w:rsidP="009E7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w:t>
            </w:r>
            <w:r w:rsidR="003E1CBD" w:rsidRPr="00571974">
              <w:rPr>
                <w:b/>
                <w:bCs/>
                <w:i/>
                <w:iCs/>
                <w:sz w:val="18"/>
                <w:szCs w:val="18"/>
                <w:lang w:val="en-GB" w:eastAsia="en-GB" w:bidi="ar-SA"/>
              </w:rPr>
              <w:t>US$</w:t>
            </w:r>
            <w:r w:rsidRPr="00571974">
              <w:rPr>
                <w:b/>
                <w:bCs/>
                <w:i/>
                <w:iCs/>
                <w:sz w:val="18"/>
                <w:szCs w:val="18"/>
                <w:lang w:val="en-GB" w:eastAsia="en-GB" w:bidi="ar-SA"/>
              </w:rPr>
              <w:t>m)</w:t>
            </w:r>
          </w:p>
        </w:tc>
      </w:tr>
      <w:tr w:rsidR="002228B8" w14:paraId="76CEA921" w14:textId="77777777" w:rsidTr="00897ADC">
        <w:trPr>
          <w:cantSplit/>
          <w:trHeight w:val="260"/>
        </w:trPr>
        <w:tc>
          <w:tcPr>
            <w:tcW w:w="3101" w:type="pct"/>
            <w:tcBorders>
              <w:top w:val="nil"/>
              <w:left w:val="nil"/>
              <w:bottom w:val="nil"/>
              <w:right w:val="nil"/>
            </w:tcBorders>
            <w:vAlign w:val="bottom"/>
          </w:tcPr>
          <w:p w14:paraId="44DC03CF" w14:textId="77777777" w:rsidR="002F45D4" w:rsidRPr="00571974" w:rsidRDefault="003D4D89" w:rsidP="002F45D4">
            <w:pPr>
              <w:widowControl/>
              <w:tabs>
                <w:tab w:val="right" w:leader="dot" w:pos="7312"/>
              </w:tabs>
              <w:suppressAutoHyphens/>
              <w:ind w:left="200" w:hanging="200"/>
              <w:rPr>
                <w:sz w:val="18"/>
                <w:szCs w:val="18"/>
                <w:lang w:val="en-GB" w:eastAsia="en-GB" w:bidi="ar-SA"/>
              </w:rPr>
            </w:pPr>
            <w:r w:rsidRPr="00571974">
              <w:rPr>
                <w:sz w:val="18"/>
                <w:szCs w:val="18"/>
                <w:lang w:val="en-GB" w:eastAsia="en-GB" w:bidi="ar-SA"/>
              </w:rPr>
              <w:t>De Beers</w:t>
            </w:r>
            <w:r w:rsidRPr="00571974">
              <w:rPr>
                <w:sz w:val="18"/>
                <w:szCs w:val="18"/>
                <w:lang w:val="en-GB" w:eastAsia="en-GB" w:bidi="ar-SA"/>
              </w:rPr>
              <w:tab/>
            </w:r>
          </w:p>
        </w:tc>
        <w:tc>
          <w:tcPr>
            <w:tcW w:w="630" w:type="pct"/>
            <w:tcBorders>
              <w:top w:val="nil"/>
              <w:left w:val="nil"/>
              <w:bottom w:val="nil"/>
              <w:right w:val="nil"/>
            </w:tcBorders>
            <w:vAlign w:val="bottom"/>
          </w:tcPr>
          <w:p w14:paraId="478AE40E"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873</w:t>
            </w:r>
          </w:p>
        </w:tc>
        <w:tc>
          <w:tcPr>
            <w:tcW w:w="630" w:type="pct"/>
            <w:tcBorders>
              <w:top w:val="nil"/>
              <w:left w:val="nil"/>
              <w:bottom w:val="nil"/>
              <w:right w:val="nil"/>
            </w:tcBorders>
            <w:vAlign w:val="bottom"/>
          </w:tcPr>
          <w:p w14:paraId="365BCE58"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694</w:t>
            </w:r>
          </w:p>
        </w:tc>
        <w:tc>
          <w:tcPr>
            <w:tcW w:w="639" w:type="pct"/>
            <w:tcBorders>
              <w:top w:val="nil"/>
              <w:left w:val="nil"/>
              <w:bottom w:val="nil"/>
              <w:right w:val="nil"/>
            </w:tcBorders>
            <w:vAlign w:val="bottom"/>
          </w:tcPr>
          <w:p w14:paraId="7B07D6F7"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168</w:t>
            </w:r>
          </w:p>
        </w:tc>
      </w:tr>
      <w:tr w:rsidR="002228B8" w14:paraId="05FD3B7B" w14:textId="77777777" w:rsidTr="00897ADC">
        <w:trPr>
          <w:cantSplit/>
          <w:trHeight w:val="260"/>
        </w:trPr>
        <w:tc>
          <w:tcPr>
            <w:tcW w:w="3101" w:type="pct"/>
            <w:tcBorders>
              <w:top w:val="nil"/>
              <w:left w:val="nil"/>
              <w:bottom w:val="nil"/>
              <w:right w:val="nil"/>
            </w:tcBorders>
            <w:vAlign w:val="bottom"/>
          </w:tcPr>
          <w:p w14:paraId="713B4A4D" w14:textId="77777777" w:rsidR="002F45D4" w:rsidRPr="00571974" w:rsidRDefault="003D4D89" w:rsidP="002F45D4">
            <w:pPr>
              <w:widowControl/>
              <w:tabs>
                <w:tab w:val="right" w:leader="dot" w:pos="7312"/>
              </w:tabs>
              <w:suppressAutoHyphens/>
              <w:ind w:left="200" w:hanging="200"/>
              <w:rPr>
                <w:sz w:val="18"/>
                <w:szCs w:val="18"/>
                <w:lang w:val="en-GB" w:eastAsia="en-GB" w:bidi="ar-SA"/>
              </w:rPr>
            </w:pPr>
            <w:r w:rsidRPr="00571974">
              <w:rPr>
                <w:sz w:val="18"/>
                <w:szCs w:val="18"/>
                <w:lang w:val="en-GB" w:eastAsia="en-GB" w:bidi="ar-SA"/>
              </w:rPr>
              <w:t>Copper</w:t>
            </w:r>
            <w:r w:rsidRPr="00571974">
              <w:rPr>
                <w:sz w:val="18"/>
                <w:szCs w:val="18"/>
                <w:lang w:val="en-GB" w:eastAsia="en-GB" w:bidi="ar-SA"/>
              </w:rPr>
              <w:tab/>
            </w:r>
          </w:p>
        </w:tc>
        <w:tc>
          <w:tcPr>
            <w:tcW w:w="630" w:type="pct"/>
            <w:tcBorders>
              <w:top w:val="nil"/>
              <w:left w:val="nil"/>
              <w:bottom w:val="nil"/>
              <w:right w:val="nil"/>
            </w:tcBorders>
            <w:vAlign w:val="bottom"/>
          </w:tcPr>
          <w:p w14:paraId="0A9E5ACC"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923</w:t>
            </w:r>
          </w:p>
        </w:tc>
        <w:tc>
          <w:tcPr>
            <w:tcW w:w="630" w:type="pct"/>
            <w:tcBorders>
              <w:top w:val="nil"/>
              <w:left w:val="nil"/>
              <w:bottom w:val="nil"/>
              <w:right w:val="nil"/>
            </w:tcBorders>
            <w:vAlign w:val="bottom"/>
          </w:tcPr>
          <w:p w14:paraId="780DEA18"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1,234</w:t>
            </w:r>
          </w:p>
        </w:tc>
        <w:tc>
          <w:tcPr>
            <w:tcW w:w="639" w:type="pct"/>
            <w:tcBorders>
              <w:top w:val="nil"/>
              <w:left w:val="nil"/>
              <w:bottom w:val="nil"/>
              <w:right w:val="nil"/>
            </w:tcBorders>
            <w:vAlign w:val="bottom"/>
          </w:tcPr>
          <w:p w14:paraId="48DA9E71"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960</w:t>
            </w:r>
          </w:p>
        </w:tc>
      </w:tr>
      <w:tr w:rsidR="002228B8" w14:paraId="1D43B65E" w14:textId="77777777" w:rsidTr="00897ADC">
        <w:trPr>
          <w:cantSplit/>
          <w:trHeight w:val="260"/>
        </w:trPr>
        <w:tc>
          <w:tcPr>
            <w:tcW w:w="3101" w:type="pct"/>
            <w:tcBorders>
              <w:top w:val="nil"/>
              <w:left w:val="nil"/>
              <w:bottom w:val="nil"/>
              <w:right w:val="nil"/>
            </w:tcBorders>
            <w:vAlign w:val="bottom"/>
          </w:tcPr>
          <w:p w14:paraId="5EDF9CC6" w14:textId="77777777" w:rsidR="002F45D4" w:rsidRPr="00571974" w:rsidRDefault="003D4D89" w:rsidP="002F45D4">
            <w:pPr>
              <w:widowControl/>
              <w:tabs>
                <w:tab w:val="right" w:leader="dot" w:pos="7312"/>
              </w:tabs>
              <w:suppressAutoHyphens/>
              <w:ind w:left="200" w:hanging="200"/>
              <w:rPr>
                <w:sz w:val="18"/>
                <w:szCs w:val="18"/>
                <w:lang w:val="en-GB" w:eastAsia="en-GB" w:bidi="ar-SA"/>
              </w:rPr>
            </w:pPr>
            <w:r w:rsidRPr="00571974">
              <w:rPr>
                <w:sz w:val="18"/>
                <w:szCs w:val="18"/>
                <w:lang w:val="en-GB" w:eastAsia="en-GB" w:bidi="ar-SA"/>
              </w:rPr>
              <w:t>Platinum</w:t>
            </w:r>
            <w:r w:rsidRPr="00571974">
              <w:rPr>
                <w:sz w:val="18"/>
                <w:szCs w:val="18"/>
                <w:lang w:val="en-GB" w:eastAsia="en-GB" w:bidi="ar-SA"/>
              </w:rPr>
              <w:tab/>
            </w:r>
          </w:p>
        </w:tc>
        <w:tc>
          <w:tcPr>
            <w:tcW w:w="630" w:type="pct"/>
            <w:tcBorders>
              <w:top w:val="nil"/>
              <w:left w:val="nil"/>
              <w:bottom w:val="nil"/>
              <w:right w:val="nil"/>
            </w:tcBorders>
            <w:vAlign w:val="bottom"/>
          </w:tcPr>
          <w:p w14:paraId="438E2F85"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512</w:t>
            </w:r>
          </w:p>
        </w:tc>
        <w:tc>
          <w:tcPr>
            <w:tcW w:w="630" w:type="pct"/>
            <w:tcBorders>
              <w:top w:val="nil"/>
              <w:left w:val="nil"/>
              <w:bottom w:val="nil"/>
              <w:right w:val="nil"/>
            </w:tcBorders>
            <w:vAlign w:val="bottom"/>
          </w:tcPr>
          <w:p w14:paraId="40C1E81E"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705</w:t>
            </w:r>
          </w:p>
        </w:tc>
        <w:tc>
          <w:tcPr>
            <w:tcW w:w="639" w:type="pct"/>
            <w:tcBorders>
              <w:top w:val="nil"/>
              <w:left w:val="nil"/>
              <w:bottom w:val="nil"/>
              <w:right w:val="nil"/>
            </w:tcBorders>
            <w:vAlign w:val="bottom"/>
          </w:tcPr>
          <w:p w14:paraId="69F2A8D4"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1,672</w:t>
            </w:r>
          </w:p>
        </w:tc>
      </w:tr>
      <w:tr w:rsidR="002228B8" w14:paraId="32105B63" w14:textId="77777777" w:rsidTr="00897ADC">
        <w:trPr>
          <w:cantSplit/>
          <w:trHeight w:val="260"/>
        </w:trPr>
        <w:tc>
          <w:tcPr>
            <w:tcW w:w="3101" w:type="pct"/>
            <w:tcBorders>
              <w:top w:val="nil"/>
              <w:left w:val="nil"/>
              <w:bottom w:val="nil"/>
              <w:right w:val="nil"/>
            </w:tcBorders>
            <w:vAlign w:val="bottom"/>
          </w:tcPr>
          <w:p w14:paraId="49B7F676" w14:textId="77777777" w:rsidR="002F45D4" w:rsidRPr="00571974" w:rsidRDefault="003D4D89" w:rsidP="002F45D4">
            <w:pPr>
              <w:widowControl/>
              <w:tabs>
                <w:tab w:val="right" w:leader="dot" w:pos="7312"/>
              </w:tabs>
              <w:suppressAutoHyphens/>
              <w:ind w:left="200" w:hanging="200"/>
              <w:rPr>
                <w:sz w:val="18"/>
                <w:szCs w:val="18"/>
                <w:lang w:val="en-GB" w:eastAsia="en-GB" w:bidi="ar-SA"/>
              </w:rPr>
            </w:pPr>
            <w:r w:rsidRPr="00571974">
              <w:rPr>
                <w:sz w:val="18"/>
                <w:szCs w:val="18"/>
                <w:lang w:val="en-GB" w:eastAsia="en-GB" w:bidi="ar-SA"/>
              </w:rPr>
              <w:t>Iron Ore</w:t>
            </w:r>
            <w:r w:rsidRPr="00571974">
              <w:rPr>
                <w:sz w:val="18"/>
                <w:szCs w:val="18"/>
                <w:vertAlign w:val="superscript"/>
                <w:lang w:val="en-GB" w:eastAsia="en-GB" w:bidi="ar-SA"/>
              </w:rPr>
              <w:t>(1)</w:t>
            </w:r>
            <w:r w:rsidRPr="00571974">
              <w:rPr>
                <w:sz w:val="18"/>
                <w:szCs w:val="18"/>
                <w:lang w:val="en-GB" w:eastAsia="en-GB" w:bidi="ar-SA"/>
              </w:rPr>
              <w:tab/>
            </w:r>
          </w:p>
        </w:tc>
        <w:tc>
          <w:tcPr>
            <w:tcW w:w="630" w:type="pct"/>
            <w:tcBorders>
              <w:top w:val="nil"/>
              <w:left w:val="nil"/>
              <w:bottom w:val="nil"/>
              <w:right w:val="nil"/>
            </w:tcBorders>
            <w:vAlign w:val="bottom"/>
          </w:tcPr>
          <w:p w14:paraId="3176DD31"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1,500</w:t>
            </w:r>
          </w:p>
        </w:tc>
        <w:tc>
          <w:tcPr>
            <w:tcW w:w="630" w:type="pct"/>
            <w:tcBorders>
              <w:top w:val="nil"/>
              <w:left w:val="nil"/>
              <w:bottom w:val="nil"/>
              <w:right w:val="nil"/>
            </w:tcBorders>
            <w:vAlign w:val="bottom"/>
          </w:tcPr>
          <w:p w14:paraId="38106FDA"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747</w:t>
            </w:r>
          </w:p>
        </w:tc>
        <w:tc>
          <w:tcPr>
            <w:tcW w:w="639" w:type="pct"/>
            <w:tcBorders>
              <w:top w:val="nil"/>
              <w:left w:val="nil"/>
              <w:bottom w:val="nil"/>
              <w:right w:val="nil"/>
            </w:tcBorders>
            <w:vAlign w:val="bottom"/>
          </w:tcPr>
          <w:p w14:paraId="699FC9DF"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2,952</w:t>
            </w:r>
          </w:p>
        </w:tc>
      </w:tr>
      <w:tr w:rsidR="002228B8" w14:paraId="665193EE" w14:textId="77777777" w:rsidTr="00897ADC">
        <w:trPr>
          <w:cantSplit/>
          <w:trHeight w:val="260"/>
        </w:trPr>
        <w:tc>
          <w:tcPr>
            <w:tcW w:w="3101" w:type="pct"/>
            <w:tcBorders>
              <w:top w:val="nil"/>
              <w:left w:val="nil"/>
              <w:bottom w:val="nil"/>
              <w:right w:val="nil"/>
            </w:tcBorders>
            <w:vAlign w:val="bottom"/>
          </w:tcPr>
          <w:p w14:paraId="388EA39B" w14:textId="77777777" w:rsidR="002F45D4" w:rsidRPr="00571974" w:rsidRDefault="003D4D89" w:rsidP="002F45D4">
            <w:pPr>
              <w:widowControl/>
              <w:tabs>
                <w:tab w:val="right" w:leader="dot" w:pos="7312"/>
              </w:tabs>
              <w:suppressAutoHyphens/>
              <w:ind w:left="200" w:hanging="200"/>
              <w:rPr>
                <w:sz w:val="18"/>
                <w:szCs w:val="18"/>
                <w:lang w:val="en-GB" w:eastAsia="en-GB" w:bidi="ar-SA"/>
              </w:rPr>
            </w:pPr>
            <w:r w:rsidRPr="00571974">
              <w:rPr>
                <w:sz w:val="18"/>
                <w:szCs w:val="18"/>
                <w:lang w:val="en-GB" w:eastAsia="en-GB" w:bidi="ar-SA"/>
              </w:rPr>
              <w:t>Coal</w:t>
            </w:r>
            <w:r w:rsidRPr="00571974">
              <w:rPr>
                <w:sz w:val="18"/>
                <w:szCs w:val="18"/>
                <w:lang w:val="en-GB" w:eastAsia="en-GB" w:bidi="ar-SA"/>
              </w:rPr>
              <w:tab/>
            </w:r>
          </w:p>
        </w:tc>
        <w:tc>
          <w:tcPr>
            <w:tcW w:w="630" w:type="pct"/>
            <w:tcBorders>
              <w:top w:val="nil"/>
              <w:left w:val="nil"/>
              <w:bottom w:val="nil"/>
              <w:right w:val="nil"/>
            </w:tcBorders>
            <w:vAlign w:val="bottom"/>
          </w:tcPr>
          <w:p w14:paraId="53274574"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2,274</w:t>
            </w:r>
          </w:p>
        </w:tc>
        <w:tc>
          <w:tcPr>
            <w:tcW w:w="630" w:type="pct"/>
            <w:tcBorders>
              <w:top w:val="nil"/>
              <w:left w:val="nil"/>
              <w:bottom w:val="nil"/>
              <w:right w:val="nil"/>
            </w:tcBorders>
            <w:vAlign w:val="bottom"/>
          </w:tcPr>
          <w:p w14:paraId="24A04C4F"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2,538</w:t>
            </w:r>
          </w:p>
        </w:tc>
        <w:tc>
          <w:tcPr>
            <w:tcW w:w="639" w:type="pct"/>
            <w:tcBorders>
              <w:top w:val="nil"/>
              <w:left w:val="nil"/>
              <w:bottom w:val="nil"/>
              <w:right w:val="nil"/>
            </w:tcBorders>
            <w:vAlign w:val="bottom"/>
          </w:tcPr>
          <w:p w14:paraId="349C2C05"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1,010</w:t>
            </w:r>
          </w:p>
        </w:tc>
      </w:tr>
      <w:tr w:rsidR="002228B8" w14:paraId="5FCDBE8F" w14:textId="77777777" w:rsidTr="00897ADC">
        <w:trPr>
          <w:cantSplit/>
          <w:trHeight w:val="260"/>
        </w:trPr>
        <w:tc>
          <w:tcPr>
            <w:tcW w:w="3101" w:type="pct"/>
            <w:tcBorders>
              <w:top w:val="nil"/>
              <w:left w:val="nil"/>
              <w:bottom w:val="nil"/>
              <w:right w:val="nil"/>
            </w:tcBorders>
            <w:vAlign w:val="bottom"/>
          </w:tcPr>
          <w:p w14:paraId="62A502AD" w14:textId="77777777" w:rsidR="002F45D4" w:rsidRPr="00571974" w:rsidRDefault="003D4D89" w:rsidP="002F45D4">
            <w:pPr>
              <w:widowControl/>
              <w:tabs>
                <w:tab w:val="right" w:leader="dot" w:pos="7312"/>
              </w:tabs>
              <w:suppressAutoHyphens/>
              <w:ind w:left="200" w:hanging="200"/>
              <w:rPr>
                <w:sz w:val="18"/>
                <w:szCs w:val="18"/>
                <w:lang w:val="en-GB" w:eastAsia="en-GB" w:bidi="ar-SA"/>
              </w:rPr>
            </w:pPr>
            <w:r w:rsidRPr="00571974">
              <w:rPr>
                <w:sz w:val="18"/>
                <w:szCs w:val="18"/>
                <w:lang w:val="en-GB" w:eastAsia="en-GB" w:bidi="ar-SA"/>
              </w:rPr>
              <w:t>Nickel and Manganese</w:t>
            </w:r>
            <w:r w:rsidRPr="00571974">
              <w:rPr>
                <w:sz w:val="18"/>
                <w:szCs w:val="18"/>
                <w:vertAlign w:val="superscript"/>
                <w:lang w:val="en-GB" w:eastAsia="en-GB" w:bidi="ar-SA"/>
              </w:rPr>
              <w:t>(1)</w:t>
            </w:r>
            <w:r w:rsidRPr="00571974">
              <w:rPr>
                <w:sz w:val="18"/>
                <w:szCs w:val="18"/>
                <w:lang w:val="en-GB" w:eastAsia="en-GB" w:bidi="ar-SA"/>
              </w:rPr>
              <w:tab/>
            </w:r>
          </w:p>
        </w:tc>
        <w:tc>
          <w:tcPr>
            <w:tcW w:w="630" w:type="pct"/>
            <w:tcBorders>
              <w:top w:val="nil"/>
              <w:left w:val="nil"/>
              <w:bottom w:val="nil"/>
              <w:right w:val="nil"/>
            </w:tcBorders>
            <w:vAlign w:val="bottom"/>
          </w:tcPr>
          <w:p w14:paraId="6F64924B"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478</w:t>
            </w:r>
          </w:p>
        </w:tc>
        <w:tc>
          <w:tcPr>
            <w:tcW w:w="630" w:type="pct"/>
            <w:tcBorders>
              <w:top w:val="nil"/>
              <w:left w:val="nil"/>
              <w:bottom w:val="nil"/>
              <w:right w:val="nil"/>
            </w:tcBorders>
            <w:vAlign w:val="bottom"/>
          </w:tcPr>
          <w:p w14:paraId="004D3339"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685</w:t>
            </w:r>
          </w:p>
        </w:tc>
        <w:tc>
          <w:tcPr>
            <w:tcW w:w="639" w:type="pct"/>
            <w:tcBorders>
              <w:top w:val="nil"/>
              <w:left w:val="nil"/>
              <w:bottom w:val="nil"/>
              <w:right w:val="nil"/>
            </w:tcBorders>
            <w:vAlign w:val="bottom"/>
          </w:tcPr>
          <w:p w14:paraId="2CB2BB72" w14:textId="77777777" w:rsidR="002F45D4" w:rsidRPr="00571974" w:rsidRDefault="003D4D89"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477</w:t>
            </w:r>
          </w:p>
        </w:tc>
      </w:tr>
      <w:tr w:rsidR="002228B8" w14:paraId="03912042" w14:textId="77777777" w:rsidTr="00897ADC">
        <w:trPr>
          <w:cantSplit/>
          <w:trHeight w:val="279"/>
        </w:trPr>
        <w:tc>
          <w:tcPr>
            <w:tcW w:w="3101" w:type="pct"/>
            <w:tcBorders>
              <w:top w:val="nil"/>
              <w:left w:val="nil"/>
              <w:bottom w:val="nil"/>
              <w:right w:val="nil"/>
            </w:tcBorders>
            <w:vAlign w:val="bottom"/>
          </w:tcPr>
          <w:p w14:paraId="73145A60" w14:textId="77777777" w:rsidR="002F45D4" w:rsidRPr="00571974" w:rsidRDefault="003D4D89" w:rsidP="002F45D4">
            <w:pPr>
              <w:widowControl/>
              <w:tabs>
                <w:tab w:val="right" w:leader="dot" w:pos="7312"/>
              </w:tabs>
              <w:suppressAutoHyphens/>
              <w:spacing w:after="20"/>
              <w:ind w:left="200" w:hanging="200"/>
              <w:rPr>
                <w:sz w:val="18"/>
                <w:szCs w:val="18"/>
                <w:lang w:val="en-GB" w:eastAsia="en-GB" w:bidi="ar-SA"/>
              </w:rPr>
            </w:pPr>
            <w:r w:rsidRPr="00571974">
              <w:rPr>
                <w:sz w:val="18"/>
                <w:szCs w:val="18"/>
                <w:lang w:val="en-GB" w:eastAsia="en-GB" w:bidi="ar-SA"/>
              </w:rPr>
              <w:t>Corporate and Other</w:t>
            </w:r>
            <w:r w:rsidRPr="00571974">
              <w:rPr>
                <w:sz w:val="18"/>
                <w:szCs w:val="18"/>
                <w:lang w:val="en-GB" w:eastAsia="en-GB" w:bidi="ar-SA"/>
              </w:rPr>
              <w:tab/>
            </w:r>
          </w:p>
        </w:tc>
        <w:tc>
          <w:tcPr>
            <w:tcW w:w="630" w:type="pct"/>
            <w:tcBorders>
              <w:left w:val="nil"/>
              <w:right w:val="nil"/>
            </w:tcBorders>
            <w:vAlign w:val="bottom"/>
          </w:tcPr>
          <w:p w14:paraId="6EDBFA53" w14:textId="77777777" w:rsidR="002F45D4" w:rsidRPr="00571974" w:rsidRDefault="003D4D89" w:rsidP="002F45D4">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(313)</w:t>
            </w:r>
          </w:p>
        </w:tc>
        <w:tc>
          <w:tcPr>
            <w:tcW w:w="630" w:type="pct"/>
            <w:tcBorders>
              <w:top w:val="nil"/>
              <w:left w:val="nil"/>
              <w:right w:val="nil"/>
            </w:tcBorders>
            <w:vAlign w:val="bottom"/>
          </w:tcPr>
          <w:p w14:paraId="081F4043" w14:textId="77777777" w:rsidR="002F45D4" w:rsidRPr="00571974" w:rsidRDefault="003D4D89" w:rsidP="002F45D4">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(226)</w:t>
            </w:r>
          </w:p>
        </w:tc>
        <w:tc>
          <w:tcPr>
            <w:tcW w:w="639" w:type="pct"/>
            <w:tcBorders>
              <w:top w:val="nil"/>
              <w:left w:val="nil"/>
              <w:right w:val="nil"/>
            </w:tcBorders>
            <w:vAlign w:val="bottom"/>
          </w:tcPr>
          <w:p w14:paraId="31F0F26D" w14:textId="77777777" w:rsidR="002F45D4" w:rsidRPr="00571974" w:rsidRDefault="003D4D89" w:rsidP="002F45D4">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(229)</w:t>
            </w:r>
          </w:p>
        </w:tc>
      </w:tr>
      <w:tr w:rsidR="002228B8" w14:paraId="2FD88A2E" w14:textId="77777777" w:rsidTr="00897ADC">
        <w:trPr>
          <w:cantSplit/>
          <w:trHeight w:val="335"/>
        </w:trPr>
        <w:tc>
          <w:tcPr>
            <w:tcW w:w="3101" w:type="pct"/>
            <w:tcBorders>
              <w:top w:val="nil"/>
              <w:left w:val="nil"/>
              <w:bottom w:val="nil"/>
              <w:right w:val="nil"/>
            </w:tcBorders>
            <w:vAlign w:val="bottom"/>
          </w:tcPr>
          <w:p w14:paraId="718F4397" w14:textId="77777777" w:rsidR="002F45D4" w:rsidRPr="00571974" w:rsidRDefault="002F45D4" w:rsidP="002F45D4">
            <w:pPr>
              <w:widowControl/>
              <w:tabs>
                <w:tab w:val="left" w:pos="0"/>
                <w:tab w:val="left" w:pos="216"/>
                <w:tab w:val="left" w:pos="432"/>
                <w:tab w:val="left" w:pos="648"/>
                <w:tab w:val="left" w:pos="864"/>
                <w:tab w:val="left" w:pos="1080"/>
                <w:tab w:val="left" w:pos="1296"/>
                <w:tab w:val="left" w:pos="1512"/>
                <w:tab w:val="left" w:pos="1728"/>
                <w:tab w:val="left" w:pos="1944"/>
              </w:tabs>
              <w:suppressAutoHyphens/>
              <w:spacing w:after="40"/>
              <w:ind w:left="200" w:hanging="200"/>
              <w:rPr>
                <w:sz w:val="18"/>
                <w:szCs w:val="18"/>
                <w:lang w:val="en-GB" w:eastAsia="en-GB" w:bidi="ar-SA"/>
              </w:rPr>
            </w:pPr>
          </w:p>
        </w:tc>
        <w:tc>
          <w:tcPr>
            <w:tcW w:w="630" w:type="pct"/>
            <w:tcBorders>
              <w:top w:val="nil"/>
              <w:left w:val="nil"/>
              <w:bottom w:val="nil"/>
              <w:right w:val="nil"/>
            </w:tcBorders>
            <w:vAlign w:val="bottom"/>
          </w:tcPr>
          <w:p w14:paraId="2020D9DD" w14:textId="77777777" w:rsidR="002F45D4" w:rsidRPr="00571974" w:rsidRDefault="003D4D89" w:rsidP="002F45D4">
            <w:pPr>
              <w:widowControl/>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6,247</w:t>
            </w:r>
          </w:p>
        </w:tc>
        <w:tc>
          <w:tcPr>
            <w:tcW w:w="630" w:type="pct"/>
            <w:tcBorders>
              <w:top w:val="nil"/>
              <w:left w:val="nil"/>
              <w:bottom w:val="nil"/>
              <w:right w:val="nil"/>
            </w:tcBorders>
            <w:vAlign w:val="bottom"/>
          </w:tcPr>
          <w:p w14:paraId="2752BD3E" w14:textId="77777777" w:rsidR="002F45D4" w:rsidRPr="00571974" w:rsidRDefault="003D4D89" w:rsidP="002F45D4">
            <w:pPr>
              <w:widowControl/>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6,377</w:t>
            </w:r>
          </w:p>
        </w:tc>
        <w:tc>
          <w:tcPr>
            <w:tcW w:w="639" w:type="pct"/>
            <w:tcBorders>
              <w:top w:val="nil"/>
              <w:left w:val="nil"/>
              <w:bottom w:val="nil"/>
              <w:right w:val="nil"/>
            </w:tcBorders>
            <w:vAlign w:val="bottom"/>
          </w:tcPr>
          <w:p w14:paraId="2C32B1B7" w14:textId="77777777" w:rsidR="002F45D4" w:rsidRPr="00571974" w:rsidRDefault="003D4D89" w:rsidP="002F45D4">
            <w:pPr>
              <w:widowControl/>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7,010</w:t>
            </w:r>
          </w:p>
        </w:tc>
      </w:tr>
    </w:tbl>
    <w:p w14:paraId="2139D23E" w14:textId="77777777" w:rsidR="00542FF4" w:rsidRPr="00571974" w:rsidRDefault="00836D74" w:rsidP="00542FF4">
      <w:pPr>
        <w:rPr>
          <w:lang w:val="en-GB"/>
        </w:rPr>
      </w:pPr>
      <w:r>
        <w:rPr>
          <w:lang w:val="en-GB"/>
        </w:rPr>
        <w:pict w14:anchorId="75A176D2">
          <v:rect id="_x0000_i1029" style="width:184.5pt;height:1pt" o:hrpct="250" o:hrstd="t" o:hrnoshade="t" o:hr="t" fillcolor="black" stroked="f"/>
        </w:pict>
      </w:r>
    </w:p>
    <w:p w14:paraId="42434B99" w14:textId="1AF68FCC" w:rsidR="00B2639F" w:rsidRPr="00571974" w:rsidRDefault="003D4D89" w:rsidP="004F4F07">
      <w:pPr>
        <w:pStyle w:val="ListParagraph"/>
        <w:numPr>
          <w:ilvl w:val="0"/>
          <w:numId w:val="9"/>
        </w:numPr>
        <w:tabs>
          <w:tab w:val="left" w:pos="-720"/>
          <w:tab w:val="left" w:pos="0"/>
        </w:tabs>
        <w:suppressAutoHyphens/>
        <w:spacing w:after="240"/>
        <w:rPr>
          <w:sz w:val="16"/>
          <w:szCs w:val="18"/>
          <w:lang w:val="en-GB"/>
        </w:rPr>
      </w:pPr>
      <w:r w:rsidRPr="00571974">
        <w:rPr>
          <w:sz w:val="16"/>
          <w:szCs w:val="18"/>
          <w:lang w:val="en-GB"/>
        </w:rPr>
        <w:t>Following a reassessment of the Group</w:t>
      </w:r>
      <w:r w:rsidR="00A311D8">
        <w:rPr>
          <w:sz w:val="16"/>
          <w:szCs w:val="18"/>
          <w:lang w:val="en-GB"/>
        </w:rPr>
        <w:t>’</w:t>
      </w:r>
      <w:r w:rsidRPr="00571974">
        <w:rPr>
          <w:sz w:val="16"/>
          <w:szCs w:val="18"/>
          <w:lang w:val="en-GB"/>
        </w:rPr>
        <w:t>s reportable segments</w:t>
      </w:r>
      <w:r w:rsidR="0009201B">
        <w:rPr>
          <w:sz w:val="16"/>
          <w:szCs w:val="18"/>
          <w:lang w:val="en-GB"/>
        </w:rPr>
        <w:t xml:space="preserve"> in 2018</w:t>
      </w:r>
      <w:r w:rsidRPr="00571974">
        <w:rPr>
          <w:sz w:val="16"/>
          <w:szCs w:val="18"/>
          <w:lang w:val="en-GB"/>
        </w:rPr>
        <w:t>, the Group has presented the results of the Iron Ore businesses as the Iron Ore reportable segment. Manganese, which was previously reported with Iron Ore has been aggregated with Nickel as a single reportable segment. Comparative information has been restated to reflect this change.</w:t>
      </w:r>
    </w:p>
    <w:p w14:paraId="2AB7F377" w14:textId="77777777" w:rsidR="00542FF4" w:rsidRPr="00571974" w:rsidRDefault="003D4D89" w:rsidP="007B1404">
      <w:pPr>
        <w:pStyle w:val="Heading3"/>
        <w:rPr>
          <w:i/>
          <w:lang w:val="en-GB"/>
        </w:rPr>
      </w:pPr>
      <w:r w:rsidRPr="00571974">
        <w:rPr>
          <w:lang w:val="en-GB"/>
        </w:rPr>
        <w:t>Business Overview</w:t>
      </w:r>
    </w:p>
    <w:p w14:paraId="6E03EFA0" w14:textId="5FFE5FFD" w:rsidR="00542FF4" w:rsidRPr="00571974" w:rsidRDefault="00542FF4" w:rsidP="00542FF4">
      <w:pPr>
        <w:pStyle w:val="BodyText"/>
        <w:widowControl/>
        <w:autoSpaceDE/>
        <w:autoSpaceDN/>
        <w:adjustRightInd/>
        <w:ind w:firstLine="360"/>
        <w:rPr>
          <w:lang w:val="en-GB"/>
        </w:rPr>
      </w:pPr>
      <w:r w:rsidRPr="00571974">
        <w:rPr>
          <w:lang w:val="en-GB"/>
        </w:rPr>
        <w:t>We are a global leader in the production of platinum and diamonds and have significant interests in metallurgical and thermal coal, copper</w:t>
      </w:r>
      <w:r w:rsidR="00E96798" w:rsidRPr="00571974">
        <w:rPr>
          <w:lang w:val="en-GB"/>
        </w:rPr>
        <w:t>,</w:t>
      </w:r>
      <w:r w:rsidRPr="00571974">
        <w:rPr>
          <w:lang w:val="en-GB"/>
        </w:rPr>
        <w:t xml:space="preserve"> iron ore</w:t>
      </w:r>
      <w:r w:rsidR="00E96798" w:rsidRPr="00571974">
        <w:rPr>
          <w:lang w:val="en-GB"/>
        </w:rPr>
        <w:t>, nickel</w:t>
      </w:r>
      <w:r w:rsidRPr="00571974">
        <w:rPr>
          <w:lang w:val="en-GB"/>
        </w:rPr>
        <w:t xml:space="preserve"> and manganese metals. The Anglo American business segments are outlined below. For a more detailed description of the business segments, see </w:t>
      </w:r>
      <w:r w:rsidR="00A311D8">
        <w:rPr>
          <w:lang w:val="en-GB"/>
        </w:rPr>
        <w:t>“</w:t>
      </w:r>
      <w:r w:rsidRPr="00571974">
        <w:rPr>
          <w:lang w:val="en-GB"/>
        </w:rPr>
        <w:t>Business Description—Business Segments</w:t>
      </w:r>
      <w:r w:rsidR="00A311D8">
        <w:rPr>
          <w:lang w:val="en-GB"/>
        </w:rPr>
        <w:t>”</w:t>
      </w:r>
      <w:r w:rsidRPr="00571974">
        <w:rPr>
          <w:lang w:val="en-GB"/>
        </w:rPr>
        <w:t>.</w:t>
      </w:r>
    </w:p>
    <w:p w14:paraId="280CAD56" w14:textId="77777777" w:rsidR="00313EAA" w:rsidRPr="00571974" w:rsidRDefault="003D4D89" w:rsidP="00763C98">
      <w:pPr>
        <w:pStyle w:val="BodyText"/>
        <w:widowControl/>
        <w:autoSpaceDE/>
        <w:autoSpaceDN/>
        <w:adjustRightInd/>
        <w:ind w:firstLine="360"/>
        <w:rPr>
          <w:lang w:val="en-GB"/>
        </w:rPr>
      </w:pPr>
      <w:r w:rsidRPr="00571974">
        <w:rPr>
          <w:lang w:val="en-GB"/>
        </w:rPr>
        <w:t xml:space="preserve">The quality, long life and growth potential of our mineral assets are the foundations of our global business. </w:t>
      </w:r>
      <w:r w:rsidR="00642B99" w:rsidRPr="00571974">
        <w:rPr>
          <w:lang w:val="en-GB"/>
        </w:rPr>
        <w:t>Anglo American has transformed the quality and performance of its portfolio over the past seven years, halving the number of assets while producing more physical product. This</w:t>
      </w:r>
      <w:r w:rsidR="00763C98" w:rsidRPr="00571974">
        <w:rPr>
          <w:lang w:val="en-GB"/>
        </w:rPr>
        <w:t xml:space="preserve"> </w:t>
      </w:r>
      <w:r w:rsidR="00642B99" w:rsidRPr="00571974">
        <w:rPr>
          <w:lang w:val="en-GB"/>
        </w:rPr>
        <w:t>transformation has been achieved through extensive operational self-help and other efficiency work, together with the sale, placing onto care and maintenance, and closure of less attractive assets, resulting in a step change in our operational performance, profitability and cash flow generation.</w:t>
      </w:r>
    </w:p>
    <w:p w14:paraId="0962786A" w14:textId="18167A5C" w:rsidR="00313EAA" w:rsidRPr="00571974" w:rsidRDefault="003D4D89" w:rsidP="00763C98">
      <w:pPr>
        <w:pStyle w:val="BodyText"/>
        <w:widowControl/>
        <w:autoSpaceDE/>
        <w:autoSpaceDN/>
        <w:adjustRightInd/>
        <w:ind w:firstLine="360"/>
        <w:rPr>
          <w:lang w:val="en-GB"/>
        </w:rPr>
      </w:pPr>
      <w:r w:rsidRPr="00571974">
        <w:rPr>
          <w:lang w:val="en-GB"/>
        </w:rPr>
        <w:t>For a more detailed description of the Group</w:t>
      </w:r>
      <w:r w:rsidR="00A311D8">
        <w:rPr>
          <w:lang w:val="en-GB"/>
        </w:rPr>
        <w:t>’</w:t>
      </w:r>
      <w:r w:rsidRPr="00571974">
        <w:rPr>
          <w:lang w:val="en-GB"/>
        </w:rPr>
        <w:t xml:space="preserve">s strategy and strategic growth projects, see </w:t>
      </w:r>
      <w:r w:rsidR="00A311D8">
        <w:rPr>
          <w:lang w:val="en-GB"/>
        </w:rPr>
        <w:t>“</w:t>
      </w:r>
      <w:r w:rsidRPr="00571974">
        <w:rPr>
          <w:lang w:val="en-GB"/>
        </w:rPr>
        <w:t>Business Description—Strategy</w:t>
      </w:r>
      <w:r w:rsidR="00A311D8">
        <w:rPr>
          <w:lang w:val="en-GB"/>
        </w:rPr>
        <w:t>”</w:t>
      </w:r>
      <w:r w:rsidRPr="00571974">
        <w:rPr>
          <w:lang w:val="en-GB"/>
        </w:rPr>
        <w:t>.</w:t>
      </w:r>
    </w:p>
    <w:p w14:paraId="21B22884" w14:textId="77777777" w:rsidR="00542FF4" w:rsidRPr="00571974" w:rsidRDefault="003D4D89" w:rsidP="00EA3F32">
      <w:pPr>
        <w:pStyle w:val="Heading4"/>
      </w:pPr>
      <w:r w:rsidRPr="00571974">
        <w:lastRenderedPageBreak/>
        <w:t>De Beers</w:t>
      </w:r>
    </w:p>
    <w:p w14:paraId="4AC917A9" w14:textId="54BCEF9A" w:rsidR="004B1480" w:rsidRPr="00571974" w:rsidRDefault="003D4D89" w:rsidP="00763C98">
      <w:pPr>
        <w:pStyle w:val="BodyText"/>
        <w:widowControl/>
        <w:autoSpaceDE/>
        <w:autoSpaceDN/>
        <w:adjustRightInd/>
        <w:ind w:firstLine="360"/>
        <w:rPr>
          <w:lang w:val="en-GB"/>
        </w:rPr>
      </w:pPr>
      <w:r w:rsidRPr="00571974">
        <w:rPr>
          <w:lang w:val="en-GB"/>
        </w:rPr>
        <w:t>De Beers plc (</w:t>
      </w:r>
      <w:r w:rsidR="00A311D8">
        <w:rPr>
          <w:lang w:val="en-GB"/>
        </w:rPr>
        <w:t>“</w:t>
      </w:r>
      <w:r w:rsidRPr="00571974">
        <w:rPr>
          <w:lang w:val="en-GB"/>
        </w:rPr>
        <w:t>De Beers</w:t>
      </w:r>
      <w:r w:rsidR="00A311D8">
        <w:rPr>
          <w:lang w:val="en-GB"/>
        </w:rPr>
        <w:t>”</w:t>
      </w:r>
      <w:r w:rsidRPr="00571974">
        <w:rPr>
          <w:lang w:val="en-GB"/>
        </w:rPr>
        <w:t xml:space="preserve">) </w:t>
      </w:r>
      <w:bookmarkStart w:id="17" w:name="_Hlk32223119"/>
      <w:r w:rsidRPr="00571974">
        <w:rPr>
          <w:lang w:val="en-GB"/>
        </w:rPr>
        <w:t>is Anglo American</w:t>
      </w:r>
      <w:r w:rsidR="00A311D8">
        <w:rPr>
          <w:lang w:val="en-GB"/>
        </w:rPr>
        <w:t>’</w:t>
      </w:r>
      <w:r w:rsidRPr="00571974">
        <w:rPr>
          <w:lang w:val="en-GB"/>
        </w:rPr>
        <w:t>s 85%-owned diamond business, with mining operations in Botswana, Canada, Namibia and South Africa. In 201</w:t>
      </w:r>
      <w:r w:rsidR="00C0367C" w:rsidRPr="00571974">
        <w:rPr>
          <w:lang w:val="en-GB"/>
        </w:rPr>
        <w:t>9</w:t>
      </w:r>
      <w:r w:rsidRPr="00571974">
        <w:rPr>
          <w:lang w:val="en-GB"/>
        </w:rPr>
        <w:t xml:space="preserve">, De Beers, together with its joint venture partners, was responsible for the production of approximately one-third of global rough diamond supply by value. De Beers sells the majority of its rough diamonds through 10 Sight sales each year to term contract </w:t>
      </w:r>
      <w:r w:rsidR="00763C98" w:rsidRPr="00571974">
        <w:rPr>
          <w:lang w:val="en-GB"/>
        </w:rPr>
        <w:t xml:space="preserve">sales to customers (known as </w:t>
      </w:r>
      <w:r w:rsidRPr="00571974">
        <w:rPr>
          <w:lang w:val="en-GB"/>
        </w:rPr>
        <w:t>Sightholders</w:t>
      </w:r>
      <w:r w:rsidR="00763C98" w:rsidRPr="00571974">
        <w:rPr>
          <w:lang w:val="en-GB"/>
        </w:rPr>
        <w:t>)</w:t>
      </w:r>
      <w:r w:rsidRPr="00571974">
        <w:rPr>
          <w:lang w:val="en-GB"/>
        </w:rPr>
        <w:t xml:space="preserve"> and Accredited Buyers. It </w:t>
      </w:r>
      <w:r w:rsidR="00D32436">
        <w:rPr>
          <w:lang w:val="en-GB"/>
        </w:rPr>
        <w:t>markets and</w:t>
      </w:r>
      <w:r w:rsidR="003C505A">
        <w:rPr>
          <w:lang w:val="en-GB"/>
        </w:rPr>
        <w:t xml:space="preserve"> </w:t>
      </w:r>
      <w:r w:rsidRPr="00571974">
        <w:rPr>
          <w:lang w:val="en-GB"/>
        </w:rPr>
        <w:t>sells polished diamonds and diamond jewellery via its Forevermark™ and De Beers Jewellers businesses.</w:t>
      </w:r>
      <w:bookmarkEnd w:id="17"/>
    </w:p>
    <w:p w14:paraId="1F9D81B8" w14:textId="260DC409" w:rsidR="007730E2" w:rsidRPr="00571974" w:rsidRDefault="007730E2" w:rsidP="00EA3F32">
      <w:pPr>
        <w:pStyle w:val="Heading4"/>
      </w:pPr>
      <w:r w:rsidRPr="00571974">
        <w:t>Copper</w:t>
      </w:r>
    </w:p>
    <w:p w14:paraId="788622B8" w14:textId="77777777" w:rsidR="00C0367C" w:rsidRPr="00571974" w:rsidRDefault="003D4D89" w:rsidP="00763C98">
      <w:pPr>
        <w:pStyle w:val="BodyText"/>
        <w:widowControl/>
        <w:autoSpaceDE/>
        <w:autoSpaceDN/>
        <w:adjustRightInd/>
        <w:ind w:firstLine="360"/>
        <w:rPr>
          <w:lang w:val="en-GB"/>
        </w:rPr>
      </w:pPr>
      <w:r w:rsidRPr="00571974">
        <w:rPr>
          <w:lang w:val="en-GB"/>
        </w:rPr>
        <w:t xml:space="preserve">In Chile, we have </w:t>
      </w:r>
      <w:bookmarkStart w:id="18" w:name="_Hlk32223154"/>
      <w:r w:rsidRPr="00571974">
        <w:rPr>
          <w:lang w:val="en-GB"/>
        </w:rPr>
        <w:t xml:space="preserve">interests in two major copper operations: a 50.1% interest in the Los Bronces mine, which we manage and operate, and a 44% </w:t>
      </w:r>
      <w:r w:rsidR="003F134F" w:rsidRPr="00571974">
        <w:rPr>
          <w:lang w:val="en-GB"/>
        </w:rPr>
        <w:t xml:space="preserve">interest in the independently managed </w:t>
      </w:r>
      <w:r w:rsidRPr="00571974">
        <w:rPr>
          <w:lang w:val="en-GB"/>
        </w:rPr>
        <w:t xml:space="preserve">Collahuasi </w:t>
      </w:r>
      <w:r w:rsidR="003F134F" w:rsidRPr="00571974">
        <w:rPr>
          <w:lang w:val="en-GB"/>
        </w:rPr>
        <w:t>joint venture</w:t>
      </w:r>
      <w:r w:rsidRPr="00571974">
        <w:rPr>
          <w:lang w:val="en-GB"/>
        </w:rPr>
        <w:t>; we also manage and operate the El Soldado mine and Chagres smelter (</w:t>
      </w:r>
      <w:r w:rsidR="003C505A">
        <w:rPr>
          <w:lang w:val="en-GB"/>
        </w:rPr>
        <w:t xml:space="preserve">we have a </w:t>
      </w:r>
      <w:r w:rsidRPr="00571974">
        <w:rPr>
          <w:lang w:val="en-GB"/>
        </w:rPr>
        <w:t>50.1% interest in both).</w:t>
      </w:r>
    </w:p>
    <w:p w14:paraId="4CEED37F" w14:textId="0618672E" w:rsidR="005E749C" w:rsidRPr="00571974" w:rsidRDefault="003D4D89" w:rsidP="00763C98">
      <w:pPr>
        <w:pStyle w:val="BodyText"/>
        <w:widowControl/>
        <w:autoSpaceDE/>
        <w:autoSpaceDN/>
        <w:adjustRightInd/>
        <w:ind w:firstLine="360"/>
        <w:rPr>
          <w:lang w:val="en-GB"/>
        </w:rPr>
      </w:pPr>
      <w:r w:rsidRPr="00571974">
        <w:rPr>
          <w:lang w:val="en-GB"/>
        </w:rPr>
        <w:t xml:space="preserve">In Peru, the Group </w:t>
      </w:r>
      <w:r w:rsidR="003F134F" w:rsidRPr="00571974">
        <w:rPr>
          <w:lang w:val="en-GB"/>
        </w:rPr>
        <w:t xml:space="preserve">has </w:t>
      </w:r>
      <w:r w:rsidRPr="00571974">
        <w:rPr>
          <w:lang w:val="en-GB"/>
        </w:rPr>
        <w:t>a 60% interest in the Quellaveco project</w:t>
      </w:r>
      <w:r w:rsidR="00FC0823">
        <w:rPr>
          <w:lang w:val="en-GB"/>
        </w:rPr>
        <w:t>, which was</w:t>
      </w:r>
      <w:r w:rsidRPr="00571974">
        <w:rPr>
          <w:lang w:val="en-GB"/>
        </w:rPr>
        <w:t xml:space="preserve"> approved for development in mid-2018.</w:t>
      </w:r>
      <w:r w:rsidR="000C6F80" w:rsidRPr="00571974">
        <w:rPr>
          <w:lang w:val="en-GB"/>
        </w:rPr>
        <w:t xml:space="preserve"> </w:t>
      </w:r>
      <w:r w:rsidR="000E3B11" w:rsidRPr="00571974">
        <w:rPr>
          <w:lang w:val="en-GB"/>
        </w:rPr>
        <w:t xml:space="preserve">In Finland we own </w:t>
      </w:r>
      <w:r w:rsidRPr="00571974">
        <w:rPr>
          <w:lang w:val="en-GB"/>
        </w:rPr>
        <w:t>the polymetallic Sakatti deposit.</w:t>
      </w:r>
    </w:p>
    <w:bookmarkEnd w:id="18"/>
    <w:p w14:paraId="01348349" w14:textId="4443E775" w:rsidR="00542FF4" w:rsidRPr="00571974" w:rsidRDefault="00542FF4" w:rsidP="00EA3F32">
      <w:pPr>
        <w:pStyle w:val="Heading4"/>
      </w:pPr>
      <w:r w:rsidRPr="00571974">
        <w:t>Platinum</w:t>
      </w:r>
    </w:p>
    <w:p w14:paraId="569D3A52" w14:textId="7BC80103" w:rsidR="00542FF4" w:rsidRPr="00571974" w:rsidRDefault="003D4D89" w:rsidP="00763C98">
      <w:pPr>
        <w:pStyle w:val="BodyText"/>
        <w:widowControl/>
        <w:autoSpaceDE/>
        <w:autoSpaceDN/>
        <w:adjustRightInd/>
        <w:ind w:firstLine="360"/>
        <w:rPr>
          <w:lang w:val="en-GB"/>
        </w:rPr>
      </w:pPr>
      <w:bookmarkStart w:id="19" w:name="_Hlk32223301"/>
      <w:r w:rsidRPr="00571974">
        <w:rPr>
          <w:lang w:val="en-GB"/>
        </w:rPr>
        <w:t xml:space="preserve">Our Platinum Group Metals (PGMs) business (held through an effective </w:t>
      </w:r>
      <w:r w:rsidR="00F0063A">
        <w:rPr>
          <w:lang w:val="en-GB"/>
        </w:rPr>
        <w:t>79.4</w:t>
      </w:r>
      <w:r w:rsidRPr="00571974">
        <w:rPr>
          <w:lang w:val="en-GB"/>
        </w:rPr>
        <w:t>% interest in Anglo American Platinum</w:t>
      </w:r>
      <w:r w:rsidR="00323073">
        <w:rPr>
          <w:lang w:val="en-GB"/>
        </w:rPr>
        <w:t>)</w:t>
      </w:r>
      <w:r w:rsidRPr="00571974">
        <w:rPr>
          <w:lang w:val="en-GB"/>
        </w:rPr>
        <w:t xml:space="preserve"> is a leading producer of platinum, palladium and other PGMs. It mines, processes and refines the platinum basket of metals from its high quality resource base, located in one of the</w:t>
      </w:r>
      <w:r w:rsidR="003F134F" w:rsidRPr="00571974">
        <w:rPr>
          <w:lang w:val="en-GB"/>
        </w:rPr>
        <w:t xml:space="preserve"> world</w:t>
      </w:r>
      <w:r w:rsidR="00A311D8">
        <w:rPr>
          <w:lang w:val="en-GB"/>
        </w:rPr>
        <w:t>’</w:t>
      </w:r>
      <w:r w:rsidR="003F134F" w:rsidRPr="00571974">
        <w:rPr>
          <w:lang w:val="en-GB"/>
        </w:rPr>
        <w:t xml:space="preserve">s </w:t>
      </w:r>
      <w:r w:rsidRPr="00571974">
        <w:rPr>
          <w:lang w:val="en-GB"/>
        </w:rPr>
        <w:t xml:space="preserve">biggest PGM deposits – the Bushveld Complex in South Africa. It also has a significant stake in </w:t>
      </w:r>
      <w:r w:rsidR="00763C98" w:rsidRPr="00571974">
        <w:rPr>
          <w:lang w:val="en-GB"/>
        </w:rPr>
        <w:t xml:space="preserve">the </w:t>
      </w:r>
      <w:r w:rsidRPr="00571974">
        <w:rPr>
          <w:lang w:val="en-GB"/>
        </w:rPr>
        <w:t xml:space="preserve">Unki </w:t>
      </w:r>
      <w:r w:rsidR="00763C98" w:rsidRPr="00571974">
        <w:rPr>
          <w:lang w:val="en-GB"/>
        </w:rPr>
        <w:t>mine</w:t>
      </w:r>
      <w:r w:rsidR="00D32436">
        <w:rPr>
          <w:lang w:val="en-GB"/>
        </w:rPr>
        <w:t xml:space="preserve"> </w:t>
      </w:r>
      <w:r w:rsidR="00D32436" w:rsidRPr="00571974">
        <w:rPr>
          <w:lang w:val="en-GB"/>
        </w:rPr>
        <w:t>on the Great Dyke in Zimbabwe</w:t>
      </w:r>
      <w:r w:rsidR="00763C98" w:rsidRPr="00571974">
        <w:rPr>
          <w:lang w:val="en-GB"/>
        </w:rPr>
        <w:t xml:space="preserve"> </w:t>
      </w:r>
      <w:r w:rsidRPr="00571974">
        <w:rPr>
          <w:lang w:val="en-GB"/>
        </w:rPr>
        <w:t>– one of the world</w:t>
      </w:r>
      <w:r w:rsidR="00A311D8">
        <w:rPr>
          <w:lang w:val="en-GB"/>
        </w:rPr>
        <w:t>’</w:t>
      </w:r>
      <w:r w:rsidRPr="00571974">
        <w:rPr>
          <w:lang w:val="en-GB"/>
        </w:rPr>
        <w:t>s largest PGM deposits outside of South Africa</w:t>
      </w:r>
      <w:r w:rsidR="00D32436">
        <w:rPr>
          <w:lang w:val="en-GB"/>
        </w:rPr>
        <w:t>.</w:t>
      </w:r>
      <w:r w:rsidRPr="00571974">
        <w:rPr>
          <w:lang w:val="en-GB"/>
        </w:rPr>
        <w:t xml:space="preserve"> </w:t>
      </w:r>
    </w:p>
    <w:bookmarkEnd w:id="19"/>
    <w:p w14:paraId="68D33B79" w14:textId="77777777" w:rsidR="00542FF4" w:rsidRPr="00571974" w:rsidRDefault="003D4D89" w:rsidP="00EA3F32">
      <w:pPr>
        <w:pStyle w:val="Heading4"/>
      </w:pPr>
      <w:r w:rsidRPr="00571974">
        <w:t>Iron Ore</w:t>
      </w:r>
    </w:p>
    <w:p w14:paraId="0A9D748A" w14:textId="2EB158E6" w:rsidR="00860290" w:rsidRPr="00571974" w:rsidRDefault="00D32436" w:rsidP="00E64C25">
      <w:pPr>
        <w:pStyle w:val="BodyText"/>
        <w:widowControl/>
        <w:autoSpaceDE/>
        <w:autoSpaceDN/>
        <w:adjustRightInd/>
        <w:ind w:firstLine="360"/>
        <w:rPr>
          <w:lang w:val="en-GB"/>
        </w:rPr>
      </w:pPr>
      <w:bookmarkStart w:id="20" w:name="_Hlk32223373"/>
      <w:r>
        <w:rPr>
          <w:lang w:val="en-GB"/>
        </w:rPr>
        <w:t>The Group</w:t>
      </w:r>
      <w:r w:rsidR="00A311D8">
        <w:rPr>
          <w:lang w:val="en-GB"/>
        </w:rPr>
        <w:t>’</w:t>
      </w:r>
      <w:r>
        <w:rPr>
          <w:lang w:val="en-GB"/>
        </w:rPr>
        <w:t>s</w:t>
      </w:r>
      <w:r w:rsidR="00FE46A0" w:rsidRPr="00571974">
        <w:rPr>
          <w:lang w:val="en-GB"/>
        </w:rPr>
        <w:t xml:space="preserve"> iron ore operations provide customers with high iron content ore, a large percentage of which is direct-charge product for steelmaking blast furnaces. In South Africa, we have a 69.7% </w:t>
      </w:r>
      <w:r w:rsidR="00F70295" w:rsidRPr="00571974">
        <w:rPr>
          <w:lang w:val="en-GB"/>
        </w:rPr>
        <w:t xml:space="preserve">interest </w:t>
      </w:r>
      <w:r w:rsidR="00FE46A0" w:rsidRPr="00571974">
        <w:rPr>
          <w:lang w:val="en-GB"/>
        </w:rPr>
        <w:t xml:space="preserve">in Kumba Iron Ore, </w:t>
      </w:r>
      <w:r w:rsidR="00C66867">
        <w:rPr>
          <w:lang w:val="en-GB"/>
        </w:rPr>
        <w:t>whose</w:t>
      </w:r>
      <w:r w:rsidR="00763C98" w:rsidRPr="00571974">
        <w:rPr>
          <w:lang w:val="en-GB"/>
        </w:rPr>
        <w:t xml:space="preserve"> </w:t>
      </w:r>
      <w:r w:rsidR="00FE46A0" w:rsidRPr="00571974">
        <w:rPr>
          <w:lang w:val="en-GB"/>
        </w:rPr>
        <w:t xml:space="preserve">Sishen and Kolomela mines produce high-grade and </w:t>
      </w:r>
      <w:r w:rsidR="00C66867">
        <w:rPr>
          <w:lang w:val="en-GB"/>
        </w:rPr>
        <w:t>high</w:t>
      </w:r>
      <w:r w:rsidR="00FE46A0" w:rsidRPr="00571974">
        <w:rPr>
          <w:lang w:val="en-GB"/>
        </w:rPr>
        <w:t xml:space="preserve">-quality lump ore and also a premium fine ore. In Brazil, we have developed the integrated Minas-Rio operation (100% ownership), consisting of an open pit mine and beneficiation plant, which produces a high grade pellet feed product, with low levels of contaminants. The iron ore is then transported through a 529-kilometre pipeline to the iron ore handling and shipping facilities at the port of Açu, in which Anglo American has a 50% </w:t>
      </w:r>
      <w:r w:rsidR="00F70295" w:rsidRPr="00571974">
        <w:rPr>
          <w:lang w:val="en-GB"/>
        </w:rPr>
        <w:t>interest</w:t>
      </w:r>
      <w:r w:rsidR="00FE46A0" w:rsidRPr="00571974">
        <w:rPr>
          <w:lang w:val="en-GB"/>
        </w:rPr>
        <w:t>.</w:t>
      </w:r>
      <w:bookmarkEnd w:id="20"/>
    </w:p>
    <w:p w14:paraId="558C94F8" w14:textId="699DAED3" w:rsidR="00542FF4" w:rsidRPr="00571974" w:rsidRDefault="00542FF4" w:rsidP="00EA3F32">
      <w:pPr>
        <w:pStyle w:val="Heading4"/>
      </w:pPr>
      <w:r w:rsidRPr="00571974">
        <w:t>Coal</w:t>
      </w:r>
    </w:p>
    <w:p w14:paraId="0D3BC8D6" w14:textId="77777777" w:rsidR="00FE46A0" w:rsidRPr="00571974" w:rsidRDefault="003D4D89" w:rsidP="00763C98">
      <w:pPr>
        <w:pStyle w:val="BodyText"/>
        <w:widowControl/>
        <w:autoSpaceDE/>
        <w:autoSpaceDN/>
        <w:adjustRightInd/>
        <w:ind w:firstLine="360"/>
        <w:rPr>
          <w:rFonts w:ascii="HelveticaNeueLTStd-Lt" w:hAnsi="HelveticaNeueLTStd-Lt" w:cs="HelveticaNeueLTStd-Lt"/>
          <w:sz w:val="16"/>
          <w:szCs w:val="16"/>
          <w:lang w:val="en-GB"/>
        </w:rPr>
      </w:pPr>
      <w:bookmarkStart w:id="21" w:name="_Hlk32223542"/>
      <w:r w:rsidRPr="008151C7">
        <w:rPr>
          <w:i/>
          <w:lang w:val="en-GB"/>
        </w:rPr>
        <w:t>Metallurgical</w:t>
      </w:r>
      <w:r w:rsidRPr="00EA3F32">
        <w:rPr>
          <w:i/>
          <w:lang w:val="en-GB"/>
        </w:rPr>
        <w:t xml:space="preserve"> Coal</w:t>
      </w:r>
      <w:r w:rsidR="00542FF4" w:rsidRPr="00571974">
        <w:rPr>
          <w:bCs/>
          <w:i/>
          <w:iCs/>
          <w:lang w:val="en-GB"/>
        </w:rPr>
        <w:t xml:space="preserve">: </w:t>
      </w:r>
    </w:p>
    <w:p w14:paraId="49946BF2" w14:textId="2DCA427A" w:rsidR="00542FF4" w:rsidRPr="00571974" w:rsidRDefault="003D4D89" w:rsidP="00DC2A04">
      <w:pPr>
        <w:pStyle w:val="BodyText"/>
        <w:widowControl/>
        <w:autoSpaceDE/>
        <w:autoSpaceDN/>
        <w:adjustRightInd/>
        <w:ind w:firstLine="360"/>
        <w:rPr>
          <w:lang w:val="en-GB"/>
        </w:rPr>
      </w:pPr>
      <w:r w:rsidRPr="00571974">
        <w:rPr>
          <w:lang w:val="en-GB"/>
        </w:rPr>
        <w:t>Our coal assets include the Moranbah North (88% ownership) and Grosvenor (100% ownership at December</w:t>
      </w:r>
      <w:r w:rsidR="00EA3F32">
        <w:rPr>
          <w:lang w:val="en-GB"/>
        </w:rPr>
        <w:t xml:space="preserve"> 31,</w:t>
      </w:r>
      <w:r w:rsidRPr="00571974">
        <w:rPr>
          <w:lang w:val="en-GB"/>
        </w:rPr>
        <w:t xml:space="preserve"> 2019</w:t>
      </w:r>
      <w:r w:rsidR="00C66867">
        <w:rPr>
          <w:lang w:val="en-GB"/>
        </w:rPr>
        <w:t>; s</w:t>
      </w:r>
      <w:r w:rsidR="00671E87">
        <w:rPr>
          <w:lang w:val="en-GB"/>
        </w:rPr>
        <w:t>ee</w:t>
      </w:r>
      <w:r w:rsidR="00C66867">
        <w:rPr>
          <w:lang w:val="en-GB"/>
        </w:rPr>
        <w:t xml:space="preserve"> </w:t>
      </w:r>
      <w:r w:rsidR="00A311D8">
        <w:rPr>
          <w:lang w:val="en-GB"/>
        </w:rPr>
        <w:t>“</w:t>
      </w:r>
      <w:r w:rsidR="00DC2A04">
        <w:rPr>
          <w:lang w:val="en-GB"/>
        </w:rPr>
        <w:t>—</w:t>
      </w:r>
      <w:r w:rsidR="00C66867">
        <w:rPr>
          <w:lang w:val="en-GB"/>
        </w:rPr>
        <w:t>Key Strategic Growth Projects</w:t>
      </w:r>
      <w:r w:rsidR="00DC2A04">
        <w:rPr>
          <w:lang w:val="en-GB"/>
        </w:rPr>
        <w:t>—</w:t>
      </w:r>
      <w:r w:rsidR="00C66867">
        <w:rPr>
          <w:lang w:val="en-GB"/>
        </w:rPr>
        <w:t>Portfolio update</w:t>
      </w:r>
      <w:r w:rsidR="00A311D8">
        <w:rPr>
          <w:lang w:val="en-GB"/>
        </w:rPr>
        <w:t>”</w:t>
      </w:r>
      <w:r w:rsidRPr="00571974">
        <w:rPr>
          <w:lang w:val="en-GB"/>
        </w:rPr>
        <w:t>) metallurgical coal mines, both located in Queensland.</w:t>
      </w:r>
      <w:r w:rsidR="00571974">
        <w:rPr>
          <w:lang w:val="en-GB"/>
        </w:rPr>
        <w:t xml:space="preserve"> </w:t>
      </w:r>
      <w:r w:rsidR="00A20F92" w:rsidRPr="00571974">
        <w:rPr>
          <w:lang w:val="en-GB"/>
        </w:rPr>
        <w:t>We are the world</w:t>
      </w:r>
      <w:r w:rsidR="00A311D8">
        <w:rPr>
          <w:lang w:val="en-GB"/>
        </w:rPr>
        <w:t>’</w:t>
      </w:r>
      <w:r w:rsidR="00A20F92" w:rsidRPr="00571974">
        <w:rPr>
          <w:lang w:val="en-GB"/>
        </w:rPr>
        <w:t>s third largest exporter of metallurgical coal</w:t>
      </w:r>
      <w:r w:rsidR="000E42CE" w:rsidRPr="00571974">
        <w:rPr>
          <w:lang w:val="en-GB"/>
        </w:rPr>
        <w:t xml:space="preserve">, according to </w:t>
      </w:r>
      <w:r w:rsidR="0009201B">
        <w:rPr>
          <w:lang w:val="en-GB"/>
        </w:rPr>
        <w:t>CRU</w:t>
      </w:r>
      <w:r w:rsidR="000E42CE" w:rsidRPr="00571974">
        <w:rPr>
          <w:lang w:val="en-GB"/>
        </w:rPr>
        <w:t>,</w:t>
      </w:r>
      <w:r w:rsidR="00A20F92" w:rsidRPr="00571974">
        <w:rPr>
          <w:lang w:val="en-GB"/>
        </w:rPr>
        <w:t xml:space="preserve"> and our coal operations in Australia serve customers throughout Asia and the Indian subcontinent, Europe and South America.</w:t>
      </w:r>
    </w:p>
    <w:p w14:paraId="5DFDF136" w14:textId="77777777" w:rsidR="00FE46A0" w:rsidRPr="00571974" w:rsidRDefault="003D4D89" w:rsidP="00763C98">
      <w:pPr>
        <w:pStyle w:val="BodyText"/>
        <w:widowControl/>
        <w:autoSpaceDE/>
        <w:autoSpaceDN/>
        <w:adjustRightInd/>
        <w:ind w:firstLine="360"/>
        <w:rPr>
          <w:rFonts w:ascii="HelveticaNeueLTStd-Lt" w:hAnsi="HelveticaNeueLTStd-Lt" w:cs="HelveticaNeueLTStd-Lt"/>
          <w:sz w:val="16"/>
          <w:szCs w:val="16"/>
          <w:lang w:val="en-GB"/>
        </w:rPr>
      </w:pPr>
      <w:r w:rsidRPr="00571974">
        <w:rPr>
          <w:i/>
          <w:lang w:val="en-GB"/>
        </w:rPr>
        <w:t xml:space="preserve">Coal South Africa and </w:t>
      </w:r>
      <w:r w:rsidR="003742BE" w:rsidRPr="00571974">
        <w:rPr>
          <w:i/>
          <w:lang w:val="en-GB"/>
        </w:rPr>
        <w:t>Cerrejón</w:t>
      </w:r>
      <w:r w:rsidRPr="00571974">
        <w:rPr>
          <w:i/>
          <w:lang w:val="en-GB"/>
        </w:rPr>
        <w:t>:</w:t>
      </w:r>
      <w:r w:rsidRPr="00571974">
        <w:rPr>
          <w:lang w:val="en-GB"/>
        </w:rPr>
        <w:t xml:space="preserve"> </w:t>
      </w:r>
    </w:p>
    <w:p w14:paraId="721B9DB3" w14:textId="5F0CF560" w:rsidR="004F5E4E" w:rsidRPr="00571974" w:rsidRDefault="003D4D89" w:rsidP="00763C98">
      <w:pPr>
        <w:pStyle w:val="BodyText"/>
        <w:widowControl/>
        <w:autoSpaceDE/>
        <w:autoSpaceDN/>
        <w:adjustRightInd/>
        <w:ind w:firstLine="360"/>
        <w:rPr>
          <w:lang w:val="en-GB"/>
        </w:rPr>
      </w:pPr>
      <w:r w:rsidRPr="00571974">
        <w:rPr>
          <w:lang w:val="en-GB"/>
        </w:rPr>
        <w:t>Coal South Africa</w:t>
      </w:r>
      <w:r w:rsidR="00A311D8">
        <w:rPr>
          <w:lang w:val="en-GB"/>
        </w:rPr>
        <w:t>’</w:t>
      </w:r>
      <w:r w:rsidRPr="00571974">
        <w:rPr>
          <w:lang w:val="en-GB"/>
        </w:rPr>
        <w:t xml:space="preserve">s export product is derived from three wholly-owned and </w:t>
      </w:r>
      <w:r w:rsidR="00C66867">
        <w:rPr>
          <w:lang w:val="en-GB"/>
        </w:rPr>
        <w:t>wholly</w:t>
      </w:r>
      <w:r w:rsidRPr="00571974">
        <w:rPr>
          <w:lang w:val="en-GB"/>
        </w:rPr>
        <w:t>-operated mines – Goedehoop, Greenside and Khwezela</w:t>
      </w:r>
      <w:r w:rsidR="00C23CE5" w:rsidRPr="00571974">
        <w:rPr>
          <w:lang w:val="en-GB"/>
        </w:rPr>
        <w:t xml:space="preserve">, as well as the 73% owned mine Zibulo. We also have product </w:t>
      </w:r>
      <w:r w:rsidRPr="00571974">
        <w:rPr>
          <w:lang w:val="en-GB"/>
        </w:rPr>
        <w:t>from Mafube colliery, a 50:50 joint operation.</w:t>
      </w:r>
      <w:r w:rsidR="00D32436">
        <w:rPr>
          <w:lang w:val="en-GB"/>
        </w:rPr>
        <w:t xml:space="preserve"> Our Isibonelo mine is engaged in the production of thermal coal for Sasol Synthetic </w:t>
      </w:r>
      <w:r w:rsidR="00BC3B05">
        <w:rPr>
          <w:lang w:val="en-GB"/>
        </w:rPr>
        <w:t>F</w:t>
      </w:r>
      <w:r w:rsidR="00D32436">
        <w:rPr>
          <w:lang w:val="en-GB"/>
        </w:rPr>
        <w:t>uels.</w:t>
      </w:r>
      <w:r w:rsidRPr="00571974">
        <w:rPr>
          <w:lang w:val="en-GB"/>
        </w:rPr>
        <w:t xml:space="preserve"> Our operations route all export coal through the Richards Bay Coal Terminal, in which we hold a 23.2% stake. We also retain an effective 37% interest in the double-stage Phola Coal Processing Plant, a 50:50 joint operation with South32.</w:t>
      </w:r>
      <w:r w:rsidR="001A3331" w:rsidRPr="00571974">
        <w:rPr>
          <w:lang w:val="en-GB"/>
        </w:rPr>
        <w:t xml:space="preserve"> </w:t>
      </w:r>
      <w:r w:rsidRPr="00571974">
        <w:rPr>
          <w:lang w:val="en-GB"/>
        </w:rPr>
        <w:t xml:space="preserve">In Colombia, Anglo American, BHP and Glencore each have a one-third shareholding in Cerrejón, </w:t>
      </w:r>
      <w:r w:rsidR="00C23CE5" w:rsidRPr="00571974">
        <w:rPr>
          <w:lang w:val="en-GB"/>
        </w:rPr>
        <w:t xml:space="preserve">an independently managed joint venture and </w:t>
      </w:r>
      <w:r w:rsidRPr="00571974">
        <w:rPr>
          <w:lang w:val="en-GB"/>
        </w:rPr>
        <w:t>one of the country</w:t>
      </w:r>
      <w:r w:rsidR="00A311D8">
        <w:rPr>
          <w:lang w:val="en-GB"/>
        </w:rPr>
        <w:t>’</w:t>
      </w:r>
      <w:r w:rsidRPr="00571974">
        <w:rPr>
          <w:lang w:val="en-GB"/>
        </w:rPr>
        <w:t>s largest thermal coal exporter</w:t>
      </w:r>
      <w:r w:rsidR="00C66867">
        <w:rPr>
          <w:lang w:val="en-GB"/>
        </w:rPr>
        <w:t>s</w:t>
      </w:r>
      <w:r w:rsidRPr="00571974">
        <w:rPr>
          <w:lang w:val="en-GB"/>
        </w:rPr>
        <w:t>.</w:t>
      </w:r>
    </w:p>
    <w:bookmarkEnd w:id="21"/>
    <w:p w14:paraId="287DCA40" w14:textId="77777777" w:rsidR="007730E2" w:rsidRPr="00571974" w:rsidRDefault="003D4D89" w:rsidP="00EA3F32">
      <w:pPr>
        <w:pStyle w:val="Heading4"/>
      </w:pPr>
      <w:r w:rsidRPr="00571974">
        <w:t>Nickel</w:t>
      </w:r>
      <w:r w:rsidR="002A03EB" w:rsidRPr="00571974">
        <w:t xml:space="preserve"> and Manganese</w:t>
      </w:r>
    </w:p>
    <w:p w14:paraId="7CC4B437" w14:textId="00D5EDDE" w:rsidR="002A03EB" w:rsidRPr="00571974" w:rsidRDefault="002A03EB" w:rsidP="00C66867">
      <w:pPr>
        <w:pStyle w:val="BodyText"/>
        <w:widowControl/>
        <w:autoSpaceDE/>
        <w:autoSpaceDN/>
        <w:adjustRightInd/>
        <w:ind w:firstLine="360"/>
        <w:rPr>
          <w:lang w:val="en-GB"/>
        </w:rPr>
      </w:pPr>
      <w:bookmarkStart w:id="22" w:name="_Hlk32223680"/>
      <w:r w:rsidRPr="00571974">
        <w:rPr>
          <w:i/>
          <w:lang w:val="en-GB"/>
        </w:rPr>
        <w:t>Nickel:</w:t>
      </w:r>
      <w:r w:rsidRPr="00571974">
        <w:rPr>
          <w:lang w:val="en-GB"/>
        </w:rPr>
        <w:t xml:space="preserve"> </w:t>
      </w:r>
      <w:r w:rsidR="00FE46A0" w:rsidRPr="00571974">
        <w:rPr>
          <w:lang w:val="en-GB"/>
        </w:rPr>
        <w:t xml:space="preserve">Our Nickel business has capacity to produce around 45,000 tonnes per year of nickel, </w:t>
      </w:r>
      <w:r w:rsidR="00C66867">
        <w:rPr>
          <w:lang w:val="en-GB"/>
        </w:rPr>
        <w:t>the</w:t>
      </w:r>
      <w:r w:rsidR="00FE46A0" w:rsidRPr="00571974">
        <w:rPr>
          <w:lang w:val="en-GB"/>
        </w:rPr>
        <w:t xml:space="preserve"> primary end use</w:t>
      </w:r>
      <w:r w:rsidR="00C66867">
        <w:rPr>
          <w:lang w:val="en-GB"/>
        </w:rPr>
        <w:t xml:space="preserve"> of which</w:t>
      </w:r>
      <w:r w:rsidR="00FE46A0" w:rsidRPr="00571974">
        <w:rPr>
          <w:lang w:val="en-GB"/>
        </w:rPr>
        <w:t xml:space="preserve"> is in the global stainless steel industry. Our assets (both 100% owned) are in Brazil, with two ferronickel production sites: Barro Alto and Codemin.</w:t>
      </w:r>
      <w:r w:rsidRPr="00571974">
        <w:rPr>
          <w:i/>
          <w:lang w:val="en-GB"/>
        </w:rPr>
        <w:t xml:space="preserve"> </w:t>
      </w:r>
    </w:p>
    <w:p w14:paraId="2142A050" w14:textId="77777777" w:rsidR="007730E2" w:rsidRPr="00571974" w:rsidRDefault="003D4D89" w:rsidP="00C66867">
      <w:pPr>
        <w:pStyle w:val="BodyText"/>
        <w:widowControl/>
        <w:autoSpaceDE/>
        <w:autoSpaceDN/>
        <w:adjustRightInd/>
        <w:ind w:firstLine="360"/>
        <w:rPr>
          <w:lang w:val="en-GB"/>
        </w:rPr>
      </w:pPr>
      <w:r w:rsidRPr="00571974">
        <w:rPr>
          <w:i/>
          <w:lang w:val="en-GB"/>
        </w:rPr>
        <w:t>Manganese:</w:t>
      </w:r>
      <w:r w:rsidRPr="00571974">
        <w:rPr>
          <w:lang w:val="en-GB"/>
        </w:rPr>
        <w:t xml:space="preserve"> </w:t>
      </w:r>
      <w:r w:rsidR="00FE46A0" w:rsidRPr="00571974">
        <w:rPr>
          <w:lang w:val="en-GB"/>
        </w:rPr>
        <w:t xml:space="preserve">We have a 40% </w:t>
      </w:r>
      <w:r w:rsidR="00C23CE5" w:rsidRPr="00571974">
        <w:rPr>
          <w:lang w:val="en-GB"/>
        </w:rPr>
        <w:t xml:space="preserve">interest </w:t>
      </w:r>
      <w:r w:rsidR="00FE46A0" w:rsidRPr="00571974">
        <w:rPr>
          <w:lang w:val="en-GB"/>
        </w:rPr>
        <w:t>in Samancor (managed by South32, which holds 60%), with operations based in South Africa and Australia.</w:t>
      </w:r>
    </w:p>
    <w:bookmarkEnd w:id="22"/>
    <w:p w14:paraId="140CDA22" w14:textId="77777777" w:rsidR="00542FF4" w:rsidRPr="00571974" w:rsidRDefault="003D4D89" w:rsidP="00EA3F32">
      <w:pPr>
        <w:pStyle w:val="Heading4"/>
      </w:pPr>
      <w:r w:rsidRPr="00571974">
        <w:lastRenderedPageBreak/>
        <w:t>Corporate and Other</w:t>
      </w:r>
    </w:p>
    <w:p w14:paraId="4C18FF40" w14:textId="77777777" w:rsidR="00542FF4" w:rsidRPr="00571974" w:rsidRDefault="003D4D89" w:rsidP="00542FF4">
      <w:pPr>
        <w:pStyle w:val="BodyText"/>
        <w:widowControl/>
        <w:autoSpaceDE/>
        <w:autoSpaceDN/>
        <w:adjustRightInd/>
        <w:ind w:firstLine="360"/>
        <w:rPr>
          <w:lang w:val="en-GB"/>
        </w:rPr>
      </w:pPr>
      <w:r w:rsidRPr="00571974">
        <w:rPr>
          <w:lang w:val="en-GB"/>
        </w:rPr>
        <w:t>This business segment includes the non-core businesses previously reported under Other Mining and Industr</w:t>
      </w:r>
      <w:r w:rsidR="00751F69" w:rsidRPr="00571974">
        <w:rPr>
          <w:lang w:val="en-GB"/>
        </w:rPr>
        <w:t>i</w:t>
      </w:r>
      <w:r w:rsidRPr="00571974">
        <w:rPr>
          <w:lang w:val="en-GB"/>
        </w:rPr>
        <w:t>al</w:t>
      </w:r>
      <w:r w:rsidR="00FF217E" w:rsidRPr="00571974">
        <w:rPr>
          <w:lang w:val="en-GB"/>
        </w:rPr>
        <w:t>.</w:t>
      </w:r>
    </w:p>
    <w:p w14:paraId="76051D3A" w14:textId="08BF831C" w:rsidR="00643003" w:rsidRPr="00571974" w:rsidRDefault="00643003" w:rsidP="007B1404">
      <w:pPr>
        <w:pStyle w:val="Heading3"/>
        <w:rPr>
          <w:i/>
          <w:lang w:val="en-GB"/>
        </w:rPr>
      </w:pPr>
      <w:r w:rsidRPr="00571974">
        <w:rPr>
          <w:lang w:val="en-GB"/>
        </w:rPr>
        <w:t>Strategy</w:t>
      </w:r>
    </w:p>
    <w:p w14:paraId="3D3F3840" w14:textId="349AAC8B" w:rsidR="00643003" w:rsidRPr="00571974" w:rsidRDefault="003D4D89" w:rsidP="00763C98">
      <w:pPr>
        <w:pStyle w:val="BodyText"/>
        <w:widowControl/>
        <w:autoSpaceDE/>
        <w:autoSpaceDN/>
        <w:adjustRightInd/>
        <w:ind w:firstLine="360"/>
        <w:rPr>
          <w:lang w:val="en-GB"/>
        </w:rPr>
      </w:pPr>
      <w:r w:rsidRPr="00571974">
        <w:rPr>
          <w:lang w:val="en-GB"/>
        </w:rPr>
        <w:t xml:space="preserve">Our strategy is to secure, develop and operate a portfolio of high quality and long life resource assets, </w:t>
      </w:r>
      <w:r w:rsidR="00C60817" w:rsidRPr="00571974">
        <w:rPr>
          <w:lang w:val="en-GB"/>
        </w:rPr>
        <w:t xml:space="preserve">with the potential to </w:t>
      </w:r>
      <w:r w:rsidRPr="00571974">
        <w:rPr>
          <w:lang w:val="en-GB"/>
        </w:rPr>
        <w:t xml:space="preserve">deliver leading shareholder returns. We </w:t>
      </w:r>
      <w:r w:rsidR="00C60817" w:rsidRPr="00571974">
        <w:rPr>
          <w:lang w:val="en-GB"/>
        </w:rPr>
        <w:t xml:space="preserve">seek to </w:t>
      </w:r>
      <w:r w:rsidRPr="00571974">
        <w:rPr>
          <w:lang w:val="en-GB"/>
        </w:rPr>
        <w:t>achieve this through innovative practices and technologies – in the hands of our world class people – towards our common purpose of re-imagining mining to improve people</w:t>
      </w:r>
      <w:r w:rsidR="00A311D8">
        <w:rPr>
          <w:lang w:val="en-GB"/>
        </w:rPr>
        <w:t>’</w:t>
      </w:r>
      <w:r w:rsidRPr="00571974">
        <w:rPr>
          <w:lang w:val="en-GB"/>
        </w:rPr>
        <w:t>s lives.</w:t>
      </w:r>
    </w:p>
    <w:p w14:paraId="3D5DC498" w14:textId="77777777" w:rsidR="00643003" w:rsidRPr="00571974" w:rsidRDefault="003D4D89" w:rsidP="00763C98">
      <w:pPr>
        <w:pStyle w:val="BodyText"/>
        <w:widowControl/>
        <w:autoSpaceDE/>
        <w:autoSpaceDN/>
        <w:adjustRightInd/>
        <w:ind w:firstLine="360"/>
        <w:rPr>
          <w:i/>
          <w:lang w:val="en-GB"/>
        </w:rPr>
      </w:pPr>
      <w:r w:rsidRPr="00571974">
        <w:rPr>
          <w:i/>
          <w:lang w:val="en-GB"/>
        </w:rPr>
        <w:t>Portfolio</w:t>
      </w:r>
    </w:p>
    <w:p w14:paraId="514BD0C9" w14:textId="77777777" w:rsidR="00860290" w:rsidRPr="00571974" w:rsidRDefault="003D4D89" w:rsidP="00763C98">
      <w:pPr>
        <w:pStyle w:val="BodyText"/>
        <w:widowControl/>
        <w:autoSpaceDE/>
        <w:autoSpaceDN/>
        <w:adjustRightInd/>
        <w:ind w:firstLine="360"/>
        <w:rPr>
          <w:lang w:val="en-GB"/>
        </w:rPr>
      </w:pPr>
      <w:r w:rsidRPr="00571974">
        <w:rPr>
          <w:lang w:val="en-GB"/>
        </w:rPr>
        <w:t>We focus on</w:t>
      </w:r>
      <w:r w:rsidR="00763C98" w:rsidRPr="00571974">
        <w:rPr>
          <w:lang w:val="en-GB"/>
        </w:rPr>
        <w:t xml:space="preserve"> </w:t>
      </w:r>
      <w:r w:rsidRPr="00571974">
        <w:rPr>
          <w:lang w:val="en-GB"/>
        </w:rPr>
        <w:t xml:space="preserve">securing and continuously improving assets that </w:t>
      </w:r>
      <w:r w:rsidR="00C60817" w:rsidRPr="00571974">
        <w:rPr>
          <w:lang w:val="en-GB"/>
        </w:rPr>
        <w:t xml:space="preserve">we believe </w:t>
      </w:r>
      <w:r w:rsidRPr="00571974">
        <w:rPr>
          <w:lang w:val="en-GB"/>
        </w:rPr>
        <w:t>offer the most attractive long-term value-creation potential,</w:t>
      </w:r>
      <w:r w:rsidR="00763C98" w:rsidRPr="00571974">
        <w:rPr>
          <w:lang w:val="en-GB"/>
        </w:rPr>
        <w:t xml:space="preserve"> </w:t>
      </w:r>
      <w:r w:rsidRPr="00571974">
        <w:rPr>
          <w:lang w:val="en-GB"/>
        </w:rPr>
        <w:t>as measured by sustainable cash flow</w:t>
      </w:r>
      <w:r w:rsidR="00763C98" w:rsidRPr="00571974">
        <w:rPr>
          <w:lang w:val="en-GB"/>
        </w:rPr>
        <w:t>s</w:t>
      </w:r>
      <w:r w:rsidRPr="00571974">
        <w:rPr>
          <w:lang w:val="en-GB"/>
        </w:rPr>
        <w:t xml:space="preserve"> and returns. </w:t>
      </w:r>
    </w:p>
    <w:p w14:paraId="6495997E" w14:textId="77777777" w:rsidR="00643003" w:rsidRPr="00571974" w:rsidRDefault="003D4D89" w:rsidP="00763C98">
      <w:pPr>
        <w:pStyle w:val="BodyText"/>
        <w:widowControl/>
        <w:autoSpaceDE/>
        <w:autoSpaceDN/>
        <w:adjustRightInd/>
        <w:ind w:firstLine="360"/>
        <w:rPr>
          <w:i/>
          <w:lang w:val="en-GB"/>
        </w:rPr>
      </w:pPr>
      <w:r w:rsidRPr="00571974">
        <w:rPr>
          <w:i/>
          <w:lang w:val="en-GB"/>
        </w:rPr>
        <w:t>Innovation</w:t>
      </w:r>
    </w:p>
    <w:p w14:paraId="5A2E54E2" w14:textId="5551DE8D" w:rsidR="00643003" w:rsidRPr="00571974" w:rsidRDefault="00642B99" w:rsidP="00763C98">
      <w:pPr>
        <w:pStyle w:val="BodyText"/>
        <w:widowControl/>
        <w:autoSpaceDE/>
        <w:autoSpaceDN/>
        <w:adjustRightInd/>
        <w:ind w:firstLine="360"/>
        <w:rPr>
          <w:lang w:val="en-GB"/>
        </w:rPr>
      </w:pPr>
      <w:r w:rsidRPr="00571974">
        <w:rPr>
          <w:lang w:val="en-GB"/>
        </w:rPr>
        <w:t xml:space="preserve">Across every aspect of our business, we </w:t>
      </w:r>
      <w:r w:rsidR="000439A7">
        <w:rPr>
          <w:lang w:val="en-GB"/>
        </w:rPr>
        <w:t>seek to</w:t>
      </w:r>
      <w:r w:rsidR="000439A7" w:rsidRPr="00571974">
        <w:rPr>
          <w:lang w:val="en-GB"/>
        </w:rPr>
        <w:t xml:space="preserve"> </w:t>
      </w:r>
      <w:r w:rsidRPr="00571974">
        <w:rPr>
          <w:lang w:val="en-GB"/>
        </w:rPr>
        <w:t>think innovatively about how we work to ensure the safety of our people, enhance our sustainability performance, and deliver industry leading margins and returns.</w:t>
      </w:r>
      <w:r w:rsidR="00763C98" w:rsidRPr="00571974">
        <w:rPr>
          <w:lang w:val="en-GB"/>
        </w:rPr>
        <w:t xml:space="preserve"> </w:t>
      </w:r>
      <w:r w:rsidR="00C60817" w:rsidRPr="00571974">
        <w:rPr>
          <w:lang w:val="en-GB"/>
        </w:rPr>
        <w:t>F</w:t>
      </w:r>
      <w:r w:rsidR="00643003" w:rsidRPr="00571974">
        <w:rPr>
          <w:lang w:val="en-GB"/>
        </w:rPr>
        <w:t xml:space="preserve">rom exploration to delivering our products to our customers, FutureSmart Mining™ is our innovation-led approach to sustainable mining. This approach, coupled with the operational improvements being delivered from our Operating Model, is fundamentally changing the way we extract, </w:t>
      </w:r>
      <w:r w:rsidR="00817D8C" w:rsidRPr="00571974">
        <w:rPr>
          <w:lang w:val="en-GB"/>
        </w:rPr>
        <w:t>process and market our products</w:t>
      </w:r>
      <w:r w:rsidR="00643003" w:rsidRPr="00571974">
        <w:rPr>
          <w:lang w:val="en-GB"/>
        </w:rPr>
        <w:t xml:space="preserve"> and will provide the next step-change in operating and financial performance.</w:t>
      </w:r>
    </w:p>
    <w:p w14:paraId="3E7B4156" w14:textId="77777777" w:rsidR="00643003" w:rsidRPr="00571974" w:rsidRDefault="003D4D89" w:rsidP="00763C98">
      <w:pPr>
        <w:pStyle w:val="BodyText"/>
        <w:widowControl/>
        <w:autoSpaceDE/>
        <w:autoSpaceDN/>
        <w:adjustRightInd/>
        <w:ind w:firstLine="360"/>
        <w:rPr>
          <w:i/>
          <w:lang w:val="en-GB"/>
        </w:rPr>
      </w:pPr>
      <w:r w:rsidRPr="00571974">
        <w:rPr>
          <w:i/>
          <w:lang w:val="en-GB"/>
        </w:rPr>
        <w:t>People</w:t>
      </w:r>
    </w:p>
    <w:p w14:paraId="198654EA" w14:textId="77777777" w:rsidR="00643003" w:rsidRPr="00571974" w:rsidRDefault="003D4D89" w:rsidP="00763C98">
      <w:pPr>
        <w:pStyle w:val="BodyText"/>
        <w:widowControl/>
        <w:autoSpaceDE/>
        <w:autoSpaceDN/>
        <w:adjustRightInd/>
        <w:ind w:firstLine="360"/>
        <w:rPr>
          <w:lang w:val="en-GB"/>
        </w:rPr>
      </w:pPr>
      <w:r w:rsidRPr="00571974">
        <w:rPr>
          <w:lang w:val="en-GB"/>
        </w:rPr>
        <w:t>Our people are critical to all that we do. The partnerships we build locally and globally are central to maintaining our regulatory and social licen</w:t>
      </w:r>
      <w:r w:rsidR="00C60817" w:rsidRPr="00571974">
        <w:rPr>
          <w:lang w:val="en-GB"/>
        </w:rPr>
        <w:t>s</w:t>
      </w:r>
      <w:r w:rsidRPr="00571974">
        <w:rPr>
          <w:lang w:val="en-GB"/>
        </w:rPr>
        <w:t xml:space="preserve">es to operate and our sustained commercial success. We create inclusive and diverse working environments that encourage and support a high performance culture and innovative thinking. Our Organisation Model </w:t>
      </w:r>
      <w:r w:rsidR="00C60817" w:rsidRPr="00571974">
        <w:rPr>
          <w:lang w:val="en-GB"/>
        </w:rPr>
        <w:t xml:space="preserve">seeks </w:t>
      </w:r>
      <w:r w:rsidR="0070515A">
        <w:rPr>
          <w:lang w:val="en-GB"/>
        </w:rPr>
        <w:t xml:space="preserve">to ensure </w:t>
      </w:r>
      <w:r w:rsidR="00C60817" w:rsidRPr="00571974">
        <w:rPr>
          <w:lang w:val="en-GB"/>
        </w:rPr>
        <w:t xml:space="preserve">that </w:t>
      </w:r>
      <w:r w:rsidRPr="00571974">
        <w:rPr>
          <w:lang w:val="en-GB"/>
        </w:rPr>
        <w:t>we have the right people in the right roles doing the right value-adding work at the right time, with clear accountabilities that minimi</w:t>
      </w:r>
      <w:r w:rsidR="00C60817" w:rsidRPr="00571974">
        <w:rPr>
          <w:lang w:val="en-GB"/>
        </w:rPr>
        <w:t>z</w:t>
      </w:r>
      <w:r w:rsidRPr="00571974">
        <w:rPr>
          <w:lang w:val="en-GB"/>
        </w:rPr>
        <w:t>e work duplication and increase capability and effectiveness.</w:t>
      </w:r>
    </w:p>
    <w:p w14:paraId="51745239" w14:textId="77777777" w:rsidR="007029EA" w:rsidRPr="00571974" w:rsidRDefault="003D4D89" w:rsidP="007B1404">
      <w:pPr>
        <w:pStyle w:val="Heading3"/>
        <w:rPr>
          <w:lang w:val="en-GB"/>
        </w:rPr>
      </w:pPr>
      <w:r w:rsidRPr="00571974">
        <w:rPr>
          <w:lang w:val="en-GB"/>
        </w:rPr>
        <w:t>Key Strategic Growth Projects</w:t>
      </w:r>
    </w:p>
    <w:p w14:paraId="76833DE7" w14:textId="77777777" w:rsidR="0079297B" w:rsidRPr="00571974" w:rsidRDefault="003D4D89" w:rsidP="007B1404">
      <w:pPr>
        <w:pStyle w:val="Heading3"/>
        <w:rPr>
          <w:lang w:val="en-GB"/>
        </w:rPr>
      </w:pPr>
      <w:r w:rsidRPr="00571974">
        <w:rPr>
          <w:lang w:val="en-GB"/>
        </w:rPr>
        <w:t>Portfolio upgrade</w:t>
      </w:r>
      <w:r w:rsidR="009B7245" w:rsidRPr="00571974">
        <w:rPr>
          <w:lang w:val="en-GB"/>
        </w:rPr>
        <w:t xml:space="preserve"> </w:t>
      </w:r>
    </w:p>
    <w:p w14:paraId="23EAC805" w14:textId="450D7FA7" w:rsidR="000A3810" w:rsidRPr="00571974" w:rsidRDefault="003D4D89" w:rsidP="00763C98">
      <w:pPr>
        <w:pStyle w:val="BodyText"/>
        <w:widowControl/>
        <w:autoSpaceDE/>
        <w:autoSpaceDN/>
        <w:adjustRightInd/>
        <w:ind w:firstLine="360"/>
        <w:rPr>
          <w:lang w:val="en-GB"/>
        </w:rPr>
      </w:pPr>
      <w:r w:rsidRPr="00571974">
        <w:rPr>
          <w:lang w:val="en-GB"/>
        </w:rPr>
        <w:t>In 2019, the Group entered into, or completed, a number of transactions, including the equali</w:t>
      </w:r>
      <w:r w:rsidR="00EA3F32">
        <w:rPr>
          <w:lang w:val="en-GB"/>
        </w:rPr>
        <w:t>z</w:t>
      </w:r>
      <w:r w:rsidRPr="00571974">
        <w:rPr>
          <w:lang w:val="en-GB"/>
        </w:rPr>
        <w:t>ation of ownership across its integrated metallurgical coal operations at Moranbah North and Grosvenor</w:t>
      </w:r>
      <w:r w:rsidR="00751056" w:rsidRPr="00571974">
        <w:rPr>
          <w:lang w:val="en-GB"/>
        </w:rPr>
        <w:t>, in Queensland, Australia,</w:t>
      </w:r>
      <w:r w:rsidRPr="00571974">
        <w:rPr>
          <w:lang w:val="en-GB"/>
        </w:rPr>
        <w:t xml:space="preserve"> through the sale of 12% in Grosvenor to the existing</w:t>
      </w:r>
      <w:r w:rsidR="00751056" w:rsidRPr="00571974">
        <w:rPr>
          <w:lang w:val="en-GB"/>
        </w:rPr>
        <w:t xml:space="preserve"> non-Anglo American</w:t>
      </w:r>
      <w:r w:rsidRPr="00571974">
        <w:rPr>
          <w:lang w:val="en-GB"/>
        </w:rPr>
        <w:t xml:space="preserve"> Moranbah North Coal joint venture</w:t>
      </w:r>
      <w:r w:rsidR="00C60817" w:rsidRPr="00571974">
        <w:rPr>
          <w:lang w:val="en-GB"/>
        </w:rPr>
        <w:t>rs</w:t>
      </w:r>
      <w:r w:rsidRPr="00571974">
        <w:rPr>
          <w:lang w:val="en-GB"/>
        </w:rPr>
        <w:t xml:space="preserve"> (transaction to complete </w:t>
      </w:r>
      <w:r w:rsidR="00C60817" w:rsidRPr="00571974">
        <w:rPr>
          <w:lang w:val="en-GB"/>
        </w:rPr>
        <w:t xml:space="preserve">during </w:t>
      </w:r>
      <w:r w:rsidRPr="00571974">
        <w:rPr>
          <w:lang w:val="en-GB"/>
        </w:rPr>
        <w:t>2020). The Grosvenor mine uses Moranbah North</w:t>
      </w:r>
      <w:r w:rsidR="00A311D8">
        <w:rPr>
          <w:lang w:val="en-GB"/>
        </w:rPr>
        <w:t>’</w:t>
      </w:r>
      <w:r w:rsidRPr="00571974">
        <w:rPr>
          <w:lang w:val="en-GB"/>
        </w:rPr>
        <w:t>s coal processing infrastructure, where numerous</w:t>
      </w:r>
      <w:r w:rsidR="00763C98" w:rsidRPr="00571974">
        <w:rPr>
          <w:lang w:val="en-GB"/>
        </w:rPr>
        <w:t xml:space="preserve"> </w:t>
      </w:r>
      <w:r w:rsidRPr="00571974">
        <w:rPr>
          <w:lang w:val="en-GB"/>
        </w:rPr>
        <w:t xml:space="preserve">debottlenecking, expansion and product blending options offer considerable cost, productivity and margin benefits for the integrated operation. </w:t>
      </w:r>
      <w:r w:rsidR="00D32436">
        <w:rPr>
          <w:lang w:val="en-GB"/>
        </w:rPr>
        <w:t>In South Africa, we</w:t>
      </w:r>
      <w:r w:rsidRPr="00571974">
        <w:rPr>
          <w:lang w:val="en-GB"/>
        </w:rPr>
        <w:t xml:space="preserve"> also completed phase 1 of a two-phased Atlatsa restructuring plan, which entailed amongst other aspects, the acquisition and the incorporation of the exploration properties adjacent to Mogalakwena mine into the Mogalakwena mining right. In Namibia, De Beers also </w:t>
      </w:r>
      <w:r w:rsidR="00590AAA">
        <w:rPr>
          <w:lang w:val="en-GB"/>
        </w:rPr>
        <w:t xml:space="preserve">announced </w:t>
      </w:r>
      <w:r w:rsidRPr="00571974">
        <w:rPr>
          <w:lang w:val="en-GB"/>
        </w:rPr>
        <w:t xml:space="preserve">the sale of Elizabeth Bay (currently on care and maintenance) to a member of the Lewcor Group. </w:t>
      </w:r>
    </w:p>
    <w:p w14:paraId="01084076" w14:textId="77777777" w:rsidR="00463D00" w:rsidRPr="00571974" w:rsidRDefault="003D4D89" w:rsidP="00763C98">
      <w:pPr>
        <w:pStyle w:val="BodyText"/>
        <w:widowControl/>
        <w:autoSpaceDE/>
        <w:autoSpaceDN/>
        <w:adjustRightInd/>
        <w:ind w:firstLine="360"/>
        <w:rPr>
          <w:i/>
          <w:lang w:val="en-GB"/>
        </w:rPr>
      </w:pPr>
      <w:r w:rsidRPr="00571974">
        <w:rPr>
          <w:i/>
          <w:lang w:val="en-GB"/>
        </w:rPr>
        <w:t>Quellaveco</w:t>
      </w:r>
    </w:p>
    <w:p w14:paraId="349D9DC6" w14:textId="19AF554E" w:rsidR="008F071C" w:rsidRDefault="003D4D89" w:rsidP="00763C98">
      <w:pPr>
        <w:pStyle w:val="BodyText"/>
        <w:widowControl/>
        <w:autoSpaceDE/>
        <w:autoSpaceDN/>
        <w:adjustRightInd/>
        <w:ind w:firstLine="360"/>
        <w:rPr>
          <w:lang w:val="en-GB"/>
        </w:rPr>
      </w:pPr>
      <w:r w:rsidRPr="00571974">
        <w:rPr>
          <w:lang w:val="en-GB"/>
        </w:rPr>
        <w:t>Anglo American announced o</w:t>
      </w:r>
      <w:r w:rsidR="001F6D8B" w:rsidRPr="00571974">
        <w:rPr>
          <w:lang w:val="en-GB"/>
        </w:rPr>
        <w:t>n July 26, 2018</w:t>
      </w:r>
      <w:r w:rsidRPr="00571974">
        <w:rPr>
          <w:lang w:val="en-GB"/>
        </w:rPr>
        <w:t xml:space="preserve">, that its Board had </w:t>
      </w:r>
      <w:r w:rsidR="001F6D8B" w:rsidRPr="00571974">
        <w:rPr>
          <w:lang w:val="en-GB"/>
        </w:rPr>
        <w:t>approved the develo</w:t>
      </w:r>
      <w:r w:rsidR="00096FA5" w:rsidRPr="00571974">
        <w:rPr>
          <w:lang w:val="en-GB"/>
        </w:rPr>
        <w:t>pment of the</w:t>
      </w:r>
      <w:r w:rsidRPr="00571974">
        <w:rPr>
          <w:lang w:val="en-GB"/>
        </w:rPr>
        <w:t xml:space="preserve"> </w:t>
      </w:r>
      <w:r w:rsidR="00096FA5" w:rsidRPr="00571974">
        <w:rPr>
          <w:lang w:val="en-GB"/>
        </w:rPr>
        <w:t>Quellaveco copper p</w:t>
      </w:r>
      <w:r w:rsidR="001F6D8B" w:rsidRPr="00571974">
        <w:rPr>
          <w:lang w:val="en-GB"/>
        </w:rPr>
        <w:t xml:space="preserve">roject in Peru. </w:t>
      </w:r>
      <w:r w:rsidRPr="00571974">
        <w:rPr>
          <w:lang w:val="en-GB"/>
        </w:rPr>
        <w:t>This follows the com</w:t>
      </w:r>
      <w:r w:rsidR="009B7245" w:rsidRPr="00571974">
        <w:rPr>
          <w:lang w:val="en-GB"/>
        </w:rPr>
        <w:t>p</w:t>
      </w:r>
      <w:r w:rsidRPr="00571974">
        <w:rPr>
          <w:lang w:val="en-GB"/>
        </w:rPr>
        <w:t xml:space="preserve">letion of the transaction announced in June 2018, </w:t>
      </w:r>
      <w:r w:rsidR="001F6D8B" w:rsidRPr="00571974">
        <w:rPr>
          <w:lang w:val="en-GB"/>
        </w:rPr>
        <w:t>whereby Mitsubishi Corporation (</w:t>
      </w:r>
      <w:r w:rsidR="00A311D8">
        <w:rPr>
          <w:lang w:val="en-GB"/>
        </w:rPr>
        <w:t>“</w:t>
      </w:r>
      <w:r w:rsidR="001F6D8B" w:rsidRPr="00571974">
        <w:rPr>
          <w:lang w:val="en-GB"/>
        </w:rPr>
        <w:t>Mitsubishi</w:t>
      </w:r>
      <w:r w:rsidR="00A311D8">
        <w:rPr>
          <w:lang w:val="en-GB"/>
        </w:rPr>
        <w:t>”</w:t>
      </w:r>
      <w:r w:rsidR="001F6D8B" w:rsidRPr="00571974">
        <w:rPr>
          <w:lang w:val="en-GB"/>
        </w:rPr>
        <w:t>) increased its interest in Anglo American Quellaveco S.A.</w:t>
      </w:r>
      <w:r w:rsidRPr="00571974">
        <w:rPr>
          <w:lang w:val="en-GB"/>
        </w:rPr>
        <w:t xml:space="preserve"> (</w:t>
      </w:r>
      <w:r w:rsidR="00A311D8">
        <w:rPr>
          <w:lang w:val="en-GB"/>
        </w:rPr>
        <w:t>“</w:t>
      </w:r>
      <w:r w:rsidRPr="00571974">
        <w:rPr>
          <w:lang w:val="en-GB"/>
        </w:rPr>
        <w:t>AAQSA</w:t>
      </w:r>
      <w:r w:rsidR="00A311D8">
        <w:rPr>
          <w:lang w:val="en-GB"/>
        </w:rPr>
        <w:t>”</w:t>
      </w:r>
      <w:r w:rsidRPr="00571974">
        <w:rPr>
          <w:lang w:val="en-GB"/>
        </w:rPr>
        <w:t>)</w:t>
      </w:r>
      <w:r w:rsidR="001F6D8B" w:rsidRPr="00571974">
        <w:rPr>
          <w:lang w:val="en-GB"/>
        </w:rPr>
        <w:t>, which owns the Quellaveco project, to 40%</w:t>
      </w:r>
      <w:r w:rsidR="00C77A1B" w:rsidRPr="00571974">
        <w:rPr>
          <w:lang w:val="en-GB"/>
        </w:rPr>
        <w:t xml:space="preserve"> via the issuance of </w:t>
      </w:r>
      <w:r w:rsidR="008634C2">
        <w:rPr>
          <w:lang w:val="en-GB"/>
        </w:rPr>
        <w:t xml:space="preserve">new </w:t>
      </w:r>
      <w:r w:rsidR="00C77A1B" w:rsidRPr="00571974">
        <w:rPr>
          <w:lang w:val="en-GB"/>
        </w:rPr>
        <w:t>shares</w:t>
      </w:r>
      <w:r w:rsidR="001F6D8B" w:rsidRPr="00571974">
        <w:rPr>
          <w:lang w:val="en-GB"/>
        </w:rPr>
        <w:t xml:space="preserve">. </w:t>
      </w:r>
      <w:r w:rsidR="005E3FA0">
        <w:rPr>
          <w:lang w:val="en-GB"/>
        </w:rPr>
        <w:t>A</w:t>
      </w:r>
      <w:r w:rsidR="008634C2" w:rsidRPr="008634C2">
        <w:rPr>
          <w:lang w:val="en-GB"/>
        </w:rPr>
        <w:t>s at December 31, 2019</w:t>
      </w:r>
      <w:r w:rsidR="005E3FA0" w:rsidRPr="005E3FA0">
        <w:rPr>
          <w:lang w:val="en-GB"/>
        </w:rPr>
        <w:t>, project execution at Quellaveco</w:t>
      </w:r>
      <w:r w:rsidR="008634C2" w:rsidRPr="008634C2">
        <w:rPr>
          <w:lang w:val="en-GB"/>
        </w:rPr>
        <w:t xml:space="preserve"> was </w:t>
      </w:r>
      <w:r w:rsidR="00571974" w:rsidRPr="00571974">
        <w:rPr>
          <w:lang w:val="en-GB"/>
        </w:rPr>
        <w:t>approximately</w:t>
      </w:r>
      <w:r w:rsidRPr="00571974">
        <w:rPr>
          <w:lang w:val="en-GB"/>
        </w:rPr>
        <w:t xml:space="preserve"> 40% complete, with all key milestones for 2019 </w:t>
      </w:r>
      <w:r w:rsidR="00D30762" w:rsidRPr="00571974">
        <w:rPr>
          <w:lang w:val="en-GB"/>
        </w:rPr>
        <w:t xml:space="preserve">completed </w:t>
      </w:r>
      <w:r w:rsidRPr="00571974">
        <w:rPr>
          <w:lang w:val="en-GB"/>
        </w:rPr>
        <w:t xml:space="preserve">on schedule. </w:t>
      </w:r>
    </w:p>
    <w:p w14:paraId="431BF1F6" w14:textId="37CA5A68" w:rsidR="00722DD6" w:rsidRPr="00571974" w:rsidRDefault="00722DD6" w:rsidP="00763C98">
      <w:pPr>
        <w:pStyle w:val="BodyText"/>
        <w:widowControl/>
        <w:autoSpaceDE/>
        <w:autoSpaceDN/>
        <w:adjustRightInd/>
        <w:ind w:firstLine="360"/>
        <w:rPr>
          <w:lang w:val="en-GB"/>
        </w:rPr>
      </w:pPr>
      <w:r>
        <w:t>On March 17, 2020, we announced the temporary withdrawal of the majority of employees and contractors from our Quellaveco copper project, following the Government of Peru</w:t>
      </w:r>
      <w:r w:rsidR="00A311D8">
        <w:t>’</w:t>
      </w:r>
      <w:r>
        <w:t>s announcement of a</w:t>
      </w:r>
      <w:r w:rsidR="00716FAB">
        <w:t>n initial</w:t>
      </w:r>
      <w:r>
        <w:t xml:space="preserve"> 15-day national quarantine </w:t>
      </w:r>
      <w:r w:rsidR="00716FAB">
        <w:t xml:space="preserve">(subsequently extended) </w:t>
      </w:r>
      <w:r>
        <w:t xml:space="preserve">to curb the spread of </w:t>
      </w:r>
      <w:r w:rsidR="00E86E27">
        <w:t>the coronavirus</w:t>
      </w:r>
      <w:r w:rsidR="00430BBA">
        <w:t xml:space="preserve"> SARS-CoV-2</w:t>
      </w:r>
      <w:r w:rsidR="00E86E27">
        <w:t xml:space="preserve"> (</w:t>
      </w:r>
      <w:r w:rsidR="00A311D8">
        <w:t>“</w:t>
      </w:r>
      <w:r>
        <w:t>COVID-19</w:t>
      </w:r>
      <w:r w:rsidR="00A311D8">
        <w:t>”</w:t>
      </w:r>
      <w:r w:rsidR="00E86E27">
        <w:t>)</w:t>
      </w:r>
      <w:r>
        <w:t>. Construction work on the project will therefore be significantly slowed, with only critical areas of the project continuing as normal, until such time as workers can return safely.</w:t>
      </w:r>
      <w:r w:rsidR="008634C2" w:rsidRPr="008634C2">
        <w:rPr>
          <w:lang w:val="en-GB"/>
        </w:rPr>
        <w:t xml:space="preserve"> </w:t>
      </w:r>
    </w:p>
    <w:p w14:paraId="1DBA8388" w14:textId="77777777" w:rsidR="0079297B" w:rsidRPr="00571974" w:rsidRDefault="003D4D89" w:rsidP="007B1404">
      <w:pPr>
        <w:pStyle w:val="Heading3"/>
        <w:rPr>
          <w:lang w:val="en-GB"/>
        </w:rPr>
      </w:pPr>
      <w:r w:rsidRPr="00571974">
        <w:rPr>
          <w:lang w:val="en-GB"/>
        </w:rPr>
        <w:lastRenderedPageBreak/>
        <w:t>Future project options</w:t>
      </w:r>
    </w:p>
    <w:p w14:paraId="1754CC24" w14:textId="6F9C69AE" w:rsidR="00353E5E" w:rsidRDefault="003D4D89" w:rsidP="004F4F07">
      <w:pPr>
        <w:pStyle w:val="BodyText"/>
        <w:autoSpaceDE/>
        <w:autoSpaceDN/>
        <w:adjustRightInd/>
        <w:ind w:firstLine="360"/>
        <w:rPr>
          <w:lang w:val="en-GB"/>
        </w:rPr>
      </w:pPr>
      <w:r w:rsidRPr="00571974">
        <w:rPr>
          <w:lang w:val="en-GB"/>
        </w:rPr>
        <w:t>Strict value criteria are applied to the assessment of Anglo American</w:t>
      </w:r>
      <w:r w:rsidR="00A311D8">
        <w:rPr>
          <w:lang w:val="en-GB"/>
        </w:rPr>
        <w:t>’</w:t>
      </w:r>
      <w:r w:rsidRPr="00571974">
        <w:rPr>
          <w:lang w:val="en-GB"/>
        </w:rPr>
        <w:t xml:space="preserve">s portfolio of future growth options. Where appropriate, we aim to seek partners for the development of major greenfield projects at the right time and are likely to not commit to the full development of more than one such project at any given time. The Group will continue to maintain optionality to progress with value-accretive projects, should capital availability </w:t>
      </w:r>
      <w:r w:rsidR="00571974" w:rsidRPr="00571974">
        <w:rPr>
          <w:lang w:val="en-GB"/>
        </w:rPr>
        <w:t>permit. In</w:t>
      </w:r>
      <w:r w:rsidR="00EA3260" w:rsidRPr="00571974">
        <w:rPr>
          <w:lang w:val="en-GB"/>
        </w:rPr>
        <w:t xml:space="preserve"> May 2019, we announced the approval by Debmarine Namibia, a 50:50 joint venture between De Beers and the Government of the Republic of Namibia, of the construction of a new custom-built diamond recovery vessel. At an </w:t>
      </w:r>
      <w:r w:rsidR="002A221E">
        <w:rPr>
          <w:lang w:val="en-GB"/>
        </w:rPr>
        <w:t xml:space="preserve">initially </w:t>
      </w:r>
      <w:r w:rsidR="00EA3260" w:rsidRPr="00571974">
        <w:rPr>
          <w:lang w:val="en-GB"/>
        </w:rPr>
        <w:t xml:space="preserve">expected total capital cost of </w:t>
      </w:r>
      <w:r w:rsidR="00C60817" w:rsidRPr="00571974">
        <w:rPr>
          <w:lang w:val="en-GB"/>
        </w:rPr>
        <w:t>US</w:t>
      </w:r>
      <w:r w:rsidR="00EA3260" w:rsidRPr="00571974">
        <w:rPr>
          <w:lang w:val="en-GB"/>
        </w:rPr>
        <w:t>$</w:t>
      </w:r>
      <w:r w:rsidR="00C60817" w:rsidRPr="00571974">
        <w:rPr>
          <w:lang w:val="en-GB"/>
        </w:rPr>
        <w:t>468 million</w:t>
      </w:r>
      <w:r w:rsidR="00EA3260" w:rsidRPr="00571974">
        <w:rPr>
          <w:lang w:val="en-GB"/>
        </w:rPr>
        <w:t xml:space="preserve"> (</w:t>
      </w:r>
      <w:r w:rsidR="00D45A8C">
        <w:rPr>
          <w:lang w:val="en-GB"/>
        </w:rPr>
        <w:t>US</w:t>
      </w:r>
      <w:r w:rsidR="00EA3260" w:rsidRPr="00571974">
        <w:rPr>
          <w:lang w:val="en-GB"/>
        </w:rPr>
        <w:t>$2</w:t>
      </w:r>
      <w:r w:rsidR="00C60817" w:rsidRPr="00571974">
        <w:rPr>
          <w:lang w:val="en-GB"/>
        </w:rPr>
        <w:t>34 million</w:t>
      </w:r>
      <w:r w:rsidR="00EA3260" w:rsidRPr="00571974">
        <w:rPr>
          <w:lang w:val="en-GB"/>
        </w:rPr>
        <w:t xml:space="preserve"> attributable to Anglo American), this new vessel will become the seventh in the Debmarine Namibia fleet. It </w:t>
      </w:r>
      <w:r w:rsidR="002A221E">
        <w:rPr>
          <w:lang w:val="en-GB"/>
        </w:rPr>
        <w:t>was initially</w:t>
      </w:r>
      <w:r w:rsidR="00C60817" w:rsidRPr="00571974">
        <w:rPr>
          <w:lang w:val="en-GB"/>
        </w:rPr>
        <w:t xml:space="preserve"> </w:t>
      </w:r>
      <w:r w:rsidR="00EA3260" w:rsidRPr="00571974">
        <w:rPr>
          <w:lang w:val="en-GB"/>
        </w:rPr>
        <w:t>expected to begin production in 2022, with the capacity to add 500,000 carats of annual production, a 35% increase above Debmarine Namibia</w:t>
      </w:r>
      <w:r w:rsidR="00A311D8">
        <w:rPr>
          <w:lang w:val="en-GB"/>
        </w:rPr>
        <w:t>’</w:t>
      </w:r>
      <w:r w:rsidR="00EA3260" w:rsidRPr="00571974">
        <w:rPr>
          <w:lang w:val="en-GB"/>
        </w:rPr>
        <w:t>s current levels.</w:t>
      </w:r>
      <w:r w:rsidR="002A221E">
        <w:rPr>
          <w:lang w:val="en-GB"/>
        </w:rPr>
        <w:t xml:space="preserve"> </w:t>
      </w:r>
      <w:r w:rsidR="002A221E" w:rsidRPr="002A221E">
        <w:rPr>
          <w:lang w:val="en-GB"/>
        </w:rPr>
        <w:t>It is not yet clear what impact COVID-19 will have on this timeline.</w:t>
      </w:r>
      <w:r w:rsidR="00EA3260" w:rsidRPr="00571974">
        <w:rPr>
          <w:lang w:val="en-GB"/>
        </w:rPr>
        <w:t xml:space="preserve"> In July 2019, the Board approved the Aquila project to extend the life of the Capcoal underground hard coking coal operations in Queensland, Australia, by six years, to 2028. At an expected attributable capital cost of </w:t>
      </w:r>
      <w:r w:rsidR="00C60817" w:rsidRPr="00571974">
        <w:rPr>
          <w:lang w:val="en-GB"/>
        </w:rPr>
        <w:t>US</w:t>
      </w:r>
      <w:r w:rsidR="00EA3260" w:rsidRPr="00571974">
        <w:rPr>
          <w:lang w:val="en-GB"/>
        </w:rPr>
        <w:t>$</w:t>
      </w:r>
      <w:r w:rsidR="00C60817" w:rsidRPr="00571974">
        <w:rPr>
          <w:lang w:val="en-GB"/>
        </w:rPr>
        <w:t>226 million</w:t>
      </w:r>
      <w:r w:rsidR="00EA3260" w:rsidRPr="00571974">
        <w:rPr>
          <w:lang w:val="en-GB"/>
        </w:rPr>
        <w:t>, Aquila offers a high-margin extension to the mine, with an average annual saleable production of 3.5 million tonnes (attributable) of premium quality hard coking coal. Development work began in September 2019 and first longwall production is expected in early 2022. Longer term, the Group has a number of future organic growth options under consideration, including expansions at Collahuasi and Los Bronces copper mines in Chile and the Mogalakwena PGMs complex in South Africa, and a number of debottlenecking and expansion opportunities at the Moranbah</w:t>
      </w:r>
      <w:r w:rsidR="00D32436">
        <w:rPr>
          <w:lang w:val="en-GB"/>
        </w:rPr>
        <w:t xml:space="preserve"> North</w:t>
      </w:r>
      <w:r w:rsidR="00EA3260" w:rsidRPr="00571974">
        <w:rPr>
          <w:lang w:val="en-GB"/>
        </w:rPr>
        <w:t>/Grosvenor metallurgical coal complex in Australia.</w:t>
      </w:r>
    </w:p>
    <w:p w14:paraId="469A793C" w14:textId="6B596C64" w:rsidR="003637DD" w:rsidRPr="003637DD" w:rsidRDefault="003637DD" w:rsidP="003637DD">
      <w:pPr>
        <w:pStyle w:val="BodyText"/>
        <w:widowControl/>
        <w:autoSpaceDE/>
        <w:autoSpaceDN/>
        <w:adjustRightInd/>
        <w:ind w:firstLine="360"/>
        <w:rPr>
          <w:i/>
          <w:lang w:val="en-GB"/>
        </w:rPr>
      </w:pPr>
      <w:r w:rsidRPr="003637DD">
        <w:rPr>
          <w:i/>
          <w:lang w:val="en-GB"/>
        </w:rPr>
        <w:t>Sirius Acquisition</w:t>
      </w:r>
    </w:p>
    <w:p w14:paraId="2B28471A" w14:textId="1491B4AD" w:rsidR="00D45A8C" w:rsidRPr="00DA283E" w:rsidRDefault="00DE3AAF" w:rsidP="004F4F07">
      <w:pPr>
        <w:pStyle w:val="BodyText"/>
        <w:autoSpaceDE/>
        <w:autoSpaceDN/>
        <w:adjustRightInd/>
        <w:ind w:firstLine="360"/>
        <w:rPr>
          <w:lang w:val="en-GB"/>
        </w:rPr>
      </w:pPr>
      <w:r w:rsidRPr="00DA283E">
        <w:rPr>
          <w:lang w:val="en-GB"/>
        </w:rPr>
        <w:t xml:space="preserve">On January 20, 2020, Anglo American announced that an agreement had been reached with the board of Sirius </w:t>
      </w:r>
      <w:r w:rsidR="003637DD">
        <w:rPr>
          <w:lang w:val="en-GB"/>
        </w:rPr>
        <w:t>Minerals plc (</w:t>
      </w:r>
      <w:r w:rsidR="00A311D8">
        <w:rPr>
          <w:lang w:val="en-GB"/>
        </w:rPr>
        <w:t>“</w:t>
      </w:r>
      <w:r w:rsidR="003637DD">
        <w:rPr>
          <w:lang w:val="en-GB"/>
        </w:rPr>
        <w:t>Sirius</w:t>
      </w:r>
      <w:r w:rsidR="00A311D8">
        <w:rPr>
          <w:lang w:val="en-GB"/>
        </w:rPr>
        <w:t>”</w:t>
      </w:r>
      <w:r w:rsidR="003637DD">
        <w:rPr>
          <w:lang w:val="en-GB"/>
        </w:rPr>
        <w:t xml:space="preserve">) </w:t>
      </w:r>
      <w:r w:rsidRPr="00DA283E">
        <w:rPr>
          <w:lang w:val="en-GB"/>
        </w:rPr>
        <w:t>on the terms of a recommended cash acquisition for the entire issued and to be issued share capital of Sirius. Anglo American identified Sirius</w:t>
      </w:r>
      <w:r w:rsidR="00A311D8">
        <w:rPr>
          <w:lang w:val="en-GB"/>
        </w:rPr>
        <w:t>’</w:t>
      </w:r>
      <w:r w:rsidRPr="00DA283E">
        <w:rPr>
          <w:lang w:val="en-GB"/>
        </w:rPr>
        <w:t xml:space="preserve"> North Yorkshire polyhalite project (the Woodsmith mine project) as being of potential interest given the quality of the underlying asset in terms of scale, resource life, operating cost profile and the nature and quality of its product. The Woodsmith mine project has the potential to fit well with our established strategy of focusing on world-class assets, particularly in the context of Anglo American</w:t>
      </w:r>
      <w:r w:rsidR="00A311D8">
        <w:rPr>
          <w:lang w:val="en-GB"/>
        </w:rPr>
        <w:t>’</w:t>
      </w:r>
      <w:r w:rsidRPr="00DA283E">
        <w:rPr>
          <w:lang w:val="en-GB"/>
        </w:rPr>
        <w:t xml:space="preserve">s portfolio trajectory towards later cycle products that support a fast-growing global population and a cleaner, greener, more sustainable world. </w:t>
      </w:r>
      <w:r w:rsidR="00BA1E88">
        <w:t>The transaction completed on March 17, 2020.</w:t>
      </w:r>
      <w:r w:rsidRPr="00DA283E" w:rsidDel="00DE3AAF">
        <w:rPr>
          <w:lang w:val="en-GB"/>
        </w:rPr>
        <w:t xml:space="preserve"> </w:t>
      </w:r>
    </w:p>
    <w:p w14:paraId="433C6D40" w14:textId="77777777" w:rsidR="00542FF4" w:rsidRPr="00571974" w:rsidRDefault="003D4D89" w:rsidP="00542FF4">
      <w:pPr>
        <w:pStyle w:val="Heading2"/>
        <w:rPr>
          <w:lang w:val="en-GB"/>
        </w:rPr>
      </w:pPr>
      <w:r w:rsidRPr="00571974">
        <w:rPr>
          <w:lang w:val="en-GB"/>
        </w:rPr>
        <w:t>The Company</w:t>
      </w:r>
    </w:p>
    <w:p w14:paraId="0038064F" w14:textId="2D4A45CF" w:rsidR="00542FF4" w:rsidRPr="00571974" w:rsidRDefault="00542FF4" w:rsidP="00542FF4">
      <w:pPr>
        <w:pStyle w:val="BodyText"/>
        <w:widowControl/>
        <w:autoSpaceDE/>
        <w:autoSpaceDN/>
        <w:adjustRightInd/>
        <w:ind w:firstLine="360"/>
        <w:rPr>
          <w:highlight w:val="yellow"/>
          <w:lang w:val="en-GB"/>
        </w:rPr>
      </w:pPr>
      <w:r w:rsidRPr="00571974">
        <w:rPr>
          <w:lang w:val="en-GB"/>
        </w:rPr>
        <w:t xml:space="preserve">Anglo </w:t>
      </w:r>
      <w:r w:rsidRPr="00571974">
        <w:rPr>
          <w:rFonts w:eastAsia="PMingLiU"/>
          <w:szCs w:val="20"/>
          <w:lang w:val="en-GB" w:eastAsia="en-US"/>
        </w:rPr>
        <w:t>American</w:t>
      </w:r>
      <w:r w:rsidRPr="00571974">
        <w:rPr>
          <w:lang w:val="en-GB"/>
        </w:rPr>
        <w:t xml:space="preserve"> plc is a public limited company organized under the laws of England and Wales. Anglo American has its primary listing on the London Stock Exchange and is one of the FTSE 100 companies, which comprises the 100 largest UK listed companies by market capitalization. As of </w:t>
      </w:r>
      <w:r w:rsidR="00015494" w:rsidRPr="00571974">
        <w:rPr>
          <w:lang w:val="en-GB"/>
        </w:rPr>
        <w:t xml:space="preserve">December </w:t>
      </w:r>
      <w:r w:rsidRPr="00571974">
        <w:rPr>
          <w:lang w:val="en-GB"/>
        </w:rPr>
        <w:t>3</w:t>
      </w:r>
      <w:r w:rsidR="00015494" w:rsidRPr="00571974">
        <w:rPr>
          <w:lang w:val="en-GB"/>
        </w:rPr>
        <w:t>1</w:t>
      </w:r>
      <w:r w:rsidRPr="00571974">
        <w:rPr>
          <w:lang w:val="en-GB"/>
        </w:rPr>
        <w:t xml:space="preserve">, </w:t>
      </w:r>
      <w:r w:rsidR="004D678B" w:rsidRPr="00571974">
        <w:rPr>
          <w:lang w:val="en-GB"/>
        </w:rPr>
        <w:t>201</w:t>
      </w:r>
      <w:r w:rsidR="006F4A26" w:rsidRPr="00571974">
        <w:rPr>
          <w:lang w:val="en-GB"/>
        </w:rPr>
        <w:t>9</w:t>
      </w:r>
      <w:r w:rsidRPr="00571974">
        <w:rPr>
          <w:lang w:val="en-GB"/>
        </w:rPr>
        <w:t>, Anglo American</w:t>
      </w:r>
      <w:r w:rsidR="00A311D8">
        <w:rPr>
          <w:lang w:val="en-GB"/>
        </w:rPr>
        <w:t>’</w:t>
      </w:r>
      <w:r w:rsidRPr="00571974">
        <w:rPr>
          <w:lang w:val="en-GB"/>
        </w:rPr>
        <w:t xml:space="preserve">s market capitalization was approximately </w:t>
      </w:r>
      <w:r w:rsidR="003E1CBD" w:rsidRPr="00571974">
        <w:rPr>
          <w:lang w:val="en-GB"/>
        </w:rPr>
        <w:t>US$</w:t>
      </w:r>
      <w:r w:rsidR="0009201B">
        <w:rPr>
          <w:lang w:val="en-GB"/>
        </w:rPr>
        <w:t>36.1</w:t>
      </w:r>
      <w:r w:rsidR="00EF7D27" w:rsidRPr="00571974">
        <w:rPr>
          <w:lang w:val="en-GB"/>
        </w:rPr>
        <w:t xml:space="preserve"> </w:t>
      </w:r>
      <w:r w:rsidRPr="00571974">
        <w:rPr>
          <w:lang w:val="en-GB"/>
        </w:rPr>
        <w:t>billion.</w:t>
      </w:r>
    </w:p>
    <w:p w14:paraId="0056BC9A" w14:textId="77777777" w:rsidR="00542FF4" w:rsidRPr="00571974" w:rsidRDefault="003D4D89" w:rsidP="00542FF4">
      <w:pPr>
        <w:pStyle w:val="BodyText"/>
        <w:widowControl/>
        <w:autoSpaceDE/>
        <w:autoSpaceDN/>
        <w:adjustRightInd/>
        <w:ind w:firstLine="360"/>
        <w:rPr>
          <w:lang w:val="en-GB"/>
        </w:rPr>
      </w:pPr>
      <w:r w:rsidRPr="00571974">
        <w:rPr>
          <w:lang w:val="en-GB"/>
        </w:rPr>
        <w:t>Anglo American is a publicly traded company with no single controlling shareholder. The principal offices of Anglo American plc are located at 20 Carlton House Ter</w:t>
      </w:r>
      <w:r w:rsidR="0056684B" w:rsidRPr="00571974">
        <w:rPr>
          <w:lang w:val="en-GB"/>
        </w:rPr>
        <w:t>race, London, SW1Y 5AN, England</w:t>
      </w:r>
      <w:r w:rsidRPr="00571974">
        <w:rPr>
          <w:lang w:val="en-GB"/>
        </w:rPr>
        <w:t xml:space="preserve"> and its telephone number is +44 (0) 20 7968 8888. </w:t>
      </w:r>
    </w:p>
    <w:p w14:paraId="1A8E0065" w14:textId="77777777" w:rsidR="00542FF4" w:rsidRPr="00571974" w:rsidRDefault="003D4D89" w:rsidP="00542FF4">
      <w:pPr>
        <w:pStyle w:val="Heading2"/>
        <w:rPr>
          <w:lang w:val="en-GB"/>
        </w:rPr>
      </w:pPr>
      <w:r w:rsidRPr="00571974">
        <w:rPr>
          <w:lang w:val="en-GB"/>
        </w:rPr>
        <w:t>The Issuer</w:t>
      </w:r>
    </w:p>
    <w:p w14:paraId="54B1D721" w14:textId="1810FE4F" w:rsidR="00542FF4" w:rsidRPr="00571974" w:rsidRDefault="00542FF4" w:rsidP="00542FF4">
      <w:pPr>
        <w:pStyle w:val="BodyText"/>
        <w:widowControl/>
        <w:autoSpaceDE/>
        <w:autoSpaceDN/>
        <w:adjustRightInd/>
        <w:ind w:firstLine="360"/>
        <w:rPr>
          <w:lang w:val="en-GB"/>
        </w:rPr>
      </w:pPr>
      <w:r w:rsidRPr="00571974">
        <w:rPr>
          <w:lang w:val="en-GB"/>
        </w:rPr>
        <w:t xml:space="preserve">Anglo </w:t>
      </w:r>
      <w:r w:rsidRPr="00571974">
        <w:rPr>
          <w:rFonts w:eastAsia="PMingLiU"/>
          <w:szCs w:val="20"/>
          <w:lang w:val="en-GB" w:eastAsia="en-US"/>
        </w:rPr>
        <w:t>American</w:t>
      </w:r>
      <w:r w:rsidRPr="00571974">
        <w:rPr>
          <w:lang w:val="en-GB"/>
        </w:rPr>
        <w:t xml:space="preserve"> Capital plc is a public limited company organized under the laws of England and Wales. It was formed for the purpose of securing and providing financing for the Anglo American Group.</w:t>
      </w:r>
    </w:p>
    <w:p w14:paraId="4596E6E2" w14:textId="73E7FFF2" w:rsidR="00542FF4" w:rsidRPr="00571974" w:rsidRDefault="003D4D89" w:rsidP="00542FF4">
      <w:pPr>
        <w:pStyle w:val="BodyText"/>
        <w:widowControl/>
        <w:autoSpaceDE/>
        <w:autoSpaceDN/>
        <w:adjustRightInd/>
        <w:ind w:firstLine="360"/>
        <w:rPr>
          <w:lang w:val="en-GB"/>
        </w:rPr>
      </w:pPr>
      <w:r w:rsidRPr="00571974">
        <w:rPr>
          <w:lang w:val="en-GB"/>
        </w:rPr>
        <w:t xml:space="preserve">The principal offices of Anglo American Capital plc are located at 20 Carlton House Terrace, London, SW1Y 5AN, England. For further information on the Issuer, see </w:t>
      </w:r>
      <w:r w:rsidR="00A311D8">
        <w:rPr>
          <w:lang w:val="en-GB"/>
        </w:rPr>
        <w:t>“</w:t>
      </w:r>
      <w:r w:rsidRPr="00571974">
        <w:rPr>
          <w:lang w:val="en-GB"/>
        </w:rPr>
        <w:t>Description of Anglo American Capital plc</w:t>
      </w:r>
      <w:r w:rsidR="00A311D8">
        <w:rPr>
          <w:lang w:val="en-GB"/>
        </w:rPr>
        <w:t>”</w:t>
      </w:r>
      <w:r w:rsidRPr="00571974">
        <w:rPr>
          <w:lang w:val="en-GB"/>
        </w:rPr>
        <w:t>.</w:t>
      </w:r>
    </w:p>
    <w:p w14:paraId="49244C9C" w14:textId="77777777" w:rsidR="00542FF4" w:rsidRPr="00571974" w:rsidRDefault="003D4D89" w:rsidP="00542FF4">
      <w:pPr>
        <w:pStyle w:val="BodyText"/>
        <w:widowControl/>
        <w:autoSpaceDE/>
        <w:autoSpaceDN/>
        <w:adjustRightInd/>
        <w:rPr>
          <w:rFonts w:ascii="AkzidGrtskNext-Light" w:hAnsi="AkzidGrtskNext-Light" w:cs="AkzidGrtskNext-Light"/>
          <w:sz w:val="18"/>
          <w:szCs w:val="18"/>
          <w:lang w:val="en-GB"/>
        </w:rPr>
      </w:pPr>
      <w:r w:rsidRPr="00571974">
        <w:rPr>
          <w:lang w:val="en-GB"/>
        </w:rPr>
        <w:br w:type="page"/>
      </w:r>
    </w:p>
    <w:p w14:paraId="109BD4B7" w14:textId="4B790449" w:rsidR="00F17FA1" w:rsidRPr="00571974" w:rsidRDefault="00C40784" w:rsidP="00F17FA1">
      <w:pPr>
        <w:pStyle w:val="Heading2"/>
        <w:rPr>
          <w:lang w:val="en-GB"/>
        </w:rPr>
      </w:pPr>
      <w:r w:rsidRPr="00571974">
        <w:rPr>
          <w:lang w:val="en-GB"/>
        </w:rPr>
        <w:lastRenderedPageBreak/>
        <w:t>The Offering</w:t>
      </w:r>
    </w:p>
    <w:p w14:paraId="453C345E" w14:textId="5B585841" w:rsidR="00903404" w:rsidRPr="00571974" w:rsidRDefault="003D4D89" w:rsidP="00903404">
      <w:pPr>
        <w:pStyle w:val="BodyText"/>
        <w:widowControl/>
        <w:autoSpaceDE/>
        <w:autoSpaceDN/>
        <w:adjustRightInd/>
        <w:ind w:firstLine="360"/>
        <w:rPr>
          <w:i/>
          <w:lang w:val="en-GB"/>
        </w:rPr>
      </w:pPr>
      <w:r w:rsidRPr="00571974">
        <w:rPr>
          <w:i/>
          <w:iCs/>
          <w:lang w:val="en-GB"/>
        </w:rPr>
        <w:t xml:space="preserve">Certain of the terms and conditions described below are subject to important limitations and exceptions. The </w:t>
      </w:r>
      <w:r w:rsidR="00A311D8">
        <w:rPr>
          <w:i/>
          <w:iCs/>
          <w:lang w:val="en-GB"/>
        </w:rPr>
        <w:t>“</w:t>
      </w:r>
      <w:r w:rsidRPr="00571974">
        <w:rPr>
          <w:i/>
          <w:iCs/>
          <w:lang w:val="en-GB"/>
        </w:rPr>
        <w:t>Description of the Notes and the Guarantees</w:t>
      </w:r>
      <w:r w:rsidR="00A311D8">
        <w:rPr>
          <w:i/>
          <w:iCs/>
          <w:lang w:val="en-GB"/>
        </w:rPr>
        <w:t>”</w:t>
      </w:r>
      <w:r w:rsidRPr="00571974">
        <w:rPr>
          <w:i/>
          <w:iCs/>
          <w:lang w:val="en-GB"/>
        </w:rPr>
        <w:t xml:space="preserve"> section of this document contains a more detailed description of the </w:t>
      </w:r>
      <w:r w:rsidRPr="00571974">
        <w:rPr>
          <w:i/>
          <w:lang w:val="en-GB"/>
        </w:rPr>
        <w:t>terms</w:t>
      </w:r>
      <w:r w:rsidRPr="00571974">
        <w:rPr>
          <w:i/>
          <w:iCs/>
          <w:lang w:val="en-GB"/>
        </w:rPr>
        <w:t xml:space="preserve"> and conditions of the Notes and the Guarantees. Capitalized terms used but not defined in this section have the meanings set forth in </w:t>
      </w:r>
      <w:r w:rsidR="00A311D8">
        <w:rPr>
          <w:i/>
          <w:iCs/>
          <w:lang w:val="en-GB"/>
        </w:rPr>
        <w:t>“</w:t>
      </w:r>
      <w:r w:rsidRPr="00571974">
        <w:rPr>
          <w:i/>
          <w:iCs/>
          <w:lang w:val="en-GB"/>
        </w:rPr>
        <w:t>Description of the Notes and the Guarantees</w:t>
      </w:r>
      <w:r w:rsidR="00A311D8">
        <w:rPr>
          <w:i/>
          <w:iCs/>
          <w:lang w:val="en-GB"/>
        </w:rPr>
        <w:t>”</w:t>
      </w:r>
      <w:r w:rsidRPr="00571974">
        <w:rPr>
          <w:i/>
          <w:iCs/>
          <w:lang w:val="en-GB"/>
        </w:rPr>
        <w:t>.</w:t>
      </w:r>
    </w:p>
    <w:tbl>
      <w:tblPr>
        <w:tblW w:w="5000" w:type="pct"/>
        <w:jc w:val="center"/>
        <w:tblCellMar>
          <w:left w:w="72" w:type="dxa"/>
          <w:right w:w="72" w:type="dxa"/>
        </w:tblCellMar>
        <w:tblLook w:val="0000" w:firstRow="0" w:lastRow="0" w:firstColumn="0" w:lastColumn="0" w:noHBand="0" w:noVBand="0"/>
      </w:tblPr>
      <w:tblGrid>
        <w:gridCol w:w="3273"/>
        <w:gridCol w:w="6083"/>
      </w:tblGrid>
      <w:tr w:rsidR="002228B8" w14:paraId="1DA8F3CB" w14:textId="77777777" w:rsidTr="004C5423">
        <w:trPr>
          <w:cantSplit/>
          <w:jc w:val="center"/>
        </w:trPr>
        <w:tc>
          <w:tcPr>
            <w:tcW w:w="1749" w:type="pct"/>
            <w:tcBorders>
              <w:top w:val="nil"/>
              <w:left w:val="nil"/>
              <w:bottom w:val="nil"/>
              <w:right w:val="nil"/>
            </w:tcBorders>
          </w:tcPr>
          <w:p w14:paraId="31B1C35B"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The Issuer</w:t>
            </w:r>
            <w:r w:rsidRPr="00571974">
              <w:rPr>
                <w:lang w:val="en-GB" w:eastAsia="en-GB" w:bidi="ar-SA"/>
              </w:rPr>
              <w:tab/>
            </w:r>
          </w:p>
        </w:tc>
        <w:tc>
          <w:tcPr>
            <w:tcW w:w="3251" w:type="pct"/>
            <w:tcBorders>
              <w:top w:val="nil"/>
              <w:left w:val="nil"/>
              <w:bottom w:val="nil"/>
              <w:right w:val="nil"/>
            </w:tcBorders>
            <w:vAlign w:val="bottom"/>
          </w:tcPr>
          <w:p w14:paraId="0BA03F4C"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Capital plc, a public limited company organized under the laws of England and Wales. The Issuer is a wholly owned subsidiary of Anglo American plc that serves as a financing vehicle through which the Anglo American Group raises funds to support its operations.</w:t>
            </w:r>
          </w:p>
        </w:tc>
      </w:tr>
      <w:tr w:rsidR="002228B8" w14:paraId="00F2FD14" w14:textId="77777777" w:rsidTr="004C5423">
        <w:trPr>
          <w:cantSplit/>
          <w:jc w:val="center"/>
        </w:trPr>
        <w:tc>
          <w:tcPr>
            <w:tcW w:w="1749" w:type="pct"/>
            <w:tcBorders>
              <w:top w:val="nil"/>
              <w:left w:val="nil"/>
              <w:bottom w:val="nil"/>
              <w:right w:val="nil"/>
            </w:tcBorders>
          </w:tcPr>
          <w:p w14:paraId="759D7A86"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The Guarantor of the Notes</w:t>
            </w:r>
            <w:r w:rsidRPr="00571974">
              <w:rPr>
                <w:lang w:val="en-GB" w:eastAsia="en-GB" w:bidi="ar-SA"/>
              </w:rPr>
              <w:tab/>
            </w:r>
          </w:p>
        </w:tc>
        <w:tc>
          <w:tcPr>
            <w:tcW w:w="3251" w:type="pct"/>
            <w:tcBorders>
              <w:top w:val="nil"/>
              <w:left w:val="nil"/>
              <w:bottom w:val="nil"/>
              <w:right w:val="nil"/>
            </w:tcBorders>
            <w:vAlign w:val="bottom"/>
          </w:tcPr>
          <w:p w14:paraId="35726755"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plc, a public limited company organized under the laws of England and Wales. The Company is the ultimate holding company for the Anglo American Group.</w:t>
            </w:r>
          </w:p>
        </w:tc>
      </w:tr>
      <w:tr w:rsidR="002228B8" w14:paraId="7270A31E" w14:textId="77777777" w:rsidTr="004C5423">
        <w:trPr>
          <w:cantSplit/>
          <w:jc w:val="center"/>
        </w:trPr>
        <w:tc>
          <w:tcPr>
            <w:tcW w:w="1749" w:type="pct"/>
            <w:tcBorders>
              <w:top w:val="nil"/>
              <w:left w:val="nil"/>
              <w:bottom w:val="nil"/>
              <w:right w:val="nil"/>
            </w:tcBorders>
          </w:tcPr>
          <w:p w14:paraId="04E3898A"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The Notes</w:t>
            </w:r>
            <w:r w:rsidRPr="00571974">
              <w:rPr>
                <w:lang w:val="en-GB" w:eastAsia="en-GB" w:bidi="ar-SA"/>
              </w:rPr>
              <w:tab/>
            </w:r>
          </w:p>
        </w:tc>
        <w:tc>
          <w:tcPr>
            <w:tcW w:w="3251" w:type="pct"/>
            <w:tcBorders>
              <w:top w:val="nil"/>
              <w:left w:val="nil"/>
              <w:bottom w:val="nil"/>
              <w:right w:val="nil"/>
            </w:tcBorders>
            <w:vAlign w:val="bottom"/>
          </w:tcPr>
          <w:p w14:paraId="5519C013" w14:textId="12B7D34F" w:rsidR="00C40784" w:rsidRDefault="00C40784" w:rsidP="00724BA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US$</w:t>
            </w:r>
            <w:r w:rsidR="00716FAB">
              <w:rPr>
                <w:lang w:val="en-GB"/>
              </w:rPr>
              <w:t>750</w:t>
            </w:r>
            <w:r w:rsidR="00ED78E6" w:rsidRPr="00F018AA">
              <w:rPr>
                <w:lang w:val="en-GB"/>
              </w:rPr>
              <w:t xml:space="preserve"> </w:t>
            </w:r>
            <w:r w:rsidRPr="00571974">
              <w:rPr>
                <w:lang w:val="en-GB" w:eastAsia="en-GB" w:bidi="ar-SA"/>
              </w:rPr>
              <w:t>million aggregate principal amount of</w:t>
            </w:r>
            <w:r w:rsidR="00ED78E6" w:rsidRPr="00F018AA">
              <w:rPr>
                <w:lang w:val="en-GB"/>
              </w:rPr>
              <w:t xml:space="preserve"> </w:t>
            </w:r>
            <w:r w:rsidR="00716FAB">
              <w:rPr>
                <w:lang w:val="en-GB"/>
              </w:rPr>
              <w:t>5.375</w:t>
            </w:r>
            <w:r w:rsidRPr="00571974">
              <w:rPr>
                <w:lang w:val="en-GB" w:eastAsia="en-GB" w:bidi="ar-SA"/>
              </w:rPr>
              <w:t>% Senior Notes due</w:t>
            </w:r>
            <w:r w:rsidR="00ED78E6" w:rsidRPr="00F018AA">
              <w:rPr>
                <w:lang w:val="en-GB"/>
              </w:rPr>
              <w:t xml:space="preserve"> </w:t>
            </w:r>
            <w:r w:rsidR="00716FAB">
              <w:rPr>
                <w:lang w:val="en-GB"/>
              </w:rPr>
              <w:t>April 1</w:t>
            </w:r>
            <w:r w:rsidRPr="00571974">
              <w:rPr>
                <w:lang w:val="en-GB" w:eastAsia="en-GB" w:bidi="ar-SA"/>
              </w:rPr>
              <w:t>, 20</w:t>
            </w:r>
            <w:r w:rsidR="00716FAB">
              <w:rPr>
                <w:lang w:val="en-GB" w:eastAsia="en-GB" w:bidi="ar-SA"/>
              </w:rPr>
              <w:t>25</w:t>
            </w:r>
            <w:r w:rsidR="00ED78E6" w:rsidRPr="00F018AA">
              <w:rPr>
                <w:lang w:val="en-GB"/>
              </w:rPr>
              <w:t xml:space="preserve"> </w:t>
            </w:r>
            <w:r>
              <w:rPr>
                <w:lang w:val="en-GB" w:eastAsia="en-GB" w:bidi="ar-SA"/>
              </w:rPr>
              <w:t xml:space="preserve">(the </w:t>
            </w:r>
            <w:r w:rsidR="00A311D8">
              <w:rPr>
                <w:lang w:val="en-GB" w:eastAsia="en-GB" w:bidi="ar-SA"/>
              </w:rPr>
              <w:t>“</w:t>
            </w:r>
            <w:r>
              <w:rPr>
                <w:lang w:val="en-GB" w:eastAsia="en-GB" w:bidi="ar-SA"/>
              </w:rPr>
              <w:t>20</w:t>
            </w:r>
            <w:r w:rsidR="00716FAB">
              <w:rPr>
                <w:lang w:val="en-GB" w:eastAsia="en-GB" w:bidi="ar-SA"/>
              </w:rPr>
              <w:t>25</w:t>
            </w:r>
            <w:r>
              <w:rPr>
                <w:lang w:val="en-GB" w:eastAsia="en-GB" w:bidi="ar-SA"/>
              </w:rPr>
              <w:t xml:space="preserve"> Notes</w:t>
            </w:r>
            <w:r w:rsidR="00A311D8">
              <w:rPr>
                <w:lang w:val="en-GB" w:eastAsia="en-GB" w:bidi="ar-SA"/>
              </w:rPr>
              <w:t>”</w:t>
            </w:r>
            <w:r>
              <w:rPr>
                <w:lang w:val="en-GB" w:eastAsia="en-GB" w:bidi="ar-SA"/>
              </w:rPr>
              <w:t xml:space="preserve">); and </w:t>
            </w:r>
          </w:p>
          <w:p w14:paraId="28201920" w14:textId="0371E9B7" w:rsidR="00903404" w:rsidRPr="00571974" w:rsidRDefault="003D4D89"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US$</w:t>
            </w:r>
            <w:r w:rsidR="00663418">
              <w:rPr>
                <w:lang w:val="en-GB" w:eastAsia="en-GB" w:bidi="ar-SA"/>
              </w:rPr>
              <w:t>750</w:t>
            </w:r>
            <w:r w:rsidR="00ED78E6" w:rsidRPr="00F018AA">
              <w:rPr>
                <w:lang w:val="en-GB"/>
              </w:rPr>
              <w:t xml:space="preserve"> </w:t>
            </w:r>
            <w:r w:rsidRPr="00571974">
              <w:rPr>
                <w:lang w:val="en-GB" w:eastAsia="en-GB" w:bidi="ar-SA"/>
              </w:rPr>
              <w:t>million aggregate principal amount of</w:t>
            </w:r>
            <w:r w:rsidR="00ED78E6">
              <w:rPr>
                <w:lang w:val="en-GB" w:eastAsia="en-GB" w:bidi="ar-SA"/>
              </w:rPr>
              <w:t xml:space="preserve"> </w:t>
            </w:r>
            <w:r w:rsidR="00663418">
              <w:rPr>
                <w:lang w:val="en-GB" w:eastAsia="en-GB" w:bidi="ar-SA"/>
              </w:rPr>
              <w:t>5.625</w:t>
            </w:r>
            <w:r w:rsidRPr="00571974">
              <w:rPr>
                <w:lang w:val="en-GB" w:eastAsia="en-GB" w:bidi="ar-SA"/>
              </w:rPr>
              <w:t>% Senior Notes due</w:t>
            </w:r>
            <w:r w:rsidR="00ED78E6" w:rsidRPr="00F018AA">
              <w:rPr>
                <w:lang w:val="en-GB" w:eastAsia="en-GB" w:bidi="ar-SA"/>
              </w:rPr>
              <w:t xml:space="preserve"> </w:t>
            </w:r>
            <w:r w:rsidR="00663418">
              <w:rPr>
                <w:lang w:val="en-GB" w:eastAsia="en-GB" w:bidi="ar-SA"/>
              </w:rPr>
              <w:t>April 1</w:t>
            </w:r>
            <w:r w:rsidRPr="00571974">
              <w:rPr>
                <w:lang w:val="en-GB" w:eastAsia="en-GB" w:bidi="ar-SA"/>
              </w:rPr>
              <w:t>, 20</w:t>
            </w:r>
            <w:r w:rsidR="00663418">
              <w:rPr>
                <w:lang w:val="en-GB" w:eastAsia="en-GB" w:bidi="ar-SA"/>
              </w:rPr>
              <w:t>30</w:t>
            </w:r>
            <w:bookmarkStart w:id="23" w:name="_cp_text_1_841"/>
            <w:bookmarkEnd w:id="23"/>
            <w:r w:rsidR="00C40784" w:rsidRPr="00ED78E6">
              <w:rPr>
                <w:lang w:val="en-GB" w:eastAsia="en-GB" w:bidi="ar-SA"/>
              </w:rPr>
              <w:t xml:space="preserve"> (the </w:t>
            </w:r>
            <w:r w:rsidR="00A311D8">
              <w:rPr>
                <w:lang w:val="en-GB" w:eastAsia="en-GB" w:bidi="ar-SA"/>
              </w:rPr>
              <w:t>“</w:t>
            </w:r>
            <w:r w:rsidR="00C40784" w:rsidRPr="00ED78E6">
              <w:rPr>
                <w:lang w:val="en-GB" w:eastAsia="en-GB" w:bidi="ar-SA"/>
              </w:rPr>
              <w:t>20</w:t>
            </w:r>
            <w:r w:rsidR="00663418">
              <w:rPr>
                <w:lang w:val="en-GB" w:eastAsia="en-GB" w:bidi="ar-SA"/>
              </w:rPr>
              <w:t>30</w:t>
            </w:r>
            <w:r w:rsidR="00C40784" w:rsidRPr="00ED78E6">
              <w:rPr>
                <w:lang w:val="en-GB" w:eastAsia="en-GB" w:bidi="ar-SA"/>
              </w:rPr>
              <w:t xml:space="preserve"> Notes</w:t>
            </w:r>
            <w:r w:rsidR="00A311D8">
              <w:rPr>
                <w:lang w:val="en-GB" w:eastAsia="en-GB" w:bidi="ar-SA"/>
              </w:rPr>
              <w:t>”</w:t>
            </w:r>
            <w:r w:rsidR="00C40784" w:rsidRPr="00ED78E6">
              <w:rPr>
                <w:lang w:val="en-GB" w:eastAsia="en-GB" w:bidi="ar-SA"/>
              </w:rPr>
              <w:t xml:space="preserve"> and, together with the 20</w:t>
            </w:r>
            <w:r w:rsidR="00663418">
              <w:rPr>
                <w:lang w:val="en-GB" w:eastAsia="en-GB" w:bidi="ar-SA"/>
              </w:rPr>
              <w:t>25</w:t>
            </w:r>
            <w:r w:rsidR="00C40784" w:rsidRPr="00ED78E6">
              <w:rPr>
                <w:lang w:val="en-GB" w:eastAsia="en-GB" w:bidi="ar-SA"/>
              </w:rPr>
              <w:t xml:space="preserve"> Notes, the </w:t>
            </w:r>
            <w:r w:rsidR="00A311D8">
              <w:rPr>
                <w:lang w:val="en-GB" w:eastAsia="en-GB" w:bidi="ar-SA"/>
              </w:rPr>
              <w:t>“</w:t>
            </w:r>
            <w:r w:rsidR="00C40784" w:rsidRPr="00ED78E6">
              <w:rPr>
                <w:lang w:val="en-GB" w:eastAsia="en-GB" w:bidi="ar-SA"/>
              </w:rPr>
              <w:t>Notes</w:t>
            </w:r>
            <w:r w:rsidR="00A311D8">
              <w:rPr>
                <w:lang w:val="en-GB" w:eastAsia="en-GB" w:bidi="ar-SA"/>
              </w:rPr>
              <w:t>”</w:t>
            </w:r>
            <w:r w:rsidR="00C40784" w:rsidRPr="00ED78E6">
              <w:rPr>
                <w:lang w:val="en-GB" w:eastAsia="en-GB" w:bidi="ar-SA"/>
              </w:rPr>
              <w:t>)</w:t>
            </w:r>
            <w:r w:rsidRPr="00571974">
              <w:rPr>
                <w:lang w:val="en-GB" w:eastAsia="en-GB" w:bidi="ar-SA"/>
              </w:rPr>
              <w:t>.</w:t>
            </w:r>
          </w:p>
        </w:tc>
      </w:tr>
      <w:tr w:rsidR="002228B8" w14:paraId="27E997B4" w14:textId="77777777" w:rsidTr="004C5423">
        <w:trPr>
          <w:cantSplit/>
          <w:jc w:val="center"/>
        </w:trPr>
        <w:tc>
          <w:tcPr>
            <w:tcW w:w="1749" w:type="pct"/>
            <w:tcBorders>
              <w:top w:val="nil"/>
              <w:left w:val="nil"/>
              <w:bottom w:val="nil"/>
              <w:right w:val="nil"/>
            </w:tcBorders>
          </w:tcPr>
          <w:p w14:paraId="662EA32E"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p>
        </w:tc>
        <w:tc>
          <w:tcPr>
            <w:tcW w:w="3251" w:type="pct"/>
            <w:tcBorders>
              <w:top w:val="nil"/>
              <w:left w:val="nil"/>
              <w:bottom w:val="nil"/>
              <w:right w:val="nil"/>
            </w:tcBorders>
            <w:vAlign w:val="bottom"/>
          </w:tcPr>
          <w:p w14:paraId="263705E3" w14:textId="137A49AB" w:rsidR="00903404" w:rsidRPr="00571974" w:rsidRDefault="00C40784"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 xml:space="preserve">Each series of </w:t>
            </w:r>
            <w:r>
              <w:rPr>
                <w:lang w:val="en-GB" w:eastAsia="en-GB" w:bidi="ar-SA"/>
              </w:rPr>
              <w:t>t</w:t>
            </w:r>
            <w:r w:rsidR="003D4D89" w:rsidRPr="00571974">
              <w:rPr>
                <w:lang w:val="en-GB" w:eastAsia="en-GB" w:bidi="ar-SA"/>
              </w:rPr>
              <w:t xml:space="preserve">he Notes will be issued under the Indenture among the Issuer, the Company and the Trustee. The </w:t>
            </w:r>
            <w:bookmarkStart w:id="24" w:name="_cp_text_1_844"/>
            <w:bookmarkEnd w:id="24"/>
            <w:r w:rsidRPr="00ED78E6">
              <w:rPr>
                <w:lang w:val="en-GB" w:eastAsia="en-GB" w:bidi="ar-SA"/>
              </w:rPr>
              <w:t>20</w:t>
            </w:r>
            <w:r w:rsidR="00663418">
              <w:rPr>
                <w:lang w:val="en-GB" w:eastAsia="en-GB" w:bidi="ar-SA"/>
              </w:rPr>
              <w:t xml:space="preserve">25 </w:t>
            </w:r>
            <w:r w:rsidRPr="00ED78E6">
              <w:rPr>
                <w:lang w:val="en-GB" w:eastAsia="en-GB" w:bidi="ar-SA"/>
              </w:rPr>
              <w:t>Notes and the 20</w:t>
            </w:r>
            <w:r w:rsidR="00663418">
              <w:rPr>
                <w:lang w:val="en-GB" w:eastAsia="en-GB" w:bidi="ar-SA"/>
              </w:rPr>
              <w:t>30</w:t>
            </w:r>
            <w:r w:rsidRPr="00ED78E6">
              <w:rPr>
                <w:lang w:val="en-GB" w:eastAsia="en-GB" w:bidi="ar-SA"/>
              </w:rPr>
              <w:t xml:space="preserve"> </w:t>
            </w:r>
            <w:r w:rsidR="003D4D89" w:rsidRPr="00571974">
              <w:rPr>
                <w:lang w:val="en-GB" w:eastAsia="en-GB" w:bidi="ar-SA"/>
              </w:rPr>
              <w:t xml:space="preserve">Notes will </w:t>
            </w:r>
            <w:r>
              <w:rPr>
                <w:lang w:val="en-GB" w:eastAsia="en-GB" w:bidi="ar-SA"/>
              </w:rPr>
              <w:t xml:space="preserve">each </w:t>
            </w:r>
            <w:r w:rsidR="003D4D89" w:rsidRPr="00571974">
              <w:rPr>
                <w:lang w:val="en-GB" w:eastAsia="en-GB" w:bidi="ar-SA"/>
              </w:rPr>
              <w:t>be treated as a separate class of securities under the Indenture.</w:t>
            </w:r>
          </w:p>
        </w:tc>
      </w:tr>
      <w:tr w:rsidR="002228B8" w14:paraId="4515E841" w14:textId="77777777" w:rsidTr="004C5423">
        <w:trPr>
          <w:cantSplit/>
          <w:jc w:val="center"/>
        </w:trPr>
        <w:tc>
          <w:tcPr>
            <w:tcW w:w="1749" w:type="pct"/>
            <w:tcBorders>
              <w:top w:val="nil"/>
              <w:left w:val="nil"/>
              <w:bottom w:val="nil"/>
              <w:right w:val="nil"/>
            </w:tcBorders>
          </w:tcPr>
          <w:p w14:paraId="476D9DBF"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The Guarantees</w:t>
            </w:r>
            <w:r w:rsidRPr="00571974">
              <w:rPr>
                <w:lang w:val="en-GB" w:eastAsia="en-GB" w:bidi="ar-SA"/>
              </w:rPr>
              <w:tab/>
            </w:r>
          </w:p>
        </w:tc>
        <w:tc>
          <w:tcPr>
            <w:tcW w:w="3251" w:type="pct"/>
            <w:tcBorders>
              <w:top w:val="nil"/>
              <w:left w:val="nil"/>
              <w:bottom w:val="nil"/>
              <w:right w:val="nil"/>
            </w:tcBorders>
            <w:vAlign w:val="bottom"/>
          </w:tcPr>
          <w:p w14:paraId="53497B8E" w14:textId="0DCD5ECC"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obligations of the Issuer under the Notes will be unconditionally and irrevocably guaranteed on a senior and unsecured basis by the Company (the </w:t>
            </w:r>
            <w:r w:rsidR="00A311D8">
              <w:rPr>
                <w:lang w:val="en-GB" w:eastAsia="en-GB" w:bidi="ar-SA"/>
              </w:rPr>
              <w:t>“</w:t>
            </w:r>
            <w:r w:rsidRPr="00571974">
              <w:rPr>
                <w:lang w:val="en-GB" w:eastAsia="en-GB" w:bidi="ar-SA"/>
              </w:rPr>
              <w:t>Guarantees</w:t>
            </w:r>
            <w:r w:rsidR="00A311D8">
              <w:rPr>
                <w:lang w:val="en-GB" w:eastAsia="en-GB" w:bidi="ar-SA"/>
              </w:rPr>
              <w:t>”</w:t>
            </w:r>
            <w:r w:rsidRPr="00571974">
              <w:rPr>
                <w:lang w:val="en-GB" w:eastAsia="en-GB" w:bidi="ar-SA"/>
              </w:rPr>
              <w:t>) pursuant to the Indenture.</w:t>
            </w:r>
          </w:p>
        </w:tc>
      </w:tr>
      <w:tr w:rsidR="002228B8" w14:paraId="39121649" w14:textId="77777777" w:rsidTr="004C5423">
        <w:trPr>
          <w:cantSplit/>
          <w:jc w:val="center"/>
        </w:trPr>
        <w:tc>
          <w:tcPr>
            <w:tcW w:w="1749" w:type="pct"/>
            <w:tcBorders>
              <w:top w:val="nil"/>
              <w:left w:val="nil"/>
              <w:bottom w:val="nil"/>
              <w:right w:val="nil"/>
            </w:tcBorders>
          </w:tcPr>
          <w:p w14:paraId="747BCE24" w14:textId="77777777" w:rsidR="00903404" w:rsidRPr="00571974" w:rsidRDefault="003D4D89" w:rsidP="002B7286">
            <w:pPr>
              <w:widowControl/>
              <w:tabs>
                <w:tab w:val="right" w:leader="dot" w:pos="3020"/>
              </w:tabs>
              <w:suppressAutoHyphens/>
              <w:ind w:left="200" w:hanging="200"/>
              <w:rPr>
                <w:b/>
                <w:bCs/>
                <w:lang w:val="en-GB" w:eastAsia="en-GB" w:bidi="ar-SA"/>
              </w:rPr>
            </w:pPr>
            <w:r w:rsidRPr="00571974">
              <w:rPr>
                <w:b/>
                <w:bCs/>
                <w:lang w:val="en-GB" w:eastAsia="en-GB" w:bidi="ar-SA"/>
              </w:rPr>
              <w:t>Offering</w:t>
            </w:r>
            <w:r w:rsidR="00751F69" w:rsidRPr="00571974">
              <w:rPr>
                <w:b/>
                <w:bCs/>
                <w:lang w:val="en-GB" w:eastAsia="en-GB" w:bidi="ar-SA"/>
              </w:rPr>
              <w:t xml:space="preserve"> Format</w:t>
            </w:r>
            <w:r w:rsidRPr="00571974">
              <w:rPr>
                <w:lang w:val="en-GB" w:eastAsia="en-GB" w:bidi="ar-SA"/>
              </w:rPr>
              <w:tab/>
            </w:r>
          </w:p>
        </w:tc>
        <w:tc>
          <w:tcPr>
            <w:tcW w:w="3251" w:type="pct"/>
            <w:tcBorders>
              <w:top w:val="nil"/>
              <w:left w:val="nil"/>
              <w:bottom w:val="nil"/>
              <w:right w:val="nil"/>
            </w:tcBorders>
            <w:vAlign w:val="bottom"/>
          </w:tcPr>
          <w:p w14:paraId="4CA034B0"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Notes are being offered in the United States to qualified institutional buyers in reliance on Rule 144A and outside the United States to persons other than </w:t>
            </w:r>
            <w:r w:rsidR="006D150F" w:rsidRPr="00571974">
              <w:rPr>
                <w:lang w:val="en-GB" w:eastAsia="en-GB" w:bidi="ar-SA"/>
              </w:rPr>
              <w:t>U.S.</w:t>
            </w:r>
            <w:r w:rsidRPr="00571974">
              <w:rPr>
                <w:lang w:val="en-GB" w:eastAsia="en-GB" w:bidi="ar-SA"/>
              </w:rPr>
              <w:t xml:space="preserve"> persons in reliance upon Regulation S.</w:t>
            </w:r>
          </w:p>
        </w:tc>
      </w:tr>
      <w:tr w:rsidR="002228B8" w14:paraId="3000F436" w14:textId="77777777" w:rsidTr="004C5423">
        <w:trPr>
          <w:cantSplit/>
          <w:jc w:val="center"/>
        </w:trPr>
        <w:tc>
          <w:tcPr>
            <w:tcW w:w="1749" w:type="pct"/>
            <w:tcBorders>
              <w:top w:val="nil"/>
              <w:left w:val="nil"/>
              <w:bottom w:val="nil"/>
              <w:right w:val="nil"/>
            </w:tcBorders>
          </w:tcPr>
          <w:p w14:paraId="05EDB9E7"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Issue Price</w:t>
            </w:r>
            <w:r w:rsidRPr="00571974">
              <w:rPr>
                <w:lang w:val="en-GB" w:eastAsia="en-GB" w:bidi="ar-SA"/>
              </w:rPr>
              <w:tab/>
            </w:r>
          </w:p>
        </w:tc>
        <w:tc>
          <w:tcPr>
            <w:tcW w:w="3251" w:type="pct"/>
            <w:tcBorders>
              <w:top w:val="nil"/>
              <w:left w:val="nil"/>
              <w:bottom w:val="nil"/>
              <w:right w:val="nil"/>
            </w:tcBorders>
            <w:vAlign w:val="bottom"/>
          </w:tcPr>
          <w:p w14:paraId="79174CFF" w14:textId="336C8A31" w:rsidR="00C40784" w:rsidRDefault="00663418" w:rsidP="00C40784">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99.909</w:t>
            </w:r>
            <w:r w:rsidR="003D4D89" w:rsidRPr="00571974">
              <w:rPr>
                <w:lang w:val="en-GB" w:eastAsia="en-GB" w:bidi="ar-SA"/>
              </w:rPr>
              <w:t>%</w:t>
            </w:r>
            <w:r w:rsidR="00C40784">
              <w:rPr>
                <w:lang w:val="en-GB" w:eastAsia="en-GB" w:bidi="ar-SA"/>
              </w:rPr>
              <w:t xml:space="preserve"> </w:t>
            </w:r>
            <w:r w:rsidR="00C40784" w:rsidRPr="00C40784">
              <w:rPr>
                <w:lang w:val="en-GB" w:eastAsia="en-GB" w:bidi="ar-SA"/>
              </w:rPr>
              <w:t>for the 20</w:t>
            </w:r>
            <w:r>
              <w:rPr>
                <w:lang w:val="en-GB" w:eastAsia="en-GB" w:bidi="ar-SA"/>
              </w:rPr>
              <w:t>25</w:t>
            </w:r>
            <w:r w:rsidR="00C40784" w:rsidRPr="00C40784">
              <w:rPr>
                <w:lang w:val="en-GB" w:eastAsia="en-GB" w:bidi="ar-SA"/>
              </w:rPr>
              <w:t xml:space="preserve"> Notes; and</w:t>
            </w:r>
          </w:p>
          <w:p w14:paraId="0C017C0F" w14:textId="69A7A311" w:rsidR="00903404" w:rsidRPr="00571974" w:rsidRDefault="00663418"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eastAsia="en-GB" w:bidi="ar-SA"/>
              </w:rPr>
              <w:t>99.434</w:t>
            </w:r>
            <w:r w:rsidR="00C40784">
              <w:rPr>
                <w:lang w:val="en-GB" w:eastAsia="en-GB" w:bidi="ar-SA"/>
              </w:rPr>
              <w:t xml:space="preserve">% </w:t>
            </w:r>
            <w:r w:rsidR="00C40784" w:rsidRPr="00ED78E6">
              <w:rPr>
                <w:lang w:val="en-GB" w:eastAsia="en-GB" w:bidi="ar-SA"/>
              </w:rPr>
              <w:t>for the 20</w:t>
            </w:r>
            <w:r>
              <w:rPr>
                <w:lang w:val="en-GB" w:eastAsia="en-GB" w:bidi="ar-SA"/>
              </w:rPr>
              <w:t>30</w:t>
            </w:r>
            <w:r w:rsidR="00C40784" w:rsidRPr="00ED78E6">
              <w:rPr>
                <w:lang w:val="en-GB" w:eastAsia="en-GB" w:bidi="ar-SA"/>
              </w:rPr>
              <w:t xml:space="preserve"> Notes</w:t>
            </w:r>
            <w:r w:rsidR="003D4D89" w:rsidRPr="00571974">
              <w:rPr>
                <w:lang w:val="en-GB" w:eastAsia="en-GB" w:bidi="ar-SA"/>
              </w:rPr>
              <w:t xml:space="preserve">. </w:t>
            </w:r>
          </w:p>
        </w:tc>
      </w:tr>
      <w:tr w:rsidR="002228B8" w14:paraId="6F11913B" w14:textId="77777777" w:rsidTr="004C5423">
        <w:trPr>
          <w:cantSplit/>
          <w:jc w:val="center"/>
        </w:trPr>
        <w:tc>
          <w:tcPr>
            <w:tcW w:w="1749" w:type="pct"/>
            <w:tcBorders>
              <w:top w:val="nil"/>
              <w:left w:val="nil"/>
              <w:bottom w:val="nil"/>
              <w:right w:val="nil"/>
            </w:tcBorders>
          </w:tcPr>
          <w:p w14:paraId="2FA58E44"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Issue Date</w:t>
            </w:r>
            <w:r w:rsidRPr="00571974">
              <w:rPr>
                <w:lang w:val="en-GB" w:eastAsia="en-GB" w:bidi="ar-SA"/>
              </w:rPr>
              <w:tab/>
            </w:r>
          </w:p>
        </w:tc>
        <w:tc>
          <w:tcPr>
            <w:tcW w:w="3251" w:type="pct"/>
            <w:tcBorders>
              <w:top w:val="nil"/>
              <w:left w:val="nil"/>
              <w:bottom w:val="nil"/>
              <w:right w:val="nil"/>
            </w:tcBorders>
            <w:vAlign w:val="bottom"/>
          </w:tcPr>
          <w:p w14:paraId="7D4F8796" w14:textId="5F27AAE0" w:rsidR="00903404" w:rsidRPr="00571974" w:rsidRDefault="00663418" w:rsidP="00E2112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April 1</w:t>
            </w:r>
            <w:r w:rsidR="003D4D89" w:rsidRPr="00571974">
              <w:rPr>
                <w:lang w:val="en-GB" w:eastAsia="en-GB" w:bidi="ar-SA"/>
              </w:rPr>
              <w:t xml:space="preserve">, </w:t>
            </w:r>
            <w:r w:rsidR="00735C69" w:rsidRPr="00571974">
              <w:rPr>
                <w:lang w:val="en-GB" w:eastAsia="en-GB" w:bidi="ar-SA"/>
              </w:rPr>
              <w:t>2020</w:t>
            </w:r>
            <w:r w:rsidR="003D4D89" w:rsidRPr="00571974">
              <w:rPr>
                <w:lang w:val="en-GB" w:eastAsia="en-GB" w:bidi="ar-SA"/>
              </w:rPr>
              <w:t>.</w:t>
            </w:r>
            <w:r w:rsidR="003D4D89" w:rsidRPr="00571974">
              <w:rPr>
                <w:i/>
                <w:iCs/>
                <w:noProof/>
                <w:lang w:val="en-GB" w:eastAsia="en-GB" w:bidi="ar-SA"/>
              </w:rPr>
              <w:t xml:space="preserve"> </w:t>
            </w:r>
          </w:p>
        </w:tc>
      </w:tr>
      <w:tr w:rsidR="002228B8" w14:paraId="25DF7111" w14:textId="77777777" w:rsidTr="004C5423">
        <w:trPr>
          <w:cantSplit/>
          <w:jc w:val="center"/>
        </w:trPr>
        <w:tc>
          <w:tcPr>
            <w:tcW w:w="1749" w:type="pct"/>
            <w:tcBorders>
              <w:top w:val="nil"/>
              <w:left w:val="nil"/>
              <w:bottom w:val="nil"/>
              <w:right w:val="nil"/>
            </w:tcBorders>
          </w:tcPr>
          <w:p w14:paraId="0FFD7B7F"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Maturity Date</w:t>
            </w:r>
            <w:r w:rsidRPr="00571974">
              <w:rPr>
                <w:lang w:val="en-GB" w:eastAsia="en-GB" w:bidi="ar-SA"/>
              </w:rPr>
              <w:tab/>
            </w:r>
          </w:p>
        </w:tc>
        <w:tc>
          <w:tcPr>
            <w:tcW w:w="3251" w:type="pct"/>
            <w:tcBorders>
              <w:top w:val="nil"/>
              <w:left w:val="nil"/>
              <w:bottom w:val="nil"/>
              <w:right w:val="nil"/>
            </w:tcBorders>
            <w:vAlign w:val="bottom"/>
          </w:tcPr>
          <w:p w14:paraId="593F2323" w14:textId="1AF59B67" w:rsidR="00C40784" w:rsidRDefault="00663418" w:rsidP="00724BA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April 1</w:t>
            </w:r>
            <w:r w:rsidR="003D4D89" w:rsidRPr="00571974">
              <w:rPr>
                <w:lang w:val="en-GB" w:eastAsia="en-GB" w:bidi="ar-SA"/>
              </w:rPr>
              <w:t>, 20</w:t>
            </w:r>
            <w:r>
              <w:rPr>
                <w:lang w:val="en-GB" w:eastAsia="en-GB" w:bidi="ar-SA"/>
              </w:rPr>
              <w:t xml:space="preserve">25 </w:t>
            </w:r>
            <w:r w:rsidR="00C40784" w:rsidRPr="00C40784">
              <w:rPr>
                <w:lang w:val="en-GB" w:eastAsia="en-GB" w:bidi="ar-SA"/>
              </w:rPr>
              <w:t>for the 20</w:t>
            </w:r>
            <w:r>
              <w:rPr>
                <w:lang w:val="en-GB" w:eastAsia="en-GB" w:bidi="ar-SA"/>
              </w:rPr>
              <w:t>25</w:t>
            </w:r>
            <w:r w:rsidR="00C40784" w:rsidRPr="00C40784">
              <w:rPr>
                <w:lang w:val="en-GB" w:eastAsia="en-GB" w:bidi="ar-SA"/>
              </w:rPr>
              <w:t xml:space="preserve"> Notes; and</w:t>
            </w:r>
          </w:p>
          <w:p w14:paraId="0A7782BE" w14:textId="79B32394" w:rsidR="00903404" w:rsidRPr="00571974" w:rsidRDefault="00663418"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April 1</w:t>
            </w:r>
            <w:r w:rsidR="00C40784" w:rsidRPr="00571974">
              <w:rPr>
                <w:lang w:val="en-GB" w:eastAsia="en-GB" w:bidi="ar-SA"/>
              </w:rPr>
              <w:t>, 20</w:t>
            </w:r>
            <w:r>
              <w:rPr>
                <w:lang w:val="en-GB" w:eastAsia="en-GB" w:bidi="ar-SA"/>
              </w:rPr>
              <w:t>30</w:t>
            </w:r>
            <w:r w:rsidR="00C40784">
              <w:rPr>
                <w:lang w:val="en-GB" w:eastAsia="en-GB" w:bidi="ar-SA"/>
              </w:rPr>
              <w:t xml:space="preserve"> </w:t>
            </w:r>
            <w:r w:rsidR="00C40784" w:rsidRPr="00C40784">
              <w:rPr>
                <w:lang w:val="en-GB" w:eastAsia="en-GB" w:bidi="ar-SA"/>
              </w:rPr>
              <w:t>for the 20</w:t>
            </w:r>
            <w:r>
              <w:rPr>
                <w:lang w:val="en-GB" w:eastAsia="en-GB" w:bidi="ar-SA"/>
              </w:rPr>
              <w:t>30</w:t>
            </w:r>
            <w:r w:rsidR="00C40784" w:rsidRPr="00C40784">
              <w:rPr>
                <w:lang w:val="en-GB" w:eastAsia="en-GB" w:bidi="ar-SA"/>
              </w:rPr>
              <w:t xml:space="preserve"> Notes</w:t>
            </w:r>
            <w:r w:rsidR="003D4D89" w:rsidRPr="00571974">
              <w:rPr>
                <w:lang w:val="en-GB" w:eastAsia="en-GB" w:bidi="ar-SA"/>
              </w:rPr>
              <w:t>.</w:t>
            </w:r>
          </w:p>
        </w:tc>
      </w:tr>
      <w:tr w:rsidR="002228B8" w14:paraId="682668B0" w14:textId="77777777" w:rsidTr="004C5423">
        <w:trPr>
          <w:cantSplit/>
          <w:jc w:val="center"/>
        </w:trPr>
        <w:tc>
          <w:tcPr>
            <w:tcW w:w="1749" w:type="pct"/>
            <w:tcBorders>
              <w:top w:val="nil"/>
              <w:left w:val="nil"/>
              <w:bottom w:val="nil"/>
              <w:right w:val="nil"/>
            </w:tcBorders>
          </w:tcPr>
          <w:p w14:paraId="08015BF1"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Interest</w:t>
            </w:r>
            <w:r w:rsidRPr="00571974">
              <w:rPr>
                <w:lang w:val="en-GB" w:eastAsia="en-GB" w:bidi="ar-SA"/>
              </w:rPr>
              <w:tab/>
            </w:r>
          </w:p>
        </w:tc>
        <w:tc>
          <w:tcPr>
            <w:tcW w:w="3251" w:type="pct"/>
            <w:tcBorders>
              <w:top w:val="nil"/>
              <w:left w:val="nil"/>
              <w:bottom w:val="nil"/>
              <w:right w:val="nil"/>
            </w:tcBorders>
            <w:vAlign w:val="bottom"/>
          </w:tcPr>
          <w:p w14:paraId="3730D9F5" w14:textId="5C1AFE6F" w:rsidR="00903404" w:rsidRPr="00571974" w:rsidRDefault="003D4D89"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w:t>
            </w:r>
            <w:r w:rsidR="00C40784">
              <w:rPr>
                <w:lang w:val="en-GB" w:eastAsia="en-GB" w:bidi="ar-SA"/>
              </w:rPr>
              <w:t xml:space="preserve"> 20</w:t>
            </w:r>
            <w:r w:rsidR="00663418">
              <w:rPr>
                <w:lang w:val="en-GB" w:eastAsia="en-GB" w:bidi="ar-SA"/>
              </w:rPr>
              <w:t>25</w:t>
            </w:r>
            <w:r w:rsidRPr="00571974">
              <w:rPr>
                <w:lang w:val="en-GB" w:eastAsia="en-GB" w:bidi="ar-SA"/>
              </w:rPr>
              <w:t xml:space="preserve"> Notes </w:t>
            </w:r>
            <w:r w:rsidR="00C40784">
              <w:rPr>
                <w:lang w:val="en-GB" w:eastAsia="en-GB" w:bidi="ar-SA"/>
              </w:rPr>
              <w:t>and the 20</w:t>
            </w:r>
            <w:r w:rsidR="00663418">
              <w:rPr>
                <w:lang w:val="en-GB" w:eastAsia="en-GB" w:bidi="ar-SA"/>
              </w:rPr>
              <w:t>30</w:t>
            </w:r>
            <w:r w:rsidR="00C40784">
              <w:rPr>
                <w:lang w:val="en-GB" w:eastAsia="en-GB" w:bidi="ar-SA"/>
              </w:rPr>
              <w:t xml:space="preserve"> Notes </w:t>
            </w:r>
            <w:r w:rsidRPr="00571974">
              <w:rPr>
                <w:lang w:val="en-GB" w:eastAsia="en-GB" w:bidi="ar-SA"/>
              </w:rPr>
              <w:t>will bear interest from the Issue Date at the rate of</w:t>
            </w:r>
            <w:r w:rsidR="00663418">
              <w:rPr>
                <w:lang w:val="en-GB" w:eastAsia="en-GB" w:bidi="ar-SA"/>
              </w:rPr>
              <w:t xml:space="preserve"> 5.375</w:t>
            </w:r>
            <w:r w:rsidRPr="00571974">
              <w:rPr>
                <w:lang w:val="en-GB" w:eastAsia="en-GB" w:bidi="ar-SA"/>
              </w:rPr>
              <w:t>% per annum</w:t>
            </w:r>
            <w:bookmarkStart w:id="25" w:name="_cp_text_1_862"/>
            <w:bookmarkEnd w:id="25"/>
            <w:r w:rsidR="00C40784" w:rsidRPr="00ED78E6">
              <w:rPr>
                <w:lang w:val="en-GB" w:eastAsia="en-GB" w:bidi="ar-SA"/>
              </w:rPr>
              <w:t xml:space="preserve"> and </w:t>
            </w:r>
            <w:r w:rsidR="00663418">
              <w:rPr>
                <w:lang w:val="en-GB" w:eastAsia="en-GB" w:bidi="ar-SA"/>
              </w:rPr>
              <w:t>5.625</w:t>
            </w:r>
            <w:r w:rsidR="00C40784" w:rsidRPr="00ED78E6">
              <w:rPr>
                <w:lang w:val="en-GB" w:eastAsia="en-GB" w:bidi="ar-SA"/>
              </w:rPr>
              <w:t>% per annum, respectively</w:t>
            </w:r>
            <w:r w:rsidRPr="00571974">
              <w:rPr>
                <w:lang w:val="en-GB" w:eastAsia="en-GB" w:bidi="ar-SA"/>
              </w:rPr>
              <w:t>, payable semi-annually in arrears.</w:t>
            </w:r>
          </w:p>
        </w:tc>
      </w:tr>
      <w:tr w:rsidR="002228B8" w14:paraId="6CD9E086" w14:textId="77777777" w:rsidTr="004C5423">
        <w:trPr>
          <w:cantSplit/>
          <w:jc w:val="center"/>
        </w:trPr>
        <w:tc>
          <w:tcPr>
            <w:tcW w:w="1749" w:type="pct"/>
            <w:tcBorders>
              <w:top w:val="nil"/>
              <w:left w:val="nil"/>
              <w:bottom w:val="nil"/>
              <w:right w:val="nil"/>
            </w:tcBorders>
          </w:tcPr>
          <w:p w14:paraId="248B1C3A"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Interest Payment Dates</w:t>
            </w:r>
            <w:r w:rsidRPr="00571974">
              <w:rPr>
                <w:lang w:val="en-GB" w:eastAsia="en-GB" w:bidi="ar-SA"/>
              </w:rPr>
              <w:tab/>
            </w:r>
          </w:p>
        </w:tc>
        <w:tc>
          <w:tcPr>
            <w:tcW w:w="3251" w:type="pct"/>
            <w:tcBorders>
              <w:top w:val="nil"/>
              <w:left w:val="nil"/>
              <w:bottom w:val="nil"/>
              <w:right w:val="nil"/>
            </w:tcBorders>
            <w:vAlign w:val="bottom"/>
          </w:tcPr>
          <w:p w14:paraId="07C6B351" w14:textId="62E97AF9" w:rsidR="00903404" w:rsidRPr="00571974" w:rsidRDefault="00663418"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April 1</w:t>
            </w:r>
            <w:r w:rsidR="00ED78E6" w:rsidRPr="00F018AA">
              <w:rPr>
                <w:lang w:val="en-GB"/>
              </w:rPr>
              <w:t xml:space="preserve"> </w:t>
            </w:r>
            <w:r w:rsidR="003D4D89" w:rsidRPr="00571974">
              <w:rPr>
                <w:lang w:val="en-GB" w:eastAsia="en-GB" w:bidi="ar-SA"/>
              </w:rPr>
              <w:t>and</w:t>
            </w:r>
            <w:r>
              <w:rPr>
                <w:lang w:val="en-GB" w:eastAsia="en-GB" w:bidi="ar-SA"/>
              </w:rPr>
              <w:t xml:space="preserve"> October 1</w:t>
            </w:r>
            <w:r w:rsidR="003D4D89" w:rsidRPr="00571974">
              <w:rPr>
                <w:lang w:val="en-GB" w:eastAsia="en-GB" w:bidi="ar-SA"/>
              </w:rPr>
              <w:t xml:space="preserve"> of each year, commencing</w:t>
            </w:r>
            <w:r w:rsidR="00E45435" w:rsidRPr="00F018AA">
              <w:rPr>
                <w:lang w:val="en-GB"/>
              </w:rPr>
              <w:t xml:space="preserve"> </w:t>
            </w:r>
            <w:r>
              <w:rPr>
                <w:lang w:val="en-GB"/>
              </w:rPr>
              <w:t>October 1</w:t>
            </w:r>
            <w:r w:rsidR="003D4D89" w:rsidRPr="00571974">
              <w:rPr>
                <w:lang w:val="en-GB" w:eastAsia="en-GB" w:bidi="ar-SA"/>
              </w:rPr>
              <w:t xml:space="preserve">, </w:t>
            </w:r>
            <w:r w:rsidR="00E21126" w:rsidRPr="00571974">
              <w:rPr>
                <w:lang w:val="en-GB" w:eastAsia="en-GB" w:bidi="ar-SA"/>
              </w:rPr>
              <w:t>20</w:t>
            </w:r>
            <w:r w:rsidR="00BB5FB5" w:rsidRPr="00571974">
              <w:rPr>
                <w:lang w:val="en-GB" w:eastAsia="en-GB" w:bidi="ar-SA"/>
              </w:rPr>
              <w:t>20</w:t>
            </w:r>
            <w:r w:rsidR="003D4D89" w:rsidRPr="00571974">
              <w:rPr>
                <w:lang w:val="en-GB" w:eastAsia="en-GB" w:bidi="ar-SA"/>
              </w:rPr>
              <w:t xml:space="preserve">, until the </w:t>
            </w:r>
            <w:r w:rsidR="00A5114A">
              <w:rPr>
                <w:lang w:val="en-GB" w:eastAsia="en-GB" w:bidi="ar-SA"/>
              </w:rPr>
              <w:t xml:space="preserve">applicable </w:t>
            </w:r>
            <w:r w:rsidR="003D4D89" w:rsidRPr="00571974">
              <w:rPr>
                <w:lang w:val="en-GB" w:eastAsia="en-GB" w:bidi="ar-SA"/>
              </w:rPr>
              <w:t>Maturity Date.</w:t>
            </w:r>
          </w:p>
        </w:tc>
      </w:tr>
      <w:tr w:rsidR="002228B8" w14:paraId="58A1E027" w14:textId="77777777" w:rsidTr="004C5423">
        <w:trPr>
          <w:cantSplit/>
          <w:jc w:val="center"/>
        </w:trPr>
        <w:tc>
          <w:tcPr>
            <w:tcW w:w="1749" w:type="pct"/>
            <w:tcBorders>
              <w:top w:val="nil"/>
              <w:left w:val="nil"/>
              <w:bottom w:val="nil"/>
              <w:right w:val="nil"/>
            </w:tcBorders>
          </w:tcPr>
          <w:p w14:paraId="7D87540F"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Regular Record Dates</w:t>
            </w:r>
            <w:r w:rsidRPr="00571974">
              <w:rPr>
                <w:lang w:val="en-GB" w:eastAsia="en-GB" w:bidi="ar-SA"/>
              </w:rPr>
              <w:tab/>
            </w:r>
          </w:p>
        </w:tc>
        <w:tc>
          <w:tcPr>
            <w:tcW w:w="3251" w:type="pct"/>
            <w:tcBorders>
              <w:top w:val="nil"/>
              <w:left w:val="nil"/>
              <w:bottom w:val="nil"/>
              <w:right w:val="nil"/>
            </w:tcBorders>
            <w:vAlign w:val="bottom"/>
          </w:tcPr>
          <w:p w14:paraId="4BB0CC7E" w14:textId="7EF889DF" w:rsidR="00903404" w:rsidRPr="00571974" w:rsidRDefault="00663418"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rPr>
              <w:t>March 15</w:t>
            </w:r>
            <w:r w:rsidR="00E45435" w:rsidRPr="00F018AA">
              <w:rPr>
                <w:lang w:val="en-GB"/>
              </w:rPr>
              <w:t xml:space="preserve"> </w:t>
            </w:r>
            <w:r w:rsidR="00E45435">
              <w:rPr>
                <w:lang w:val="en-GB" w:eastAsia="en-GB" w:bidi="ar-SA"/>
              </w:rPr>
              <w:t>and</w:t>
            </w:r>
            <w:r>
              <w:rPr>
                <w:lang w:val="en-GB" w:eastAsia="en-GB" w:bidi="ar-SA"/>
              </w:rPr>
              <w:t xml:space="preserve"> September 15</w:t>
            </w:r>
            <w:r w:rsidR="00E45435" w:rsidRPr="00F018AA">
              <w:rPr>
                <w:lang w:val="en-GB"/>
              </w:rPr>
              <w:t xml:space="preserve"> </w:t>
            </w:r>
            <w:r w:rsidR="003D4D89" w:rsidRPr="00571974">
              <w:rPr>
                <w:lang w:val="en-GB" w:eastAsia="en-GB" w:bidi="ar-SA"/>
              </w:rPr>
              <w:t>of each year (whether or not a business day) immediately preceding each interest payment date.</w:t>
            </w:r>
          </w:p>
        </w:tc>
      </w:tr>
      <w:tr w:rsidR="002228B8" w14:paraId="07F56918" w14:textId="77777777" w:rsidTr="004C5423">
        <w:trPr>
          <w:cantSplit/>
          <w:jc w:val="center"/>
        </w:trPr>
        <w:tc>
          <w:tcPr>
            <w:tcW w:w="1749" w:type="pct"/>
            <w:tcBorders>
              <w:top w:val="nil"/>
              <w:left w:val="nil"/>
              <w:bottom w:val="nil"/>
              <w:right w:val="nil"/>
            </w:tcBorders>
          </w:tcPr>
          <w:p w14:paraId="552124F6"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Status of the Notes and the Guarantees</w:t>
            </w:r>
            <w:r w:rsidRPr="00571974">
              <w:rPr>
                <w:lang w:val="en-GB" w:eastAsia="en-GB" w:bidi="ar-SA"/>
              </w:rPr>
              <w:tab/>
            </w:r>
          </w:p>
        </w:tc>
        <w:tc>
          <w:tcPr>
            <w:tcW w:w="3251" w:type="pct"/>
            <w:tcBorders>
              <w:top w:val="nil"/>
              <w:left w:val="nil"/>
              <w:bottom w:val="nil"/>
              <w:right w:val="nil"/>
            </w:tcBorders>
            <w:vAlign w:val="bottom"/>
          </w:tcPr>
          <w:p w14:paraId="7393E7AD"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p>
          <w:p w14:paraId="0C2BD0C9"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Notes and the Guarantees will be direct, unsecured and unsubordinated obligations of each of the Issuer and the Company, respectively, ranking </w:t>
            </w:r>
            <w:r w:rsidRPr="00571974">
              <w:rPr>
                <w:i/>
                <w:iCs/>
                <w:lang w:val="en-GB" w:eastAsia="en-GB" w:bidi="ar-SA"/>
              </w:rPr>
              <w:t>pari passu</w:t>
            </w:r>
            <w:r w:rsidRPr="00571974">
              <w:rPr>
                <w:lang w:val="en-GB" w:eastAsia="en-GB" w:bidi="ar-SA"/>
              </w:rPr>
              <w:t xml:space="preserve"> among themselves and with all other direct, unsecured and unsubordinated obligations (except those obligations preferred by statute or operation of law) of the Issuer and the Company, respectively. The Notes and the Guarantees will be effectively subordinated to any debt or other obligations of any other subsidiary of the Company with respect to the earnings and assets of that subsidiary.</w:t>
            </w:r>
          </w:p>
        </w:tc>
      </w:tr>
      <w:tr w:rsidR="002228B8" w14:paraId="77D3F1FF" w14:textId="77777777" w:rsidTr="004C5423">
        <w:trPr>
          <w:cantSplit/>
          <w:jc w:val="center"/>
        </w:trPr>
        <w:tc>
          <w:tcPr>
            <w:tcW w:w="1749" w:type="pct"/>
            <w:tcBorders>
              <w:top w:val="nil"/>
              <w:left w:val="nil"/>
              <w:bottom w:val="nil"/>
              <w:right w:val="nil"/>
            </w:tcBorders>
          </w:tcPr>
          <w:p w14:paraId="6CCD686D"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Use of Proceeds</w:t>
            </w:r>
            <w:r w:rsidRPr="00571974">
              <w:rPr>
                <w:lang w:val="en-GB" w:eastAsia="en-GB" w:bidi="ar-SA"/>
              </w:rPr>
              <w:tab/>
            </w:r>
          </w:p>
        </w:tc>
        <w:tc>
          <w:tcPr>
            <w:tcW w:w="3251" w:type="pct"/>
            <w:tcBorders>
              <w:top w:val="nil"/>
              <w:left w:val="nil"/>
              <w:bottom w:val="nil"/>
              <w:right w:val="nil"/>
            </w:tcBorders>
            <w:vAlign w:val="bottom"/>
          </w:tcPr>
          <w:p w14:paraId="1F2C0BF8" w14:textId="26A9A9C6" w:rsidR="00903404" w:rsidRPr="00D50E60" w:rsidRDefault="003D4D89" w:rsidP="0008242C">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b/>
                <w:bCs/>
                <w:i/>
                <w:iCs/>
                <w:lang w:val="en-GB" w:eastAsia="en-GB" w:bidi="ar-SA"/>
              </w:rPr>
            </w:pPr>
            <w:r w:rsidRPr="00571974">
              <w:rPr>
                <w:lang w:val="en-GB" w:eastAsia="en-GB" w:bidi="ar-SA"/>
              </w:rPr>
              <w:t>We expect that the net proceeds of the offering will be used for</w:t>
            </w:r>
            <w:r w:rsidR="00467EED" w:rsidRPr="00571974">
              <w:rPr>
                <w:lang w:val="en-GB" w:eastAsia="en-GB" w:bidi="ar-SA"/>
              </w:rPr>
              <w:t xml:space="preserve"> our general corporate purposes.</w:t>
            </w:r>
          </w:p>
        </w:tc>
      </w:tr>
      <w:tr w:rsidR="002228B8" w14:paraId="053A3472" w14:textId="77777777" w:rsidTr="004C5423">
        <w:trPr>
          <w:cantSplit/>
          <w:jc w:val="center"/>
        </w:trPr>
        <w:tc>
          <w:tcPr>
            <w:tcW w:w="1749" w:type="pct"/>
            <w:tcBorders>
              <w:top w:val="nil"/>
              <w:left w:val="nil"/>
              <w:bottom w:val="nil"/>
              <w:right w:val="nil"/>
            </w:tcBorders>
          </w:tcPr>
          <w:p w14:paraId="18F7B9BA"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Covenants</w:t>
            </w:r>
            <w:r w:rsidRPr="00571974">
              <w:rPr>
                <w:lang w:val="en-GB" w:eastAsia="en-GB" w:bidi="ar-SA"/>
              </w:rPr>
              <w:tab/>
            </w:r>
          </w:p>
        </w:tc>
        <w:tc>
          <w:tcPr>
            <w:tcW w:w="3251" w:type="pct"/>
            <w:tcBorders>
              <w:top w:val="nil"/>
              <w:left w:val="nil"/>
              <w:bottom w:val="nil"/>
              <w:right w:val="nil"/>
            </w:tcBorders>
            <w:vAlign w:val="bottom"/>
          </w:tcPr>
          <w:p w14:paraId="729CD23C"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Issuer and the Company have agreed to certain covenants with respect to the Notes and the Guarantees, including limitations on:</w:t>
            </w:r>
          </w:p>
        </w:tc>
      </w:tr>
      <w:tr w:rsidR="002228B8" w14:paraId="504FB275" w14:textId="77777777" w:rsidTr="004C5423">
        <w:trPr>
          <w:cantSplit/>
          <w:jc w:val="center"/>
        </w:trPr>
        <w:tc>
          <w:tcPr>
            <w:tcW w:w="1749" w:type="pct"/>
            <w:tcBorders>
              <w:top w:val="nil"/>
              <w:left w:val="nil"/>
              <w:bottom w:val="nil"/>
              <w:right w:val="nil"/>
            </w:tcBorders>
          </w:tcPr>
          <w:p w14:paraId="24FABB94"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p>
        </w:tc>
        <w:tc>
          <w:tcPr>
            <w:tcW w:w="3251" w:type="pct"/>
            <w:tcBorders>
              <w:top w:val="nil"/>
              <w:left w:val="nil"/>
              <w:bottom w:val="nil"/>
              <w:right w:val="nil"/>
            </w:tcBorders>
            <w:vAlign w:val="bottom"/>
          </w:tcPr>
          <w:p w14:paraId="41FADF27" w14:textId="77777777" w:rsidR="00903404" w:rsidRPr="00571974" w:rsidRDefault="003D4D89" w:rsidP="002B7286">
            <w:pPr>
              <w:widowControl/>
              <w:suppressAutoHyphens/>
              <w:ind w:left="360" w:hanging="360"/>
              <w:rPr>
                <w:lang w:val="en-GB" w:eastAsia="en-GB" w:bidi="ar-SA"/>
              </w:rPr>
            </w:pPr>
            <w:r w:rsidRPr="00571974">
              <w:rPr>
                <w:lang w:val="en-GB" w:eastAsia="en-GB" w:bidi="ar-SA"/>
              </w:rPr>
              <w:t>•</w:t>
            </w:r>
            <w:r w:rsidRPr="00571974">
              <w:rPr>
                <w:lang w:val="en-GB" w:eastAsia="en-GB" w:bidi="ar-SA"/>
              </w:rPr>
              <w:tab/>
              <w:t>liens;</w:t>
            </w:r>
          </w:p>
        </w:tc>
      </w:tr>
      <w:tr w:rsidR="002228B8" w14:paraId="05A8ADC0" w14:textId="77777777" w:rsidTr="004C5423">
        <w:trPr>
          <w:cantSplit/>
          <w:jc w:val="center"/>
        </w:trPr>
        <w:tc>
          <w:tcPr>
            <w:tcW w:w="1749" w:type="pct"/>
            <w:tcBorders>
              <w:top w:val="nil"/>
              <w:left w:val="nil"/>
              <w:bottom w:val="nil"/>
              <w:right w:val="nil"/>
            </w:tcBorders>
          </w:tcPr>
          <w:p w14:paraId="1C7E23CC"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p>
        </w:tc>
        <w:tc>
          <w:tcPr>
            <w:tcW w:w="3251" w:type="pct"/>
            <w:tcBorders>
              <w:top w:val="nil"/>
              <w:left w:val="nil"/>
              <w:bottom w:val="nil"/>
              <w:right w:val="nil"/>
            </w:tcBorders>
            <w:vAlign w:val="bottom"/>
          </w:tcPr>
          <w:p w14:paraId="2E30152A" w14:textId="77777777" w:rsidR="00903404" w:rsidRPr="00571974" w:rsidRDefault="003D4D89" w:rsidP="002B7286">
            <w:pPr>
              <w:widowControl/>
              <w:suppressAutoHyphens/>
              <w:ind w:left="360" w:hanging="360"/>
              <w:rPr>
                <w:lang w:val="en-GB" w:eastAsia="en-GB" w:bidi="ar-SA"/>
              </w:rPr>
            </w:pPr>
            <w:r w:rsidRPr="00571974">
              <w:rPr>
                <w:lang w:val="en-GB" w:eastAsia="en-GB" w:bidi="ar-SA"/>
              </w:rPr>
              <w:t>•</w:t>
            </w:r>
            <w:r w:rsidRPr="00571974">
              <w:rPr>
                <w:lang w:val="en-GB" w:eastAsia="en-GB" w:bidi="ar-SA"/>
              </w:rPr>
              <w:tab/>
              <w:t>sale and leaseback transactions; and</w:t>
            </w:r>
          </w:p>
        </w:tc>
      </w:tr>
      <w:tr w:rsidR="002228B8" w14:paraId="0FF5D031" w14:textId="77777777" w:rsidTr="004C5423">
        <w:trPr>
          <w:cantSplit/>
          <w:jc w:val="center"/>
        </w:trPr>
        <w:tc>
          <w:tcPr>
            <w:tcW w:w="1749" w:type="pct"/>
            <w:tcBorders>
              <w:top w:val="nil"/>
              <w:left w:val="nil"/>
              <w:bottom w:val="nil"/>
              <w:right w:val="nil"/>
            </w:tcBorders>
          </w:tcPr>
          <w:p w14:paraId="331E48C9"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p>
        </w:tc>
        <w:tc>
          <w:tcPr>
            <w:tcW w:w="3251" w:type="pct"/>
            <w:tcBorders>
              <w:top w:val="nil"/>
              <w:left w:val="nil"/>
              <w:bottom w:val="nil"/>
              <w:right w:val="nil"/>
            </w:tcBorders>
            <w:vAlign w:val="bottom"/>
          </w:tcPr>
          <w:p w14:paraId="2BDB1D0A" w14:textId="77777777" w:rsidR="00903404" w:rsidRPr="00571974" w:rsidRDefault="003D4D89" w:rsidP="002B7286">
            <w:pPr>
              <w:widowControl/>
              <w:suppressAutoHyphens/>
              <w:ind w:left="360" w:hanging="360"/>
              <w:rPr>
                <w:lang w:val="en-GB" w:eastAsia="en-GB" w:bidi="ar-SA"/>
              </w:rPr>
            </w:pPr>
            <w:r w:rsidRPr="00571974">
              <w:rPr>
                <w:lang w:val="en-GB" w:eastAsia="en-GB" w:bidi="ar-SA"/>
              </w:rPr>
              <w:t>•</w:t>
            </w:r>
            <w:r w:rsidRPr="00571974">
              <w:rPr>
                <w:lang w:val="en-GB" w:eastAsia="en-GB" w:bidi="ar-SA"/>
              </w:rPr>
              <w:tab/>
              <w:t>mergers and consolidations.</w:t>
            </w:r>
          </w:p>
        </w:tc>
      </w:tr>
      <w:tr w:rsidR="002228B8" w14:paraId="6FE7BE7C" w14:textId="77777777" w:rsidTr="004C5423">
        <w:trPr>
          <w:cantSplit/>
          <w:jc w:val="center"/>
        </w:trPr>
        <w:tc>
          <w:tcPr>
            <w:tcW w:w="1749" w:type="pct"/>
            <w:tcBorders>
              <w:top w:val="nil"/>
              <w:left w:val="nil"/>
              <w:bottom w:val="nil"/>
              <w:right w:val="nil"/>
            </w:tcBorders>
          </w:tcPr>
          <w:p w14:paraId="6440AD2F"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Events of Default</w:t>
            </w:r>
            <w:r w:rsidRPr="00571974">
              <w:rPr>
                <w:lang w:val="en-GB" w:eastAsia="en-GB" w:bidi="ar-SA"/>
              </w:rPr>
              <w:tab/>
            </w:r>
          </w:p>
        </w:tc>
        <w:tc>
          <w:tcPr>
            <w:tcW w:w="3251" w:type="pct"/>
            <w:tcBorders>
              <w:top w:val="nil"/>
              <w:left w:val="nil"/>
              <w:bottom w:val="nil"/>
              <w:right w:val="nil"/>
            </w:tcBorders>
            <w:vAlign w:val="bottom"/>
          </w:tcPr>
          <w:p w14:paraId="2040C58F" w14:textId="2706535B"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occurrence or existence of certain conditions or events, including the acceleration of certain other indebtedness of the Issuer or the Company, may accelerate the Issuer and the Company</w:t>
            </w:r>
            <w:r w:rsidR="00A311D8">
              <w:rPr>
                <w:lang w:val="en-GB" w:eastAsia="en-GB" w:bidi="ar-SA"/>
              </w:rPr>
              <w:t>’</w:t>
            </w:r>
            <w:r w:rsidRPr="00571974">
              <w:rPr>
                <w:lang w:val="en-GB" w:eastAsia="en-GB" w:bidi="ar-SA"/>
              </w:rPr>
              <w:t>s obligations under the Notes.</w:t>
            </w:r>
          </w:p>
        </w:tc>
      </w:tr>
      <w:tr w:rsidR="002228B8" w14:paraId="1C96940F" w14:textId="77777777" w:rsidTr="004C5423">
        <w:trPr>
          <w:cantSplit/>
          <w:jc w:val="center"/>
        </w:trPr>
        <w:tc>
          <w:tcPr>
            <w:tcW w:w="1749" w:type="pct"/>
            <w:tcBorders>
              <w:top w:val="nil"/>
              <w:left w:val="nil"/>
              <w:bottom w:val="nil"/>
              <w:right w:val="nil"/>
            </w:tcBorders>
          </w:tcPr>
          <w:p w14:paraId="28839C73"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lastRenderedPageBreak/>
              <w:t>Optional Redemption</w:t>
            </w:r>
            <w:r w:rsidRPr="00571974">
              <w:rPr>
                <w:lang w:val="en-GB" w:eastAsia="en-GB" w:bidi="ar-SA"/>
              </w:rPr>
              <w:tab/>
            </w:r>
          </w:p>
        </w:tc>
        <w:tc>
          <w:tcPr>
            <w:tcW w:w="3251" w:type="pct"/>
            <w:tcBorders>
              <w:top w:val="nil"/>
              <w:left w:val="nil"/>
              <w:bottom w:val="nil"/>
              <w:right w:val="nil"/>
            </w:tcBorders>
            <w:vAlign w:val="bottom"/>
          </w:tcPr>
          <w:p w14:paraId="47F1303F" w14:textId="268C3919"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Issuer may redeem </w:t>
            </w:r>
            <w:r w:rsidR="00A5114A">
              <w:rPr>
                <w:lang w:val="en-GB" w:eastAsia="en-GB" w:bidi="ar-SA"/>
              </w:rPr>
              <w:t xml:space="preserve">either or both series of </w:t>
            </w:r>
            <w:r w:rsidRPr="00571974">
              <w:rPr>
                <w:lang w:val="en-GB" w:eastAsia="en-GB" w:bidi="ar-SA"/>
              </w:rPr>
              <w:t>the Notes, in whole or in part, at its option, at any time and from time to time, prior to</w:t>
            </w:r>
            <w:r w:rsidR="00246C1F">
              <w:rPr>
                <w:lang w:val="en-GB" w:eastAsia="en-GB" w:bidi="ar-SA"/>
              </w:rPr>
              <w:t>, in the case of the 20</w:t>
            </w:r>
            <w:r w:rsidR="00663418">
              <w:rPr>
                <w:lang w:val="en-GB" w:eastAsia="en-GB" w:bidi="ar-SA"/>
              </w:rPr>
              <w:t>25</w:t>
            </w:r>
            <w:r w:rsidR="00246C1F">
              <w:rPr>
                <w:lang w:val="en-GB" w:eastAsia="en-GB" w:bidi="ar-SA"/>
              </w:rPr>
              <w:t xml:space="preserve"> Notes,</w:t>
            </w:r>
            <w:r w:rsidR="00E45435" w:rsidRPr="00F018AA">
              <w:rPr>
                <w:lang w:val="en-GB"/>
              </w:rPr>
              <w:t xml:space="preserve"> </w:t>
            </w:r>
            <w:r w:rsidR="00A1526B">
              <w:rPr>
                <w:lang w:val="en-GB"/>
              </w:rPr>
              <w:t xml:space="preserve">March </w:t>
            </w:r>
            <w:r w:rsidR="00663418">
              <w:rPr>
                <w:lang w:val="en-GB"/>
              </w:rPr>
              <w:t>1</w:t>
            </w:r>
            <w:r w:rsidRPr="00571974">
              <w:rPr>
                <w:lang w:val="en-GB" w:eastAsia="en-GB" w:bidi="ar-SA"/>
              </w:rPr>
              <w:t>, 20</w:t>
            </w:r>
            <w:r w:rsidR="00663418">
              <w:rPr>
                <w:lang w:val="en-GB" w:eastAsia="en-GB" w:bidi="ar-SA"/>
              </w:rPr>
              <w:t>2</w:t>
            </w:r>
            <w:r w:rsidR="00A1526B">
              <w:rPr>
                <w:lang w:val="en-GB" w:eastAsia="en-GB" w:bidi="ar-SA"/>
              </w:rPr>
              <w:t>5</w:t>
            </w:r>
            <w:r w:rsidR="00724BA9" w:rsidRPr="00571974">
              <w:rPr>
                <w:lang w:val="en-GB" w:eastAsia="en-GB" w:bidi="ar-SA"/>
              </w:rPr>
              <w:t xml:space="preserve"> </w:t>
            </w:r>
            <w:r w:rsidRPr="00571974">
              <w:rPr>
                <w:lang w:val="en-GB" w:eastAsia="en-GB" w:bidi="ar-SA"/>
              </w:rPr>
              <w:t>(</w:t>
            </w:r>
            <w:r w:rsidR="00A1526B">
              <w:rPr>
                <w:lang w:val="en-GB" w:eastAsia="en-GB" w:bidi="ar-SA"/>
              </w:rPr>
              <w:t>one</w:t>
            </w:r>
            <w:r w:rsidR="00E45435" w:rsidRPr="00F018AA">
              <w:rPr>
                <w:lang w:val="en-GB"/>
              </w:rPr>
              <w:t xml:space="preserve"> </w:t>
            </w:r>
            <w:r w:rsidRPr="00571974">
              <w:rPr>
                <w:lang w:val="en-GB" w:eastAsia="en-GB" w:bidi="ar-SA"/>
              </w:rPr>
              <w:t xml:space="preserve">month prior to the maturity date of the </w:t>
            </w:r>
            <w:r w:rsidR="00A1526B">
              <w:rPr>
                <w:lang w:val="en-GB" w:eastAsia="en-GB" w:bidi="ar-SA"/>
              </w:rPr>
              <w:t xml:space="preserve">2025 </w:t>
            </w:r>
            <w:r w:rsidRPr="00571974">
              <w:rPr>
                <w:lang w:val="en-GB" w:eastAsia="en-GB" w:bidi="ar-SA"/>
              </w:rPr>
              <w:t xml:space="preserve">Notes) (the </w:t>
            </w:r>
            <w:r w:rsidR="00A311D8">
              <w:rPr>
                <w:lang w:val="en-GB" w:eastAsia="en-GB" w:bidi="ar-SA"/>
              </w:rPr>
              <w:t>“</w:t>
            </w:r>
            <w:r w:rsidR="00246C1F">
              <w:rPr>
                <w:lang w:val="en-GB" w:eastAsia="en-GB" w:bidi="ar-SA"/>
              </w:rPr>
              <w:t>20</w:t>
            </w:r>
            <w:r w:rsidR="00663418">
              <w:rPr>
                <w:lang w:val="en-GB" w:eastAsia="en-GB" w:bidi="ar-SA"/>
              </w:rPr>
              <w:t>25</w:t>
            </w:r>
            <w:r w:rsidR="00E45435">
              <w:rPr>
                <w:lang w:val="en-GB" w:eastAsia="en-GB" w:bidi="ar-SA"/>
              </w:rPr>
              <w:t xml:space="preserve"> </w:t>
            </w:r>
            <w:r w:rsidRPr="00571974">
              <w:rPr>
                <w:lang w:val="en-GB" w:eastAsia="en-GB" w:bidi="ar-SA"/>
              </w:rPr>
              <w:t>Notes Par Call Date</w:t>
            </w:r>
            <w:r w:rsidR="00A311D8">
              <w:rPr>
                <w:lang w:val="en-GB" w:eastAsia="en-GB" w:bidi="ar-SA"/>
              </w:rPr>
              <w:t>”</w:t>
            </w:r>
            <w:r w:rsidRPr="00571974">
              <w:rPr>
                <w:lang w:val="en-GB" w:eastAsia="en-GB" w:bidi="ar-SA"/>
              </w:rPr>
              <w:t>)</w:t>
            </w:r>
            <w:r w:rsidR="00246C1F">
              <w:rPr>
                <w:lang w:val="en-GB" w:eastAsia="en-GB" w:bidi="ar-SA"/>
              </w:rPr>
              <w:t xml:space="preserve"> and in the case of the 20</w:t>
            </w:r>
            <w:r w:rsidR="00663418">
              <w:rPr>
                <w:lang w:val="en-GB" w:eastAsia="en-GB" w:bidi="ar-SA"/>
              </w:rPr>
              <w:t>30</w:t>
            </w:r>
            <w:r w:rsidR="00246C1F">
              <w:rPr>
                <w:lang w:val="en-GB" w:eastAsia="en-GB" w:bidi="ar-SA"/>
              </w:rPr>
              <w:t xml:space="preserve"> Notes,</w:t>
            </w:r>
            <w:r w:rsidR="00663418">
              <w:rPr>
                <w:lang w:val="en-GB" w:eastAsia="en-GB" w:bidi="ar-SA"/>
              </w:rPr>
              <w:t xml:space="preserve"> </w:t>
            </w:r>
            <w:r w:rsidR="00A1526B">
              <w:rPr>
                <w:lang w:val="en-GB" w:eastAsia="en-GB" w:bidi="ar-SA"/>
              </w:rPr>
              <w:t>January 1</w:t>
            </w:r>
            <w:r w:rsidR="00663418">
              <w:rPr>
                <w:lang w:val="en-GB" w:eastAsia="en-GB" w:bidi="ar-SA"/>
              </w:rPr>
              <w:t>,</w:t>
            </w:r>
            <w:r w:rsidR="00246C1F" w:rsidRPr="00571974">
              <w:rPr>
                <w:lang w:val="en-GB" w:eastAsia="en-GB" w:bidi="ar-SA"/>
              </w:rPr>
              <w:t xml:space="preserve"> 20</w:t>
            </w:r>
            <w:r w:rsidR="00663418">
              <w:rPr>
                <w:lang w:val="en-GB" w:eastAsia="en-GB" w:bidi="ar-SA"/>
              </w:rPr>
              <w:t>30</w:t>
            </w:r>
            <w:r w:rsidR="00246C1F" w:rsidRPr="00571974">
              <w:rPr>
                <w:lang w:val="en-GB" w:eastAsia="en-GB" w:bidi="ar-SA"/>
              </w:rPr>
              <w:t xml:space="preserve"> (</w:t>
            </w:r>
            <w:r w:rsidR="00663418">
              <w:rPr>
                <w:lang w:val="en-GB"/>
              </w:rPr>
              <w:t>three</w:t>
            </w:r>
            <w:r w:rsidR="00E45435" w:rsidRPr="00F018AA">
              <w:rPr>
                <w:lang w:val="en-GB"/>
              </w:rPr>
              <w:t xml:space="preserve"> </w:t>
            </w:r>
            <w:r w:rsidR="00246C1F" w:rsidRPr="00571974">
              <w:rPr>
                <w:lang w:val="en-GB" w:eastAsia="en-GB" w:bidi="ar-SA"/>
              </w:rPr>
              <w:t xml:space="preserve">months prior to the maturity date of the </w:t>
            </w:r>
            <w:r w:rsidR="00A1526B">
              <w:rPr>
                <w:lang w:val="en-GB" w:eastAsia="en-GB" w:bidi="ar-SA"/>
              </w:rPr>
              <w:t xml:space="preserve">2030 </w:t>
            </w:r>
            <w:r w:rsidR="00246C1F" w:rsidRPr="00571974">
              <w:rPr>
                <w:lang w:val="en-GB" w:eastAsia="en-GB" w:bidi="ar-SA"/>
              </w:rPr>
              <w:t xml:space="preserve">Notes) (the </w:t>
            </w:r>
            <w:r w:rsidR="00A311D8">
              <w:rPr>
                <w:lang w:val="en-GB" w:eastAsia="en-GB" w:bidi="ar-SA"/>
              </w:rPr>
              <w:t>“</w:t>
            </w:r>
            <w:r w:rsidR="00246C1F">
              <w:rPr>
                <w:lang w:val="en-GB" w:eastAsia="en-GB" w:bidi="ar-SA"/>
              </w:rPr>
              <w:t>20</w:t>
            </w:r>
            <w:r w:rsidR="00663418">
              <w:rPr>
                <w:lang w:val="en-GB" w:eastAsia="en-GB" w:bidi="ar-SA"/>
              </w:rPr>
              <w:t xml:space="preserve">30 </w:t>
            </w:r>
            <w:r w:rsidR="00246C1F" w:rsidRPr="00571974">
              <w:rPr>
                <w:lang w:val="en-GB" w:eastAsia="en-GB" w:bidi="ar-SA"/>
              </w:rPr>
              <w:t>Notes Par Call Date</w:t>
            </w:r>
            <w:r w:rsidR="00A311D8">
              <w:rPr>
                <w:lang w:val="en-GB" w:eastAsia="en-GB" w:bidi="ar-SA"/>
              </w:rPr>
              <w:t>”</w:t>
            </w:r>
            <w:r w:rsidR="00246C1F" w:rsidRPr="00571974">
              <w:rPr>
                <w:lang w:val="en-GB" w:eastAsia="en-GB" w:bidi="ar-SA"/>
              </w:rPr>
              <w:t>)</w:t>
            </w:r>
            <w:r w:rsidRPr="00571974">
              <w:rPr>
                <w:lang w:val="en-GB" w:eastAsia="en-GB" w:bidi="ar-SA"/>
              </w:rPr>
              <w:t xml:space="preserve">, at a redemption price equal to the greater of (i) 100% of the principal amount of the Notes to be redeemed and (ii) the sum of the present values of the applicable Remaining Scheduled Payments discounted to the </w:t>
            </w:r>
            <w:r w:rsidR="00751F69" w:rsidRPr="00571974">
              <w:rPr>
                <w:lang w:val="en-GB" w:eastAsia="en-GB" w:bidi="ar-SA"/>
              </w:rPr>
              <w:t>Redemption Date</w:t>
            </w:r>
            <w:r w:rsidRPr="00571974">
              <w:rPr>
                <w:lang w:val="en-GB" w:eastAsia="en-GB" w:bidi="ar-SA"/>
              </w:rPr>
              <w:t xml:space="preserve"> on a semi-annual basis (assuming a 360-day year consisting of twelve 30-day months) at the Treasury Rate</w:t>
            </w:r>
            <w:bookmarkStart w:id="26" w:name="_cp_text_1_872"/>
            <w:bookmarkEnd w:id="26"/>
            <w:r w:rsidR="004B4433">
              <w:rPr>
                <w:lang w:val="en-GB" w:eastAsia="en-GB" w:bidi="ar-SA"/>
              </w:rPr>
              <w:t xml:space="preserve"> plus</w:t>
            </w:r>
            <w:r w:rsidR="004B4433" w:rsidRPr="00F018AA">
              <w:rPr>
                <w:lang w:val="en-GB" w:eastAsia="en-GB" w:bidi="ar-SA"/>
              </w:rPr>
              <w:t>, in the case of the 20</w:t>
            </w:r>
            <w:r w:rsidR="00663418">
              <w:rPr>
                <w:lang w:val="en-GB" w:eastAsia="en-GB" w:bidi="ar-SA"/>
              </w:rPr>
              <w:t>25</w:t>
            </w:r>
            <w:r w:rsidR="004B4433" w:rsidRPr="00F018AA">
              <w:rPr>
                <w:lang w:val="en-GB" w:eastAsia="en-GB" w:bidi="ar-SA"/>
              </w:rPr>
              <w:t xml:space="preserve"> Notes, </w:t>
            </w:r>
            <w:r w:rsidR="00663418">
              <w:rPr>
                <w:lang w:val="en-GB" w:eastAsia="en-GB" w:bidi="ar-SA"/>
              </w:rPr>
              <w:t>50</w:t>
            </w:r>
            <w:r w:rsidR="004B4433" w:rsidRPr="00F018AA">
              <w:rPr>
                <w:lang w:val="en-GB" w:eastAsia="en-GB" w:bidi="ar-SA"/>
              </w:rPr>
              <w:t xml:space="preserve"> basis points and, in the case of the 20</w:t>
            </w:r>
            <w:r w:rsidR="00663418">
              <w:rPr>
                <w:lang w:val="en-GB" w:eastAsia="en-GB" w:bidi="ar-SA"/>
              </w:rPr>
              <w:t>30</w:t>
            </w:r>
            <w:r w:rsidR="004B4433" w:rsidRPr="00F018AA">
              <w:rPr>
                <w:lang w:val="en-GB" w:eastAsia="en-GB" w:bidi="ar-SA"/>
              </w:rPr>
              <w:t xml:space="preserve"> Notes,</w:t>
            </w:r>
            <w:r w:rsidRPr="00571974">
              <w:rPr>
                <w:lang w:val="en-GB" w:eastAsia="en-GB" w:bidi="ar-SA"/>
              </w:rPr>
              <w:t xml:space="preserve"> </w:t>
            </w:r>
            <w:r w:rsidR="00663418">
              <w:rPr>
                <w:lang w:val="en-GB" w:eastAsia="en-GB" w:bidi="ar-SA"/>
              </w:rPr>
              <w:t>50</w:t>
            </w:r>
            <w:r w:rsidRPr="00571974">
              <w:rPr>
                <w:lang w:val="en-GB" w:eastAsia="en-GB" w:bidi="ar-SA"/>
              </w:rPr>
              <w:t xml:space="preserve"> basis points, together with</w:t>
            </w:r>
            <w:r w:rsidR="004B4433">
              <w:rPr>
                <w:lang w:val="en-GB" w:eastAsia="en-GB" w:bidi="ar-SA"/>
              </w:rPr>
              <w:t>, in each case,</w:t>
            </w:r>
            <w:r w:rsidRPr="00571974">
              <w:rPr>
                <w:lang w:val="en-GB" w:eastAsia="en-GB" w:bidi="ar-SA"/>
              </w:rPr>
              <w:t xml:space="preserve"> accrued interest on the principal amount of the Notes to be redeemed to</w:t>
            </w:r>
            <w:r w:rsidR="005130B4" w:rsidRPr="00571974">
              <w:rPr>
                <w:lang w:val="en-GB" w:eastAsia="en-GB" w:bidi="ar-SA"/>
              </w:rPr>
              <w:t>, but not including,</w:t>
            </w:r>
            <w:r w:rsidRPr="00571974">
              <w:rPr>
                <w:lang w:val="en-GB" w:eastAsia="en-GB" w:bidi="ar-SA"/>
              </w:rPr>
              <w:t xml:space="preserve"> the </w:t>
            </w:r>
            <w:r w:rsidR="00751F69" w:rsidRPr="00571974">
              <w:rPr>
                <w:lang w:val="en-GB" w:eastAsia="en-GB" w:bidi="ar-SA"/>
              </w:rPr>
              <w:t>Redemption D</w:t>
            </w:r>
            <w:r w:rsidRPr="00571974">
              <w:rPr>
                <w:lang w:val="en-GB" w:eastAsia="en-GB" w:bidi="ar-SA"/>
              </w:rPr>
              <w:t>ate.</w:t>
            </w:r>
          </w:p>
          <w:p w14:paraId="0AD4B0FD" w14:textId="4F965F47" w:rsidR="00903404" w:rsidRPr="00571974" w:rsidRDefault="003D4D89"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Issuer may redeem the Notes in whole or in part, at its option, at any time and from time to time, on or after</w:t>
            </w:r>
            <w:r w:rsidR="00246C1F">
              <w:rPr>
                <w:lang w:val="en-GB" w:eastAsia="en-GB" w:bidi="ar-SA"/>
              </w:rPr>
              <w:t>, in the case of the 20</w:t>
            </w:r>
            <w:r w:rsidR="00663418">
              <w:rPr>
                <w:lang w:val="en-GB" w:eastAsia="en-GB" w:bidi="ar-SA"/>
              </w:rPr>
              <w:t>25</w:t>
            </w:r>
            <w:r w:rsidR="00E45435">
              <w:rPr>
                <w:lang w:val="en-GB" w:eastAsia="en-GB" w:bidi="ar-SA"/>
              </w:rPr>
              <w:t xml:space="preserve"> </w:t>
            </w:r>
            <w:r w:rsidR="00246C1F">
              <w:rPr>
                <w:lang w:val="en-GB" w:eastAsia="en-GB" w:bidi="ar-SA"/>
              </w:rPr>
              <w:t>Notes,</w:t>
            </w:r>
            <w:r w:rsidRPr="00571974">
              <w:rPr>
                <w:lang w:val="en-GB" w:eastAsia="en-GB" w:bidi="ar-SA"/>
              </w:rPr>
              <w:t xml:space="preserve"> the </w:t>
            </w:r>
            <w:r w:rsidR="00246C1F">
              <w:rPr>
                <w:lang w:val="en-GB" w:eastAsia="en-GB" w:bidi="ar-SA"/>
              </w:rPr>
              <w:t>20</w:t>
            </w:r>
            <w:r w:rsidR="00663418">
              <w:rPr>
                <w:lang w:val="en-GB" w:eastAsia="en-GB" w:bidi="ar-SA"/>
              </w:rPr>
              <w:t xml:space="preserve">25 </w:t>
            </w:r>
            <w:r w:rsidRPr="00571974">
              <w:rPr>
                <w:lang w:val="en-GB" w:eastAsia="en-GB" w:bidi="ar-SA"/>
              </w:rPr>
              <w:t>Notes Par Call Date</w:t>
            </w:r>
            <w:r w:rsidR="004B4433">
              <w:rPr>
                <w:lang w:val="en-GB" w:eastAsia="en-GB" w:bidi="ar-SA"/>
              </w:rPr>
              <w:t xml:space="preserve"> and in the case of the 20</w:t>
            </w:r>
            <w:r w:rsidR="00663418">
              <w:rPr>
                <w:lang w:val="en-GB" w:eastAsia="en-GB" w:bidi="ar-SA"/>
              </w:rPr>
              <w:t>30</w:t>
            </w:r>
            <w:r w:rsidR="004B4433">
              <w:rPr>
                <w:lang w:val="en-GB" w:eastAsia="en-GB" w:bidi="ar-SA"/>
              </w:rPr>
              <w:t xml:space="preserve"> Notes, the 20</w:t>
            </w:r>
            <w:r w:rsidR="00663418">
              <w:rPr>
                <w:lang w:val="en-GB" w:eastAsia="en-GB" w:bidi="ar-SA"/>
              </w:rPr>
              <w:t>30</w:t>
            </w:r>
            <w:r w:rsidR="004B4433">
              <w:rPr>
                <w:lang w:val="en-GB" w:eastAsia="en-GB" w:bidi="ar-SA"/>
              </w:rPr>
              <w:t xml:space="preserve"> Notes Par Call Date</w:t>
            </w:r>
            <w:r w:rsidRPr="00571974">
              <w:rPr>
                <w:lang w:val="en-GB" w:eastAsia="en-GB" w:bidi="ar-SA"/>
              </w:rPr>
              <w:t>, at a redemption price equal to 100% of the principal amount of the Notes to be redeemed, together with accrued and unpaid interest on the principal amount of the Notes to be redeemed to</w:t>
            </w:r>
            <w:r w:rsidR="005130B4" w:rsidRPr="00571974">
              <w:rPr>
                <w:lang w:val="en-GB" w:eastAsia="en-GB" w:bidi="ar-SA"/>
              </w:rPr>
              <w:t xml:space="preserve">, but not including, </w:t>
            </w:r>
            <w:r w:rsidRPr="00571974">
              <w:rPr>
                <w:lang w:val="en-GB" w:eastAsia="en-GB" w:bidi="ar-SA"/>
              </w:rPr>
              <w:t>the Redemption Date.</w:t>
            </w:r>
          </w:p>
        </w:tc>
      </w:tr>
      <w:tr w:rsidR="002228B8" w14:paraId="55B43894" w14:textId="77777777" w:rsidTr="004C5423">
        <w:trPr>
          <w:cantSplit/>
          <w:jc w:val="center"/>
        </w:trPr>
        <w:tc>
          <w:tcPr>
            <w:tcW w:w="1749" w:type="pct"/>
            <w:tcBorders>
              <w:top w:val="nil"/>
              <w:left w:val="nil"/>
              <w:bottom w:val="nil"/>
              <w:right w:val="nil"/>
            </w:tcBorders>
          </w:tcPr>
          <w:p w14:paraId="57BAB520"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Optional Tax Redemption</w:t>
            </w:r>
            <w:r w:rsidRPr="00571974">
              <w:rPr>
                <w:lang w:val="en-GB" w:eastAsia="en-GB" w:bidi="ar-SA"/>
              </w:rPr>
              <w:tab/>
            </w:r>
          </w:p>
        </w:tc>
        <w:tc>
          <w:tcPr>
            <w:tcW w:w="3251" w:type="pct"/>
            <w:tcBorders>
              <w:top w:val="nil"/>
              <w:left w:val="nil"/>
              <w:bottom w:val="nil"/>
              <w:right w:val="nil"/>
            </w:tcBorders>
            <w:vAlign w:val="bottom"/>
          </w:tcPr>
          <w:p w14:paraId="30C376E0"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Notes are subject to redemption prior to maturity, at the option of the Issuer, in whole but not in part, at their principal amount, plus accrued interest to the </w:t>
            </w:r>
            <w:r w:rsidR="00751F69" w:rsidRPr="00571974">
              <w:rPr>
                <w:lang w:val="en-GB" w:eastAsia="en-GB" w:bidi="ar-SA"/>
              </w:rPr>
              <w:t xml:space="preserve">Redemption Date </w:t>
            </w:r>
            <w:r w:rsidRPr="00571974">
              <w:rPr>
                <w:lang w:val="en-GB" w:eastAsia="en-GB" w:bidi="ar-SA"/>
              </w:rPr>
              <w:t>and any Additional Amounts, in the event of certain Changes in Tax Laws that would require the Issuer or the Company to pay Additional Amounts on the Notes.</w:t>
            </w:r>
          </w:p>
        </w:tc>
      </w:tr>
      <w:tr w:rsidR="002228B8" w14:paraId="6C0D14BC" w14:textId="77777777" w:rsidTr="004C5423">
        <w:trPr>
          <w:cantSplit/>
          <w:jc w:val="center"/>
        </w:trPr>
        <w:tc>
          <w:tcPr>
            <w:tcW w:w="1749" w:type="pct"/>
            <w:tcBorders>
              <w:top w:val="nil"/>
              <w:left w:val="nil"/>
              <w:bottom w:val="nil"/>
              <w:right w:val="nil"/>
            </w:tcBorders>
          </w:tcPr>
          <w:p w14:paraId="7DEB715C"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Additional Amounts</w:t>
            </w:r>
            <w:r w:rsidRPr="00571974">
              <w:rPr>
                <w:lang w:val="en-GB" w:eastAsia="en-GB" w:bidi="ar-SA"/>
              </w:rPr>
              <w:tab/>
            </w:r>
          </w:p>
        </w:tc>
        <w:tc>
          <w:tcPr>
            <w:tcW w:w="3251" w:type="pct"/>
            <w:tcBorders>
              <w:top w:val="nil"/>
              <w:left w:val="nil"/>
              <w:bottom w:val="nil"/>
              <w:right w:val="nil"/>
            </w:tcBorders>
            <w:vAlign w:val="bottom"/>
          </w:tcPr>
          <w:p w14:paraId="4C68D054"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Subject to certain exceptions and limitations provided for in the Indenture, the Issuer and the Company will pay such Additional Amounts on the Notes (or under the Guarantees in respect thereof) as may be necessary to ensure that the net amounts received by each holder of a Note after all withholding or deductions shall equal the amount of principal</w:t>
            </w:r>
            <w:r w:rsidR="00751F69" w:rsidRPr="00571974">
              <w:rPr>
                <w:lang w:val="en-GB" w:eastAsia="en-GB" w:bidi="ar-SA"/>
              </w:rPr>
              <w:t>, any premium</w:t>
            </w:r>
            <w:r w:rsidRPr="00571974">
              <w:rPr>
                <w:lang w:val="en-GB" w:eastAsia="en-GB" w:bidi="ar-SA"/>
              </w:rPr>
              <w:t xml:space="preserve"> and interest which such holder would have received in respect of such Note (or payments under the Guarantees in respect thereof) in the absence of such withholding or deduction.</w:t>
            </w:r>
          </w:p>
        </w:tc>
      </w:tr>
      <w:tr w:rsidR="002228B8" w14:paraId="2AD14C46" w14:textId="77777777" w:rsidTr="004C5423">
        <w:trPr>
          <w:cantSplit/>
          <w:jc w:val="center"/>
        </w:trPr>
        <w:tc>
          <w:tcPr>
            <w:tcW w:w="1749" w:type="pct"/>
            <w:tcBorders>
              <w:top w:val="nil"/>
              <w:left w:val="nil"/>
              <w:bottom w:val="nil"/>
              <w:right w:val="nil"/>
            </w:tcBorders>
          </w:tcPr>
          <w:p w14:paraId="4CE1518E"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Change of Control</w:t>
            </w:r>
            <w:r w:rsidRPr="00571974">
              <w:rPr>
                <w:lang w:val="en-GB" w:eastAsia="en-GB" w:bidi="ar-SA"/>
              </w:rPr>
              <w:tab/>
            </w:r>
          </w:p>
        </w:tc>
        <w:tc>
          <w:tcPr>
            <w:tcW w:w="3251" w:type="pct"/>
            <w:tcBorders>
              <w:top w:val="nil"/>
              <w:left w:val="nil"/>
              <w:bottom w:val="nil"/>
              <w:right w:val="nil"/>
            </w:tcBorders>
            <w:vAlign w:val="bottom"/>
          </w:tcPr>
          <w:p w14:paraId="7B0285BB" w14:textId="281D6836"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If a Change of Control Repurchase Event occurs (as defined under </w:t>
            </w:r>
            <w:r w:rsidR="00A311D8">
              <w:rPr>
                <w:lang w:val="en-GB" w:eastAsia="en-GB" w:bidi="ar-SA"/>
              </w:rPr>
              <w:t>“</w:t>
            </w:r>
            <w:r w:rsidRPr="00571974">
              <w:rPr>
                <w:lang w:val="en-GB" w:eastAsia="en-GB" w:bidi="ar-SA"/>
              </w:rPr>
              <w:t>Description of the Notes and the Guarantees</w:t>
            </w:r>
            <w:r w:rsidR="00A311D8">
              <w:rPr>
                <w:lang w:val="en-GB" w:eastAsia="en-GB" w:bidi="ar-SA"/>
              </w:rPr>
              <w:t>”</w:t>
            </w:r>
            <w:r w:rsidRPr="00571974">
              <w:rPr>
                <w:lang w:val="en-GB" w:eastAsia="en-GB" w:bidi="ar-SA"/>
              </w:rPr>
              <w:t xml:space="preserve">), the Issuer or the Company may be required to repurchase the Notes at a purchase price equal to 101% of their principal amount, plus any accrued and unpaid interest. See </w:t>
            </w:r>
            <w:r w:rsidR="00A311D8">
              <w:rPr>
                <w:lang w:val="en-GB" w:eastAsia="en-GB" w:bidi="ar-SA"/>
              </w:rPr>
              <w:t>“</w:t>
            </w:r>
            <w:r w:rsidRPr="00571974">
              <w:rPr>
                <w:lang w:val="en-GB" w:eastAsia="en-GB" w:bidi="ar-SA"/>
              </w:rPr>
              <w:t>Description of the Notes and the Guarantees—Change of Control Repurchase Event</w:t>
            </w:r>
            <w:r w:rsidR="00A311D8">
              <w:rPr>
                <w:lang w:val="en-GB" w:eastAsia="en-GB" w:bidi="ar-SA"/>
              </w:rPr>
              <w:t>”</w:t>
            </w:r>
            <w:r w:rsidRPr="00571974">
              <w:rPr>
                <w:lang w:val="en-GB" w:eastAsia="en-GB" w:bidi="ar-SA"/>
              </w:rPr>
              <w:t>.</w:t>
            </w:r>
          </w:p>
        </w:tc>
      </w:tr>
      <w:tr w:rsidR="002228B8" w14:paraId="52AA2B2C" w14:textId="77777777" w:rsidTr="004C5423">
        <w:trPr>
          <w:cantSplit/>
          <w:jc w:val="center"/>
        </w:trPr>
        <w:tc>
          <w:tcPr>
            <w:tcW w:w="1749" w:type="pct"/>
            <w:tcBorders>
              <w:top w:val="nil"/>
              <w:left w:val="nil"/>
              <w:bottom w:val="nil"/>
              <w:right w:val="nil"/>
            </w:tcBorders>
          </w:tcPr>
          <w:p w14:paraId="3A67DE4A"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Denomination, Form and Registration of Notes</w:t>
            </w:r>
            <w:r w:rsidRPr="00571974">
              <w:rPr>
                <w:lang w:val="en-GB" w:eastAsia="en-GB" w:bidi="ar-SA"/>
              </w:rPr>
              <w:tab/>
            </w:r>
          </w:p>
        </w:tc>
        <w:tc>
          <w:tcPr>
            <w:tcW w:w="3251" w:type="pct"/>
            <w:tcBorders>
              <w:top w:val="nil"/>
              <w:left w:val="nil"/>
              <w:bottom w:val="nil"/>
              <w:right w:val="nil"/>
            </w:tcBorders>
            <w:vAlign w:val="bottom"/>
          </w:tcPr>
          <w:p w14:paraId="3DC793F3"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p>
          <w:p w14:paraId="2C83ADAA" w14:textId="4D984465" w:rsidR="00903404" w:rsidRPr="00571974" w:rsidRDefault="003D4D89" w:rsidP="00545D1D">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Notes will be issued in fully registered form and only in denominations of </w:t>
            </w:r>
            <w:r w:rsidR="003E1CBD" w:rsidRPr="00571974">
              <w:rPr>
                <w:lang w:val="en-GB" w:eastAsia="en-GB" w:bidi="ar-SA"/>
              </w:rPr>
              <w:t>US$</w:t>
            </w:r>
            <w:r w:rsidRPr="00571974">
              <w:rPr>
                <w:lang w:val="en-GB" w:eastAsia="en-GB" w:bidi="ar-SA"/>
              </w:rPr>
              <w:t>200,000</w:t>
            </w:r>
            <w:r w:rsidR="00D50E60">
              <w:rPr>
                <w:lang w:val="en-GB" w:eastAsia="en-GB" w:bidi="ar-SA"/>
              </w:rPr>
              <w:t xml:space="preserve"> </w:t>
            </w:r>
            <w:r w:rsidRPr="00571974">
              <w:rPr>
                <w:lang w:val="en-GB" w:eastAsia="en-GB" w:bidi="ar-SA"/>
              </w:rPr>
              <w:t xml:space="preserve">and integral multiples of </w:t>
            </w:r>
            <w:r w:rsidR="003E1CBD" w:rsidRPr="00571974">
              <w:rPr>
                <w:lang w:val="en-GB" w:eastAsia="en-GB" w:bidi="ar-SA"/>
              </w:rPr>
              <w:t>US$</w:t>
            </w:r>
            <w:r w:rsidRPr="00571974">
              <w:rPr>
                <w:lang w:val="en-GB" w:eastAsia="en-GB" w:bidi="ar-SA"/>
              </w:rPr>
              <w:t>1,000 in excess thereof. The Notes will be issued initially as Global Notes. The Depository Trust Company (</w:t>
            </w:r>
            <w:r w:rsidR="00A311D8">
              <w:rPr>
                <w:lang w:val="en-GB" w:eastAsia="en-GB" w:bidi="ar-SA"/>
              </w:rPr>
              <w:t>“</w:t>
            </w:r>
            <w:r w:rsidRPr="00571974">
              <w:rPr>
                <w:lang w:val="en-GB" w:eastAsia="en-GB" w:bidi="ar-SA"/>
              </w:rPr>
              <w:t>DTC</w:t>
            </w:r>
            <w:r w:rsidR="00A311D8">
              <w:rPr>
                <w:lang w:val="en-GB" w:eastAsia="en-GB" w:bidi="ar-SA"/>
              </w:rPr>
              <w:t>”</w:t>
            </w:r>
            <w:r w:rsidRPr="00571974">
              <w:rPr>
                <w:lang w:val="en-GB" w:eastAsia="en-GB" w:bidi="ar-SA"/>
              </w:rPr>
              <w:t>) will act as depositary for the Notes. Except in limited circumstances, Global Notes will not be exchangeable for certificated notes.</w:t>
            </w:r>
          </w:p>
        </w:tc>
      </w:tr>
      <w:tr w:rsidR="002228B8" w14:paraId="15C8AEBD" w14:textId="77777777" w:rsidTr="004C5423">
        <w:trPr>
          <w:cantSplit/>
          <w:jc w:val="center"/>
        </w:trPr>
        <w:tc>
          <w:tcPr>
            <w:tcW w:w="1749" w:type="pct"/>
            <w:tcBorders>
              <w:top w:val="nil"/>
              <w:left w:val="nil"/>
              <w:bottom w:val="nil"/>
              <w:right w:val="nil"/>
            </w:tcBorders>
          </w:tcPr>
          <w:p w14:paraId="65471DB6"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Further Issues</w:t>
            </w:r>
            <w:r w:rsidRPr="00571974">
              <w:rPr>
                <w:lang w:val="en-GB" w:eastAsia="en-GB" w:bidi="ar-SA"/>
              </w:rPr>
              <w:tab/>
            </w:r>
          </w:p>
        </w:tc>
        <w:tc>
          <w:tcPr>
            <w:tcW w:w="3251" w:type="pct"/>
            <w:tcBorders>
              <w:top w:val="nil"/>
              <w:left w:val="nil"/>
              <w:bottom w:val="nil"/>
              <w:right w:val="nil"/>
            </w:tcBorders>
            <w:vAlign w:val="bottom"/>
          </w:tcPr>
          <w:p w14:paraId="744BAA14"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Issuer may from time to time without the consent of the holders of the Notes issue as many distinct series of debt securities under the Indenture as it wishes. Subject to certain conditions, it may also from time to time without the consent of the holders of the Notes issue additional notes having the same terms and conditions as the Notes issued hereunder. The period of resale restrictions applicable to any Notes previously offered and sold in reliance on Rule 144A shall automatically be extended to the last day of the period of any resale restrictions imposed on any such additional notes.</w:t>
            </w:r>
          </w:p>
        </w:tc>
      </w:tr>
      <w:tr w:rsidR="002228B8" w14:paraId="644B879E" w14:textId="77777777" w:rsidTr="004C5423">
        <w:trPr>
          <w:cantSplit/>
          <w:jc w:val="center"/>
        </w:trPr>
        <w:tc>
          <w:tcPr>
            <w:tcW w:w="1749" w:type="pct"/>
            <w:tcBorders>
              <w:top w:val="nil"/>
              <w:left w:val="nil"/>
              <w:bottom w:val="nil"/>
              <w:right w:val="nil"/>
            </w:tcBorders>
          </w:tcPr>
          <w:p w14:paraId="4EE44AAC"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Trustee, Paying Agent, Registrar and Transfer Agent</w:t>
            </w:r>
            <w:r w:rsidRPr="00571974">
              <w:rPr>
                <w:lang w:val="en-GB" w:eastAsia="en-GB" w:bidi="ar-SA"/>
              </w:rPr>
              <w:tab/>
            </w:r>
          </w:p>
        </w:tc>
        <w:tc>
          <w:tcPr>
            <w:tcW w:w="3251" w:type="pct"/>
            <w:tcBorders>
              <w:top w:val="nil"/>
              <w:left w:val="nil"/>
              <w:bottom w:val="nil"/>
              <w:right w:val="nil"/>
            </w:tcBorders>
            <w:vAlign w:val="bottom"/>
          </w:tcPr>
          <w:p w14:paraId="2711834D" w14:textId="7777777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p>
          <w:p w14:paraId="65E6DA24" w14:textId="77777777" w:rsidR="00903404" w:rsidRPr="00571974" w:rsidRDefault="003D4D89" w:rsidP="00724744">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Citibank, N.A., whose address is Citigroup Centre, Canada Square, Canary Wharf, London, E14 5LB, United Kingdom.</w:t>
            </w:r>
          </w:p>
        </w:tc>
      </w:tr>
      <w:tr w:rsidR="002228B8" w14:paraId="38E1F5A1" w14:textId="77777777" w:rsidTr="004C5423">
        <w:trPr>
          <w:cantSplit/>
          <w:jc w:val="center"/>
        </w:trPr>
        <w:tc>
          <w:tcPr>
            <w:tcW w:w="1749" w:type="pct"/>
            <w:tcBorders>
              <w:top w:val="nil"/>
              <w:left w:val="nil"/>
              <w:bottom w:val="nil"/>
              <w:right w:val="nil"/>
            </w:tcBorders>
          </w:tcPr>
          <w:p w14:paraId="409EB1DC"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lastRenderedPageBreak/>
              <w:t>Settlement</w:t>
            </w:r>
            <w:r w:rsidRPr="00571974">
              <w:rPr>
                <w:lang w:val="en-GB" w:eastAsia="en-GB" w:bidi="ar-SA"/>
              </w:rPr>
              <w:tab/>
            </w:r>
          </w:p>
        </w:tc>
        <w:tc>
          <w:tcPr>
            <w:tcW w:w="3251" w:type="pct"/>
            <w:tcBorders>
              <w:top w:val="nil"/>
              <w:left w:val="nil"/>
              <w:bottom w:val="nil"/>
              <w:right w:val="nil"/>
            </w:tcBorders>
            <w:vAlign w:val="bottom"/>
          </w:tcPr>
          <w:p w14:paraId="231A0942" w14:textId="4145F686" w:rsidR="00903404" w:rsidRPr="00571974" w:rsidRDefault="003D4D89" w:rsidP="00663418">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The Issuer expects to deliver the Notes on or about </w:t>
            </w:r>
            <w:r w:rsidR="00663418">
              <w:rPr>
                <w:lang w:val="en-GB" w:eastAsia="en-GB" w:bidi="ar-SA"/>
              </w:rPr>
              <w:t>April 1</w:t>
            </w:r>
            <w:r w:rsidRPr="00571974">
              <w:rPr>
                <w:lang w:val="en-GB" w:eastAsia="en-GB" w:bidi="ar-SA"/>
              </w:rPr>
              <w:t xml:space="preserve">, </w:t>
            </w:r>
            <w:r w:rsidR="00735C69" w:rsidRPr="00571974">
              <w:rPr>
                <w:lang w:val="en-GB" w:eastAsia="en-GB" w:bidi="ar-SA"/>
              </w:rPr>
              <w:t xml:space="preserve">2020 </w:t>
            </w:r>
            <w:r w:rsidRPr="00571974">
              <w:rPr>
                <w:lang w:val="en-GB" w:eastAsia="en-GB" w:bidi="ar-SA"/>
              </w:rPr>
              <w:t xml:space="preserve">(the </w:t>
            </w:r>
            <w:r w:rsidR="00A311D8">
              <w:rPr>
                <w:lang w:val="en-GB" w:eastAsia="en-GB" w:bidi="ar-SA"/>
              </w:rPr>
              <w:t>“</w:t>
            </w:r>
            <w:r w:rsidRPr="00571974">
              <w:rPr>
                <w:lang w:val="en-GB" w:eastAsia="en-GB" w:bidi="ar-SA"/>
              </w:rPr>
              <w:t>Settlement Date</w:t>
            </w:r>
            <w:r w:rsidR="00A311D8">
              <w:rPr>
                <w:lang w:val="en-GB" w:eastAsia="en-GB" w:bidi="ar-SA"/>
              </w:rPr>
              <w:t>”</w:t>
            </w:r>
            <w:r w:rsidRPr="00571974">
              <w:rPr>
                <w:lang w:val="en-GB" w:eastAsia="en-GB" w:bidi="ar-SA"/>
              </w:rPr>
              <w:t xml:space="preserve">) which will be the </w:t>
            </w:r>
            <w:r w:rsidR="00DB52B4">
              <w:rPr>
                <w:lang w:val="en-GB" w:eastAsia="en-GB" w:bidi="ar-SA"/>
              </w:rPr>
              <w:t>second</w:t>
            </w:r>
            <w:r w:rsidRPr="00571974">
              <w:rPr>
                <w:lang w:val="en-GB" w:eastAsia="en-GB" w:bidi="ar-SA"/>
              </w:rPr>
              <w:t xml:space="preserve"> business day following the pricing date of the offering (this settlement cycle being referred to as </w:t>
            </w:r>
            <w:r w:rsidR="00A311D8">
              <w:rPr>
                <w:lang w:val="en-GB" w:eastAsia="en-GB" w:bidi="ar-SA"/>
              </w:rPr>
              <w:t>“</w:t>
            </w:r>
            <w:r w:rsidRPr="00571974">
              <w:rPr>
                <w:lang w:val="en-GB" w:eastAsia="en-GB" w:bidi="ar-SA"/>
              </w:rPr>
              <w:t>T+</w:t>
            </w:r>
            <w:r w:rsidR="00DB52B4">
              <w:rPr>
                <w:lang w:val="en-GB" w:eastAsia="en-GB" w:bidi="ar-SA"/>
              </w:rPr>
              <w:t>2</w:t>
            </w:r>
            <w:r w:rsidR="00A311D8">
              <w:rPr>
                <w:lang w:val="en-GB" w:eastAsia="en-GB" w:bidi="ar-SA"/>
              </w:rPr>
              <w:t>”</w:t>
            </w:r>
            <w:r w:rsidRPr="00571974">
              <w:rPr>
                <w:lang w:val="en-GB" w:eastAsia="en-GB" w:bidi="ar-SA"/>
              </w:rPr>
              <w:t xml:space="preserve">).  </w:t>
            </w:r>
          </w:p>
        </w:tc>
      </w:tr>
      <w:tr w:rsidR="002228B8" w14:paraId="5E966DFE" w14:textId="77777777" w:rsidTr="004C5423">
        <w:trPr>
          <w:cantSplit/>
          <w:jc w:val="center"/>
        </w:trPr>
        <w:tc>
          <w:tcPr>
            <w:tcW w:w="1749" w:type="pct"/>
            <w:tcBorders>
              <w:top w:val="nil"/>
              <w:left w:val="nil"/>
              <w:bottom w:val="nil"/>
              <w:right w:val="nil"/>
            </w:tcBorders>
          </w:tcPr>
          <w:p w14:paraId="4F98F45C"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Transfer Restrictions</w:t>
            </w:r>
            <w:r w:rsidRPr="00571974">
              <w:rPr>
                <w:lang w:val="en-GB" w:eastAsia="en-GB" w:bidi="ar-SA"/>
              </w:rPr>
              <w:tab/>
            </w:r>
          </w:p>
        </w:tc>
        <w:tc>
          <w:tcPr>
            <w:tcW w:w="3251" w:type="pct"/>
            <w:tcBorders>
              <w:top w:val="nil"/>
              <w:left w:val="nil"/>
              <w:bottom w:val="nil"/>
              <w:right w:val="nil"/>
            </w:tcBorders>
            <w:vAlign w:val="bottom"/>
          </w:tcPr>
          <w:p w14:paraId="39E34337"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Neither the Notes nor the Guarantees have been or will be registered under the Securities Act and each is subject to certain restrictions on resale and transfer.</w:t>
            </w:r>
          </w:p>
        </w:tc>
      </w:tr>
      <w:tr w:rsidR="002228B8" w14:paraId="40800379" w14:textId="77777777" w:rsidTr="004C5423">
        <w:trPr>
          <w:cantSplit/>
          <w:jc w:val="center"/>
        </w:trPr>
        <w:tc>
          <w:tcPr>
            <w:tcW w:w="1749" w:type="pct"/>
            <w:tcBorders>
              <w:top w:val="nil"/>
              <w:left w:val="nil"/>
              <w:bottom w:val="nil"/>
              <w:right w:val="nil"/>
            </w:tcBorders>
          </w:tcPr>
          <w:p w14:paraId="4C06A162" w14:textId="77777777" w:rsidR="00F6752D" w:rsidRPr="00571974" w:rsidRDefault="003D4D89" w:rsidP="00F6752D">
            <w:pPr>
              <w:widowControl/>
              <w:tabs>
                <w:tab w:val="right" w:leader="dot" w:pos="3204"/>
              </w:tabs>
              <w:suppressAutoHyphens/>
              <w:ind w:left="200" w:hanging="200"/>
              <w:rPr>
                <w:lang w:val="en-GB" w:eastAsia="en-GB" w:bidi="ar-SA"/>
              </w:rPr>
            </w:pPr>
            <w:r w:rsidRPr="00571974">
              <w:rPr>
                <w:b/>
                <w:bCs/>
                <w:lang w:val="en-GB" w:eastAsia="en-GB" w:bidi="ar-SA"/>
              </w:rPr>
              <w:t>Ratings</w:t>
            </w:r>
            <w:r w:rsidRPr="00571974">
              <w:rPr>
                <w:lang w:val="en-GB" w:eastAsia="en-GB" w:bidi="ar-SA"/>
              </w:rPr>
              <w:tab/>
            </w:r>
          </w:p>
        </w:tc>
        <w:tc>
          <w:tcPr>
            <w:tcW w:w="3251" w:type="pct"/>
            <w:tcBorders>
              <w:top w:val="nil"/>
              <w:left w:val="nil"/>
              <w:bottom w:val="nil"/>
              <w:right w:val="nil"/>
            </w:tcBorders>
            <w:vAlign w:val="bottom"/>
          </w:tcPr>
          <w:p w14:paraId="356A0CF6" w14:textId="56E63931" w:rsidR="00F6752D" w:rsidRPr="00571974" w:rsidRDefault="003D4D89" w:rsidP="00BA253B">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It is expected that the Notes will be rated Baa2 (stable outlook) by Moody</w:t>
            </w:r>
            <w:r w:rsidR="00A311D8">
              <w:rPr>
                <w:lang w:val="en-GB" w:eastAsia="en-GB" w:bidi="ar-SA"/>
              </w:rPr>
              <w:t>’</w:t>
            </w:r>
            <w:r w:rsidRPr="00571974">
              <w:rPr>
                <w:lang w:val="en-GB" w:eastAsia="en-GB" w:bidi="ar-SA"/>
              </w:rPr>
              <w:t>s and BBB (stable outlook) by S&amp;P, subject to confirmation on the Settlement Date.</w:t>
            </w:r>
          </w:p>
        </w:tc>
      </w:tr>
      <w:tr w:rsidR="002228B8" w14:paraId="43C4390E" w14:textId="77777777" w:rsidTr="004C5423">
        <w:trPr>
          <w:cantSplit/>
          <w:jc w:val="center"/>
        </w:trPr>
        <w:tc>
          <w:tcPr>
            <w:tcW w:w="1749" w:type="pct"/>
            <w:tcBorders>
              <w:top w:val="nil"/>
              <w:left w:val="nil"/>
              <w:bottom w:val="nil"/>
              <w:right w:val="nil"/>
            </w:tcBorders>
          </w:tcPr>
          <w:p w14:paraId="0A120516" w14:textId="77777777" w:rsidR="00F6752D" w:rsidRPr="00571974" w:rsidRDefault="00F6752D" w:rsidP="00F6752D">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p>
        </w:tc>
        <w:tc>
          <w:tcPr>
            <w:tcW w:w="3251" w:type="pct"/>
            <w:tcBorders>
              <w:top w:val="nil"/>
              <w:left w:val="nil"/>
              <w:bottom w:val="nil"/>
              <w:right w:val="nil"/>
            </w:tcBorders>
            <w:vAlign w:val="bottom"/>
          </w:tcPr>
          <w:p w14:paraId="7059E572" w14:textId="77777777" w:rsidR="00F6752D" w:rsidRPr="00571974" w:rsidRDefault="003D4D89" w:rsidP="00F6752D">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 credit rating is not a recommendation to buy or hold securities and may be subject to revisions, suspension or withdrawal at any time by the assigning rating agency.</w:t>
            </w:r>
          </w:p>
        </w:tc>
      </w:tr>
      <w:tr w:rsidR="002228B8" w14:paraId="24002BC5" w14:textId="77777777" w:rsidTr="004C5423">
        <w:trPr>
          <w:cantSplit/>
          <w:jc w:val="center"/>
        </w:trPr>
        <w:tc>
          <w:tcPr>
            <w:tcW w:w="1749" w:type="pct"/>
            <w:tcBorders>
              <w:top w:val="nil"/>
              <w:left w:val="nil"/>
              <w:bottom w:val="nil"/>
              <w:right w:val="nil"/>
            </w:tcBorders>
          </w:tcPr>
          <w:p w14:paraId="59CDA4A0" w14:textId="77777777" w:rsidR="00903404" w:rsidRPr="00571974" w:rsidRDefault="003D4D89" w:rsidP="002B7286">
            <w:pPr>
              <w:widowControl/>
              <w:tabs>
                <w:tab w:val="right" w:leader="dot" w:pos="3204"/>
              </w:tabs>
              <w:suppressAutoHyphens/>
              <w:ind w:left="200" w:hanging="200"/>
              <w:rPr>
                <w:lang w:val="en-GB" w:eastAsia="en-GB" w:bidi="ar-SA"/>
              </w:rPr>
            </w:pPr>
            <w:r w:rsidRPr="00571974">
              <w:rPr>
                <w:b/>
                <w:bCs/>
                <w:lang w:val="en-GB" w:eastAsia="en-GB" w:bidi="ar-SA"/>
              </w:rPr>
              <w:t>Governing Law</w:t>
            </w:r>
            <w:r w:rsidRPr="00571974">
              <w:rPr>
                <w:lang w:val="en-GB" w:eastAsia="en-GB" w:bidi="ar-SA"/>
              </w:rPr>
              <w:tab/>
            </w:r>
          </w:p>
        </w:tc>
        <w:tc>
          <w:tcPr>
            <w:tcW w:w="3251" w:type="pct"/>
            <w:tcBorders>
              <w:top w:val="nil"/>
              <w:left w:val="nil"/>
              <w:bottom w:val="nil"/>
              <w:right w:val="nil"/>
            </w:tcBorders>
            <w:vAlign w:val="bottom"/>
          </w:tcPr>
          <w:p w14:paraId="41318676" w14:textId="77777777" w:rsidR="00903404" w:rsidRPr="00571974" w:rsidRDefault="003D4D89"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Indenture, the Notes and the Guarantees will be governed by and construed in accordance with the laws of the State of New York.</w:t>
            </w:r>
          </w:p>
        </w:tc>
      </w:tr>
      <w:tr w:rsidR="002228B8" w14:paraId="6694F788" w14:textId="77777777" w:rsidTr="004C5423">
        <w:trPr>
          <w:cantSplit/>
          <w:jc w:val="center"/>
        </w:trPr>
        <w:tc>
          <w:tcPr>
            <w:tcW w:w="1749" w:type="pct"/>
            <w:tcBorders>
              <w:top w:val="nil"/>
              <w:left w:val="nil"/>
              <w:bottom w:val="nil"/>
              <w:right w:val="nil"/>
            </w:tcBorders>
          </w:tcPr>
          <w:p w14:paraId="359BE24F"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Listing</w:t>
            </w:r>
            <w:r w:rsidRPr="00571974">
              <w:rPr>
                <w:lang w:val="en-GB" w:eastAsia="en-GB" w:bidi="ar-SA"/>
              </w:rPr>
              <w:tab/>
            </w:r>
          </w:p>
        </w:tc>
        <w:tc>
          <w:tcPr>
            <w:tcW w:w="3251" w:type="pct"/>
            <w:tcBorders>
              <w:top w:val="nil"/>
              <w:left w:val="nil"/>
              <w:bottom w:val="nil"/>
              <w:right w:val="nil"/>
            </w:tcBorders>
            <w:vAlign w:val="bottom"/>
          </w:tcPr>
          <w:p w14:paraId="3845BDF3" w14:textId="49322FC7" w:rsidR="00903404" w:rsidRPr="00571974" w:rsidRDefault="00903404" w:rsidP="002B728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Company expects to make an application for Admission of the Notes to listing on the Official List and to trading on the London Stock Exchange</w:t>
            </w:r>
            <w:r w:rsidR="00A311D8">
              <w:rPr>
                <w:lang w:val="en-GB" w:eastAsia="en-GB" w:bidi="ar-SA"/>
              </w:rPr>
              <w:t>’</w:t>
            </w:r>
            <w:r w:rsidRPr="00571974">
              <w:rPr>
                <w:lang w:val="en-GB" w:eastAsia="en-GB" w:bidi="ar-SA"/>
              </w:rPr>
              <w:t xml:space="preserve">s Regulated Market, a regulated market for purposes of </w:t>
            </w:r>
            <w:r w:rsidR="00846795" w:rsidRPr="00571974">
              <w:rPr>
                <w:lang w:val="en-GB" w:eastAsia="en-GB" w:bidi="ar-SA"/>
              </w:rPr>
              <w:t>MiFID II.</w:t>
            </w:r>
          </w:p>
        </w:tc>
      </w:tr>
      <w:tr w:rsidR="002228B8" w14:paraId="527ED95F" w14:textId="77777777" w:rsidTr="004C5423">
        <w:trPr>
          <w:cantSplit/>
          <w:trHeight w:val="574"/>
          <w:jc w:val="center"/>
        </w:trPr>
        <w:tc>
          <w:tcPr>
            <w:tcW w:w="1749" w:type="pct"/>
            <w:tcBorders>
              <w:top w:val="nil"/>
              <w:left w:val="nil"/>
              <w:bottom w:val="nil"/>
              <w:right w:val="nil"/>
            </w:tcBorders>
          </w:tcPr>
          <w:p w14:paraId="7BE8F797" w14:textId="77777777" w:rsidR="00903404" w:rsidRPr="00571974" w:rsidRDefault="003D4D89" w:rsidP="002B7286">
            <w:pPr>
              <w:widowControl/>
              <w:tabs>
                <w:tab w:val="right" w:leader="dot" w:pos="3020"/>
              </w:tabs>
              <w:suppressAutoHyphens/>
              <w:ind w:left="200" w:hanging="200"/>
              <w:rPr>
                <w:lang w:val="en-GB" w:eastAsia="en-GB" w:bidi="ar-SA"/>
              </w:rPr>
            </w:pPr>
            <w:r w:rsidRPr="00571974">
              <w:rPr>
                <w:b/>
                <w:bCs/>
                <w:lang w:val="en-GB" w:eastAsia="en-GB" w:bidi="ar-SA"/>
              </w:rPr>
              <w:t>Risk Factors</w:t>
            </w:r>
            <w:r w:rsidRPr="00571974">
              <w:rPr>
                <w:lang w:val="en-GB" w:eastAsia="en-GB" w:bidi="ar-SA"/>
              </w:rPr>
              <w:tab/>
            </w:r>
          </w:p>
        </w:tc>
        <w:tc>
          <w:tcPr>
            <w:tcW w:w="3251" w:type="pct"/>
            <w:tcBorders>
              <w:top w:val="nil"/>
              <w:left w:val="nil"/>
              <w:bottom w:val="nil"/>
              <w:right w:val="nil"/>
            </w:tcBorders>
          </w:tcPr>
          <w:p w14:paraId="336F5E3B" w14:textId="4C336241" w:rsidR="00903404" w:rsidRPr="00571974" w:rsidRDefault="003D4D89"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We urge you to consider carefully the risks described in </w:t>
            </w:r>
            <w:r w:rsidR="00A311D8">
              <w:rPr>
                <w:lang w:val="en-GB" w:eastAsia="en-GB" w:bidi="ar-SA"/>
              </w:rPr>
              <w:t>“</w:t>
            </w:r>
            <w:r w:rsidRPr="00571974">
              <w:rPr>
                <w:lang w:val="en-GB" w:eastAsia="en-GB" w:bidi="ar-SA"/>
              </w:rPr>
              <w:t>Risk Factors</w:t>
            </w:r>
            <w:r w:rsidR="00A311D8">
              <w:rPr>
                <w:lang w:val="en-GB" w:eastAsia="en-GB" w:bidi="ar-SA"/>
              </w:rPr>
              <w:t>”</w:t>
            </w:r>
            <w:r w:rsidRPr="00571974">
              <w:rPr>
                <w:lang w:val="en-GB" w:eastAsia="en-GB" w:bidi="ar-SA"/>
              </w:rPr>
              <w:t xml:space="preserve"> beginning on page </w:t>
            </w:r>
            <w:r w:rsidR="0069562C">
              <w:rPr>
                <w:lang w:val="en-GB" w:eastAsia="en-GB" w:bidi="ar-SA"/>
              </w:rPr>
              <w:t>24</w:t>
            </w:r>
            <w:r w:rsidRPr="00571974">
              <w:rPr>
                <w:lang w:val="en-GB" w:eastAsia="en-GB" w:bidi="ar-SA"/>
              </w:rPr>
              <w:t xml:space="preserve"> of this document before making an investment decision.</w:t>
            </w:r>
          </w:p>
        </w:tc>
      </w:tr>
    </w:tbl>
    <w:p w14:paraId="6765E67A" w14:textId="6A4D228A" w:rsidR="00903404" w:rsidRPr="00571974" w:rsidRDefault="003D4D89" w:rsidP="00903404">
      <w:pPr>
        <w:widowControl/>
        <w:autoSpaceDE/>
        <w:autoSpaceDN/>
        <w:adjustRightInd/>
        <w:rPr>
          <w:rFonts w:eastAsia="PMingLiU"/>
          <w:b/>
          <w:caps/>
          <w:snapToGrid w:val="0"/>
          <w:szCs w:val="20"/>
          <w:lang w:val="en-GB"/>
        </w:rPr>
      </w:pPr>
      <w:r w:rsidRPr="00571974">
        <w:rPr>
          <w:lang w:val="en-GB"/>
        </w:rPr>
        <w:br w:type="page"/>
      </w:r>
    </w:p>
    <w:p w14:paraId="4B47D5C6" w14:textId="79D7BA7A" w:rsidR="00F17FA1" w:rsidRPr="00571974" w:rsidRDefault="00F17FA1" w:rsidP="00F17FA1">
      <w:pPr>
        <w:widowControl/>
        <w:autoSpaceDE/>
        <w:autoSpaceDN/>
        <w:adjustRightInd/>
        <w:rPr>
          <w:rFonts w:eastAsia="PMingLiU"/>
          <w:b/>
          <w:caps/>
          <w:snapToGrid w:val="0"/>
          <w:szCs w:val="20"/>
          <w:lang w:val="en-GB"/>
        </w:rPr>
      </w:pPr>
    </w:p>
    <w:p w14:paraId="1DE0E5A6" w14:textId="77777777" w:rsidR="00DF4A0D" w:rsidRPr="00571974" w:rsidRDefault="003D4D89" w:rsidP="00DF4A0D">
      <w:pPr>
        <w:pStyle w:val="Heading1"/>
        <w:rPr>
          <w:lang w:val="en-GB"/>
        </w:rPr>
      </w:pPr>
      <w:bookmarkStart w:id="27" w:name="_Toc36388955"/>
      <w:bookmarkStart w:id="28" w:name="_Hlk31706320"/>
      <w:bookmarkStart w:id="29" w:name="_Hlk773665"/>
      <w:r w:rsidRPr="00571974">
        <w:rPr>
          <w:lang w:val="en-GB"/>
        </w:rPr>
        <w:t>SUMMARY FINANCIAL INFORMATION</w:t>
      </w:r>
      <w:bookmarkEnd w:id="27"/>
      <w:r w:rsidRPr="00571974">
        <w:rPr>
          <w:lang w:val="en-GB"/>
        </w:rPr>
        <w:t xml:space="preserve"> </w:t>
      </w:r>
    </w:p>
    <w:p w14:paraId="57D6C72D" w14:textId="0230C9E6" w:rsidR="00DF4A0D" w:rsidRPr="00571974" w:rsidRDefault="003D4D89" w:rsidP="00DF4A0D">
      <w:pPr>
        <w:pStyle w:val="BodyText"/>
        <w:widowControl/>
        <w:autoSpaceDE/>
        <w:autoSpaceDN/>
        <w:adjustRightInd/>
        <w:ind w:firstLine="360"/>
        <w:rPr>
          <w:lang w:val="en-GB"/>
        </w:rPr>
      </w:pPr>
      <w:r w:rsidRPr="00571974">
        <w:rPr>
          <w:lang w:val="en-GB"/>
        </w:rPr>
        <w:t>The summary financial information of the Group set forth below for the years ended December 31, 201</w:t>
      </w:r>
      <w:r w:rsidR="001F3E6A">
        <w:rPr>
          <w:lang w:val="en-GB"/>
        </w:rPr>
        <w:t>9</w:t>
      </w:r>
      <w:r w:rsidRPr="00571974">
        <w:rPr>
          <w:lang w:val="en-GB"/>
        </w:rPr>
        <w:t>, 2018 and 201</w:t>
      </w:r>
      <w:r w:rsidR="001F3E6A">
        <w:rPr>
          <w:lang w:val="en-GB"/>
        </w:rPr>
        <w:t>7</w:t>
      </w:r>
      <w:r w:rsidRPr="00571974">
        <w:rPr>
          <w:lang w:val="en-GB"/>
        </w:rPr>
        <w:t xml:space="preserve"> has been extracted from, and should be read in conjunction with, the consolidated financial statements and notes thereto prepared in accordance with IFRS and incorporated by reference in this document. See </w:t>
      </w:r>
      <w:r w:rsidR="00A311D8">
        <w:rPr>
          <w:lang w:val="en-GB"/>
        </w:rPr>
        <w:t>“</w:t>
      </w:r>
      <w:r w:rsidRPr="00571974">
        <w:rPr>
          <w:lang w:val="en-GB"/>
        </w:rPr>
        <w:t>Presentation of Financial Information</w:t>
      </w:r>
      <w:r w:rsidR="00A311D8">
        <w:rPr>
          <w:lang w:val="en-GB"/>
        </w:rPr>
        <w:t>”</w:t>
      </w:r>
      <w:r w:rsidRPr="00571974">
        <w:rPr>
          <w:lang w:val="en-GB"/>
        </w:rPr>
        <w:t>.</w:t>
      </w:r>
    </w:p>
    <w:p w14:paraId="65A3FA30" w14:textId="5846CACB" w:rsidR="00DF4A0D" w:rsidRPr="00571974" w:rsidRDefault="003D4D89" w:rsidP="00DF4A0D">
      <w:pPr>
        <w:pStyle w:val="BodyText"/>
        <w:widowControl/>
        <w:autoSpaceDE/>
        <w:autoSpaceDN/>
        <w:adjustRightInd/>
        <w:ind w:firstLine="360"/>
        <w:rPr>
          <w:lang w:val="en-GB"/>
        </w:rPr>
      </w:pPr>
      <w:r w:rsidRPr="00571974">
        <w:rPr>
          <w:lang w:val="en-GB"/>
        </w:rPr>
        <w:t xml:space="preserve">You should </w:t>
      </w:r>
      <w:r w:rsidRPr="00571974">
        <w:rPr>
          <w:rFonts w:eastAsia="PMingLiU"/>
          <w:szCs w:val="20"/>
          <w:lang w:val="en-GB" w:eastAsia="en-US"/>
        </w:rPr>
        <w:t>regard</w:t>
      </w:r>
      <w:r w:rsidRPr="00571974">
        <w:rPr>
          <w:lang w:val="en-GB"/>
        </w:rPr>
        <w:t xml:space="preserve"> the financial data below only as an introduction and should base your investment decision on a review of this entire document and the information incorporated by reference herein. The disclosures in this section include certain Alternative Performance Measures (</w:t>
      </w:r>
      <w:r w:rsidR="00A311D8">
        <w:rPr>
          <w:lang w:val="en-GB"/>
        </w:rPr>
        <w:t>“</w:t>
      </w:r>
      <w:r w:rsidRPr="00571974">
        <w:rPr>
          <w:lang w:val="en-GB"/>
        </w:rPr>
        <w:t>APMs</w:t>
      </w:r>
      <w:r w:rsidR="00A311D8">
        <w:rPr>
          <w:lang w:val="en-GB"/>
        </w:rPr>
        <w:t>”</w:t>
      </w:r>
      <w:r w:rsidRPr="00571974">
        <w:rPr>
          <w:lang w:val="en-GB"/>
        </w:rPr>
        <w:t xml:space="preserve">). For more information on the APMs please see </w:t>
      </w:r>
      <w:r w:rsidR="00A311D8">
        <w:rPr>
          <w:lang w:val="en-GB"/>
        </w:rPr>
        <w:t>“</w:t>
      </w:r>
      <w:r w:rsidRPr="00571974">
        <w:rPr>
          <w:lang w:val="en-GB"/>
        </w:rPr>
        <w:t>Presentation of Financial Information</w:t>
      </w:r>
      <w:r w:rsidR="00A311D8">
        <w:rPr>
          <w:lang w:val="en-GB"/>
        </w:rPr>
        <w:t>”</w:t>
      </w:r>
      <w:r w:rsidRPr="00571974">
        <w:rPr>
          <w:lang w:val="en-GB"/>
        </w:rPr>
        <w:t>.</w:t>
      </w:r>
    </w:p>
    <w:tbl>
      <w:tblPr>
        <w:tblW w:w="5000" w:type="pct"/>
        <w:tblInd w:w="-72" w:type="dxa"/>
        <w:tblLayout w:type="fixed"/>
        <w:tblCellMar>
          <w:left w:w="72" w:type="dxa"/>
          <w:right w:w="72" w:type="dxa"/>
        </w:tblCellMar>
        <w:tblLook w:val="0000" w:firstRow="0" w:lastRow="0" w:firstColumn="0" w:lastColumn="0" w:noHBand="0" w:noVBand="0"/>
      </w:tblPr>
      <w:tblGrid>
        <w:gridCol w:w="6402"/>
        <w:gridCol w:w="987"/>
        <w:gridCol w:w="987"/>
        <w:gridCol w:w="980"/>
      </w:tblGrid>
      <w:tr w:rsidR="002228B8" w14:paraId="50F259C9" w14:textId="77777777" w:rsidTr="00DF4A0D">
        <w:trPr>
          <w:cantSplit/>
          <w:trHeight w:val="308"/>
        </w:trPr>
        <w:tc>
          <w:tcPr>
            <w:tcW w:w="6402" w:type="dxa"/>
            <w:tcBorders>
              <w:top w:val="nil"/>
              <w:left w:val="nil"/>
              <w:bottom w:val="nil"/>
              <w:right w:val="nil"/>
            </w:tcBorders>
            <w:vAlign w:val="bottom"/>
          </w:tcPr>
          <w:p w14:paraId="5EC1F26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2954" w:type="dxa"/>
            <w:gridSpan w:val="3"/>
            <w:tcBorders>
              <w:top w:val="nil"/>
              <w:left w:val="nil"/>
              <w:bottom w:val="nil"/>
              <w:right w:val="nil"/>
            </w:tcBorders>
            <w:vAlign w:val="bottom"/>
          </w:tcPr>
          <w:p w14:paraId="517D59F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132B2370" w14:textId="77777777" w:rsidTr="00DF4A0D">
        <w:trPr>
          <w:cantSplit/>
          <w:trHeight w:val="289"/>
        </w:trPr>
        <w:tc>
          <w:tcPr>
            <w:tcW w:w="6402" w:type="dxa"/>
            <w:tcBorders>
              <w:top w:val="nil"/>
              <w:left w:val="nil"/>
              <w:bottom w:val="nil"/>
              <w:right w:val="nil"/>
            </w:tcBorders>
            <w:vAlign w:val="bottom"/>
          </w:tcPr>
          <w:p w14:paraId="7C6B5F2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987" w:type="dxa"/>
            <w:tcBorders>
              <w:top w:val="nil"/>
              <w:left w:val="nil"/>
              <w:bottom w:val="nil"/>
              <w:right w:val="nil"/>
            </w:tcBorders>
            <w:vAlign w:val="bottom"/>
          </w:tcPr>
          <w:p w14:paraId="3E2EC4B8"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987" w:type="dxa"/>
            <w:tcBorders>
              <w:top w:val="nil"/>
              <w:left w:val="nil"/>
              <w:bottom w:val="nil"/>
              <w:right w:val="nil"/>
            </w:tcBorders>
            <w:vAlign w:val="bottom"/>
          </w:tcPr>
          <w:p w14:paraId="233DA76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980" w:type="dxa"/>
            <w:tcBorders>
              <w:top w:val="nil"/>
              <w:left w:val="nil"/>
              <w:bottom w:val="nil"/>
              <w:right w:val="nil"/>
            </w:tcBorders>
            <w:vAlign w:val="bottom"/>
          </w:tcPr>
          <w:p w14:paraId="0F4CDF9C"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594FC0AB" w14:textId="77777777" w:rsidTr="00DF4A0D">
        <w:trPr>
          <w:cantSplit/>
          <w:trHeight w:val="269"/>
        </w:trPr>
        <w:tc>
          <w:tcPr>
            <w:tcW w:w="6402" w:type="dxa"/>
            <w:tcBorders>
              <w:top w:val="nil"/>
              <w:left w:val="nil"/>
              <w:bottom w:val="nil"/>
              <w:right w:val="nil"/>
            </w:tcBorders>
            <w:vAlign w:val="bottom"/>
          </w:tcPr>
          <w:p w14:paraId="78FB4944"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2954" w:type="dxa"/>
            <w:gridSpan w:val="3"/>
            <w:tcBorders>
              <w:top w:val="nil"/>
              <w:left w:val="nil"/>
              <w:bottom w:val="nil"/>
              <w:right w:val="nil"/>
            </w:tcBorders>
            <w:vAlign w:val="bottom"/>
          </w:tcPr>
          <w:p w14:paraId="5B369DC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61D19CD0" w14:textId="77777777" w:rsidTr="00DF4A0D">
        <w:trPr>
          <w:cantSplit/>
          <w:trHeight w:val="269"/>
        </w:trPr>
        <w:tc>
          <w:tcPr>
            <w:tcW w:w="6402" w:type="dxa"/>
            <w:tcBorders>
              <w:top w:val="nil"/>
              <w:left w:val="nil"/>
              <w:bottom w:val="nil"/>
              <w:right w:val="nil"/>
            </w:tcBorders>
            <w:vAlign w:val="bottom"/>
          </w:tcPr>
          <w:p w14:paraId="639F571B"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Revenue</w:t>
            </w:r>
            <w:r w:rsidRPr="00571974">
              <w:rPr>
                <w:sz w:val="18"/>
                <w:szCs w:val="18"/>
                <w:lang w:val="en-GB" w:eastAsia="en-GB" w:bidi="ar-SA"/>
              </w:rPr>
              <w:tab/>
            </w:r>
          </w:p>
        </w:tc>
        <w:tc>
          <w:tcPr>
            <w:tcW w:w="987" w:type="dxa"/>
            <w:tcBorders>
              <w:top w:val="nil"/>
              <w:left w:val="nil"/>
              <w:bottom w:val="nil"/>
              <w:right w:val="nil"/>
            </w:tcBorders>
            <w:vAlign w:val="bottom"/>
          </w:tcPr>
          <w:p w14:paraId="72DD91B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26,243</w:t>
            </w:r>
          </w:p>
        </w:tc>
        <w:tc>
          <w:tcPr>
            <w:tcW w:w="987" w:type="dxa"/>
            <w:tcBorders>
              <w:top w:val="nil"/>
              <w:left w:val="nil"/>
              <w:bottom w:val="nil"/>
              <w:right w:val="nil"/>
            </w:tcBorders>
            <w:vAlign w:val="bottom"/>
          </w:tcPr>
          <w:p w14:paraId="392C947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27,610</w:t>
            </w:r>
          </w:p>
        </w:tc>
        <w:tc>
          <w:tcPr>
            <w:tcW w:w="980" w:type="dxa"/>
            <w:tcBorders>
              <w:top w:val="nil"/>
              <w:left w:val="nil"/>
              <w:bottom w:val="nil"/>
              <w:right w:val="nil"/>
            </w:tcBorders>
            <w:vAlign w:val="bottom"/>
          </w:tcPr>
          <w:p w14:paraId="7E496C6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29,870</w:t>
            </w:r>
          </w:p>
        </w:tc>
      </w:tr>
      <w:tr w:rsidR="002228B8" w14:paraId="19C575A6" w14:textId="77777777" w:rsidTr="00DF4A0D">
        <w:trPr>
          <w:cantSplit/>
          <w:trHeight w:val="269"/>
        </w:trPr>
        <w:tc>
          <w:tcPr>
            <w:tcW w:w="6402" w:type="dxa"/>
            <w:tcBorders>
              <w:top w:val="nil"/>
              <w:left w:val="nil"/>
              <w:bottom w:val="nil"/>
              <w:right w:val="nil"/>
            </w:tcBorders>
            <w:vAlign w:val="bottom"/>
          </w:tcPr>
          <w:p w14:paraId="4179C449" w14:textId="3304959F"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vertAlign w:val="superscript"/>
                <w:lang w:val="en-GB" w:eastAsia="en-GB" w:bidi="ar-SA"/>
              </w:rPr>
              <w:t>(1)</w:t>
            </w:r>
            <w:r w:rsidRPr="00571974">
              <w:rPr>
                <w:sz w:val="18"/>
                <w:szCs w:val="18"/>
                <w:lang w:val="en-GB" w:eastAsia="en-GB" w:bidi="ar-SA"/>
              </w:rPr>
              <w:tab/>
            </w:r>
          </w:p>
        </w:tc>
        <w:tc>
          <w:tcPr>
            <w:tcW w:w="987" w:type="dxa"/>
            <w:tcBorders>
              <w:top w:val="nil"/>
              <w:left w:val="nil"/>
              <w:bottom w:val="nil"/>
              <w:right w:val="nil"/>
            </w:tcBorders>
            <w:vAlign w:val="bottom"/>
          </w:tcPr>
          <w:p w14:paraId="776BED7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28,650</w:t>
            </w:r>
          </w:p>
        </w:tc>
        <w:tc>
          <w:tcPr>
            <w:tcW w:w="987" w:type="dxa"/>
            <w:tcBorders>
              <w:top w:val="nil"/>
              <w:left w:val="nil"/>
              <w:bottom w:val="nil"/>
              <w:right w:val="nil"/>
            </w:tcBorders>
            <w:vAlign w:val="bottom"/>
          </w:tcPr>
          <w:p w14:paraId="02831E3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30,196</w:t>
            </w:r>
          </w:p>
        </w:tc>
        <w:tc>
          <w:tcPr>
            <w:tcW w:w="980" w:type="dxa"/>
            <w:tcBorders>
              <w:top w:val="nil"/>
              <w:left w:val="nil"/>
              <w:bottom w:val="nil"/>
              <w:right w:val="nil"/>
            </w:tcBorders>
            <w:vAlign w:val="bottom"/>
          </w:tcPr>
          <w:p w14:paraId="7B2A1DC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31,825</w:t>
            </w:r>
          </w:p>
        </w:tc>
      </w:tr>
      <w:tr w:rsidR="002228B8" w14:paraId="44814194" w14:textId="77777777" w:rsidTr="00DF4A0D">
        <w:trPr>
          <w:cantSplit/>
          <w:trHeight w:val="269"/>
        </w:trPr>
        <w:tc>
          <w:tcPr>
            <w:tcW w:w="6402" w:type="dxa"/>
            <w:tcBorders>
              <w:top w:val="nil"/>
              <w:left w:val="nil"/>
              <w:bottom w:val="nil"/>
              <w:right w:val="nil"/>
            </w:tcBorders>
            <w:vAlign w:val="bottom"/>
          </w:tcPr>
          <w:p w14:paraId="473F32C0"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vertAlign w:val="superscript"/>
                <w:lang w:val="en-GB" w:eastAsia="en-GB" w:bidi="ar-SA"/>
              </w:rPr>
              <w:t>(1)</w:t>
            </w:r>
            <w:r w:rsidRPr="00571974">
              <w:rPr>
                <w:sz w:val="18"/>
                <w:szCs w:val="18"/>
                <w:lang w:val="en-GB" w:eastAsia="en-GB" w:bidi="ar-SA"/>
              </w:rPr>
              <w:tab/>
            </w:r>
          </w:p>
        </w:tc>
        <w:tc>
          <w:tcPr>
            <w:tcW w:w="987" w:type="dxa"/>
            <w:tcBorders>
              <w:top w:val="nil"/>
              <w:left w:val="nil"/>
              <w:bottom w:val="nil"/>
              <w:right w:val="nil"/>
            </w:tcBorders>
            <w:vAlign w:val="bottom"/>
          </w:tcPr>
          <w:p w14:paraId="5E8ADA9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6,247</w:t>
            </w:r>
          </w:p>
        </w:tc>
        <w:tc>
          <w:tcPr>
            <w:tcW w:w="987" w:type="dxa"/>
            <w:tcBorders>
              <w:top w:val="nil"/>
              <w:left w:val="nil"/>
              <w:bottom w:val="nil"/>
              <w:right w:val="nil"/>
            </w:tcBorders>
            <w:vAlign w:val="bottom"/>
          </w:tcPr>
          <w:p w14:paraId="0FF0FA2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6,377</w:t>
            </w:r>
          </w:p>
        </w:tc>
        <w:tc>
          <w:tcPr>
            <w:tcW w:w="980" w:type="dxa"/>
            <w:tcBorders>
              <w:top w:val="nil"/>
              <w:left w:val="nil"/>
              <w:bottom w:val="nil"/>
              <w:right w:val="nil"/>
            </w:tcBorders>
            <w:vAlign w:val="bottom"/>
          </w:tcPr>
          <w:p w14:paraId="2ABA349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7,010</w:t>
            </w:r>
          </w:p>
        </w:tc>
      </w:tr>
      <w:tr w:rsidR="002228B8" w14:paraId="7649B87E" w14:textId="77777777" w:rsidTr="00DF4A0D">
        <w:trPr>
          <w:cantSplit/>
          <w:trHeight w:val="250"/>
        </w:trPr>
        <w:tc>
          <w:tcPr>
            <w:tcW w:w="6402" w:type="dxa"/>
            <w:tcBorders>
              <w:top w:val="nil"/>
              <w:left w:val="nil"/>
              <w:bottom w:val="nil"/>
              <w:right w:val="nil"/>
            </w:tcBorders>
            <w:vAlign w:val="bottom"/>
          </w:tcPr>
          <w:p w14:paraId="2DBD9CBD"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Operating profit/(loss)</w:t>
            </w:r>
            <w:r w:rsidRPr="00571974">
              <w:rPr>
                <w:sz w:val="18"/>
                <w:szCs w:val="18"/>
                <w:lang w:val="en-GB" w:eastAsia="en-GB" w:bidi="ar-SA"/>
              </w:rPr>
              <w:tab/>
            </w:r>
          </w:p>
        </w:tc>
        <w:tc>
          <w:tcPr>
            <w:tcW w:w="987" w:type="dxa"/>
            <w:tcBorders>
              <w:top w:val="nil"/>
              <w:left w:val="nil"/>
              <w:bottom w:val="nil"/>
              <w:right w:val="nil"/>
            </w:tcBorders>
            <w:vAlign w:val="bottom"/>
          </w:tcPr>
          <w:p w14:paraId="5E32CD8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5,529</w:t>
            </w:r>
          </w:p>
        </w:tc>
        <w:tc>
          <w:tcPr>
            <w:tcW w:w="987" w:type="dxa"/>
            <w:tcBorders>
              <w:top w:val="nil"/>
              <w:left w:val="nil"/>
              <w:bottom w:val="nil"/>
              <w:right w:val="nil"/>
            </w:tcBorders>
            <w:vAlign w:val="bottom"/>
          </w:tcPr>
          <w:p w14:paraId="5E04CB0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6,069</w:t>
            </w:r>
          </w:p>
        </w:tc>
        <w:tc>
          <w:tcPr>
            <w:tcW w:w="980" w:type="dxa"/>
            <w:tcBorders>
              <w:top w:val="nil"/>
              <w:left w:val="nil"/>
              <w:bottom w:val="nil"/>
              <w:right w:val="nil"/>
            </w:tcBorders>
            <w:vAlign w:val="bottom"/>
          </w:tcPr>
          <w:p w14:paraId="78EEA55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6,176</w:t>
            </w:r>
          </w:p>
        </w:tc>
      </w:tr>
      <w:tr w:rsidR="002228B8" w14:paraId="02C3DD63" w14:textId="77777777" w:rsidTr="00DF4A0D">
        <w:trPr>
          <w:cantSplit/>
          <w:trHeight w:val="269"/>
        </w:trPr>
        <w:tc>
          <w:tcPr>
            <w:tcW w:w="6402" w:type="dxa"/>
            <w:tcBorders>
              <w:top w:val="nil"/>
              <w:left w:val="nil"/>
              <w:bottom w:val="nil"/>
              <w:right w:val="nil"/>
            </w:tcBorders>
            <w:vAlign w:val="bottom"/>
          </w:tcPr>
          <w:p w14:paraId="0537BB7A"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Profit/(loss) for the financial period attributable to equity shareholders of the Company</w:t>
            </w:r>
            <w:r w:rsidRPr="00571974">
              <w:rPr>
                <w:sz w:val="18"/>
                <w:szCs w:val="18"/>
                <w:lang w:val="en-GB" w:eastAsia="en-GB" w:bidi="ar-SA"/>
              </w:rPr>
              <w:tab/>
            </w:r>
          </w:p>
        </w:tc>
        <w:tc>
          <w:tcPr>
            <w:tcW w:w="987" w:type="dxa"/>
            <w:tcBorders>
              <w:top w:val="nil"/>
              <w:left w:val="nil"/>
              <w:bottom w:val="nil"/>
              <w:right w:val="nil"/>
            </w:tcBorders>
            <w:vAlign w:val="bottom"/>
          </w:tcPr>
          <w:p w14:paraId="461FFAF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3,166</w:t>
            </w:r>
          </w:p>
        </w:tc>
        <w:tc>
          <w:tcPr>
            <w:tcW w:w="987" w:type="dxa"/>
            <w:tcBorders>
              <w:top w:val="nil"/>
              <w:left w:val="nil"/>
              <w:bottom w:val="nil"/>
              <w:right w:val="nil"/>
            </w:tcBorders>
            <w:vAlign w:val="bottom"/>
          </w:tcPr>
          <w:p w14:paraId="53EC49D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3,549</w:t>
            </w:r>
          </w:p>
        </w:tc>
        <w:tc>
          <w:tcPr>
            <w:tcW w:w="980" w:type="dxa"/>
            <w:tcBorders>
              <w:top w:val="nil"/>
              <w:left w:val="nil"/>
              <w:bottom w:val="nil"/>
              <w:right w:val="nil"/>
            </w:tcBorders>
            <w:vAlign w:val="bottom"/>
          </w:tcPr>
          <w:p w14:paraId="2AD9DB6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3,547</w:t>
            </w:r>
          </w:p>
        </w:tc>
      </w:tr>
      <w:tr w:rsidR="002228B8" w14:paraId="17F86F7D" w14:textId="77777777" w:rsidTr="00DF4A0D">
        <w:trPr>
          <w:cantSplit/>
          <w:trHeight w:val="269"/>
        </w:trPr>
        <w:tc>
          <w:tcPr>
            <w:tcW w:w="6402" w:type="dxa"/>
            <w:tcBorders>
              <w:top w:val="nil"/>
              <w:left w:val="nil"/>
              <w:bottom w:val="nil"/>
              <w:right w:val="nil"/>
            </w:tcBorders>
            <w:vAlign w:val="bottom"/>
          </w:tcPr>
          <w:p w14:paraId="2F10CAF3"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Underlying earnings</w:t>
            </w:r>
            <w:r w:rsidRPr="00571974">
              <w:rPr>
                <w:sz w:val="18"/>
                <w:szCs w:val="18"/>
                <w:vertAlign w:val="superscript"/>
                <w:lang w:val="en-GB" w:eastAsia="en-GB" w:bidi="ar-SA"/>
              </w:rPr>
              <w:t>(1)</w:t>
            </w:r>
            <w:r w:rsidRPr="00571974">
              <w:rPr>
                <w:sz w:val="18"/>
                <w:szCs w:val="18"/>
                <w:lang w:val="en-GB" w:eastAsia="en-GB" w:bidi="ar-SA"/>
              </w:rPr>
              <w:tab/>
            </w:r>
          </w:p>
        </w:tc>
        <w:tc>
          <w:tcPr>
            <w:tcW w:w="987" w:type="dxa"/>
            <w:tcBorders>
              <w:top w:val="nil"/>
              <w:left w:val="nil"/>
              <w:bottom w:val="nil"/>
              <w:right w:val="nil"/>
            </w:tcBorders>
            <w:vAlign w:val="bottom"/>
          </w:tcPr>
          <w:p w14:paraId="324697A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3,272</w:t>
            </w:r>
          </w:p>
        </w:tc>
        <w:tc>
          <w:tcPr>
            <w:tcW w:w="987" w:type="dxa"/>
            <w:tcBorders>
              <w:top w:val="nil"/>
              <w:left w:val="nil"/>
              <w:bottom w:val="nil"/>
              <w:right w:val="nil"/>
            </w:tcBorders>
            <w:vAlign w:val="bottom"/>
          </w:tcPr>
          <w:p w14:paraId="5934EE8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3,237</w:t>
            </w:r>
          </w:p>
        </w:tc>
        <w:tc>
          <w:tcPr>
            <w:tcW w:w="980" w:type="dxa"/>
            <w:tcBorders>
              <w:top w:val="nil"/>
              <w:left w:val="nil"/>
              <w:bottom w:val="nil"/>
              <w:right w:val="nil"/>
            </w:tcBorders>
            <w:vAlign w:val="bottom"/>
          </w:tcPr>
          <w:p w14:paraId="5EAFC3D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3,468</w:t>
            </w:r>
          </w:p>
        </w:tc>
      </w:tr>
      <w:tr w:rsidR="002228B8" w14:paraId="30D3ADB4" w14:textId="77777777" w:rsidTr="00DF4A0D">
        <w:trPr>
          <w:cantSplit/>
          <w:trHeight w:val="269"/>
        </w:trPr>
        <w:tc>
          <w:tcPr>
            <w:tcW w:w="6402" w:type="dxa"/>
            <w:tcBorders>
              <w:top w:val="nil"/>
              <w:left w:val="nil"/>
              <w:bottom w:val="nil"/>
              <w:right w:val="nil"/>
            </w:tcBorders>
            <w:vAlign w:val="bottom"/>
          </w:tcPr>
          <w:p w14:paraId="30D9CF3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7242"/>
              </w:tabs>
              <w:suppressAutoHyphens/>
              <w:ind w:left="200" w:hanging="200"/>
              <w:rPr>
                <w:sz w:val="18"/>
                <w:szCs w:val="18"/>
                <w:lang w:val="en-GB" w:eastAsia="en-GB" w:bidi="ar-SA"/>
              </w:rPr>
            </w:pPr>
            <w:r w:rsidRPr="00571974">
              <w:rPr>
                <w:sz w:val="18"/>
                <w:szCs w:val="18"/>
                <w:lang w:val="en-GB" w:eastAsia="en-GB" w:bidi="ar-SA"/>
              </w:rPr>
              <w:t>Dividends per share (U.S. cents)</w:t>
            </w:r>
            <w:r w:rsidRPr="00571974">
              <w:rPr>
                <w:sz w:val="18"/>
                <w:szCs w:val="18"/>
                <w:vertAlign w:val="superscript"/>
                <w:lang w:val="en-GB" w:eastAsia="en-GB" w:bidi="ar-SA"/>
              </w:rPr>
              <w:t>(2)</w:t>
            </w:r>
          </w:p>
        </w:tc>
        <w:tc>
          <w:tcPr>
            <w:tcW w:w="987" w:type="dxa"/>
            <w:tcBorders>
              <w:top w:val="nil"/>
              <w:left w:val="nil"/>
              <w:bottom w:val="nil"/>
              <w:right w:val="nil"/>
            </w:tcBorders>
            <w:vAlign w:val="bottom"/>
          </w:tcPr>
          <w:p w14:paraId="2EEF9C1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987" w:type="dxa"/>
            <w:tcBorders>
              <w:top w:val="nil"/>
              <w:left w:val="nil"/>
              <w:bottom w:val="nil"/>
              <w:right w:val="nil"/>
            </w:tcBorders>
            <w:vAlign w:val="bottom"/>
          </w:tcPr>
          <w:p w14:paraId="3944FFA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980" w:type="dxa"/>
            <w:tcBorders>
              <w:top w:val="nil"/>
              <w:left w:val="nil"/>
              <w:bottom w:val="nil"/>
              <w:right w:val="nil"/>
            </w:tcBorders>
            <w:vAlign w:val="bottom"/>
          </w:tcPr>
          <w:p w14:paraId="2710212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0C65F524" w14:textId="77777777" w:rsidTr="00DF4A0D">
        <w:trPr>
          <w:cantSplit/>
          <w:trHeight w:val="269"/>
        </w:trPr>
        <w:tc>
          <w:tcPr>
            <w:tcW w:w="6402" w:type="dxa"/>
            <w:tcBorders>
              <w:top w:val="nil"/>
              <w:left w:val="nil"/>
              <w:bottom w:val="nil"/>
              <w:right w:val="nil"/>
            </w:tcBorders>
            <w:vAlign w:val="bottom"/>
          </w:tcPr>
          <w:p w14:paraId="43BBAD81" w14:textId="77777777" w:rsidR="00DF4A0D" w:rsidRPr="00571974" w:rsidRDefault="003D4D89" w:rsidP="00DF4A0D">
            <w:pPr>
              <w:tabs>
                <w:tab w:val="right" w:leader="dot" w:pos="7242"/>
              </w:tabs>
              <w:suppressAutoHyphens/>
              <w:ind w:left="600" w:hanging="200"/>
              <w:rPr>
                <w:sz w:val="18"/>
                <w:szCs w:val="18"/>
                <w:lang w:val="en-GB" w:eastAsia="en-GB" w:bidi="ar-SA"/>
              </w:rPr>
            </w:pPr>
            <w:r w:rsidRPr="00571974">
              <w:rPr>
                <w:sz w:val="18"/>
                <w:szCs w:val="18"/>
                <w:lang w:val="en-GB" w:eastAsia="en-GB" w:bidi="ar-SA"/>
              </w:rPr>
              <w:t>Ordinary</w:t>
            </w:r>
            <w:r w:rsidRPr="00571974">
              <w:rPr>
                <w:sz w:val="18"/>
                <w:szCs w:val="18"/>
                <w:lang w:val="en-GB" w:eastAsia="en-GB" w:bidi="ar-SA"/>
              </w:rPr>
              <w:tab/>
            </w:r>
          </w:p>
        </w:tc>
        <w:tc>
          <w:tcPr>
            <w:tcW w:w="987" w:type="dxa"/>
            <w:tcBorders>
              <w:top w:val="nil"/>
              <w:left w:val="nil"/>
              <w:bottom w:val="nil"/>
              <w:right w:val="nil"/>
            </w:tcBorders>
            <w:vAlign w:val="bottom"/>
          </w:tcPr>
          <w:p w14:paraId="11FC02E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102</w:t>
            </w:r>
          </w:p>
        </w:tc>
        <w:tc>
          <w:tcPr>
            <w:tcW w:w="987" w:type="dxa"/>
            <w:tcBorders>
              <w:top w:val="nil"/>
              <w:left w:val="nil"/>
              <w:bottom w:val="nil"/>
              <w:right w:val="nil"/>
            </w:tcBorders>
            <w:vAlign w:val="bottom"/>
          </w:tcPr>
          <w:p w14:paraId="0C085E5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100</w:t>
            </w:r>
          </w:p>
        </w:tc>
        <w:tc>
          <w:tcPr>
            <w:tcW w:w="980" w:type="dxa"/>
            <w:tcBorders>
              <w:top w:val="nil"/>
              <w:left w:val="nil"/>
              <w:bottom w:val="nil"/>
              <w:right w:val="nil"/>
            </w:tcBorders>
            <w:vAlign w:val="bottom"/>
          </w:tcPr>
          <w:p w14:paraId="3818043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109</w:t>
            </w:r>
          </w:p>
        </w:tc>
      </w:tr>
      <w:tr w:rsidR="002228B8" w14:paraId="4668E970" w14:textId="77777777" w:rsidTr="00DF4A0D">
        <w:trPr>
          <w:cantSplit/>
          <w:trHeight w:val="250"/>
        </w:trPr>
        <w:tc>
          <w:tcPr>
            <w:tcW w:w="6402" w:type="dxa"/>
            <w:tcBorders>
              <w:top w:val="nil"/>
              <w:left w:val="nil"/>
              <w:bottom w:val="nil"/>
              <w:right w:val="nil"/>
            </w:tcBorders>
            <w:vAlign w:val="bottom"/>
          </w:tcPr>
          <w:p w14:paraId="3E7A2D09"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Net assets</w:t>
            </w:r>
            <w:r w:rsidRPr="00571974">
              <w:rPr>
                <w:sz w:val="18"/>
                <w:szCs w:val="18"/>
                <w:lang w:val="en-GB" w:eastAsia="en-GB" w:bidi="ar-SA"/>
              </w:rPr>
              <w:tab/>
            </w:r>
          </w:p>
        </w:tc>
        <w:tc>
          <w:tcPr>
            <w:tcW w:w="987" w:type="dxa"/>
            <w:tcBorders>
              <w:top w:val="nil"/>
              <w:left w:val="nil"/>
              <w:bottom w:val="nil"/>
              <w:right w:val="nil"/>
            </w:tcBorders>
            <w:vAlign w:val="bottom"/>
          </w:tcPr>
          <w:p w14:paraId="701E8CA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28,882</w:t>
            </w:r>
          </w:p>
        </w:tc>
        <w:tc>
          <w:tcPr>
            <w:tcW w:w="987" w:type="dxa"/>
            <w:tcBorders>
              <w:top w:val="nil"/>
              <w:left w:val="nil"/>
              <w:bottom w:val="nil"/>
              <w:right w:val="nil"/>
            </w:tcBorders>
            <w:vAlign w:val="bottom"/>
          </w:tcPr>
          <w:p w14:paraId="5F05FEF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29,832</w:t>
            </w:r>
          </w:p>
        </w:tc>
        <w:tc>
          <w:tcPr>
            <w:tcW w:w="980" w:type="dxa"/>
            <w:tcBorders>
              <w:top w:val="nil"/>
              <w:left w:val="nil"/>
              <w:bottom w:val="nil"/>
              <w:right w:val="nil"/>
            </w:tcBorders>
            <w:vAlign w:val="bottom"/>
          </w:tcPr>
          <w:p w14:paraId="0412202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31,385</w:t>
            </w:r>
          </w:p>
        </w:tc>
      </w:tr>
      <w:tr w:rsidR="002228B8" w14:paraId="76D66AB7" w14:textId="77777777" w:rsidTr="00DF4A0D">
        <w:trPr>
          <w:cantSplit/>
          <w:trHeight w:val="269"/>
        </w:trPr>
        <w:tc>
          <w:tcPr>
            <w:tcW w:w="6402" w:type="dxa"/>
            <w:tcBorders>
              <w:top w:val="nil"/>
              <w:left w:val="nil"/>
              <w:bottom w:val="nil"/>
              <w:right w:val="nil"/>
            </w:tcBorders>
            <w:vAlign w:val="bottom"/>
          </w:tcPr>
          <w:p w14:paraId="41D04308"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Net debt</w:t>
            </w:r>
            <w:r w:rsidRPr="00571974">
              <w:rPr>
                <w:sz w:val="18"/>
                <w:szCs w:val="18"/>
                <w:vertAlign w:val="superscript"/>
                <w:lang w:val="en-GB" w:eastAsia="en-GB" w:bidi="ar-SA"/>
              </w:rPr>
              <w:t>(1)</w:t>
            </w:r>
            <w:r w:rsidRPr="00571974">
              <w:rPr>
                <w:sz w:val="18"/>
                <w:szCs w:val="18"/>
                <w:lang w:val="en-GB" w:eastAsia="en-GB" w:bidi="ar-SA"/>
              </w:rPr>
              <w:tab/>
            </w:r>
          </w:p>
        </w:tc>
        <w:tc>
          <w:tcPr>
            <w:tcW w:w="987" w:type="dxa"/>
            <w:tcBorders>
              <w:top w:val="nil"/>
              <w:left w:val="nil"/>
              <w:bottom w:val="nil"/>
              <w:right w:val="nil"/>
            </w:tcBorders>
            <w:vAlign w:val="bottom"/>
          </w:tcPr>
          <w:p w14:paraId="6DA85F7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(4,501)</w:t>
            </w:r>
          </w:p>
        </w:tc>
        <w:tc>
          <w:tcPr>
            <w:tcW w:w="987" w:type="dxa"/>
            <w:tcBorders>
              <w:top w:val="nil"/>
              <w:left w:val="nil"/>
              <w:bottom w:val="nil"/>
              <w:right w:val="nil"/>
            </w:tcBorders>
            <w:vAlign w:val="bottom"/>
          </w:tcPr>
          <w:p w14:paraId="6F638F6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(2,848)</w:t>
            </w:r>
          </w:p>
        </w:tc>
        <w:tc>
          <w:tcPr>
            <w:tcW w:w="980" w:type="dxa"/>
            <w:tcBorders>
              <w:top w:val="nil"/>
              <w:left w:val="nil"/>
              <w:bottom w:val="nil"/>
              <w:right w:val="nil"/>
            </w:tcBorders>
            <w:vAlign w:val="bottom"/>
          </w:tcPr>
          <w:p w14:paraId="59824D2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(4,626)</w:t>
            </w:r>
          </w:p>
        </w:tc>
      </w:tr>
      <w:tr w:rsidR="002228B8" w14:paraId="1E4D8022" w14:textId="77777777" w:rsidTr="00DF4A0D">
        <w:trPr>
          <w:cantSplit/>
          <w:trHeight w:val="269"/>
        </w:trPr>
        <w:tc>
          <w:tcPr>
            <w:tcW w:w="6402" w:type="dxa"/>
            <w:tcBorders>
              <w:top w:val="nil"/>
              <w:left w:val="nil"/>
              <w:bottom w:val="nil"/>
              <w:right w:val="nil"/>
            </w:tcBorders>
            <w:vAlign w:val="bottom"/>
          </w:tcPr>
          <w:p w14:paraId="1AC8EC5D"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Net cash inflows from operating activities</w:t>
            </w:r>
            <w:r w:rsidRPr="00571974">
              <w:rPr>
                <w:sz w:val="18"/>
                <w:szCs w:val="18"/>
                <w:lang w:val="en-GB" w:eastAsia="en-GB" w:bidi="ar-SA"/>
              </w:rPr>
              <w:tab/>
            </w:r>
          </w:p>
        </w:tc>
        <w:tc>
          <w:tcPr>
            <w:tcW w:w="987" w:type="dxa"/>
            <w:tcBorders>
              <w:top w:val="nil"/>
              <w:left w:val="nil"/>
              <w:bottom w:val="nil"/>
              <w:right w:val="nil"/>
            </w:tcBorders>
            <w:vAlign w:val="bottom"/>
          </w:tcPr>
          <w:p w14:paraId="2920654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8,049</w:t>
            </w:r>
          </w:p>
        </w:tc>
        <w:tc>
          <w:tcPr>
            <w:tcW w:w="987" w:type="dxa"/>
            <w:tcBorders>
              <w:top w:val="nil"/>
              <w:left w:val="nil"/>
              <w:bottom w:val="nil"/>
              <w:right w:val="nil"/>
            </w:tcBorders>
            <w:vAlign w:val="bottom"/>
          </w:tcPr>
          <w:p w14:paraId="5AD954A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7,127</w:t>
            </w:r>
          </w:p>
        </w:tc>
        <w:tc>
          <w:tcPr>
            <w:tcW w:w="980" w:type="dxa"/>
            <w:tcBorders>
              <w:top w:val="nil"/>
              <w:left w:val="nil"/>
              <w:bottom w:val="nil"/>
              <w:right w:val="nil"/>
            </w:tcBorders>
            <w:vAlign w:val="bottom"/>
          </w:tcPr>
          <w:p w14:paraId="5E91E6B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7,664</w:t>
            </w:r>
          </w:p>
        </w:tc>
      </w:tr>
      <w:tr w:rsidR="002228B8" w14:paraId="741A0562" w14:textId="77777777" w:rsidTr="00DF4A0D">
        <w:trPr>
          <w:cantSplit/>
          <w:trHeight w:val="269"/>
        </w:trPr>
        <w:tc>
          <w:tcPr>
            <w:tcW w:w="6402" w:type="dxa"/>
            <w:tcBorders>
              <w:top w:val="nil"/>
              <w:left w:val="nil"/>
              <w:bottom w:val="nil"/>
              <w:right w:val="nil"/>
            </w:tcBorders>
            <w:vAlign w:val="bottom"/>
          </w:tcPr>
          <w:p w14:paraId="1E3956EB" w14:textId="77777777" w:rsidR="00DF4A0D" w:rsidRPr="00571974" w:rsidRDefault="003D4D89" w:rsidP="00DF4A0D">
            <w:pPr>
              <w:tabs>
                <w:tab w:val="right" w:leader="dot" w:pos="7242"/>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p>
        </w:tc>
        <w:tc>
          <w:tcPr>
            <w:tcW w:w="987" w:type="dxa"/>
            <w:tcBorders>
              <w:top w:val="nil"/>
              <w:left w:val="nil"/>
              <w:bottom w:val="nil"/>
              <w:right w:val="nil"/>
            </w:tcBorders>
            <w:vAlign w:val="bottom"/>
          </w:tcPr>
          <w:p w14:paraId="18C8428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2,150</w:t>
            </w:r>
          </w:p>
        </w:tc>
        <w:tc>
          <w:tcPr>
            <w:tcW w:w="987" w:type="dxa"/>
            <w:tcBorders>
              <w:top w:val="nil"/>
              <w:left w:val="nil"/>
              <w:bottom w:val="nil"/>
              <w:right w:val="nil"/>
            </w:tcBorders>
            <w:vAlign w:val="bottom"/>
          </w:tcPr>
          <w:p w14:paraId="55ADD22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2,818</w:t>
            </w:r>
          </w:p>
        </w:tc>
        <w:tc>
          <w:tcPr>
            <w:tcW w:w="980" w:type="dxa"/>
            <w:tcBorders>
              <w:top w:val="nil"/>
              <w:left w:val="nil"/>
              <w:bottom w:val="nil"/>
              <w:right w:val="nil"/>
            </w:tcBorders>
            <w:vAlign w:val="bottom"/>
          </w:tcPr>
          <w:p w14:paraId="0863B4C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3,840</w:t>
            </w:r>
          </w:p>
        </w:tc>
      </w:tr>
    </w:tbl>
    <w:p w14:paraId="254D866D" w14:textId="77777777" w:rsidR="00DF4A0D" w:rsidRPr="00571974" w:rsidRDefault="00836D74" w:rsidP="00DF4A0D">
      <w:pPr>
        <w:rPr>
          <w:lang w:val="en-GB"/>
        </w:rPr>
      </w:pPr>
      <w:r>
        <w:rPr>
          <w:lang w:val="en-GB"/>
        </w:rPr>
        <w:pict w14:anchorId="48538EA0">
          <v:rect id="_x0000_i1030" style="width:184.5pt;height:1pt" o:hrpct="250" o:hrstd="t" o:hrnoshade="t" o:hr="t" fillcolor="black" stroked="f"/>
        </w:pict>
      </w:r>
    </w:p>
    <w:p w14:paraId="2A2AC6F6" w14:textId="226D7CF1" w:rsidR="00DF4A0D" w:rsidRPr="00571974" w:rsidRDefault="003D4D89" w:rsidP="00DF4A0D">
      <w:pPr>
        <w:pStyle w:val="ListParagraph"/>
        <w:widowControl/>
        <w:numPr>
          <w:ilvl w:val="0"/>
          <w:numId w:val="2"/>
        </w:numPr>
        <w:tabs>
          <w:tab w:val="left" w:pos="-720"/>
          <w:tab w:val="left" w:pos="0"/>
        </w:tabs>
        <w:suppressAutoHyphens/>
        <w:spacing w:after="240"/>
        <w:ind w:left="284" w:hanging="284"/>
        <w:rPr>
          <w:sz w:val="16"/>
          <w:szCs w:val="18"/>
          <w:lang w:val="en-GB"/>
        </w:rPr>
      </w:pPr>
      <w:r w:rsidRPr="00571974">
        <w:rPr>
          <w:sz w:val="16"/>
          <w:szCs w:val="18"/>
          <w:lang w:val="en-GB"/>
        </w:rPr>
        <w:t xml:space="preserve">Definitions are set out in the </w:t>
      </w:r>
      <w:r w:rsidR="00A311D8">
        <w:rPr>
          <w:sz w:val="16"/>
          <w:szCs w:val="18"/>
          <w:lang w:val="en-GB"/>
        </w:rPr>
        <w:t>“</w:t>
      </w:r>
      <w:r w:rsidRPr="00571974">
        <w:rPr>
          <w:sz w:val="16"/>
          <w:szCs w:val="18"/>
          <w:lang w:val="en-GB"/>
        </w:rPr>
        <w:t>Non-IFRS financial measures</w:t>
      </w:r>
      <w:r w:rsidR="00A311D8">
        <w:rPr>
          <w:sz w:val="16"/>
          <w:szCs w:val="18"/>
          <w:lang w:val="en-GB"/>
        </w:rPr>
        <w:t>”</w:t>
      </w:r>
      <w:r w:rsidRPr="00571974">
        <w:rPr>
          <w:sz w:val="16"/>
          <w:szCs w:val="18"/>
          <w:lang w:val="en-GB"/>
        </w:rPr>
        <w:t xml:space="preserve"> section.</w:t>
      </w:r>
    </w:p>
    <w:p w14:paraId="461F8A28" w14:textId="77777777" w:rsidR="00DF4A0D" w:rsidRPr="00571974" w:rsidRDefault="003D4D89" w:rsidP="00DF4A0D">
      <w:pPr>
        <w:pStyle w:val="ListParagraph"/>
        <w:widowControl/>
        <w:numPr>
          <w:ilvl w:val="0"/>
          <w:numId w:val="2"/>
        </w:numPr>
        <w:tabs>
          <w:tab w:val="left" w:pos="-720"/>
          <w:tab w:val="left" w:pos="0"/>
        </w:tabs>
        <w:suppressAutoHyphens/>
        <w:spacing w:after="240"/>
        <w:ind w:left="284" w:hanging="284"/>
        <w:rPr>
          <w:sz w:val="16"/>
          <w:szCs w:val="18"/>
          <w:lang w:val="en-GB"/>
        </w:rPr>
      </w:pPr>
      <w:r w:rsidRPr="00571974">
        <w:rPr>
          <w:sz w:val="16"/>
          <w:szCs w:val="18"/>
          <w:lang w:val="en-GB"/>
        </w:rPr>
        <w:t>Interim and year-end dividends proposed in respect of the applicable period.</w:t>
      </w:r>
    </w:p>
    <w:p w14:paraId="4304029D" w14:textId="77777777" w:rsidR="00DF4A0D" w:rsidRPr="0002469B" w:rsidRDefault="00DF4A0D" w:rsidP="00DF4A0D">
      <w:pPr>
        <w:pStyle w:val="Heading2"/>
        <w:rPr>
          <w:lang w:val="en-GB"/>
        </w:rPr>
      </w:pPr>
    </w:p>
    <w:p w14:paraId="0BE511F6" w14:textId="77777777" w:rsidR="00DF4A0D" w:rsidRPr="0002469B" w:rsidRDefault="00DF4A0D" w:rsidP="00DF4A0D">
      <w:pPr>
        <w:pStyle w:val="Heading2"/>
        <w:rPr>
          <w:lang w:val="en-GB"/>
        </w:rPr>
      </w:pPr>
    </w:p>
    <w:p w14:paraId="6DEEC46F" w14:textId="77777777" w:rsidR="00DF4A0D" w:rsidRPr="0002469B" w:rsidRDefault="00DF4A0D" w:rsidP="00DF4A0D">
      <w:pPr>
        <w:pStyle w:val="Heading2"/>
        <w:rPr>
          <w:lang w:val="en-GB"/>
        </w:rPr>
      </w:pPr>
    </w:p>
    <w:p w14:paraId="7BF2CDC2" w14:textId="77777777" w:rsidR="00DF4A0D" w:rsidRPr="0002469B" w:rsidRDefault="003D4D89">
      <w:pPr>
        <w:widowControl/>
        <w:autoSpaceDE/>
        <w:autoSpaceDN/>
        <w:adjustRightInd/>
        <w:rPr>
          <w:rFonts w:eastAsia="PMingLiU"/>
          <w:b/>
          <w:caps/>
          <w:snapToGrid w:val="0"/>
          <w:sz w:val="16"/>
          <w:szCs w:val="18"/>
          <w:lang w:val="en-GB"/>
        </w:rPr>
      </w:pPr>
      <w:r w:rsidRPr="0002469B">
        <w:rPr>
          <w:sz w:val="16"/>
          <w:szCs w:val="18"/>
          <w:lang w:val="en-GB"/>
        </w:rPr>
        <w:br w:type="page"/>
      </w:r>
    </w:p>
    <w:p w14:paraId="2CCC79FF" w14:textId="77777777" w:rsidR="00542FF4" w:rsidRPr="00571974" w:rsidRDefault="003D4D89" w:rsidP="00542FF4">
      <w:pPr>
        <w:pStyle w:val="Heading1"/>
        <w:rPr>
          <w:lang w:val="en-GB"/>
        </w:rPr>
      </w:pPr>
      <w:bookmarkStart w:id="30" w:name="_Toc414274249"/>
      <w:bookmarkStart w:id="31" w:name="_Toc36388956"/>
      <w:bookmarkStart w:id="32" w:name="_Hlk1984686"/>
      <w:bookmarkStart w:id="33" w:name="_Toc349210418"/>
      <w:bookmarkEnd w:id="28"/>
      <w:bookmarkEnd w:id="29"/>
      <w:r w:rsidRPr="00571974">
        <w:rPr>
          <w:lang w:val="en-GB"/>
        </w:rPr>
        <w:lastRenderedPageBreak/>
        <w:t>RISK FACTORS</w:t>
      </w:r>
      <w:bookmarkEnd w:id="30"/>
      <w:bookmarkEnd w:id="31"/>
    </w:p>
    <w:p w14:paraId="3B71027B" w14:textId="747EA5FA" w:rsidR="00542FF4" w:rsidRPr="00571974" w:rsidRDefault="00A56AB5" w:rsidP="00542FF4">
      <w:pPr>
        <w:pStyle w:val="BodyText"/>
        <w:widowControl/>
        <w:autoSpaceDE/>
        <w:autoSpaceDN/>
        <w:adjustRightInd/>
        <w:ind w:firstLine="360"/>
        <w:rPr>
          <w:i/>
          <w:lang w:val="en-GB"/>
        </w:rPr>
      </w:pPr>
      <w:r w:rsidRPr="00571974">
        <w:rPr>
          <w:i/>
          <w:lang w:val="en-GB"/>
        </w:rPr>
        <w:t>Prospective investors should read and carefully consider the following risk factors and other information in this document before deciding to purchase the Notes. We believe that the risk factors identified below represent the principal risks inherent in purchasing the Notes, but they are not the only risk factors we face. Additional risk factors not presently known to us or that we currently believe to be immaterial also may adversely affect our business, financial condition and results of operations. Should any known or unknown risk factors develop into actual events, these developments could have material adverse effects on our business, financial condition and results of operations.</w:t>
      </w:r>
    </w:p>
    <w:p w14:paraId="7978F029" w14:textId="77777777" w:rsidR="00A56AB5" w:rsidRPr="00571974" w:rsidRDefault="003D4D89" w:rsidP="00A56AB5">
      <w:pPr>
        <w:spacing w:after="120"/>
        <w:ind w:firstLine="360"/>
        <w:rPr>
          <w:i/>
          <w:lang w:val="en-GB"/>
        </w:rPr>
      </w:pPr>
      <w:r w:rsidRPr="00571974">
        <w:rPr>
          <w:i/>
          <w:lang w:val="en-GB"/>
        </w:rPr>
        <w:t>Unless otherwise specified by reference to Anglo American or Anglo American Capital, the risks apply in the context of the Group and are also applicable to each of Anglo American plc and Anglo American Capital plc.</w:t>
      </w:r>
    </w:p>
    <w:p w14:paraId="2FA2600A" w14:textId="77777777" w:rsidR="00542FF4" w:rsidRPr="00571974" w:rsidRDefault="003D4D89" w:rsidP="00A56AB5">
      <w:pPr>
        <w:pStyle w:val="BodyText"/>
        <w:widowControl/>
        <w:autoSpaceDE/>
        <w:autoSpaceDN/>
        <w:adjustRightInd/>
        <w:ind w:firstLine="360"/>
        <w:rPr>
          <w:i/>
          <w:lang w:val="en-GB"/>
        </w:rPr>
      </w:pPr>
      <w:r w:rsidRPr="00571974">
        <w:rPr>
          <w:i/>
          <w:lang w:val="en-GB"/>
        </w:rPr>
        <w:t>In this context, the following specific risks have been identified:</w:t>
      </w:r>
    </w:p>
    <w:p w14:paraId="034B1EF4" w14:textId="77777777" w:rsidR="00A56AB5" w:rsidRPr="00571974" w:rsidRDefault="003D4D89" w:rsidP="00A56AB5">
      <w:pPr>
        <w:keepNext/>
        <w:spacing w:after="240" w:line="246" w:lineRule="atLeast"/>
        <w:outlineLvl w:val="1"/>
        <w:rPr>
          <w:rFonts w:ascii="Times New Roman Bold" w:eastAsia="SimSun" w:hAnsi="Times New Roman Bold"/>
          <w:b/>
          <w:bCs/>
          <w:smallCaps/>
          <w:szCs w:val="26"/>
          <w:lang w:val="en-GB"/>
        </w:rPr>
      </w:pPr>
      <w:bookmarkStart w:id="34" w:name="_Hlk2253212"/>
      <w:r w:rsidRPr="00571974">
        <w:rPr>
          <w:rFonts w:ascii="Times New Roman Bold" w:eastAsia="SimSun" w:hAnsi="Times New Roman Bold"/>
          <w:b/>
          <w:bCs/>
          <w:smallCaps/>
          <w:szCs w:val="26"/>
          <w:lang w:val="en-GB"/>
        </w:rPr>
        <w:t>Risks Relating to Our Business and Industry</w:t>
      </w:r>
    </w:p>
    <w:p w14:paraId="73EF1668"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 xml:space="preserve">Damage to or breakdown of a physical asset, including due to fire, explosion, natural catastrophe, theft or terrorism may adversely affect our operating results and result in loss of revenue, loss of cash flow or other losses.  </w:t>
      </w:r>
    </w:p>
    <w:p w14:paraId="363B9496" w14:textId="1CB50296" w:rsidR="003144F9" w:rsidRPr="00571974" w:rsidRDefault="003D4D89" w:rsidP="00A56AB5">
      <w:pPr>
        <w:pStyle w:val="BodyText"/>
        <w:widowControl/>
        <w:autoSpaceDE/>
        <w:autoSpaceDN/>
        <w:adjustRightInd/>
        <w:ind w:firstLine="360"/>
        <w:rPr>
          <w:highlight w:val="red"/>
          <w:lang w:val="en-GB"/>
        </w:rPr>
      </w:pPr>
      <w:r w:rsidRPr="00571974">
        <w:rPr>
          <w:lang w:val="en-GB"/>
        </w:rPr>
        <w:t>Damage to or breakdown or loss of a physical asset, including as a result of fire, explosion, natural catastrophe, theft of high value products or terrorism, can result in a loss of assets and subsequent financial losses. Our operations and development projects are exposed to natural risks, such as earthquakes and extreme weather conditions. Other catastrophic risks faced by our business include failure of mine pit slopes, breaches of tailing</w:t>
      </w:r>
      <w:r w:rsidR="00D32436">
        <w:rPr>
          <w:lang w:val="en-GB"/>
        </w:rPr>
        <w:t>s</w:t>
      </w:r>
      <w:r w:rsidRPr="00571974">
        <w:rPr>
          <w:lang w:val="en-GB"/>
        </w:rPr>
        <w:t xml:space="preserve"> dam walls, fire and explosion in underground mines or in buildings, plant and equipment and sudden and unexpected failure of mineshafts. The occurrence of one or more of these events could potentially lead to multiple fatalities and injuries, long term environmental damage, significant reputational damage, greater regulatory scrutiny and loss of or delays in obtaining licenses to operate. In particular, in response to recent tailings dam breaches, there may be greater scrutiny and regulation of tailings dams which could result in additional permitting requirements, delays in obtaining permits and higher costs, particularly in Brazil. Leaks from pipelines (such as the two leaks at the Minas-Rio pipeline in 2018) or other storage vessels can cause </w:t>
      </w:r>
      <w:r w:rsidR="00D32436">
        <w:rPr>
          <w:lang w:val="en-GB"/>
        </w:rPr>
        <w:t xml:space="preserve">production delays, possible </w:t>
      </w:r>
      <w:r w:rsidRPr="00571974">
        <w:rPr>
          <w:lang w:val="en-GB"/>
        </w:rPr>
        <w:t>environmental damage or create safety implications. The financial impact associated with clean-up costs and legal liability claims could be substantial. Our insurance with respect to any catastrophic or other significant event risk may not be sufficient to cover our financial loss flowing from an event and insurance is not available or is unavailable on economically viable terms for many risks we may face. The occurrence of events for which we are not insured, or for which our insurance is insufficient, may materially and adversely affect our revenues, operating results, cash flows and financial condition.</w:t>
      </w:r>
    </w:p>
    <w:bookmarkEnd w:id="32"/>
    <w:bookmarkEnd w:id="34"/>
    <w:p w14:paraId="26C01230"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business, results of operations, cash flows and financial condition have been and may continue to be adversely affected by commodity and diamond price fluctuations and adverse economic conditions.</w:t>
      </w:r>
    </w:p>
    <w:p w14:paraId="31869128" w14:textId="75831FFD" w:rsidR="00A56AB5" w:rsidRPr="00571974" w:rsidRDefault="003D4D89" w:rsidP="00A56AB5">
      <w:pPr>
        <w:spacing w:after="120"/>
        <w:ind w:firstLine="360"/>
        <w:rPr>
          <w:lang w:val="en-GB"/>
        </w:rPr>
      </w:pPr>
      <w:r w:rsidRPr="00571974">
        <w:rPr>
          <w:lang w:val="en-GB"/>
        </w:rPr>
        <w:t xml:space="preserve">Commodity and diamond prices are determined principally by international markets and global supply and demand dynamics. Fluctuations in commodity and diamond prices have given rise, and may continue to give rise, to commodity price risk across the Group. Historically, such prices have been subject to substantial variation. See </w:t>
      </w:r>
      <w:r w:rsidR="00A311D8">
        <w:rPr>
          <w:lang w:val="en-GB"/>
        </w:rPr>
        <w:t>“</w:t>
      </w:r>
      <w:r w:rsidR="0008242C">
        <w:rPr>
          <w:lang w:val="en-GB"/>
        </w:rPr>
        <w:t>—</w:t>
      </w:r>
      <w:r w:rsidR="0008242C" w:rsidRPr="0008242C">
        <w:rPr>
          <w:lang w:val="en-GB"/>
        </w:rPr>
        <w:t>The</w:t>
      </w:r>
      <w:r w:rsidR="0008242C">
        <w:rPr>
          <w:lang w:val="en-GB"/>
        </w:rPr>
        <w:t xml:space="preserve"> </w:t>
      </w:r>
      <w:r w:rsidR="0008242C" w:rsidRPr="0008242C">
        <w:rPr>
          <w:lang w:val="en-GB"/>
        </w:rPr>
        <w:t xml:space="preserve">emerging COVID-19 global pandemic </w:t>
      </w:r>
      <w:r w:rsidR="00B34910">
        <w:rPr>
          <w:lang w:val="en-GB"/>
        </w:rPr>
        <w:t xml:space="preserve">has had </w:t>
      </w:r>
      <w:r w:rsidR="0008242C" w:rsidRPr="0008242C">
        <w:rPr>
          <w:lang w:val="en-GB"/>
        </w:rPr>
        <w:t>a negative impact on worldwide economic activity and is likely to adversely affect our business</w:t>
      </w:r>
      <w:r w:rsidR="00A311D8">
        <w:rPr>
          <w:lang w:val="en-GB"/>
        </w:rPr>
        <w:t>”</w:t>
      </w:r>
      <w:r w:rsidR="0008242C">
        <w:rPr>
          <w:lang w:val="en-GB"/>
        </w:rPr>
        <w:t xml:space="preserve"> and</w:t>
      </w:r>
      <w:r w:rsidR="0008242C" w:rsidRPr="0008242C">
        <w:rPr>
          <w:lang w:val="en-GB"/>
        </w:rPr>
        <w:t xml:space="preserve"> </w:t>
      </w:r>
      <w:r w:rsidR="00A311D8">
        <w:rPr>
          <w:lang w:val="en-GB"/>
        </w:rPr>
        <w:t>“</w:t>
      </w:r>
      <w:r w:rsidRPr="00571974">
        <w:rPr>
          <w:lang w:val="en-GB"/>
        </w:rPr>
        <w:t>Industry Overview</w:t>
      </w:r>
      <w:r w:rsidR="00A311D8">
        <w:rPr>
          <w:lang w:val="en-GB"/>
        </w:rPr>
        <w:t>”</w:t>
      </w:r>
      <w:r w:rsidRPr="00571974">
        <w:rPr>
          <w:lang w:val="en-GB"/>
        </w:rPr>
        <w:t>.</w:t>
      </w:r>
    </w:p>
    <w:p w14:paraId="127B7D95" w14:textId="4782A6DB" w:rsidR="00A56AB5" w:rsidRDefault="003D4D89" w:rsidP="00A56AB5">
      <w:pPr>
        <w:spacing w:after="120"/>
        <w:ind w:firstLine="360"/>
        <w:rPr>
          <w:lang w:val="en-GB"/>
        </w:rPr>
      </w:pPr>
      <w:r w:rsidRPr="00571974">
        <w:rPr>
          <w:lang w:val="en-GB"/>
        </w:rPr>
        <w:t>Volatility or falls in commodity and diamond prices may have an adverse effect on our operating results, cash flows and financial condition and could prevent us from completing certain transactions that are important to our business, which may have an adverse effect on our financial position</w:t>
      </w:r>
      <w:r w:rsidRPr="00571974">
        <w:rPr>
          <w:spacing w:val="-2"/>
          <w:lang w:val="en-GB"/>
        </w:rPr>
        <w:t>. For example, we may not be able to sell assets at the values or within the timelines expected, complete planned acquisitions or create joint ventures</w:t>
      </w:r>
      <w:r w:rsidRPr="00571974">
        <w:rPr>
          <w:lang w:val="en-GB"/>
        </w:rPr>
        <w:t>.</w:t>
      </w:r>
    </w:p>
    <w:p w14:paraId="68D6B8E1" w14:textId="7D389A87" w:rsidR="001B26A1" w:rsidRDefault="002A2991" w:rsidP="008748D8">
      <w:pPr>
        <w:spacing w:after="120"/>
        <w:ind w:firstLine="360"/>
        <w:rPr>
          <w:lang w:val="en-GB"/>
        </w:rPr>
      </w:pPr>
      <w:r>
        <w:t>Pandemic</w:t>
      </w:r>
      <w:r w:rsidR="00574FF3">
        <w:t>s</w:t>
      </w:r>
      <w:r>
        <w:t>, epidemic</w:t>
      </w:r>
      <w:r w:rsidR="00574FF3">
        <w:t>s</w:t>
      </w:r>
      <w:r>
        <w:t>, outbreak</w:t>
      </w:r>
      <w:r w:rsidR="00574FF3">
        <w:t>s</w:t>
      </w:r>
      <w:r>
        <w:t xml:space="preserve"> of infectious diseases or any other serious public health concerns (such as Ebola, avian flu, H1N1, SARS and COVID-19) whether on a regional or global scale, together with any resulting restrictions on travel, imposition of quarantines and prolonged closures of workplaces, </w:t>
      </w:r>
      <w:r w:rsidR="0008242C">
        <w:t>are likely to have</w:t>
      </w:r>
      <w:r>
        <w:t xml:space="preserve"> a material adverse effect on the global economy in general, as well as on demand for our products and on commodity and diamond prices.</w:t>
      </w:r>
    </w:p>
    <w:p w14:paraId="268D6CA3" w14:textId="713FCECC" w:rsidR="00A56AB5" w:rsidRPr="00571974" w:rsidRDefault="003D4D89">
      <w:pPr>
        <w:spacing w:after="120"/>
        <w:ind w:firstLine="360"/>
        <w:rPr>
          <w:lang w:val="en-GB"/>
        </w:rPr>
      </w:pPr>
      <w:r w:rsidRPr="00571974">
        <w:rPr>
          <w:lang w:val="en-GB"/>
        </w:rPr>
        <w:t xml:space="preserve">Adverse and volatile economic conditions, coupled with a negative price environment, can also limit our visibility in terms of anticipated revenues and costs and can affect our ability to approve, finance or implement planned projects and repay debt. In addition, rating agencies and industry analysts are likely to take such conditions into account when assessing our business and creditworthiness and any adverse determinations, including ratings </w:t>
      </w:r>
      <w:r w:rsidRPr="00571974">
        <w:rPr>
          <w:lang w:val="en-GB"/>
        </w:rPr>
        <w:lastRenderedPageBreak/>
        <w:t>downgrades, may make it more difficult or expensive for us to raise capital in the future and may adversely affect the market price of the Notes. Furthermore, certain of our financings contain financial and operational covenants. Our ability to comply with such covenants may come under greater pressure in a volatile economic environment and may therefore restrict our financial flexibility.</w:t>
      </w:r>
    </w:p>
    <w:p w14:paraId="1A8D62D6" w14:textId="77777777" w:rsidR="00A56AB5" w:rsidRPr="00571974" w:rsidRDefault="003D4D89" w:rsidP="00A56AB5">
      <w:pPr>
        <w:spacing w:after="120"/>
        <w:ind w:firstLine="360"/>
        <w:rPr>
          <w:lang w:val="en-GB"/>
        </w:rPr>
      </w:pPr>
      <w:r w:rsidRPr="00571974">
        <w:rPr>
          <w:lang w:val="en-GB"/>
        </w:rPr>
        <w:t>If global economic growth weakens in the medium to long-term, our ability to grow or maintain revenues in future years may be adversely affected, we may not be able to compete for new, complex projects that require significant capital investment and, at certain long</w:t>
      </w:r>
      <w:r w:rsidRPr="00571974">
        <w:rPr>
          <w:lang w:val="en-GB"/>
        </w:rPr>
        <w:noBreakHyphen/>
        <w:t>term price levels for a given commodity, certain of our extractive operations with respect to that commodity may not be economic. We may have to suspend certain operations in order to reduce or stop production for a period of time. Such developments could have a materially adverse effect on our business, operational results, cash flows and financial condition.</w:t>
      </w:r>
    </w:p>
    <w:p w14:paraId="7D5A94C2" w14:textId="77777777" w:rsidR="00430BBA" w:rsidRDefault="00430BBA" w:rsidP="00430BBA">
      <w:pPr>
        <w:keepNext/>
        <w:spacing w:after="240" w:line="180" w:lineRule="atLeast"/>
        <w:ind w:firstLine="357"/>
        <w:jc w:val="both"/>
        <w:outlineLvl w:val="3"/>
        <w:rPr>
          <w:b/>
          <w:bCs/>
          <w:i/>
          <w:iCs/>
          <w:color w:val="000000"/>
          <w:shd w:val="clear" w:color="auto" w:fill="FFFFFF"/>
        </w:rPr>
      </w:pPr>
      <w:r>
        <w:rPr>
          <w:b/>
          <w:bCs/>
          <w:i/>
          <w:iCs/>
          <w:color w:val="000000"/>
          <w:shd w:val="clear" w:color="auto" w:fill="FFFFFF"/>
        </w:rPr>
        <w:t xml:space="preserve">The emerging COVID-19 global pandemic has had a negative impact on worldwide economic activity and is likely to adversely </w:t>
      </w:r>
      <w:r w:rsidRPr="0009594F">
        <w:rPr>
          <w:b/>
          <w:i/>
          <w:lang w:val="en-GB"/>
        </w:rPr>
        <w:t>affect</w:t>
      </w:r>
      <w:r>
        <w:rPr>
          <w:b/>
          <w:bCs/>
          <w:i/>
          <w:iCs/>
          <w:color w:val="000000"/>
          <w:shd w:val="clear" w:color="auto" w:fill="FFFFFF"/>
        </w:rPr>
        <w:t xml:space="preserve"> our business. </w:t>
      </w:r>
    </w:p>
    <w:p w14:paraId="1709C35A" w14:textId="77777777" w:rsidR="00430BBA" w:rsidRPr="009D3D39" w:rsidRDefault="00430BBA" w:rsidP="00430BBA">
      <w:pPr>
        <w:spacing w:after="120"/>
        <w:ind w:firstLine="360"/>
        <w:rPr>
          <w:lang w:val="en-GB"/>
        </w:rPr>
      </w:pPr>
      <w:r w:rsidRPr="003017EA">
        <w:rPr>
          <w:lang w:val="en-GB"/>
        </w:rPr>
        <w:t>While initially the outbreak</w:t>
      </w:r>
      <w:r>
        <w:rPr>
          <w:lang w:val="en-GB"/>
        </w:rPr>
        <w:t xml:space="preserve"> of the COVID-19 </w:t>
      </w:r>
      <w:r w:rsidRPr="003017EA">
        <w:rPr>
          <w:lang w:val="en-GB"/>
        </w:rPr>
        <w:t xml:space="preserve">was largely concentrated in China, </w:t>
      </w:r>
      <w:r>
        <w:rPr>
          <w:lang w:val="en-GB"/>
        </w:rPr>
        <w:t>a</w:t>
      </w:r>
      <w:r w:rsidRPr="003017EA">
        <w:rPr>
          <w:lang w:val="en-GB"/>
        </w:rPr>
        <w:t>s of March 2020, confirmed cases and deaths have been reported worldwide. The World Health</w:t>
      </w:r>
      <w:r>
        <w:rPr>
          <w:lang w:val="en-GB"/>
        </w:rPr>
        <w:t xml:space="preserve"> </w:t>
      </w:r>
      <w:r w:rsidRPr="003017EA">
        <w:rPr>
          <w:lang w:val="en-GB"/>
        </w:rPr>
        <w:t xml:space="preserve">Organization declared the outbreak a </w:t>
      </w:r>
      <w:r>
        <w:rPr>
          <w:lang w:val="en-GB"/>
        </w:rPr>
        <w:t>pandemic</w:t>
      </w:r>
      <w:r w:rsidRPr="003017EA">
        <w:rPr>
          <w:lang w:val="en-GB"/>
        </w:rPr>
        <w:t xml:space="preserve"> on </w:t>
      </w:r>
      <w:r>
        <w:rPr>
          <w:lang w:val="en-GB"/>
        </w:rPr>
        <w:t xml:space="preserve">March 11, </w:t>
      </w:r>
      <w:r w:rsidRPr="003017EA">
        <w:rPr>
          <w:lang w:val="en-GB"/>
        </w:rPr>
        <w:t xml:space="preserve">2020. </w:t>
      </w:r>
      <w:r>
        <w:rPr>
          <w:lang w:val="en-GB"/>
        </w:rPr>
        <w:t xml:space="preserve">The rapid spread of </w:t>
      </w:r>
      <w:r w:rsidRPr="00EA6FC0">
        <w:rPr>
          <w:lang w:val="en-GB"/>
        </w:rPr>
        <w:t>COVID-19 ha</w:t>
      </w:r>
      <w:r>
        <w:rPr>
          <w:lang w:val="en-GB"/>
        </w:rPr>
        <w:t>s adversely</w:t>
      </w:r>
      <w:r w:rsidRPr="00EA6FC0">
        <w:rPr>
          <w:lang w:val="en-GB"/>
        </w:rPr>
        <w:t xml:space="preserve"> </w:t>
      </w:r>
      <w:r>
        <w:rPr>
          <w:lang w:val="en-GB"/>
        </w:rPr>
        <w:t>affected</w:t>
      </w:r>
      <w:r w:rsidRPr="00EA6FC0">
        <w:rPr>
          <w:lang w:val="en-GB"/>
        </w:rPr>
        <w:t xml:space="preserve"> </w:t>
      </w:r>
      <w:r w:rsidRPr="00997875">
        <w:rPr>
          <w:lang w:val="en-GB"/>
        </w:rPr>
        <w:t>the economies of many countries</w:t>
      </w:r>
      <w:r>
        <w:rPr>
          <w:lang w:val="en-GB"/>
        </w:rPr>
        <w:t xml:space="preserve"> and has resulted in significant falls and extreme volatility in financial markets and the prices for our products. G</w:t>
      </w:r>
      <w:r w:rsidRPr="003017EA">
        <w:rPr>
          <w:lang w:val="en-GB"/>
        </w:rPr>
        <w:t xml:space="preserve">overnment measures taken in response </w:t>
      </w:r>
      <w:r>
        <w:rPr>
          <w:lang w:val="en-GB"/>
        </w:rPr>
        <w:t xml:space="preserve">to the COVID-19 outbreak, including containment and lockdown restrictions, </w:t>
      </w:r>
      <w:r w:rsidRPr="0008242C">
        <w:rPr>
          <w:lang w:val="en-GB"/>
        </w:rPr>
        <w:t>and other indirect effects that COVID-19 is having on economic</w:t>
      </w:r>
      <w:r>
        <w:rPr>
          <w:lang w:val="en-GB"/>
        </w:rPr>
        <w:t xml:space="preserve"> </w:t>
      </w:r>
      <w:r w:rsidRPr="0008242C">
        <w:rPr>
          <w:lang w:val="en-GB"/>
        </w:rPr>
        <w:t>activity</w:t>
      </w:r>
      <w:r>
        <w:rPr>
          <w:lang w:val="en-GB"/>
        </w:rPr>
        <w:t>, are likely to</w:t>
      </w:r>
      <w:r w:rsidRPr="00F434CC">
        <w:rPr>
          <w:lang w:val="en-GB"/>
        </w:rPr>
        <w:t xml:space="preserve"> result in economic downturns in the markets in which we sell our products and lead to reduced demand </w:t>
      </w:r>
      <w:r>
        <w:rPr>
          <w:lang w:val="en-GB"/>
        </w:rPr>
        <w:t xml:space="preserve">or even no demand in key jurisdictions </w:t>
      </w:r>
      <w:r w:rsidRPr="00F434CC">
        <w:rPr>
          <w:lang w:val="en-GB"/>
        </w:rPr>
        <w:t xml:space="preserve">for </w:t>
      </w:r>
      <w:r>
        <w:rPr>
          <w:lang w:val="en-GB"/>
        </w:rPr>
        <w:t>our products</w:t>
      </w:r>
      <w:r w:rsidRPr="00F434CC">
        <w:rPr>
          <w:lang w:val="en-GB"/>
        </w:rPr>
        <w:t xml:space="preserve"> in such markets,</w:t>
      </w:r>
      <w:r>
        <w:rPr>
          <w:lang w:val="en-GB"/>
        </w:rPr>
        <w:t xml:space="preserve"> </w:t>
      </w:r>
      <w:r w:rsidRPr="006F3A92">
        <w:rPr>
          <w:lang w:val="en-GB"/>
        </w:rPr>
        <w:t>for example if our customers shut down their operations</w:t>
      </w:r>
      <w:r w:rsidRPr="00F3734B">
        <w:rPr>
          <w:lang w:val="en-GB"/>
        </w:rPr>
        <w:t xml:space="preserve">, </w:t>
      </w:r>
      <w:r>
        <w:rPr>
          <w:lang w:val="en-GB"/>
        </w:rPr>
        <w:t>and have</w:t>
      </w:r>
      <w:r w:rsidRPr="00F3734B">
        <w:rPr>
          <w:lang w:val="en-GB"/>
        </w:rPr>
        <w:t xml:space="preserve"> require</w:t>
      </w:r>
      <w:r>
        <w:rPr>
          <w:lang w:val="en-GB"/>
        </w:rPr>
        <w:t>d</w:t>
      </w:r>
      <w:r w:rsidRPr="00F3734B">
        <w:rPr>
          <w:lang w:val="en-GB"/>
        </w:rPr>
        <w:t xml:space="preserve"> us</w:t>
      </w:r>
      <w:r>
        <w:rPr>
          <w:lang w:val="en-GB"/>
        </w:rPr>
        <w:t>, and may further require us,</w:t>
      </w:r>
      <w:r w:rsidRPr="00F3734B">
        <w:rPr>
          <w:lang w:val="en-GB"/>
        </w:rPr>
        <w:t xml:space="preserve"> to </w:t>
      </w:r>
      <w:r>
        <w:rPr>
          <w:lang w:val="en-GB"/>
        </w:rPr>
        <w:t xml:space="preserve">curtail, reschedule or </w:t>
      </w:r>
      <w:r w:rsidRPr="00F3734B">
        <w:rPr>
          <w:lang w:val="en-GB"/>
        </w:rPr>
        <w:t>suspend operations</w:t>
      </w:r>
      <w:r>
        <w:rPr>
          <w:lang w:val="en-GB"/>
        </w:rPr>
        <w:t>, construction or development</w:t>
      </w:r>
      <w:r w:rsidRPr="00F3734B">
        <w:rPr>
          <w:lang w:val="en-GB"/>
        </w:rPr>
        <w:t xml:space="preserve"> at our facilities</w:t>
      </w:r>
      <w:r>
        <w:rPr>
          <w:lang w:val="en-GB"/>
        </w:rPr>
        <w:t xml:space="preserve"> and projects</w:t>
      </w:r>
      <w:r w:rsidRPr="00F3734B">
        <w:rPr>
          <w:lang w:val="en-GB"/>
        </w:rPr>
        <w:t>.</w:t>
      </w:r>
      <w:r>
        <w:rPr>
          <w:lang w:val="en-GB"/>
        </w:rPr>
        <w:t xml:space="preserve"> </w:t>
      </w:r>
      <w:r w:rsidRPr="005C4232">
        <w:rPr>
          <w:lang w:val="en-GB"/>
        </w:rPr>
        <w:t>The extension or intensification of such measures, or other countries implementing similar measures, would increase the impact on Anglo American</w:t>
      </w:r>
      <w:r>
        <w:rPr>
          <w:lang w:val="en-GB"/>
        </w:rPr>
        <w:t>’</w:t>
      </w:r>
      <w:r w:rsidRPr="005C4232">
        <w:rPr>
          <w:lang w:val="en-GB"/>
        </w:rPr>
        <w:t>s operations</w:t>
      </w:r>
      <w:r>
        <w:rPr>
          <w:lang w:val="en-GB"/>
        </w:rPr>
        <w:t>, projects</w:t>
      </w:r>
      <w:r w:rsidRPr="005C4232">
        <w:rPr>
          <w:lang w:val="en-GB"/>
        </w:rPr>
        <w:t xml:space="preserve"> and production.</w:t>
      </w:r>
      <w:r w:rsidRPr="006F3A92">
        <w:rPr>
          <w:lang w:val="en-GB"/>
        </w:rPr>
        <w:t xml:space="preserve"> In addition, our customers or suppliers may seek to excuse their performance under their existing contracts with us by claiming that the ongoing pandemic, and government responses, constitute a force majeure event</w:t>
      </w:r>
      <w:r>
        <w:rPr>
          <w:lang w:val="en-GB"/>
        </w:rPr>
        <w:t>. Future spread</w:t>
      </w:r>
      <w:r w:rsidRPr="003017EA">
        <w:rPr>
          <w:lang w:val="en-GB"/>
        </w:rPr>
        <w:t xml:space="preserve"> of </w:t>
      </w:r>
      <w:r>
        <w:rPr>
          <w:lang w:val="en-GB"/>
        </w:rPr>
        <w:t>COVID-19,</w:t>
      </w:r>
      <w:r w:rsidRPr="003017EA">
        <w:rPr>
          <w:lang w:val="en-GB"/>
        </w:rPr>
        <w:t xml:space="preserve"> </w:t>
      </w:r>
      <w:r>
        <w:rPr>
          <w:lang w:val="en-GB"/>
        </w:rPr>
        <w:t>including in areas where our mining operations and our material facilities are located</w:t>
      </w:r>
      <w:r w:rsidRPr="003017EA">
        <w:rPr>
          <w:lang w:val="en-GB"/>
        </w:rPr>
        <w:t>,</w:t>
      </w:r>
      <w:r>
        <w:rPr>
          <w:lang w:val="en-GB"/>
        </w:rPr>
        <w:t xml:space="preserve"> may result in </w:t>
      </w:r>
      <w:r w:rsidRPr="00F434CC">
        <w:rPr>
          <w:lang w:val="en-GB"/>
        </w:rPr>
        <w:t xml:space="preserve">greater risk </w:t>
      </w:r>
      <w:r>
        <w:rPr>
          <w:lang w:val="en-GB"/>
        </w:rPr>
        <w:t>of</w:t>
      </w:r>
      <w:r w:rsidRPr="00F434CC">
        <w:rPr>
          <w:lang w:val="en-GB"/>
        </w:rPr>
        <w:t xml:space="preserve"> exposure to </w:t>
      </w:r>
      <w:r>
        <w:rPr>
          <w:lang w:val="en-GB"/>
        </w:rPr>
        <w:t>our</w:t>
      </w:r>
      <w:r w:rsidRPr="00F434CC">
        <w:rPr>
          <w:lang w:val="en-GB"/>
        </w:rPr>
        <w:t xml:space="preserve"> employees</w:t>
      </w:r>
      <w:r w:rsidRPr="006F3A92">
        <w:rPr>
          <w:lang w:val="en-GB"/>
        </w:rPr>
        <w:t xml:space="preserve">, and we may respond by </w:t>
      </w:r>
      <w:r>
        <w:rPr>
          <w:lang w:val="en-GB"/>
        </w:rPr>
        <w:t xml:space="preserve">curtailing, rescheduling or </w:t>
      </w:r>
      <w:r w:rsidRPr="006F3A92">
        <w:rPr>
          <w:lang w:val="en-GB"/>
        </w:rPr>
        <w:t>suspending our operations</w:t>
      </w:r>
      <w:r>
        <w:rPr>
          <w:lang w:val="en-GB"/>
        </w:rPr>
        <w:t>, construction or development</w:t>
      </w:r>
      <w:r w:rsidRPr="006F3A92">
        <w:rPr>
          <w:lang w:val="en-GB"/>
        </w:rPr>
        <w:t xml:space="preserve"> </w:t>
      </w:r>
      <w:r>
        <w:rPr>
          <w:lang w:val="en-GB"/>
        </w:rPr>
        <w:t>at our facilities and projects or be required to do so</w:t>
      </w:r>
      <w:r w:rsidRPr="003017EA">
        <w:rPr>
          <w:lang w:val="en-GB"/>
        </w:rPr>
        <w:t>.</w:t>
      </w:r>
      <w:r>
        <w:rPr>
          <w:lang w:val="en-GB"/>
        </w:rPr>
        <w:t xml:space="preserve"> </w:t>
      </w:r>
      <w:r>
        <w:t>For a more detailed description of the Group’s measures taken thus far in response to COVID-19, p</w:t>
      </w:r>
      <w:r w:rsidRPr="00A5210E">
        <w:t xml:space="preserve">lease see </w:t>
      </w:r>
      <w:r>
        <w:t>“</w:t>
      </w:r>
      <w:r w:rsidRPr="00A5210E">
        <w:t>Recent Developments – COVID-19 Pandemic</w:t>
      </w:r>
      <w:r>
        <w:t>”</w:t>
      </w:r>
      <w:r w:rsidRPr="00A5210E">
        <w:t>. The</w:t>
      </w:r>
      <w:r>
        <w:rPr>
          <w:lang w:val="en-GB"/>
        </w:rPr>
        <w:t xml:space="preserve"> </w:t>
      </w:r>
      <w:r w:rsidRPr="00914A1E">
        <w:rPr>
          <w:lang w:val="en-GB"/>
        </w:rPr>
        <w:t xml:space="preserve">COVID-19 </w:t>
      </w:r>
      <w:r>
        <w:rPr>
          <w:lang w:val="en-GB"/>
        </w:rPr>
        <w:t>outbreak</w:t>
      </w:r>
      <w:r w:rsidRPr="00914A1E">
        <w:rPr>
          <w:lang w:val="en-GB"/>
        </w:rPr>
        <w:t xml:space="preserve"> has </w:t>
      </w:r>
      <w:r>
        <w:rPr>
          <w:lang w:val="en-GB"/>
        </w:rPr>
        <w:t xml:space="preserve">also </w:t>
      </w:r>
      <w:r w:rsidRPr="00914A1E">
        <w:rPr>
          <w:lang w:val="en-GB"/>
        </w:rPr>
        <w:t xml:space="preserve">led to </w:t>
      </w:r>
      <w:r>
        <w:rPr>
          <w:lang w:val="en-GB"/>
        </w:rPr>
        <w:t xml:space="preserve">extreme </w:t>
      </w:r>
      <w:r w:rsidRPr="00914A1E">
        <w:rPr>
          <w:lang w:val="en-GB"/>
        </w:rPr>
        <w:t>disruption and volatility in the global capital markets, which could increase our cost of capital and adversely affect our ability to access the capital markets</w:t>
      </w:r>
      <w:r w:rsidRPr="00FC5949">
        <w:rPr>
          <w:lang w:val="en-GB"/>
        </w:rPr>
        <w:t xml:space="preserve">. </w:t>
      </w:r>
      <w:r w:rsidRPr="00736003">
        <w:rPr>
          <w:lang w:val="en-GB"/>
        </w:rPr>
        <w:t>In addition, the uncertainty surrounding the magnitude of the impact of COVID-19 may cause certain financial institutions to reduce the amount of, or impose more unfavorable terms on, new credit lines they extend to companies. Therefore our ability to raise future financing required for our operations may be severely restricted at a time when we would like, or need, to do so, which could have an adverse effect on our ability to meet our current and future funding requirements and on our flexibility to react to changing economic and business conditions. Furthermore, our customers</w:t>
      </w:r>
      <w:r>
        <w:rPr>
          <w:lang w:val="en-GB"/>
        </w:rPr>
        <w:t>’</w:t>
      </w:r>
      <w:r w:rsidRPr="00736003">
        <w:rPr>
          <w:lang w:val="en-GB"/>
        </w:rPr>
        <w:t xml:space="preserve"> ability to pay may be impacted by the COVID-19 pandemic as such customers may have to curtail or shutdown their operations, potentially leading to increased credit risks if the current economic downturn and the measures to curb the spread of the pandemic continue for an extended period of time. See </w:t>
      </w:r>
      <w:r>
        <w:rPr>
          <w:lang w:val="en-GB"/>
        </w:rPr>
        <w:t>“</w:t>
      </w:r>
      <w:r w:rsidRPr="00736003">
        <w:rPr>
          <w:i/>
          <w:iCs/>
          <w:lang w:val="en-GB"/>
        </w:rPr>
        <w:t xml:space="preserve"> ⸻</w:t>
      </w:r>
      <w:r w:rsidRPr="00736003">
        <w:rPr>
          <w:iCs/>
          <w:lang w:val="en-GB"/>
        </w:rPr>
        <w:t>Our business may be adversely affected by liquidity and counterparty risk</w:t>
      </w:r>
      <w:r>
        <w:rPr>
          <w:iCs/>
          <w:lang w:val="en-GB"/>
        </w:rPr>
        <w:t>”</w:t>
      </w:r>
      <w:r w:rsidRPr="00736003">
        <w:rPr>
          <w:iCs/>
          <w:lang w:val="en-GB"/>
        </w:rPr>
        <w:t>.</w:t>
      </w:r>
    </w:p>
    <w:p w14:paraId="6C980452" w14:textId="77777777" w:rsidR="00430BBA" w:rsidRPr="009D3D39" w:rsidRDefault="00430BBA" w:rsidP="00430BBA">
      <w:pPr>
        <w:spacing w:after="120"/>
        <w:ind w:firstLine="360"/>
        <w:rPr>
          <w:lang w:val="en-GB"/>
        </w:rPr>
      </w:pPr>
      <w:r w:rsidRPr="00736003">
        <w:rPr>
          <w:lang w:val="en-GB"/>
        </w:rPr>
        <w:t xml:space="preserve">In addition, we review our goodwill and assets when events or changes in circumstances suggest that the carrying amount may not be recoverable. If there are indications that impairment may have occurred, we prepare estimates of expected future cash flows for each group of assets.  As a consequence of continued volatility of </w:t>
      </w:r>
      <w:r w:rsidRPr="009D3D39">
        <w:rPr>
          <w:lang w:val="en-GB"/>
        </w:rPr>
        <w:t xml:space="preserve">the prices for our products and a significant reduction or absence of </w:t>
      </w:r>
      <w:r w:rsidRPr="009D3D39">
        <w:t>demand for diamonds</w:t>
      </w:r>
      <w:r w:rsidRPr="00736003">
        <w:rPr>
          <w:lang w:val="en-GB"/>
        </w:rPr>
        <w:t>, as well as operational developments during the year in light of COVID-19, our assessment of the recoverable amount of operating assets could result in significant impairments, which could materially and adversely affect our results of ope</w:t>
      </w:r>
      <w:r w:rsidRPr="009D3D39">
        <w:rPr>
          <w:lang w:val="en-GB"/>
        </w:rPr>
        <w:t>rations or financial condition.</w:t>
      </w:r>
      <w:r w:rsidRPr="00736003">
        <w:rPr>
          <w:lang w:val="en-GB"/>
        </w:rPr>
        <w:t xml:space="preserve"> See </w:t>
      </w:r>
      <w:r>
        <w:rPr>
          <w:lang w:val="en-GB"/>
        </w:rPr>
        <w:t>“</w:t>
      </w:r>
      <w:r w:rsidRPr="00736003">
        <w:rPr>
          <w:iCs/>
          <w:lang w:val="en-GB"/>
        </w:rPr>
        <w:t xml:space="preserve"> ⸻</w:t>
      </w:r>
      <w:r w:rsidRPr="00736003">
        <w:rPr>
          <w:b/>
          <w:bCs/>
          <w:iCs/>
          <w:lang w:val="en-GB"/>
        </w:rPr>
        <w:t xml:space="preserve"> </w:t>
      </w:r>
      <w:r w:rsidRPr="00736003">
        <w:rPr>
          <w:iCs/>
          <w:lang w:val="en-GB"/>
        </w:rPr>
        <w:t>Certain factors may affect our ability to support the carrying value of our property, plants and equipment, acquired properties, investments and goodwill on our balance sheet</w:t>
      </w:r>
      <w:r>
        <w:rPr>
          <w:iCs/>
          <w:lang w:val="en-GB"/>
        </w:rPr>
        <w:t>”</w:t>
      </w:r>
      <w:r w:rsidRPr="00736003">
        <w:rPr>
          <w:iCs/>
          <w:lang w:val="en-GB"/>
        </w:rPr>
        <w:t xml:space="preserve"> and</w:t>
      </w:r>
      <w:r w:rsidRPr="00736003">
        <w:rPr>
          <w:lang w:val="en-GB"/>
        </w:rPr>
        <w:t xml:space="preserve"> </w:t>
      </w:r>
      <w:r>
        <w:rPr>
          <w:lang w:val="en-GB"/>
        </w:rPr>
        <w:t>“</w:t>
      </w:r>
      <w:r w:rsidRPr="00736003">
        <w:rPr>
          <w:iCs/>
          <w:lang w:val="en-GB"/>
        </w:rPr>
        <w:t>⸻ Inaccurate assumptions in respect of critical accounting judgments could adversely affect financial results</w:t>
      </w:r>
      <w:r>
        <w:rPr>
          <w:iCs/>
          <w:lang w:val="en-GB"/>
        </w:rPr>
        <w:t>”</w:t>
      </w:r>
      <w:r w:rsidRPr="00736003">
        <w:rPr>
          <w:iCs/>
          <w:lang w:val="en-GB"/>
        </w:rPr>
        <w:t>.</w:t>
      </w:r>
    </w:p>
    <w:p w14:paraId="1EEAB993" w14:textId="77777777" w:rsidR="00430BBA" w:rsidRDefault="00430BBA" w:rsidP="00430BBA">
      <w:pPr>
        <w:spacing w:after="120"/>
        <w:ind w:firstLine="360"/>
        <w:rPr>
          <w:lang w:val="en-GB"/>
        </w:rPr>
      </w:pPr>
      <w:r>
        <w:t xml:space="preserve">The COVID-19 outbreak is likely to continue to adversely affect the global economy during at least the remainder of 2020 and could result in a significant negative impact on the Group’s business, financial condition, results of operations and prospects. The effects of the COVID-19 outbreak </w:t>
      </w:r>
      <w:r>
        <w:rPr>
          <w:color w:val="000000"/>
        </w:rPr>
        <w:t>are</w:t>
      </w:r>
      <w:r>
        <w:t xml:space="preserve"> highly uncertain, including the duration of the outbreak, new information that may emerge concerning the severity of the infection, the scope, duration and economic impact of actions taken to contain the spread of the virus or treat its impact, and the impact of each of these items on macroeconomic conditions and financial markets globally. Any of these factors could have a material adverse effect on our business, financial condition</w:t>
      </w:r>
      <w:r>
        <w:rPr>
          <w:color w:val="000000"/>
        </w:rPr>
        <w:t>,</w:t>
      </w:r>
      <w:r>
        <w:t xml:space="preserve"> results of operations</w:t>
      </w:r>
      <w:r>
        <w:rPr>
          <w:color w:val="000000"/>
        </w:rPr>
        <w:t xml:space="preserve"> and prospects</w:t>
      </w:r>
      <w:r>
        <w:t>.</w:t>
      </w:r>
    </w:p>
    <w:p w14:paraId="4AC130B7" w14:textId="77777777" w:rsidR="002A2991" w:rsidRDefault="002A2991" w:rsidP="00E45435">
      <w:pPr>
        <w:keepNext/>
        <w:spacing w:after="240" w:line="180" w:lineRule="atLeast"/>
        <w:ind w:firstLine="357"/>
        <w:jc w:val="both"/>
        <w:outlineLvl w:val="3"/>
        <w:rPr>
          <w:b/>
          <w:bCs/>
          <w:i/>
          <w:iCs/>
          <w:szCs w:val="20"/>
          <w:shd w:val="clear" w:color="auto" w:fill="FFFFFF"/>
          <w:lang w:eastAsia="en-GB"/>
        </w:rPr>
      </w:pPr>
      <w:r w:rsidRPr="00E45435">
        <w:rPr>
          <w:b/>
          <w:i/>
          <w:lang w:val="en-GB"/>
        </w:rPr>
        <w:lastRenderedPageBreak/>
        <w:t>Slower</w:t>
      </w:r>
      <w:r>
        <w:rPr>
          <w:b/>
          <w:bCs/>
          <w:i/>
          <w:iCs/>
          <w:color w:val="000000"/>
          <w:shd w:val="clear" w:color="auto" w:fill="FFFFFF"/>
        </w:rPr>
        <w:t xml:space="preserve"> levels of growth in Chinese demand for commodities may negatively impact pricing.</w:t>
      </w:r>
    </w:p>
    <w:p w14:paraId="7076C3F4" w14:textId="4C47F1CF" w:rsidR="002A2991" w:rsidRDefault="002A2991" w:rsidP="00914A1E">
      <w:pPr>
        <w:spacing w:after="120"/>
        <w:ind w:firstLine="360"/>
        <w:rPr>
          <w:color w:val="000000"/>
          <w:shd w:val="clear" w:color="auto" w:fill="FFFFFF"/>
        </w:rPr>
      </w:pPr>
      <w:r>
        <w:rPr>
          <w:color w:val="000000"/>
          <w:shd w:val="clear" w:color="auto" w:fill="FFFFFF"/>
        </w:rPr>
        <w:t xml:space="preserve">China is an important driver of global demand and pricing for commodities worldwide. </w:t>
      </w:r>
      <w:bookmarkStart w:id="35" w:name="_cp_text_1_2"/>
      <w:r w:rsidRPr="008151C7">
        <w:rPr>
          <w:color w:val="000000"/>
          <w:shd w:val="clear" w:color="auto" w:fill="FFFFFF"/>
        </w:rPr>
        <w:t>Commodity prices have been adversely affected by slower</w:t>
      </w:r>
      <w:r>
        <w:rPr>
          <w:color w:val="000000"/>
          <w:shd w:val="clear" w:color="auto" w:fill="FFFFFF"/>
        </w:rPr>
        <w:t xml:space="preserve"> </w:t>
      </w:r>
      <w:bookmarkEnd w:id="35"/>
      <w:r>
        <w:rPr>
          <w:color w:val="000000"/>
          <w:shd w:val="clear" w:color="auto" w:fill="FFFFFF"/>
        </w:rPr>
        <w:t xml:space="preserve">than expected levels of GDP growth in China, </w:t>
      </w:r>
      <w:bookmarkStart w:id="36" w:name="_cp_text_1_4"/>
      <w:r w:rsidRPr="008151C7">
        <w:rPr>
          <w:color w:val="000000"/>
          <w:shd w:val="clear" w:color="auto" w:fill="FFFFFF"/>
        </w:rPr>
        <w:t xml:space="preserve">as well as by the ongoing trade </w:t>
      </w:r>
      <w:r w:rsidRPr="00914A1E">
        <w:rPr>
          <w:lang w:val="en-GB"/>
        </w:rPr>
        <w:t>tensions</w:t>
      </w:r>
      <w:r w:rsidRPr="008151C7">
        <w:rPr>
          <w:color w:val="000000"/>
          <w:shd w:val="clear" w:color="auto" w:fill="FFFFFF"/>
        </w:rPr>
        <w:t xml:space="preserve"> between the United States and China, and such factors</w:t>
      </w:r>
      <w:r>
        <w:rPr>
          <w:color w:val="000000"/>
          <w:shd w:val="clear" w:color="auto" w:fill="FFFFFF"/>
        </w:rPr>
        <w:t xml:space="preserve"> </w:t>
      </w:r>
      <w:bookmarkEnd w:id="36"/>
      <w:r>
        <w:rPr>
          <w:color w:val="000000"/>
          <w:shd w:val="clear" w:color="auto" w:fill="FFFFFF"/>
        </w:rPr>
        <w:t xml:space="preserve">could </w:t>
      </w:r>
      <w:bookmarkStart w:id="37" w:name="_cp_text_1_5"/>
      <w:r w:rsidRPr="008151C7">
        <w:rPr>
          <w:color w:val="000000"/>
          <w:shd w:val="clear" w:color="auto" w:fill="FFFFFF"/>
        </w:rPr>
        <w:t>continue to</w:t>
      </w:r>
      <w:r>
        <w:rPr>
          <w:color w:val="000000"/>
          <w:shd w:val="clear" w:color="auto" w:fill="FFFFFF"/>
        </w:rPr>
        <w:t xml:space="preserve"> </w:t>
      </w:r>
      <w:bookmarkEnd w:id="37"/>
      <w:r>
        <w:rPr>
          <w:color w:val="000000"/>
          <w:shd w:val="clear" w:color="auto" w:fill="FFFFFF"/>
        </w:rPr>
        <w:t xml:space="preserve">have a negative impact on commodity prices generally, which would have a negative impact on our business and revenues. </w:t>
      </w:r>
      <w:bookmarkStart w:id="38" w:name="_cp_text_1_7"/>
      <w:r w:rsidRPr="008151C7">
        <w:rPr>
          <w:color w:val="000000"/>
          <w:shd w:val="clear" w:color="auto" w:fill="FFFFFF"/>
        </w:rPr>
        <w:t>Factors contributing to slower levels of growth in Chinese demand for commodities may</w:t>
      </w:r>
      <w:r>
        <w:rPr>
          <w:color w:val="000000"/>
          <w:shd w:val="clear" w:color="auto" w:fill="FFFFFF"/>
        </w:rPr>
        <w:t xml:space="preserve"> </w:t>
      </w:r>
      <w:bookmarkEnd w:id="38"/>
      <w:r>
        <w:rPr>
          <w:color w:val="000000"/>
          <w:shd w:val="clear" w:color="auto" w:fill="FFFFFF"/>
        </w:rPr>
        <w:t xml:space="preserve">include slower or flattened economic growth, </w:t>
      </w:r>
      <w:bookmarkStart w:id="39" w:name="_cp_text_1_8"/>
      <w:r w:rsidRPr="008151C7">
        <w:rPr>
          <w:color w:val="000000"/>
          <w:shd w:val="clear" w:color="auto" w:fill="FFFFFF"/>
        </w:rPr>
        <w:t>the COVID-19 outbreak,</w:t>
      </w:r>
      <w:r>
        <w:rPr>
          <w:color w:val="000000"/>
          <w:shd w:val="clear" w:color="auto" w:fill="FFFFFF"/>
        </w:rPr>
        <w:t xml:space="preserve"> </w:t>
      </w:r>
      <w:bookmarkEnd w:id="39"/>
      <w:r>
        <w:rPr>
          <w:color w:val="000000"/>
          <w:shd w:val="clear" w:color="auto" w:fill="FFFFFF"/>
        </w:rPr>
        <w:t>unsuccessful economic reforms, government policies that affect commodities markets, reduced urbanization or industrialization and a slowing expansion of the middle class. Slowing demand for commodities from China, whether caused by these factors or otherwise, could have a material adverse effect on our business, operational results, cash flows, financial condition and competitive position.</w:t>
      </w:r>
      <w:r w:rsidR="00C248C2">
        <w:rPr>
          <w:color w:val="000000"/>
          <w:shd w:val="clear" w:color="auto" w:fill="FFFFFF"/>
        </w:rPr>
        <w:t xml:space="preserve"> </w:t>
      </w:r>
    </w:p>
    <w:p w14:paraId="0BAF03B0" w14:textId="28E7F6DB" w:rsidR="00A56AB5" w:rsidRPr="00571974" w:rsidRDefault="003D4D89" w:rsidP="00E45435">
      <w:pPr>
        <w:keepNext/>
        <w:spacing w:after="240" w:line="180" w:lineRule="atLeast"/>
        <w:ind w:firstLine="357"/>
        <w:jc w:val="both"/>
        <w:outlineLvl w:val="3"/>
        <w:rPr>
          <w:b/>
          <w:i/>
          <w:lang w:val="en-GB"/>
        </w:rPr>
      </w:pPr>
      <w:r w:rsidRPr="00E45435">
        <w:rPr>
          <w:b/>
          <w:i/>
          <w:lang w:val="en-GB"/>
        </w:rPr>
        <w:t>Unplanned</w:t>
      </w:r>
      <w:r w:rsidRPr="00571974">
        <w:rPr>
          <w:b/>
          <w:i/>
          <w:lang w:val="en-GB"/>
        </w:rPr>
        <w:t xml:space="preserve"> and unexpected operational issues may affect our ability to achieve our delivery of the Group</w:t>
      </w:r>
      <w:r w:rsidR="00A311D8">
        <w:rPr>
          <w:b/>
          <w:i/>
          <w:lang w:val="en-GB"/>
        </w:rPr>
        <w:t>’</w:t>
      </w:r>
      <w:r w:rsidRPr="00571974">
        <w:rPr>
          <w:b/>
          <w:i/>
          <w:lang w:val="en-GB"/>
        </w:rPr>
        <w:t>s earnings before interest, tax, depreciation and amortization (</w:t>
      </w:r>
      <w:r w:rsidR="00A311D8">
        <w:rPr>
          <w:b/>
          <w:i/>
          <w:lang w:val="en-GB"/>
        </w:rPr>
        <w:t>“</w:t>
      </w:r>
      <w:r w:rsidR="00822D95">
        <w:rPr>
          <w:b/>
          <w:i/>
          <w:lang w:val="en-GB"/>
        </w:rPr>
        <w:t xml:space="preserve">Underlying </w:t>
      </w:r>
      <w:r w:rsidRPr="00571974">
        <w:rPr>
          <w:b/>
          <w:i/>
          <w:lang w:val="en-GB"/>
        </w:rPr>
        <w:t>EBITDA</w:t>
      </w:r>
      <w:r w:rsidR="00A311D8">
        <w:rPr>
          <w:b/>
          <w:i/>
          <w:lang w:val="en-GB"/>
        </w:rPr>
        <w:t>”</w:t>
      </w:r>
      <w:r w:rsidRPr="00571974">
        <w:rPr>
          <w:b/>
          <w:i/>
          <w:lang w:val="en-GB"/>
        </w:rPr>
        <w:t>) improvement targets.</w:t>
      </w:r>
    </w:p>
    <w:p w14:paraId="542D2E9C" w14:textId="0F642A37" w:rsidR="00A56AB5" w:rsidRPr="00571974" w:rsidRDefault="003D4D89" w:rsidP="00A56AB5">
      <w:pPr>
        <w:spacing w:after="120"/>
        <w:ind w:firstLine="360"/>
        <w:rPr>
          <w:lang w:val="en-GB"/>
        </w:rPr>
      </w:pPr>
      <w:r w:rsidRPr="00571974">
        <w:rPr>
          <w:lang w:val="en-GB"/>
        </w:rPr>
        <w:t xml:space="preserve">In order to support our continuous financial performance enhancement goal, net cost and volume improvements are targeted. Risks to delivery include unplanned or unexpected operational issues, lack of joint venture partner support, limited and or stretched resources to manage complex and multi-disciplinary projects and inability to deliver savings through implementation of new technology and innovation. Failure to deliver our </w:t>
      </w:r>
      <w:r w:rsidR="00822D95">
        <w:rPr>
          <w:lang w:val="en-GB"/>
        </w:rPr>
        <w:t xml:space="preserve">underlying </w:t>
      </w:r>
      <w:r w:rsidRPr="00571974">
        <w:rPr>
          <w:lang w:val="en-GB"/>
        </w:rPr>
        <w:t>EBITDA improvement targets could adversely affect our cash flow levels, reduce investor confidence and adversely affect our business.</w:t>
      </w:r>
    </w:p>
    <w:p w14:paraId="6461EEEF"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operations and development projects could be adversely affected by shortages of, as well as lead times to deliver, certain key inputs.</w:t>
      </w:r>
    </w:p>
    <w:p w14:paraId="1C1845FB" w14:textId="77777777" w:rsidR="00A56AB5" w:rsidRPr="00571974" w:rsidRDefault="003D4D89" w:rsidP="00914A1E">
      <w:pPr>
        <w:spacing w:after="120"/>
        <w:ind w:firstLine="360"/>
        <w:rPr>
          <w:lang w:val="en-GB"/>
        </w:rPr>
      </w:pPr>
      <w:r w:rsidRPr="00571974">
        <w:rPr>
          <w:lang w:val="en-GB"/>
        </w:rPr>
        <w:t xml:space="preserve">The inability to obtain, in a timely manner, strategic consumables, raw materials and mining and processing equipment could lead to lower output volumes and could have an adverse impact on our results of operations, development projects and financial condition. During periods of strong demand for commodities, increased demand for such supplies may result in periods when supplies are not always available or cause costs to increase above normal inflation rates. Any interruption to our supplies or increase in our costs would adversely affect our operating results and cash flows and such effects could be material. </w:t>
      </w:r>
    </w:p>
    <w:p w14:paraId="2A9A08CA" w14:textId="77777777" w:rsidR="00430BBA" w:rsidRPr="00571974" w:rsidRDefault="00430BBA" w:rsidP="00430BBA">
      <w:pPr>
        <w:keepNext/>
        <w:spacing w:after="240" w:line="180" w:lineRule="atLeast"/>
        <w:ind w:firstLine="357"/>
        <w:jc w:val="both"/>
        <w:outlineLvl w:val="3"/>
        <w:rPr>
          <w:b/>
          <w:i/>
          <w:lang w:val="en-GB"/>
        </w:rPr>
      </w:pPr>
      <w:r w:rsidRPr="00571974">
        <w:rPr>
          <w:b/>
          <w:i/>
          <w:lang w:val="en-GB"/>
        </w:rPr>
        <w:t>Our business may be adversely affected by liquidity and counterparty risk.</w:t>
      </w:r>
    </w:p>
    <w:p w14:paraId="724FF89C" w14:textId="77777777" w:rsidR="00430BBA" w:rsidRPr="00571974" w:rsidRDefault="00430BBA" w:rsidP="00430BBA">
      <w:pPr>
        <w:spacing w:after="120"/>
        <w:ind w:firstLine="360"/>
        <w:rPr>
          <w:lang w:val="en-GB"/>
        </w:rPr>
      </w:pPr>
      <w:r w:rsidRPr="00571974">
        <w:rPr>
          <w:lang w:val="en-GB"/>
        </w:rPr>
        <w:t xml:space="preserve">We are exposed to liquidity risk arising from the need to finance our ongoing operations and growth, as well as refinance our debt maturities as they fall due. Global credit markets have been severely constrained in the past and our ability to obtain funding has been and may in the future be significantly reduced. </w:t>
      </w:r>
    </w:p>
    <w:p w14:paraId="01016EFD" w14:textId="77777777" w:rsidR="00430BBA" w:rsidRPr="00571974" w:rsidRDefault="00430BBA" w:rsidP="00430BBA">
      <w:pPr>
        <w:spacing w:after="120"/>
        <w:ind w:firstLine="360"/>
        <w:rPr>
          <w:lang w:val="en-GB"/>
        </w:rPr>
      </w:pPr>
      <w:r w:rsidRPr="00571974">
        <w:rPr>
          <w:lang w:val="en-GB"/>
        </w:rPr>
        <w:t>Any future potential credit rating downgrade may have a negative impact on our ability to obtain funding and may further increase the cost of financing or require us to agree to more onerous financing terms and may adversely affect the value of the Notes being offered.</w:t>
      </w:r>
    </w:p>
    <w:p w14:paraId="2F0B8C32" w14:textId="77777777" w:rsidR="00430BBA" w:rsidRPr="009D3D39" w:rsidRDefault="00430BBA" w:rsidP="00430BBA">
      <w:pPr>
        <w:spacing w:after="120"/>
        <w:ind w:firstLine="360"/>
        <w:rPr>
          <w:lang w:val="en-GB"/>
        </w:rPr>
      </w:pPr>
      <w:r w:rsidRPr="00571974">
        <w:rPr>
          <w:lang w:val="en-GB"/>
        </w:rPr>
        <w:t>If we are unable to obtain sufficient funding, either due to banking and capital market conditions generally, or due to factors specific to our business, we may not have sufficient cash to meet ongoing financing needs and other requirements, which in turn could materially and adversely affect our financial condition and could result in a loss of all or part of your investment in the Notes</w:t>
      </w:r>
      <w:r w:rsidRPr="009D3D39">
        <w:rPr>
          <w:lang w:val="en-GB"/>
        </w:rPr>
        <w:t xml:space="preserve">. </w:t>
      </w:r>
      <w:r w:rsidRPr="00736003">
        <w:t xml:space="preserve">For example, the recent COVID-19 pandemic has adversely impacted the global banking and capital markets and may adversely impact our operating cash flows and increase our counterparty risk in light of measures taken to reduce capacity as a result of government measures to slow down the spread of COVID-19. See </w:t>
      </w:r>
      <w:r>
        <w:t>“</w:t>
      </w:r>
      <w:r w:rsidRPr="00736003">
        <w:rPr>
          <w:iCs/>
        </w:rPr>
        <w:t>⸻ The emerging COVID-19 global pandemic has had a negative impact on worldwide economic activity and is likely to adversely affect our business</w:t>
      </w:r>
      <w:r>
        <w:rPr>
          <w:iCs/>
        </w:rPr>
        <w:t>”</w:t>
      </w:r>
      <w:r w:rsidRPr="00736003">
        <w:rPr>
          <w:i/>
          <w:iCs/>
        </w:rPr>
        <w:t>.</w:t>
      </w:r>
    </w:p>
    <w:p w14:paraId="690E1B0D" w14:textId="77777777" w:rsidR="00430BBA" w:rsidRPr="00571974" w:rsidRDefault="00430BBA" w:rsidP="00430BBA">
      <w:pPr>
        <w:spacing w:after="120"/>
        <w:ind w:firstLine="360"/>
        <w:rPr>
          <w:lang w:val="en-GB"/>
        </w:rPr>
      </w:pPr>
      <w:r w:rsidRPr="00571974">
        <w:rPr>
          <w:lang w:val="en-GB"/>
        </w:rPr>
        <w:t>To the extent that our operating cash flows are insufficient to meet our debt service obligations, including payments of interest and principal on the Notes, we may be required to raise funds through disposals of assets or use alternative funding sources such as our Group</w:t>
      </w:r>
      <w:r>
        <w:rPr>
          <w:lang w:val="en-GB"/>
        </w:rPr>
        <w:t>-</w:t>
      </w:r>
      <w:r w:rsidRPr="00571974">
        <w:rPr>
          <w:lang w:val="en-GB"/>
        </w:rPr>
        <w:t>level revolving credit bank facility. There can be no assurance, however, that such cash flows or proceeds will be sufficient or that refinancing will be available on commercially viable terms. Any failure to meet our debt service obligations or to obtain refinancing on commercially viable terms, would have a material adverse effect on our financial condition and could result in a loss of all or part of your investment in the Notes.</w:t>
      </w:r>
    </w:p>
    <w:p w14:paraId="5D30B29A" w14:textId="77777777" w:rsidR="00430BBA" w:rsidRPr="00571974" w:rsidRDefault="00430BBA" w:rsidP="00430BBA">
      <w:pPr>
        <w:spacing w:after="120"/>
        <w:ind w:firstLine="360"/>
        <w:rPr>
          <w:lang w:val="en-GB"/>
        </w:rPr>
      </w:pPr>
      <w:r w:rsidRPr="00571974">
        <w:rPr>
          <w:lang w:val="en-GB"/>
        </w:rPr>
        <w:t xml:space="preserve">In addition, we are exposed to counterparty risk from customers and financial institutions that could result in financial losses should those counterparties become unable to meet their obligations to us. Furthermore, the treasury operations of our joint ventures and associates are independently managed and may expose us to liquidity, </w:t>
      </w:r>
      <w:r w:rsidRPr="00571974">
        <w:rPr>
          <w:lang w:val="en-GB"/>
        </w:rPr>
        <w:lastRenderedPageBreak/>
        <w:t>counterparty and other financial risks. Should our counterparties be unable to meet their obligations to us, or should the treasury operations of our joint ventures or associates incur losses, our operating results, cash flows, competitive position and financial condition could be materially and adversely affected.</w:t>
      </w:r>
    </w:p>
    <w:p w14:paraId="6A416B06"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The use of mining contractors at certain of our operations may expose those operations to delays or suspensions in mining activities.</w:t>
      </w:r>
    </w:p>
    <w:p w14:paraId="6AB3B1E6" w14:textId="77777777" w:rsidR="00A56AB5" w:rsidRPr="00571974" w:rsidRDefault="003D4D89" w:rsidP="00A56AB5">
      <w:pPr>
        <w:spacing w:after="120"/>
        <w:ind w:firstLine="360"/>
        <w:rPr>
          <w:lang w:val="en-GB"/>
        </w:rPr>
      </w:pPr>
      <w:r w:rsidRPr="00571974">
        <w:rPr>
          <w:lang w:val="en-GB"/>
        </w:rPr>
        <w:t>Mining contractors are used at a number of our operations to perform various operational tasks, including carrying out mining activities and delivering ore to processing plants. In periods of high commodity prices, demand for contractors may exceed supply resulting in increased costs or lack of availability of key contractors. Disruptions of operations or increased costs also can occur as a result of disputes with contractors or a shortage of contractors with particular capabilities. Additionally, because we do not have the same control over contractors as we do over employees, there is a risk that contractors will not operate in accordance with our safety standards or other policies. To the extent that any of the foregoing risks materialize, our operating results and cash flows could be adversely affected.</w:t>
      </w:r>
    </w:p>
    <w:p w14:paraId="0ABCB3E7"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operations and development projects could be adversely affected by shortages of appropriately skilled employees, for whom we compete with mining and other companies to recruit, develop and retain.</w:t>
      </w:r>
    </w:p>
    <w:p w14:paraId="044E5540" w14:textId="77777777" w:rsidR="00A56AB5" w:rsidRPr="00571974" w:rsidRDefault="003D4D89" w:rsidP="00A56AB5">
      <w:pPr>
        <w:spacing w:after="120"/>
        <w:ind w:firstLine="360"/>
        <w:rPr>
          <w:lang w:val="en-GB"/>
        </w:rPr>
      </w:pPr>
      <w:r w:rsidRPr="00571974">
        <w:rPr>
          <w:lang w:val="en-GB"/>
        </w:rPr>
        <w:t>Our ability to recruit, develop and retain personnel with appropriate skills is affected by global competition for skilled labor, particularly in periods of high commodity prices when demand for such personnel typically increases. Any failure to retain skilled employees or to recruit new staff may lead to increased costs, interruptions to existing operations and delay of new projects.</w:t>
      </w:r>
    </w:p>
    <w:p w14:paraId="4C2931CB"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Labor disruptions could have an adverse effect on our results of operations, cash flows and financial condition.</w:t>
      </w:r>
    </w:p>
    <w:p w14:paraId="636825C4" w14:textId="77777777" w:rsidR="00A56AB5" w:rsidRPr="00571974" w:rsidRDefault="003D4D89" w:rsidP="00A56AB5">
      <w:pPr>
        <w:spacing w:after="120"/>
        <w:ind w:firstLine="360"/>
        <w:rPr>
          <w:lang w:val="en-GB"/>
        </w:rPr>
      </w:pPr>
      <w:r w:rsidRPr="00571974">
        <w:rPr>
          <w:lang w:val="en-GB"/>
        </w:rPr>
        <w:t>There is a risk that strikes or other types of conflict with unions or employees may occur at any one of our operations, development projects or suppliers of critical goods and services, or in any of the geographic regions in which we operate. In key countries where we operate, the majority of employees are members of trade unions,</w:t>
      </w:r>
      <w:r w:rsidRPr="00571974">
        <w:rPr>
          <w:color w:val="000000"/>
          <w:spacing w:val="-2"/>
          <w:lang w:val="en-GB"/>
        </w:rPr>
        <w:t xml:space="preserve"> especially in South Africa and South America</w:t>
      </w:r>
      <w:r w:rsidRPr="00571974">
        <w:rPr>
          <w:lang w:val="en-GB"/>
        </w:rPr>
        <w:t>. Labor disruptions may be used not only for reasons specific to our business, but also to advocate labor, political or social goals. Any labor disruptions could increase operational costs and decrease revenues, and if such disruptions are material, they could adversely affect, possibly significantly, our results of operations, cash flows and financial condition.</w:t>
      </w:r>
    </w:p>
    <w:p w14:paraId="2D7DB50F"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Failure to meet production, construction, delivery and cost targets can adversely affect both operational performance and our ability to implement projects in a timely and efficient manner, resulting in increased costs.</w:t>
      </w:r>
    </w:p>
    <w:p w14:paraId="4A97C6A8" w14:textId="77777777" w:rsidR="00A56AB5" w:rsidRPr="00571974" w:rsidRDefault="003D4D89" w:rsidP="00A56AB5">
      <w:pPr>
        <w:spacing w:after="120"/>
        <w:ind w:firstLine="360"/>
        <w:rPr>
          <w:lang w:val="en-GB"/>
        </w:rPr>
      </w:pPr>
      <w:r w:rsidRPr="00571974">
        <w:rPr>
          <w:lang w:val="en-GB"/>
        </w:rPr>
        <w:t xml:space="preserve">Failure to meet production targets can result in increased unit costs, and such increases may be especially pronounced at operations with higher levels of fixed costs. Unit costs may exceed forecasts, adversely affecting performance and results of operations. Results of operations can be affected by a range of technical and engineering factors. In addition, failure to meet project delivery times and costs could have a negative effect on operational performance and lead to increased costs or reductions in revenue and profitability. Such increases could materially and adversely affect the economics of a project, and consequently our results of operations, cash flows and financial condition. </w:t>
      </w:r>
    </w:p>
    <w:p w14:paraId="3BACFC70" w14:textId="516ED544" w:rsidR="00A56AB5" w:rsidRPr="00571974" w:rsidRDefault="003D4D89" w:rsidP="00A56AB5">
      <w:pPr>
        <w:keepNext/>
        <w:spacing w:after="240" w:line="180" w:lineRule="atLeast"/>
        <w:ind w:firstLine="357"/>
        <w:jc w:val="both"/>
        <w:outlineLvl w:val="3"/>
        <w:rPr>
          <w:b/>
          <w:i/>
          <w:lang w:val="en-GB"/>
        </w:rPr>
      </w:pPr>
      <w:r w:rsidRPr="00571974">
        <w:rPr>
          <w:b/>
          <w:i/>
          <w:lang w:val="en-GB"/>
        </w:rPr>
        <w:t>Restrictions on our ability to</w:t>
      </w:r>
      <w:r w:rsidR="002A2991">
        <w:rPr>
          <w:b/>
          <w:i/>
          <w:lang w:val="en-GB"/>
        </w:rPr>
        <w:t xml:space="preserve"> obtain, sustain or secure</w:t>
      </w:r>
      <w:r w:rsidRPr="00571974">
        <w:rPr>
          <w:b/>
          <w:i/>
          <w:lang w:val="en-GB"/>
        </w:rPr>
        <w:t xml:space="preserve"> access</w:t>
      </w:r>
      <w:r w:rsidR="002A2991">
        <w:rPr>
          <w:b/>
          <w:i/>
          <w:lang w:val="en-GB"/>
        </w:rPr>
        <w:t xml:space="preserve"> to water and</w:t>
      </w:r>
      <w:r w:rsidRPr="00571974">
        <w:rPr>
          <w:b/>
          <w:i/>
          <w:lang w:val="en-GB"/>
        </w:rPr>
        <w:t xml:space="preserve"> necessary infrastructure services, including utilities and transportation, may adversely affect our operations.</w:t>
      </w:r>
    </w:p>
    <w:p w14:paraId="765D339E" w14:textId="77777777" w:rsidR="00A56AB5" w:rsidRPr="00571974" w:rsidRDefault="003D4D89" w:rsidP="00A56AB5">
      <w:pPr>
        <w:spacing w:after="120"/>
        <w:ind w:firstLine="360"/>
        <w:rPr>
          <w:lang w:val="en-GB"/>
        </w:rPr>
      </w:pPr>
      <w:r w:rsidRPr="00571974">
        <w:rPr>
          <w:lang w:val="en-GB"/>
        </w:rPr>
        <w:t>Inadequate supply of the critical infrastructure elements for mining activity could result in reduced production or sales volumes or impact our development projects, which could have a negative effect on our financial performance. Prioritization, restrictions on supply or disruptions in the supply of essential utility services, such as water and electricity, can reduce or halt our production for the duration of the restriction or disruption and, when unexpected, may cause loss of life or damage to our mining equipment or facilities, which may in turn affect our ability to recommence operations on a timely basis.</w:t>
      </w:r>
    </w:p>
    <w:p w14:paraId="709239EB" w14:textId="77777777" w:rsidR="00A56AB5" w:rsidRPr="00571974" w:rsidRDefault="003D4D89" w:rsidP="00A56AB5">
      <w:pPr>
        <w:spacing w:after="120"/>
        <w:ind w:firstLine="360"/>
        <w:rPr>
          <w:lang w:val="en-GB"/>
        </w:rPr>
      </w:pPr>
      <w:r w:rsidRPr="00571974">
        <w:rPr>
          <w:lang w:val="en-GB"/>
        </w:rPr>
        <w:t xml:space="preserve">Adequate provision of transportation services, in particular rail services and timely port access, are critical to getting our products to market and disruptions to such services may affect our operations. We are largely dependent on third party providers of utility and transportation services including rail, port and shipping services, and their provision of services, maintenance of networks and expansion and contingency plans are outside our control. </w:t>
      </w:r>
    </w:p>
    <w:p w14:paraId="34C4E096" w14:textId="23F8615B" w:rsidR="00A56AB5" w:rsidRDefault="003D4D89" w:rsidP="00A56AB5">
      <w:pPr>
        <w:spacing w:after="120"/>
        <w:ind w:firstLine="360"/>
        <w:rPr>
          <w:lang w:val="en-GB"/>
        </w:rPr>
      </w:pPr>
      <w:r w:rsidRPr="00571974">
        <w:rPr>
          <w:lang w:val="en-GB"/>
        </w:rPr>
        <w:t>In certain instances, our growth plans are reliant on third party rail providers expanding their carrying capacity.</w:t>
      </w:r>
    </w:p>
    <w:p w14:paraId="1EAD0745" w14:textId="6D1D41A1" w:rsidR="002A2991" w:rsidRDefault="002A2991" w:rsidP="007B1404">
      <w:pPr>
        <w:spacing w:after="120"/>
        <w:ind w:firstLine="360"/>
        <w:rPr>
          <w:lang w:val="en-GB" w:eastAsia="en-US" w:bidi="ar-SA"/>
        </w:rPr>
      </w:pPr>
      <w:r>
        <w:t>Poor water resource management or inadequate onsite storage, combine</w:t>
      </w:r>
      <w:r w:rsidR="00323073">
        <w:t>d</w:t>
      </w:r>
      <w:r>
        <w:t xml:space="preserve"> with reduced water supply at some </w:t>
      </w:r>
      <w:r>
        <w:lastRenderedPageBreak/>
        <w:t>operations as weather patterns change, can affect production. Loss of permits to use water in our operations and damage to stakeholder relationships or reputational damage can result from failure to manage water in a sustainable manner.</w:t>
      </w:r>
    </w:p>
    <w:p w14:paraId="7FE8A9D6" w14:textId="7680E009" w:rsidR="00A56AB5" w:rsidRPr="00571974" w:rsidRDefault="003D4D89">
      <w:pPr>
        <w:spacing w:after="120"/>
        <w:ind w:firstLine="360"/>
        <w:rPr>
          <w:lang w:val="en-GB"/>
        </w:rPr>
      </w:pPr>
      <w:r w:rsidRPr="00571974">
        <w:rPr>
          <w:lang w:val="en-GB"/>
        </w:rPr>
        <w:t>In South Africa, there is a risk that the electricity supply may not be able to meet the country</w:t>
      </w:r>
      <w:r w:rsidR="00A311D8">
        <w:rPr>
          <w:lang w:val="en-GB"/>
        </w:rPr>
        <w:t>’</w:t>
      </w:r>
      <w:r w:rsidRPr="00571974">
        <w:rPr>
          <w:lang w:val="en-GB"/>
        </w:rPr>
        <w:t xml:space="preserve">s demands, leading to unplanned outages and failure of the national grid. We are a significant consumer of power owing to the extent of our operations in South Africa. The risk is created through the lack of investment in generating capacity and a maintenance backlog in some generating facilities leading to unplanned outages and/or potential extraordinary tariff increases. Unplanned and short-notice power supply outages can lead to production shortfalls, with a negative effect on revenue, costs and productivity. There are potential safety implications, particularly for underground mines and process activities. </w:t>
      </w:r>
    </w:p>
    <w:p w14:paraId="1BC884A9" w14:textId="77777777" w:rsidR="00A56AB5" w:rsidRPr="00571974" w:rsidRDefault="003D4D89" w:rsidP="00A56AB5">
      <w:pPr>
        <w:spacing w:after="120"/>
        <w:ind w:firstLine="360"/>
        <w:rPr>
          <w:lang w:val="en-GB"/>
        </w:rPr>
      </w:pPr>
      <w:r w:rsidRPr="00571974">
        <w:rPr>
          <w:lang w:val="en-GB"/>
        </w:rPr>
        <w:t>Loss of critical computing systems can interrupt normal business activities.</w:t>
      </w:r>
    </w:p>
    <w:p w14:paraId="7695FC11" w14:textId="77777777" w:rsidR="00A56AB5" w:rsidRPr="00571974" w:rsidRDefault="003D4D89" w:rsidP="00A56AB5">
      <w:pPr>
        <w:spacing w:after="120"/>
        <w:ind w:firstLine="360"/>
        <w:rPr>
          <w:lang w:val="en-GB"/>
        </w:rPr>
      </w:pPr>
      <w:r w:rsidRPr="00571974">
        <w:rPr>
          <w:lang w:val="en-GB"/>
        </w:rPr>
        <w:t>Any such events are likely to adversely affect our production volumes and may increase our costs, which would in turn adversely affect our results of operations and cash flows, and such effects could be material.</w:t>
      </w:r>
    </w:p>
    <w:p w14:paraId="72F40C9D"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 xml:space="preserve">Our </w:t>
      </w:r>
      <w:r w:rsidRPr="00571974">
        <w:rPr>
          <w:b/>
          <w:bCs/>
          <w:i/>
          <w:iCs/>
          <w:lang w:val="en-GB"/>
        </w:rPr>
        <w:t>business</w:t>
      </w:r>
      <w:r w:rsidRPr="00571974">
        <w:rPr>
          <w:b/>
          <w:i/>
          <w:lang w:val="en-GB"/>
        </w:rPr>
        <w:t xml:space="preserve"> may be adversely affected by attacks from third parties on our information systems.</w:t>
      </w:r>
    </w:p>
    <w:p w14:paraId="1794C75E" w14:textId="4074587B" w:rsidR="00A56AB5" w:rsidRPr="00571974" w:rsidRDefault="003D4D89" w:rsidP="00A56AB5">
      <w:pPr>
        <w:spacing w:after="120"/>
        <w:ind w:firstLine="360"/>
        <w:rPr>
          <w:b/>
          <w:lang w:val="en-GB"/>
        </w:rPr>
      </w:pPr>
      <w:r w:rsidRPr="00571974">
        <w:rPr>
          <w:lang w:val="en-GB"/>
        </w:rPr>
        <w:t xml:space="preserve">We maintain and rely on information technology systems, consisting of digital </w:t>
      </w:r>
      <w:r w:rsidRPr="00571974">
        <w:rPr>
          <w:color w:val="000000"/>
          <w:lang w:val="en-GB"/>
        </w:rPr>
        <w:t xml:space="preserve">infrastructure, applications and communications networks to support our business activities.  These systems may be subject to security breaches or other incidents that </w:t>
      </w:r>
      <w:r w:rsidRPr="00571974">
        <w:rPr>
          <w:lang w:val="en-GB"/>
        </w:rPr>
        <w:t>may result in the</w:t>
      </w:r>
      <w:r w:rsidR="002A2991">
        <w:rPr>
          <w:lang w:val="en-GB"/>
        </w:rPr>
        <w:t xml:space="preserve"> theft,</w:t>
      </w:r>
      <w:r w:rsidRPr="00571974">
        <w:rPr>
          <w:lang w:val="en-GB"/>
        </w:rPr>
        <w:t xml:space="preserve"> loss, disclosure or corruption of personal (in breach of applicable data protection legislation), sensitive or proprietary information </w:t>
      </w:r>
      <w:r w:rsidRPr="00571974">
        <w:rPr>
          <w:color w:val="000000"/>
          <w:lang w:val="en-GB"/>
        </w:rPr>
        <w:t>including information relating to acquisitions and divestments, strategic decision</w:t>
      </w:r>
      <w:r w:rsidRPr="00571974">
        <w:rPr>
          <w:color w:val="000000"/>
          <w:lang w:val="en-GB"/>
        </w:rPr>
        <w:noBreakHyphen/>
        <w:t>making, investment market communications or commercially sensitive information relating to major contracts. Security breaches</w:t>
      </w:r>
      <w:r w:rsidRPr="00571974">
        <w:rPr>
          <w:lang w:val="en-GB"/>
        </w:rPr>
        <w:t xml:space="preserve"> may also </w:t>
      </w:r>
      <w:r w:rsidRPr="00571974">
        <w:rPr>
          <w:color w:val="000000"/>
          <w:lang w:val="en-GB"/>
        </w:rPr>
        <w:t xml:space="preserve">result in misappropriation of funds, fraud, disruptions to our business operations, environmental damage, increased health and safety risks to people, poor product quality, </w:t>
      </w:r>
      <w:r w:rsidR="002A2991">
        <w:rPr>
          <w:color w:val="000000"/>
          <w:lang w:val="en-GB"/>
        </w:rPr>
        <w:t xml:space="preserve">theft or </w:t>
      </w:r>
      <w:r w:rsidRPr="00571974">
        <w:rPr>
          <w:color w:val="000000"/>
          <w:lang w:val="en-GB"/>
        </w:rPr>
        <w:t>loss of intellectual property legal or regulatory breaches and liability or reputational damage. Damage is also possible</w:t>
      </w:r>
      <w:r w:rsidRPr="00571974">
        <w:rPr>
          <w:lang w:val="en-GB"/>
        </w:rPr>
        <w:t xml:space="preserve"> to equipment that is critical to mining or processing of ore, resulting in interruption to production and possible financial loss.</w:t>
      </w:r>
    </w:p>
    <w:p w14:paraId="41B11D04" w14:textId="77777777" w:rsidR="00A56AB5" w:rsidRPr="00571974" w:rsidRDefault="003D4D89" w:rsidP="00A56AB5">
      <w:pPr>
        <w:spacing w:after="120"/>
        <w:ind w:firstLine="360"/>
        <w:rPr>
          <w:lang w:val="en-GB"/>
        </w:rPr>
      </w:pPr>
      <w:r w:rsidRPr="00571974">
        <w:rPr>
          <w:lang w:val="en-GB"/>
        </w:rPr>
        <w:t>The risk arises from cyber-crime or activist activity aimed at causing disruption or attempts by third parties to access sensitive information. The pace of technological development makes it challenging to prevent increasingly sophisticated methods of attacking information technology systems.</w:t>
      </w:r>
    </w:p>
    <w:p w14:paraId="42B30150"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Substitution of commodities mined by our business could adversely affect sales volumes and revenue.</w:t>
      </w:r>
    </w:p>
    <w:p w14:paraId="68463240" w14:textId="4FBC9C5A" w:rsidR="00A56AB5" w:rsidRPr="00571974" w:rsidRDefault="003D4D89" w:rsidP="00A56AB5">
      <w:pPr>
        <w:spacing w:after="120"/>
        <w:ind w:firstLine="360"/>
        <w:rPr>
          <w:lang w:val="en-GB"/>
        </w:rPr>
      </w:pPr>
      <w:r w:rsidRPr="00571974">
        <w:rPr>
          <w:lang w:val="en-GB"/>
        </w:rPr>
        <w:t>Reduced demand for products mined by our business through substitution due to technological developments, for example alternatives being developed to the use of platinum group metals in catalytic converters</w:t>
      </w:r>
      <w:r w:rsidR="00D06CD0">
        <w:rPr>
          <w:lang w:val="en-GB"/>
        </w:rPr>
        <w:t xml:space="preserve"> and a switch to battery operated vehicles instead of fuel cell</w:t>
      </w:r>
      <w:r w:rsidR="00CC39D4">
        <w:rPr>
          <w:lang w:val="en-GB"/>
        </w:rPr>
        <w:t xml:space="preserve"> electric vehicles</w:t>
      </w:r>
      <w:r w:rsidRPr="00571974">
        <w:rPr>
          <w:lang w:val="en-GB"/>
        </w:rPr>
        <w:t>, or substitution of supply through recycling, could have an adverse effect on our results of operations, cash flows and financial condition.</w:t>
      </w:r>
    </w:p>
    <w:p w14:paraId="6802B96F" w14:textId="77777777" w:rsidR="00A56AB5" w:rsidRPr="00571974" w:rsidRDefault="003D4D89" w:rsidP="00A56AB5">
      <w:pPr>
        <w:spacing w:after="120"/>
        <w:ind w:firstLine="360"/>
        <w:rPr>
          <w:lang w:val="en-GB"/>
        </w:rPr>
      </w:pPr>
      <w:r w:rsidRPr="00571974">
        <w:rPr>
          <w:lang w:val="en-GB"/>
        </w:rPr>
        <w:t>Technological developments are resulting in increased production and distribution of manufactured synthetic gem diamonds. These may be fraudulently sold as natural stones (undisclosed) or marketed and sold as synthetics (disclosed). Increased competition from disclosed synthetics may lead to a potential reduction in rough diamond sales, which could have a material adverse effect on our revenue, cash flow, profitability and value.</w:t>
      </w:r>
    </w:p>
    <w:p w14:paraId="4B90BEA6"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We may have fewer reserves or resources than our estimates indicate.</w:t>
      </w:r>
    </w:p>
    <w:p w14:paraId="0AEED2A8" w14:textId="3587701A" w:rsidR="00A56AB5" w:rsidRPr="00571974" w:rsidRDefault="003D4D89" w:rsidP="00A56AB5">
      <w:pPr>
        <w:spacing w:after="120"/>
        <w:ind w:firstLine="360"/>
        <w:rPr>
          <w:lang w:val="en-GB"/>
        </w:rPr>
      </w:pPr>
      <w:r w:rsidRPr="00571974">
        <w:rPr>
          <w:lang w:val="en-GB"/>
        </w:rPr>
        <w:t xml:space="preserve">Our </w:t>
      </w:r>
      <w:r w:rsidR="00DE1A7C" w:rsidRPr="00DE1A7C">
        <w:t>Mineral Resource</w:t>
      </w:r>
      <w:r w:rsidR="00DE1A7C" w:rsidRPr="00571974">
        <w:rPr>
          <w:lang w:val="en-GB"/>
        </w:rPr>
        <w:t xml:space="preserve"> </w:t>
      </w:r>
      <w:r w:rsidRPr="00571974">
        <w:rPr>
          <w:lang w:val="en-GB"/>
        </w:rPr>
        <w:t xml:space="preserve">and </w:t>
      </w:r>
      <w:r w:rsidR="00DE1A7C" w:rsidRPr="00571974">
        <w:rPr>
          <w:lang w:val="en-GB"/>
        </w:rPr>
        <w:t xml:space="preserve">Ore Reserve </w:t>
      </w:r>
      <w:r w:rsidRPr="00571974">
        <w:rPr>
          <w:lang w:val="en-GB"/>
        </w:rPr>
        <w:t xml:space="preserve">estimates are based on a number of assumptions which are inherently prone to variability. Our mineral resources and </w:t>
      </w:r>
      <w:r w:rsidR="00B606D3">
        <w:rPr>
          <w:lang w:val="en-GB"/>
        </w:rPr>
        <w:t>o</w:t>
      </w:r>
      <w:r w:rsidRPr="00571974">
        <w:rPr>
          <w:lang w:val="en-GB"/>
        </w:rPr>
        <w:t xml:space="preserve">re </w:t>
      </w:r>
      <w:r w:rsidR="00B606D3">
        <w:rPr>
          <w:lang w:val="en-GB"/>
        </w:rPr>
        <w:t>r</w:t>
      </w:r>
      <w:r w:rsidRPr="00571974">
        <w:rPr>
          <w:lang w:val="en-GB"/>
        </w:rPr>
        <w:t xml:space="preserve">eserves estimates are stated as at December 31, 2019 and such calculations are based on a number of assumptions, including the price of commodities, production costs, recovery rates, the availability and quality of geological and technical information, industry practice and subjective judgments made by management and our other competent persons with regard to the presence and grade of ore bodies and the ability to extract and process the ores economically. There are also risks associated with such estimates, including that ore mined may be different from the resource estimates in quality, volume, overburden strip ratio or stripping cost. In addition, ores may not ultimately be extracted at a profit. </w:t>
      </w:r>
    </w:p>
    <w:p w14:paraId="07141D2C" w14:textId="77777777" w:rsidR="00A56AB5" w:rsidRPr="00571974" w:rsidRDefault="003D4D89" w:rsidP="00A56AB5">
      <w:pPr>
        <w:spacing w:after="120"/>
        <w:ind w:firstLine="360"/>
        <w:rPr>
          <w:lang w:val="en-GB"/>
        </w:rPr>
      </w:pPr>
      <w:r w:rsidRPr="00571974">
        <w:rPr>
          <w:lang w:val="en-GB"/>
        </w:rPr>
        <w:t>If we encounter mineralization or geological or mining conditions different from those predicted by historical drilling, sampling and similar examinations, we may have to adjust our mining plans in a way that could materially and adversely affect our business, financial condition and results of operations and reduce the estimated amount of resources and reserves available for production and expansion plans.</w:t>
      </w:r>
    </w:p>
    <w:p w14:paraId="29AFE5EC" w14:textId="11EFB641" w:rsidR="00A56AB5" w:rsidRPr="00571974" w:rsidRDefault="003D4D89" w:rsidP="00A56AB5">
      <w:pPr>
        <w:spacing w:after="120"/>
        <w:ind w:firstLine="360"/>
        <w:rPr>
          <w:lang w:val="en-GB"/>
        </w:rPr>
      </w:pPr>
      <w:r w:rsidRPr="00571974">
        <w:rPr>
          <w:lang w:val="en-GB"/>
        </w:rPr>
        <w:t xml:space="preserve">In addition, our portfolio of </w:t>
      </w:r>
      <w:r w:rsidR="00DE1A7C" w:rsidRPr="00571974">
        <w:rPr>
          <w:lang w:val="en-GB"/>
        </w:rPr>
        <w:t xml:space="preserve">Mineral Resources </w:t>
      </w:r>
      <w:r w:rsidRPr="00571974">
        <w:rPr>
          <w:lang w:val="en-GB"/>
        </w:rPr>
        <w:t xml:space="preserve">and </w:t>
      </w:r>
      <w:r w:rsidR="00DE1A7C" w:rsidRPr="00571974">
        <w:rPr>
          <w:lang w:val="en-GB"/>
        </w:rPr>
        <w:t xml:space="preserve">Ore Reserves </w:t>
      </w:r>
      <w:r w:rsidRPr="00571974">
        <w:rPr>
          <w:lang w:val="en-GB"/>
        </w:rPr>
        <w:t xml:space="preserve">includes inferred mineral resources. Inferred mineral resources have a great amount of uncertainty as to their existence and physical properties and their </w:t>
      </w:r>
      <w:r w:rsidRPr="00571974">
        <w:rPr>
          <w:lang w:val="en-GB"/>
        </w:rPr>
        <w:lastRenderedPageBreak/>
        <w:t xml:space="preserve">economic and legal feasibility. It cannot be assumed that all or any part of an inferred mineral resource will ever be upgraded to a higher category. Furthermore, there is no guarantee that all or any part of an inferred mineral resource will ever be upgraded to a measured or indicated mineral resource category. The inclusion of </w:t>
      </w:r>
      <w:r w:rsidR="00DE1A7C" w:rsidRPr="00571974">
        <w:rPr>
          <w:lang w:val="en-GB"/>
        </w:rPr>
        <w:t xml:space="preserve">Mineral Resource </w:t>
      </w:r>
      <w:r w:rsidRPr="00571974">
        <w:rPr>
          <w:lang w:val="en-GB"/>
        </w:rPr>
        <w:t>estimates should not be regarded as a representation that these amounts could be exploited economically. There is no guarantee that the resources estimated are capable of being directly reclassified as reserves, nor that all or any part of the inferred mineral resources will ever be upgraded to a measured or indicated mineral resource category.</w:t>
      </w:r>
    </w:p>
    <w:p w14:paraId="5C144668" w14:textId="4C417B73" w:rsidR="00A56AB5" w:rsidRPr="00571974" w:rsidRDefault="003D4D89" w:rsidP="00A56AB5">
      <w:pPr>
        <w:spacing w:after="120"/>
        <w:ind w:firstLine="360"/>
        <w:rPr>
          <w:b/>
          <w:i/>
          <w:kern w:val="20"/>
          <w:szCs w:val="20"/>
          <w:lang w:val="en-GB"/>
        </w:rPr>
      </w:pPr>
      <w:r w:rsidRPr="00571974">
        <w:rPr>
          <w:lang w:val="en-GB"/>
        </w:rPr>
        <w:t xml:space="preserve">Future fluctuations in the variables underlying our estimates may result in material changes to our </w:t>
      </w:r>
      <w:r w:rsidR="00DE1A7C" w:rsidRPr="00571974">
        <w:rPr>
          <w:lang w:val="en-GB"/>
        </w:rPr>
        <w:t xml:space="preserve">Ore Reserve </w:t>
      </w:r>
      <w:r w:rsidRPr="00571974">
        <w:rPr>
          <w:lang w:val="en-GB"/>
        </w:rPr>
        <w:t xml:space="preserve">estimates and such changes may have a materially adverse impact on our operating results, cash flows or financial condition and prospects. </w:t>
      </w:r>
    </w:p>
    <w:p w14:paraId="10DDDC0D"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Failure to discover new economic mineralization, enhance existing reserves or adequately develop new projects could adversely affect our business.</w:t>
      </w:r>
    </w:p>
    <w:p w14:paraId="2A4F9127" w14:textId="77777777" w:rsidR="00A56AB5" w:rsidRPr="00571974" w:rsidRDefault="003D4D89" w:rsidP="00A56AB5">
      <w:pPr>
        <w:spacing w:after="120"/>
        <w:ind w:firstLine="360"/>
        <w:rPr>
          <w:lang w:val="en-GB"/>
        </w:rPr>
      </w:pPr>
      <w:r w:rsidRPr="00571974">
        <w:rPr>
          <w:lang w:val="en-GB"/>
        </w:rPr>
        <w:t xml:space="preserve">Exploration and development are costly, </w:t>
      </w:r>
      <w:r w:rsidRPr="00571974">
        <w:rPr>
          <w:color w:val="000000"/>
          <w:lang w:val="en-GB"/>
        </w:rPr>
        <w:t xml:space="preserve">speculative and often unproductive </w:t>
      </w:r>
      <w:r w:rsidRPr="00571974">
        <w:rPr>
          <w:lang w:val="en-GB"/>
        </w:rPr>
        <w:t>activities, but are necessary for our future growth. Failure to discover new economic mineralization, to maintain our existing mineral rights, to enhance existing reserves or to economically extract reserves in sufficient amounts and in a timely manner could materially and adversely affect our results of operations, cash flows, financial condition and prospects. In addition, we may not be able to recover the funds we spend identifying new mining opportunities through our exploration program</w:t>
      </w:r>
      <w:r w:rsidR="00E64229">
        <w:rPr>
          <w:lang w:val="en-GB"/>
        </w:rPr>
        <w:t>me</w:t>
      </w:r>
      <w:r w:rsidRPr="00571974">
        <w:rPr>
          <w:lang w:val="en-GB"/>
        </w:rPr>
        <w:t>.</w:t>
      </w:r>
    </w:p>
    <w:p w14:paraId="49804202" w14:textId="77777777" w:rsidR="00A56AB5" w:rsidRPr="00571974" w:rsidRDefault="003D4D89" w:rsidP="00A56AB5">
      <w:pPr>
        <w:spacing w:after="120"/>
        <w:ind w:firstLine="360"/>
        <w:rPr>
          <w:lang w:val="en-GB"/>
        </w:rPr>
      </w:pPr>
      <w:r w:rsidRPr="00571974">
        <w:rPr>
          <w:lang w:val="en-GB"/>
        </w:rPr>
        <w:t>Increasingly stringent requirements relating to regulatory, environmental and social approvals can result in significant delays in construction of our facilities and may adversely affect the economics of new mining projects, the expansion of existing operations and, consequently, our results of operations, cash flows and financial condition and such effects could be material.</w:t>
      </w:r>
    </w:p>
    <w:p w14:paraId="58713372"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business may be adversely affected by currency exchange rate fluctuations and interest rate movements.</w:t>
      </w:r>
    </w:p>
    <w:p w14:paraId="09CF8BC3" w14:textId="77777777" w:rsidR="00A56AB5" w:rsidRPr="00571974" w:rsidRDefault="003D4D89" w:rsidP="00A56AB5">
      <w:pPr>
        <w:spacing w:after="120"/>
        <w:ind w:firstLine="360"/>
        <w:rPr>
          <w:lang w:val="en-GB"/>
        </w:rPr>
      </w:pPr>
      <w:r w:rsidRPr="00571974">
        <w:rPr>
          <w:lang w:val="en-GB"/>
        </w:rPr>
        <w:t>Because of the global nature of our business, we are exposed to currency risk principally where transactions are not conducted in U.S. dollars or where assets and liabilities are not U.S. dollar-denominated. The majority of our sales revenue is denominated in U.S. dollars, while the majority of our operating costs are influenced by the currencies of the countries where our operations are located and by the currencies in which the costs of imported equipment and services are denominated. The South African rand, Chilean peso, Brazilian real, Australian dollar, Canadian dollar, British pound and U.S. dollar are the most important currencies influencing our operating costs and asset valuations. Because our policy is generally not to hedge such exposures, fluctuations in the exchange rates of these currencies may adversely affect our operating results, cash flows or financial condition to a material extent.</w:t>
      </w:r>
    </w:p>
    <w:p w14:paraId="7A31682A" w14:textId="36D7C57D" w:rsidR="00A56AB5" w:rsidRPr="00571974" w:rsidRDefault="003D4D89" w:rsidP="00A56AB5">
      <w:pPr>
        <w:spacing w:after="120"/>
        <w:ind w:firstLine="360"/>
        <w:rPr>
          <w:lang w:val="en-GB"/>
        </w:rPr>
      </w:pPr>
      <w:r w:rsidRPr="00571974">
        <w:rPr>
          <w:lang w:val="en-GB"/>
        </w:rPr>
        <w:t xml:space="preserve">If the Group is subjected to volatile interest rate fluctuations, its operating results, cash flows, competitive position and financial condition could be materially and adversely affected. See </w:t>
      </w:r>
      <w:r w:rsidR="00A311D8">
        <w:rPr>
          <w:lang w:val="en-GB"/>
        </w:rPr>
        <w:t>“</w:t>
      </w:r>
      <w:r w:rsidRPr="00571974">
        <w:rPr>
          <w:lang w:val="en-GB"/>
        </w:rPr>
        <w:t>Operating and Financial Review of the Group—Financial Risk Exposure and Management—Interest rate risk</w:t>
      </w:r>
      <w:r w:rsidR="00A311D8">
        <w:rPr>
          <w:lang w:val="en-GB"/>
        </w:rPr>
        <w:t>”</w:t>
      </w:r>
      <w:r w:rsidRPr="00571974">
        <w:rPr>
          <w:lang w:val="en-GB"/>
        </w:rPr>
        <w:t>.</w:t>
      </w:r>
    </w:p>
    <w:p w14:paraId="54761987"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Inflation may have an adverse effect on our results of operations and cash flows.</w:t>
      </w:r>
    </w:p>
    <w:p w14:paraId="51BE3D10" w14:textId="77777777" w:rsidR="00A56AB5" w:rsidRPr="00571974" w:rsidRDefault="003D4D89" w:rsidP="00A56AB5">
      <w:pPr>
        <w:spacing w:after="120"/>
        <w:ind w:firstLine="360"/>
        <w:rPr>
          <w:lang w:val="en-GB"/>
        </w:rPr>
      </w:pPr>
      <w:r w:rsidRPr="00571974">
        <w:rPr>
          <w:lang w:val="en-GB"/>
        </w:rPr>
        <w:t>Because we cannot control the market price at which commodities we produce are sold, we may be unable to pass through increased costs of production to our customers. As a result, it is possible that significantly higher future inflation in the countries in which we operate may increase future operational costs without a corresponding increase in the U.S. dollar price of the commodities we produce, or a concurrent depreciation of the local currency against the U.S. dollar.</w:t>
      </w:r>
    </w:p>
    <w:p w14:paraId="0A3973AB" w14:textId="77777777" w:rsidR="00A56AB5" w:rsidRPr="00571974" w:rsidRDefault="003D4D89" w:rsidP="00A56AB5">
      <w:pPr>
        <w:spacing w:after="120"/>
        <w:ind w:firstLine="360"/>
        <w:rPr>
          <w:lang w:val="en-GB"/>
        </w:rPr>
      </w:pPr>
      <w:r w:rsidRPr="00571974">
        <w:rPr>
          <w:lang w:val="en-GB"/>
        </w:rPr>
        <w:t>Cost inflation in the mining sector is more apparent during periods of high commodity prices because demand for mining</w:t>
      </w:r>
      <w:r w:rsidRPr="00571974">
        <w:rPr>
          <w:lang w:val="en-GB"/>
        </w:rPr>
        <w:noBreakHyphen/>
        <w:t>related products and services can tend to exceed supply during such periods. However, such inflation can occur at any point in the commodity cycle, and in the past we have also experienced cost inflation during periods of decreasing commodity prices. A lag in the reduction of input costs relative to declining commodity prices will have a similar negative effect on our results of operations. Any such increased costs or delays in cost reductions may adversely affect our profit margins, cash flows and results of operations and such effects could be material.</w:t>
      </w:r>
    </w:p>
    <w:p w14:paraId="147477AD"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non</w:t>
      </w:r>
      <w:r w:rsidRPr="00571974">
        <w:rPr>
          <w:b/>
          <w:i/>
          <w:lang w:val="en-GB"/>
        </w:rPr>
        <w:noBreakHyphen/>
        <w:t>controlled assets may not comply with our standards.</w:t>
      </w:r>
    </w:p>
    <w:p w14:paraId="531FDB9F" w14:textId="77777777" w:rsidR="00A56AB5" w:rsidRPr="00571974" w:rsidRDefault="003D4D89" w:rsidP="00A56AB5">
      <w:pPr>
        <w:spacing w:after="120"/>
        <w:ind w:firstLine="360"/>
        <w:rPr>
          <w:lang w:val="en-GB"/>
        </w:rPr>
      </w:pPr>
      <w:r w:rsidRPr="00571974">
        <w:rPr>
          <w:lang w:val="en-GB"/>
        </w:rPr>
        <w:t>Some of our operations are controlled and managed by joint venture partners, associates or by other companies. Management of non</w:t>
      </w:r>
      <w:r w:rsidRPr="00571974">
        <w:rPr>
          <w:lang w:val="en-GB"/>
        </w:rPr>
        <w:noBreakHyphen/>
        <w:t>controlled assets may not comply with our standards, for example, on safety, health and environmental matters or on financial or other controls and procedures. This may lead to higher costs and lower production and adversely affect our results of operations, cash flows, financial condition or reputation.</w:t>
      </w:r>
    </w:p>
    <w:p w14:paraId="08395050"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 xml:space="preserve">Certain factors may affect our ability to support the carrying value of our property, plants and equipment, </w:t>
      </w:r>
      <w:r w:rsidRPr="00571974">
        <w:rPr>
          <w:b/>
          <w:i/>
          <w:lang w:val="en-GB"/>
        </w:rPr>
        <w:lastRenderedPageBreak/>
        <w:t>acquired properties, investments and goodwill on our balance sheet.</w:t>
      </w:r>
    </w:p>
    <w:p w14:paraId="19CAAF9B" w14:textId="77777777" w:rsidR="00A56AB5" w:rsidRPr="00571974" w:rsidRDefault="003D4D89" w:rsidP="00A56AB5">
      <w:pPr>
        <w:spacing w:after="120"/>
        <w:ind w:firstLine="360"/>
        <w:rPr>
          <w:lang w:val="en-GB"/>
        </w:rPr>
      </w:pPr>
      <w:r w:rsidRPr="00571974">
        <w:rPr>
          <w:lang w:val="en-GB"/>
        </w:rPr>
        <w:t>We review and test the carrying value of our assets when events or changes in circumstances suggest that the carrying amount may not be recoverable. If there are indications that impairment may have occurred, we prepare estimates of expected future cash flows for each group of assets. Expected future cash flows are inherently uncertain and could materially change over time. They are significantly affected by reserve and production estimates, together with economic factors such as spot and forward commodity prices, discount rates, currency exchange rates, estimates of costs to produce reserves and future capital expenditure.</w:t>
      </w:r>
    </w:p>
    <w:p w14:paraId="0FBF9D09" w14:textId="77777777" w:rsidR="00A56AB5" w:rsidRPr="00571974" w:rsidRDefault="003D4D89" w:rsidP="00A56AB5">
      <w:pPr>
        <w:spacing w:after="120"/>
        <w:ind w:firstLine="360"/>
        <w:rPr>
          <w:lang w:val="en-GB"/>
        </w:rPr>
      </w:pPr>
      <w:r w:rsidRPr="00571974">
        <w:rPr>
          <w:lang w:val="en-GB"/>
        </w:rPr>
        <w:t>If any of these uncertainties occur, either alone or in combination, it could require management to recognize an impairment, which could materially and adversely affect our results of operations or financial condition.</w:t>
      </w:r>
    </w:p>
    <w:p w14:paraId="44F81FEF"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Inaccurate assumptions in respect of critical accounting judgments could adversely affect financial results.</w:t>
      </w:r>
    </w:p>
    <w:p w14:paraId="2E94E3F8" w14:textId="60BC6FC9" w:rsidR="00A56AB5" w:rsidRPr="00571974" w:rsidRDefault="003D4D89" w:rsidP="00DA283E">
      <w:pPr>
        <w:spacing w:after="120"/>
        <w:ind w:firstLine="360"/>
        <w:rPr>
          <w:rFonts w:ascii="Times New Roman Bold" w:eastAsia="SimSun" w:hAnsi="Times New Roman Bold"/>
          <w:b/>
          <w:bCs/>
          <w:smallCaps/>
          <w:szCs w:val="26"/>
          <w:lang w:val="en-GB"/>
        </w:rPr>
      </w:pPr>
      <w:r w:rsidRPr="00571974">
        <w:rPr>
          <w:lang w:val="en-GB"/>
        </w:rPr>
        <w:t>In the course of preparing financial statements, our management necessarily makes judgments and estimates that can have a significant impact on our financial statements. The most critical of these relate to impairment and impairment reversals of assets, taxation, contingent liabilities, joint arrangements, estimation of Ore Reserves, assessment of fair value, restoration, rehabilitation and environmental costs, retirement benefits and deferred stripping. The use of inaccurate assumptions in calculations for any of these estimates could have a significant impact on our results of operations and financial condition.</w:t>
      </w:r>
    </w:p>
    <w:p w14:paraId="20FA7BFC" w14:textId="77777777" w:rsidR="00A56AB5" w:rsidRPr="00571974" w:rsidRDefault="003D4D89" w:rsidP="00A56AB5">
      <w:pPr>
        <w:keepNext/>
        <w:spacing w:after="240" w:line="246" w:lineRule="atLeast"/>
        <w:outlineLvl w:val="1"/>
        <w:rPr>
          <w:rFonts w:ascii="Times New Roman Bold" w:eastAsia="SimSun" w:hAnsi="Times New Roman Bold"/>
          <w:b/>
          <w:bCs/>
          <w:smallCaps/>
          <w:szCs w:val="26"/>
          <w:lang w:val="en-GB"/>
        </w:rPr>
      </w:pPr>
      <w:r w:rsidRPr="00571974">
        <w:rPr>
          <w:rFonts w:ascii="Times New Roman Bold" w:eastAsia="SimSun" w:hAnsi="Times New Roman Bold"/>
          <w:b/>
          <w:bCs/>
          <w:smallCaps/>
          <w:szCs w:val="26"/>
          <w:lang w:val="en-GB"/>
        </w:rPr>
        <w:t>Legal, Regulatory, Political and Tax Risks</w:t>
      </w:r>
    </w:p>
    <w:p w14:paraId="447332B0"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Safety, health and environmental exposures and related regulations may expose us to additional litigation, compliance costs, interruptions to operations, unforeseen environmental remediation expenses and loss of reputation.</w:t>
      </w:r>
    </w:p>
    <w:p w14:paraId="126C5000" w14:textId="77777777" w:rsidR="00A56AB5" w:rsidRPr="00571974" w:rsidRDefault="003D4D89" w:rsidP="00A56AB5">
      <w:pPr>
        <w:spacing w:after="120"/>
        <w:ind w:firstLine="360"/>
        <w:rPr>
          <w:lang w:val="en-GB"/>
        </w:rPr>
      </w:pPr>
      <w:r w:rsidRPr="00571974">
        <w:rPr>
          <w:lang w:val="en-GB"/>
        </w:rPr>
        <w:t>Mining is a potentially hazardous industry and is highly regulated by safety, health and environmental laws and regulations. Working conditions, including aspects such as weather, altitude and temperature, can add to the inherent dangers of mining, whether underground or in open pit mines. Failure to provide a safe and healthy working environment or an environmentally acceptable one in accordance with the relevant applicable legislation may result in government authorities forcing closure of mines on a temporary or permanent basis or refusing mining right applications.</w:t>
      </w:r>
    </w:p>
    <w:p w14:paraId="6045BD1B" w14:textId="3029A94F" w:rsidR="00A56AB5" w:rsidRPr="00571974" w:rsidRDefault="00A56AB5" w:rsidP="00A56AB5">
      <w:pPr>
        <w:spacing w:after="120"/>
        <w:ind w:firstLine="360"/>
        <w:rPr>
          <w:lang w:val="en-GB"/>
        </w:rPr>
      </w:pPr>
      <w:r w:rsidRPr="00571974">
        <w:rPr>
          <w:lang w:val="en-GB"/>
        </w:rPr>
        <w:t xml:space="preserve">Inability to deliver a sustained improvement in safety performance or occupational health may result from management interventions and training initiatives failing to translate into </w:t>
      </w:r>
      <w:r w:rsidR="00571974" w:rsidRPr="00571974">
        <w:rPr>
          <w:lang w:val="en-GB"/>
        </w:rPr>
        <w:t>behavioral</w:t>
      </w:r>
      <w:r w:rsidRPr="00571974">
        <w:rPr>
          <w:lang w:val="en-GB"/>
        </w:rPr>
        <w:t xml:space="preserve"> change by all employees and contractors. Non-compliance with critical controls is a common failure in safety incidents which can lead to loss of life, workplace injuries and safety-related stoppages, all of which immediately impact production and in the long term, threaten our license to operate. As a consequence, we could face civil or criminal fines and penalties, liability to employees and third parties for injury illness, or death, statutory liability for environmental remediation, mandatory operational changes and other financial consequences, which may be significant. We are currently subject to ongoing litigation relating to some of these areas of risk and may face additional litigation in the future. In the last few years, local claimants in countries outside Europe and the U.S. have increasingly sought to raise claims arising from local environmental incidents in European (including U.K.) and U.S. courts. Although the success of these attempts remains uncertain, we could face the threat of similar claims.</w:t>
      </w:r>
    </w:p>
    <w:p w14:paraId="6E749BFB" w14:textId="77777777" w:rsidR="00A56AB5" w:rsidRPr="00571974" w:rsidRDefault="003D4D89" w:rsidP="00A56AB5">
      <w:pPr>
        <w:spacing w:after="120"/>
        <w:ind w:firstLine="360"/>
        <w:rPr>
          <w:lang w:val="en-GB"/>
        </w:rPr>
      </w:pPr>
      <w:r w:rsidRPr="00571974">
        <w:rPr>
          <w:lang w:val="en-GB"/>
        </w:rPr>
        <w:t xml:space="preserve">The mining process, including blasting and processing ore bodies, can generate environmental impacts including dust and noise and may require the storage of waste materials (including in liquid form). </w:t>
      </w:r>
      <w:r w:rsidRPr="00571974">
        <w:rPr>
          <w:color w:val="000000"/>
          <w:lang w:val="en-GB"/>
        </w:rPr>
        <w:t>Risk in the form of dust</w:t>
      </w:r>
      <w:r w:rsidRPr="00571974">
        <w:rPr>
          <w:lang w:val="en-GB"/>
        </w:rPr>
        <w:t>, noise or leakage of product or polluting substances from pipelines or site operations or uncontrolled breaches of mine residue facilities such as tailings dams have the potential of generating harm to our employees, communities and the environment near our operations. Potential impacts include fines and penalties, statutory liability for environmental remediation, mandatory operational changes and other financial consequences that may be significant. Governments may force closure of mines on a temporary or permanent basis or refuse future mining right applications.</w:t>
      </w:r>
    </w:p>
    <w:p w14:paraId="0A90F0F6" w14:textId="381951B4" w:rsidR="00A56AB5" w:rsidRPr="00571974" w:rsidRDefault="003D4D89" w:rsidP="00A56AB5">
      <w:pPr>
        <w:spacing w:after="120"/>
        <w:ind w:firstLine="360"/>
        <w:rPr>
          <w:lang w:val="en-GB"/>
        </w:rPr>
      </w:pPr>
      <w:r w:rsidRPr="00571974">
        <w:rPr>
          <w:lang w:val="en-GB"/>
        </w:rPr>
        <w:t>We could also suffer impairment to our reputation, industrial action</w:t>
      </w:r>
      <w:r w:rsidR="00B52D48">
        <w:rPr>
          <w:lang w:val="en-GB"/>
        </w:rPr>
        <w:t>,</w:t>
      </w:r>
      <w:r w:rsidRPr="00571974">
        <w:rPr>
          <w:lang w:val="en-GB"/>
        </w:rPr>
        <w:t xml:space="preserve"> difficulty in recruiting and retaining skilled employees</w:t>
      </w:r>
      <w:r w:rsidR="00B52D48">
        <w:rPr>
          <w:lang w:val="en-GB"/>
        </w:rPr>
        <w:t xml:space="preserve"> </w:t>
      </w:r>
      <w:r w:rsidR="00B52D48" w:rsidRPr="00B52D48">
        <w:rPr>
          <w:lang w:val="en-GB"/>
        </w:rPr>
        <w:t>or a change in buying behaviour away from the products offered by the Group</w:t>
      </w:r>
      <w:r w:rsidRPr="00571974">
        <w:rPr>
          <w:lang w:val="en-GB"/>
        </w:rPr>
        <w:t>. Any future changes in laws, regulations or community expectations governing our operations could result in increased compliance and remediation costs.</w:t>
      </w:r>
    </w:p>
    <w:p w14:paraId="7578BBBF" w14:textId="77777777" w:rsidR="00A56AB5" w:rsidRPr="00571974" w:rsidRDefault="003D4D89" w:rsidP="00A56AB5">
      <w:pPr>
        <w:spacing w:after="120"/>
        <w:ind w:firstLine="360"/>
        <w:rPr>
          <w:lang w:val="en-GB"/>
        </w:rPr>
      </w:pPr>
      <w:r w:rsidRPr="00571974">
        <w:rPr>
          <w:lang w:val="en-GB"/>
        </w:rPr>
        <w:t>Any of the foregoing developments could have a materially adverse effect on our results of operations, cash flows or financial condition.</w:t>
      </w:r>
    </w:p>
    <w:p w14:paraId="33C778F0"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lastRenderedPageBreak/>
        <w:t>Legal and regulatory uncertainty, political and economic instability and social conditions in the countries in which our business operates could adversely affect our business.</w:t>
      </w:r>
    </w:p>
    <w:p w14:paraId="06774E0E" w14:textId="77777777" w:rsidR="00A56AB5" w:rsidRPr="00571974" w:rsidRDefault="003D4D89" w:rsidP="00A56AB5">
      <w:pPr>
        <w:spacing w:after="120"/>
        <w:ind w:firstLine="360"/>
        <w:rPr>
          <w:lang w:val="en-GB"/>
        </w:rPr>
      </w:pPr>
      <w:r w:rsidRPr="00571974">
        <w:rPr>
          <w:lang w:val="en-GB"/>
        </w:rPr>
        <w:t xml:space="preserve">Our business is affected by legal and regulatory uncertainty, political and economic instability and social conditions in the countries and jurisdictions in which we operate. We are exposed to various risks resulting from developments and changes (due to elections or other means) to political or fiscal regimes or other legal or regulatory regimes that may result in restrictions on the export of currency, expropriation of assets, nationalization, political instability, corruption, terrorism, the imposition of royalties or new taxes, failure to effect or renew agreements with host governments and requirements for local ownership or beneficiation. </w:t>
      </w:r>
    </w:p>
    <w:p w14:paraId="29FA31C6" w14:textId="77777777" w:rsidR="00A56AB5" w:rsidRPr="00571974" w:rsidRDefault="003D4D89" w:rsidP="00A56AB5">
      <w:pPr>
        <w:spacing w:after="120"/>
        <w:ind w:firstLine="360"/>
        <w:rPr>
          <w:lang w:val="en-GB"/>
        </w:rPr>
      </w:pPr>
      <w:r w:rsidRPr="00571974">
        <w:rPr>
          <w:lang w:val="en-GB"/>
        </w:rPr>
        <w:t>Political instability can also result in civil unrest or nullification of existing agreements, mining permits or leases which may adversely affect our operations or results of operations. Uncertainty over future business conditions can lead to a lack of confidence in making investment decisions, which can influence future financial performance. We may in the future incur significant costs as a result of changes in the interpretation of existing laws and guidelines or the imposition of new conditions on our mining rights.</w:t>
      </w:r>
    </w:p>
    <w:p w14:paraId="7E5445BA" w14:textId="75F12EC5" w:rsidR="00A56AB5" w:rsidRPr="00571974" w:rsidRDefault="003D4D89" w:rsidP="00A56AB5">
      <w:pPr>
        <w:spacing w:after="120"/>
        <w:ind w:firstLine="360"/>
        <w:rPr>
          <w:lang w:val="en-GB"/>
        </w:rPr>
      </w:pPr>
      <w:r w:rsidRPr="00571974">
        <w:rPr>
          <w:lang w:val="en-GB"/>
        </w:rPr>
        <w:t xml:space="preserve">A new mining charter (referred to as </w:t>
      </w:r>
      <w:r w:rsidR="00A311D8">
        <w:rPr>
          <w:lang w:val="en-GB"/>
        </w:rPr>
        <w:t>“</w:t>
      </w:r>
      <w:r w:rsidRPr="00571974">
        <w:rPr>
          <w:lang w:val="en-GB"/>
        </w:rPr>
        <w:t>MCIII</w:t>
      </w:r>
      <w:r w:rsidR="00A311D8">
        <w:rPr>
          <w:lang w:val="en-GB"/>
        </w:rPr>
        <w:t>”</w:t>
      </w:r>
      <w:r w:rsidRPr="00571974">
        <w:rPr>
          <w:lang w:val="en-GB"/>
        </w:rPr>
        <w:t xml:space="preserve">) was published in the Government Gazette in South Africa on September 27, 2018. Importantly, MCIII purports to introduce new requirements relating to </w:t>
      </w:r>
      <w:r w:rsidRPr="00571974">
        <w:rPr>
          <w:color w:val="000000"/>
          <w:spacing w:val="-1"/>
          <w:lang w:val="en-GB"/>
        </w:rPr>
        <w:t>equity ownership participation requirements for historically disadvantaged South Africans</w:t>
      </w:r>
      <w:r w:rsidRPr="00571974">
        <w:rPr>
          <w:lang w:val="en-GB"/>
        </w:rPr>
        <w:t xml:space="preserve"> in the mining industry, particularly in respect of new mining rights. Owing to the lack of clarity as to the legal status of MCIII, combined with ongoing litigation between the Minerals Council of South Africa (formerly the Chamber of Mines) and the Minister of Mineral Resources and Energy over the legal status and content of MCIII, there is significant uncertainty as to when and how MCIII will impact the Company. For a description of MCIII and its current status, among other related regulatory matters, see </w:t>
      </w:r>
      <w:r w:rsidR="00A311D8">
        <w:rPr>
          <w:lang w:val="en-GB"/>
        </w:rPr>
        <w:t>“</w:t>
      </w:r>
      <w:r w:rsidRPr="00571974">
        <w:rPr>
          <w:lang w:val="en-GB"/>
        </w:rPr>
        <w:t>Regulation—South Africa—The MPRDA and the Mining Charter</w:t>
      </w:r>
      <w:r w:rsidR="00A311D8">
        <w:rPr>
          <w:lang w:val="en-GB"/>
        </w:rPr>
        <w:t>”</w:t>
      </w:r>
      <w:r w:rsidRPr="00571974">
        <w:rPr>
          <w:lang w:val="en-GB"/>
        </w:rPr>
        <w:t>.</w:t>
      </w:r>
    </w:p>
    <w:p w14:paraId="0203F7BF" w14:textId="77777777" w:rsidR="00A56AB5" w:rsidRPr="00571974" w:rsidRDefault="003D4D89" w:rsidP="00A56AB5">
      <w:pPr>
        <w:spacing w:after="120"/>
        <w:ind w:firstLine="360"/>
        <w:rPr>
          <w:lang w:val="en-GB"/>
        </w:rPr>
      </w:pPr>
      <w:r w:rsidRPr="00571974">
        <w:rPr>
          <w:lang w:val="en-GB"/>
        </w:rPr>
        <w:t>Actual or potential developments and changes may undermine investor confidence, which may hamper investment and thereby reduce economic growth, and otherwise may adversely affect the economic or other conditions under which we operate in ways that could have a materially negative effect on our business. Any of these risks may materially and adversely affect our results of operations, cash flows and financial condition or deprive us of the economic benefits of ownership of our assets. Increased costs can also be incurred as a result of additional regulations or resource taxes, while the ability to execute strategic initiatives that reduce costs or divest assets may also be restricted.</w:t>
      </w:r>
    </w:p>
    <w:p w14:paraId="6D440192" w14:textId="426A0FBB" w:rsidR="00A56AB5" w:rsidRPr="00571974" w:rsidRDefault="003D4D89" w:rsidP="00A56AB5">
      <w:pPr>
        <w:keepNext/>
        <w:spacing w:after="240" w:line="180" w:lineRule="atLeast"/>
        <w:ind w:firstLine="357"/>
        <w:jc w:val="both"/>
        <w:outlineLvl w:val="3"/>
        <w:rPr>
          <w:b/>
          <w:i/>
          <w:lang w:val="en-GB"/>
        </w:rPr>
      </w:pPr>
      <w:r w:rsidRPr="00571974">
        <w:rPr>
          <w:b/>
          <w:i/>
          <w:lang w:val="en-GB"/>
        </w:rPr>
        <w:t xml:space="preserve">We may be unable to obtain, renew, amend or extend </w:t>
      </w:r>
      <w:r w:rsidR="00F87E10">
        <w:rPr>
          <w:b/>
          <w:i/>
          <w:lang w:val="en-GB"/>
        </w:rPr>
        <w:t xml:space="preserve">key contracts, </w:t>
      </w:r>
      <w:r w:rsidRPr="00571974">
        <w:rPr>
          <w:b/>
          <w:i/>
          <w:lang w:val="en-GB"/>
        </w:rPr>
        <w:t>required licenses, permits and other authorizations and/or such</w:t>
      </w:r>
      <w:r w:rsidR="00F87E10">
        <w:rPr>
          <w:b/>
          <w:i/>
          <w:lang w:val="en-GB"/>
        </w:rPr>
        <w:t xml:space="preserve"> key contracts,</w:t>
      </w:r>
      <w:r w:rsidRPr="00571974">
        <w:rPr>
          <w:b/>
          <w:i/>
          <w:lang w:val="en-GB"/>
        </w:rPr>
        <w:t xml:space="preserve"> licenses, permits and other authorizations may be suspended, terminated or revoked prior to their expiration.</w:t>
      </w:r>
    </w:p>
    <w:p w14:paraId="64FD3E2B" w14:textId="31C4396B" w:rsidR="00A56AB5" w:rsidRPr="00571974" w:rsidRDefault="003D4D89" w:rsidP="00DA283E">
      <w:pPr>
        <w:spacing w:after="120"/>
        <w:ind w:firstLine="360"/>
        <w:rPr>
          <w:color w:val="000000"/>
          <w:spacing w:val="-1"/>
          <w:lang w:val="en-GB"/>
        </w:rPr>
      </w:pPr>
      <w:r w:rsidRPr="00571974">
        <w:rPr>
          <w:lang w:val="en-GB"/>
        </w:rPr>
        <w:t>We currently conduct, and will in the future be required to conduct, our operations (including prospecting and exploration activities) pursuant to licenses, permits and other authorizations. Any delay and/or refusal by relevant government authorities in the obtaining or renewing of a license, permit or other authorization may require a delay in our investment or development of a resource or our implementation of new technology and innovation</w:t>
      </w:r>
      <w:r w:rsidRPr="00571974">
        <w:rPr>
          <w:color w:val="000000"/>
          <w:spacing w:val="-1"/>
          <w:lang w:val="en-GB"/>
        </w:rPr>
        <w:t xml:space="preserve"> which may adversely affect our production output and revenues </w:t>
      </w:r>
      <w:r w:rsidRPr="00571974">
        <w:rPr>
          <w:lang w:val="en-GB"/>
        </w:rPr>
        <w:t>and may have a material adverse effect on our results of operations, cash flows and financial condition. In addition, our existing licenses, permits and oth</w:t>
      </w:r>
      <w:r w:rsidRPr="00571974">
        <w:rPr>
          <w:color w:val="000000"/>
          <w:spacing w:val="-1"/>
          <w:lang w:val="en-GB"/>
        </w:rPr>
        <w:t>er authorizations may be suspended, terminated or revoked if we fail to comply with the relevant requirements. For example, the operations at, and expansion of, Minas-Rio are dependent on the Group acquiring and maintaining environmental licenses. The Step 3 environmental license for the mine was granted in December 2018 and the Step 3 operational license</w:t>
      </w:r>
      <w:r w:rsidRPr="00571974">
        <w:rPr>
          <w:spacing w:val="-1"/>
          <w:lang w:val="en-GB"/>
        </w:rPr>
        <w:t>s</w:t>
      </w:r>
      <w:r w:rsidRPr="00571974">
        <w:rPr>
          <w:color w:val="000000"/>
          <w:spacing w:val="-1"/>
          <w:lang w:val="en-GB"/>
        </w:rPr>
        <w:t xml:space="preserve"> for the heightening of the tailings dam to level 689 was obtained in December 2019. Further heightening of the tailings dam to level 700 is under way and the Step 3 operational license for that heightening will be sought in early 2021. In light of new rules being implemented in Brazil in response to recent tailings dam breaches, we may encounter </w:t>
      </w:r>
      <w:r w:rsidR="00CC39D4">
        <w:rPr>
          <w:color w:val="000000"/>
          <w:spacing w:val="-1"/>
          <w:lang w:val="en-GB"/>
        </w:rPr>
        <w:t xml:space="preserve">difficulties and </w:t>
      </w:r>
      <w:r w:rsidRPr="00571974">
        <w:rPr>
          <w:color w:val="000000"/>
          <w:spacing w:val="-1"/>
          <w:lang w:val="en-GB"/>
        </w:rPr>
        <w:t>consequential delays in obtaining the relevant license for the heightening of the tailings dam.</w:t>
      </w:r>
    </w:p>
    <w:p w14:paraId="530F1FD4" w14:textId="779D8AA6" w:rsidR="00A56AB5" w:rsidRPr="00571974" w:rsidRDefault="003D4D89" w:rsidP="00A56AB5">
      <w:pPr>
        <w:spacing w:after="120"/>
        <w:ind w:firstLine="360"/>
        <w:rPr>
          <w:color w:val="000000"/>
          <w:spacing w:val="-1"/>
          <w:lang w:val="en-GB"/>
        </w:rPr>
      </w:pPr>
      <w:bookmarkStart w:id="40" w:name="_Hlk2590420"/>
      <w:r w:rsidRPr="00571974">
        <w:rPr>
          <w:color w:val="000000"/>
          <w:spacing w:val="-1"/>
          <w:lang w:val="en-GB"/>
        </w:rPr>
        <w:t xml:space="preserve">In South Africa, if MCIII is implemented, the Group may in the future incur significant costs as a result of the implementation of new equity ownership participation requirements for historically disadvantaged South Africans in relation to applications for new mining rights or for the renewal of existing rights. </w:t>
      </w:r>
      <w:r w:rsidRPr="00571974">
        <w:rPr>
          <w:lang w:val="en-GB"/>
        </w:rPr>
        <w:t xml:space="preserve">For a description of MCIII and its current status, among other related regulatory matters, see </w:t>
      </w:r>
      <w:r w:rsidR="00A311D8">
        <w:rPr>
          <w:lang w:val="en-GB"/>
        </w:rPr>
        <w:t>“</w:t>
      </w:r>
      <w:r w:rsidRPr="00571974">
        <w:rPr>
          <w:lang w:val="en-GB"/>
        </w:rPr>
        <w:t>Regulation—South Africa—The MPRDA and the Mining Charter</w:t>
      </w:r>
      <w:r w:rsidR="00A311D8">
        <w:rPr>
          <w:lang w:val="en-GB"/>
        </w:rPr>
        <w:t>”</w:t>
      </w:r>
      <w:r w:rsidRPr="00571974">
        <w:rPr>
          <w:lang w:val="en-GB"/>
        </w:rPr>
        <w:t>.</w:t>
      </w:r>
      <w:bookmarkEnd w:id="40"/>
    </w:p>
    <w:p w14:paraId="0644F8F0" w14:textId="0CBFFE6E" w:rsidR="00A56AB5" w:rsidRDefault="003D4D89" w:rsidP="00A56AB5">
      <w:pPr>
        <w:keepNext/>
        <w:spacing w:after="240" w:line="180" w:lineRule="atLeast"/>
        <w:ind w:firstLine="357"/>
        <w:jc w:val="both"/>
        <w:outlineLvl w:val="3"/>
        <w:rPr>
          <w:color w:val="000000"/>
          <w:spacing w:val="-1"/>
          <w:lang w:val="en-GB"/>
        </w:rPr>
      </w:pPr>
      <w:r w:rsidRPr="00571974">
        <w:rPr>
          <w:color w:val="000000"/>
          <w:spacing w:val="-1"/>
          <w:lang w:val="en-GB"/>
        </w:rPr>
        <w:t xml:space="preserve">In all of the jurisdictions in which we operate mines, should we fail to fulfill the specific terms of any of our licenses, permits and other authorizations or if we operate our business in a manner that violates applicable law, regulators may impose fines or suspend or terminate the license, permit or other authorization, any of which could have </w:t>
      </w:r>
      <w:r w:rsidRPr="00571974">
        <w:rPr>
          <w:color w:val="000000"/>
          <w:spacing w:val="-1"/>
          <w:lang w:val="en-GB"/>
        </w:rPr>
        <w:lastRenderedPageBreak/>
        <w:t xml:space="preserve">a material adverse effect on our results of operations, cash flows and financial condition. </w:t>
      </w:r>
    </w:p>
    <w:p w14:paraId="3C906747" w14:textId="109146B0" w:rsidR="00F87E10" w:rsidRPr="00571974" w:rsidRDefault="00F87E10" w:rsidP="00A56AB5">
      <w:pPr>
        <w:keepNext/>
        <w:spacing w:after="240" w:line="180" w:lineRule="atLeast"/>
        <w:ind w:firstLine="357"/>
        <w:jc w:val="both"/>
        <w:outlineLvl w:val="3"/>
        <w:rPr>
          <w:color w:val="000000"/>
          <w:spacing w:val="-1"/>
          <w:lang w:val="en-GB"/>
        </w:rPr>
      </w:pPr>
      <w:r w:rsidRPr="00F87E10">
        <w:rPr>
          <w:color w:val="000000"/>
          <w:spacing w:val="-1"/>
          <w:lang w:val="en-GB"/>
        </w:rPr>
        <w:t>In Botswana, the diamond sales agreement for the sale of the majority of Debswana</w:t>
      </w:r>
      <w:r w:rsidR="00A311D8">
        <w:rPr>
          <w:color w:val="000000"/>
          <w:spacing w:val="-1"/>
          <w:lang w:val="en-GB"/>
        </w:rPr>
        <w:t>’</w:t>
      </w:r>
      <w:r w:rsidRPr="00F87E10">
        <w:rPr>
          <w:color w:val="000000"/>
          <w:spacing w:val="-1"/>
          <w:lang w:val="en-GB"/>
        </w:rPr>
        <w:t xml:space="preserve">s production to De Beers </w:t>
      </w:r>
      <w:r w:rsidR="00574FF3">
        <w:rPr>
          <w:color w:val="000000"/>
          <w:spacing w:val="-1"/>
          <w:lang w:val="en-GB"/>
        </w:rPr>
        <w:t>expires</w:t>
      </w:r>
      <w:r w:rsidRPr="00F87E10">
        <w:rPr>
          <w:color w:val="000000"/>
          <w:spacing w:val="-1"/>
          <w:lang w:val="en-GB"/>
        </w:rPr>
        <w:t xml:space="preserve"> in December 2020. A new sales agreement is currently being negotiated between the Government of the Republic of Botswana and De Beers. Failure to renew the sales agreement could materially and adversely affect the Group</w:t>
      </w:r>
      <w:r w:rsidR="00A311D8">
        <w:rPr>
          <w:color w:val="000000"/>
          <w:spacing w:val="-1"/>
          <w:lang w:val="en-GB"/>
        </w:rPr>
        <w:t>’</w:t>
      </w:r>
      <w:r w:rsidRPr="00F87E10">
        <w:rPr>
          <w:color w:val="000000"/>
          <w:spacing w:val="-1"/>
          <w:lang w:val="en-GB"/>
        </w:rPr>
        <w:t>s results of operations, cash flows, financial condition and prospects, although De Beers</w:t>
      </w:r>
      <w:r w:rsidR="00A311D8">
        <w:rPr>
          <w:color w:val="000000"/>
          <w:spacing w:val="-1"/>
          <w:lang w:val="en-GB"/>
        </w:rPr>
        <w:t>’</w:t>
      </w:r>
      <w:r w:rsidRPr="00F87E10">
        <w:rPr>
          <w:color w:val="000000"/>
          <w:spacing w:val="-1"/>
          <w:lang w:val="en-GB"/>
        </w:rPr>
        <w:t xml:space="preserve"> interests in Debswana and its production would continue pursuant to the Debswana joint venture arrangements.</w:t>
      </w:r>
    </w:p>
    <w:p w14:paraId="1F0EB867" w14:textId="1B74451B" w:rsidR="00A56AB5" w:rsidRPr="00571974" w:rsidRDefault="003D4D89" w:rsidP="00A56AB5">
      <w:pPr>
        <w:keepNext/>
        <w:spacing w:after="240" w:line="180" w:lineRule="atLeast"/>
        <w:ind w:firstLine="357"/>
        <w:jc w:val="both"/>
        <w:outlineLvl w:val="3"/>
        <w:rPr>
          <w:b/>
          <w:i/>
          <w:lang w:val="en-GB"/>
        </w:rPr>
      </w:pPr>
      <w:r w:rsidRPr="00571974">
        <w:rPr>
          <w:b/>
          <w:i/>
          <w:lang w:val="en-GB"/>
        </w:rPr>
        <w:t>Failure to prevent acts of fraud, bribery, corruption or anti</w:t>
      </w:r>
      <w:r w:rsidRPr="00571974">
        <w:rPr>
          <w:b/>
          <w:i/>
          <w:lang w:val="en-GB"/>
        </w:rPr>
        <w:noBreakHyphen/>
        <w:t xml:space="preserve">competitive </w:t>
      </w:r>
      <w:r w:rsidR="00571974" w:rsidRPr="00571974">
        <w:rPr>
          <w:b/>
          <w:i/>
          <w:lang w:val="en-GB"/>
        </w:rPr>
        <w:t>behavior</w:t>
      </w:r>
      <w:r w:rsidRPr="00571974">
        <w:rPr>
          <w:b/>
          <w:i/>
          <w:lang w:val="en-GB"/>
        </w:rPr>
        <w:t xml:space="preserve"> could adversely affect our business.</w:t>
      </w:r>
    </w:p>
    <w:p w14:paraId="12C4F726" w14:textId="4DFBA418" w:rsidR="00A56AB5" w:rsidRPr="00571974" w:rsidRDefault="003D4D89" w:rsidP="00A56AB5">
      <w:pPr>
        <w:spacing w:after="120"/>
        <w:ind w:firstLine="360"/>
        <w:rPr>
          <w:lang w:val="en-GB"/>
        </w:rPr>
      </w:pPr>
      <w:r w:rsidRPr="00571974">
        <w:rPr>
          <w:lang w:val="en-GB"/>
        </w:rPr>
        <w:t>Potential impacts of violations of laws governing fraud, bribery, corruption, money laundering and trade sanctions or anti</w:t>
      </w:r>
      <w:r w:rsidRPr="00571974">
        <w:rPr>
          <w:lang w:val="en-GB"/>
        </w:rPr>
        <w:noBreakHyphen/>
        <w:t xml:space="preserve">competitive </w:t>
      </w:r>
      <w:r w:rsidR="00571974" w:rsidRPr="00571974">
        <w:rPr>
          <w:lang w:val="en-GB"/>
        </w:rPr>
        <w:t>behavior</w:t>
      </w:r>
      <w:r w:rsidRPr="00571974">
        <w:rPr>
          <w:lang w:val="en-GB"/>
        </w:rPr>
        <w:t xml:space="preserve"> include prosecution, fines, penalties and reputational damage. We may suffer financial loss if we are the victim of a fraudulent act. As indicated by indices prepared by independent non</w:t>
      </w:r>
      <w:r w:rsidRPr="00571974">
        <w:rPr>
          <w:lang w:val="en-GB"/>
        </w:rPr>
        <w:noBreakHyphen/>
        <w:t>governmental organizations, we operate in certain countries where the risk of corruption is high, and certain industries in which we operate have in the past faced prosecution for anti</w:t>
      </w:r>
      <w:r w:rsidRPr="00571974">
        <w:rPr>
          <w:lang w:val="en-GB"/>
        </w:rPr>
        <w:noBreakHyphen/>
        <w:t xml:space="preserve">competitive </w:t>
      </w:r>
      <w:r w:rsidR="00571974" w:rsidRPr="00571974">
        <w:rPr>
          <w:lang w:val="en-GB"/>
        </w:rPr>
        <w:t>behavior</w:t>
      </w:r>
      <w:r w:rsidRPr="00571974">
        <w:rPr>
          <w:lang w:val="en-GB"/>
        </w:rPr>
        <w:t>.</w:t>
      </w:r>
    </w:p>
    <w:p w14:paraId="294A3B55"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We are subject to risks associated with litigation and regulatory proceedings.</w:t>
      </w:r>
    </w:p>
    <w:p w14:paraId="1FD2ED25" w14:textId="4241CDE4" w:rsidR="00A56AB5" w:rsidRPr="00571974" w:rsidRDefault="003D4D89" w:rsidP="00A56AB5">
      <w:pPr>
        <w:spacing w:after="120"/>
        <w:ind w:firstLine="360"/>
        <w:rPr>
          <w:lang w:val="en-GB"/>
        </w:rPr>
      </w:pPr>
      <w:r w:rsidRPr="00571974">
        <w:rPr>
          <w:lang w:val="en-GB"/>
        </w:rPr>
        <w:t xml:space="preserve">As with most large corporations, we are involved from time to time as a party to various lawsuits, arbitrations, regulatory proceedings, investigations or other disputes. Litigation, arbitration and other such legal proceedings or investigations involve inherent uncertainties and, as a result, we face risks associated with adverse judgments or outcomes in these matters. Among other matters, regulatory proceedings or litigation could occur in relation to matters such as data breaches (including personal or sensitive data under relevant data protection legislation) or allegations of discrimination or harassment.  Even in cases where we may ultimately prevail on the merits of any dispute, we may face significant costs defending our rights, lose certain rights or benefits during the pendency of any proceeding or suffer reputational damage as a result of our involvement. We are currently engaged in a number of legal and regulatory proceedings and arbitrations in various jurisdictions including the silicosis litigation described under </w:t>
      </w:r>
      <w:r w:rsidR="00A311D8">
        <w:rPr>
          <w:lang w:val="en-GB"/>
        </w:rPr>
        <w:t>“</w:t>
      </w:r>
      <w:r w:rsidRPr="00571974">
        <w:rPr>
          <w:lang w:val="en-GB"/>
        </w:rPr>
        <w:t>General Information—Litigation</w:t>
      </w:r>
      <w:r w:rsidR="00A311D8">
        <w:rPr>
          <w:lang w:val="en-GB"/>
        </w:rPr>
        <w:t>”</w:t>
      </w:r>
      <w:r w:rsidRPr="00571974">
        <w:rPr>
          <w:lang w:val="en-GB"/>
        </w:rPr>
        <w:t>.</w:t>
      </w:r>
    </w:p>
    <w:p w14:paraId="79E05FEE" w14:textId="7610FB9B" w:rsidR="00A56AB5" w:rsidRPr="00571974" w:rsidRDefault="00A56AB5" w:rsidP="00A56AB5">
      <w:pPr>
        <w:spacing w:after="120"/>
        <w:ind w:firstLine="360"/>
        <w:rPr>
          <w:lang w:val="en-GB"/>
        </w:rPr>
      </w:pPr>
      <w:r w:rsidRPr="00571974">
        <w:rPr>
          <w:lang w:val="en-GB"/>
        </w:rPr>
        <w:t>There can be no assurance as to the outcome of any litigation, arbitration or other legal proceeding or investigation, and the adverse determination of material litigation could have a materially adverse effect on our business, operational results, cash flows and financial condition.</w:t>
      </w:r>
    </w:p>
    <w:p w14:paraId="2FCD3635"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business is exposed to certain tax risks</w:t>
      </w:r>
    </w:p>
    <w:p w14:paraId="6EA555C2" w14:textId="41F59025" w:rsidR="00A56AB5" w:rsidRPr="00571974" w:rsidRDefault="003D4D89" w:rsidP="00A56AB5">
      <w:pPr>
        <w:spacing w:after="120"/>
        <w:ind w:firstLine="360"/>
        <w:rPr>
          <w:b/>
          <w:lang w:val="en-GB"/>
        </w:rPr>
      </w:pPr>
      <w:r w:rsidRPr="00571974">
        <w:rPr>
          <w:lang w:val="en-GB"/>
        </w:rPr>
        <w:t>We are subject to corporate and other tax laws, rules and regulations in the jurisdictions in which we operate. Changes in tax rates, tax relief and tax laws, rules and regulations, changes in practice or interpretation or inconsistent enforcement of the law by the relevant tax authorities, increasing challenges by relevant tax authorities, or any failure to manage tax risks adequately could result in increased charges, financial loss, penalties and reputational damage, which may have a negative impact on the Group</w:t>
      </w:r>
      <w:r w:rsidR="00A311D8">
        <w:rPr>
          <w:lang w:val="en-GB"/>
        </w:rPr>
        <w:t>’</w:t>
      </w:r>
      <w:r w:rsidRPr="00571974">
        <w:rPr>
          <w:lang w:val="en-GB"/>
        </w:rPr>
        <w:t>s results or financial condition. In addition, tax enforcement has become a higher priority for many tax authorities in jurisdictions in which we operate, which has led to an increase in tax audits, enquiries and challenges, or the testing through litigation of the boundaries of the correct interpretation of legislation. Tax authorities may also actively pursue additional taxes based on retroactive changes to tax laws and we may have disagreements with tax authorities which could result in a material restatement to the tax position.</w:t>
      </w:r>
    </w:p>
    <w:p w14:paraId="57D7F0C1" w14:textId="77777777" w:rsidR="00A56AB5" w:rsidRPr="00571974" w:rsidRDefault="003D4D89" w:rsidP="00A56AB5">
      <w:pPr>
        <w:spacing w:after="120"/>
        <w:ind w:firstLine="360"/>
        <w:rPr>
          <w:lang w:val="en-GB"/>
        </w:rPr>
      </w:pPr>
      <w:r w:rsidRPr="00571974">
        <w:rPr>
          <w:lang w:val="en-GB"/>
        </w:rPr>
        <w:t>We have been and will continue to be subject to the risk of adverse or aggressive interpretations of tax laws or regulations or the imposition of arbitrary or onerous taxes, interest charges and penalties. The Organization for Economic Co-operation and Development and other government agencies in jurisdictions in which we operate have increasingly focused on issues related to the taxation of multinational corporations, including base erosion and profit shifting. We could also be exposed to significant fines and penalties and to enforcement measures, including, but not limited to, tax assessments, despite our best efforts at compliance. In response to tax assessments or similar tax deficiency notices in particular jurisdictions, we may be required to pay the full amount of the tax assessed (including stated penalties and interest charges) or post security for such amounts notwithstanding that we may contest the assessment and related amounts.</w:t>
      </w:r>
    </w:p>
    <w:p w14:paraId="123C10EE" w14:textId="77777777" w:rsidR="00A56AB5" w:rsidRPr="00571974" w:rsidRDefault="003D4D89" w:rsidP="00A56AB5">
      <w:pPr>
        <w:keepNext/>
        <w:spacing w:after="240" w:line="246" w:lineRule="atLeast"/>
        <w:outlineLvl w:val="1"/>
        <w:rPr>
          <w:rFonts w:ascii="Times New Roman Bold" w:eastAsia="SimSun" w:hAnsi="Times New Roman Bold"/>
          <w:b/>
          <w:bCs/>
          <w:smallCaps/>
          <w:szCs w:val="26"/>
          <w:lang w:val="en-GB"/>
        </w:rPr>
      </w:pPr>
      <w:r w:rsidRPr="00571974">
        <w:rPr>
          <w:rFonts w:ascii="Times New Roman Bold" w:eastAsia="SimSun" w:hAnsi="Times New Roman Bold"/>
          <w:b/>
          <w:bCs/>
          <w:smallCaps/>
          <w:szCs w:val="26"/>
          <w:lang w:val="en-GB"/>
        </w:rPr>
        <w:t>Environmental, Social and Governance Risks</w:t>
      </w:r>
    </w:p>
    <w:p w14:paraId="51873252" w14:textId="56A4CBFF" w:rsidR="00775A41" w:rsidRDefault="00775A41" w:rsidP="007B1404">
      <w:pPr>
        <w:keepNext/>
        <w:spacing w:after="240" w:line="180" w:lineRule="atLeast"/>
        <w:ind w:firstLine="426"/>
        <w:jc w:val="both"/>
        <w:rPr>
          <w:b/>
          <w:bCs/>
          <w:i/>
          <w:iCs/>
          <w:szCs w:val="20"/>
          <w:lang w:val="en-GB" w:eastAsia="en-GB" w:bidi="ar-SA"/>
        </w:rPr>
      </w:pPr>
      <w:r>
        <w:rPr>
          <w:b/>
          <w:bCs/>
          <w:i/>
          <w:iCs/>
        </w:rPr>
        <w:t>Failure to manage relationships with local communities, government and non</w:t>
      </w:r>
      <w:r>
        <w:rPr>
          <w:b/>
          <w:bCs/>
          <w:i/>
          <w:iCs/>
        </w:rPr>
        <w:noBreakHyphen/>
        <w:t>governmental organizations or recogniz</w:t>
      </w:r>
      <w:r w:rsidRPr="007C3280">
        <w:rPr>
          <w:b/>
          <w:bCs/>
          <w:i/>
          <w:iCs/>
        </w:rPr>
        <w:t>e</w:t>
      </w:r>
      <w:r w:rsidRPr="007C3280">
        <w:rPr>
          <w:b/>
          <w:bCs/>
          <w:i/>
          <w:iCs/>
          <w:u w:val="single"/>
        </w:rPr>
        <w:t>,</w:t>
      </w:r>
      <w:r w:rsidRPr="007C3280">
        <w:rPr>
          <w:b/>
          <w:bCs/>
          <w:i/>
          <w:iCs/>
        </w:rPr>
        <w:t xml:space="preserve"> </w:t>
      </w:r>
      <w:r>
        <w:rPr>
          <w:b/>
          <w:bCs/>
          <w:i/>
          <w:iCs/>
        </w:rPr>
        <w:t xml:space="preserve">respond </w:t>
      </w:r>
      <w:r w:rsidRPr="008151C7">
        <w:rPr>
          <w:b/>
          <w:bCs/>
          <w:i/>
          <w:iCs/>
        </w:rPr>
        <w:t xml:space="preserve">and align </w:t>
      </w:r>
      <w:r>
        <w:rPr>
          <w:b/>
          <w:bCs/>
          <w:i/>
          <w:iCs/>
        </w:rPr>
        <w:t xml:space="preserve">to </w:t>
      </w:r>
      <w:r w:rsidRPr="008151C7">
        <w:rPr>
          <w:b/>
          <w:bCs/>
          <w:i/>
          <w:iCs/>
        </w:rPr>
        <w:t>evolving stakeholder requirements and</w:t>
      </w:r>
      <w:r>
        <w:rPr>
          <w:b/>
          <w:bCs/>
          <w:i/>
          <w:iCs/>
          <w:u w:val="single"/>
        </w:rPr>
        <w:t xml:space="preserve"> </w:t>
      </w:r>
      <w:r>
        <w:rPr>
          <w:b/>
          <w:bCs/>
          <w:i/>
          <w:iCs/>
        </w:rPr>
        <w:t xml:space="preserve">expectations could adversely affect our </w:t>
      </w:r>
      <w:r>
        <w:rPr>
          <w:b/>
          <w:bCs/>
          <w:i/>
          <w:iCs/>
        </w:rPr>
        <w:lastRenderedPageBreak/>
        <w:t>future growth potential.</w:t>
      </w:r>
    </w:p>
    <w:p w14:paraId="4AA24A42" w14:textId="77777777" w:rsidR="00775A41" w:rsidRDefault="00775A41" w:rsidP="008151C7">
      <w:pPr>
        <w:spacing w:after="120"/>
        <w:ind w:firstLine="426"/>
        <w:rPr>
          <w:rFonts w:ascii="Calibri" w:hAnsi="Calibri" w:cs="Calibri"/>
          <w:sz w:val="22"/>
          <w:lang w:eastAsia="en-US"/>
        </w:rPr>
      </w:pPr>
      <w:r>
        <w:t>We operate in several countries where ownership of rights in respect of land and resources is uncertain and where disputes in relation to ownership or other community matters may arise. These disputes are not always predictable and may cause disruption to projects or operations. Our operations can also have an impact on local communities, including the need, from time to time, to relocate communities or infrastructure networks such as railways and utility services. Implementation of new technologies may have implications for employment or prospects for future employment in local communities. Failure to manage relationships with local communities, government and non</w:t>
      </w:r>
      <w:r>
        <w:noBreakHyphen/>
        <w:t>governmental organizations may negatively affect our reputation, as well as our ability to bring projects into production, which could in turn adversely affect our revenues, results of operations and cash flows, potentially in a material manner.</w:t>
      </w:r>
    </w:p>
    <w:p w14:paraId="4F0790FB" w14:textId="31A0144B" w:rsidR="00775A41" w:rsidRDefault="00775A41" w:rsidP="008151C7">
      <w:pPr>
        <w:spacing w:after="120"/>
        <w:ind w:firstLine="357"/>
      </w:pPr>
      <w:r>
        <w:t>Failure to recognize</w:t>
      </w:r>
      <w:r w:rsidRPr="008151C7">
        <w:t>,</w:t>
      </w:r>
      <w:r>
        <w:t xml:space="preserve"> respond </w:t>
      </w:r>
      <w:r w:rsidRPr="008151C7">
        <w:t>and align</w:t>
      </w:r>
      <w:r>
        <w:t xml:space="preserve"> to changing stakeholder expectations and </w:t>
      </w:r>
      <w:r w:rsidRPr="008151C7">
        <w:t>requirements</w:t>
      </w:r>
      <w:r>
        <w:t xml:space="preserve"> regarding issues such as environment, </w:t>
      </w:r>
      <w:r w:rsidRPr="008151C7">
        <w:t xml:space="preserve">social and governance (ESG) </w:t>
      </w:r>
      <w:r>
        <w:t>matters</w:t>
      </w:r>
      <w:r w:rsidRPr="008151C7">
        <w:t>, particularly linked to climate change, fossil fuels and carbon emissions,</w:t>
      </w:r>
      <w:r>
        <w:t xml:space="preserve"> could affect our growth opportunities and our future revenues and cash flows. </w:t>
      </w:r>
      <w:r w:rsidRPr="008151C7">
        <w:t xml:space="preserve">Stakeholder requirements and expectations continue to evolve, and different stakeholder groups can have opposing requirements and expectations of </w:t>
      </w:r>
      <w:r w:rsidR="00D35C95" w:rsidRPr="008151C7">
        <w:t>us</w:t>
      </w:r>
      <w:r w:rsidRPr="008151C7">
        <w:t>. For example, an increasing number of financial stakeholders are adopting stricter investment criteria with regards to fossil fuels and carbon emissions. This is having a growing impact on industries that are major producers, and users, of fossil fuels and which are major emitters of CO2 and other greenhouse gases. Yet such industries, particularly in poor and developing countries, are often a significant development player, contributing to such countries</w:t>
      </w:r>
      <w:r w:rsidR="00A311D8">
        <w:t>’</w:t>
      </w:r>
      <w:r w:rsidRPr="008151C7">
        <w:t xml:space="preserve"> economic progress, providing employment, along with earnings and foreign exchange. Failure to balance opposing stakeholder expectations adequately could lead to potential loss of investor confidence in the Group.</w:t>
      </w:r>
    </w:p>
    <w:p w14:paraId="0DEC23BE"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Climate change as well as existing and proposed legislation and regulations on greenhouse gas emissions may adversely affect certain of our operations.</w:t>
      </w:r>
    </w:p>
    <w:p w14:paraId="3723EE37" w14:textId="05086093" w:rsidR="00A56AB5" w:rsidRPr="00571974" w:rsidRDefault="003D4D89" w:rsidP="00A56AB5">
      <w:pPr>
        <w:spacing w:after="120"/>
        <w:ind w:firstLine="360"/>
        <w:rPr>
          <w:lang w:val="en-GB"/>
        </w:rPr>
      </w:pPr>
      <w:r w:rsidRPr="00571974">
        <w:rPr>
          <w:lang w:val="en-GB"/>
        </w:rPr>
        <w:t>Anglo American is a significant user of energy and is also a major coal producer and exporter. Our operations are exposed to changes in climate and the need to comply with changes in the regulatory environment aimed at reducing the effect of climate change. Various measures aimed at reducing greenhouse gas emissions and improving energy efficiency may affect our operations and customer demand for our products over time. Policy developments at an international, regional, national and sub</w:t>
      </w:r>
      <w:r w:rsidRPr="00571974">
        <w:rPr>
          <w:lang w:val="en-GB"/>
        </w:rPr>
        <w:noBreakHyphen/>
        <w:t>national level and emissions trading systems, such as the Emissions Trading System of the European Union, have implications on the profitability of our business where our greenhouse gas</w:t>
      </w:r>
      <w:r w:rsidRPr="00571974">
        <w:rPr>
          <w:lang w:val="en-GB"/>
        </w:rPr>
        <w:noBreakHyphen/>
        <w:t>intensive and energy</w:t>
      </w:r>
      <w:r w:rsidRPr="00571974">
        <w:rPr>
          <w:lang w:val="en-GB"/>
        </w:rPr>
        <w:noBreakHyphen/>
        <w:t xml:space="preserve">intensive assets are concerned. </w:t>
      </w:r>
    </w:p>
    <w:p w14:paraId="787684AD" w14:textId="3C4E33F8" w:rsidR="00A56AB5" w:rsidRPr="00571974" w:rsidRDefault="003D4D89" w:rsidP="00A56AB5">
      <w:pPr>
        <w:spacing w:after="120"/>
        <w:ind w:firstLine="360"/>
        <w:rPr>
          <w:lang w:val="en-GB"/>
        </w:rPr>
      </w:pPr>
      <w:r w:rsidRPr="00571974">
        <w:rPr>
          <w:lang w:val="en-GB"/>
        </w:rPr>
        <w:t>Potential impacts from climate change for our assets depend on the circumstances at individual sites, but increased rainfall, flooding, water shortages</w:t>
      </w:r>
      <w:r w:rsidR="00775A41">
        <w:rPr>
          <w:lang w:val="en-GB"/>
        </w:rPr>
        <w:t>, fires</w:t>
      </w:r>
      <w:r w:rsidRPr="00571974">
        <w:rPr>
          <w:lang w:val="en-GB"/>
        </w:rPr>
        <w:t xml:space="preserve"> and higher average temperatures may increase costs, reduce production levels or impact the results of operations.</w:t>
      </w:r>
    </w:p>
    <w:p w14:paraId="75CCD2BC"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We face certain risks from the high infection rates of HIV/AIDS that may adversely affect our business and the communities in which we operate.</w:t>
      </w:r>
    </w:p>
    <w:p w14:paraId="4DBD7A18" w14:textId="77777777" w:rsidR="00A56AB5" w:rsidRPr="00571974" w:rsidRDefault="003D4D89" w:rsidP="00A56AB5">
      <w:pPr>
        <w:spacing w:after="120"/>
        <w:ind w:firstLine="360"/>
        <w:rPr>
          <w:lang w:val="en-GB"/>
        </w:rPr>
      </w:pPr>
      <w:r w:rsidRPr="00571974">
        <w:rPr>
          <w:lang w:val="en-GB"/>
        </w:rPr>
        <w:t>We recognize that the HIV/AIDS epidemic in sub-Saharan Africa is a significant threat to economic growth and development in that region and affects our business. In addition to the costs associated with the provision of anti-retroviral therapy to employees and their dependents and occupational health services (both of which will increase if the incidence of HIV/AIDS spreads), there is a risk that the recruitment and retention of the skilled personnel needed to maintain and grow our business in southern Africa (and other regions where HIV/AIDS is a major social issue) will be impacted. If this occurs, our business would be adversely affected.</w:t>
      </w:r>
    </w:p>
    <w:p w14:paraId="7901D809"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Investor activism may result in an inability to execute our strategy should investors seek to influence management to take an alternative direction.</w:t>
      </w:r>
    </w:p>
    <w:p w14:paraId="56C9D1FF" w14:textId="7F0CE87C" w:rsidR="00A56AB5" w:rsidRPr="00571974" w:rsidRDefault="003D4D89" w:rsidP="00A56AB5">
      <w:pPr>
        <w:spacing w:after="120"/>
        <w:ind w:firstLine="360"/>
        <w:rPr>
          <w:lang w:val="en-GB"/>
        </w:rPr>
      </w:pPr>
      <w:r w:rsidRPr="00571974">
        <w:rPr>
          <w:lang w:val="en-GB"/>
        </w:rPr>
        <w:t>Any larger, influential shareholder, or shareholders, may exert pressure on management to take a direction they assert is more conducive to realizing higher returns.  This pressure may include the Group</w:t>
      </w:r>
      <w:r w:rsidR="00A311D8">
        <w:rPr>
          <w:lang w:val="en-GB"/>
        </w:rPr>
        <w:t>’</w:t>
      </w:r>
      <w:r w:rsidRPr="00571974">
        <w:rPr>
          <w:lang w:val="en-GB"/>
        </w:rPr>
        <w:t>s portfolio composition, commodity choices or geographical locations in which the Group operates or plans to operate in, any of which may have an adverse impact on the Group</w:t>
      </w:r>
      <w:r w:rsidR="00A311D8">
        <w:rPr>
          <w:lang w:val="en-GB"/>
        </w:rPr>
        <w:t>’</w:t>
      </w:r>
      <w:r w:rsidRPr="00571974">
        <w:rPr>
          <w:lang w:val="en-GB"/>
        </w:rPr>
        <w:t xml:space="preserve">s results or financial condition.  </w:t>
      </w:r>
    </w:p>
    <w:p w14:paraId="1789FFE0" w14:textId="77777777" w:rsidR="00A56AB5" w:rsidRPr="00571974" w:rsidRDefault="003D4D89" w:rsidP="00A56AB5">
      <w:pPr>
        <w:keepNext/>
        <w:spacing w:after="240" w:line="246" w:lineRule="atLeast"/>
        <w:outlineLvl w:val="1"/>
        <w:rPr>
          <w:rFonts w:ascii="Times New Roman Bold" w:eastAsia="SimSun" w:hAnsi="Times New Roman Bold"/>
          <w:b/>
          <w:bCs/>
          <w:smallCaps/>
          <w:szCs w:val="26"/>
          <w:lang w:val="en-GB"/>
        </w:rPr>
      </w:pPr>
      <w:r w:rsidRPr="00571974">
        <w:rPr>
          <w:rFonts w:ascii="Times New Roman Bold" w:eastAsia="SimSun" w:hAnsi="Times New Roman Bold"/>
          <w:b/>
          <w:bCs/>
          <w:smallCaps/>
          <w:szCs w:val="26"/>
          <w:lang w:val="en-GB"/>
        </w:rPr>
        <w:t>Risks Relating to the Notes</w:t>
      </w:r>
    </w:p>
    <w:p w14:paraId="2429FEDB"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There is no established trading market for the Notes and one may not develop.</w:t>
      </w:r>
    </w:p>
    <w:p w14:paraId="7A22E029" w14:textId="410459C0" w:rsidR="00A56AB5" w:rsidRPr="00571974" w:rsidRDefault="003D4D89" w:rsidP="00A56AB5">
      <w:pPr>
        <w:spacing w:after="120"/>
        <w:ind w:firstLine="360"/>
        <w:rPr>
          <w:lang w:val="en-GB"/>
        </w:rPr>
      </w:pPr>
      <w:r w:rsidRPr="00571974">
        <w:rPr>
          <w:lang w:val="en-GB"/>
        </w:rPr>
        <w:t xml:space="preserve">The Notes will be new securities for which there currently is no established trading market. The Notes have not </w:t>
      </w:r>
      <w:r w:rsidRPr="00571974">
        <w:rPr>
          <w:lang w:val="en-GB"/>
        </w:rPr>
        <w:lastRenderedPageBreak/>
        <w:t xml:space="preserve">been and will not be registered under the Securities Act and will be subject to significant restrictions on resale. See </w:t>
      </w:r>
      <w:r w:rsidR="00A311D8">
        <w:rPr>
          <w:lang w:val="en-GB"/>
        </w:rPr>
        <w:t>“</w:t>
      </w:r>
      <w:r w:rsidRPr="00571974">
        <w:rPr>
          <w:lang w:val="en-GB"/>
        </w:rPr>
        <w:t>Transfer Restrictions</w:t>
      </w:r>
      <w:r w:rsidR="00A311D8">
        <w:rPr>
          <w:lang w:val="en-GB"/>
        </w:rPr>
        <w:t>”</w:t>
      </w:r>
      <w:r w:rsidRPr="00571974">
        <w:rPr>
          <w:lang w:val="en-GB"/>
        </w:rPr>
        <w:t>. There can be no assurance regarding the future development of a market for the Notes or the ability of holders of the Notes to sell their Notes or the price at which such holders may be able to sell their Notes. If such a market were to develop, the Notes could trade at prices that may be lower than the initial offering prices depending on many factors, including prevailing interest rates, our operating results and the market for similar securities. Therefore, there can be no assurance as to the liquidity of any trading market for the Notes or that active markets for the Notes will develop. We have made an application for listing the Notes on the Official List and for Admission to trading on the London Stock Exchange</w:t>
      </w:r>
      <w:r w:rsidR="00A311D8">
        <w:rPr>
          <w:lang w:val="en-GB"/>
        </w:rPr>
        <w:t>’</w:t>
      </w:r>
      <w:r w:rsidRPr="00571974">
        <w:rPr>
          <w:lang w:val="en-GB"/>
        </w:rPr>
        <w:t>s Regulated Market. However, our listing and Admission may not be approved or, if approved, may not be maintained.</w:t>
      </w:r>
    </w:p>
    <w:p w14:paraId="26FE8579"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Changes in our credit ratings could adversely affect the value of the Notes.</w:t>
      </w:r>
    </w:p>
    <w:p w14:paraId="0D53411C" w14:textId="7CADBA19" w:rsidR="00A56AB5" w:rsidRPr="00571974" w:rsidRDefault="003D4D89" w:rsidP="00A56AB5">
      <w:pPr>
        <w:spacing w:after="120"/>
        <w:ind w:firstLine="360"/>
        <w:rPr>
          <w:lang w:val="en-GB"/>
        </w:rPr>
      </w:pPr>
      <w:r w:rsidRPr="00571974">
        <w:rPr>
          <w:lang w:val="en-GB"/>
        </w:rPr>
        <w:t>Any of the rating agencies that rate the debt of the Company has the ability to lower the ratings currently assigned to that debt as a result of its views about the Group</w:t>
      </w:r>
      <w:r w:rsidR="00A311D8">
        <w:rPr>
          <w:lang w:val="en-GB"/>
        </w:rPr>
        <w:t>’</w:t>
      </w:r>
      <w:r w:rsidRPr="00571974">
        <w:rPr>
          <w:lang w:val="en-GB"/>
        </w:rPr>
        <w:t>s current or future business, financial condition, results of operations or other matters. Any ratings decline could adversely affect the value of the Notes. In addition, the credit ratings ascribed to the Group and the Notes are intended to reflect our ability to meet our repayment obligations in respect of the Notes and the Guarantees, and may not reflect the potential impact of all risks related to the structure, the market, the Group and other factors on the value of the Notes. A credit rating is not a recommendation to buy, sell or hold securities and may be subject to revision or withdrawal at any time by the assigning rating organization. Each rating should be evaluated independently of any other rating.</w:t>
      </w:r>
    </w:p>
    <w:p w14:paraId="4DF593F5" w14:textId="33512711" w:rsidR="00A56AB5" w:rsidRPr="00571974" w:rsidRDefault="003D4D89" w:rsidP="00A56AB5">
      <w:pPr>
        <w:keepNext/>
        <w:spacing w:after="240" w:line="180" w:lineRule="atLeast"/>
        <w:ind w:firstLine="357"/>
        <w:jc w:val="both"/>
        <w:outlineLvl w:val="3"/>
        <w:rPr>
          <w:b/>
          <w:i/>
          <w:lang w:val="en-GB"/>
        </w:rPr>
      </w:pPr>
      <w:r w:rsidRPr="00571974">
        <w:rPr>
          <w:b/>
          <w:i/>
          <w:lang w:val="en-GB"/>
        </w:rPr>
        <w:t>Proposed Financial Transactions Tax (</w:t>
      </w:r>
      <w:r w:rsidR="00A311D8">
        <w:rPr>
          <w:b/>
          <w:i/>
          <w:lang w:val="en-GB"/>
        </w:rPr>
        <w:t>“</w:t>
      </w:r>
      <w:r w:rsidRPr="00571974">
        <w:rPr>
          <w:b/>
          <w:i/>
          <w:lang w:val="en-GB"/>
        </w:rPr>
        <w:t>FTT</w:t>
      </w:r>
      <w:r w:rsidR="00A311D8">
        <w:rPr>
          <w:b/>
          <w:i/>
          <w:lang w:val="en-GB"/>
        </w:rPr>
        <w:t>”</w:t>
      </w:r>
      <w:r w:rsidRPr="00571974">
        <w:rPr>
          <w:b/>
          <w:i/>
          <w:lang w:val="en-GB"/>
        </w:rPr>
        <w:t>).</w:t>
      </w:r>
    </w:p>
    <w:p w14:paraId="6139EE1A" w14:textId="1736A141" w:rsidR="00A56AB5" w:rsidRPr="00571974" w:rsidRDefault="003D4D89" w:rsidP="00A56AB5">
      <w:pPr>
        <w:spacing w:after="120"/>
        <w:ind w:firstLine="360"/>
        <w:rPr>
          <w:lang w:val="en-GB"/>
        </w:rPr>
      </w:pPr>
      <w:r w:rsidRPr="00571974">
        <w:rPr>
          <w:lang w:val="en-GB"/>
        </w:rPr>
        <w:t xml:space="preserve">On February 14, 2013, the European Commission published a proposed draft for a common FTT in Belgium, Germany, Estonia, Greece, Spain, France, Italy, Austria, Portugal, Slovenia and Slovakia (each, other than Estonia, a </w:t>
      </w:r>
      <w:r w:rsidR="00A311D8">
        <w:rPr>
          <w:lang w:val="en-GB"/>
        </w:rPr>
        <w:t>“</w:t>
      </w:r>
      <w:r w:rsidRPr="00571974">
        <w:rPr>
          <w:lang w:val="en-GB"/>
        </w:rPr>
        <w:t>participating Member State</w:t>
      </w:r>
      <w:r w:rsidR="00A311D8">
        <w:rPr>
          <w:lang w:val="en-GB"/>
        </w:rPr>
        <w:t>”</w:t>
      </w:r>
      <w:r w:rsidRPr="00571974">
        <w:rPr>
          <w:lang w:val="en-GB"/>
        </w:rPr>
        <w:t>).  However, Estonia has since stated that it will not participate.</w:t>
      </w:r>
    </w:p>
    <w:p w14:paraId="06703BF5" w14:textId="77777777" w:rsidR="00A56AB5" w:rsidRPr="00571974" w:rsidRDefault="003D4D89" w:rsidP="00A56AB5">
      <w:pPr>
        <w:spacing w:after="120"/>
        <w:ind w:firstLine="360"/>
        <w:rPr>
          <w:lang w:val="en-GB"/>
        </w:rPr>
      </w:pPr>
      <w:r w:rsidRPr="00571974">
        <w:rPr>
          <w:lang w:val="en-GB"/>
        </w:rPr>
        <w:t>The published draft for a common FTT has very broad scope and could, if introduced in its current form, apply to certain transactions relating to the Notes (including secondary market transactions) in certain circumstances. Primary market transactions referred to in Article 5(c) of Regulation (EC) No. 1287/2006 are expected to be exempt.</w:t>
      </w:r>
    </w:p>
    <w:p w14:paraId="1AB8D7AF" w14:textId="576EEBEE" w:rsidR="00A56AB5" w:rsidRPr="00571974" w:rsidRDefault="003D4D89" w:rsidP="00A56AB5">
      <w:pPr>
        <w:spacing w:after="120"/>
        <w:ind w:firstLine="360"/>
        <w:rPr>
          <w:lang w:val="en-GB"/>
        </w:rPr>
      </w:pPr>
      <w:r w:rsidRPr="00571974">
        <w:rPr>
          <w:lang w:val="en-GB"/>
        </w:rPr>
        <w:t xml:space="preserve">Under current proposals the FTT could apply in certain circumstances to persons both within and outside of the participating Member States. Generally, it would apply to certain transactions relating to the Notes where at least one party is a financial institution (as defined in the FTT), and at least one party is established in a participating Member State. A party may be deemed to be </w:t>
      </w:r>
      <w:r w:rsidR="00A311D8">
        <w:rPr>
          <w:lang w:val="en-GB"/>
        </w:rPr>
        <w:t>“</w:t>
      </w:r>
      <w:r w:rsidRPr="00571974">
        <w:rPr>
          <w:lang w:val="en-GB"/>
        </w:rPr>
        <w:t>established</w:t>
      </w:r>
      <w:r w:rsidR="00A311D8">
        <w:rPr>
          <w:lang w:val="en-GB"/>
        </w:rPr>
        <w:t>”</w:t>
      </w:r>
      <w:r w:rsidRPr="00571974">
        <w:rPr>
          <w:lang w:val="en-GB"/>
        </w:rPr>
        <w:t xml:space="preserve"> in a participating Member State in a broad range of circumstances, including (a) by transacting with a person established in a participating Member State or (b) where the financial instrument which is the subject of the transaction is issued in a participating Member State.</w:t>
      </w:r>
    </w:p>
    <w:p w14:paraId="40371876" w14:textId="5A1AA570" w:rsidR="00A56AB5" w:rsidRPr="00571974" w:rsidRDefault="003D4D89" w:rsidP="00A56AB5">
      <w:pPr>
        <w:spacing w:after="120"/>
        <w:ind w:firstLine="360"/>
        <w:rPr>
          <w:lang w:val="en-GB"/>
        </w:rPr>
      </w:pPr>
      <w:r w:rsidRPr="00571974">
        <w:rPr>
          <w:lang w:val="en-GB"/>
        </w:rPr>
        <w:t>The EU Economic and Financial Affairs Council indicated in a report dated June 14, 2019 that participating Member States are discussing the option of adopting a common FTT based on France</w:t>
      </w:r>
      <w:r w:rsidR="00A311D8">
        <w:rPr>
          <w:lang w:val="en-GB"/>
        </w:rPr>
        <w:t>’</w:t>
      </w:r>
      <w:r w:rsidRPr="00571974">
        <w:rPr>
          <w:lang w:val="en-GB"/>
        </w:rPr>
        <w:t>s domestic model of the financial transaction tax, which would apply initially to certain listed company shares and may therefore not apply to dealings in the Notes. However, no final agreement has been reached yet.</w:t>
      </w:r>
    </w:p>
    <w:p w14:paraId="1CB23013" w14:textId="77777777" w:rsidR="00A56AB5" w:rsidRPr="00571974" w:rsidRDefault="003D4D89" w:rsidP="00A56AB5">
      <w:pPr>
        <w:spacing w:after="120"/>
        <w:ind w:firstLine="360"/>
        <w:rPr>
          <w:lang w:val="en-GB"/>
        </w:rPr>
      </w:pPr>
      <w:r w:rsidRPr="00571974">
        <w:rPr>
          <w:lang w:val="en-GB"/>
        </w:rPr>
        <w:t>The FTT proposal remains subject to negotiation between the participating Member States. It may therefore be altered prior to any implementation, the timing of which remains unclear. Additional EU Member States may decide to participate and/or certain of the participating Member States may decide to withdraw. Prospective holders of the Notes are advised to seek their own professional advice in relation to the FTT.</w:t>
      </w:r>
    </w:p>
    <w:p w14:paraId="7AEB0E22"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Our holding company structure means that the claims of creditors of subsidiaries of the Company will generally have priority over claims on the guarantee obligations.</w:t>
      </w:r>
    </w:p>
    <w:p w14:paraId="268A2843" w14:textId="1802AC29" w:rsidR="00A56AB5" w:rsidRPr="00571974" w:rsidRDefault="00A56AB5" w:rsidP="00A56AB5">
      <w:pPr>
        <w:spacing w:after="120"/>
        <w:ind w:firstLine="360"/>
        <w:rPr>
          <w:lang w:val="en-GB"/>
        </w:rPr>
      </w:pPr>
      <w:r w:rsidRPr="00571974">
        <w:rPr>
          <w:lang w:val="en-GB"/>
        </w:rPr>
        <w:t>Anglo American plc is a holding company and derives the majority of its operating income and cash flow from its subsidiaries. It must rely upon distributions from its subsidiaries to generate funds necessary to meet its obligations, including any payments under the Guarantees. These subsidiaries may not be able to make distributions to Anglo American plc.  Any payment of interest, dividends, distributions, loans or advances by the Company</w:t>
      </w:r>
      <w:r w:rsidR="00A311D8">
        <w:rPr>
          <w:lang w:val="en-GB"/>
        </w:rPr>
        <w:t>’</w:t>
      </w:r>
      <w:r w:rsidRPr="00571974">
        <w:rPr>
          <w:lang w:val="en-GB"/>
        </w:rPr>
        <w:t xml:space="preserve">s subsidiaries could be subject to restrictions on dividends or repatriation of earnings under applicable local law, monetary transfer restrictions and foreign currency exchange regulations in the jurisdictions in which the subsidiaries operate or are incorporated. The obligations of the Issuer under the Notes are unsecured and rank equally in right of payment with all unsecured, unsubordinated obligations of the Issuer. The obligations of Anglo American under the Guarantees are unsecured and rank equally with all unsecured, unsubordinated obligations of Anglo American. These obligations will also be structurally subordinated to the holders of secured and unsecured debt and other creditors of subsidiaries of Anglo American. The Indenture does not place any limitation on the </w:t>
      </w:r>
      <w:r w:rsidRPr="00571974">
        <w:rPr>
          <w:lang w:val="en-GB"/>
        </w:rPr>
        <w:lastRenderedPageBreak/>
        <w:t xml:space="preserve">amount of unsecured debt that may be incurred by us or any of our subsidiaries (including the Issuer). </w:t>
      </w:r>
      <w:r w:rsidR="0094417A" w:rsidRPr="0094417A">
        <w:rPr>
          <w:lang w:val="en-GB"/>
        </w:rPr>
        <w:t>From time to time, the Group opportunistically accesses the debt capital markets, including through iss</w:t>
      </w:r>
      <w:r w:rsidR="0094417A">
        <w:rPr>
          <w:lang w:val="en-GB"/>
        </w:rPr>
        <w:t xml:space="preserve">uances under its EMTN program. </w:t>
      </w:r>
      <w:r w:rsidR="0094417A" w:rsidRPr="0094417A">
        <w:rPr>
          <w:lang w:val="en-GB"/>
        </w:rPr>
        <w:t>The Group may seek to raise additional debt financing in the future, subject to market conditions.</w:t>
      </w:r>
      <w:r w:rsidR="0094417A">
        <w:rPr>
          <w:lang w:val="en-GB"/>
        </w:rPr>
        <w:t xml:space="preserve"> </w:t>
      </w:r>
      <w:r w:rsidRPr="00571974">
        <w:rPr>
          <w:lang w:val="en-GB"/>
        </w:rPr>
        <w:t>As of December 31, 201</w:t>
      </w:r>
      <w:r w:rsidR="00D45A8C">
        <w:rPr>
          <w:lang w:val="en-GB"/>
        </w:rPr>
        <w:t>9</w:t>
      </w:r>
      <w:r w:rsidRPr="00571974">
        <w:rPr>
          <w:lang w:val="en-GB"/>
        </w:rPr>
        <w:t>, a small proportion of our debt was outstanding at our subsidiaries and joint ventures (on a proportional basis), to which the notes would be structurally subordinated.</w:t>
      </w:r>
    </w:p>
    <w:p w14:paraId="1D375A33" w14:textId="3497569F" w:rsidR="00A56AB5" w:rsidRPr="00571974" w:rsidRDefault="00A56AB5" w:rsidP="00A56AB5">
      <w:pPr>
        <w:keepNext/>
        <w:spacing w:after="240" w:line="180" w:lineRule="atLeast"/>
        <w:ind w:firstLine="357"/>
        <w:jc w:val="both"/>
        <w:outlineLvl w:val="3"/>
        <w:rPr>
          <w:b/>
          <w:i/>
          <w:lang w:val="en-GB"/>
        </w:rPr>
      </w:pPr>
      <w:r w:rsidRPr="00571974">
        <w:rPr>
          <w:b/>
          <w:i/>
          <w:lang w:val="en-GB"/>
        </w:rPr>
        <w:t>The Issuer is a finance vehicle, with no independent business operations.</w:t>
      </w:r>
    </w:p>
    <w:p w14:paraId="6F8C116B" w14:textId="77777777" w:rsidR="00A56AB5" w:rsidRPr="00571974" w:rsidRDefault="003D4D89" w:rsidP="00A56AB5">
      <w:pPr>
        <w:spacing w:after="120"/>
        <w:ind w:firstLine="360"/>
        <w:rPr>
          <w:lang w:val="en-GB"/>
        </w:rPr>
      </w:pPr>
      <w:r w:rsidRPr="00571974">
        <w:rPr>
          <w:lang w:val="en-GB"/>
        </w:rPr>
        <w:t>Anglo American Capital plc is a finance vehicle, the primary business of which is the raising of money for the purpose of on</w:t>
      </w:r>
      <w:r w:rsidRPr="00571974">
        <w:rPr>
          <w:lang w:val="en-GB"/>
        </w:rPr>
        <w:noBreakHyphen/>
        <w:t>lending to other members of the Group. Accordingly, substantially all of the assets of the Issuer are loans and advances made to other members of the Group. The ability of the Issuer to satisfy its obligations in respect of the Notes depends upon payments being made to it by other members of the Group in respect of loans and advances made by the Issuer.</w:t>
      </w:r>
    </w:p>
    <w:p w14:paraId="6B852D3B"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Investors in the Notes may have limited recourse against the independent auditors.</w:t>
      </w:r>
    </w:p>
    <w:p w14:paraId="6F2517E8" w14:textId="5FD0AB43" w:rsidR="00A56AB5" w:rsidRPr="00571974" w:rsidRDefault="003D4D89" w:rsidP="00A56AB5">
      <w:pPr>
        <w:spacing w:after="120"/>
        <w:ind w:firstLine="360"/>
        <w:rPr>
          <w:lang w:val="en-GB"/>
        </w:rPr>
      </w:pPr>
      <w:r w:rsidRPr="00571974">
        <w:rPr>
          <w:lang w:val="en-GB"/>
        </w:rPr>
        <w:t xml:space="preserve">See </w:t>
      </w:r>
      <w:r w:rsidR="00A311D8">
        <w:rPr>
          <w:lang w:val="en-GB"/>
        </w:rPr>
        <w:t>“</w:t>
      </w:r>
      <w:r w:rsidRPr="00571974">
        <w:rPr>
          <w:lang w:val="en-GB"/>
        </w:rPr>
        <w:t>Independent Auditors</w:t>
      </w:r>
      <w:r w:rsidR="00A311D8">
        <w:rPr>
          <w:lang w:val="en-GB"/>
        </w:rPr>
        <w:t>”</w:t>
      </w:r>
      <w:r w:rsidRPr="00571974">
        <w:rPr>
          <w:lang w:val="en-GB"/>
        </w:rPr>
        <w:t xml:space="preserve"> for a description of the independent auditors</w:t>
      </w:r>
      <w:r w:rsidR="00A311D8">
        <w:rPr>
          <w:lang w:val="en-GB"/>
        </w:rPr>
        <w:t>’</w:t>
      </w:r>
      <w:r w:rsidRPr="00571974">
        <w:rPr>
          <w:lang w:val="en-GB"/>
        </w:rPr>
        <w:t xml:space="preserve"> reports, including language limiting the auditors</w:t>
      </w:r>
      <w:r w:rsidR="00A311D8">
        <w:rPr>
          <w:lang w:val="en-GB"/>
        </w:rPr>
        <w:t>’</w:t>
      </w:r>
      <w:r w:rsidRPr="00571974">
        <w:rPr>
          <w:lang w:val="en-GB"/>
        </w:rPr>
        <w:t xml:space="preserve"> scope of duty in relation to such reports and the various financial statements to which they relate. In particular, the February </w:t>
      </w:r>
      <w:r w:rsidR="00BA253B">
        <w:rPr>
          <w:lang w:val="en-GB"/>
        </w:rPr>
        <w:t>19</w:t>
      </w:r>
      <w:r w:rsidRPr="00571974">
        <w:rPr>
          <w:lang w:val="en-GB"/>
        </w:rPr>
        <w:t>, 20</w:t>
      </w:r>
      <w:r w:rsidR="00BA253B">
        <w:rPr>
          <w:lang w:val="en-GB"/>
        </w:rPr>
        <w:t>20</w:t>
      </w:r>
      <w:r w:rsidRPr="00571974">
        <w:rPr>
          <w:lang w:val="en-GB"/>
        </w:rPr>
        <w:t xml:space="preserve"> report of Deloitte, with respect to the Group </w:t>
      </w:r>
      <w:r w:rsidR="00BA253B">
        <w:rPr>
          <w:lang w:val="en-GB"/>
        </w:rPr>
        <w:t>2019</w:t>
      </w:r>
      <w:r w:rsidR="00BA253B" w:rsidRPr="00571974">
        <w:rPr>
          <w:lang w:val="en-GB"/>
        </w:rPr>
        <w:t xml:space="preserve"> </w:t>
      </w:r>
      <w:r w:rsidRPr="00571974">
        <w:rPr>
          <w:lang w:val="en-GB"/>
        </w:rPr>
        <w:t>Financial Statements,</w:t>
      </w:r>
      <w:r w:rsidR="00BA253B">
        <w:rPr>
          <w:lang w:val="en-GB"/>
        </w:rPr>
        <w:t xml:space="preserve"> </w:t>
      </w:r>
      <w:r w:rsidRPr="00571974">
        <w:rPr>
          <w:lang w:val="en-GB"/>
        </w:rPr>
        <w:t xml:space="preserve">in accordance with guidance issued by The Institute of Chartered Accountants in England and Wales, provides as follows: </w:t>
      </w:r>
      <w:r w:rsidR="00A311D8">
        <w:rPr>
          <w:lang w:val="en-GB"/>
        </w:rPr>
        <w:t>“</w:t>
      </w:r>
      <w:r w:rsidRPr="00571974">
        <w:rPr>
          <w:lang w:val="en-GB"/>
        </w:rPr>
        <w:t>This report is made solely to the company</w:t>
      </w:r>
      <w:r w:rsidR="00A311D8">
        <w:rPr>
          <w:lang w:val="en-GB"/>
        </w:rPr>
        <w:t>’</w:t>
      </w:r>
      <w:r w:rsidRPr="00571974">
        <w:rPr>
          <w:lang w:val="en-GB"/>
        </w:rPr>
        <w:t>s members, as a body, in accordance with Chapter 3 of Part 16 of the Companies Act 2006. Our audit work has been undertaken so that we might state to the company</w:t>
      </w:r>
      <w:r w:rsidR="00A311D8">
        <w:rPr>
          <w:lang w:val="en-GB"/>
        </w:rPr>
        <w:t>’</w:t>
      </w:r>
      <w:r w:rsidRPr="00571974">
        <w:rPr>
          <w:lang w:val="en-GB"/>
        </w:rPr>
        <w:t>s members those matters we are required to state to them in an auditor</w:t>
      </w:r>
      <w:r w:rsidR="00A311D8">
        <w:rPr>
          <w:lang w:val="en-GB"/>
        </w:rPr>
        <w:t>’</w:t>
      </w:r>
      <w:r w:rsidRPr="00571974">
        <w:rPr>
          <w:lang w:val="en-GB"/>
        </w:rPr>
        <w:t>s report and for no other purpose. To the fullest extent permitted by law, we do not accept or assume responsibility to anyone other than the company and the company</w:t>
      </w:r>
      <w:r w:rsidR="00A311D8">
        <w:rPr>
          <w:lang w:val="en-GB"/>
        </w:rPr>
        <w:t>’</w:t>
      </w:r>
      <w:r w:rsidRPr="00571974">
        <w:rPr>
          <w:lang w:val="en-GB"/>
        </w:rPr>
        <w:t>s members as a body, for our audit work, for this report, or for the opinions we have formed.</w:t>
      </w:r>
      <w:r w:rsidR="00A311D8">
        <w:rPr>
          <w:lang w:val="en-GB"/>
        </w:rPr>
        <w:t>”</w:t>
      </w:r>
    </w:p>
    <w:p w14:paraId="7D1319A3" w14:textId="77777777" w:rsidR="00A56AB5" w:rsidRPr="00571974" w:rsidRDefault="003D4D89" w:rsidP="00A56AB5">
      <w:pPr>
        <w:spacing w:after="120"/>
        <w:ind w:firstLine="360"/>
        <w:rPr>
          <w:lang w:val="en-GB"/>
        </w:rPr>
      </w:pPr>
      <w:r w:rsidRPr="00571974">
        <w:rPr>
          <w:lang w:val="en-GB"/>
        </w:rPr>
        <w:t>The SEC would not permit such limiting language to be included in a registration statement or a prospectus used in connection with an offering of securities registered under the Securities Act or in a report filed under the Exchange Act. If a U.S. court (or any other court) were to give effect to the language quoted above, the recourse that investors in the Notes may have against the independent accountants based on their reports or the consolidated financial statements to which they relate could be limited.</w:t>
      </w:r>
    </w:p>
    <w:p w14:paraId="60CB73E1" w14:textId="77777777" w:rsidR="00A56AB5" w:rsidRPr="00571974" w:rsidRDefault="003D4D89" w:rsidP="00A56AB5">
      <w:pPr>
        <w:keepNext/>
        <w:spacing w:after="240" w:line="180" w:lineRule="atLeast"/>
        <w:ind w:firstLine="357"/>
        <w:jc w:val="both"/>
        <w:outlineLvl w:val="3"/>
        <w:rPr>
          <w:b/>
          <w:i/>
          <w:lang w:val="en-GB"/>
        </w:rPr>
      </w:pPr>
      <w:r w:rsidRPr="00571974">
        <w:rPr>
          <w:b/>
          <w:i/>
          <w:lang w:val="en-GB"/>
        </w:rPr>
        <w:t>Enforcement of U.S. judgments may be difficult.</w:t>
      </w:r>
    </w:p>
    <w:p w14:paraId="78296DB4" w14:textId="47B56681" w:rsidR="00A56AB5" w:rsidRPr="00571974" w:rsidRDefault="003D4D89" w:rsidP="00A56AB5">
      <w:pPr>
        <w:spacing w:after="120"/>
        <w:ind w:firstLine="360"/>
        <w:rPr>
          <w:i/>
          <w:lang w:val="en-GB"/>
        </w:rPr>
      </w:pPr>
      <w:r w:rsidRPr="00571974">
        <w:rPr>
          <w:lang w:val="en-GB"/>
        </w:rPr>
        <w:t xml:space="preserve">The Issuer and the Company are companies organized under the laws of England and Wales, and substantially all their respective assets are, or may be, located in jurisdictions outside the U.S. Accordingly, it could be difficult for holders of Notes to recover against the Issuer and the Company on judgments of U.S. courts predicated upon civil liabilities under the U.S. federal securities laws. See </w:t>
      </w:r>
      <w:r w:rsidR="00A311D8">
        <w:rPr>
          <w:lang w:val="en-GB"/>
        </w:rPr>
        <w:t>“</w:t>
      </w:r>
      <w:r w:rsidRPr="00571974">
        <w:rPr>
          <w:lang w:val="en-GB"/>
        </w:rPr>
        <w:t>Service of Process and Enforcement of Civil Liabilities</w:t>
      </w:r>
      <w:r w:rsidR="00A311D8">
        <w:rPr>
          <w:lang w:val="en-GB"/>
        </w:rPr>
        <w:t>”</w:t>
      </w:r>
      <w:r w:rsidRPr="00571974">
        <w:rPr>
          <w:lang w:val="en-GB"/>
        </w:rPr>
        <w:t>.</w:t>
      </w:r>
    </w:p>
    <w:p w14:paraId="686292F7" w14:textId="77777777" w:rsidR="00E37573" w:rsidRPr="00571974" w:rsidRDefault="003D4D89" w:rsidP="00542FF4">
      <w:pPr>
        <w:pStyle w:val="Heading1"/>
        <w:rPr>
          <w:lang w:val="en-GB"/>
        </w:rPr>
      </w:pPr>
      <w:r w:rsidRPr="00571974">
        <w:rPr>
          <w:lang w:val="en-GB"/>
        </w:rPr>
        <w:br w:type="page"/>
      </w:r>
    </w:p>
    <w:p w14:paraId="28AD023F" w14:textId="77777777" w:rsidR="00DF4A0D" w:rsidRPr="00571974" w:rsidRDefault="003D4D89" w:rsidP="00DF4A0D">
      <w:pPr>
        <w:pStyle w:val="Heading1"/>
        <w:rPr>
          <w:lang w:val="en-GB"/>
        </w:rPr>
      </w:pPr>
      <w:bookmarkStart w:id="41" w:name="_Toc36388957"/>
      <w:bookmarkStart w:id="42" w:name="_Hlk31706341"/>
      <w:bookmarkStart w:id="43" w:name="_Hlk774210"/>
      <w:r w:rsidRPr="00571974">
        <w:rPr>
          <w:lang w:val="en-GB"/>
        </w:rPr>
        <w:lastRenderedPageBreak/>
        <w:t>CAPITALIZATION</w:t>
      </w:r>
      <w:bookmarkEnd w:id="41"/>
    </w:p>
    <w:p w14:paraId="103BEFAD" w14:textId="1AF76F5C" w:rsidR="00DF4A0D" w:rsidRPr="00571974" w:rsidRDefault="003D4D89" w:rsidP="00DF4A0D">
      <w:pPr>
        <w:pStyle w:val="BodyText"/>
        <w:widowControl/>
        <w:autoSpaceDE/>
        <w:autoSpaceDN/>
        <w:adjustRightInd/>
        <w:ind w:firstLine="360"/>
        <w:rPr>
          <w:lang w:val="en-GB"/>
        </w:rPr>
      </w:pPr>
      <w:r w:rsidRPr="00571974">
        <w:rPr>
          <w:lang w:val="en-GB"/>
        </w:rPr>
        <w:t xml:space="preserve">The following table sets forth the consolidated capitalization of the Group as of December 31, 2019, on an actual basis. You should read the following table together with </w:t>
      </w:r>
      <w:r w:rsidR="00A311D8">
        <w:rPr>
          <w:lang w:val="en-GB"/>
        </w:rPr>
        <w:t>“</w:t>
      </w:r>
      <w:r w:rsidRPr="00571974">
        <w:rPr>
          <w:lang w:val="en-GB"/>
        </w:rPr>
        <w:t>Use of Proceeds</w:t>
      </w:r>
      <w:r w:rsidR="00A311D8">
        <w:rPr>
          <w:lang w:val="en-GB"/>
        </w:rPr>
        <w:t>”</w:t>
      </w:r>
      <w:r w:rsidRPr="00571974">
        <w:rPr>
          <w:lang w:val="en-GB"/>
        </w:rPr>
        <w:t xml:space="preserve">, </w:t>
      </w:r>
      <w:r w:rsidR="00A311D8">
        <w:rPr>
          <w:lang w:val="en-GB"/>
        </w:rPr>
        <w:t>“</w:t>
      </w:r>
      <w:r w:rsidRPr="00571974">
        <w:rPr>
          <w:lang w:val="en-GB"/>
        </w:rPr>
        <w:t>Operating and Financial Review</w:t>
      </w:r>
      <w:r w:rsidR="00A311D8">
        <w:rPr>
          <w:lang w:val="en-GB"/>
        </w:rPr>
        <w:t>”</w:t>
      </w:r>
      <w:r w:rsidRPr="00571974">
        <w:rPr>
          <w:lang w:val="en-GB"/>
        </w:rPr>
        <w:t xml:space="preserve">, </w:t>
      </w:r>
      <w:r w:rsidR="00A311D8">
        <w:rPr>
          <w:lang w:val="en-GB"/>
        </w:rPr>
        <w:t>“</w:t>
      </w:r>
      <w:r w:rsidRPr="00571974">
        <w:rPr>
          <w:lang w:val="en-GB"/>
        </w:rPr>
        <w:t>Description of the Notes and the Guarantees</w:t>
      </w:r>
      <w:r w:rsidR="00A311D8">
        <w:rPr>
          <w:lang w:val="en-GB"/>
        </w:rPr>
        <w:t>”</w:t>
      </w:r>
      <w:r w:rsidRPr="00571974">
        <w:rPr>
          <w:lang w:val="en-GB"/>
        </w:rPr>
        <w:t xml:space="preserve"> and the Group 2019 Consolidated Financial Statements and the notes thereto incorporated by reference in this document:</w:t>
      </w:r>
    </w:p>
    <w:tbl>
      <w:tblPr>
        <w:tblW w:w="0" w:type="auto"/>
        <w:jc w:val="center"/>
        <w:tblLayout w:type="fixed"/>
        <w:tblCellMar>
          <w:left w:w="72" w:type="dxa"/>
          <w:right w:w="72" w:type="dxa"/>
        </w:tblCellMar>
        <w:tblLook w:val="0000" w:firstRow="0" w:lastRow="0" w:firstColumn="0" w:lastColumn="0" w:noHBand="0" w:noVBand="0"/>
      </w:tblPr>
      <w:tblGrid>
        <w:gridCol w:w="8094"/>
        <w:gridCol w:w="1227"/>
      </w:tblGrid>
      <w:tr w:rsidR="002228B8" w14:paraId="09949A42" w14:textId="77777777" w:rsidTr="00DF4A0D">
        <w:trPr>
          <w:cantSplit/>
          <w:jc w:val="center"/>
        </w:trPr>
        <w:tc>
          <w:tcPr>
            <w:tcW w:w="8094" w:type="dxa"/>
            <w:tcBorders>
              <w:top w:val="nil"/>
              <w:left w:val="nil"/>
              <w:bottom w:val="nil"/>
              <w:right w:val="nil"/>
            </w:tcBorders>
            <w:vAlign w:val="bottom"/>
          </w:tcPr>
          <w:p w14:paraId="6666699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227" w:type="dxa"/>
            <w:tcBorders>
              <w:top w:val="nil"/>
              <w:left w:val="nil"/>
              <w:bottom w:val="nil"/>
              <w:right w:val="nil"/>
            </w:tcBorders>
            <w:vAlign w:val="bottom"/>
          </w:tcPr>
          <w:p w14:paraId="01ED59A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As of</w:t>
            </w:r>
            <w:r w:rsidRPr="00571974">
              <w:rPr>
                <w:b/>
                <w:bCs/>
                <w:sz w:val="18"/>
                <w:szCs w:val="18"/>
                <w:lang w:val="en-GB" w:eastAsia="en-GB" w:bidi="ar-SA"/>
              </w:rPr>
              <w:br/>
              <w:t>December 31,</w:t>
            </w:r>
            <w:r w:rsidRPr="00571974">
              <w:rPr>
                <w:b/>
                <w:bCs/>
                <w:sz w:val="18"/>
                <w:szCs w:val="18"/>
                <w:lang w:val="en-GB" w:eastAsia="en-GB" w:bidi="ar-SA"/>
              </w:rPr>
              <w:br/>
              <w:t>2019</w:t>
            </w:r>
          </w:p>
        </w:tc>
      </w:tr>
      <w:tr w:rsidR="002228B8" w14:paraId="1BD3CF55" w14:textId="77777777" w:rsidTr="00DF4A0D">
        <w:trPr>
          <w:cantSplit/>
          <w:jc w:val="center"/>
        </w:trPr>
        <w:tc>
          <w:tcPr>
            <w:tcW w:w="8094" w:type="dxa"/>
            <w:tcBorders>
              <w:top w:val="nil"/>
              <w:left w:val="nil"/>
              <w:bottom w:val="nil"/>
              <w:right w:val="nil"/>
            </w:tcBorders>
            <w:vAlign w:val="bottom"/>
          </w:tcPr>
          <w:p w14:paraId="24EE99D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227" w:type="dxa"/>
            <w:tcBorders>
              <w:top w:val="nil"/>
              <w:left w:val="nil"/>
              <w:bottom w:val="nil"/>
              <w:right w:val="nil"/>
            </w:tcBorders>
            <w:vAlign w:val="bottom"/>
          </w:tcPr>
          <w:p w14:paraId="7091937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szCs w:val="18"/>
                <w:lang w:val="en-GB" w:eastAsia="en-GB" w:bidi="ar-SA"/>
              </w:rPr>
            </w:pPr>
            <w:r w:rsidRPr="00571974">
              <w:rPr>
                <w:b/>
                <w:bCs/>
                <w:i/>
                <w:iCs/>
                <w:sz w:val="18"/>
                <w:szCs w:val="18"/>
                <w:lang w:val="en-GB" w:eastAsia="en-GB" w:bidi="ar-SA"/>
              </w:rPr>
              <w:t>(US$m)</w:t>
            </w:r>
          </w:p>
        </w:tc>
      </w:tr>
      <w:tr w:rsidR="002228B8" w14:paraId="25108C3D" w14:textId="77777777" w:rsidTr="00DF4A0D">
        <w:trPr>
          <w:cantSplit/>
          <w:jc w:val="center"/>
        </w:trPr>
        <w:tc>
          <w:tcPr>
            <w:tcW w:w="8094" w:type="dxa"/>
            <w:tcBorders>
              <w:top w:val="nil"/>
              <w:left w:val="nil"/>
              <w:bottom w:val="nil"/>
              <w:right w:val="nil"/>
            </w:tcBorders>
          </w:tcPr>
          <w:p w14:paraId="27C5B27E" w14:textId="77777777" w:rsidR="00DF4A0D" w:rsidRPr="00571974" w:rsidRDefault="003D4D89" w:rsidP="00DF4A0D">
            <w:pPr>
              <w:tabs>
                <w:tab w:val="right" w:leader="dot" w:pos="7950"/>
              </w:tabs>
              <w:suppressAutoHyphens/>
              <w:ind w:left="200" w:hanging="200"/>
              <w:rPr>
                <w:sz w:val="18"/>
                <w:szCs w:val="18"/>
                <w:lang w:val="en-GB" w:eastAsia="en-GB" w:bidi="ar-SA"/>
              </w:rPr>
            </w:pPr>
            <w:r w:rsidRPr="00571974">
              <w:rPr>
                <w:sz w:val="18"/>
                <w:szCs w:val="18"/>
                <w:lang w:val="en-GB" w:eastAsia="en-GB" w:bidi="ar-SA"/>
              </w:rPr>
              <w:t>Total debt</w:t>
            </w:r>
            <w:r w:rsidRPr="00571974">
              <w:rPr>
                <w:sz w:val="18"/>
                <w:szCs w:val="18"/>
                <w:vertAlign w:val="superscript"/>
                <w:lang w:val="en-GB" w:eastAsia="en-GB" w:bidi="ar-SA"/>
              </w:rPr>
              <w:t>(1)</w:t>
            </w:r>
            <w:r w:rsidRPr="00571974">
              <w:rPr>
                <w:sz w:val="18"/>
                <w:szCs w:val="18"/>
                <w:lang w:val="en-GB" w:eastAsia="en-GB" w:bidi="ar-SA"/>
              </w:rPr>
              <w:tab/>
            </w:r>
          </w:p>
        </w:tc>
        <w:tc>
          <w:tcPr>
            <w:tcW w:w="1227" w:type="dxa"/>
            <w:tcBorders>
              <w:top w:val="nil"/>
              <w:left w:val="nil"/>
              <w:bottom w:val="nil"/>
              <w:right w:val="nil"/>
            </w:tcBorders>
          </w:tcPr>
          <w:p w14:paraId="665D519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10,734</w:t>
            </w:r>
          </w:p>
        </w:tc>
      </w:tr>
      <w:tr w:rsidR="002228B8" w14:paraId="16D5CF5B" w14:textId="77777777" w:rsidTr="00DF4A0D">
        <w:trPr>
          <w:cantSplit/>
          <w:jc w:val="center"/>
        </w:trPr>
        <w:tc>
          <w:tcPr>
            <w:tcW w:w="8094" w:type="dxa"/>
            <w:tcBorders>
              <w:top w:val="nil"/>
              <w:left w:val="nil"/>
              <w:bottom w:val="nil"/>
              <w:right w:val="nil"/>
            </w:tcBorders>
          </w:tcPr>
          <w:p w14:paraId="06E0CD5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7950"/>
              </w:tabs>
              <w:suppressAutoHyphens/>
              <w:ind w:left="200" w:hanging="200"/>
              <w:rPr>
                <w:sz w:val="18"/>
                <w:szCs w:val="18"/>
                <w:lang w:val="en-GB" w:eastAsia="en-GB" w:bidi="ar-SA"/>
              </w:rPr>
            </w:pPr>
            <w:r w:rsidRPr="00571974">
              <w:rPr>
                <w:sz w:val="18"/>
                <w:szCs w:val="18"/>
                <w:lang w:val="en-GB" w:eastAsia="en-GB" w:bidi="ar-SA"/>
              </w:rPr>
              <w:t>Equity:</w:t>
            </w:r>
          </w:p>
        </w:tc>
        <w:tc>
          <w:tcPr>
            <w:tcW w:w="1227" w:type="dxa"/>
            <w:tcBorders>
              <w:top w:val="nil"/>
              <w:left w:val="nil"/>
              <w:bottom w:val="nil"/>
              <w:right w:val="nil"/>
            </w:tcBorders>
          </w:tcPr>
          <w:p w14:paraId="7932398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3C1B9BD1" w14:textId="77777777" w:rsidTr="00DF4A0D">
        <w:trPr>
          <w:cantSplit/>
          <w:jc w:val="center"/>
        </w:trPr>
        <w:tc>
          <w:tcPr>
            <w:tcW w:w="8094" w:type="dxa"/>
            <w:tcBorders>
              <w:top w:val="nil"/>
              <w:left w:val="nil"/>
              <w:bottom w:val="nil"/>
              <w:right w:val="nil"/>
            </w:tcBorders>
          </w:tcPr>
          <w:p w14:paraId="23808B56" w14:textId="77777777" w:rsidR="00DF4A0D" w:rsidRPr="00571974" w:rsidRDefault="003D4D89" w:rsidP="00DF4A0D">
            <w:pPr>
              <w:tabs>
                <w:tab w:val="right" w:leader="dot" w:pos="7950"/>
              </w:tabs>
              <w:suppressAutoHyphens/>
              <w:ind w:left="200" w:hanging="200"/>
              <w:rPr>
                <w:sz w:val="18"/>
                <w:szCs w:val="18"/>
                <w:lang w:val="en-GB" w:eastAsia="en-GB" w:bidi="ar-SA"/>
              </w:rPr>
            </w:pPr>
            <w:r w:rsidRPr="00571974">
              <w:rPr>
                <w:sz w:val="18"/>
                <w:szCs w:val="18"/>
                <w:lang w:val="en-GB" w:eastAsia="en-GB" w:bidi="ar-SA"/>
              </w:rPr>
              <w:t>Called-up share capital</w:t>
            </w:r>
            <w:r w:rsidRPr="00571974">
              <w:rPr>
                <w:sz w:val="18"/>
                <w:szCs w:val="18"/>
                <w:lang w:val="en-GB" w:eastAsia="en-GB" w:bidi="ar-SA"/>
              </w:rPr>
              <w:tab/>
            </w:r>
          </w:p>
        </w:tc>
        <w:tc>
          <w:tcPr>
            <w:tcW w:w="1227" w:type="dxa"/>
            <w:tcBorders>
              <w:top w:val="nil"/>
              <w:left w:val="nil"/>
              <w:bottom w:val="nil"/>
              <w:right w:val="nil"/>
            </w:tcBorders>
          </w:tcPr>
          <w:p w14:paraId="156E1B5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753</w:t>
            </w:r>
          </w:p>
        </w:tc>
      </w:tr>
      <w:tr w:rsidR="002228B8" w14:paraId="2E102A98" w14:textId="77777777" w:rsidTr="00DF4A0D">
        <w:trPr>
          <w:cantSplit/>
          <w:jc w:val="center"/>
        </w:trPr>
        <w:tc>
          <w:tcPr>
            <w:tcW w:w="8094" w:type="dxa"/>
            <w:tcBorders>
              <w:top w:val="nil"/>
              <w:left w:val="nil"/>
              <w:bottom w:val="nil"/>
              <w:right w:val="nil"/>
            </w:tcBorders>
          </w:tcPr>
          <w:p w14:paraId="0A357825" w14:textId="77777777" w:rsidR="00DF4A0D" w:rsidRPr="00571974" w:rsidRDefault="003D4D89" w:rsidP="00DF4A0D">
            <w:pPr>
              <w:tabs>
                <w:tab w:val="right" w:leader="dot" w:pos="7950"/>
              </w:tabs>
              <w:suppressAutoHyphens/>
              <w:ind w:left="200" w:hanging="200"/>
              <w:rPr>
                <w:sz w:val="18"/>
                <w:szCs w:val="18"/>
                <w:lang w:val="en-GB" w:eastAsia="en-GB" w:bidi="ar-SA"/>
              </w:rPr>
            </w:pPr>
            <w:r w:rsidRPr="00571974">
              <w:rPr>
                <w:sz w:val="18"/>
                <w:szCs w:val="18"/>
                <w:lang w:val="en-GB" w:eastAsia="en-GB" w:bidi="ar-SA"/>
              </w:rPr>
              <w:t>Share premium account</w:t>
            </w:r>
            <w:r w:rsidRPr="00571974">
              <w:rPr>
                <w:sz w:val="18"/>
                <w:szCs w:val="18"/>
                <w:lang w:val="en-GB" w:eastAsia="en-GB" w:bidi="ar-SA"/>
              </w:rPr>
              <w:tab/>
            </w:r>
          </w:p>
        </w:tc>
        <w:tc>
          <w:tcPr>
            <w:tcW w:w="1227" w:type="dxa"/>
            <w:tcBorders>
              <w:top w:val="nil"/>
              <w:left w:val="nil"/>
              <w:bottom w:val="nil"/>
              <w:right w:val="nil"/>
            </w:tcBorders>
          </w:tcPr>
          <w:p w14:paraId="404EE76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4,358</w:t>
            </w:r>
          </w:p>
        </w:tc>
      </w:tr>
      <w:tr w:rsidR="002228B8" w14:paraId="664366BB" w14:textId="77777777" w:rsidTr="00DF4A0D">
        <w:trPr>
          <w:cantSplit/>
          <w:jc w:val="center"/>
        </w:trPr>
        <w:tc>
          <w:tcPr>
            <w:tcW w:w="8094" w:type="dxa"/>
            <w:tcBorders>
              <w:top w:val="nil"/>
              <w:left w:val="nil"/>
              <w:bottom w:val="nil"/>
              <w:right w:val="nil"/>
            </w:tcBorders>
          </w:tcPr>
          <w:p w14:paraId="3D3ECA55" w14:textId="77777777" w:rsidR="00DF4A0D" w:rsidRPr="00571974" w:rsidRDefault="003D4D89" w:rsidP="00DF4A0D">
            <w:pPr>
              <w:tabs>
                <w:tab w:val="right" w:leader="dot" w:pos="7950"/>
              </w:tabs>
              <w:suppressAutoHyphens/>
              <w:ind w:left="200" w:hanging="200"/>
              <w:rPr>
                <w:sz w:val="18"/>
                <w:szCs w:val="18"/>
                <w:lang w:val="en-GB" w:eastAsia="en-GB" w:bidi="ar-SA"/>
              </w:rPr>
            </w:pPr>
            <w:r w:rsidRPr="00571974">
              <w:rPr>
                <w:sz w:val="18"/>
                <w:szCs w:val="18"/>
                <w:lang w:val="en-GB" w:eastAsia="en-GB" w:bidi="ar-SA"/>
              </w:rPr>
              <w:t>Other reserves</w:t>
            </w:r>
            <w:r w:rsidRPr="00571974">
              <w:rPr>
                <w:sz w:val="18"/>
                <w:szCs w:val="18"/>
                <w:lang w:val="en-GB" w:eastAsia="en-GB" w:bidi="ar-SA"/>
              </w:rPr>
              <w:tab/>
            </w:r>
          </w:p>
        </w:tc>
        <w:tc>
          <w:tcPr>
            <w:tcW w:w="1227" w:type="dxa"/>
            <w:tcBorders>
              <w:top w:val="nil"/>
              <w:left w:val="nil"/>
              <w:bottom w:val="nil"/>
              <w:right w:val="nil"/>
            </w:tcBorders>
          </w:tcPr>
          <w:p w14:paraId="2CE4F2C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(10,395)</w:t>
            </w:r>
          </w:p>
        </w:tc>
      </w:tr>
      <w:tr w:rsidR="002228B8" w14:paraId="0EB2EEC5" w14:textId="77777777" w:rsidTr="00DF4A0D">
        <w:trPr>
          <w:cantSplit/>
          <w:jc w:val="center"/>
        </w:trPr>
        <w:tc>
          <w:tcPr>
            <w:tcW w:w="8094" w:type="dxa"/>
            <w:tcBorders>
              <w:top w:val="nil"/>
              <w:left w:val="nil"/>
              <w:bottom w:val="nil"/>
              <w:right w:val="nil"/>
            </w:tcBorders>
          </w:tcPr>
          <w:p w14:paraId="42C8FFFB" w14:textId="77777777" w:rsidR="00DF4A0D" w:rsidRPr="00571974" w:rsidRDefault="003D4D89" w:rsidP="00DF4A0D">
            <w:pPr>
              <w:tabs>
                <w:tab w:val="right" w:leader="dot" w:pos="7950"/>
              </w:tabs>
              <w:suppressAutoHyphens/>
              <w:spacing w:after="20"/>
              <w:ind w:left="200" w:hanging="200"/>
              <w:rPr>
                <w:sz w:val="18"/>
                <w:szCs w:val="18"/>
                <w:lang w:val="en-GB" w:eastAsia="en-GB" w:bidi="ar-SA"/>
              </w:rPr>
            </w:pPr>
            <w:r w:rsidRPr="00571974">
              <w:rPr>
                <w:sz w:val="18"/>
                <w:szCs w:val="18"/>
                <w:lang w:val="en-GB" w:eastAsia="en-GB" w:bidi="ar-SA"/>
              </w:rPr>
              <w:t>Retained earnings and own shares held</w:t>
            </w:r>
            <w:r w:rsidRPr="00571974">
              <w:rPr>
                <w:sz w:val="18"/>
                <w:szCs w:val="18"/>
                <w:lang w:val="en-GB" w:eastAsia="en-GB" w:bidi="ar-SA"/>
              </w:rPr>
              <w:tab/>
            </w:r>
          </w:p>
        </w:tc>
        <w:tc>
          <w:tcPr>
            <w:tcW w:w="1227" w:type="dxa"/>
            <w:tcBorders>
              <w:top w:val="nil"/>
              <w:left w:val="nil"/>
              <w:bottom w:val="nil"/>
              <w:right w:val="nil"/>
            </w:tcBorders>
          </w:tcPr>
          <w:p w14:paraId="3411172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lang w:val="en-GB" w:eastAsia="en-GB" w:bidi="ar-SA"/>
              </w:rPr>
              <w:t>30,079</w:t>
            </w:r>
          </w:p>
        </w:tc>
      </w:tr>
      <w:tr w:rsidR="002228B8" w14:paraId="5BA2FF93" w14:textId="77777777" w:rsidTr="00DF4A0D">
        <w:trPr>
          <w:cantSplit/>
          <w:jc w:val="center"/>
        </w:trPr>
        <w:tc>
          <w:tcPr>
            <w:tcW w:w="8094" w:type="dxa"/>
            <w:tcBorders>
              <w:top w:val="nil"/>
              <w:left w:val="nil"/>
              <w:bottom w:val="nil"/>
              <w:right w:val="nil"/>
            </w:tcBorders>
          </w:tcPr>
          <w:p w14:paraId="017EB1BE" w14:textId="77777777" w:rsidR="00DF4A0D" w:rsidRPr="00571974" w:rsidRDefault="003D4D89" w:rsidP="00DF4A0D">
            <w:pPr>
              <w:tabs>
                <w:tab w:val="right" w:leader="dot" w:pos="7950"/>
              </w:tabs>
              <w:suppressAutoHyphens/>
              <w:spacing w:after="20"/>
              <w:ind w:left="600" w:hanging="200"/>
              <w:rPr>
                <w:sz w:val="18"/>
                <w:szCs w:val="18"/>
                <w:lang w:val="en-GB" w:eastAsia="en-GB" w:bidi="ar-SA"/>
              </w:rPr>
            </w:pPr>
            <w:r w:rsidRPr="00571974">
              <w:rPr>
                <w:sz w:val="18"/>
                <w:szCs w:val="18"/>
                <w:lang w:val="en-GB" w:eastAsia="en-GB" w:bidi="ar-SA"/>
              </w:rPr>
              <w:t>Equity attributable to equity shareholders of the Company</w:t>
            </w:r>
            <w:r w:rsidRPr="00571974">
              <w:rPr>
                <w:sz w:val="18"/>
                <w:szCs w:val="18"/>
                <w:lang w:val="en-GB" w:eastAsia="en-GB" w:bidi="ar-SA"/>
              </w:rPr>
              <w:tab/>
            </w:r>
          </w:p>
        </w:tc>
        <w:tc>
          <w:tcPr>
            <w:tcW w:w="1227" w:type="dxa"/>
            <w:tcBorders>
              <w:top w:val="nil"/>
              <w:left w:val="nil"/>
              <w:bottom w:val="nil"/>
              <w:right w:val="nil"/>
            </w:tcBorders>
          </w:tcPr>
          <w:p w14:paraId="74758602"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lang w:val="en-GB" w:eastAsia="en-GB" w:bidi="ar-SA"/>
              </w:rPr>
              <w:t>24,795</w:t>
            </w:r>
          </w:p>
        </w:tc>
      </w:tr>
      <w:tr w:rsidR="002228B8" w14:paraId="7FAD9BDF" w14:textId="77777777" w:rsidTr="00DF4A0D">
        <w:trPr>
          <w:cantSplit/>
          <w:jc w:val="center"/>
        </w:trPr>
        <w:tc>
          <w:tcPr>
            <w:tcW w:w="8094" w:type="dxa"/>
            <w:tcBorders>
              <w:top w:val="nil"/>
              <w:left w:val="nil"/>
              <w:bottom w:val="nil"/>
              <w:right w:val="nil"/>
            </w:tcBorders>
          </w:tcPr>
          <w:p w14:paraId="173391BB" w14:textId="77777777" w:rsidR="00DF4A0D" w:rsidRPr="00571974" w:rsidRDefault="003D4D89" w:rsidP="00DF4A0D">
            <w:pPr>
              <w:tabs>
                <w:tab w:val="right" w:leader="dot" w:pos="7950"/>
              </w:tabs>
              <w:suppressAutoHyphens/>
              <w:spacing w:after="40"/>
              <w:ind w:left="200" w:hanging="200"/>
              <w:rPr>
                <w:sz w:val="18"/>
                <w:szCs w:val="18"/>
                <w:lang w:val="en-GB" w:eastAsia="en-GB" w:bidi="ar-SA"/>
              </w:rPr>
            </w:pPr>
            <w:r w:rsidRPr="00571974">
              <w:rPr>
                <w:sz w:val="18"/>
                <w:szCs w:val="18"/>
                <w:lang w:val="en-GB" w:eastAsia="en-GB" w:bidi="ar-SA"/>
              </w:rPr>
              <w:t>Total capitalization</w:t>
            </w:r>
            <w:r w:rsidRPr="00571974">
              <w:rPr>
                <w:sz w:val="18"/>
                <w:szCs w:val="18"/>
                <w:lang w:val="en-GB" w:eastAsia="en-GB" w:bidi="ar-SA"/>
              </w:rPr>
              <w:tab/>
            </w:r>
          </w:p>
        </w:tc>
        <w:tc>
          <w:tcPr>
            <w:tcW w:w="1227" w:type="dxa"/>
            <w:tcBorders>
              <w:top w:val="nil"/>
              <w:left w:val="nil"/>
              <w:bottom w:val="nil"/>
              <w:right w:val="nil"/>
            </w:tcBorders>
          </w:tcPr>
          <w:p w14:paraId="306A78EB"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lang w:val="en-GB" w:eastAsia="en-GB" w:bidi="ar-SA"/>
              </w:rPr>
              <w:t>35,529</w:t>
            </w:r>
          </w:p>
        </w:tc>
      </w:tr>
    </w:tbl>
    <w:p w14:paraId="4241A54F" w14:textId="77777777" w:rsidR="00DF4A0D" w:rsidRPr="00571974" w:rsidRDefault="00836D74" w:rsidP="00DF4A0D">
      <w:pPr>
        <w:rPr>
          <w:lang w:val="en-GB"/>
        </w:rPr>
      </w:pPr>
      <w:r>
        <w:rPr>
          <w:lang w:val="en-GB"/>
        </w:rPr>
        <w:pict w14:anchorId="0C048559">
          <v:rect id="_x0000_i1031" style="width:184.5pt;height:1pt" o:hrpct="250" o:hrstd="t" o:hrnoshade="t" o:hr="t" fillcolor="black" stroked="f"/>
        </w:pict>
      </w:r>
    </w:p>
    <w:p w14:paraId="6B6FA5BB" w14:textId="021A3653" w:rsidR="00DF4A0D" w:rsidRPr="00571974" w:rsidRDefault="003D4D89" w:rsidP="002E33A5">
      <w:pPr>
        <w:pStyle w:val="ListParagraph"/>
        <w:widowControl/>
        <w:numPr>
          <w:ilvl w:val="0"/>
          <w:numId w:val="4"/>
        </w:numPr>
        <w:tabs>
          <w:tab w:val="left" w:pos="-720"/>
          <w:tab w:val="left" w:pos="0"/>
        </w:tabs>
        <w:suppressAutoHyphens/>
        <w:spacing w:after="240"/>
        <w:ind w:left="284" w:hanging="284"/>
        <w:rPr>
          <w:sz w:val="16"/>
          <w:szCs w:val="18"/>
          <w:lang w:val="en-GB"/>
        </w:rPr>
      </w:pPr>
      <w:r w:rsidRPr="00571974">
        <w:rPr>
          <w:sz w:val="16"/>
          <w:szCs w:val="18"/>
          <w:lang w:val="en-GB"/>
        </w:rPr>
        <w:t xml:space="preserve">Including short-term, medium-term and long-term borrowings. As at December 31, 2019, secured and unsecured debt </w:t>
      </w:r>
      <w:r w:rsidR="00D45A8C">
        <w:rPr>
          <w:sz w:val="16"/>
          <w:szCs w:val="18"/>
          <w:lang w:val="en-GB"/>
        </w:rPr>
        <w:t>totaled</w:t>
      </w:r>
      <w:r w:rsidRPr="00571974">
        <w:rPr>
          <w:sz w:val="16"/>
          <w:szCs w:val="18"/>
          <w:lang w:val="en-GB"/>
        </w:rPr>
        <w:t xml:space="preserve"> US$715</w:t>
      </w:r>
      <w:r w:rsidR="002E33A5">
        <w:rPr>
          <w:sz w:val="16"/>
          <w:szCs w:val="18"/>
          <w:lang w:val="en-GB"/>
        </w:rPr>
        <w:t xml:space="preserve"> million</w:t>
      </w:r>
      <w:r w:rsidRPr="00571974">
        <w:rPr>
          <w:sz w:val="16"/>
          <w:szCs w:val="18"/>
          <w:lang w:val="en-GB"/>
        </w:rPr>
        <w:t xml:space="preserve"> and US$10,019</w:t>
      </w:r>
      <w:r w:rsidR="002E33A5">
        <w:rPr>
          <w:sz w:val="16"/>
          <w:szCs w:val="18"/>
          <w:lang w:val="en-GB"/>
        </w:rPr>
        <w:t xml:space="preserve"> million</w:t>
      </w:r>
      <w:r w:rsidRPr="00571974">
        <w:rPr>
          <w:sz w:val="16"/>
          <w:szCs w:val="18"/>
          <w:lang w:val="en-GB"/>
        </w:rPr>
        <w:t xml:space="preserve">, respectively. For more information regarding our secured and unsecured debt, see </w:t>
      </w:r>
      <w:r w:rsidR="00A311D8">
        <w:rPr>
          <w:sz w:val="16"/>
          <w:szCs w:val="18"/>
          <w:lang w:val="en-GB"/>
        </w:rPr>
        <w:t>“</w:t>
      </w:r>
      <w:r w:rsidRPr="00571974">
        <w:rPr>
          <w:sz w:val="16"/>
          <w:szCs w:val="18"/>
          <w:lang w:val="en-GB"/>
        </w:rPr>
        <w:t>Operating and Financial Review</w:t>
      </w:r>
      <w:r w:rsidR="00A311D8">
        <w:rPr>
          <w:sz w:val="16"/>
          <w:szCs w:val="18"/>
          <w:lang w:val="en-GB"/>
        </w:rPr>
        <w:t>”</w:t>
      </w:r>
      <w:r w:rsidRPr="00571974">
        <w:rPr>
          <w:sz w:val="16"/>
          <w:szCs w:val="18"/>
          <w:lang w:val="en-GB"/>
        </w:rPr>
        <w:t>.</w:t>
      </w:r>
    </w:p>
    <w:p w14:paraId="3535F590" w14:textId="77777777" w:rsidR="00DF4A0D" w:rsidRPr="00571974" w:rsidRDefault="003D4D89" w:rsidP="00DF4A0D">
      <w:pPr>
        <w:pStyle w:val="BodyText"/>
        <w:widowControl/>
        <w:autoSpaceDE/>
        <w:autoSpaceDN/>
        <w:adjustRightInd/>
        <w:ind w:firstLine="360"/>
        <w:rPr>
          <w:lang w:val="en-GB"/>
        </w:rPr>
      </w:pPr>
      <w:r w:rsidRPr="00571974">
        <w:rPr>
          <w:lang w:val="en-GB"/>
        </w:rPr>
        <w:t>Anglo American considers participation in debt markets as part of the ongoing management of its liquidity and capital resources.</w:t>
      </w:r>
    </w:p>
    <w:p w14:paraId="721A6E40" w14:textId="2962983F" w:rsidR="00DF4A0D" w:rsidRPr="00571974" w:rsidRDefault="003D4D89" w:rsidP="00DF4A0D">
      <w:pPr>
        <w:pStyle w:val="BodyText"/>
        <w:widowControl/>
        <w:autoSpaceDE/>
        <w:autoSpaceDN/>
        <w:adjustRightInd/>
        <w:ind w:firstLine="360"/>
        <w:rPr>
          <w:lang w:val="en-GB"/>
        </w:rPr>
      </w:pPr>
      <w:r w:rsidRPr="00571974">
        <w:rPr>
          <w:lang w:val="en-GB"/>
        </w:rPr>
        <w:t xml:space="preserve">Also see </w:t>
      </w:r>
      <w:r w:rsidR="00A311D8">
        <w:rPr>
          <w:lang w:val="en-GB"/>
        </w:rPr>
        <w:t>“</w:t>
      </w:r>
      <w:r w:rsidRPr="00571974">
        <w:rPr>
          <w:lang w:val="en-GB"/>
        </w:rPr>
        <w:t>Recent Developments</w:t>
      </w:r>
      <w:r w:rsidR="00A311D8">
        <w:rPr>
          <w:lang w:val="en-GB"/>
        </w:rPr>
        <w:t>”</w:t>
      </w:r>
      <w:r w:rsidR="008D1385">
        <w:rPr>
          <w:lang w:val="en-GB"/>
        </w:rPr>
        <w:t>.</w:t>
      </w:r>
    </w:p>
    <w:p w14:paraId="7B047E63" w14:textId="77777777" w:rsidR="00DF4A0D" w:rsidRPr="00571974" w:rsidRDefault="003D4D89" w:rsidP="00DF4A0D">
      <w:pPr>
        <w:rPr>
          <w:rFonts w:eastAsia="PMingLiU"/>
          <w:b/>
          <w:caps/>
          <w:snapToGrid w:val="0"/>
          <w:szCs w:val="20"/>
          <w:lang w:val="en-GB"/>
        </w:rPr>
      </w:pPr>
      <w:r w:rsidRPr="00571974">
        <w:rPr>
          <w:lang w:val="en-GB"/>
        </w:rPr>
        <w:br w:type="page"/>
      </w:r>
    </w:p>
    <w:p w14:paraId="7671A6F4" w14:textId="63737D89" w:rsidR="006D1947" w:rsidRPr="00571974" w:rsidRDefault="003D4D89" w:rsidP="00804A86">
      <w:pPr>
        <w:pStyle w:val="Heading1"/>
        <w:rPr>
          <w:lang w:val="en-GB"/>
        </w:rPr>
      </w:pPr>
      <w:bookmarkStart w:id="44" w:name="_Toc36388958"/>
      <w:bookmarkEnd w:id="33"/>
      <w:bookmarkEnd w:id="42"/>
      <w:bookmarkEnd w:id="43"/>
      <w:r w:rsidRPr="00571974">
        <w:rPr>
          <w:lang w:val="en-GB"/>
        </w:rPr>
        <w:lastRenderedPageBreak/>
        <w:t>RECENT DEVELOPMENTS</w:t>
      </w:r>
      <w:bookmarkEnd w:id="44"/>
    </w:p>
    <w:p w14:paraId="011EDCC0" w14:textId="77777777" w:rsidR="00B72895" w:rsidRPr="00571974" w:rsidRDefault="003D4D89" w:rsidP="00EA3F32">
      <w:pPr>
        <w:pStyle w:val="Heading4"/>
      </w:pPr>
      <w:r>
        <w:t xml:space="preserve">Independent Auditors </w:t>
      </w:r>
    </w:p>
    <w:p w14:paraId="180759D7" w14:textId="02C6BBCE" w:rsidR="002940B1" w:rsidRDefault="004B2F25" w:rsidP="008D1385">
      <w:pPr>
        <w:pStyle w:val="BodyText"/>
        <w:widowControl/>
        <w:autoSpaceDE/>
        <w:autoSpaceDN/>
        <w:adjustRightInd/>
        <w:ind w:firstLine="360"/>
        <w:rPr>
          <w:lang w:val="en-GB"/>
        </w:rPr>
      </w:pPr>
      <w:r>
        <w:rPr>
          <w:lang w:val="en-GB"/>
        </w:rPr>
        <w:t>On May 2, 2019 we announced that, following the conclusion of a formal tender process, we had approved the proposed appointment of PricewaterhouseCoopers LLP (</w:t>
      </w:r>
      <w:r w:rsidR="00A311D8">
        <w:rPr>
          <w:lang w:val="en-GB"/>
        </w:rPr>
        <w:t>“</w:t>
      </w:r>
      <w:r>
        <w:rPr>
          <w:lang w:val="en-GB"/>
        </w:rPr>
        <w:t>PwC</w:t>
      </w:r>
      <w:r w:rsidR="00A311D8">
        <w:rPr>
          <w:lang w:val="en-GB"/>
        </w:rPr>
        <w:t>”</w:t>
      </w:r>
      <w:r>
        <w:rPr>
          <w:lang w:val="en-GB"/>
        </w:rPr>
        <w:t>) as our external auditors to take effect from, and including, the financial year ending December 31, 2020. The appointment of PwC is subject to the approval of the shareholders of Anglo American</w:t>
      </w:r>
      <w:r w:rsidR="003D4D89" w:rsidRPr="002940B1">
        <w:rPr>
          <w:lang w:val="en-GB"/>
        </w:rPr>
        <w:t xml:space="preserve">. </w:t>
      </w:r>
    </w:p>
    <w:p w14:paraId="57D60588" w14:textId="0333A652" w:rsidR="002940B1" w:rsidRPr="00571974" w:rsidRDefault="00DE3AAF" w:rsidP="00DA283E">
      <w:pPr>
        <w:pStyle w:val="Heading4"/>
      </w:pPr>
      <w:r>
        <w:t>Sirius Acquisition</w:t>
      </w:r>
    </w:p>
    <w:p w14:paraId="21B12620" w14:textId="5D2F1E2E" w:rsidR="00B52D48" w:rsidRDefault="00DE3AAF" w:rsidP="00DA283E">
      <w:pPr>
        <w:pStyle w:val="BodyText"/>
        <w:widowControl/>
        <w:autoSpaceDE/>
        <w:autoSpaceDN/>
        <w:adjustRightInd/>
        <w:ind w:firstLine="360"/>
      </w:pPr>
      <w:r w:rsidRPr="00DA283E">
        <w:rPr>
          <w:lang w:val="en-GB"/>
        </w:rPr>
        <w:t xml:space="preserve">On January 20, 2020, </w:t>
      </w:r>
      <w:r w:rsidR="003637DD">
        <w:rPr>
          <w:lang w:val="en-GB"/>
        </w:rPr>
        <w:t xml:space="preserve">we </w:t>
      </w:r>
      <w:r w:rsidRPr="00DA283E">
        <w:rPr>
          <w:lang w:val="en-GB"/>
        </w:rPr>
        <w:t xml:space="preserve">announced an agreement with the board of Sirius </w:t>
      </w:r>
      <w:r w:rsidR="003637DD">
        <w:rPr>
          <w:lang w:val="en-GB"/>
        </w:rPr>
        <w:t>for the acquisition for</w:t>
      </w:r>
      <w:r w:rsidRPr="00DA283E">
        <w:rPr>
          <w:lang w:val="en-GB"/>
        </w:rPr>
        <w:t xml:space="preserve"> cash </w:t>
      </w:r>
      <w:r w:rsidR="003637DD">
        <w:rPr>
          <w:lang w:val="en-GB"/>
        </w:rPr>
        <w:t>of</w:t>
      </w:r>
      <w:r w:rsidRPr="00DA283E">
        <w:rPr>
          <w:lang w:val="en-GB"/>
        </w:rPr>
        <w:t xml:space="preserve"> the entire issued and to be issued share capital of Sirius. Anglo American identified Sirius</w:t>
      </w:r>
      <w:r w:rsidR="00A311D8">
        <w:rPr>
          <w:lang w:val="en-GB"/>
        </w:rPr>
        <w:t>’</w:t>
      </w:r>
      <w:r w:rsidRPr="00DA283E">
        <w:rPr>
          <w:lang w:val="en-GB"/>
        </w:rPr>
        <w:t xml:space="preserve"> North Yorkshire polyhalite project (the Woodsmith mine project) as being of potential interest given the quality of the underlying asset in terms of scale, resource life, operating cost profile and the nature and quality of its product. The Woodsmith mine project has the potential to fit well with our established strategy of focusing on world-class assets, particularly in the context of Anglo American</w:t>
      </w:r>
      <w:r w:rsidR="00A311D8">
        <w:rPr>
          <w:lang w:val="en-GB"/>
        </w:rPr>
        <w:t>’</w:t>
      </w:r>
      <w:r w:rsidRPr="00DA283E">
        <w:rPr>
          <w:lang w:val="en-GB"/>
        </w:rPr>
        <w:t xml:space="preserve">s portfolio trajectory towards later cycle products that support a fast-growing global population and a cleaner, greener, more sustainable world. </w:t>
      </w:r>
      <w:r w:rsidR="00BA1E88">
        <w:t>The transaction completed on March 17, 2020.</w:t>
      </w:r>
    </w:p>
    <w:p w14:paraId="0708004A" w14:textId="77777777" w:rsidR="004D02ED" w:rsidRDefault="004D02ED" w:rsidP="004D02ED">
      <w:pPr>
        <w:pStyle w:val="Heading4"/>
      </w:pPr>
      <w:r>
        <w:t>COVID-19 Pandemic</w:t>
      </w:r>
    </w:p>
    <w:p w14:paraId="7375E701" w14:textId="77777777" w:rsidR="006328C0" w:rsidRPr="006328C0" w:rsidRDefault="006328C0" w:rsidP="006328C0">
      <w:pPr>
        <w:pStyle w:val="BodyText"/>
        <w:ind w:firstLine="360"/>
        <w:rPr>
          <w:lang w:val="en-GB"/>
        </w:rPr>
      </w:pPr>
      <w:r w:rsidRPr="006328C0">
        <w:rPr>
          <w:lang w:val="en-GB"/>
        </w:rPr>
        <w:t>In relation to the COVID-19 pandemic, Anglo American is following the advice from the government and health authorities in its different operating jurisdictions and is also implementing additional measures across its offices and operations, guided by the World Health Organisation and national public health authorities, as appropriate.</w:t>
      </w:r>
    </w:p>
    <w:p w14:paraId="6B9CDC99" w14:textId="4E938BEE" w:rsidR="006328C0" w:rsidRPr="006328C0" w:rsidRDefault="006328C0" w:rsidP="006328C0">
      <w:pPr>
        <w:pStyle w:val="BodyText"/>
        <w:ind w:firstLine="360"/>
        <w:rPr>
          <w:lang w:val="en-GB"/>
        </w:rPr>
      </w:pPr>
      <w:r w:rsidRPr="006328C0">
        <w:rPr>
          <w:lang w:val="en-GB"/>
        </w:rPr>
        <w:t>The nature of Anglo American</w:t>
      </w:r>
      <w:r w:rsidR="00A311D8">
        <w:rPr>
          <w:lang w:val="en-GB"/>
        </w:rPr>
        <w:t>’</w:t>
      </w:r>
      <w:r w:rsidRPr="006328C0">
        <w:rPr>
          <w:lang w:val="en-GB"/>
        </w:rPr>
        <w:t>s business is such that much of its work cannot be done remotely, so the Group</w:t>
      </w:r>
      <w:r w:rsidR="00A311D8">
        <w:rPr>
          <w:lang w:val="en-GB"/>
        </w:rPr>
        <w:t>’</w:t>
      </w:r>
      <w:r w:rsidRPr="006328C0">
        <w:rPr>
          <w:lang w:val="en-GB"/>
        </w:rPr>
        <w:t>s focus is on reducing the risk of the virus spreading into and across its sites. Operational continuity is considered by Anglo American to be critical for jobs, for the communities around its operations and for the local and global economies. Anglo American</w:t>
      </w:r>
      <w:r w:rsidR="00A311D8">
        <w:rPr>
          <w:lang w:val="en-GB"/>
        </w:rPr>
        <w:t>’</w:t>
      </w:r>
      <w:r w:rsidRPr="006328C0">
        <w:rPr>
          <w:lang w:val="en-GB"/>
        </w:rPr>
        <w:t xml:space="preserve">s sites and offices therefore have escalation plans to accommodate the ongoing impact of the pandemic and these will continue to be revised as the situation evolves. </w:t>
      </w:r>
    </w:p>
    <w:p w14:paraId="276D38BB" w14:textId="10417A05" w:rsidR="006328C0" w:rsidRPr="006328C0" w:rsidRDefault="006328C0" w:rsidP="006328C0">
      <w:pPr>
        <w:pStyle w:val="BodyText"/>
        <w:ind w:firstLine="360"/>
        <w:rPr>
          <w:u w:val="single"/>
          <w:lang w:val="en-GB"/>
        </w:rPr>
      </w:pPr>
      <w:r w:rsidRPr="006328C0">
        <w:rPr>
          <w:lang w:val="en-GB"/>
        </w:rPr>
        <w:t>Anglo American is taking all appropriate measures, often tailored to the specific nature and location of a particular site, to protect the safety, health and wellbeing of its people and all those who interact with its business around the world. Anglo American believes that it has a clear responsibility to protect the integrity of its business and assets so that it is ready to restart and ramp up any affected operations safely and as quickly as possible once permitted to do so. This approach is intended to minimise any interruption of supply to its customers and to be in a position to support what will be a vital economic recovery phase for the countries in which it operates and the global economy. </w:t>
      </w:r>
    </w:p>
    <w:p w14:paraId="242628B7" w14:textId="77777777" w:rsidR="006328C0" w:rsidRPr="006328C0" w:rsidRDefault="006328C0" w:rsidP="006328C0">
      <w:pPr>
        <w:pStyle w:val="BodyText"/>
        <w:ind w:firstLine="360"/>
        <w:rPr>
          <w:i/>
          <w:lang w:val="en-GB"/>
        </w:rPr>
      </w:pPr>
      <w:r w:rsidRPr="006328C0">
        <w:rPr>
          <w:i/>
          <w:lang w:val="en-GB"/>
        </w:rPr>
        <w:t>South Africa</w:t>
      </w:r>
    </w:p>
    <w:p w14:paraId="54746150" w14:textId="72009349" w:rsidR="006328C0" w:rsidRPr="006328C0" w:rsidRDefault="006328C0" w:rsidP="006328C0">
      <w:pPr>
        <w:pStyle w:val="BodyText"/>
        <w:ind w:firstLine="360"/>
        <w:rPr>
          <w:lang w:val="en-GB"/>
        </w:rPr>
      </w:pPr>
      <w:r w:rsidRPr="006328C0">
        <w:rPr>
          <w:lang w:val="en-GB"/>
        </w:rPr>
        <w:t>Anglo American notes the statement made by the President of the Republic of South Africa on March 23</w:t>
      </w:r>
      <w:r>
        <w:rPr>
          <w:lang w:val="en-GB"/>
        </w:rPr>
        <w:t xml:space="preserve">, 2020 </w:t>
      </w:r>
      <w:r w:rsidRPr="006328C0">
        <w:rPr>
          <w:lang w:val="en-GB"/>
        </w:rPr>
        <w:t>in relation to a 21-day nationwide lockdown that took effect at midnight on Thursday</w:t>
      </w:r>
      <w:r>
        <w:rPr>
          <w:lang w:val="en-GB"/>
        </w:rPr>
        <w:t xml:space="preserve">, </w:t>
      </w:r>
      <w:r w:rsidRPr="006328C0">
        <w:rPr>
          <w:lang w:val="en-GB"/>
        </w:rPr>
        <w:t>March 26,</w:t>
      </w:r>
      <w:r>
        <w:rPr>
          <w:lang w:val="en-GB"/>
        </w:rPr>
        <w:t xml:space="preserve"> 2020</w:t>
      </w:r>
      <w:r w:rsidRPr="006328C0">
        <w:rPr>
          <w:lang w:val="en-GB"/>
        </w:rPr>
        <w:t xml:space="preserve"> in order to help curb the spread of COVID-19 in South Africa.</w:t>
      </w:r>
    </w:p>
    <w:p w14:paraId="3B6F682E" w14:textId="6C979D73" w:rsidR="006328C0" w:rsidRPr="006328C0" w:rsidRDefault="006328C0" w:rsidP="006328C0">
      <w:pPr>
        <w:pStyle w:val="BodyText"/>
        <w:ind w:firstLine="360"/>
        <w:rPr>
          <w:lang w:val="en-GB"/>
        </w:rPr>
      </w:pPr>
      <w:r w:rsidRPr="006328C0">
        <w:rPr>
          <w:lang w:val="en-GB"/>
        </w:rPr>
        <w:t>Anglo American has consulted with the government authorities and industry bodies in South Africa to determine and agree the appropriate measures to be taken across its operational and other business activities. Such measures are to protect people</w:t>
      </w:r>
      <w:r w:rsidR="00A311D8">
        <w:rPr>
          <w:lang w:val="en-GB"/>
        </w:rPr>
        <w:t>’</w:t>
      </w:r>
      <w:r w:rsidRPr="006328C0">
        <w:rPr>
          <w:lang w:val="en-GB"/>
        </w:rPr>
        <w:t>s safety and health, the continuing provision of essential services to local communities, the security and integrity of the assets, the supply of essential raw materials to customers, and the ability to return operations to normal levels of activity as swiftly as possible once the lockdown restrictions are eased, in support of the country</w:t>
      </w:r>
      <w:r w:rsidR="00A311D8">
        <w:rPr>
          <w:lang w:val="en-GB"/>
        </w:rPr>
        <w:t>’</w:t>
      </w:r>
      <w:r w:rsidRPr="006328C0">
        <w:rPr>
          <w:lang w:val="en-GB"/>
        </w:rPr>
        <w:t>s broader economic interests.</w:t>
      </w:r>
    </w:p>
    <w:p w14:paraId="5F727B89" w14:textId="420F1A8A" w:rsidR="006328C0" w:rsidRPr="006328C0" w:rsidRDefault="006328C0" w:rsidP="006328C0">
      <w:pPr>
        <w:pStyle w:val="BodyText"/>
        <w:ind w:firstLine="360"/>
        <w:rPr>
          <w:lang w:val="en-GB"/>
        </w:rPr>
      </w:pPr>
      <w:r w:rsidRPr="006328C0">
        <w:rPr>
          <w:lang w:val="en-GB"/>
        </w:rPr>
        <w:t xml:space="preserve">In line with </w:t>
      </w:r>
      <w:r>
        <w:rPr>
          <w:lang w:val="en-GB"/>
        </w:rPr>
        <w:t xml:space="preserve">the </w:t>
      </w:r>
      <w:r w:rsidRPr="006328C0">
        <w:rPr>
          <w:lang w:val="en-GB"/>
        </w:rPr>
        <w:t xml:space="preserve">Government </w:t>
      </w:r>
      <w:r>
        <w:rPr>
          <w:lang w:val="en-GB"/>
        </w:rPr>
        <w:t xml:space="preserve">of </w:t>
      </w:r>
      <w:r w:rsidRPr="006328C0">
        <w:rPr>
          <w:lang w:val="en-GB"/>
        </w:rPr>
        <w:t>South Africa</w:t>
      </w:r>
      <w:r w:rsidR="00A311D8">
        <w:rPr>
          <w:lang w:val="en-GB"/>
        </w:rPr>
        <w:t>’</w:t>
      </w:r>
      <w:r>
        <w:rPr>
          <w:lang w:val="en-GB"/>
        </w:rPr>
        <w:t>s</w:t>
      </w:r>
      <w:r w:rsidRPr="006328C0">
        <w:rPr>
          <w:lang w:val="en-GB"/>
        </w:rPr>
        <w:t xml:space="preserve"> requirements, Anglo American is implementing all appropriate measures across its South African operations, with a focus on de-densification of the workforce, health screening and isolation</w:t>
      </w:r>
      <w:r w:rsidR="00D30764">
        <w:rPr>
          <w:lang w:val="en-GB"/>
        </w:rPr>
        <w:t>,</w:t>
      </w:r>
      <w:r w:rsidRPr="006328C0">
        <w:rPr>
          <w:lang w:val="en-GB"/>
        </w:rPr>
        <w:t xml:space="preserve"> where needed. The status of operations is currently expected to be as follows during the lockdown period:</w:t>
      </w:r>
    </w:p>
    <w:p w14:paraId="26087A96" w14:textId="37F0FB17" w:rsidR="006328C0" w:rsidRPr="006328C0" w:rsidRDefault="006328C0" w:rsidP="006328C0">
      <w:pPr>
        <w:pStyle w:val="BodyText"/>
        <w:numPr>
          <w:ilvl w:val="0"/>
          <w:numId w:val="47"/>
        </w:numPr>
        <w:rPr>
          <w:lang w:val="en-GB"/>
        </w:rPr>
      </w:pPr>
      <w:r w:rsidRPr="006328C0">
        <w:rPr>
          <w:lang w:val="en-GB"/>
        </w:rPr>
        <w:t xml:space="preserve">Kumba Iron Ore </w:t>
      </w:r>
      <w:r>
        <w:rPr>
          <w:lang w:val="en-GB"/>
        </w:rPr>
        <w:t>–</w:t>
      </w:r>
      <w:r w:rsidRPr="006328C0">
        <w:rPr>
          <w:lang w:val="en-GB"/>
        </w:rPr>
        <w:t>Sishen</w:t>
      </w:r>
      <w:r>
        <w:rPr>
          <w:lang w:val="en-GB"/>
        </w:rPr>
        <w:t xml:space="preserve"> </w:t>
      </w:r>
      <w:r w:rsidRPr="006328C0">
        <w:rPr>
          <w:lang w:val="en-GB"/>
        </w:rPr>
        <w:t>and Kolomela mines continue to operate with an approximately 50% level of workforce.</w:t>
      </w:r>
    </w:p>
    <w:p w14:paraId="57803AD0" w14:textId="5C8B5F34" w:rsidR="006328C0" w:rsidRPr="00D30764" w:rsidRDefault="006328C0" w:rsidP="00D30764">
      <w:pPr>
        <w:pStyle w:val="BodyText"/>
        <w:numPr>
          <w:ilvl w:val="0"/>
          <w:numId w:val="48"/>
        </w:numPr>
        <w:rPr>
          <w:lang w:val="en-GB"/>
        </w:rPr>
      </w:pPr>
      <w:r w:rsidRPr="00D30764">
        <w:rPr>
          <w:lang w:val="en-GB"/>
        </w:rPr>
        <w:t>Anglo American Platinum</w:t>
      </w:r>
      <w:r w:rsidR="00A311D8">
        <w:rPr>
          <w:lang w:val="en-GB"/>
        </w:rPr>
        <w:t>’</w:t>
      </w:r>
      <w:r w:rsidR="00D30764">
        <w:rPr>
          <w:lang w:val="en-GB"/>
        </w:rPr>
        <w:t>s</w:t>
      </w:r>
      <w:r w:rsidR="00D30764" w:rsidRPr="00D30764">
        <w:rPr>
          <w:lang w:val="en-GB"/>
        </w:rPr>
        <w:t xml:space="preserve"> </w:t>
      </w:r>
      <w:r w:rsidRPr="00D30764">
        <w:rPr>
          <w:lang w:val="en-GB"/>
        </w:rPr>
        <w:t xml:space="preserve">Mogalakwena mine and the mechanised Mototolo mine continue to operate with a reduced workforce and production, subject to further planning, as will the associated concentrator </w:t>
      </w:r>
      <w:r w:rsidRPr="00D30764">
        <w:rPr>
          <w:lang w:val="en-GB"/>
        </w:rPr>
        <w:lastRenderedPageBreak/>
        <w:t>and smelter facilities</w:t>
      </w:r>
      <w:r w:rsidR="00D30764">
        <w:rPr>
          <w:lang w:val="en-GB"/>
        </w:rPr>
        <w:t>.</w:t>
      </w:r>
    </w:p>
    <w:p w14:paraId="6D5D1C32" w14:textId="3B986086" w:rsidR="006328C0" w:rsidRPr="006328C0" w:rsidRDefault="00D30764" w:rsidP="00D30764">
      <w:pPr>
        <w:pStyle w:val="BodyText"/>
        <w:numPr>
          <w:ilvl w:val="0"/>
          <w:numId w:val="48"/>
        </w:numPr>
        <w:rPr>
          <w:lang w:val="en-GB"/>
        </w:rPr>
      </w:pPr>
      <w:r>
        <w:rPr>
          <w:lang w:val="en-GB"/>
        </w:rPr>
        <w:t>The r</w:t>
      </w:r>
      <w:r w:rsidR="006328C0" w:rsidRPr="006328C0">
        <w:rPr>
          <w:lang w:val="en-GB"/>
        </w:rPr>
        <w:t xml:space="preserve">epair of the </w:t>
      </w:r>
      <w:r w:rsidRPr="00D30764">
        <w:rPr>
          <w:lang w:val="en-GB"/>
        </w:rPr>
        <w:t>Anglo American Platinum</w:t>
      </w:r>
      <w:r>
        <w:rPr>
          <w:lang w:val="en-GB"/>
        </w:rPr>
        <w:t xml:space="preserve"> </w:t>
      </w:r>
      <w:r w:rsidR="006328C0" w:rsidRPr="006328C0">
        <w:rPr>
          <w:lang w:val="en-GB"/>
        </w:rPr>
        <w:t>ACP plant continues, as planned</w:t>
      </w:r>
      <w:r>
        <w:rPr>
          <w:lang w:val="en-GB"/>
        </w:rPr>
        <w:t xml:space="preserve">. See also </w:t>
      </w:r>
      <w:r w:rsidR="00A311D8">
        <w:rPr>
          <w:lang w:val="en-GB"/>
        </w:rPr>
        <w:t>“</w:t>
      </w:r>
      <w:r>
        <w:rPr>
          <w:lang w:val="en-GB"/>
        </w:rPr>
        <w:t>Business Description –Platinum Group Metals</w:t>
      </w:r>
      <w:r w:rsidR="00A311D8">
        <w:rPr>
          <w:lang w:val="en-GB"/>
        </w:rPr>
        <w:t>”</w:t>
      </w:r>
      <w:r>
        <w:rPr>
          <w:lang w:val="en-GB"/>
        </w:rPr>
        <w:t>.</w:t>
      </w:r>
    </w:p>
    <w:p w14:paraId="280F93D1" w14:textId="77777777" w:rsidR="006328C0" w:rsidRPr="006328C0" w:rsidRDefault="006328C0" w:rsidP="00D30764">
      <w:pPr>
        <w:pStyle w:val="BodyText"/>
        <w:numPr>
          <w:ilvl w:val="0"/>
          <w:numId w:val="48"/>
        </w:numPr>
        <w:rPr>
          <w:lang w:val="en-GB"/>
        </w:rPr>
      </w:pPr>
      <w:r w:rsidRPr="006328C0">
        <w:rPr>
          <w:lang w:val="en-GB"/>
        </w:rPr>
        <w:t>Amandelbult, Modikwa (JV) and Kroondal (JV) underground mines, as well as the Mortimer and Waterfall smelters, are being placed onto care and maintenance.</w:t>
      </w:r>
    </w:p>
    <w:p w14:paraId="2445F555" w14:textId="06CDA5F8" w:rsidR="006328C0" w:rsidRPr="006328C0" w:rsidRDefault="006328C0" w:rsidP="006328C0">
      <w:pPr>
        <w:pStyle w:val="BodyText"/>
        <w:numPr>
          <w:ilvl w:val="0"/>
          <w:numId w:val="49"/>
        </w:numPr>
        <w:rPr>
          <w:lang w:val="en-GB"/>
        </w:rPr>
      </w:pPr>
      <w:r w:rsidRPr="006328C0">
        <w:rPr>
          <w:lang w:val="en-GB"/>
        </w:rPr>
        <w:t>De Beers</w:t>
      </w:r>
      <w:r>
        <w:rPr>
          <w:lang w:val="en-GB"/>
        </w:rPr>
        <w:t xml:space="preserve"> –</w:t>
      </w:r>
      <w:r w:rsidRPr="006328C0">
        <w:rPr>
          <w:lang w:val="en-GB"/>
        </w:rPr>
        <w:t>Venetia</w:t>
      </w:r>
      <w:r>
        <w:rPr>
          <w:lang w:val="en-GB"/>
        </w:rPr>
        <w:t xml:space="preserve"> </w:t>
      </w:r>
      <w:r w:rsidRPr="006328C0">
        <w:rPr>
          <w:lang w:val="en-GB"/>
        </w:rPr>
        <w:t>mine will operate with an  approximately 75% reduced workforce.</w:t>
      </w:r>
    </w:p>
    <w:p w14:paraId="28EB5D85" w14:textId="5B711B48" w:rsidR="006328C0" w:rsidRPr="00D30764" w:rsidRDefault="006328C0" w:rsidP="00D30764">
      <w:pPr>
        <w:pStyle w:val="BodyText"/>
        <w:numPr>
          <w:ilvl w:val="0"/>
          <w:numId w:val="50"/>
        </w:numPr>
        <w:rPr>
          <w:lang w:val="en-GB"/>
        </w:rPr>
      </w:pPr>
      <w:r w:rsidRPr="00D30764">
        <w:rPr>
          <w:lang w:val="en-GB"/>
        </w:rPr>
        <w:t xml:space="preserve">Thermal </w:t>
      </w:r>
      <w:r w:rsidR="00D30764" w:rsidRPr="00D30764">
        <w:rPr>
          <w:lang w:val="en-GB"/>
        </w:rPr>
        <w:t>c</w:t>
      </w:r>
      <w:r w:rsidRPr="00D30764">
        <w:rPr>
          <w:lang w:val="en-GB"/>
        </w:rPr>
        <w:t>oal</w:t>
      </w:r>
      <w:r w:rsidR="00D30764">
        <w:rPr>
          <w:lang w:val="en-GB"/>
        </w:rPr>
        <w:t xml:space="preserve"> o</w:t>
      </w:r>
      <w:r w:rsidRPr="00D30764">
        <w:rPr>
          <w:lang w:val="en-GB"/>
        </w:rPr>
        <w:t>perations continue with an approximately 50-70% reduced wo</w:t>
      </w:r>
      <w:r w:rsidR="00D30764">
        <w:rPr>
          <w:lang w:val="en-GB"/>
        </w:rPr>
        <w:t>rkforce and production.</w:t>
      </w:r>
    </w:p>
    <w:p w14:paraId="686F8DB5" w14:textId="4BFF9637" w:rsidR="006328C0" w:rsidRPr="006328C0" w:rsidRDefault="006328C0" w:rsidP="00D30764">
      <w:pPr>
        <w:pStyle w:val="BodyText"/>
        <w:numPr>
          <w:ilvl w:val="0"/>
          <w:numId w:val="53"/>
        </w:numPr>
        <w:rPr>
          <w:lang w:val="en-GB"/>
        </w:rPr>
      </w:pPr>
      <w:r w:rsidRPr="006328C0">
        <w:rPr>
          <w:lang w:val="en-GB"/>
        </w:rPr>
        <w:t>Isibonelo</w:t>
      </w:r>
      <w:r w:rsidR="00A311D8">
        <w:rPr>
          <w:lang w:val="en-GB"/>
        </w:rPr>
        <w:t>’</w:t>
      </w:r>
      <w:r w:rsidR="00D30764">
        <w:rPr>
          <w:lang w:val="en-GB"/>
        </w:rPr>
        <w:t>s production of thermal coal</w:t>
      </w:r>
      <w:r w:rsidRPr="006328C0">
        <w:rPr>
          <w:lang w:val="en-GB"/>
        </w:rPr>
        <w:t>, which supplies Sasol</w:t>
      </w:r>
      <w:r w:rsidR="00A311D8">
        <w:rPr>
          <w:lang w:val="en-GB"/>
        </w:rPr>
        <w:t>’</w:t>
      </w:r>
      <w:r w:rsidRPr="006328C0">
        <w:rPr>
          <w:lang w:val="en-GB"/>
        </w:rPr>
        <w:t>s fuel production facility, operates with an approximately 20% reduced workforce.</w:t>
      </w:r>
    </w:p>
    <w:p w14:paraId="1A9C4328" w14:textId="2A97BC79" w:rsidR="006328C0" w:rsidRPr="006328C0" w:rsidRDefault="006328C0" w:rsidP="006328C0">
      <w:pPr>
        <w:pStyle w:val="BodyText"/>
        <w:numPr>
          <w:ilvl w:val="0"/>
          <w:numId w:val="51"/>
        </w:numPr>
        <w:rPr>
          <w:lang w:val="en-GB"/>
        </w:rPr>
      </w:pPr>
      <w:r w:rsidRPr="006328C0">
        <w:rPr>
          <w:lang w:val="en-GB"/>
        </w:rPr>
        <w:t>The rail and port logistics infrastructure to support the export of iron ore and coal is expected to continue to service the operations during th</w:t>
      </w:r>
      <w:r w:rsidR="00D30764">
        <w:rPr>
          <w:lang w:val="en-GB"/>
        </w:rPr>
        <w:t>e lockdown</w:t>
      </w:r>
      <w:r w:rsidRPr="006328C0">
        <w:rPr>
          <w:lang w:val="en-GB"/>
        </w:rPr>
        <w:t xml:space="preserve"> period.</w:t>
      </w:r>
    </w:p>
    <w:p w14:paraId="77C9064E" w14:textId="28409111" w:rsidR="006328C0" w:rsidRPr="006328C0" w:rsidRDefault="006328C0" w:rsidP="006328C0">
      <w:pPr>
        <w:pStyle w:val="BodyText"/>
        <w:numPr>
          <w:ilvl w:val="0"/>
          <w:numId w:val="52"/>
        </w:numPr>
        <w:rPr>
          <w:lang w:val="en-GB"/>
        </w:rPr>
      </w:pPr>
      <w:r w:rsidRPr="006328C0">
        <w:rPr>
          <w:lang w:val="en-GB"/>
        </w:rPr>
        <w:t>Supply chain planning is in place and any impact of the lockdown</w:t>
      </w:r>
      <w:r w:rsidR="00D30764">
        <w:rPr>
          <w:lang w:val="en-GB"/>
        </w:rPr>
        <w:t xml:space="preserve"> period</w:t>
      </w:r>
      <w:r w:rsidRPr="006328C0">
        <w:rPr>
          <w:lang w:val="en-GB"/>
        </w:rPr>
        <w:t xml:space="preserve"> is being monitored and addressed where feasible.</w:t>
      </w:r>
    </w:p>
    <w:p w14:paraId="7603E80D" w14:textId="1CD64023" w:rsidR="006328C0" w:rsidRPr="006328C0" w:rsidRDefault="006328C0" w:rsidP="006328C0">
      <w:pPr>
        <w:pStyle w:val="BodyText"/>
        <w:ind w:firstLine="360"/>
        <w:rPr>
          <w:lang w:val="en-GB"/>
        </w:rPr>
      </w:pPr>
      <w:r w:rsidRPr="006328C0">
        <w:rPr>
          <w:lang w:val="en-GB"/>
        </w:rPr>
        <w:t>Anglo American currently intends to continue to provide a number of essential services, including security</w:t>
      </w:r>
      <w:r w:rsidR="00D30764">
        <w:rPr>
          <w:lang w:val="en-GB"/>
        </w:rPr>
        <w:t>,</w:t>
      </w:r>
      <w:r w:rsidRPr="006328C0">
        <w:rPr>
          <w:lang w:val="en-GB"/>
        </w:rPr>
        <w:t xml:space="preserve"> mine maintenance</w:t>
      </w:r>
      <w:r w:rsidR="00D30764">
        <w:rPr>
          <w:lang w:val="en-GB"/>
        </w:rPr>
        <w:t>,</w:t>
      </w:r>
      <w:r w:rsidRPr="006328C0">
        <w:rPr>
          <w:lang w:val="en-GB"/>
        </w:rPr>
        <w:t xml:space="preserve"> tailings facility safety management; water treatment</w:t>
      </w:r>
      <w:r w:rsidR="00D30764">
        <w:rPr>
          <w:lang w:val="en-GB"/>
        </w:rPr>
        <w:t>,</w:t>
      </w:r>
      <w:r w:rsidRPr="006328C0">
        <w:rPr>
          <w:lang w:val="en-GB"/>
        </w:rPr>
        <w:t xml:space="preserve"> community water supply</w:t>
      </w:r>
      <w:r w:rsidR="00D30764">
        <w:rPr>
          <w:lang w:val="en-GB"/>
        </w:rPr>
        <w:t>,</w:t>
      </w:r>
      <w:r w:rsidRPr="006328C0">
        <w:rPr>
          <w:lang w:val="en-GB"/>
        </w:rPr>
        <w:t xml:space="preserve"> increased capacity in Anglo American hospitals</w:t>
      </w:r>
      <w:r w:rsidR="00D30764">
        <w:rPr>
          <w:lang w:val="en-GB"/>
        </w:rPr>
        <w:t>,</w:t>
      </w:r>
      <w:r w:rsidRPr="006328C0">
        <w:rPr>
          <w:lang w:val="en-GB"/>
        </w:rPr>
        <w:t xml:space="preserve"> accommodation provision</w:t>
      </w:r>
      <w:r w:rsidR="00D30764">
        <w:rPr>
          <w:lang w:val="en-GB"/>
        </w:rPr>
        <w:t>,</w:t>
      </w:r>
      <w:r w:rsidRPr="006328C0">
        <w:rPr>
          <w:lang w:val="en-GB"/>
        </w:rPr>
        <w:t xml:space="preserve"> health, safety and emergency response and critical head office services.</w:t>
      </w:r>
    </w:p>
    <w:p w14:paraId="4A147128" w14:textId="25EE934A" w:rsidR="006328C0" w:rsidRPr="006328C0" w:rsidRDefault="006328C0" w:rsidP="006328C0">
      <w:pPr>
        <w:pStyle w:val="BodyText"/>
        <w:ind w:firstLine="360"/>
        <w:rPr>
          <w:i/>
          <w:lang w:val="en-GB"/>
        </w:rPr>
      </w:pPr>
      <w:r w:rsidRPr="006328C0">
        <w:rPr>
          <w:i/>
          <w:lang w:val="en-GB"/>
        </w:rPr>
        <w:t>Peru – Quellaveco Project</w:t>
      </w:r>
    </w:p>
    <w:p w14:paraId="4CF06585" w14:textId="5A721E1F" w:rsidR="006328C0" w:rsidRPr="006328C0" w:rsidRDefault="006328C0" w:rsidP="006328C0">
      <w:pPr>
        <w:pStyle w:val="BodyText"/>
        <w:ind w:firstLine="360"/>
        <w:rPr>
          <w:lang w:val="en-GB"/>
        </w:rPr>
      </w:pPr>
      <w:r w:rsidRPr="006328C0">
        <w:rPr>
          <w:lang w:val="en-GB"/>
        </w:rPr>
        <w:t>The Government of Peru has extended its initial 15-day national quarantine period by 13 days to April</w:t>
      </w:r>
      <w:r w:rsidR="00D30764">
        <w:rPr>
          <w:lang w:val="en-GB"/>
        </w:rPr>
        <w:t xml:space="preserve"> </w:t>
      </w:r>
      <w:r w:rsidR="00D30764" w:rsidRPr="006328C0">
        <w:rPr>
          <w:lang w:val="en-GB"/>
        </w:rPr>
        <w:t>12</w:t>
      </w:r>
      <w:r w:rsidR="00D30764">
        <w:rPr>
          <w:lang w:val="en-GB"/>
        </w:rPr>
        <w:t>, 2020</w:t>
      </w:r>
      <w:r w:rsidRPr="006328C0">
        <w:rPr>
          <w:lang w:val="en-GB"/>
        </w:rPr>
        <w:t>. On March 17, 2020, Anglo American announced the temporarily withdrawal of the majority of employees and contractors from its Quellaveco copper project in Peru and construction work is significantly reduced, with only critical areas of the project continuing as normal, until such time as workers can return safely.</w:t>
      </w:r>
    </w:p>
    <w:p w14:paraId="136E9486" w14:textId="6536060B" w:rsidR="006328C0" w:rsidRPr="006328C0" w:rsidRDefault="006328C0" w:rsidP="006328C0">
      <w:pPr>
        <w:pStyle w:val="BodyText"/>
        <w:ind w:firstLine="360"/>
        <w:rPr>
          <w:i/>
          <w:lang w:val="en-GB"/>
        </w:rPr>
      </w:pPr>
      <w:r w:rsidRPr="006328C0">
        <w:rPr>
          <w:i/>
          <w:lang w:val="en-GB"/>
        </w:rPr>
        <w:t>UK – Woodsmith Project</w:t>
      </w:r>
    </w:p>
    <w:p w14:paraId="2582438A" w14:textId="5BE97C9B" w:rsidR="006328C0" w:rsidRPr="006328C0" w:rsidRDefault="006328C0" w:rsidP="006328C0">
      <w:pPr>
        <w:pStyle w:val="BodyText"/>
        <w:ind w:firstLine="360"/>
        <w:rPr>
          <w:lang w:val="en-GB"/>
        </w:rPr>
      </w:pPr>
      <w:r w:rsidRPr="006328C0">
        <w:rPr>
          <w:lang w:val="en-GB"/>
        </w:rPr>
        <w:t>In line with the British Government</w:t>
      </w:r>
      <w:r w:rsidR="00A311D8">
        <w:rPr>
          <w:lang w:val="en-GB"/>
        </w:rPr>
        <w:t>’</w:t>
      </w:r>
      <w:r w:rsidRPr="006328C0">
        <w:rPr>
          <w:lang w:val="en-GB"/>
        </w:rPr>
        <w:t>s measures to prevent the spread of COVID-19, Anglo American is in the process of pausing most construction and development activity on its Woodsmith polyhalite project. Appropriate action is being taken to enable safe and swift resumption of work</w:t>
      </w:r>
      <w:r w:rsidR="00A663C3">
        <w:rPr>
          <w:lang w:val="en-GB"/>
        </w:rPr>
        <w:t>, after the lifting of the measures to slow the spread of COVID-19</w:t>
      </w:r>
      <w:r w:rsidRPr="006328C0">
        <w:rPr>
          <w:lang w:val="en-GB"/>
        </w:rPr>
        <w:t>.</w:t>
      </w:r>
    </w:p>
    <w:p w14:paraId="22D419E3" w14:textId="63BB0F8E" w:rsidR="00430BBA" w:rsidRDefault="00430BBA" w:rsidP="00430BBA">
      <w:pPr>
        <w:pStyle w:val="BodyText"/>
        <w:ind w:firstLine="360"/>
        <w:rPr>
          <w:szCs w:val="24"/>
          <w:lang w:val="en-GB"/>
        </w:rPr>
      </w:pPr>
      <w:r>
        <w:rPr>
          <w:szCs w:val="24"/>
          <w:lang w:val="en-GB"/>
        </w:rPr>
        <w:t xml:space="preserve">Anglo American is taking all appropriate preventative measures to reduce the probability of the virus spreading, including by reducing the density of people on its sites. However, the rapid spread of COVID-19 has adversely affected the economies of many countries and has resulted in extreme disruption and volatility to capital and finance markets and </w:t>
      </w:r>
      <w:bookmarkStart w:id="45" w:name="_cp_text_1_64"/>
      <w:r>
        <w:rPr>
          <w:szCs w:val="24"/>
          <w:lang w:val="en-GB"/>
        </w:rPr>
        <w:t xml:space="preserve">the </w:t>
      </w:r>
      <w:bookmarkEnd w:id="45"/>
      <w:r>
        <w:rPr>
          <w:szCs w:val="24"/>
          <w:lang w:val="en-GB"/>
        </w:rPr>
        <w:t>prices</w:t>
      </w:r>
      <w:bookmarkStart w:id="46" w:name="_cp_text_1_65"/>
      <w:r>
        <w:rPr>
          <w:szCs w:val="24"/>
          <w:lang w:val="en-GB"/>
        </w:rPr>
        <w:t xml:space="preserve"> for Anglo American’s products</w:t>
      </w:r>
      <w:bookmarkEnd w:id="46"/>
      <w:r>
        <w:rPr>
          <w:szCs w:val="24"/>
          <w:lang w:val="en-GB"/>
        </w:rPr>
        <w:t xml:space="preserve">. Government measures taken in response to the COVID-19 outbreak, including containment and lockdown restrictions, and other indirect effects that COVID-19 is having on economic activity, are likely to result in economic downturns in the markets in which Anglo American sells its products and lead to reduced demand </w:t>
      </w:r>
      <w:bookmarkStart w:id="47" w:name="_cp_text_1_66"/>
      <w:r>
        <w:rPr>
          <w:szCs w:val="24"/>
          <w:lang w:val="en-GB"/>
        </w:rPr>
        <w:t xml:space="preserve">or even no demand in key jurisdictions </w:t>
      </w:r>
      <w:bookmarkEnd w:id="47"/>
      <w:r>
        <w:rPr>
          <w:szCs w:val="24"/>
          <w:lang w:val="en-GB"/>
        </w:rPr>
        <w:t xml:space="preserve">for its products in such markets, and have required, and may further require, the Group to curtail, reschedule or suspend operations, construction or development at its facilities and projects. The extension or intensification of such measures, or other countries implementing similar measures, would increase the impact on Anglo American’s operations, projects and production. </w:t>
      </w:r>
      <w:bookmarkStart w:id="48" w:name="_cp_text_1_67"/>
      <w:r>
        <w:rPr>
          <w:szCs w:val="24"/>
          <w:lang w:val="en-GB"/>
        </w:rPr>
        <w:t>This could result in a reduction in supply from both Anglo American and the broader mining industry, which may potentially have the effect of supporting commodity prices. The weaker oil price could potentially be deflationary to operating and construction costs; and weaker producer currencies could potentially result in lower U</w:t>
      </w:r>
      <w:r w:rsidR="007750E3">
        <w:rPr>
          <w:szCs w:val="24"/>
          <w:lang w:val="en-GB"/>
        </w:rPr>
        <w:t>.</w:t>
      </w:r>
      <w:r>
        <w:rPr>
          <w:szCs w:val="24"/>
          <w:lang w:val="en-GB"/>
        </w:rPr>
        <w:t>S</w:t>
      </w:r>
      <w:r w:rsidR="007750E3">
        <w:rPr>
          <w:szCs w:val="24"/>
          <w:lang w:val="en-GB"/>
        </w:rPr>
        <w:t>.</w:t>
      </w:r>
      <w:r>
        <w:rPr>
          <w:szCs w:val="24"/>
          <w:lang w:val="en-GB"/>
        </w:rPr>
        <w:t xml:space="preserve"> dollar unit costs in the nearer-term. </w:t>
      </w:r>
      <w:bookmarkEnd w:id="48"/>
      <w:r>
        <w:rPr>
          <w:szCs w:val="24"/>
          <w:lang w:val="en-GB"/>
        </w:rPr>
        <w:t>The COVID-19 outbreak is likely to continue to adversely affect the global economy during at least the remainder of 2020 and could result in a significant negative impact on the Group’s business, financial condition, results of operations and prospects. For further discussion of risks associated with the COVID-19 pandemic and its potential impact on Anglo American’s business, financial condition, results of operations and prospects, see “Risk Factors—The emerging COVID-19 global pandemic has had a negative impact on worldwide economic activity and is likely to adversely affect our business”.</w:t>
      </w:r>
    </w:p>
    <w:p w14:paraId="6F2105D2" w14:textId="52E9CB48" w:rsidR="00FC0823" w:rsidRDefault="00FC0823" w:rsidP="00E54DA4">
      <w:pPr>
        <w:pStyle w:val="BodyText"/>
        <w:widowControl/>
        <w:autoSpaceDE/>
        <w:autoSpaceDN/>
        <w:adjustRightInd/>
        <w:ind w:firstLine="360"/>
        <w:rPr>
          <w:lang w:val="en-GB"/>
        </w:rPr>
      </w:pPr>
    </w:p>
    <w:p w14:paraId="1C1536FD" w14:textId="77777777" w:rsidR="00486B8C" w:rsidRDefault="003D4D89">
      <w:pPr>
        <w:widowControl/>
        <w:autoSpaceDE/>
        <w:autoSpaceDN/>
        <w:adjustRightInd/>
        <w:rPr>
          <w:b/>
          <w:i/>
          <w:lang w:val="en-GB"/>
        </w:rPr>
      </w:pPr>
      <w:r>
        <w:rPr>
          <w:lang w:val="en-GB"/>
        </w:rPr>
        <w:br w:type="page"/>
      </w:r>
    </w:p>
    <w:p w14:paraId="74EB3FE1" w14:textId="2369D387" w:rsidR="00542FF4" w:rsidRPr="00571974" w:rsidRDefault="00F7022D" w:rsidP="00542FF4">
      <w:pPr>
        <w:pStyle w:val="Heading1"/>
        <w:rPr>
          <w:lang w:val="en-GB"/>
        </w:rPr>
      </w:pPr>
      <w:bookmarkStart w:id="49" w:name="_Toc36388959"/>
      <w:r w:rsidRPr="00571974">
        <w:rPr>
          <w:lang w:val="en-GB"/>
        </w:rPr>
        <w:lastRenderedPageBreak/>
        <w:t>USE OF PROCEEDS</w:t>
      </w:r>
      <w:bookmarkEnd w:id="49"/>
    </w:p>
    <w:p w14:paraId="7FFE8EE0" w14:textId="29784B8A" w:rsidR="00542FF4" w:rsidRPr="00571974" w:rsidRDefault="003D4D89" w:rsidP="00542FF4">
      <w:pPr>
        <w:pStyle w:val="BodyText"/>
        <w:widowControl/>
        <w:autoSpaceDE/>
        <w:autoSpaceDN/>
        <w:adjustRightInd/>
        <w:ind w:firstLine="360"/>
        <w:rPr>
          <w:lang w:val="en-GB"/>
        </w:rPr>
      </w:pPr>
      <w:r w:rsidRPr="00571974">
        <w:rPr>
          <w:lang w:val="en-GB"/>
        </w:rPr>
        <w:t xml:space="preserve">We estimate the net proceeds to us from our sale of Notes to be approximately </w:t>
      </w:r>
      <w:r w:rsidR="003E1CBD" w:rsidRPr="00571974">
        <w:rPr>
          <w:lang w:val="en-GB"/>
        </w:rPr>
        <w:t>US$</w:t>
      </w:r>
      <w:r w:rsidR="00663418">
        <w:rPr>
          <w:lang w:val="en-GB"/>
        </w:rPr>
        <w:t>1,4</w:t>
      </w:r>
      <w:r w:rsidR="00A1526B">
        <w:rPr>
          <w:lang w:val="en-GB"/>
        </w:rPr>
        <w:t>89</w:t>
      </w:r>
      <w:r w:rsidRPr="00571974">
        <w:rPr>
          <w:lang w:val="en-GB"/>
        </w:rPr>
        <w:t xml:space="preserve"> million after deducting the underwriting discount and our estimated offering expenses. Anglo American </w:t>
      </w:r>
      <w:r w:rsidR="00C85336" w:rsidRPr="00571974">
        <w:rPr>
          <w:lang w:val="en-GB"/>
        </w:rPr>
        <w:t>expects to</w:t>
      </w:r>
      <w:r w:rsidRPr="00571974">
        <w:rPr>
          <w:lang w:val="en-GB"/>
        </w:rPr>
        <w:t xml:space="preserve"> use the net proceeds of the offering for our general corporate purposes</w:t>
      </w:r>
      <w:r w:rsidR="00956B0A" w:rsidRPr="00571974">
        <w:rPr>
          <w:lang w:val="en-GB"/>
        </w:rPr>
        <w:t>.</w:t>
      </w:r>
      <w:r w:rsidR="003F1BFC" w:rsidRPr="00571974">
        <w:rPr>
          <w:lang w:val="en-GB"/>
        </w:rPr>
        <w:t xml:space="preserve"> </w:t>
      </w:r>
      <w:r w:rsidR="00B46C9B" w:rsidRPr="00571974">
        <w:rPr>
          <w:lang w:val="en-GB"/>
        </w:rPr>
        <w:t xml:space="preserve">Please see </w:t>
      </w:r>
      <w:r w:rsidR="00A311D8">
        <w:rPr>
          <w:lang w:val="en-GB"/>
        </w:rPr>
        <w:t>“</w:t>
      </w:r>
      <w:r w:rsidR="00846795" w:rsidRPr="00571974">
        <w:rPr>
          <w:lang w:val="en-GB"/>
        </w:rPr>
        <w:t>Capitalization</w:t>
      </w:r>
      <w:r w:rsidR="00A311D8">
        <w:rPr>
          <w:lang w:val="en-GB"/>
        </w:rPr>
        <w:t>”</w:t>
      </w:r>
      <w:r w:rsidR="00B46C9B" w:rsidRPr="00571974">
        <w:rPr>
          <w:lang w:val="en-GB"/>
        </w:rPr>
        <w:t xml:space="preserve">. </w:t>
      </w:r>
      <w:r w:rsidRPr="00571974">
        <w:rPr>
          <w:lang w:val="en-GB"/>
        </w:rPr>
        <w:t xml:space="preserve"> </w:t>
      </w:r>
    </w:p>
    <w:p w14:paraId="50D79833" w14:textId="1AE65F12" w:rsidR="00454446" w:rsidRDefault="00454446">
      <w:pPr>
        <w:widowControl/>
        <w:autoSpaceDE/>
        <w:autoSpaceDN/>
        <w:adjustRightInd/>
        <w:rPr>
          <w:lang w:val="en-GB"/>
        </w:rPr>
      </w:pPr>
      <w:r>
        <w:rPr>
          <w:lang w:val="en-GB"/>
        </w:rPr>
        <w:br w:type="page"/>
      </w:r>
    </w:p>
    <w:p w14:paraId="2EB2089F" w14:textId="77777777" w:rsidR="00542FF4" w:rsidRPr="00571974" w:rsidRDefault="003D4D89" w:rsidP="00542FF4">
      <w:pPr>
        <w:pStyle w:val="Heading1"/>
        <w:rPr>
          <w:lang w:val="en-GB"/>
        </w:rPr>
      </w:pPr>
      <w:bookmarkStart w:id="50" w:name="_Toc36388960"/>
      <w:bookmarkStart w:id="51" w:name="_Hlk505958762"/>
      <w:r w:rsidRPr="00571974">
        <w:rPr>
          <w:lang w:val="en-GB"/>
        </w:rPr>
        <w:lastRenderedPageBreak/>
        <w:t>BUSINESS DESCRIPTION</w:t>
      </w:r>
      <w:bookmarkEnd w:id="50"/>
    </w:p>
    <w:p w14:paraId="7F018497" w14:textId="3FD2FEE7" w:rsidR="00EA3260" w:rsidRDefault="00643003" w:rsidP="00DA283E">
      <w:pPr>
        <w:pStyle w:val="BodyText"/>
        <w:widowControl/>
        <w:autoSpaceDE/>
        <w:autoSpaceDN/>
        <w:adjustRightInd/>
        <w:ind w:firstLine="360"/>
        <w:rPr>
          <w:lang w:val="en-GB"/>
        </w:rPr>
      </w:pPr>
      <w:r w:rsidRPr="00571974">
        <w:rPr>
          <w:lang w:val="en-GB"/>
        </w:rPr>
        <w:t xml:space="preserve">Anglo American plc is the holding company of the Group, a </w:t>
      </w:r>
      <w:r w:rsidR="00EA3260" w:rsidRPr="00571974">
        <w:rPr>
          <w:lang w:val="en-GB"/>
        </w:rPr>
        <w:t xml:space="preserve">leading </w:t>
      </w:r>
      <w:r w:rsidRPr="00571974">
        <w:rPr>
          <w:lang w:val="en-GB"/>
        </w:rPr>
        <w:t>global mining company</w:t>
      </w:r>
      <w:r w:rsidR="00EA3260" w:rsidRPr="00571974">
        <w:rPr>
          <w:lang w:val="en-GB"/>
        </w:rPr>
        <w:t xml:space="preserve"> with a world class portfolio of mining and processing operations and undeveloped resources</w:t>
      </w:r>
      <w:r w:rsidR="00CF35DE">
        <w:rPr>
          <w:lang w:val="en-GB"/>
        </w:rPr>
        <w:t>.</w:t>
      </w:r>
      <w:r w:rsidR="00EA3260" w:rsidRPr="00571974">
        <w:rPr>
          <w:lang w:val="en-GB"/>
        </w:rPr>
        <w:t xml:space="preserve">  </w:t>
      </w:r>
      <w:r w:rsidRPr="00571974">
        <w:rPr>
          <w:lang w:val="en-GB"/>
        </w:rPr>
        <w:t>The Group is geographically diverse, wi</w:t>
      </w:r>
      <w:r w:rsidR="00FF1FFB">
        <w:rPr>
          <w:lang w:val="en-GB"/>
        </w:rPr>
        <w:t>th operations across the world.</w:t>
      </w:r>
    </w:p>
    <w:p w14:paraId="10FBCFAF" w14:textId="77777777" w:rsidR="00643003" w:rsidRPr="00571974" w:rsidRDefault="003D4D89" w:rsidP="00643003">
      <w:pPr>
        <w:pStyle w:val="Heading2"/>
        <w:rPr>
          <w:lang w:val="en-GB"/>
        </w:rPr>
      </w:pPr>
      <w:r w:rsidRPr="00571974">
        <w:rPr>
          <w:lang w:val="en-GB"/>
        </w:rPr>
        <w:t>Strategy</w:t>
      </w:r>
    </w:p>
    <w:p w14:paraId="71BAB86C" w14:textId="7699D4FC" w:rsidR="00FF1FFB" w:rsidRPr="00571974" w:rsidRDefault="003D4D89" w:rsidP="00DA283E">
      <w:pPr>
        <w:pStyle w:val="BodyText"/>
        <w:widowControl/>
        <w:autoSpaceDE/>
        <w:autoSpaceDN/>
        <w:adjustRightInd/>
        <w:ind w:firstLine="360"/>
        <w:rPr>
          <w:lang w:val="en-GB"/>
        </w:rPr>
      </w:pPr>
      <w:r w:rsidRPr="00571974">
        <w:rPr>
          <w:lang w:val="en-GB"/>
        </w:rPr>
        <w:t>Our strategy is to secure, develop and operate a portfolio of high quality and long life resource assets</w:t>
      </w:r>
      <w:r w:rsidR="007F0530" w:rsidRPr="00571974">
        <w:rPr>
          <w:lang w:val="en-GB"/>
        </w:rPr>
        <w:t xml:space="preserve"> with the potential to </w:t>
      </w:r>
      <w:r w:rsidRPr="00571974">
        <w:rPr>
          <w:lang w:val="en-GB"/>
        </w:rPr>
        <w:t xml:space="preserve">deliver leading shareholder returns. We </w:t>
      </w:r>
      <w:r w:rsidR="007F0530" w:rsidRPr="00571974">
        <w:rPr>
          <w:lang w:val="en-GB"/>
        </w:rPr>
        <w:t xml:space="preserve">seek to </w:t>
      </w:r>
      <w:r w:rsidRPr="00571974">
        <w:rPr>
          <w:lang w:val="en-GB"/>
        </w:rPr>
        <w:t xml:space="preserve">achieve this through innovative practices and technologies – in the hands of our world class people – towards our common </w:t>
      </w:r>
      <w:r w:rsidR="0036123E" w:rsidRPr="00571974">
        <w:rPr>
          <w:lang w:val="en-GB"/>
        </w:rPr>
        <w:t>p</w:t>
      </w:r>
      <w:r w:rsidRPr="00571974">
        <w:rPr>
          <w:lang w:val="en-GB"/>
        </w:rPr>
        <w:t>urpose</w:t>
      </w:r>
      <w:r w:rsidR="0036123E" w:rsidRPr="00571974">
        <w:rPr>
          <w:lang w:val="en-GB"/>
        </w:rPr>
        <w:t>; re-imagining mining to improve people</w:t>
      </w:r>
      <w:r w:rsidR="00A311D8">
        <w:rPr>
          <w:lang w:val="en-GB"/>
        </w:rPr>
        <w:t>’</w:t>
      </w:r>
      <w:r w:rsidR="0036123E" w:rsidRPr="00571974">
        <w:rPr>
          <w:lang w:val="en-GB"/>
        </w:rPr>
        <w:t>s lives.</w:t>
      </w:r>
    </w:p>
    <w:p w14:paraId="2341F2E9" w14:textId="77777777" w:rsidR="00643003" w:rsidRPr="00571974" w:rsidRDefault="003D4D89" w:rsidP="00EA3F32">
      <w:pPr>
        <w:pStyle w:val="Heading4"/>
      </w:pPr>
      <w:r w:rsidRPr="00571974">
        <w:t>Portfolio</w:t>
      </w:r>
    </w:p>
    <w:p w14:paraId="795F9DA3" w14:textId="4171A650" w:rsidR="0036123E" w:rsidRDefault="003D4D89" w:rsidP="00DA283E">
      <w:pPr>
        <w:pStyle w:val="BodyText"/>
        <w:widowControl/>
        <w:autoSpaceDE/>
        <w:autoSpaceDN/>
        <w:adjustRightInd/>
        <w:ind w:firstLine="360"/>
        <w:rPr>
          <w:lang w:val="en-GB"/>
        </w:rPr>
      </w:pPr>
      <w:r w:rsidRPr="00571974">
        <w:rPr>
          <w:lang w:val="en-GB"/>
        </w:rPr>
        <w:t>Anglo American</w:t>
      </w:r>
      <w:r w:rsidR="00A311D8">
        <w:rPr>
          <w:lang w:val="en-GB"/>
        </w:rPr>
        <w:t>’</w:t>
      </w:r>
      <w:r w:rsidRPr="00571974">
        <w:rPr>
          <w:lang w:val="en-GB"/>
        </w:rPr>
        <w:t>s portfolio of world‑class mining operations and undeveloped resources – spanning diamonds (through De Beers), copper, platinum group metals, iron ore, coal, nickel and manganese – provides the raw materials to meet the growing consumer-driven demands of the world</w:t>
      </w:r>
      <w:r w:rsidR="00A311D8">
        <w:rPr>
          <w:lang w:val="en-GB"/>
        </w:rPr>
        <w:t>’</w:t>
      </w:r>
      <w:r w:rsidRPr="00571974">
        <w:rPr>
          <w:lang w:val="en-GB"/>
        </w:rPr>
        <w:t>s developed and maturing economies.</w:t>
      </w:r>
      <w:r w:rsidR="00454446">
        <w:rPr>
          <w:lang w:val="en-GB"/>
        </w:rPr>
        <w:t xml:space="preserve"> </w:t>
      </w:r>
      <w:r w:rsidRPr="00571974">
        <w:rPr>
          <w:lang w:val="en-GB"/>
        </w:rPr>
        <w:t>The scale and diversity of the portfolio allow</w:t>
      </w:r>
      <w:r w:rsidR="007F0530" w:rsidRPr="00571974">
        <w:rPr>
          <w:lang w:val="en-GB"/>
        </w:rPr>
        <w:t>s</w:t>
      </w:r>
      <w:r w:rsidRPr="00571974">
        <w:rPr>
          <w:lang w:val="en-GB"/>
        </w:rPr>
        <w:t xml:space="preserve"> us to leverage our financial resources, technical expertise and supplier relationships towards delivery on our potential, and to the benefit of our customers. </w:t>
      </w:r>
    </w:p>
    <w:p w14:paraId="0B603E50" w14:textId="77777777" w:rsidR="001C19F3" w:rsidRPr="00DA283E" w:rsidRDefault="003D4D89" w:rsidP="00DA283E">
      <w:pPr>
        <w:pStyle w:val="BodyText"/>
        <w:widowControl/>
        <w:autoSpaceDE/>
        <w:autoSpaceDN/>
        <w:adjustRightInd/>
        <w:ind w:firstLine="360"/>
        <w:rPr>
          <w:lang w:val="en-GB"/>
        </w:rPr>
      </w:pPr>
      <w:r w:rsidRPr="00571974">
        <w:rPr>
          <w:lang w:val="en-GB"/>
        </w:rPr>
        <w:t xml:space="preserve">We </w:t>
      </w:r>
      <w:r w:rsidR="007F0530" w:rsidRPr="00571974">
        <w:rPr>
          <w:lang w:val="en-GB"/>
        </w:rPr>
        <w:t xml:space="preserve">plan to </w:t>
      </w:r>
      <w:r w:rsidRPr="00571974">
        <w:rPr>
          <w:lang w:val="en-GB"/>
        </w:rPr>
        <w:t>continue to refine and upgrade our asset portfolio as a matter of course to ensure that our capital is deployed effectively to generate enhanced and sustainable returns for our shareholders. Anglo American has transformed the quality and performance of its portfolio over the past seven years, halving the number of assets while producing more physical product. This transformation has been achieved through extensive operational self-help and other efficiency work, together with the sale, placing onto care and maintenance, and closure of less attractive assets, resulting in a step change in our operational performance,</w:t>
      </w:r>
      <w:r w:rsidR="006F370D" w:rsidRPr="00571974">
        <w:rPr>
          <w:lang w:val="en-GB"/>
        </w:rPr>
        <w:t xml:space="preserve"> </w:t>
      </w:r>
      <w:r w:rsidRPr="00571974">
        <w:rPr>
          <w:lang w:val="en-GB"/>
        </w:rPr>
        <w:t>profitability and cash flow generation.</w:t>
      </w:r>
    </w:p>
    <w:p w14:paraId="5AF7C4A8" w14:textId="77777777" w:rsidR="001C19F3" w:rsidRPr="00DA283E" w:rsidRDefault="003D4D89" w:rsidP="00DA283E">
      <w:pPr>
        <w:pStyle w:val="BodyText"/>
        <w:widowControl/>
        <w:autoSpaceDE/>
        <w:autoSpaceDN/>
        <w:adjustRightInd/>
        <w:ind w:firstLine="360"/>
        <w:rPr>
          <w:i/>
          <w:lang w:val="en-GB"/>
        </w:rPr>
      </w:pPr>
      <w:r w:rsidRPr="00DA283E">
        <w:rPr>
          <w:i/>
          <w:lang w:val="en-GB"/>
        </w:rPr>
        <w:t xml:space="preserve">Portfolio </w:t>
      </w:r>
      <w:r w:rsidR="006F370D" w:rsidRPr="00DA283E">
        <w:rPr>
          <w:i/>
          <w:lang w:val="en-GB"/>
        </w:rPr>
        <w:t>Update</w:t>
      </w:r>
    </w:p>
    <w:p w14:paraId="6E405505" w14:textId="4715DFD7" w:rsidR="00D26725" w:rsidRDefault="003D4D89" w:rsidP="00DA283E">
      <w:pPr>
        <w:pStyle w:val="BodyText"/>
        <w:widowControl/>
        <w:autoSpaceDE/>
        <w:autoSpaceDN/>
        <w:adjustRightInd/>
        <w:ind w:firstLine="360"/>
        <w:rPr>
          <w:lang w:val="en-GB"/>
        </w:rPr>
      </w:pPr>
      <w:r w:rsidRPr="00571974">
        <w:rPr>
          <w:lang w:val="en-GB"/>
        </w:rPr>
        <w:t>In 2019, the Group entered into, or completed, a number of transactions, including the equali</w:t>
      </w:r>
      <w:r w:rsidR="00EA3F32">
        <w:rPr>
          <w:lang w:val="en-GB"/>
        </w:rPr>
        <w:t>z</w:t>
      </w:r>
      <w:r w:rsidRPr="00571974">
        <w:rPr>
          <w:lang w:val="en-GB"/>
        </w:rPr>
        <w:t xml:space="preserve">ation of ownership across its integrated metallurgical coal operations at Moranbah North and Grosvenor </w:t>
      </w:r>
      <w:r w:rsidR="007F0530" w:rsidRPr="00571974">
        <w:rPr>
          <w:lang w:val="en-GB"/>
        </w:rPr>
        <w:t xml:space="preserve">in Queensland, Australia, </w:t>
      </w:r>
      <w:r w:rsidRPr="00571974">
        <w:rPr>
          <w:lang w:val="en-GB"/>
        </w:rPr>
        <w:t xml:space="preserve">through the sale of 12% in Grosvenor to the existing </w:t>
      </w:r>
      <w:r w:rsidR="007F0530" w:rsidRPr="00571974">
        <w:rPr>
          <w:lang w:val="en-GB"/>
        </w:rPr>
        <w:t xml:space="preserve">non- Anglo American </w:t>
      </w:r>
      <w:r w:rsidRPr="00571974">
        <w:rPr>
          <w:lang w:val="en-GB"/>
        </w:rPr>
        <w:t>Moranbah North Coal joint venture</w:t>
      </w:r>
      <w:r w:rsidR="007F0530" w:rsidRPr="00571974">
        <w:rPr>
          <w:lang w:val="en-GB"/>
        </w:rPr>
        <w:t>rs</w:t>
      </w:r>
      <w:r w:rsidRPr="00571974">
        <w:rPr>
          <w:lang w:val="en-GB"/>
        </w:rPr>
        <w:t xml:space="preserve"> (transaction to complete </w:t>
      </w:r>
      <w:r w:rsidR="007F0530" w:rsidRPr="00571974">
        <w:rPr>
          <w:lang w:val="en-GB"/>
        </w:rPr>
        <w:t xml:space="preserve">during </w:t>
      </w:r>
      <w:r w:rsidRPr="00571974">
        <w:rPr>
          <w:lang w:val="en-GB"/>
        </w:rPr>
        <w:t>2020). The Grosvenor mine uses Moranbah North</w:t>
      </w:r>
      <w:r w:rsidR="00A311D8">
        <w:rPr>
          <w:lang w:val="en-GB"/>
        </w:rPr>
        <w:t>’</w:t>
      </w:r>
      <w:r w:rsidRPr="00571974">
        <w:rPr>
          <w:lang w:val="en-GB"/>
        </w:rPr>
        <w:t xml:space="preserve">s coal processing infrastructure, where numerous debottlenecking, expansion and product blending options offer considerable cost, productivity and margin benefits for the integrated operation. We also completed phase 1 of a two-phased Atlatsa restructuring plan, which entailed amongst other aspects, the acquisition and the incorporation of the exploration properties adjacent to Mogalakwena mine into the Mogalakwena mining right. In Namibia, De Beers also </w:t>
      </w:r>
      <w:r w:rsidR="004312D0">
        <w:rPr>
          <w:lang w:val="en-GB"/>
        </w:rPr>
        <w:t>announced</w:t>
      </w:r>
      <w:r w:rsidR="004312D0" w:rsidRPr="00571974">
        <w:rPr>
          <w:lang w:val="en-GB"/>
        </w:rPr>
        <w:t xml:space="preserve"> </w:t>
      </w:r>
      <w:r w:rsidRPr="00571974">
        <w:rPr>
          <w:lang w:val="en-GB"/>
        </w:rPr>
        <w:t>the sale of Elizabeth Bay (currently on care and maintenance) to a member of the Lewcor Group.</w:t>
      </w:r>
    </w:p>
    <w:p w14:paraId="6F18C4E1" w14:textId="73364E32" w:rsidR="001C19F3" w:rsidRDefault="003D4D89" w:rsidP="00DA283E">
      <w:pPr>
        <w:pStyle w:val="BodyText"/>
        <w:widowControl/>
        <w:autoSpaceDE/>
        <w:autoSpaceDN/>
        <w:adjustRightInd/>
        <w:ind w:firstLine="360"/>
        <w:rPr>
          <w:rFonts w:ascii="HelveticaNeueLTStd-Lt" w:hAnsi="HelveticaNeueLTStd-Lt" w:cs="HelveticaNeueLTStd-Lt"/>
          <w:sz w:val="16"/>
          <w:szCs w:val="16"/>
          <w:lang w:val="en-GB"/>
        </w:rPr>
      </w:pPr>
      <w:r w:rsidRPr="00571974">
        <w:rPr>
          <w:lang w:val="en-GB"/>
        </w:rPr>
        <w:t xml:space="preserve">Anglo American announced on July </w:t>
      </w:r>
      <w:r w:rsidR="00EA32F6" w:rsidRPr="00571974">
        <w:rPr>
          <w:lang w:val="en-GB"/>
        </w:rPr>
        <w:t xml:space="preserve">26, </w:t>
      </w:r>
      <w:r w:rsidRPr="00571974">
        <w:rPr>
          <w:lang w:val="en-GB"/>
        </w:rPr>
        <w:t>2018, that its Board had approved the development of the Quellaveco copper project in Peru. This follows the completion of the transaction announced in June 2018, whereby Mitsubishi increased its interest in AAQSA, which owns the Quellaveco project, to 40</w:t>
      </w:r>
      <w:r w:rsidR="00932D2B" w:rsidRPr="00571974">
        <w:rPr>
          <w:lang w:val="en-GB"/>
        </w:rPr>
        <w:t>%</w:t>
      </w:r>
      <w:r w:rsidR="00F93CA4" w:rsidRPr="00571974">
        <w:rPr>
          <w:lang w:val="en-GB"/>
        </w:rPr>
        <w:t xml:space="preserve"> via the issuance of new shares</w:t>
      </w:r>
      <w:r w:rsidRPr="00571974">
        <w:rPr>
          <w:lang w:val="en-GB"/>
        </w:rPr>
        <w:t xml:space="preserve">. </w:t>
      </w:r>
      <w:r w:rsidR="005E3FA0">
        <w:rPr>
          <w:lang w:val="en-GB"/>
        </w:rPr>
        <w:t>A</w:t>
      </w:r>
      <w:r w:rsidR="008634C2" w:rsidRPr="008634C2">
        <w:rPr>
          <w:lang w:val="en-GB"/>
        </w:rPr>
        <w:t>s at December 31, 2019</w:t>
      </w:r>
      <w:r w:rsidR="005E3FA0" w:rsidRPr="005E3FA0">
        <w:rPr>
          <w:lang w:val="en-GB"/>
        </w:rPr>
        <w:t>, project execution at Quellaveco</w:t>
      </w:r>
      <w:r w:rsidR="008634C2" w:rsidRPr="008634C2">
        <w:rPr>
          <w:lang w:val="en-GB"/>
        </w:rPr>
        <w:t xml:space="preserve"> was </w:t>
      </w:r>
      <w:r w:rsidR="006F370D" w:rsidRPr="00571974">
        <w:rPr>
          <w:lang w:val="en-GB"/>
        </w:rPr>
        <w:t xml:space="preserve">approximately </w:t>
      </w:r>
      <w:r w:rsidR="00A933BD" w:rsidRPr="00571974">
        <w:rPr>
          <w:lang w:val="en-GB"/>
        </w:rPr>
        <w:t xml:space="preserve">40% complete, with all key milestones for 2019 </w:t>
      </w:r>
      <w:r w:rsidR="008634C2">
        <w:rPr>
          <w:lang w:val="en-GB"/>
        </w:rPr>
        <w:t>completed</w:t>
      </w:r>
      <w:r w:rsidR="00A933BD" w:rsidRPr="00571974">
        <w:rPr>
          <w:lang w:val="en-GB"/>
        </w:rPr>
        <w:t xml:space="preserve"> on schedule. </w:t>
      </w:r>
    </w:p>
    <w:p w14:paraId="744263B4" w14:textId="52319EAA" w:rsidR="00722DD6" w:rsidRPr="00571974" w:rsidRDefault="00722DD6" w:rsidP="00722DD6">
      <w:pPr>
        <w:pStyle w:val="BodyText"/>
        <w:widowControl/>
        <w:autoSpaceDE/>
        <w:autoSpaceDN/>
        <w:adjustRightInd/>
        <w:ind w:firstLine="360"/>
        <w:rPr>
          <w:lang w:val="en-GB"/>
        </w:rPr>
      </w:pPr>
      <w:r>
        <w:t>On March 17, 2020, we announced the temporary withdrawal of the majority of employees and contractors from our Quellaveco copper project, following the Government of Peru</w:t>
      </w:r>
      <w:r w:rsidR="00A311D8">
        <w:t>’</w:t>
      </w:r>
      <w:r>
        <w:t>s announcement of a</w:t>
      </w:r>
      <w:r w:rsidR="00663418">
        <w:t>n initial</w:t>
      </w:r>
      <w:r>
        <w:t xml:space="preserve"> 15-day national quarantine </w:t>
      </w:r>
      <w:r w:rsidR="00663418">
        <w:t xml:space="preserve">(subsequently extended) </w:t>
      </w:r>
      <w:r>
        <w:t>to curb the spread of COVID-19. Construction work on the project will therefore be significantly slowed, with only critical areas of the project continuing as normal, until such time as workers can return safely.</w:t>
      </w:r>
      <w:r w:rsidR="008634C2" w:rsidRPr="008634C2">
        <w:rPr>
          <w:lang w:val="en-GB"/>
        </w:rPr>
        <w:t xml:space="preserve"> </w:t>
      </w:r>
    </w:p>
    <w:p w14:paraId="25601D94" w14:textId="77777777" w:rsidR="001C19F3" w:rsidRPr="00571974" w:rsidRDefault="003D4D89" w:rsidP="00FF1FFB">
      <w:pPr>
        <w:pStyle w:val="BodyText"/>
        <w:keepNext/>
        <w:ind w:firstLine="357"/>
        <w:rPr>
          <w:i/>
          <w:lang w:val="en-GB"/>
        </w:rPr>
      </w:pPr>
      <w:r w:rsidRPr="00571974">
        <w:rPr>
          <w:i/>
          <w:lang w:val="en-GB"/>
        </w:rPr>
        <w:t>Projects</w:t>
      </w:r>
    </w:p>
    <w:p w14:paraId="735B7FBE" w14:textId="15BD5727" w:rsidR="001C19F3" w:rsidRPr="00571974" w:rsidRDefault="003D4D89" w:rsidP="00DA283E">
      <w:pPr>
        <w:pStyle w:val="BodyText"/>
        <w:widowControl/>
        <w:autoSpaceDE/>
        <w:autoSpaceDN/>
        <w:adjustRightInd/>
        <w:ind w:firstLine="360"/>
        <w:rPr>
          <w:lang w:val="en-GB"/>
        </w:rPr>
      </w:pPr>
      <w:r w:rsidRPr="00571974">
        <w:rPr>
          <w:lang w:val="en-GB"/>
        </w:rPr>
        <w:t>Strict value criteria are applied to the assessment of Anglo American</w:t>
      </w:r>
      <w:r w:rsidR="00A311D8">
        <w:rPr>
          <w:lang w:val="en-GB"/>
        </w:rPr>
        <w:t>’</w:t>
      </w:r>
      <w:r w:rsidRPr="00571974">
        <w:rPr>
          <w:lang w:val="en-GB"/>
        </w:rPr>
        <w:t xml:space="preserve">s portfolio of future growth options. Where appropriate, we aim to seek partners for the development of major greenfield projects and </w:t>
      </w:r>
      <w:r w:rsidR="00C71077" w:rsidRPr="00571974">
        <w:rPr>
          <w:lang w:val="en-GB"/>
        </w:rPr>
        <w:t>will avoid</w:t>
      </w:r>
      <w:r w:rsidRPr="00571974">
        <w:rPr>
          <w:lang w:val="en-GB"/>
        </w:rPr>
        <w:t xml:space="preserve"> commit</w:t>
      </w:r>
      <w:r w:rsidR="00C71077" w:rsidRPr="00571974">
        <w:rPr>
          <w:lang w:val="en-GB"/>
        </w:rPr>
        <w:t xml:space="preserve">ting </w:t>
      </w:r>
      <w:r w:rsidRPr="00571974">
        <w:rPr>
          <w:lang w:val="en-GB"/>
        </w:rPr>
        <w:t xml:space="preserve">to </w:t>
      </w:r>
      <w:r w:rsidR="00C71077" w:rsidRPr="00571974">
        <w:rPr>
          <w:lang w:val="en-GB"/>
        </w:rPr>
        <w:t xml:space="preserve">too many </w:t>
      </w:r>
      <w:r w:rsidRPr="00571974">
        <w:rPr>
          <w:lang w:val="en-GB"/>
        </w:rPr>
        <w:t>project</w:t>
      </w:r>
      <w:r w:rsidR="00C71077" w:rsidRPr="00571974">
        <w:rPr>
          <w:lang w:val="en-GB"/>
        </w:rPr>
        <w:t>s</w:t>
      </w:r>
      <w:r w:rsidRPr="00571974">
        <w:rPr>
          <w:lang w:val="en-GB"/>
        </w:rPr>
        <w:t xml:space="preserve"> at </w:t>
      </w:r>
      <w:r w:rsidR="00C71077" w:rsidRPr="00571974">
        <w:rPr>
          <w:lang w:val="en-GB"/>
        </w:rPr>
        <w:t xml:space="preserve">the same </w:t>
      </w:r>
      <w:r w:rsidRPr="00571974">
        <w:rPr>
          <w:lang w:val="en-GB"/>
        </w:rPr>
        <w:t>time. The Group will continue to maintain optionality to progress with value accretive projects, should market conditions and capital availability permit.</w:t>
      </w:r>
    </w:p>
    <w:p w14:paraId="18409915" w14:textId="74D2E056" w:rsidR="001C19F3" w:rsidRDefault="003D4D89" w:rsidP="00DA283E">
      <w:pPr>
        <w:pStyle w:val="BodyText"/>
        <w:widowControl/>
        <w:autoSpaceDE/>
        <w:autoSpaceDN/>
        <w:adjustRightInd/>
        <w:ind w:firstLine="360"/>
        <w:rPr>
          <w:lang w:val="en-GB"/>
        </w:rPr>
      </w:pPr>
      <w:r w:rsidRPr="00571974">
        <w:rPr>
          <w:lang w:val="en-GB"/>
        </w:rPr>
        <w:t xml:space="preserve">In May 2019, we announced the approval by Debmarine Namibia, a 50:50 joint venture between De Beers and the Government of the Republic of Namibia, of the construction of a new custom-built diamond recovery vessel. At an </w:t>
      </w:r>
      <w:r w:rsidR="00DB197F">
        <w:rPr>
          <w:lang w:val="en-GB"/>
        </w:rPr>
        <w:t xml:space="preserve">initially </w:t>
      </w:r>
      <w:r w:rsidRPr="00571974">
        <w:rPr>
          <w:lang w:val="en-GB"/>
        </w:rPr>
        <w:t xml:space="preserve">expected total capital cost of </w:t>
      </w:r>
      <w:r w:rsidR="00826D4E" w:rsidRPr="00571974">
        <w:rPr>
          <w:lang w:val="en-GB"/>
        </w:rPr>
        <w:t>US</w:t>
      </w:r>
      <w:r w:rsidRPr="00571974">
        <w:rPr>
          <w:lang w:val="en-GB"/>
        </w:rPr>
        <w:t>$</w:t>
      </w:r>
      <w:r w:rsidR="00826D4E" w:rsidRPr="00571974">
        <w:rPr>
          <w:lang w:val="en-GB"/>
        </w:rPr>
        <w:t>468 million</w:t>
      </w:r>
      <w:r w:rsidRPr="00571974">
        <w:rPr>
          <w:lang w:val="en-GB"/>
        </w:rPr>
        <w:t xml:space="preserve"> (</w:t>
      </w:r>
      <w:r w:rsidR="00826D4E" w:rsidRPr="00571974">
        <w:rPr>
          <w:lang w:val="en-GB"/>
        </w:rPr>
        <w:t>US</w:t>
      </w:r>
      <w:r w:rsidRPr="00571974">
        <w:rPr>
          <w:lang w:val="en-GB"/>
        </w:rPr>
        <w:t>$</w:t>
      </w:r>
      <w:r w:rsidR="00826D4E" w:rsidRPr="00571974">
        <w:rPr>
          <w:lang w:val="en-GB"/>
        </w:rPr>
        <w:t>2</w:t>
      </w:r>
      <w:r w:rsidR="0047454D" w:rsidRPr="00571974">
        <w:rPr>
          <w:lang w:val="en-GB"/>
        </w:rPr>
        <w:t>34</w:t>
      </w:r>
      <w:r w:rsidR="00826D4E" w:rsidRPr="00571974">
        <w:rPr>
          <w:lang w:val="en-GB"/>
        </w:rPr>
        <w:t xml:space="preserve"> million</w:t>
      </w:r>
      <w:r w:rsidRPr="00571974">
        <w:rPr>
          <w:lang w:val="en-GB"/>
        </w:rPr>
        <w:t xml:space="preserve"> attributable to Anglo American), this new vessel will become the seventh in the Debmarine Namibia fleet. It </w:t>
      </w:r>
      <w:r w:rsidR="00DB197F">
        <w:rPr>
          <w:lang w:val="en-GB"/>
        </w:rPr>
        <w:t>was initially</w:t>
      </w:r>
      <w:r w:rsidR="0047454D" w:rsidRPr="00571974">
        <w:rPr>
          <w:lang w:val="en-GB"/>
        </w:rPr>
        <w:t xml:space="preserve"> </w:t>
      </w:r>
      <w:r w:rsidRPr="00571974">
        <w:rPr>
          <w:lang w:val="en-GB"/>
        </w:rPr>
        <w:t>expected to begin production in 2022, with the capacity to add 500,000 carats of annual production, a 35% increase above Debmarine Namibia</w:t>
      </w:r>
      <w:r w:rsidR="00A311D8">
        <w:rPr>
          <w:lang w:val="en-GB"/>
        </w:rPr>
        <w:t>’</w:t>
      </w:r>
      <w:r w:rsidRPr="00571974">
        <w:rPr>
          <w:lang w:val="en-GB"/>
        </w:rPr>
        <w:t xml:space="preserve">s </w:t>
      </w:r>
      <w:r w:rsidRPr="00571974">
        <w:rPr>
          <w:lang w:val="en-GB"/>
        </w:rPr>
        <w:lastRenderedPageBreak/>
        <w:t xml:space="preserve">current levels. </w:t>
      </w:r>
      <w:r w:rsidR="00DB197F" w:rsidRPr="00DB197F">
        <w:rPr>
          <w:lang w:val="en-GB"/>
        </w:rPr>
        <w:t>It is not yet clear what impact COVID-19 will have on this timeline.</w:t>
      </w:r>
      <w:r w:rsidR="00DB197F">
        <w:rPr>
          <w:lang w:val="en-GB"/>
        </w:rPr>
        <w:t xml:space="preserve"> </w:t>
      </w:r>
      <w:r w:rsidRPr="00571974">
        <w:rPr>
          <w:lang w:val="en-GB"/>
        </w:rPr>
        <w:t xml:space="preserve">In July 2019, the Board approved the Aquila project to extend the life of the Capcoal underground hard coking coal operations in Queensland, Australia, by six years, to 2028. At an expected attributable capital cost of </w:t>
      </w:r>
      <w:r w:rsidR="008119DC">
        <w:rPr>
          <w:lang w:val="en-GB"/>
        </w:rPr>
        <w:t>US</w:t>
      </w:r>
      <w:r w:rsidRPr="00571974">
        <w:rPr>
          <w:lang w:val="en-GB"/>
        </w:rPr>
        <w:t>$</w:t>
      </w:r>
      <w:r w:rsidR="0047454D" w:rsidRPr="00571974">
        <w:rPr>
          <w:lang w:val="en-GB"/>
        </w:rPr>
        <w:t>226 m</w:t>
      </w:r>
      <w:r w:rsidRPr="00571974">
        <w:rPr>
          <w:lang w:val="en-GB"/>
        </w:rPr>
        <w:t>illion, Aquila offers a high-margin extension to the mine, with an average annual saleable production of 3.5 million tonnes (attributable) of premium quality hard coking coal. Development work began in September 2019 and first longwall production is expected in early 2022. Longer term, the Group has a number of future organic growth options under consideration, including expansions at Collahuasi and Los Bronces copper mines in Chile and the Mogalakwena PGMs complex in South Africa, and a number of debottlenecking and expansion opportunities at the Moranbah</w:t>
      </w:r>
      <w:r w:rsidR="00775A41">
        <w:rPr>
          <w:lang w:val="en-GB"/>
        </w:rPr>
        <w:t xml:space="preserve"> North</w:t>
      </w:r>
      <w:r w:rsidRPr="00571974">
        <w:rPr>
          <w:lang w:val="en-GB"/>
        </w:rPr>
        <w:t>/Grosvenor metallurgical coal complex in Australia.</w:t>
      </w:r>
    </w:p>
    <w:p w14:paraId="01C6988C" w14:textId="012C9BE9" w:rsidR="00C1104E" w:rsidRPr="00571974" w:rsidRDefault="00C1104E" w:rsidP="00DA283E">
      <w:pPr>
        <w:pStyle w:val="BodyText"/>
        <w:widowControl/>
        <w:autoSpaceDE/>
        <w:autoSpaceDN/>
        <w:adjustRightInd/>
        <w:ind w:firstLine="360"/>
        <w:rPr>
          <w:lang w:val="en-GB"/>
        </w:rPr>
      </w:pPr>
      <w:r w:rsidRPr="00C1104E">
        <w:rPr>
          <w:lang w:val="en-GB"/>
        </w:rPr>
        <w:t xml:space="preserve">On </w:t>
      </w:r>
      <w:r w:rsidR="00BA1E88">
        <w:rPr>
          <w:lang w:val="en-GB"/>
        </w:rPr>
        <w:t>March</w:t>
      </w:r>
      <w:r w:rsidRPr="00C1104E">
        <w:rPr>
          <w:lang w:val="en-GB"/>
        </w:rPr>
        <w:t xml:space="preserve"> </w:t>
      </w:r>
      <w:r w:rsidR="00BA1E88">
        <w:rPr>
          <w:lang w:val="en-GB"/>
        </w:rPr>
        <w:t>17</w:t>
      </w:r>
      <w:r w:rsidRPr="00C1104E">
        <w:rPr>
          <w:lang w:val="en-GB"/>
        </w:rPr>
        <w:t xml:space="preserve">, 2020, </w:t>
      </w:r>
      <w:r>
        <w:rPr>
          <w:lang w:val="en-GB"/>
        </w:rPr>
        <w:t>Anglo American acquire</w:t>
      </w:r>
      <w:r w:rsidR="00BA1E88">
        <w:rPr>
          <w:lang w:val="en-GB"/>
        </w:rPr>
        <w:t>d</w:t>
      </w:r>
      <w:r>
        <w:rPr>
          <w:lang w:val="en-GB"/>
        </w:rPr>
        <w:t xml:space="preserve"> the </w:t>
      </w:r>
      <w:r w:rsidR="00C248C2">
        <w:rPr>
          <w:lang w:val="en-GB"/>
        </w:rPr>
        <w:t xml:space="preserve">entire issued </w:t>
      </w:r>
      <w:r w:rsidRPr="00C1104E">
        <w:rPr>
          <w:lang w:val="en-GB"/>
        </w:rPr>
        <w:t>share capital of Sirius.</w:t>
      </w:r>
      <w:r>
        <w:rPr>
          <w:lang w:val="en-GB"/>
        </w:rPr>
        <w:t xml:space="preserve">  </w:t>
      </w:r>
      <w:r w:rsidRPr="00571974">
        <w:rPr>
          <w:lang w:val="en-GB"/>
        </w:rPr>
        <w:t xml:space="preserve">For a more detailed description of the </w:t>
      </w:r>
      <w:r w:rsidR="00BA1E88">
        <w:rPr>
          <w:lang w:val="en-GB"/>
        </w:rPr>
        <w:t>acquisition</w:t>
      </w:r>
      <w:r w:rsidRPr="00571974">
        <w:rPr>
          <w:lang w:val="en-GB"/>
        </w:rPr>
        <w:t xml:space="preserve">, see </w:t>
      </w:r>
      <w:r w:rsidR="00A311D8">
        <w:rPr>
          <w:lang w:val="en-GB"/>
        </w:rPr>
        <w:t>“</w:t>
      </w:r>
      <w:r>
        <w:rPr>
          <w:lang w:val="en-GB"/>
        </w:rPr>
        <w:t>Recent Developments</w:t>
      </w:r>
      <w:r w:rsidRPr="00571974">
        <w:rPr>
          <w:lang w:val="en-GB"/>
        </w:rPr>
        <w:t>—</w:t>
      </w:r>
      <w:r>
        <w:rPr>
          <w:lang w:val="en-GB"/>
        </w:rPr>
        <w:t>Sirius Minerals Acquisition</w:t>
      </w:r>
      <w:r w:rsidR="00A311D8">
        <w:rPr>
          <w:lang w:val="en-GB"/>
        </w:rPr>
        <w:t>”</w:t>
      </w:r>
      <w:r w:rsidRPr="00571974">
        <w:rPr>
          <w:lang w:val="en-GB"/>
        </w:rPr>
        <w:t>.</w:t>
      </w:r>
    </w:p>
    <w:p w14:paraId="2DA188E1" w14:textId="77777777" w:rsidR="00875BF6" w:rsidRPr="00571974" w:rsidRDefault="003D4D89" w:rsidP="00875BF6">
      <w:pPr>
        <w:pStyle w:val="BodyText"/>
        <w:ind w:firstLine="357"/>
        <w:rPr>
          <w:i/>
          <w:lang w:val="en-GB"/>
        </w:rPr>
      </w:pPr>
      <w:r w:rsidRPr="00571974">
        <w:rPr>
          <w:i/>
          <w:lang w:val="en-GB"/>
        </w:rPr>
        <w:t>Discovery</w:t>
      </w:r>
    </w:p>
    <w:p w14:paraId="290CDA1C" w14:textId="474CCE68" w:rsidR="00D26725" w:rsidRDefault="003D4D89" w:rsidP="00DA283E">
      <w:pPr>
        <w:pStyle w:val="BodyText"/>
        <w:widowControl/>
        <w:autoSpaceDE/>
        <w:autoSpaceDN/>
        <w:adjustRightInd/>
        <w:ind w:firstLine="360"/>
        <w:rPr>
          <w:lang w:val="en-GB"/>
        </w:rPr>
      </w:pPr>
      <w:r w:rsidRPr="00571974">
        <w:rPr>
          <w:lang w:val="en-GB"/>
        </w:rPr>
        <w:t>Discovery and Geosciences, including our exploration activities, is consolidated across the Group, covering near-asset and greenfield discovery, projects, and operations. The integrated function is supporting a greater technical understanding of our world-class assets, a strategic advantage that is being applied to maximi</w:t>
      </w:r>
      <w:r w:rsidR="00EA3F32">
        <w:rPr>
          <w:lang w:val="en-GB"/>
        </w:rPr>
        <w:t>z</w:t>
      </w:r>
      <w:r w:rsidRPr="00571974">
        <w:rPr>
          <w:lang w:val="en-GB"/>
        </w:rPr>
        <w:t>e reali</w:t>
      </w:r>
      <w:r w:rsidR="00EA3F32">
        <w:rPr>
          <w:lang w:val="en-GB"/>
        </w:rPr>
        <w:t>z</w:t>
      </w:r>
      <w:r w:rsidRPr="00571974">
        <w:rPr>
          <w:lang w:val="en-GB"/>
        </w:rPr>
        <w:t>ation of value from them, and to gain significant benefit in both near-asset and greenfield discovery work. We are concentrating on the discovery of mineral deposits in existing and new districts that are capable of delivering sustainable returns on a material scale, and which provide greater diversification and optionality for the business.</w:t>
      </w:r>
    </w:p>
    <w:p w14:paraId="54E64825" w14:textId="77777777" w:rsidR="00643003" w:rsidRPr="00571974" w:rsidRDefault="003D4D89" w:rsidP="00EA3F32">
      <w:pPr>
        <w:pStyle w:val="Heading4"/>
      </w:pPr>
      <w:r w:rsidRPr="00571974">
        <w:t>Innovation</w:t>
      </w:r>
    </w:p>
    <w:p w14:paraId="216AA4A9" w14:textId="77777777" w:rsidR="00DE1B11" w:rsidRPr="00571974" w:rsidRDefault="003D4D89" w:rsidP="00DA283E">
      <w:pPr>
        <w:pStyle w:val="BodyText"/>
        <w:widowControl/>
        <w:autoSpaceDE/>
        <w:autoSpaceDN/>
        <w:adjustRightInd/>
        <w:ind w:firstLine="360"/>
        <w:rPr>
          <w:lang w:val="en-GB"/>
        </w:rPr>
      </w:pPr>
      <w:r w:rsidRPr="00571974">
        <w:rPr>
          <w:lang w:val="en-GB"/>
        </w:rPr>
        <w:t xml:space="preserve">Across every aspect of our business, we are </w:t>
      </w:r>
      <w:r w:rsidR="00C352D4" w:rsidRPr="00571974">
        <w:rPr>
          <w:lang w:val="en-GB"/>
        </w:rPr>
        <w:t>t</w:t>
      </w:r>
      <w:r w:rsidRPr="00571974">
        <w:rPr>
          <w:lang w:val="en-GB"/>
        </w:rPr>
        <w:t xml:space="preserve">hinking </w:t>
      </w:r>
      <w:r w:rsidR="00C352D4" w:rsidRPr="00571974">
        <w:rPr>
          <w:lang w:val="en-GB"/>
        </w:rPr>
        <w:t>innovatively about how we work to ensure the safety or our people, enhance our sustainability performance, and deliver</w:t>
      </w:r>
      <w:r w:rsidRPr="00571974">
        <w:rPr>
          <w:lang w:val="en-GB"/>
        </w:rPr>
        <w:t xml:space="preserve"> industry</w:t>
      </w:r>
      <w:r w:rsidR="00C352D4" w:rsidRPr="00571974">
        <w:rPr>
          <w:lang w:val="en-GB"/>
        </w:rPr>
        <w:t>-</w:t>
      </w:r>
      <w:r w:rsidRPr="00571974">
        <w:rPr>
          <w:lang w:val="en-GB"/>
        </w:rPr>
        <w:t xml:space="preserve">leading margins and returns. </w:t>
      </w:r>
    </w:p>
    <w:p w14:paraId="133BAC7B" w14:textId="77777777" w:rsidR="00C352D4" w:rsidRPr="00571974" w:rsidRDefault="003D4D89" w:rsidP="001A578D">
      <w:pPr>
        <w:pStyle w:val="BodyText"/>
        <w:ind w:firstLine="357"/>
        <w:rPr>
          <w:i/>
          <w:lang w:val="en-GB"/>
        </w:rPr>
      </w:pPr>
      <w:r w:rsidRPr="00571974">
        <w:rPr>
          <w:i/>
          <w:lang w:val="en-GB"/>
        </w:rPr>
        <w:t>Operating Model</w:t>
      </w:r>
    </w:p>
    <w:p w14:paraId="7354B04A" w14:textId="77777777" w:rsidR="00C352D4" w:rsidRPr="00571974" w:rsidRDefault="003D4D89" w:rsidP="00DA283E">
      <w:pPr>
        <w:pStyle w:val="BodyText"/>
        <w:widowControl/>
        <w:autoSpaceDE/>
        <w:autoSpaceDN/>
        <w:adjustRightInd/>
        <w:ind w:firstLine="360"/>
        <w:rPr>
          <w:lang w:val="en-GB"/>
        </w:rPr>
      </w:pPr>
      <w:r w:rsidRPr="00571974">
        <w:rPr>
          <w:lang w:val="en-GB"/>
        </w:rPr>
        <w:t>Our Operating Model is the foundation to support us in achieving this, by providing structure, stability and predictability in the way that we plan and execute every task. Unplanned work is inherently more costly, and less safe</w:t>
      </w:r>
      <w:r w:rsidR="00826D4E" w:rsidRPr="00571974">
        <w:rPr>
          <w:lang w:val="en-GB"/>
        </w:rPr>
        <w:t>,</w:t>
      </w:r>
      <w:r w:rsidRPr="00571974">
        <w:rPr>
          <w:lang w:val="en-GB"/>
        </w:rPr>
        <w:t xml:space="preserve"> than planned work.</w:t>
      </w:r>
    </w:p>
    <w:p w14:paraId="6830199B" w14:textId="77777777" w:rsidR="00374521" w:rsidRPr="00571974" w:rsidRDefault="003D4D89" w:rsidP="00374521">
      <w:pPr>
        <w:pStyle w:val="BodyText"/>
        <w:ind w:firstLine="357"/>
        <w:rPr>
          <w:lang w:val="en-GB"/>
        </w:rPr>
      </w:pPr>
      <w:r w:rsidRPr="00571974">
        <w:rPr>
          <w:i/>
          <w:lang w:val="en-GB"/>
        </w:rPr>
        <w:t>Marketing Model</w:t>
      </w:r>
    </w:p>
    <w:p w14:paraId="18532B79" w14:textId="51B69A5A" w:rsidR="00374521" w:rsidRPr="00571974" w:rsidRDefault="003D4D89" w:rsidP="00DA283E">
      <w:pPr>
        <w:pStyle w:val="BodyText"/>
        <w:widowControl/>
        <w:autoSpaceDE/>
        <w:autoSpaceDN/>
        <w:adjustRightInd/>
        <w:ind w:firstLine="360"/>
        <w:rPr>
          <w:lang w:val="en-GB"/>
        </w:rPr>
      </w:pPr>
      <w:r w:rsidRPr="00571974">
        <w:rPr>
          <w:lang w:val="en-GB"/>
        </w:rPr>
        <w:t>Our Marketing Model maximi</w:t>
      </w:r>
      <w:r w:rsidR="00EA3F32">
        <w:rPr>
          <w:lang w:val="en-GB"/>
        </w:rPr>
        <w:t>z</w:t>
      </w:r>
      <w:r w:rsidRPr="00571974">
        <w:rPr>
          <w:lang w:val="en-GB"/>
        </w:rPr>
        <w:t xml:space="preserve">es the value from our mineral resources. We do this by </w:t>
      </w:r>
      <w:r w:rsidR="002E33A5">
        <w:rPr>
          <w:lang w:val="en-GB"/>
        </w:rPr>
        <w:t xml:space="preserve">seeking to </w:t>
      </w:r>
      <w:r w:rsidRPr="00571974">
        <w:rPr>
          <w:lang w:val="en-GB"/>
        </w:rPr>
        <w:t>fully understand and address our customers</w:t>
      </w:r>
      <w:r w:rsidR="00A311D8">
        <w:rPr>
          <w:lang w:val="en-GB"/>
        </w:rPr>
        <w:t>’</w:t>
      </w:r>
      <w:r w:rsidRPr="00571974">
        <w:rPr>
          <w:lang w:val="en-GB"/>
        </w:rPr>
        <w:t xml:space="preserve"> specific needs and leveraging our capabilities in the financial and physical markets to drive the right commercial decisions across the value chain – from mine to market.</w:t>
      </w:r>
    </w:p>
    <w:p w14:paraId="2061BC53" w14:textId="77777777" w:rsidR="00C352D4" w:rsidRPr="00571974" w:rsidRDefault="003D4D89" w:rsidP="001A578D">
      <w:pPr>
        <w:pStyle w:val="BodyText"/>
        <w:ind w:firstLine="357"/>
        <w:rPr>
          <w:lang w:val="en-GB"/>
        </w:rPr>
      </w:pPr>
      <w:r w:rsidRPr="00571974">
        <w:rPr>
          <w:i/>
          <w:lang w:val="en-GB"/>
        </w:rPr>
        <w:t>P101</w:t>
      </w:r>
    </w:p>
    <w:p w14:paraId="60826FA0" w14:textId="77777777" w:rsidR="001C19F3" w:rsidRPr="00571974" w:rsidRDefault="003D4D89" w:rsidP="00DA283E">
      <w:pPr>
        <w:pStyle w:val="BodyText"/>
        <w:widowControl/>
        <w:autoSpaceDE/>
        <w:autoSpaceDN/>
        <w:adjustRightInd/>
        <w:ind w:firstLine="360"/>
        <w:rPr>
          <w:lang w:val="en-GB"/>
        </w:rPr>
      </w:pPr>
      <w:r w:rsidRPr="00571974">
        <w:rPr>
          <w:lang w:val="en-GB"/>
        </w:rPr>
        <w:t xml:space="preserve">P101 is our transformational asset productivity programme that we build on top of the stability provided by the Operating Model. It is about improving the performance of our most value-driving mining and other processes to industry best-in-class benchmarks, then pushing the capability boundary further, </w:t>
      </w:r>
      <w:r w:rsidR="002E33A5">
        <w:rPr>
          <w:lang w:val="en-GB"/>
        </w:rPr>
        <w:t>seeking to establish</w:t>
      </w:r>
      <w:r w:rsidRPr="00571974">
        <w:rPr>
          <w:lang w:val="en-GB"/>
        </w:rPr>
        <w:t xml:space="preserve"> new benchmarks for the industry in terms of efficiency and the way we work. P101 sets the context for our progress and is critical to enable the delivery of FutureSmart Mining™.</w:t>
      </w:r>
      <w:r w:rsidR="00027A40" w:rsidRPr="00571974">
        <w:rPr>
          <w:lang w:val="en-GB"/>
        </w:rPr>
        <w:t xml:space="preserve"> </w:t>
      </w:r>
    </w:p>
    <w:p w14:paraId="56C70F48" w14:textId="77777777" w:rsidR="001C19F3" w:rsidRPr="00571974" w:rsidRDefault="003D4D89" w:rsidP="001A578D">
      <w:pPr>
        <w:pStyle w:val="BodyText"/>
        <w:ind w:firstLine="357"/>
        <w:rPr>
          <w:i/>
          <w:lang w:val="en-GB"/>
        </w:rPr>
      </w:pPr>
      <w:r w:rsidRPr="00571974">
        <w:rPr>
          <w:i/>
          <w:lang w:val="en-GB"/>
        </w:rPr>
        <w:t>Future</w:t>
      </w:r>
      <w:r w:rsidR="000A3810" w:rsidRPr="00571974">
        <w:rPr>
          <w:i/>
          <w:lang w:val="en-GB"/>
        </w:rPr>
        <w:t>S</w:t>
      </w:r>
      <w:r w:rsidRPr="00571974">
        <w:rPr>
          <w:i/>
          <w:lang w:val="en-GB"/>
        </w:rPr>
        <w:t xml:space="preserve">mart </w:t>
      </w:r>
      <w:r w:rsidR="00C34156" w:rsidRPr="00571974">
        <w:rPr>
          <w:i/>
          <w:lang w:val="en-GB"/>
        </w:rPr>
        <w:t>M</w:t>
      </w:r>
      <w:r w:rsidRPr="00571974">
        <w:rPr>
          <w:i/>
          <w:lang w:val="en-GB"/>
        </w:rPr>
        <w:t>ining™: a blueprint for the future of our business</w:t>
      </w:r>
    </w:p>
    <w:p w14:paraId="2DA231BF" w14:textId="0735BC3E" w:rsidR="00374521" w:rsidRPr="00571974" w:rsidRDefault="003D4D89" w:rsidP="00DA283E">
      <w:pPr>
        <w:pStyle w:val="BodyText"/>
        <w:widowControl/>
        <w:autoSpaceDE/>
        <w:autoSpaceDN/>
        <w:adjustRightInd/>
        <w:ind w:firstLine="360"/>
        <w:rPr>
          <w:lang w:val="en-GB"/>
        </w:rPr>
      </w:pPr>
      <w:r w:rsidRPr="00571974">
        <w:rPr>
          <w:lang w:val="en-GB"/>
        </w:rPr>
        <w:t xml:space="preserve">FutureSmart Mining™ is the blueprint for the future of our business. A future in which broad innovative thinking, enabling technologies, and collaborative partnerships will shape an industry that is safer, more sustainable and efficient, and better harmonised with the needs of our host communities and society as a whole. </w:t>
      </w:r>
      <w:r w:rsidR="00826D4E" w:rsidRPr="00571974">
        <w:rPr>
          <w:lang w:val="en-GB"/>
        </w:rPr>
        <w:t>We expect t</w:t>
      </w:r>
      <w:r w:rsidRPr="00571974">
        <w:rPr>
          <w:lang w:val="en-GB"/>
        </w:rPr>
        <w:t>echnologies and digitali</w:t>
      </w:r>
      <w:r w:rsidR="00BB253D" w:rsidRPr="00571974">
        <w:rPr>
          <w:lang w:val="en-GB"/>
        </w:rPr>
        <w:t>z</w:t>
      </w:r>
      <w:r w:rsidRPr="00571974">
        <w:rPr>
          <w:lang w:val="en-GB"/>
        </w:rPr>
        <w:t>ation will fundamentally change how we source, mine, process, move and market our products; and our Sustainable Mining Plan will transform how our stakeholders experience Anglo American along our entire value chain.</w:t>
      </w:r>
      <w:r w:rsidR="00027A40" w:rsidRPr="00571974">
        <w:rPr>
          <w:lang w:val="en-GB"/>
        </w:rPr>
        <w:t xml:space="preserve"> </w:t>
      </w:r>
      <w:r w:rsidRPr="00571974">
        <w:rPr>
          <w:lang w:val="en-GB"/>
        </w:rPr>
        <w:t>Through technologies and digitali</w:t>
      </w:r>
      <w:r w:rsidR="008119DC">
        <w:rPr>
          <w:lang w:val="en-GB"/>
        </w:rPr>
        <w:t>z</w:t>
      </w:r>
      <w:r w:rsidRPr="00571974">
        <w:rPr>
          <w:lang w:val="en-GB"/>
        </w:rPr>
        <w:t>ation, we envisage four concepts underpinning a new way of mining: Concentrating the Mine</w:t>
      </w:r>
      <w:r w:rsidR="002E33A5" w:rsidRPr="00571974">
        <w:rPr>
          <w:lang w:val="en-GB"/>
        </w:rPr>
        <w:t>™</w:t>
      </w:r>
      <w:r w:rsidRPr="00571974">
        <w:rPr>
          <w:lang w:val="en-GB"/>
        </w:rPr>
        <w:t>, the Water-less Mine, the Modern Mine, and the Intelligent Mine.</w:t>
      </w:r>
    </w:p>
    <w:p w14:paraId="4085890E" w14:textId="3DE8BA84" w:rsidR="001C19F3" w:rsidRPr="00571974" w:rsidRDefault="003D4D89" w:rsidP="00DA283E">
      <w:pPr>
        <w:pStyle w:val="BodyText"/>
        <w:widowControl/>
        <w:autoSpaceDE/>
        <w:autoSpaceDN/>
        <w:adjustRightInd/>
        <w:ind w:firstLine="360"/>
        <w:rPr>
          <w:lang w:val="en-GB"/>
        </w:rPr>
      </w:pPr>
      <w:r w:rsidRPr="00571974">
        <w:rPr>
          <w:lang w:val="en-GB"/>
        </w:rPr>
        <w:t>Concentrating the Mine™ is looking to address the need for increased precision in mining, with minimal energy, water and capital intensity. We are applying technologies including coarse particle recovery, bulk sorting and ultrafine recovery, that more precisely target the desired metals or minerals, delivering greater than 30% reductions in the use of water, energy and capital intensity, and producing less waste in the process, in line with our overall trajectory towards carbon neutral mining. The work we are doing on Concentrating the Mine™ is creating pathways to the Water-less Mine. Given that 75% of Anglo American</w:t>
      </w:r>
      <w:r w:rsidR="00A311D8">
        <w:rPr>
          <w:lang w:val="en-GB"/>
        </w:rPr>
        <w:t>’</w:t>
      </w:r>
      <w:r w:rsidRPr="00571974">
        <w:rPr>
          <w:lang w:val="en-GB"/>
        </w:rPr>
        <w:t xml:space="preserve">s current asset portfolio is located in water constrained areas, it is essential that we reduce our dependence on water and associated tailings facilities. Two technologies we are focusing on to achieve our ambition of operating a waterless mine are coarse particle recovery </w:t>
      </w:r>
      <w:r w:rsidRPr="00571974">
        <w:rPr>
          <w:lang w:val="en-GB"/>
        </w:rPr>
        <w:lastRenderedPageBreak/>
        <w:t xml:space="preserve">and novel leaching. As part of </w:t>
      </w:r>
      <w:r w:rsidR="00BB253D" w:rsidRPr="00571974">
        <w:rPr>
          <w:lang w:val="en-GB"/>
        </w:rPr>
        <w:t xml:space="preserve">the </w:t>
      </w:r>
      <w:r w:rsidRPr="00571974">
        <w:rPr>
          <w:lang w:val="en-GB"/>
        </w:rPr>
        <w:t xml:space="preserve">Modern </w:t>
      </w:r>
      <w:r w:rsidR="00BB253D" w:rsidRPr="00571974">
        <w:rPr>
          <w:lang w:val="en-GB"/>
        </w:rPr>
        <w:t>Mine</w:t>
      </w:r>
      <w:r w:rsidRPr="00571974">
        <w:rPr>
          <w:lang w:val="en-GB"/>
        </w:rPr>
        <w:t>, we are developing a new generation of engineered controls to reduce the exposure of people to risk. This includes using existing technologies, like electro-hydraulic drills, and by removing scraper winches. The Intelligent Mine is one in which vast quantities of quality data are transformed into predictive intelligence, leading to safe, fully integrated, systemised and self-learning operations. The aim is to remove the uncertainty and variability that characterises mining today.</w:t>
      </w:r>
      <w:r w:rsidRPr="00571974">
        <w:rPr>
          <w:rFonts w:ascii="HelveticaNeueLTStd-Lt" w:hAnsi="HelveticaNeueLTStd-Lt" w:cs="HelveticaNeueLTStd-Lt"/>
          <w:sz w:val="16"/>
          <w:szCs w:val="16"/>
          <w:lang w:val="en-GB"/>
        </w:rPr>
        <w:t xml:space="preserve"> </w:t>
      </w:r>
    </w:p>
    <w:p w14:paraId="1E96049D" w14:textId="77777777" w:rsidR="00643003" w:rsidRPr="00571974" w:rsidRDefault="003D4D89" w:rsidP="00EA3F32">
      <w:pPr>
        <w:pStyle w:val="Heading4"/>
      </w:pPr>
      <w:r w:rsidRPr="00571974">
        <w:t>People</w:t>
      </w:r>
    </w:p>
    <w:p w14:paraId="7C3BD0AD" w14:textId="338351F1" w:rsidR="002B0D3F" w:rsidRPr="00571974" w:rsidRDefault="003D4D89" w:rsidP="00DA283E">
      <w:pPr>
        <w:pStyle w:val="BodyText"/>
        <w:widowControl/>
        <w:autoSpaceDE/>
        <w:autoSpaceDN/>
        <w:adjustRightInd/>
        <w:ind w:firstLine="360"/>
        <w:rPr>
          <w:lang w:val="en-GB"/>
        </w:rPr>
      </w:pPr>
      <w:r w:rsidRPr="00571974">
        <w:rPr>
          <w:lang w:val="en-GB"/>
        </w:rPr>
        <w:t>Our people are critical to all that we do. The partnerships we build locally and globally are central to maintaining our regulatory and social licen</w:t>
      </w:r>
      <w:r w:rsidR="00BB253D" w:rsidRPr="00571974">
        <w:rPr>
          <w:lang w:val="en-GB"/>
        </w:rPr>
        <w:t>s</w:t>
      </w:r>
      <w:r w:rsidRPr="00571974">
        <w:rPr>
          <w:lang w:val="en-GB"/>
        </w:rPr>
        <w:t>es to operate and our sustained commercial success. We create inclusive and diverse working environments that encourage and support a high performance culture and innovative thinking. Our Organisation Model ensures we have the right people in the right roles doing the right value-adding work at the right time, with clear accountabilities that minimi</w:t>
      </w:r>
      <w:r w:rsidR="008119DC">
        <w:rPr>
          <w:lang w:val="en-GB"/>
        </w:rPr>
        <w:t>z</w:t>
      </w:r>
      <w:r w:rsidRPr="00571974">
        <w:rPr>
          <w:lang w:val="en-GB"/>
        </w:rPr>
        <w:t>e work duplication and increase capability and effectiveness.</w:t>
      </w:r>
    </w:p>
    <w:p w14:paraId="20B0E706" w14:textId="77777777" w:rsidR="002D6EF5" w:rsidRPr="00571974" w:rsidRDefault="003D4D89" w:rsidP="006F75EB">
      <w:pPr>
        <w:pStyle w:val="BodyText"/>
        <w:keepNext/>
        <w:ind w:firstLine="357"/>
        <w:rPr>
          <w:i/>
          <w:lang w:val="en-GB"/>
        </w:rPr>
      </w:pPr>
      <w:r w:rsidRPr="00571974">
        <w:rPr>
          <w:i/>
          <w:lang w:val="en-GB"/>
        </w:rPr>
        <w:t>Safety</w:t>
      </w:r>
    </w:p>
    <w:p w14:paraId="3D9B985D" w14:textId="5E8E527A" w:rsidR="002D6EF5" w:rsidRPr="00571974" w:rsidRDefault="003D4D89" w:rsidP="00DA283E">
      <w:pPr>
        <w:pStyle w:val="BodyText"/>
        <w:widowControl/>
        <w:autoSpaceDE/>
        <w:autoSpaceDN/>
        <w:adjustRightInd/>
        <w:ind w:firstLine="360"/>
        <w:rPr>
          <w:lang w:val="en-GB"/>
        </w:rPr>
      </w:pPr>
      <w:r w:rsidRPr="00571974">
        <w:rPr>
          <w:lang w:val="en-GB"/>
        </w:rPr>
        <w:t xml:space="preserve">Safety comes foremost in everything we do; we train, equip and empower our people to work safely every day. We believe, too, that creating an inclusive and diverse working environment and culture that encourages and supports high performance and innovative thinking gives our business a competitive advantage. We have intensified our focus on the elimination of fatalities at our operations, refreshing our </w:t>
      </w:r>
      <w:r w:rsidR="00BB253D" w:rsidRPr="00571974">
        <w:rPr>
          <w:lang w:val="en-GB"/>
        </w:rPr>
        <w:t>v</w:t>
      </w:r>
      <w:r w:rsidRPr="00571974">
        <w:rPr>
          <w:lang w:val="en-GB"/>
        </w:rPr>
        <w:t xml:space="preserve">alues, and linking them closely with cultural change at all levels of the business. </w:t>
      </w:r>
    </w:p>
    <w:p w14:paraId="118E8607" w14:textId="77777777" w:rsidR="00643003" w:rsidRPr="00571974" w:rsidRDefault="003D4D89" w:rsidP="00EA3F32">
      <w:pPr>
        <w:pStyle w:val="Heading4"/>
      </w:pPr>
      <w:r w:rsidRPr="00571974">
        <w:t>Capital allocation</w:t>
      </w:r>
    </w:p>
    <w:p w14:paraId="23B87836" w14:textId="3A341598" w:rsidR="00643003" w:rsidRPr="00571974" w:rsidRDefault="003D4D89" w:rsidP="00DA283E">
      <w:pPr>
        <w:pStyle w:val="BodyText"/>
        <w:widowControl/>
        <w:autoSpaceDE/>
        <w:autoSpaceDN/>
        <w:adjustRightInd/>
        <w:ind w:firstLine="360"/>
        <w:rPr>
          <w:lang w:val="en-GB"/>
        </w:rPr>
      </w:pPr>
      <w:r w:rsidRPr="00571974">
        <w:rPr>
          <w:lang w:val="en-GB"/>
        </w:rPr>
        <w:t xml:space="preserve">Underpinning our strategy, we have a value-focused approach to capital allocation with clear </w:t>
      </w:r>
      <w:r w:rsidR="00A35370" w:rsidRPr="00571974">
        <w:rPr>
          <w:lang w:val="en-GB"/>
        </w:rPr>
        <w:t>prioritization</w:t>
      </w:r>
      <w:r w:rsidRPr="00571974">
        <w:rPr>
          <w:lang w:val="en-GB"/>
        </w:rPr>
        <w:t xml:space="preserve">: </w:t>
      </w:r>
      <w:r w:rsidR="00DD0DCF" w:rsidRPr="00571974">
        <w:rPr>
          <w:lang w:val="en-GB"/>
        </w:rPr>
        <w:t>sustaining</w:t>
      </w:r>
      <w:r w:rsidR="002C0042" w:rsidRPr="00571974">
        <w:rPr>
          <w:lang w:val="en-GB"/>
        </w:rPr>
        <w:t xml:space="preserve"> </w:t>
      </w:r>
      <w:r w:rsidR="00242FB6" w:rsidRPr="00571974">
        <w:rPr>
          <w:lang w:val="en-GB"/>
        </w:rPr>
        <w:t xml:space="preserve">capital to maintain asset integrity (including reserve life); </w:t>
      </w:r>
      <w:r w:rsidR="00A33260" w:rsidRPr="00571974">
        <w:rPr>
          <w:lang w:val="en-GB"/>
        </w:rPr>
        <w:t>then the base dividend to our shareholders, determined on a 40% underlying earnings-based payout ratio; while ensuring a strong balance sheet. Based on a balanced approach, discretionary capital is then either allocated to growth investments or upgrades to our portfolio that are subject to a demanding risk framework and that meet our stringent value criteria</w:t>
      </w:r>
      <w:r w:rsidR="002E33A5">
        <w:rPr>
          <w:lang w:val="en-GB"/>
        </w:rPr>
        <w:t>,</w:t>
      </w:r>
      <w:r w:rsidR="00A33260" w:rsidRPr="00571974">
        <w:rPr>
          <w:lang w:val="en-GB"/>
        </w:rPr>
        <w:t xml:space="preserve"> or is considered for</w:t>
      </w:r>
      <w:r w:rsidR="00F40AE8" w:rsidRPr="00571974">
        <w:rPr>
          <w:lang w:val="en-GB"/>
        </w:rPr>
        <w:t xml:space="preserve"> </w:t>
      </w:r>
      <w:r w:rsidR="00A33260" w:rsidRPr="00571974">
        <w:rPr>
          <w:lang w:val="en-GB"/>
        </w:rPr>
        <w:t>additional returns to shareholders.</w:t>
      </w:r>
    </w:p>
    <w:p w14:paraId="4EFFE0EE" w14:textId="7EFAFB4E" w:rsidR="002D6EF5" w:rsidRPr="00571974" w:rsidRDefault="003D4D89" w:rsidP="00DA283E">
      <w:pPr>
        <w:pStyle w:val="BodyText"/>
        <w:widowControl/>
        <w:autoSpaceDE/>
        <w:autoSpaceDN/>
        <w:adjustRightInd/>
        <w:ind w:firstLine="360"/>
        <w:rPr>
          <w:lang w:val="en-GB"/>
        </w:rPr>
      </w:pPr>
      <w:r w:rsidRPr="00571974">
        <w:rPr>
          <w:lang w:val="en-GB"/>
        </w:rPr>
        <w:t>Value-disciplined capital allocation throughout the cycle</w:t>
      </w:r>
      <w:r w:rsidR="00BD621B" w:rsidRPr="00571974">
        <w:rPr>
          <w:lang w:val="en-GB"/>
        </w:rPr>
        <w:t xml:space="preserve"> </w:t>
      </w:r>
      <w:r w:rsidRPr="00571974">
        <w:rPr>
          <w:lang w:val="en-GB"/>
        </w:rPr>
        <w:t>is critical to protecting and enhancing our shareholders</w:t>
      </w:r>
      <w:r w:rsidR="00A311D8">
        <w:rPr>
          <w:lang w:val="en-GB"/>
        </w:rPr>
        <w:t>’</w:t>
      </w:r>
      <w:r w:rsidR="00BD621B" w:rsidRPr="00571974">
        <w:rPr>
          <w:lang w:val="en-GB"/>
        </w:rPr>
        <w:t xml:space="preserve"> </w:t>
      </w:r>
      <w:r w:rsidRPr="00571974">
        <w:rPr>
          <w:lang w:val="en-GB"/>
        </w:rPr>
        <w:t>capital, given the long term and capital intensive nature</w:t>
      </w:r>
      <w:r w:rsidR="00BD621B" w:rsidRPr="00571974">
        <w:rPr>
          <w:lang w:val="en-GB"/>
        </w:rPr>
        <w:t xml:space="preserve"> </w:t>
      </w:r>
      <w:r w:rsidRPr="00571974">
        <w:rPr>
          <w:lang w:val="en-GB"/>
        </w:rPr>
        <w:t xml:space="preserve">of our business. Our aim is to provide a balanced offering of a strong balance sheet, which reduces risk and creates opportunity for </w:t>
      </w:r>
      <w:r w:rsidR="00F40AE8" w:rsidRPr="00571974">
        <w:rPr>
          <w:lang w:val="en-GB"/>
        </w:rPr>
        <w:t>counter</w:t>
      </w:r>
      <w:r w:rsidRPr="00571974">
        <w:rPr>
          <w:lang w:val="en-GB"/>
        </w:rPr>
        <w:t>-cyclical investment, attractive shareholder returns and value-adding disciplined growth.</w:t>
      </w:r>
      <w:r w:rsidR="00FF1FFB">
        <w:rPr>
          <w:lang w:val="en-GB"/>
        </w:rPr>
        <w:t xml:space="preserve"> Since</w:t>
      </w:r>
      <w:r w:rsidRPr="00571974">
        <w:rPr>
          <w:lang w:val="en-GB"/>
        </w:rPr>
        <w:t xml:space="preserve"> 2012, we have reduced the number of assets across the Group by half, upgraded the portfolio and improved the performance of the assets we have retained. During 2019, our focus was on continuing to improve our competitive position, progressing the</w:t>
      </w:r>
      <w:r w:rsidR="00FF1FFB">
        <w:rPr>
          <w:lang w:val="en-GB"/>
        </w:rPr>
        <w:t xml:space="preserve"> </w:t>
      </w:r>
      <w:r w:rsidRPr="00571974">
        <w:rPr>
          <w:lang w:val="en-GB"/>
        </w:rPr>
        <w:t xml:space="preserve">construction of our Quellaveco copper project, </w:t>
      </w:r>
      <w:r w:rsidR="002A0FCD">
        <w:rPr>
          <w:lang w:val="en-GB"/>
        </w:rPr>
        <w:t xml:space="preserve">and </w:t>
      </w:r>
      <w:r w:rsidRPr="00571974">
        <w:rPr>
          <w:lang w:val="en-GB"/>
        </w:rPr>
        <w:t xml:space="preserve">returning excess cash to shareholders through the </w:t>
      </w:r>
      <w:r w:rsidR="008409C4">
        <w:rPr>
          <w:lang w:val="en-GB"/>
        </w:rPr>
        <w:t>US</w:t>
      </w:r>
      <w:r w:rsidRPr="00571974">
        <w:rPr>
          <w:lang w:val="en-GB"/>
        </w:rPr>
        <w:t>$1 billion share buyback programme announced on July 25, 2019</w:t>
      </w:r>
      <w:r w:rsidR="00D4178F">
        <w:rPr>
          <w:lang w:val="en-GB"/>
        </w:rPr>
        <w:t xml:space="preserve"> and completed on March 2, 2020</w:t>
      </w:r>
      <w:r w:rsidRPr="00571974">
        <w:rPr>
          <w:lang w:val="en-GB"/>
        </w:rPr>
        <w:t>. We will continue to allocate the appropriate capital across our portfolio of assets, to both sustain our business and to protect and enhance value.</w:t>
      </w:r>
    </w:p>
    <w:p w14:paraId="4964E559" w14:textId="77777777" w:rsidR="002857B6" w:rsidRPr="00571974" w:rsidRDefault="003D4D89" w:rsidP="001A578D">
      <w:pPr>
        <w:widowControl/>
        <w:ind w:firstLine="357"/>
        <w:rPr>
          <w:lang w:val="en-GB"/>
        </w:rPr>
      </w:pPr>
      <w:r w:rsidRPr="00571974">
        <w:rPr>
          <w:lang w:val="en-GB"/>
        </w:rPr>
        <w:br w:type="page"/>
      </w:r>
    </w:p>
    <w:p w14:paraId="3EBF6DD6" w14:textId="77777777" w:rsidR="00542FF4" w:rsidRPr="00571974" w:rsidRDefault="00542FF4" w:rsidP="00542FF4">
      <w:pPr>
        <w:pStyle w:val="BodyText"/>
        <w:widowControl/>
        <w:autoSpaceDE/>
        <w:autoSpaceDN/>
        <w:adjustRightInd/>
        <w:ind w:firstLine="360"/>
        <w:rPr>
          <w:lang w:val="en-GB"/>
        </w:rPr>
      </w:pPr>
    </w:p>
    <w:p w14:paraId="50E570CD" w14:textId="0DC4227F" w:rsidR="00542FF4" w:rsidRPr="00571974" w:rsidRDefault="00542FF4" w:rsidP="00542FF4">
      <w:pPr>
        <w:pStyle w:val="Heading2"/>
        <w:rPr>
          <w:lang w:val="en-GB"/>
        </w:rPr>
      </w:pPr>
      <w:r w:rsidRPr="00571974">
        <w:rPr>
          <w:lang w:val="en-GB"/>
        </w:rPr>
        <w:t>History</w:t>
      </w:r>
    </w:p>
    <w:p w14:paraId="0D253BF2" w14:textId="2D2A050A" w:rsidR="00542FF4" w:rsidRPr="00571974" w:rsidRDefault="003D4D89" w:rsidP="00542FF4">
      <w:pPr>
        <w:pStyle w:val="BodyText"/>
        <w:widowControl/>
        <w:autoSpaceDE/>
        <w:autoSpaceDN/>
        <w:adjustRightInd/>
        <w:ind w:firstLine="360"/>
        <w:rPr>
          <w:lang w:val="en-GB"/>
        </w:rPr>
      </w:pPr>
      <w:r w:rsidRPr="00571974">
        <w:rPr>
          <w:lang w:val="en-GB"/>
        </w:rPr>
        <w:t>Anglo American was incorporated on May 14, 1998 and became a public listed company in May 1999 following the compl</w:t>
      </w:r>
      <w:r w:rsidR="00DA035C" w:rsidRPr="00571974">
        <w:rPr>
          <w:lang w:val="en-GB"/>
        </w:rPr>
        <w:t>e</w:t>
      </w:r>
      <w:r w:rsidRPr="00571974">
        <w:rPr>
          <w:lang w:val="en-GB"/>
        </w:rPr>
        <w:t>tion of a combination with Anglo American Corporation of South Africa Limited, a public limited company incorporated in South Africa, now known as Anglo American South Africa</w:t>
      </w:r>
      <w:r w:rsidR="00F2369E">
        <w:rPr>
          <w:lang w:val="en-GB"/>
        </w:rPr>
        <w:t xml:space="preserve"> Proprietary</w:t>
      </w:r>
      <w:r w:rsidRPr="00571974">
        <w:rPr>
          <w:lang w:val="en-GB"/>
        </w:rPr>
        <w:t xml:space="preserve"> Limited (</w:t>
      </w:r>
      <w:r w:rsidR="00A311D8">
        <w:rPr>
          <w:lang w:val="en-GB"/>
        </w:rPr>
        <w:t>“</w:t>
      </w:r>
      <w:r w:rsidRPr="00571974">
        <w:rPr>
          <w:lang w:val="en-GB"/>
        </w:rPr>
        <w:t>AASA</w:t>
      </w:r>
      <w:r w:rsidR="00A311D8">
        <w:rPr>
          <w:lang w:val="en-GB"/>
        </w:rPr>
        <w:t>”</w:t>
      </w:r>
      <w:r w:rsidRPr="00571974">
        <w:rPr>
          <w:lang w:val="en-GB"/>
        </w:rPr>
        <w:t xml:space="preserve">), and an exchange offer for the shares of </w:t>
      </w:r>
      <w:r w:rsidR="001347FA" w:rsidRPr="00571974">
        <w:rPr>
          <w:lang w:val="en-GB"/>
        </w:rPr>
        <w:t xml:space="preserve">Minorco </w:t>
      </w:r>
      <w:r w:rsidR="005130B4" w:rsidRPr="00571974">
        <w:rPr>
          <w:lang w:val="en-GB"/>
        </w:rPr>
        <w:t xml:space="preserve">Société Anonyme, now known as Minorco </w:t>
      </w:r>
      <w:r w:rsidR="001347FA" w:rsidRPr="00571974">
        <w:rPr>
          <w:lang w:val="en-GB"/>
        </w:rPr>
        <w:t>Overseas Holdings Limited</w:t>
      </w:r>
      <w:r w:rsidR="00353E5E" w:rsidRPr="00571974">
        <w:rPr>
          <w:lang w:val="en-GB"/>
        </w:rPr>
        <w:t xml:space="preserve"> </w:t>
      </w:r>
      <w:r w:rsidRPr="00571974">
        <w:rPr>
          <w:lang w:val="en-GB"/>
        </w:rPr>
        <w:t>(</w:t>
      </w:r>
      <w:r w:rsidR="00A311D8">
        <w:rPr>
          <w:lang w:val="en-GB"/>
        </w:rPr>
        <w:t>“</w:t>
      </w:r>
      <w:r w:rsidRPr="00571974">
        <w:rPr>
          <w:lang w:val="en-GB"/>
        </w:rPr>
        <w:t>Minorco</w:t>
      </w:r>
      <w:r w:rsidR="00A311D8">
        <w:rPr>
          <w:lang w:val="en-GB"/>
        </w:rPr>
        <w:t>”</w:t>
      </w:r>
      <w:r w:rsidRPr="00571974">
        <w:rPr>
          <w:lang w:val="en-GB"/>
        </w:rPr>
        <w:t>). AASA was founded in South Africa in 1917 to exploit gold mining opportunities in the country. In the succeeding decades, AASA became increasingly involved in a wide range of mining and other industries. The successful simultaneous development in the 1950s of five gold mines in South Africa brought AASA to the forefront of the mining industry internationally.</w:t>
      </w:r>
    </w:p>
    <w:p w14:paraId="687973BA" w14:textId="0E6702E1" w:rsidR="00542FF4" w:rsidRPr="00571974" w:rsidRDefault="003D4D89" w:rsidP="00542FF4">
      <w:pPr>
        <w:pStyle w:val="BodyText"/>
        <w:widowControl/>
        <w:autoSpaceDE/>
        <w:autoSpaceDN/>
        <w:adjustRightInd/>
        <w:ind w:firstLine="360"/>
        <w:rPr>
          <w:lang w:val="en-GB"/>
        </w:rPr>
      </w:pPr>
      <w:r w:rsidRPr="00571974">
        <w:rPr>
          <w:lang w:val="en-GB"/>
        </w:rPr>
        <w:t>Beginning in the mid-1960s, AASA developed a range of investments in Europe, North America, Australia and South East Asia. We entered into new markets, including the steel industry through the acquisition of Scaw Metals, the timber, pulp and paper industry with the founding of the Mondi Group (</w:t>
      </w:r>
      <w:r w:rsidR="00A311D8">
        <w:rPr>
          <w:lang w:val="en-GB"/>
        </w:rPr>
        <w:t>“</w:t>
      </w:r>
      <w:r w:rsidRPr="00571974">
        <w:rPr>
          <w:lang w:val="en-GB"/>
        </w:rPr>
        <w:t>Mondi</w:t>
      </w:r>
      <w:r w:rsidR="00A311D8">
        <w:rPr>
          <w:lang w:val="en-GB"/>
        </w:rPr>
        <w:t>”</w:t>
      </w:r>
      <w:r w:rsidRPr="00571974">
        <w:rPr>
          <w:lang w:val="en-GB"/>
        </w:rPr>
        <w:t>), and increased investment in the South African coal industry through the development of a portfolio of nine coal mines and a stake in the Richards Bay Coal Terminal.</w:t>
      </w:r>
    </w:p>
    <w:p w14:paraId="165984FC" w14:textId="609A62AC" w:rsidR="00542FF4" w:rsidRPr="00571974" w:rsidRDefault="003D4D89" w:rsidP="00542FF4">
      <w:pPr>
        <w:pStyle w:val="BodyText"/>
        <w:widowControl/>
        <w:autoSpaceDE/>
        <w:autoSpaceDN/>
        <w:adjustRightInd/>
        <w:ind w:firstLine="360"/>
        <w:rPr>
          <w:lang w:val="en-GB"/>
        </w:rPr>
      </w:pPr>
      <w:r w:rsidRPr="00571974">
        <w:rPr>
          <w:lang w:val="en-GB"/>
        </w:rPr>
        <w:t>By the 1990s, AASA had a wide range of mining, financial and industrial interests both in sub-Saharan Africa and internationally, with the latter largely held through Minorco, which was originally incorporated in the UK in 1928 as Rhodesian Anglo American Limited. The structures of AASA and Minorco had arisen as a result of South Africa</w:t>
      </w:r>
      <w:r w:rsidR="00A311D8">
        <w:rPr>
          <w:lang w:val="en-GB"/>
        </w:rPr>
        <w:t>’</w:t>
      </w:r>
      <w:r w:rsidRPr="00571974">
        <w:rPr>
          <w:lang w:val="en-GB"/>
        </w:rPr>
        <w:t>s period of political and financial isolation from the international community and had proven increasingly complicated as we sought to develop a focused strategy for the Group. As a result, in 1999, the newly formed Anglo American acquired all the shares of both companies, a combination designed to create focused divisions, to achieve simplicity and transparency of structure and, in the process, to enhance shareholder value.</w:t>
      </w:r>
    </w:p>
    <w:bookmarkEnd w:id="51"/>
    <w:p w14:paraId="1003CBEF" w14:textId="77777777" w:rsidR="00B7762A" w:rsidRPr="00571974" w:rsidRDefault="00B7762A" w:rsidP="00542FF4">
      <w:pPr>
        <w:pStyle w:val="BodyText"/>
        <w:widowControl/>
        <w:autoSpaceDE/>
        <w:autoSpaceDN/>
        <w:adjustRightInd/>
        <w:ind w:firstLine="360"/>
        <w:rPr>
          <w:lang w:val="en-GB"/>
        </w:rPr>
      </w:pPr>
    </w:p>
    <w:p w14:paraId="7CB35BCC" w14:textId="77777777" w:rsidR="003F0588" w:rsidRPr="00571974" w:rsidRDefault="003D4D89">
      <w:pPr>
        <w:widowControl/>
        <w:autoSpaceDE/>
        <w:autoSpaceDN/>
        <w:adjustRightInd/>
        <w:rPr>
          <w:lang w:val="en-GB"/>
        </w:rPr>
      </w:pPr>
      <w:r w:rsidRPr="00571974">
        <w:rPr>
          <w:lang w:val="en-GB"/>
        </w:rPr>
        <w:br w:type="page"/>
      </w:r>
    </w:p>
    <w:p w14:paraId="07D5A85C" w14:textId="77777777" w:rsidR="00DF4A0D" w:rsidRPr="00571974" w:rsidRDefault="003D4D89" w:rsidP="00DF4A0D">
      <w:pPr>
        <w:pStyle w:val="Heading2"/>
        <w:rPr>
          <w:rFonts w:ascii="Times New Roman" w:hAnsi="Times New Roman"/>
          <w:lang w:val="en-GB"/>
        </w:rPr>
      </w:pPr>
      <w:bookmarkStart w:id="52" w:name="_Hlk774313"/>
      <w:r w:rsidRPr="00571974">
        <w:rPr>
          <w:rFonts w:ascii="Times New Roman" w:hAnsi="Times New Roman"/>
          <w:lang w:val="en-GB"/>
        </w:rPr>
        <w:lastRenderedPageBreak/>
        <w:t>Business Segments</w:t>
      </w:r>
    </w:p>
    <w:p w14:paraId="2AA87FA7" w14:textId="77777777" w:rsidR="00DF4A0D" w:rsidRPr="00571974" w:rsidRDefault="003D4D89" w:rsidP="00DF4A0D">
      <w:pPr>
        <w:pStyle w:val="BodyText"/>
        <w:widowControl/>
        <w:autoSpaceDE/>
        <w:autoSpaceDN/>
        <w:adjustRightInd/>
        <w:ind w:firstLine="360"/>
        <w:rPr>
          <w:lang w:val="en-GB"/>
        </w:rPr>
      </w:pPr>
      <w:r w:rsidRPr="00571974">
        <w:rPr>
          <w:lang w:val="en-GB"/>
        </w:rPr>
        <w:t>This section provides background information, an industry overview and information related to strategy and business development for each segment.</w:t>
      </w:r>
    </w:p>
    <w:p w14:paraId="1D360648" w14:textId="4D5F5A66" w:rsidR="00DF4A0D" w:rsidRPr="007B1404" w:rsidRDefault="003D4D89" w:rsidP="007B1404">
      <w:pPr>
        <w:pStyle w:val="Heading2"/>
        <w:rPr>
          <w:b w:val="0"/>
          <w:bCs w:val="0"/>
          <w:smallCaps w:val="0"/>
          <w:lang w:val="en-GB"/>
        </w:rPr>
      </w:pPr>
      <w:r w:rsidRPr="007B1404">
        <w:rPr>
          <w:rFonts w:ascii="Times New Roman" w:hAnsi="Times New Roman"/>
          <w:lang w:val="en-GB"/>
        </w:rPr>
        <w:t xml:space="preserve">Underlying EBIT by </w:t>
      </w:r>
      <w:r w:rsidR="00454446">
        <w:rPr>
          <w:rFonts w:ascii="Times New Roman" w:hAnsi="Times New Roman"/>
          <w:lang w:val="en-GB"/>
        </w:rPr>
        <w:t>S</w:t>
      </w:r>
      <w:r w:rsidRPr="007B1404">
        <w:rPr>
          <w:rFonts w:ascii="Times New Roman" w:hAnsi="Times New Roman"/>
          <w:lang w:val="en-GB"/>
        </w:rPr>
        <w:t>egment</w:t>
      </w:r>
    </w:p>
    <w:p w14:paraId="3C9BBF1D" w14:textId="0687098F" w:rsidR="00DF4A0D" w:rsidRPr="00571974" w:rsidRDefault="003D4D89" w:rsidP="00DF4A0D">
      <w:pPr>
        <w:pStyle w:val="BodyText"/>
        <w:widowControl/>
        <w:autoSpaceDE/>
        <w:autoSpaceDN/>
        <w:adjustRightInd/>
        <w:ind w:firstLine="360"/>
        <w:rPr>
          <w:lang w:val="en-GB"/>
        </w:rPr>
      </w:pPr>
      <w:r w:rsidRPr="00571974">
        <w:rPr>
          <w:lang w:val="en-GB"/>
        </w:rPr>
        <w:t>The following table sets forth the Group</w:t>
      </w:r>
      <w:r w:rsidR="00A311D8">
        <w:rPr>
          <w:lang w:val="en-GB"/>
        </w:rPr>
        <w:t>’</w:t>
      </w:r>
      <w:r w:rsidRPr="00571974">
        <w:rPr>
          <w:lang w:val="en-GB"/>
        </w:rPr>
        <w:t>s underlying EBIT for the periods presented on a segment basis:</w:t>
      </w:r>
    </w:p>
    <w:tbl>
      <w:tblPr>
        <w:tblW w:w="5190" w:type="pct"/>
        <w:tblInd w:w="-72" w:type="dxa"/>
        <w:tblLayout w:type="fixed"/>
        <w:tblCellMar>
          <w:left w:w="72" w:type="dxa"/>
          <w:right w:w="72" w:type="dxa"/>
        </w:tblCellMar>
        <w:tblLook w:val="0000" w:firstRow="0" w:lastRow="0" w:firstColumn="0" w:lastColumn="0" w:noHBand="0" w:noVBand="0"/>
      </w:tblPr>
      <w:tblGrid>
        <w:gridCol w:w="4568"/>
        <w:gridCol w:w="1127"/>
        <w:gridCol w:w="563"/>
        <w:gridCol w:w="1185"/>
        <w:gridCol w:w="567"/>
        <w:gridCol w:w="1135"/>
        <w:gridCol w:w="567"/>
      </w:tblGrid>
      <w:tr w:rsidR="00E76F49" w14:paraId="48FA9C86" w14:textId="77777777" w:rsidTr="00E76F49">
        <w:trPr>
          <w:cantSplit/>
          <w:trHeight w:val="652"/>
        </w:trPr>
        <w:tc>
          <w:tcPr>
            <w:tcW w:w="4567" w:type="dxa"/>
            <w:tcBorders>
              <w:top w:val="nil"/>
              <w:left w:val="nil"/>
              <w:bottom w:val="nil"/>
              <w:right w:val="nil"/>
            </w:tcBorders>
            <w:vAlign w:val="bottom"/>
          </w:tcPr>
          <w:p w14:paraId="3DFF95E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127" w:type="dxa"/>
            <w:tcBorders>
              <w:top w:val="nil"/>
              <w:left w:val="nil"/>
              <w:bottom w:val="nil"/>
              <w:right w:val="nil"/>
            </w:tcBorders>
            <w:vAlign w:val="bottom"/>
          </w:tcPr>
          <w:p w14:paraId="112674A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 ended December 31, 2017</w:t>
            </w:r>
          </w:p>
        </w:tc>
        <w:tc>
          <w:tcPr>
            <w:tcW w:w="563" w:type="dxa"/>
            <w:tcBorders>
              <w:top w:val="nil"/>
              <w:left w:val="nil"/>
              <w:bottom w:val="nil"/>
              <w:right w:val="nil"/>
            </w:tcBorders>
            <w:vAlign w:val="bottom"/>
          </w:tcPr>
          <w:p w14:paraId="0B559A7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w:t>
            </w:r>
          </w:p>
        </w:tc>
        <w:tc>
          <w:tcPr>
            <w:tcW w:w="1185" w:type="dxa"/>
            <w:tcBorders>
              <w:top w:val="nil"/>
              <w:left w:val="nil"/>
              <w:bottom w:val="nil"/>
              <w:right w:val="nil"/>
            </w:tcBorders>
            <w:vAlign w:val="bottom"/>
          </w:tcPr>
          <w:p w14:paraId="6E1457E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 ended December 31, 2018</w:t>
            </w:r>
          </w:p>
        </w:tc>
        <w:tc>
          <w:tcPr>
            <w:tcW w:w="567" w:type="dxa"/>
            <w:tcBorders>
              <w:top w:val="nil"/>
              <w:left w:val="nil"/>
              <w:bottom w:val="nil"/>
              <w:right w:val="nil"/>
            </w:tcBorders>
            <w:vAlign w:val="bottom"/>
          </w:tcPr>
          <w:p w14:paraId="1D7CC5A9"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w:t>
            </w:r>
          </w:p>
        </w:tc>
        <w:tc>
          <w:tcPr>
            <w:tcW w:w="1135" w:type="dxa"/>
            <w:tcBorders>
              <w:top w:val="nil"/>
              <w:left w:val="nil"/>
              <w:bottom w:val="nil"/>
              <w:right w:val="nil"/>
            </w:tcBorders>
            <w:vAlign w:val="bottom"/>
          </w:tcPr>
          <w:p w14:paraId="56B79360"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 ended December 31, 2019</w:t>
            </w:r>
          </w:p>
        </w:tc>
        <w:tc>
          <w:tcPr>
            <w:tcW w:w="567" w:type="dxa"/>
            <w:tcBorders>
              <w:top w:val="nil"/>
              <w:left w:val="nil"/>
              <w:bottom w:val="nil"/>
              <w:right w:val="nil"/>
            </w:tcBorders>
            <w:vAlign w:val="bottom"/>
          </w:tcPr>
          <w:p w14:paraId="5B9D9F7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w:t>
            </w:r>
          </w:p>
        </w:tc>
      </w:tr>
      <w:tr w:rsidR="002228B8" w14:paraId="5975A411" w14:textId="77777777" w:rsidTr="007B1404">
        <w:trPr>
          <w:cantSplit/>
          <w:trHeight w:val="234"/>
        </w:trPr>
        <w:tc>
          <w:tcPr>
            <w:tcW w:w="4567" w:type="dxa"/>
            <w:tcBorders>
              <w:top w:val="nil"/>
              <w:left w:val="nil"/>
              <w:bottom w:val="nil"/>
              <w:right w:val="nil"/>
            </w:tcBorders>
            <w:vAlign w:val="bottom"/>
          </w:tcPr>
          <w:p w14:paraId="51539EC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5144" w:type="dxa"/>
            <w:gridSpan w:val="6"/>
            <w:tcBorders>
              <w:top w:val="nil"/>
              <w:left w:val="nil"/>
              <w:bottom w:val="nil"/>
              <w:right w:val="nil"/>
            </w:tcBorders>
            <w:vAlign w:val="bottom"/>
          </w:tcPr>
          <w:p w14:paraId="0FFF8A9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6"/>
                <w:szCs w:val="18"/>
                <w:lang w:val="en-GB" w:eastAsia="en-GB" w:bidi="ar-SA"/>
              </w:rPr>
            </w:pPr>
            <w:r w:rsidRPr="00571974">
              <w:rPr>
                <w:b/>
                <w:bCs/>
                <w:i/>
                <w:iCs/>
                <w:sz w:val="16"/>
                <w:szCs w:val="18"/>
                <w:lang w:val="en-GB" w:eastAsia="en-GB" w:bidi="ar-SA"/>
              </w:rPr>
              <w:t>(US$m unless otherwise stated)</w:t>
            </w:r>
          </w:p>
        </w:tc>
      </w:tr>
      <w:tr w:rsidR="00E76F49" w14:paraId="26995C25" w14:textId="77777777" w:rsidTr="00E76F49">
        <w:trPr>
          <w:cantSplit/>
          <w:trHeight w:val="200"/>
        </w:trPr>
        <w:tc>
          <w:tcPr>
            <w:tcW w:w="4567" w:type="dxa"/>
            <w:tcBorders>
              <w:top w:val="nil"/>
              <w:left w:val="nil"/>
              <w:bottom w:val="nil"/>
              <w:right w:val="nil"/>
            </w:tcBorders>
          </w:tcPr>
          <w:p w14:paraId="112403C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r w:rsidRPr="00571974">
              <w:rPr>
                <w:b/>
                <w:bCs/>
                <w:sz w:val="16"/>
                <w:lang w:val="en-GB" w:eastAsia="en-GB" w:bidi="ar-SA"/>
              </w:rPr>
              <w:t>Subsidiaries</w:t>
            </w:r>
          </w:p>
        </w:tc>
        <w:tc>
          <w:tcPr>
            <w:tcW w:w="1127" w:type="dxa"/>
            <w:tcBorders>
              <w:top w:val="nil"/>
              <w:left w:val="nil"/>
              <w:bottom w:val="nil"/>
              <w:right w:val="nil"/>
            </w:tcBorders>
            <w:vAlign w:val="bottom"/>
          </w:tcPr>
          <w:p w14:paraId="2DB0EC5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3" w:type="dxa"/>
            <w:tcBorders>
              <w:top w:val="nil"/>
              <w:left w:val="nil"/>
              <w:bottom w:val="nil"/>
              <w:right w:val="nil"/>
            </w:tcBorders>
            <w:vAlign w:val="bottom"/>
          </w:tcPr>
          <w:p w14:paraId="776693C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top w:val="nil"/>
              <w:left w:val="nil"/>
              <w:bottom w:val="nil"/>
              <w:right w:val="nil"/>
            </w:tcBorders>
            <w:vAlign w:val="bottom"/>
          </w:tcPr>
          <w:p w14:paraId="3540F80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7" w:type="dxa"/>
            <w:tcBorders>
              <w:top w:val="nil"/>
              <w:left w:val="nil"/>
              <w:bottom w:val="nil"/>
              <w:right w:val="nil"/>
            </w:tcBorders>
            <w:vAlign w:val="bottom"/>
          </w:tcPr>
          <w:p w14:paraId="1878661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vAlign w:val="bottom"/>
          </w:tcPr>
          <w:p w14:paraId="5DF11449"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7" w:type="dxa"/>
            <w:tcBorders>
              <w:top w:val="nil"/>
              <w:left w:val="nil"/>
              <w:bottom w:val="nil"/>
              <w:right w:val="nil"/>
            </w:tcBorders>
            <w:vAlign w:val="bottom"/>
          </w:tcPr>
          <w:p w14:paraId="04A41A8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6ACB5C9D" w14:textId="77777777" w:rsidTr="00E76F49">
        <w:trPr>
          <w:cantSplit/>
          <w:trHeight w:val="217"/>
        </w:trPr>
        <w:tc>
          <w:tcPr>
            <w:tcW w:w="4567" w:type="dxa"/>
            <w:tcBorders>
              <w:top w:val="nil"/>
              <w:left w:val="nil"/>
              <w:bottom w:val="nil"/>
              <w:right w:val="nil"/>
            </w:tcBorders>
            <w:shd w:val="clear" w:color="auto" w:fill="auto"/>
            <w:vAlign w:val="bottom"/>
          </w:tcPr>
          <w:p w14:paraId="6470C165"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De Beers</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54B8243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871</w:t>
            </w:r>
          </w:p>
        </w:tc>
        <w:tc>
          <w:tcPr>
            <w:tcW w:w="563" w:type="dxa"/>
            <w:tcBorders>
              <w:top w:val="nil"/>
              <w:left w:val="nil"/>
              <w:bottom w:val="nil"/>
              <w:right w:val="nil"/>
            </w:tcBorders>
            <w:shd w:val="clear" w:color="auto" w:fill="auto"/>
            <w:vAlign w:val="bottom"/>
          </w:tcPr>
          <w:p w14:paraId="3753559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13.9</w:t>
            </w:r>
          </w:p>
        </w:tc>
        <w:tc>
          <w:tcPr>
            <w:tcW w:w="1185" w:type="dxa"/>
            <w:tcBorders>
              <w:top w:val="nil"/>
              <w:left w:val="nil"/>
              <w:bottom w:val="nil"/>
              <w:right w:val="nil"/>
            </w:tcBorders>
            <w:shd w:val="clear" w:color="auto" w:fill="auto"/>
          </w:tcPr>
          <w:p w14:paraId="1307270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694</w:t>
            </w:r>
          </w:p>
        </w:tc>
        <w:tc>
          <w:tcPr>
            <w:tcW w:w="567" w:type="dxa"/>
            <w:tcBorders>
              <w:top w:val="nil"/>
              <w:left w:val="nil"/>
              <w:bottom w:val="nil"/>
              <w:right w:val="nil"/>
            </w:tcBorders>
            <w:shd w:val="clear" w:color="auto" w:fill="auto"/>
          </w:tcPr>
          <w:p w14:paraId="1470C84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10.9</w:t>
            </w:r>
          </w:p>
        </w:tc>
        <w:tc>
          <w:tcPr>
            <w:tcW w:w="1135" w:type="dxa"/>
            <w:tcBorders>
              <w:top w:val="nil"/>
              <w:left w:val="nil"/>
              <w:bottom w:val="nil"/>
              <w:right w:val="nil"/>
            </w:tcBorders>
            <w:shd w:val="clear" w:color="auto" w:fill="auto"/>
          </w:tcPr>
          <w:p w14:paraId="45BF2C7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168</w:t>
            </w:r>
          </w:p>
        </w:tc>
        <w:tc>
          <w:tcPr>
            <w:tcW w:w="567" w:type="dxa"/>
            <w:tcBorders>
              <w:top w:val="nil"/>
              <w:left w:val="nil"/>
              <w:bottom w:val="nil"/>
              <w:right w:val="nil"/>
            </w:tcBorders>
            <w:shd w:val="clear" w:color="auto" w:fill="auto"/>
          </w:tcPr>
          <w:p w14:paraId="521AD78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2.4</w:t>
            </w:r>
          </w:p>
        </w:tc>
      </w:tr>
      <w:tr w:rsidR="00E76F49" w14:paraId="64C6E5C0" w14:textId="77777777" w:rsidTr="00E76F49">
        <w:trPr>
          <w:cantSplit/>
          <w:trHeight w:val="200"/>
        </w:trPr>
        <w:tc>
          <w:tcPr>
            <w:tcW w:w="4567" w:type="dxa"/>
            <w:tcBorders>
              <w:top w:val="nil"/>
              <w:left w:val="nil"/>
              <w:bottom w:val="nil"/>
              <w:right w:val="nil"/>
            </w:tcBorders>
            <w:shd w:val="clear" w:color="auto" w:fill="auto"/>
            <w:vAlign w:val="bottom"/>
          </w:tcPr>
          <w:p w14:paraId="16ACD59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Copper</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7F89F01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923</w:t>
            </w:r>
          </w:p>
        </w:tc>
        <w:tc>
          <w:tcPr>
            <w:tcW w:w="563" w:type="dxa"/>
            <w:tcBorders>
              <w:top w:val="nil"/>
              <w:left w:val="nil"/>
              <w:bottom w:val="nil"/>
              <w:right w:val="nil"/>
            </w:tcBorders>
            <w:shd w:val="clear" w:color="auto" w:fill="auto"/>
            <w:vAlign w:val="bottom"/>
          </w:tcPr>
          <w:p w14:paraId="69CDA3E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14.8</w:t>
            </w:r>
          </w:p>
        </w:tc>
        <w:tc>
          <w:tcPr>
            <w:tcW w:w="1185" w:type="dxa"/>
            <w:tcBorders>
              <w:top w:val="nil"/>
              <w:left w:val="nil"/>
              <w:bottom w:val="nil"/>
              <w:right w:val="nil"/>
            </w:tcBorders>
            <w:shd w:val="clear" w:color="auto" w:fill="auto"/>
          </w:tcPr>
          <w:p w14:paraId="1116FD8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1,234</w:t>
            </w:r>
          </w:p>
        </w:tc>
        <w:tc>
          <w:tcPr>
            <w:tcW w:w="567" w:type="dxa"/>
            <w:tcBorders>
              <w:top w:val="nil"/>
              <w:left w:val="nil"/>
              <w:bottom w:val="nil"/>
              <w:right w:val="nil"/>
            </w:tcBorders>
            <w:shd w:val="clear" w:color="auto" w:fill="auto"/>
          </w:tcPr>
          <w:p w14:paraId="3A09585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19.4</w:t>
            </w:r>
          </w:p>
        </w:tc>
        <w:tc>
          <w:tcPr>
            <w:tcW w:w="1135" w:type="dxa"/>
            <w:tcBorders>
              <w:top w:val="nil"/>
              <w:left w:val="nil"/>
              <w:bottom w:val="nil"/>
              <w:right w:val="nil"/>
            </w:tcBorders>
            <w:shd w:val="clear" w:color="auto" w:fill="auto"/>
          </w:tcPr>
          <w:p w14:paraId="138E1CA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960</w:t>
            </w:r>
          </w:p>
        </w:tc>
        <w:tc>
          <w:tcPr>
            <w:tcW w:w="567" w:type="dxa"/>
            <w:tcBorders>
              <w:top w:val="nil"/>
              <w:left w:val="nil"/>
              <w:bottom w:val="nil"/>
              <w:right w:val="nil"/>
            </w:tcBorders>
            <w:shd w:val="clear" w:color="auto" w:fill="auto"/>
          </w:tcPr>
          <w:p w14:paraId="4DEEFF5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13.7</w:t>
            </w:r>
          </w:p>
        </w:tc>
      </w:tr>
      <w:tr w:rsidR="00E76F49" w14:paraId="5B200B0D" w14:textId="77777777" w:rsidTr="00E76F49">
        <w:trPr>
          <w:cantSplit/>
          <w:trHeight w:val="200"/>
        </w:trPr>
        <w:tc>
          <w:tcPr>
            <w:tcW w:w="4567" w:type="dxa"/>
            <w:tcBorders>
              <w:top w:val="nil"/>
              <w:left w:val="nil"/>
              <w:bottom w:val="nil"/>
              <w:right w:val="nil"/>
            </w:tcBorders>
            <w:shd w:val="clear" w:color="auto" w:fill="auto"/>
            <w:vAlign w:val="bottom"/>
          </w:tcPr>
          <w:p w14:paraId="3D68F095"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Platinum Group Metals</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7DE26B4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528</w:t>
            </w:r>
          </w:p>
        </w:tc>
        <w:tc>
          <w:tcPr>
            <w:tcW w:w="563" w:type="dxa"/>
            <w:tcBorders>
              <w:top w:val="nil"/>
              <w:left w:val="nil"/>
              <w:bottom w:val="nil"/>
              <w:right w:val="nil"/>
            </w:tcBorders>
            <w:shd w:val="clear" w:color="auto" w:fill="auto"/>
            <w:vAlign w:val="bottom"/>
          </w:tcPr>
          <w:p w14:paraId="723B6DB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8.5</w:t>
            </w:r>
          </w:p>
        </w:tc>
        <w:tc>
          <w:tcPr>
            <w:tcW w:w="1185" w:type="dxa"/>
            <w:tcBorders>
              <w:top w:val="nil"/>
              <w:left w:val="nil"/>
              <w:bottom w:val="nil"/>
              <w:right w:val="nil"/>
            </w:tcBorders>
            <w:shd w:val="clear" w:color="auto" w:fill="auto"/>
          </w:tcPr>
          <w:p w14:paraId="6CEE0D2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708</w:t>
            </w:r>
          </w:p>
        </w:tc>
        <w:tc>
          <w:tcPr>
            <w:tcW w:w="567" w:type="dxa"/>
            <w:tcBorders>
              <w:top w:val="nil"/>
              <w:left w:val="nil"/>
              <w:bottom w:val="nil"/>
              <w:right w:val="nil"/>
            </w:tcBorders>
            <w:shd w:val="clear" w:color="auto" w:fill="auto"/>
          </w:tcPr>
          <w:p w14:paraId="037A959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11.1</w:t>
            </w:r>
          </w:p>
        </w:tc>
        <w:tc>
          <w:tcPr>
            <w:tcW w:w="1135" w:type="dxa"/>
            <w:tcBorders>
              <w:top w:val="nil"/>
              <w:left w:val="nil"/>
              <w:bottom w:val="nil"/>
              <w:right w:val="nil"/>
            </w:tcBorders>
            <w:shd w:val="clear" w:color="auto" w:fill="auto"/>
          </w:tcPr>
          <w:p w14:paraId="10CA6DCC" w14:textId="5C818D0E"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w:t>
            </w:r>
            <w:r w:rsidR="00DE1A7C">
              <w:rPr>
                <w:sz w:val="16"/>
                <w:lang w:val="en-GB" w:eastAsia="en-GB" w:bidi="ar-SA"/>
              </w:rPr>
              <w:t>,</w:t>
            </w:r>
            <w:r w:rsidRPr="00571974">
              <w:rPr>
                <w:sz w:val="16"/>
                <w:lang w:val="en-GB" w:eastAsia="en-GB" w:bidi="ar-SA"/>
              </w:rPr>
              <w:t>672</w:t>
            </w:r>
          </w:p>
        </w:tc>
        <w:tc>
          <w:tcPr>
            <w:tcW w:w="567" w:type="dxa"/>
            <w:tcBorders>
              <w:top w:val="nil"/>
              <w:left w:val="nil"/>
              <w:bottom w:val="nil"/>
              <w:right w:val="nil"/>
            </w:tcBorders>
            <w:shd w:val="clear" w:color="auto" w:fill="auto"/>
          </w:tcPr>
          <w:p w14:paraId="40E2E2B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23.9</w:t>
            </w:r>
          </w:p>
        </w:tc>
      </w:tr>
      <w:tr w:rsidR="00E76F49" w14:paraId="697E4F44" w14:textId="77777777" w:rsidTr="00E76F49">
        <w:trPr>
          <w:cantSplit/>
          <w:trHeight w:val="200"/>
        </w:trPr>
        <w:tc>
          <w:tcPr>
            <w:tcW w:w="4567" w:type="dxa"/>
            <w:tcBorders>
              <w:top w:val="nil"/>
              <w:left w:val="nil"/>
              <w:bottom w:val="nil"/>
              <w:right w:val="nil"/>
            </w:tcBorders>
            <w:shd w:val="clear" w:color="auto" w:fill="auto"/>
            <w:vAlign w:val="bottom"/>
          </w:tcPr>
          <w:p w14:paraId="7754CEA1"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Iron Ore</w:t>
            </w:r>
            <w:r w:rsidRPr="00571974">
              <w:rPr>
                <w:sz w:val="16"/>
                <w:vertAlign w:val="superscript"/>
                <w:lang w:val="en-GB" w:eastAsia="en-GB" w:bidi="ar-SA"/>
              </w:rPr>
              <w:t>(1)</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0B87FFA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1,444</w:t>
            </w:r>
          </w:p>
        </w:tc>
        <w:tc>
          <w:tcPr>
            <w:tcW w:w="563" w:type="dxa"/>
            <w:tcBorders>
              <w:top w:val="nil"/>
              <w:left w:val="nil"/>
              <w:bottom w:val="nil"/>
              <w:right w:val="nil"/>
            </w:tcBorders>
            <w:shd w:val="clear" w:color="auto" w:fill="auto"/>
            <w:vAlign w:val="bottom"/>
          </w:tcPr>
          <w:p w14:paraId="7B68A68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23.1</w:t>
            </w:r>
          </w:p>
        </w:tc>
        <w:tc>
          <w:tcPr>
            <w:tcW w:w="1185" w:type="dxa"/>
            <w:tcBorders>
              <w:top w:val="nil"/>
              <w:left w:val="nil"/>
              <w:bottom w:val="nil"/>
              <w:right w:val="nil"/>
            </w:tcBorders>
            <w:shd w:val="clear" w:color="auto" w:fill="auto"/>
          </w:tcPr>
          <w:p w14:paraId="78C96D9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740</w:t>
            </w:r>
          </w:p>
        </w:tc>
        <w:tc>
          <w:tcPr>
            <w:tcW w:w="567" w:type="dxa"/>
            <w:tcBorders>
              <w:top w:val="nil"/>
              <w:left w:val="nil"/>
              <w:bottom w:val="nil"/>
              <w:right w:val="nil"/>
            </w:tcBorders>
            <w:shd w:val="clear" w:color="auto" w:fill="auto"/>
          </w:tcPr>
          <w:p w14:paraId="627E576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11.6</w:t>
            </w:r>
          </w:p>
        </w:tc>
        <w:tc>
          <w:tcPr>
            <w:tcW w:w="1135" w:type="dxa"/>
            <w:tcBorders>
              <w:top w:val="nil"/>
              <w:left w:val="nil"/>
              <w:bottom w:val="nil"/>
              <w:right w:val="nil"/>
            </w:tcBorders>
            <w:shd w:val="clear" w:color="auto" w:fill="auto"/>
          </w:tcPr>
          <w:p w14:paraId="23ECF081" w14:textId="691DE95F"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w:t>
            </w:r>
            <w:r w:rsidR="00DE1A7C">
              <w:rPr>
                <w:sz w:val="16"/>
                <w:lang w:val="en-GB" w:eastAsia="en-GB" w:bidi="ar-SA"/>
              </w:rPr>
              <w:t>,</w:t>
            </w:r>
            <w:r w:rsidRPr="00571974">
              <w:rPr>
                <w:sz w:val="16"/>
                <w:lang w:val="en-GB" w:eastAsia="en-GB" w:bidi="ar-SA"/>
              </w:rPr>
              <w:t>886</w:t>
            </w:r>
          </w:p>
        </w:tc>
        <w:tc>
          <w:tcPr>
            <w:tcW w:w="567" w:type="dxa"/>
            <w:tcBorders>
              <w:top w:val="nil"/>
              <w:left w:val="nil"/>
              <w:bottom w:val="nil"/>
              <w:right w:val="nil"/>
            </w:tcBorders>
            <w:shd w:val="clear" w:color="auto" w:fill="auto"/>
          </w:tcPr>
          <w:p w14:paraId="53D33AA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42.1</w:t>
            </w:r>
          </w:p>
        </w:tc>
      </w:tr>
      <w:tr w:rsidR="00E76F49" w14:paraId="695221C3" w14:textId="77777777" w:rsidTr="00E76F49">
        <w:trPr>
          <w:cantSplit/>
          <w:trHeight w:val="200"/>
        </w:trPr>
        <w:tc>
          <w:tcPr>
            <w:tcW w:w="4567" w:type="dxa"/>
            <w:tcBorders>
              <w:top w:val="nil"/>
              <w:left w:val="nil"/>
              <w:bottom w:val="nil"/>
              <w:right w:val="nil"/>
            </w:tcBorders>
            <w:shd w:val="clear" w:color="auto" w:fill="auto"/>
            <w:vAlign w:val="bottom"/>
          </w:tcPr>
          <w:p w14:paraId="2DB3D6CB"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Coal</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6744039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1,788</w:t>
            </w:r>
          </w:p>
        </w:tc>
        <w:tc>
          <w:tcPr>
            <w:tcW w:w="563" w:type="dxa"/>
            <w:tcBorders>
              <w:top w:val="nil"/>
              <w:left w:val="nil"/>
              <w:bottom w:val="nil"/>
              <w:right w:val="nil"/>
            </w:tcBorders>
            <w:shd w:val="clear" w:color="auto" w:fill="auto"/>
            <w:vAlign w:val="bottom"/>
          </w:tcPr>
          <w:p w14:paraId="374A632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28.6</w:t>
            </w:r>
          </w:p>
        </w:tc>
        <w:tc>
          <w:tcPr>
            <w:tcW w:w="1185" w:type="dxa"/>
            <w:tcBorders>
              <w:top w:val="nil"/>
              <w:left w:val="nil"/>
              <w:bottom w:val="nil"/>
              <w:right w:val="nil"/>
            </w:tcBorders>
            <w:shd w:val="clear" w:color="auto" w:fill="auto"/>
          </w:tcPr>
          <w:p w14:paraId="3BCB1BA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2,011</w:t>
            </w:r>
          </w:p>
        </w:tc>
        <w:tc>
          <w:tcPr>
            <w:tcW w:w="567" w:type="dxa"/>
            <w:tcBorders>
              <w:top w:val="nil"/>
              <w:left w:val="nil"/>
              <w:bottom w:val="nil"/>
              <w:right w:val="nil"/>
            </w:tcBorders>
            <w:shd w:val="clear" w:color="auto" w:fill="auto"/>
          </w:tcPr>
          <w:p w14:paraId="79F07D8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31.5</w:t>
            </w:r>
          </w:p>
        </w:tc>
        <w:tc>
          <w:tcPr>
            <w:tcW w:w="1135" w:type="dxa"/>
            <w:tcBorders>
              <w:top w:val="nil"/>
              <w:left w:val="nil"/>
              <w:bottom w:val="nil"/>
              <w:right w:val="nil"/>
            </w:tcBorders>
            <w:shd w:val="clear" w:color="auto" w:fill="auto"/>
          </w:tcPr>
          <w:p w14:paraId="1A0C962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792</w:t>
            </w:r>
          </w:p>
        </w:tc>
        <w:tc>
          <w:tcPr>
            <w:tcW w:w="567" w:type="dxa"/>
            <w:tcBorders>
              <w:top w:val="nil"/>
              <w:left w:val="nil"/>
              <w:bottom w:val="nil"/>
              <w:right w:val="nil"/>
            </w:tcBorders>
            <w:shd w:val="clear" w:color="auto" w:fill="auto"/>
          </w:tcPr>
          <w:p w14:paraId="6FE96EF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11.3</w:t>
            </w:r>
          </w:p>
        </w:tc>
      </w:tr>
      <w:tr w:rsidR="00E76F49" w14:paraId="78AEBFBC" w14:textId="77777777" w:rsidTr="00E76F49">
        <w:trPr>
          <w:cantSplit/>
          <w:trHeight w:val="200"/>
        </w:trPr>
        <w:tc>
          <w:tcPr>
            <w:tcW w:w="4567" w:type="dxa"/>
            <w:tcBorders>
              <w:top w:val="nil"/>
              <w:left w:val="nil"/>
              <w:bottom w:val="nil"/>
              <w:right w:val="nil"/>
            </w:tcBorders>
            <w:shd w:val="clear" w:color="auto" w:fill="auto"/>
            <w:vAlign w:val="bottom"/>
          </w:tcPr>
          <w:p w14:paraId="0EE62CC1"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Nickel and Manganese</w:t>
            </w:r>
            <w:r w:rsidRPr="00571974">
              <w:rPr>
                <w:sz w:val="16"/>
                <w:vertAlign w:val="superscript"/>
                <w:lang w:val="en-GB" w:eastAsia="en-GB" w:bidi="ar-SA"/>
              </w:rPr>
              <w:t>(1)</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2F4FA5B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w:t>
            </w:r>
          </w:p>
        </w:tc>
        <w:tc>
          <w:tcPr>
            <w:tcW w:w="563" w:type="dxa"/>
            <w:tcBorders>
              <w:top w:val="nil"/>
              <w:left w:val="nil"/>
              <w:bottom w:val="nil"/>
              <w:right w:val="nil"/>
            </w:tcBorders>
            <w:shd w:val="clear" w:color="auto" w:fill="auto"/>
            <w:vAlign w:val="bottom"/>
          </w:tcPr>
          <w:p w14:paraId="1D94D01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(0.0)</w:t>
            </w:r>
          </w:p>
        </w:tc>
        <w:tc>
          <w:tcPr>
            <w:tcW w:w="1185" w:type="dxa"/>
            <w:tcBorders>
              <w:top w:val="nil"/>
              <w:left w:val="nil"/>
              <w:right w:val="nil"/>
            </w:tcBorders>
            <w:shd w:val="clear" w:color="auto" w:fill="auto"/>
          </w:tcPr>
          <w:p w14:paraId="70FF08A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75</w:t>
            </w:r>
          </w:p>
        </w:tc>
        <w:tc>
          <w:tcPr>
            <w:tcW w:w="567" w:type="dxa"/>
            <w:tcBorders>
              <w:top w:val="nil"/>
              <w:left w:val="nil"/>
              <w:bottom w:val="nil"/>
              <w:right w:val="nil"/>
            </w:tcBorders>
            <w:shd w:val="clear" w:color="auto" w:fill="auto"/>
          </w:tcPr>
          <w:p w14:paraId="02FC88E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1.2</w:t>
            </w:r>
          </w:p>
        </w:tc>
        <w:tc>
          <w:tcPr>
            <w:tcW w:w="1135" w:type="dxa"/>
            <w:tcBorders>
              <w:top w:val="nil"/>
              <w:left w:val="nil"/>
              <w:bottom w:val="nil"/>
              <w:right w:val="nil"/>
            </w:tcBorders>
            <w:shd w:val="clear" w:color="auto" w:fill="auto"/>
          </w:tcPr>
          <w:p w14:paraId="2D1DA8D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89</w:t>
            </w:r>
          </w:p>
        </w:tc>
        <w:tc>
          <w:tcPr>
            <w:tcW w:w="567" w:type="dxa"/>
            <w:tcBorders>
              <w:top w:val="nil"/>
              <w:left w:val="nil"/>
              <w:bottom w:val="nil"/>
              <w:right w:val="nil"/>
            </w:tcBorders>
            <w:shd w:val="clear" w:color="auto" w:fill="auto"/>
          </w:tcPr>
          <w:p w14:paraId="65E40C0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1.3</w:t>
            </w:r>
          </w:p>
        </w:tc>
      </w:tr>
      <w:tr w:rsidR="00E76F49" w14:paraId="7FE5B7FA" w14:textId="77777777" w:rsidTr="00E76F49">
        <w:trPr>
          <w:cantSplit/>
          <w:trHeight w:val="234"/>
        </w:trPr>
        <w:tc>
          <w:tcPr>
            <w:tcW w:w="4567" w:type="dxa"/>
            <w:tcBorders>
              <w:top w:val="nil"/>
              <w:left w:val="nil"/>
              <w:bottom w:val="nil"/>
              <w:right w:val="nil"/>
            </w:tcBorders>
            <w:shd w:val="clear" w:color="auto" w:fill="auto"/>
            <w:vAlign w:val="bottom"/>
          </w:tcPr>
          <w:p w14:paraId="62FE82E9" w14:textId="77777777" w:rsidR="00DF4A0D" w:rsidRPr="00571974" w:rsidRDefault="003D4D89" w:rsidP="00DF4A0D">
            <w:pPr>
              <w:tabs>
                <w:tab w:val="right" w:leader="dot" w:pos="5112"/>
              </w:tabs>
              <w:suppressAutoHyphens/>
              <w:spacing w:after="20"/>
              <w:ind w:left="400" w:hanging="200"/>
              <w:rPr>
                <w:sz w:val="16"/>
                <w:lang w:val="en-GB" w:eastAsia="en-GB" w:bidi="ar-SA"/>
              </w:rPr>
            </w:pPr>
            <w:r w:rsidRPr="00571974">
              <w:rPr>
                <w:sz w:val="16"/>
                <w:lang w:val="en-GB" w:eastAsia="en-GB" w:bidi="ar-SA"/>
              </w:rPr>
              <w:t>Corporate and Other</w:t>
            </w:r>
            <w:r w:rsidRPr="00571974">
              <w:rPr>
                <w:sz w:val="16"/>
                <w:vertAlign w:val="superscript"/>
                <w:lang w:val="en-GB" w:eastAsia="en-GB" w:bidi="ar-SA"/>
              </w:rPr>
              <w:t>(2)</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58F108F9"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(312)</w:t>
            </w:r>
          </w:p>
        </w:tc>
        <w:tc>
          <w:tcPr>
            <w:tcW w:w="563" w:type="dxa"/>
            <w:tcBorders>
              <w:top w:val="nil"/>
              <w:left w:val="nil"/>
              <w:bottom w:val="nil"/>
              <w:right w:val="nil"/>
            </w:tcBorders>
            <w:shd w:val="clear" w:color="auto" w:fill="auto"/>
            <w:vAlign w:val="bottom"/>
          </w:tcPr>
          <w:p w14:paraId="31F21A9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(5.0)</w:t>
            </w:r>
          </w:p>
        </w:tc>
        <w:tc>
          <w:tcPr>
            <w:tcW w:w="1185" w:type="dxa"/>
            <w:tcBorders>
              <w:top w:val="nil"/>
              <w:left w:val="nil"/>
              <w:right w:val="nil"/>
            </w:tcBorders>
            <w:shd w:val="clear" w:color="auto" w:fill="auto"/>
          </w:tcPr>
          <w:p w14:paraId="2FF3D0E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(231)</w:t>
            </w:r>
          </w:p>
        </w:tc>
        <w:tc>
          <w:tcPr>
            <w:tcW w:w="567" w:type="dxa"/>
            <w:tcBorders>
              <w:top w:val="nil"/>
              <w:left w:val="nil"/>
              <w:bottom w:val="nil"/>
              <w:right w:val="nil"/>
            </w:tcBorders>
            <w:shd w:val="clear" w:color="auto" w:fill="auto"/>
          </w:tcPr>
          <w:p w14:paraId="37A2F06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(3.6)</w:t>
            </w:r>
          </w:p>
        </w:tc>
        <w:tc>
          <w:tcPr>
            <w:tcW w:w="1135" w:type="dxa"/>
            <w:tcBorders>
              <w:top w:val="nil"/>
              <w:left w:val="nil"/>
              <w:bottom w:val="nil"/>
              <w:right w:val="nil"/>
            </w:tcBorders>
            <w:shd w:val="clear" w:color="auto" w:fill="auto"/>
          </w:tcPr>
          <w:p w14:paraId="00EDBD99" w14:textId="22BD5563" w:rsidR="00DF4A0D" w:rsidRPr="00571974" w:rsidRDefault="00DE1A7C"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Pr>
                <w:sz w:val="16"/>
                <w:lang w:val="en-GB" w:eastAsia="en-GB" w:bidi="ar-SA"/>
              </w:rPr>
              <w:t>(</w:t>
            </w:r>
            <w:r w:rsidR="003D4D89" w:rsidRPr="00571974">
              <w:rPr>
                <w:sz w:val="16"/>
                <w:lang w:val="en-GB" w:eastAsia="en-GB" w:bidi="ar-SA"/>
              </w:rPr>
              <w:t>240</w:t>
            </w:r>
            <w:r>
              <w:rPr>
                <w:sz w:val="16"/>
                <w:lang w:val="en-GB" w:eastAsia="en-GB" w:bidi="ar-SA"/>
              </w:rPr>
              <w:t>)</w:t>
            </w:r>
          </w:p>
        </w:tc>
        <w:tc>
          <w:tcPr>
            <w:tcW w:w="567" w:type="dxa"/>
            <w:tcBorders>
              <w:top w:val="nil"/>
              <w:left w:val="nil"/>
              <w:bottom w:val="nil"/>
              <w:right w:val="nil"/>
            </w:tcBorders>
            <w:shd w:val="clear" w:color="auto" w:fill="auto"/>
          </w:tcPr>
          <w:p w14:paraId="3B8F34B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(3.4)</w:t>
            </w:r>
          </w:p>
        </w:tc>
      </w:tr>
      <w:tr w:rsidR="00E76F49" w14:paraId="53B3DBE5" w14:textId="77777777" w:rsidTr="00E76F49">
        <w:trPr>
          <w:cantSplit/>
          <w:trHeight w:val="217"/>
        </w:trPr>
        <w:tc>
          <w:tcPr>
            <w:tcW w:w="4567" w:type="dxa"/>
            <w:tcBorders>
              <w:top w:val="nil"/>
              <w:left w:val="nil"/>
              <w:bottom w:val="nil"/>
              <w:right w:val="nil"/>
            </w:tcBorders>
            <w:shd w:val="clear" w:color="auto" w:fill="auto"/>
            <w:vAlign w:val="bottom"/>
          </w:tcPr>
          <w:p w14:paraId="2ACFEE47"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Total</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05F4E86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5,242</w:t>
            </w:r>
          </w:p>
        </w:tc>
        <w:tc>
          <w:tcPr>
            <w:tcW w:w="563" w:type="dxa"/>
            <w:tcBorders>
              <w:top w:val="nil"/>
              <w:left w:val="nil"/>
              <w:bottom w:val="nil"/>
              <w:right w:val="nil"/>
            </w:tcBorders>
            <w:shd w:val="clear" w:color="auto" w:fill="auto"/>
            <w:vAlign w:val="bottom"/>
          </w:tcPr>
          <w:p w14:paraId="1F8432E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left w:val="nil"/>
              <w:bottom w:val="nil"/>
              <w:right w:val="nil"/>
            </w:tcBorders>
            <w:shd w:val="clear" w:color="auto" w:fill="auto"/>
          </w:tcPr>
          <w:p w14:paraId="2DA2657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5,231</w:t>
            </w:r>
          </w:p>
        </w:tc>
        <w:tc>
          <w:tcPr>
            <w:tcW w:w="567" w:type="dxa"/>
            <w:tcBorders>
              <w:top w:val="nil"/>
              <w:left w:val="nil"/>
              <w:bottom w:val="nil"/>
              <w:right w:val="nil"/>
            </w:tcBorders>
            <w:shd w:val="clear" w:color="auto" w:fill="auto"/>
          </w:tcPr>
          <w:p w14:paraId="4A1B8F59"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shd w:val="clear" w:color="auto" w:fill="auto"/>
          </w:tcPr>
          <w:p w14:paraId="1E57329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6,327</w:t>
            </w:r>
          </w:p>
        </w:tc>
        <w:tc>
          <w:tcPr>
            <w:tcW w:w="567" w:type="dxa"/>
            <w:tcBorders>
              <w:top w:val="nil"/>
              <w:left w:val="nil"/>
              <w:bottom w:val="nil"/>
              <w:right w:val="nil"/>
            </w:tcBorders>
            <w:shd w:val="clear" w:color="auto" w:fill="auto"/>
          </w:tcPr>
          <w:p w14:paraId="123D460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66351B26" w14:textId="77777777" w:rsidTr="00E76F49">
        <w:trPr>
          <w:cantSplit/>
          <w:trHeight w:val="200"/>
        </w:trPr>
        <w:tc>
          <w:tcPr>
            <w:tcW w:w="4567" w:type="dxa"/>
            <w:tcBorders>
              <w:top w:val="nil"/>
              <w:left w:val="nil"/>
              <w:bottom w:val="nil"/>
              <w:right w:val="nil"/>
            </w:tcBorders>
            <w:shd w:val="clear" w:color="auto" w:fill="auto"/>
            <w:vAlign w:val="bottom"/>
          </w:tcPr>
          <w:p w14:paraId="3607D53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112"/>
              </w:tabs>
              <w:suppressAutoHyphens/>
              <w:ind w:left="400" w:hanging="200"/>
              <w:rPr>
                <w:sz w:val="16"/>
                <w:lang w:val="en-GB" w:eastAsia="en-GB" w:bidi="ar-SA"/>
              </w:rPr>
            </w:pPr>
            <w:r w:rsidRPr="00571974">
              <w:rPr>
                <w:b/>
                <w:bCs/>
                <w:sz w:val="16"/>
                <w:lang w:val="en-GB" w:eastAsia="en-GB" w:bidi="ar-SA"/>
              </w:rPr>
              <w:t>Equity accounted entities</w:t>
            </w:r>
          </w:p>
        </w:tc>
        <w:tc>
          <w:tcPr>
            <w:tcW w:w="1127" w:type="dxa"/>
            <w:tcBorders>
              <w:top w:val="nil"/>
              <w:left w:val="nil"/>
              <w:bottom w:val="nil"/>
              <w:right w:val="nil"/>
            </w:tcBorders>
            <w:shd w:val="clear" w:color="auto" w:fill="auto"/>
            <w:vAlign w:val="bottom"/>
          </w:tcPr>
          <w:p w14:paraId="658C07A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3" w:type="dxa"/>
            <w:tcBorders>
              <w:top w:val="nil"/>
              <w:left w:val="nil"/>
              <w:bottom w:val="nil"/>
              <w:right w:val="nil"/>
            </w:tcBorders>
            <w:shd w:val="clear" w:color="auto" w:fill="auto"/>
            <w:vAlign w:val="bottom"/>
          </w:tcPr>
          <w:p w14:paraId="480DAB77"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top w:val="nil"/>
              <w:left w:val="nil"/>
              <w:bottom w:val="nil"/>
              <w:right w:val="nil"/>
            </w:tcBorders>
            <w:shd w:val="clear" w:color="auto" w:fill="auto"/>
          </w:tcPr>
          <w:p w14:paraId="4F77D75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7" w:type="dxa"/>
            <w:tcBorders>
              <w:top w:val="nil"/>
              <w:left w:val="nil"/>
              <w:bottom w:val="nil"/>
              <w:right w:val="nil"/>
            </w:tcBorders>
            <w:shd w:val="clear" w:color="auto" w:fill="auto"/>
          </w:tcPr>
          <w:p w14:paraId="438DCA2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shd w:val="clear" w:color="auto" w:fill="auto"/>
          </w:tcPr>
          <w:p w14:paraId="3191ED7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7" w:type="dxa"/>
            <w:tcBorders>
              <w:top w:val="nil"/>
              <w:left w:val="nil"/>
              <w:bottom w:val="nil"/>
              <w:right w:val="nil"/>
            </w:tcBorders>
            <w:shd w:val="clear" w:color="auto" w:fill="auto"/>
          </w:tcPr>
          <w:p w14:paraId="464F2B1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16655D7C" w14:textId="77777777" w:rsidTr="00E76F49">
        <w:trPr>
          <w:cantSplit/>
          <w:trHeight w:val="200"/>
        </w:trPr>
        <w:tc>
          <w:tcPr>
            <w:tcW w:w="4567" w:type="dxa"/>
            <w:tcBorders>
              <w:top w:val="nil"/>
              <w:left w:val="nil"/>
              <w:bottom w:val="nil"/>
              <w:right w:val="nil"/>
            </w:tcBorders>
            <w:shd w:val="clear" w:color="auto" w:fill="auto"/>
            <w:vAlign w:val="bottom"/>
          </w:tcPr>
          <w:p w14:paraId="1E5F5C1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De Beers</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4B5BDB2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w:t>
            </w:r>
          </w:p>
        </w:tc>
        <w:tc>
          <w:tcPr>
            <w:tcW w:w="563" w:type="dxa"/>
            <w:tcBorders>
              <w:top w:val="nil"/>
              <w:left w:val="nil"/>
              <w:bottom w:val="nil"/>
              <w:right w:val="nil"/>
            </w:tcBorders>
            <w:shd w:val="clear" w:color="auto" w:fill="auto"/>
            <w:vAlign w:val="bottom"/>
          </w:tcPr>
          <w:p w14:paraId="1DF3655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0.0</w:t>
            </w:r>
          </w:p>
        </w:tc>
        <w:tc>
          <w:tcPr>
            <w:tcW w:w="1185" w:type="dxa"/>
            <w:tcBorders>
              <w:top w:val="nil"/>
              <w:left w:val="nil"/>
              <w:bottom w:val="nil"/>
              <w:right w:val="nil"/>
            </w:tcBorders>
            <w:shd w:val="clear" w:color="auto" w:fill="auto"/>
          </w:tcPr>
          <w:p w14:paraId="1D83DCA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w:t>
            </w:r>
          </w:p>
        </w:tc>
        <w:tc>
          <w:tcPr>
            <w:tcW w:w="567" w:type="dxa"/>
            <w:tcBorders>
              <w:top w:val="nil"/>
              <w:left w:val="nil"/>
              <w:bottom w:val="nil"/>
              <w:right w:val="nil"/>
            </w:tcBorders>
            <w:shd w:val="clear" w:color="auto" w:fill="auto"/>
          </w:tcPr>
          <w:p w14:paraId="66B5AE6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0.0</w:t>
            </w:r>
          </w:p>
        </w:tc>
        <w:tc>
          <w:tcPr>
            <w:tcW w:w="1135" w:type="dxa"/>
            <w:tcBorders>
              <w:top w:val="nil"/>
              <w:left w:val="nil"/>
              <w:bottom w:val="nil"/>
              <w:right w:val="nil"/>
            </w:tcBorders>
            <w:shd w:val="clear" w:color="auto" w:fill="auto"/>
          </w:tcPr>
          <w:p w14:paraId="62F102F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w:t>
            </w:r>
          </w:p>
        </w:tc>
        <w:tc>
          <w:tcPr>
            <w:tcW w:w="567" w:type="dxa"/>
            <w:tcBorders>
              <w:top w:val="nil"/>
              <w:left w:val="nil"/>
              <w:bottom w:val="nil"/>
              <w:right w:val="nil"/>
            </w:tcBorders>
            <w:shd w:val="clear" w:color="auto" w:fill="auto"/>
          </w:tcPr>
          <w:p w14:paraId="530C354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0.0</w:t>
            </w:r>
          </w:p>
        </w:tc>
      </w:tr>
      <w:tr w:rsidR="00E76F49" w14:paraId="68515823" w14:textId="77777777" w:rsidTr="00E76F49">
        <w:trPr>
          <w:cantSplit/>
          <w:trHeight w:val="217"/>
        </w:trPr>
        <w:tc>
          <w:tcPr>
            <w:tcW w:w="4567" w:type="dxa"/>
            <w:tcBorders>
              <w:top w:val="nil"/>
              <w:left w:val="nil"/>
              <w:bottom w:val="nil"/>
              <w:right w:val="nil"/>
            </w:tcBorders>
            <w:shd w:val="clear" w:color="auto" w:fill="auto"/>
            <w:vAlign w:val="bottom"/>
          </w:tcPr>
          <w:p w14:paraId="49C00C5A"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Platinum Group Metals</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67A6BC4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(16)</w:t>
            </w:r>
          </w:p>
        </w:tc>
        <w:tc>
          <w:tcPr>
            <w:tcW w:w="563" w:type="dxa"/>
            <w:tcBorders>
              <w:top w:val="nil"/>
              <w:left w:val="nil"/>
              <w:bottom w:val="nil"/>
              <w:right w:val="nil"/>
            </w:tcBorders>
            <w:shd w:val="clear" w:color="auto" w:fill="auto"/>
            <w:vAlign w:val="bottom"/>
          </w:tcPr>
          <w:p w14:paraId="0291B2A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(0.3)</w:t>
            </w:r>
          </w:p>
        </w:tc>
        <w:tc>
          <w:tcPr>
            <w:tcW w:w="1185" w:type="dxa"/>
            <w:tcBorders>
              <w:top w:val="nil"/>
              <w:left w:val="nil"/>
              <w:bottom w:val="nil"/>
              <w:right w:val="nil"/>
            </w:tcBorders>
            <w:shd w:val="clear" w:color="auto" w:fill="auto"/>
          </w:tcPr>
          <w:p w14:paraId="2A7EA53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w:t>
            </w:r>
          </w:p>
        </w:tc>
        <w:tc>
          <w:tcPr>
            <w:tcW w:w="567" w:type="dxa"/>
            <w:tcBorders>
              <w:top w:val="nil"/>
              <w:left w:val="nil"/>
              <w:bottom w:val="nil"/>
              <w:right w:val="nil"/>
            </w:tcBorders>
            <w:shd w:val="clear" w:color="auto" w:fill="auto"/>
          </w:tcPr>
          <w:p w14:paraId="57957AA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0.0</w:t>
            </w:r>
          </w:p>
        </w:tc>
        <w:tc>
          <w:tcPr>
            <w:tcW w:w="1135" w:type="dxa"/>
            <w:tcBorders>
              <w:top w:val="nil"/>
              <w:left w:val="nil"/>
              <w:bottom w:val="nil"/>
              <w:right w:val="nil"/>
            </w:tcBorders>
            <w:shd w:val="clear" w:color="auto" w:fill="auto"/>
          </w:tcPr>
          <w:p w14:paraId="1C8EA48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w:t>
            </w:r>
          </w:p>
        </w:tc>
        <w:tc>
          <w:tcPr>
            <w:tcW w:w="567" w:type="dxa"/>
            <w:tcBorders>
              <w:top w:val="nil"/>
              <w:left w:val="nil"/>
              <w:bottom w:val="nil"/>
              <w:right w:val="nil"/>
            </w:tcBorders>
            <w:shd w:val="clear" w:color="auto" w:fill="auto"/>
          </w:tcPr>
          <w:p w14:paraId="274A4BF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0.0</w:t>
            </w:r>
          </w:p>
        </w:tc>
      </w:tr>
      <w:tr w:rsidR="00E76F49" w14:paraId="3E688D85" w14:textId="77777777" w:rsidTr="00E76F49">
        <w:trPr>
          <w:cantSplit/>
          <w:trHeight w:val="200"/>
        </w:trPr>
        <w:tc>
          <w:tcPr>
            <w:tcW w:w="4567" w:type="dxa"/>
            <w:tcBorders>
              <w:top w:val="nil"/>
              <w:left w:val="nil"/>
              <w:bottom w:val="nil"/>
              <w:right w:val="nil"/>
            </w:tcBorders>
            <w:shd w:val="clear" w:color="auto" w:fill="auto"/>
            <w:vAlign w:val="bottom"/>
          </w:tcPr>
          <w:p w14:paraId="13AF17E6"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Iron Ore</w:t>
            </w:r>
            <w:r w:rsidRPr="00571974">
              <w:rPr>
                <w:sz w:val="16"/>
                <w:vertAlign w:val="superscript"/>
                <w:lang w:val="en-GB" w:eastAsia="en-GB" w:bidi="ar-SA"/>
              </w:rPr>
              <w:t>(1)</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3F349C9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56</w:t>
            </w:r>
          </w:p>
        </w:tc>
        <w:tc>
          <w:tcPr>
            <w:tcW w:w="563" w:type="dxa"/>
            <w:tcBorders>
              <w:top w:val="nil"/>
              <w:left w:val="nil"/>
              <w:bottom w:val="nil"/>
              <w:right w:val="nil"/>
            </w:tcBorders>
            <w:shd w:val="clear" w:color="auto" w:fill="auto"/>
            <w:vAlign w:val="bottom"/>
          </w:tcPr>
          <w:p w14:paraId="6067EBA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0.9</w:t>
            </w:r>
          </w:p>
        </w:tc>
        <w:tc>
          <w:tcPr>
            <w:tcW w:w="1185" w:type="dxa"/>
            <w:tcBorders>
              <w:top w:val="nil"/>
              <w:left w:val="nil"/>
              <w:bottom w:val="nil"/>
              <w:right w:val="nil"/>
            </w:tcBorders>
            <w:shd w:val="clear" w:color="auto" w:fill="auto"/>
          </w:tcPr>
          <w:p w14:paraId="0DC8324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w:t>
            </w:r>
          </w:p>
        </w:tc>
        <w:tc>
          <w:tcPr>
            <w:tcW w:w="567" w:type="dxa"/>
            <w:tcBorders>
              <w:top w:val="nil"/>
              <w:left w:val="nil"/>
              <w:bottom w:val="nil"/>
              <w:right w:val="nil"/>
            </w:tcBorders>
            <w:shd w:val="clear" w:color="auto" w:fill="auto"/>
          </w:tcPr>
          <w:p w14:paraId="543C66C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0.1</w:t>
            </w:r>
          </w:p>
        </w:tc>
        <w:tc>
          <w:tcPr>
            <w:tcW w:w="1135" w:type="dxa"/>
            <w:tcBorders>
              <w:top w:val="nil"/>
              <w:left w:val="nil"/>
              <w:bottom w:val="nil"/>
              <w:right w:val="nil"/>
            </w:tcBorders>
            <w:shd w:val="clear" w:color="auto" w:fill="auto"/>
          </w:tcPr>
          <w:p w14:paraId="2C402D4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66</w:t>
            </w:r>
          </w:p>
        </w:tc>
        <w:tc>
          <w:tcPr>
            <w:tcW w:w="567" w:type="dxa"/>
            <w:tcBorders>
              <w:top w:val="nil"/>
              <w:left w:val="nil"/>
              <w:bottom w:val="nil"/>
              <w:right w:val="nil"/>
            </w:tcBorders>
            <w:shd w:val="clear" w:color="auto" w:fill="auto"/>
          </w:tcPr>
          <w:p w14:paraId="3516954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0.9</w:t>
            </w:r>
          </w:p>
        </w:tc>
      </w:tr>
      <w:tr w:rsidR="00E76F49" w14:paraId="3486EBA1" w14:textId="77777777" w:rsidTr="00E76F49">
        <w:trPr>
          <w:cantSplit/>
          <w:trHeight w:val="200"/>
        </w:trPr>
        <w:tc>
          <w:tcPr>
            <w:tcW w:w="4567" w:type="dxa"/>
            <w:tcBorders>
              <w:top w:val="nil"/>
              <w:left w:val="nil"/>
              <w:bottom w:val="nil"/>
              <w:right w:val="nil"/>
            </w:tcBorders>
            <w:shd w:val="clear" w:color="auto" w:fill="auto"/>
            <w:vAlign w:val="bottom"/>
          </w:tcPr>
          <w:p w14:paraId="4C09F5EA"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Coal</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352C009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486</w:t>
            </w:r>
          </w:p>
        </w:tc>
        <w:tc>
          <w:tcPr>
            <w:tcW w:w="563" w:type="dxa"/>
            <w:tcBorders>
              <w:top w:val="nil"/>
              <w:left w:val="nil"/>
              <w:bottom w:val="nil"/>
              <w:right w:val="nil"/>
            </w:tcBorders>
            <w:shd w:val="clear" w:color="auto" w:fill="auto"/>
            <w:vAlign w:val="bottom"/>
          </w:tcPr>
          <w:p w14:paraId="741FF1A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7.8</w:t>
            </w:r>
          </w:p>
        </w:tc>
        <w:tc>
          <w:tcPr>
            <w:tcW w:w="1185" w:type="dxa"/>
            <w:tcBorders>
              <w:top w:val="nil"/>
              <w:left w:val="nil"/>
              <w:bottom w:val="nil"/>
              <w:right w:val="nil"/>
            </w:tcBorders>
            <w:shd w:val="clear" w:color="auto" w:fill="auto"/>
          </w:tcPr>
          <w:p w14:paraId="088782F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527</w:t>
            </w:r>
          </w:p>
        </w:tc>
        <w:tc>
          <w:tcPr>
            <w:tcW w:w="567" w:type="dxa"/>
            <w:tcBorders>
              <w:top w:val="nil"/>
              <w:left w:val="nil"/>
              <w:bottom w:val="nil"/>
              <w:right w:val="nil"/>
            </w:tcBorders>
            <w:shd w:val="clear" w:color="auto" w:fill="auto"/>
          </w:tcPr>
          <w:p w14:paraId="51B8272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8.3</w:t>
            </w:r>
          </w:p>
        </w:tc>
        <w:tc>
          <w:tcPr>
            <w:tcW w:w="1135" w:type="dxa"/>
            <w:tcBorders>
              <w:top w:val="nil"/>
              <w:left w:val="nil"/>
              <w:bottom w:val="nil"/>
              <w:right w:val="nil"/>
            </w:tcBorders>
            <w:shd w:val="clear" w:color="auto" w:fill="auto"/>
          </w:tcPr>
          <w:p w14:paraId="20C2F2D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218</w:t>
            </w:r>
          </w:p>
        </w:tc>
        <w:tc>
          <w:tcPr>
            <w:tcW w:w="567" w:type="dxa"/>
            <w:tcBorders>
              <w:top w:val="nil"/>
              <w:left w:val="nil"/>
              <w:bottom w:val="nil"/>
              <w:right w:val="nil"/>
            </w:tcBorders>
            <w:shd w:val="clear" w:color="auto" w:fill="auto"/>
          </w:tcPr>
          <w:p w14:paraId="71E9E1C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w:t>
            </w:r>
          </w:p>
        </w:tc>
      </w:tr>
      <w:tr w:rsidR="00E76F49" w14:paraId="7AE70371" w14:textId="77777777" w:rsidTr="00E76F49">
        <w:trPr>
          <w:cantSplit/>
          <w:trHeight w:val="200"/>
        </w:trPr>
        <w:tc>
          <w:tcPr>
            <w:tcW w:w="4567" w:type="dxa"/>
            <w:tcBorders>
              <w:top w:val="nil"/>
              <w:left w:val="nil"/>
              <w:bottom w:val="nil"/>
              <w:right w:val="nil"/>
            </w:tcBorders>
            <w:shd w:val="clear" w:color="auto" w:fill="auto"/>
            <w:vAlign w:val="bottom"/>
          </w:tcPr>
          <w:p w14:paraId="370A47A5"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 xml:space="preserve">Nickel and Manganese </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206B5BB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478</w:t>
            </w:r>
          </w:p>
        </w:tc>
        <w:tc>
          <w:tcPr>
            <w:tcW w:w="563" w:type="dxa"/>
            <w:tcBorders>
              <w:top w:val="nil"/>
              <w:left w:val="nil"/>
              <w:bottom w:val="nil"/>
              <w:right w:val="nil"/>
            </w:tcBorders>
            <w:shd w:val="clear" w:color="auto" w:fill="auto"/>
            <w:vAlign w:val="bottom"/>
          </w:tcPr>
          <w:p w14:paraId="51AA15A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7.7</w:t>
            </w:r>
          </w:p>
        </w:tc>
        <w:tc>
          <w:tcPr>
            <w:tcW w:w="1185" w:type="dxa"/>
            <w:tcBorders>
              <w:top w:val="nil"/>
              <w:left w:val="nil"/>
              <w:bottom w:val="nil"/>
              <w:right w:val="nil"/>
            </w:tcBorders>
            <w:shd w:val="clear" w:color="auto" w:fill="auto"/>
          </w:tcPr>
          <w:p w14:paraId="050CAA6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610</w:t>
            </w:r>
          </w:p>
        </w:tc>
        <w:tc>
          <w:tcPr>
            <w:tcW w:w="567" w:type="dxa"/>
            <w:tcBorders>
              <w:top w:val="nil"/>
              <w:left w:val="nil"/>
              <w:bottom w:val="nil"/>
              <w:right w:val="nil"/>
            </w:tcBorders>
            <w:shd w:val="clear" w:color="auto" w:fill="auto"/>
          </w:tcPr>
          <w:p w14:paraId="51F17D3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9.6</w:t>
            </w:r>
          </w:p>
        </w:tc>
        <w:tc>
          <w:tcPr>
            <w:tcW w:w="1135" w:type="dxa"/>
            <w:tcBorders>
              <w:top w:val="nil"/>
              <w:left w:val="nil"/>
              <w:bottom w:val="nil"/>
              <w:right w:val="nil"/>
            </w:tcBorders>
            <w:shd w:val="clear" w:color="auto" w:fill="auto"/>
          </w:tcPr>
          <w:p w14:paraId="385CA9D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388</w:t>
            </w:r>
          </w:p>
        </w:tc>
        <w:tc>
          <w:tcPr>
            <w:tcW w:w="567" w:type="dxa"/>
            <w:tcBorders>
              <w:top w:val="nil"/>
              <w:left w:val="nil"/>
              <w:bottom w:val="nil"/>
              <w:right w:val="nil"/>
            </w:tcBorders>
            <w:shd w:val="clear" w:color="auto" w:fill="auto"/>
          </w:tcPr>
          <w:p w14:paraId="55ECDCF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5.5</w:t>
            </w:r>
          </w:p>
        </w:tc>
      </w:tr>
      <w:tr w:rsidR="00E76F49" w14:paraId="7F94B8A6" w14:textId="77777777" w:rsidTr="00E76F49">
        <w:trPr>
          <w:cantSplit/>
          <w:trHeight w:val="146"/>
        </w:trPr>
        <w:tc>
          <w:tcPr>
            <w:tcW w:w="4567" w:type="dxa"/>
            <w:tcBorders>
              <w:top w:val="nil"/>
              <w:left w:val="nil"/>
              <w:bottom w:val="nil"/>
              <w:right w:val="nil"/>
            </w:tcBorders>
            <w:shd w:val="clear" w:color="auto" w:fill="auto"/>
            <w:vAlign w:val="bottom"/>
          </w:tcPr>
          <w:p w14:paraId="0B7BF9F8" w14:textId="77777777" w:rsidR="00DF4A0D" w:rsidRPr="00571974" w:rsidRDefault="003D4D89" w:rsidP="00DF4A0D">
            <w:pPr>
              <w:tabs>
                <w:tab w:val="right" w:leader="dot" w:pos="5112"/>
              </w:tabs>
              <w:suppressAutoHyphens/>
              <w:spacing w:after="20"/>
              <w:ind w:left="400" w:hanging="200"/>
              <w:rPr>
                <w:sz w:val="16"/>
                <w:lang w:val="en-GB" w:eastAsia="en-GB" w:bidi="ar-SA"/>
              </w:rPr>
            </w:pPr>
            <w:r w:rsidRPr="00571974">
              <w:rPr>
                <w:sz w:val="16"/>
                <w:lang w:val="en-GB" w:eastAsia="en-GB" w:bidi="ar-SA"/>
              </w:rPr>
              <w:t>Corporate and Other</w:t>
            </w:r>
            <w:r w:rsidRPr="00571974">
              <w:rPr>
                <w:sz w:val="16"/>
                <w:vertAlign w:val="superscript"/>
                <w:lang w:val="en-GB" w:eastAsia="en-GB" w:bidi="ar-SA"/>
              </w:rPr>
              <w:t>(2)</w:t>
            </w:r>
            <w:r w:rsidRPr="00571974">
              <w:rPr>
                <w:sz w:val="16"/>
                <w:lang w:val="en-GB" w:eastAsia="en-GB" w:bidi="ar-SA"/>
              </w:rPr>
              <w:tab/>
            </w:r>
          </w:p>
        </w:tc>
        <w:tc>
          <w:tcPr>
            <w:tcW w:w="1127" w:type="dxa"/>
            <w:tcBorders>
              <w:top w:val="nil"/>
              <w:left w:val="nil"/>
              <w:bottom w:val="nil"/>
              <w:right w:val="nil"/>
            </w:tcBorders>
            <w:shd w:val="clear" w:color="auto" w:fill="auto"/>
            <w:vAlign w:val="bottom"/>
          </w:tcPr>
          <w:p w14:paraId="2E315292"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w:t>
            </w:r>
          </w:p>
        </w:tc>
        <w:tc>
          <w:tcPr>
            <w:tcW w:w="563" w:type="dxa"/>
            <w:tcBorders>
              <w:top w:val="nil"/>
              <w:left w:val="nil"/>
              <w:bottom w:val="nil"/>
              <w:right w:val="nil"/>
            </w:tcBorders>
            <w:shd w:val="clear" w:color="auto" w:fill="auto"/>
            <w:vAlign w:val="bottom"/>
          </w:tcPr>
          <w:p w14:paraId="35397CB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0.0</w:t>
            </w:r>
          </w:p>
        </w:tc>
        <w:tc>
          <w:tcPr>
            <w:tcW w:w="1185" w:type="dxa"/>
            <w:tcBorders>
              <w:top w:val="nil"/>
              <w:left w:val="nil"/>
              <w:bottom w:val="nil"/>
              <w:right w:val="nil"/>
            </w:tcBorders>
            <w:shd w:val="clear" w:color="auto" w:fill="auto"/>
          </w:tcPr>
          <w:p w14:paraId="79722B8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5</w:t>
            </w:r>
          </w:p>
        </w:tc>
        <w:tc>
          <w:tcPr>
            <w:tcW w:w="567" w:type="dxa"/>
            <w:tcBorders>
              <w:top w:val="nil"/>
              <w:left w:val="nil"/>
              <w:bottom w:val="nil"/>
              <w:right w:val="nil"/>
            </w:tcBorders>
            <w:shd w:val="clear" w:color="auto" w:fill="auto"/>
          </w:tcPr>
          <w:p w14:paraId="2BFBE87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0.1</w:t>
            </w:r>
          </w:p>
        </w:tc>
        <w:tc>
          <w:tcPr>
            <w:tcW w:w="1135" w:type="dxa"/>
            <w:tcBorders>
              <w:top w:val="nil"/>
              <w:left w:val="nil"/>
              <w:bottom w:val="nil"/>
              <w:right w:val="nil"/>
            </w:tcBorders>
            <w:shd w:val="clear" w:color="auto" w:fill="auto"/>
          </w:tcPr>
          <w:p w14:paraId="7A1175E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w:t>
            </w:r>
          </w:p>
        </w:tc>
        <w:tc>
          <w:tcPr>
            <w:tcW w:w="567" w:type="dxa"/>
            <w:tcBorders>
              <w:top w:val="nil"/>
              <w:left w:val="nil"/>
              <w:bottom w:val="nil"/>
              <w:right w:val="nil"/>
            </w:tcBorders>
            <w:shd w:val="clear" w:color="auto" w:fill="auto"/>
          </w:tcPr>
          <w:p w14:paraId="0AE49E2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0.2</w:t>
            </w:r>
          </w:p>
        </w:tc>
      </w:tr>
      <w:tr w:rsidR="00E76F49" w14:paraId="35527C68" w14:textId="77777777" w:rsidTr="00E76F49">
        <w:trPr>
          <w:cantSplit/>
        </w:trPr>
        <w:tc>
          <w:tcPr>
            <w:tcW w:w="4567" w:type="dxa"/>
            <w:tcBorders>
              <w:top w:val="nil"/>
              <w:left w:val="nil"/>
              <w:bottom w:val="nil"/>
              <w:right w:val="nil"/>
            </w:tcBorders>
            <w:shd w:val="clear" w:color="auto" w:fill="auto"/>
            <w:vAlign w:val="center"/>
          </w:tcPr>
          <w:p w14:paraId="077CC121" w14:textId="77777777" w:rsidR="00DF4A0D" w:rsidRPr="00571974" w:rsidRDefault="003D4D89" w:rsidP="00DF4A0D">
            <w:pPr>
              <w:tabs>
                <w:tab w:val="right" w:leader="dot" w:pos="5112"/>
              </w:tabs>
              <w:suppressAutoHyphens/>
              <w:spacing w:after="40"/>
              <w:ind w:left="200" w:hanging="200"/>
              <w:rPr>
                <w:sz w:val="16"/>
                <w:lang w:val="en-GB" w:eastAsia="en-GB" w:bidi="ar-SA"/>
              </w:rPr>
            </w:pPr>
            <w:r w:rsidRPr="00571974">
              <w:rPr>
                <w:b/>
                <w:bCs/>
                <w:sz w:val="16"/>
                <w:lang w:val="en-GB" w:eastAsia="en-GB" w:bidi="ar-SA"/>
              </w:rPr>
              <w:t>Total Group operations including equity accounted entities</w:t>
            </w:r>
            <w:r w:rsidRPr="00571974">
              <w:rPr>
                <w:sz w:val="16"/>
                <w:lang w:val="en-GB" w:eastAsia="en-GB" w:bidi="ar-SA"/>
              </w:rPr>
              <w:tab/>
            </w:r>
          </w:p>
        </w:tc>
        <w:tc>
          <w:tcPr>
            <w:tcW w:w="1127" w:type="dxa"/>
            <w:tcBorders>
              <w:top w:val="nil"/>
              <w:left w:val="nil"/>
              <w:bottom w:val="nil"/>
              <w:right w:val="nil"/>
            </w:tcBorders>
            <w:shd w:val="clear" w:color="auto" w:fill="auto"/>
            <w:vAlign w:val="center"/>
          </w:tcPr>
          <w:p w14:paraId="5809B62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6,247</w:t>
            </w:r>
          </w:p>
        </w:tc>
        <w:tc>
          <w:tcPr>
            <w:tcW w:w="563" w:type="dxa"/>
            <w:tcBorders>
              <w:top w:val="nil"/>
              <w:left w:val="nil"/>
              <w:bottom w:val="nil"/>
              <w:right w:val="nil"/>
            </w:tcBorders>
            <w:shd w:val="clear" w:color="auto" w:fill="auto"/>
            <w:vAlign w:val="center"/>
          </w:tcPr>
          <w:p w14:paraId="079EB61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w:t>
            </w:r>
          </w:p>
        </w:tc>
        <w:tc>
          <w:tcPr>
            <w:tcW w:w="1185" w:type="dxa"/>
            <w:tcBorders>
              <w:top w:val="nil"/>
              <w:left w:val="nil"/>
              <w:bottom w:val="nil"/>
              <w:right w:val="nil"/>
            </w:tcBorders>
            <w:shd w:val="clear" w:color="auto" w:fill="auto"/>
          </w:tcPr>
          <w:p w14:paraId="6EBD413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6,377</w:t>
            </w:r>
          </w:p>
        </w:tc>
        <w:tc>
          <w:tcPr>
            <w:tcW w:w="567" w:type="dxa"/>
            <w:tcBorders>
              <w:top w:val="nil"/>
              <w:left w:val="nil"/>
              <w:bottom w:val="nil"/>
              <w:right w:val="nil"/>
            </w:tcBorders>
            <w:shd w:val="clear" w:color="auto" w:fill="auto"/>
          </w:tcPr>
          <w:p w14:paraId="6D7C9EA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w:t>
            </w:r>
          </w:p>
        </w:tc>
        <w:tc>
          <w:tcPr>
            <w:tcW w:w="1135" w:type="dxa"/>
            <w:tcBorders>
              <w:top w:val="nil"/>
              <w:left w:val="nil"/>
              <w:bottom w:val="nil"/>
              <w:right w:val="nil"/>
            </w:tcBorders>
            <w:shd w:val="clear" w:color="auto" w:fill="auto"/>
          </w:tcPr>
          <w:p w14:paraId="60DFFA5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7,010</w:t>
            </w:r>
          </w:p>
        </w:tc>
        <w:tc>
          <w:tcPr>
            <w:tcW w:w="567" w:type="dxa"/>
            <w:tcBorders>
              <w:top w:val="nil"/>
              <w:left w:val="nil"/>
              <w:bottom w:val="nil"/>
              <w:right w:val="nil"/>
            </w:tcBorders>
            <w:shd w:val="clear" w:color="auto" w:fill="auto"/>
          </w:tcPr>
          <w:p w14:paraId="0B93849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70"/>
              <w:jc w:val="right"/>
              <w:rPr>
                <w:sz w:val="16"/>
                <w:lang w:val="en-GB" w:eastAsia="en-GB" w:bidi="ar-SA"/>
              </w:rPr>
            </w:pPr>
            <w:r w:rsidRPr="00571974">
              <w:rPr>
                <w:sz w:val="16"/>
                <w:lang w:val="en-GB" w:eastAsia="en-GB" w:bidi="ar-SA"/>
              </w:rPr>
              <w:t>100</w:t>
            </w:r>
          </w:p>
        </w:tc>
      </w:tr>
      <w:tr w:rsidR="00E76F49" w14:paraId="5BC36264" w14:textId="77777777" w:rsidTr="00E76F49">
        <w:trPr>
          <w:cantSplit/>
        </w:trPr>
        <w:tc>
          <w:tcPr>
            <w:tcW w:w="4567" w:type="dxa"/>
            <w:tcBorders>
              <w:top w:val="nil"/>
              <w:left w:val="nil"/>
              <w:bottom w:val="nil"/>
              <w:right w:val="nil"/>
            </w:tcBorders>
            <w:shd w:val="clear" w:color="auto" w:fill="auto"/>
            <w:vAlign w:val="center"/>
          </w:tcPr>
          <w:p w14:paraId="387B7CAC" w14:textId="77777777" w:rsidR="00DF4A0D" w:rsidRPr="00571974" w:rsidRDefault="003D4D89" w:rsidP="00DF4A0D">
            <w:pPr>
              <w:tabs>
                <w:tab w:val="right" w:leader="dot" w:pos="5112"/>
              </w:tabs>
              <w:suppressAutoHyphens/>
              <w:spacing w:after="40"/>
              <w:ind w:left="200" w:hanging="200"/>
              <w:rPr>
                <w:b/>
                <w:bCs/>
                <w:sz w:val="16"/>
                <w:lang w:val="en-GB" w:eastAsia="en-GB" w:bidi="ar-SA"/>
              </w:rPr>
            </w:pPr>
            <w:r w:rsidRPr="00571974">
              <w:rPr>
                <w:sz w:val="16"/>
                <w:lang w:val="en-GB" w:eastAsia="en-GB" w:bidi="ar-SA"/>
              </w:rPr>
              <w:t xml:space="preserve">      Less: associates and joint ventures</w:t>
            </w:r>
            <w:r w:rsidRPr="00571974">
              <w:rPr>
                <w:sz w:val="16"/>
                <w:lang w:val="en-GB" w:eastAsia="en-GB" w:bidi="ar-SA"/>
              </w:rPr>
              <w:tab/>
            </w:r>
          </w:p>
        </w:tc>
        <w:tc>
          <w:tcPr>
            <w:tcW w:w="1127" w:type="dxa"/>
            <w:tcBorders>
              <w:top w:val="nil"/>
              <w:left w:val="nil"/>
              <w:bottom w:val="nil"/>
              <w:right w:val="nil"/>
            </w:tcBorders>
            <w:shd w:val="clear" w:color="auto" w:fill="auto"/>
            <w:vAlign w:val="center"/>
          </w:tcPr>
          <w:p w14:paraId="746A929F" w14:textId="77777777" w:rsidR="00DF4A0D"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(1,005)</w:t>
            </w:r>
          </w:p>
        </w:tc>
        <w:tc>
          <w:tcPr>
            <w:tcW w:w="563" w:type="dxa"/>
            <w:tcBorders>
              <w:top w:val="nil"/>
              <w:left w:val="nil"/>
              <w:bottom w:val="nil"/>
              <w:right w:val="nil"/>
            </w:tcBorders>
            <w:shd w:val="clear" w:color="auto" w:fill="auto"/>
            <w:vAlign w:val="center"/>
          </w:tcPr>
          <w:p w14:paraId="3787CA2F" w14:textId="77777777" w:rsidR="00DF4A0D" w:rsidRPr="00571974" w:rsidRDefault="00DF4A0D"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top w:val="nil"/>
              <w:left w:val="nil"/>
              <w:bottom w:val="nil"/>
              <w:right w:val="nil"/>
            </w:tcBorders>
            <w:shd w:val="clear" w:color="auto" w:fill="auto"/>
          </w:tcPr>
          <w:p w14:paraId="6F64409E" w14:textId="77777777" w:rsidR="00DF4A0D"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(1,146)</w:t>
            </w:r>
          </w:p>
        </w:tc>
        <w:tc>
          <w:tcPr>
            <w:tcW w:w="567" w:type="dxa"/>
            <w:tcBorders>
              <w:top w:val="nil"/>
              <w:left w:val="nil"/>
              <w:bottom w:val="nil"/>
              <w:right w:val="nil"/>
            </w:tcBorders>
            <w:shd w:val="clear" w:color="auto" w:fill="auto"/>
          </w:tcPr>
          <w:p w14:paraId="740FDB8A" w14:textId="77777777" w:rsidR="00DF4A0D" w:rsidRPr="00571974" w:rsidRDefault="00DF4A0D"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shd w:val="clear" w:color="auto" w:fill="auto"/>
          </w:tcPr>
          <w:p w14:paraId="1F663DF0" w14:textId="77777777" w:rsidR="00DF4A0D"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(683)</w:t>
            </w:r>
          </w:p>
        </w:tc>
        <w:tc>
          <w:tcPr>
            <w:tcW w:w="567" w:type="dxa"/>
            <w:tcBorders>
              <w:top w:val="nil"/>
              <w:left w:val="nil"/>
              <w:bottom w:val="nil"/>
              <w:right w:val="nil"/>
            </w:tcBorders>
            <w:shd w:val="clear" w:color="auto" w:fill="auto"/>
          </w:tcPr>
          <w:p w14:paraId="3062DCF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70"/>
              <w:jc w:val="right"/>
              <w:rPr>
                <w:sz w:val="16"/>
                <w:lang w:val="en-GB" w:eastAsia="en-GB" w:bidi="ar-SA"/>
              </w:rPr>
            </w:pPr>
          </w:p>
        </w:tc>
      </w:tr>
      <w:tr w:rsidR="00E76F49" w14:paraId="0C51A9A3" w14:textId="77777777" w:rsidTr="00E76F49">
        <w:trPr>
          <w:cantSplit/>
        </w:trPr>
        <w:tc>
          <w:tcPr>
            <w:tcW w:w="4567" w:type="dxa"/>
            <w:tcBorders>
              <w:top w:val="nil"/>
              <w:left w:val="nil"/>
              <w:bottom w:val="nil"/>
              <w:right w:val="nil"/>
            </w:tcBorders>
            <w:shd w:val="clear" w:color="auto" w:fill="auto"/>
            <w:vAlign w:val="center"/>
          </w:tcPr>
          <w:p w14:paraId="71A289CA" w14:textId="77777777" w:rsidR="00DF4A0D" w:rsidRPr="00571974" w:rsidRDefault="003D4D89" w:rsidP="00DF4A0D">
            <w:pPr>
              <w:tabs>
                <w:tab w:val="right" w:leader="dot" w:pos="5112"/>
              </w:tabs>
              <w:suppressAutoHyphens/>
              <w:spacing w:after="40"/>
              <w:ind w:left="200" w:hanging="200"/>
              <w:rPr>
                <w:b/>
                <w:bCs/>
                <w:sz w:val="16"/>
                <w:lang w:val="en-GB" w:eastAsia="en-GB" w:bidi="ar-SA"/>
              </w:rPr>
            </w:pPr>
            <w:r w:rsidRPr="00571974">
              <w:rPr>
                <w:b/>
                <w:bCs/>
                <w:sz w:val="16"/>
                <w:lang w:val="en-GB" w:eastAsia="en-GB" w:bidi="ar-SA"/>
              </w:rPr>
              <w:t>Total Group operations excluding equity accounted entities</w:t>
            </w:r>
            <w:r w:rsidRPr="00571974">
              <w:rPr>
                <w:b/>
                <w:bCs/>
                <w:sz w:val="16"/>
                <w:lang w:val="en-GB" w:eastAsia="en-GB" w:bidi="ar-SA"/>
              </w:rPr>
              <w:tab/>
            </w:r>
          </w:p>
        </w:tc>
        <w:tc>
          <w:tcPr>
            <w:tcW w:w="1127" w:type="dxa"/>
            <w:tcBorders>
              <w:top w:val="nil"/>
              <w:left w:val="nil"/>
              <w:bottom w:val="nil"/>
              <w:right w:val="nil"/>
            </w:tcBorders>
            <w:shd w:val="clear" w:color="auto" w:fill="auto"/>
            <w:vAlign w:val="center"/>
          </w:tcPr>
          <w:p w14:paraId="038D071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5,242</w:t>
            </w:r>
          </w:p>
        </w:tc>
        <w:tc>
          <w:tcPr>
            <w:tcW w:w="563" w:type="dxa"/>
            <w:tcBorders>
              <w:top w:val="nil"/>
              <w:left w:val="nil"/>
              <w:bottom w:val="nil"/>
              <w:right w:val="nil"/>
            </w:tcBorders>
            <w:shd w:val="clear" w:color="auto" w:fill="auto"/>
            <w:vAlign w:val="center"/>
          </w:tcPr>
          <w:p w14:paraId="5454D43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top w:val="nil"/>
              <w:left w:val="nil"/>
              <w:bottom w:val="nil"/>
              <w:right w:val="nil"/>
            </w:tcBorders>
            <w:shd w:val="clear" w:color="auto" w:fill="auto"/>
          </w:tcPr>
          <w:p w14:paraId="555F29C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5,231</w:t>
            </w:r>
          </w:p>
        </w:tc>
        <w:tc>
          <w:tcPr>
            <w:tcW w:w="567" w:type="dxa"/>
            <w:tcBorders>
              <w:top w:val="nil"/>
              <w:left w:val="nil"/>
              <w:bottom w:val="nil"/>
              <w:right w:val="nil"/>
            </w:tcBorders>
            <w:shd w:val="clear" w:color="auto" w:fill="auto"/>
          </w:tcPr>
          <w:p w14:paraId="3ED2E70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shd w:val="clear" w:color="auto" w:fill="auto"/>
          </w:tcPr>
          <w:p w14:paraId="3BF4C2D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6,327</w:t>
            </w:r>
          </w:p>
        </w:tc>
        <w:tc>
          <w:tcPr>
            <w:tcW w:w="567" w:type="dxa"/>
            <w:tcBorders>
              <w:top w:val="nil"/>
              <w:left w:val="nil"/>
              <w:bottom w:val="nil"/>
              <w:right w:val="nil"/>
            </w:tcBorders>
            <w:shd w:val="clear" w:color="auto" w:fill="auto"/>
          </w:tcPr>
          <w:p w14:paraId="37E2A14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70"/>
              <w:jc w:val="right"/>
              <w:rPr>
                <w:sz w:val="16"/>
                <w:lang w:val="en-GB" w:eastAsia="en-GB" w:bidi="ar-SA"/>
              </w:rPr>
            </w:pPr>
          </w:p>
        </w:tc>
      </w:tr>
      <w:tr w:rsidR="00E76F49" w14:paraId="02BA745F" w14:textId="77777777" w:rsidTr="00E76F49">
        <w:trPr>
          <w:cantSplit/>
        </w:trPr>
        <w:tc>
          <w:tcPr>
            <w:tcW w:w="4567" w:type="dxa"/>
            <w:tcBorders>
              <w:top w:val="nil"/>
              <w:left w:val="nil"/>
              <w:bottom w:val="nil"/>
              <w:right w:val="nil"/>
            </w:tcBorders>
            <w:shd w:val="clear" w:color="auto" w:fill="auto"/>
            <w:vAlign w:val="center"/>
          </w:tcPr>
          <w:p w14:paraId="33E59653"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 xml:space="preserve"> Reconciliation:</w:t>
            </w:r>
          </w:p>
          <w:p w14:paraId="09C4CC44" w14:textId="77777777" w:rsidR="00DF4A0D" w:rsidRPr="00571974" w:rsidRDefault="003D4D89" w:rsidP="00DF4A0D">
            <w:pPr>
              <w:tabs>
                <w:tab w:val="right" w:leader="dot" w:pos="5112"/>
              </w:tabs>
              <w:suppressAutoHyphens/>
              <w:spacing w:after="40"/>
              <w:ind w:left="200" w:hanging="200"/>
              <w:rPr>
                <w:b/>
                <w:bCs/>
                <w:sz w:val="16"/>
                <w:lang w:val="en-GB" w:eastAsia="en-GB" w:bidi="ar-SA"/>
              </w:rPr>
            </w:pPr>
            <w:r w:rsidRPr="00571974">
              <w:rPr>
                <w:sz w:val="16"/>
                <w:lang w:val="en-GB" w:eastAsia="en-GB" w:bidi="ar-SA"/>
              </w:rPr>
              <w:t xml:space="preserve">      Net income from associates and joint ventures</w:t>
            </w:r>
            <w:r w:rsidRPr="00571974">
              <w:rPr>
                <w:sz w:val="16"/>
                <w:lang w:val="en-GB" w:eastAsia="en-GB" w:bidi="ar-SA"/>
              </w:rPr>
              <w:tab/>
            </w:r>
          </w:p>
        </w:tc>
        <w:tc>
          <w:tcPr>
            <w:tcW w:w="1127" w:type="dxa"/>
            <w:tcBorders>
              <w:top w:val="nil"/>
              <w:left w:val="nil"/>
              <w:bottom w:val="nil"/>
              <w:right w:val="nil"/>
            </w:tcBorders>
            <w:shd w:val="clear" w:color="auto" w:fill="auto"/>
            <w:vAlign w:val="center"/>
          </w:tcPr>
          <w:p w14:paraId="5DDD059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567</w:t>
            </w:r>
          </w:p>
        </w:tc>
        <w:tc>
          <w:tcPr>
            <w:tcW w:w="563" w:type="dxa"/>
            <w:tcBorders>
              <w:top w:val="nil"/>
              <w:left w:val="nil"/>
              <w:bottom w:val="nil"/>
              <w:right w:val="nil"/>
            </w:tcBorders>
            <w:shd w:val="clear" w:color="auto" w:fill="auto"/>
            <w:vAlign w:val="center"/>
          </w:tcPr>
          <w:p w14:paraId="032BAD1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top w:val="nil"/>
              <w:left w:val="nil"/>
              <w:bottom w:val="nil"/>
              <w:right w:val="nil"/>
            </w:tcBorders>
            <w:shd w:val="clear" w:color="auto" w:fill="auto"/>
          </w:tcPr>
          <w:p w14:paraId="3D9B6F1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728</w:t>
            </w:r>
          </w:p>
        </w:tc>
        <w:tc>
          <w:tcPr>
            <w:tcW w:w="567" w:type="dxa"/>
            <w:tcBorders>
              <w:top w:val="nil"/>
              <w:left w:val="nil"/>
              <w:bottom w:val="nil"/>
              <w:right w:val="nil"/>
            </w:tcBorders>
            <w:shd w:val="clear" w:color="auto" w:fill="auto"/>
          </w:tcPr>
          <w:p w14:paraId="0F02BB1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shd w:val="clear" w:color="auto" w:fill="auto"/>
          </w:tcPr>
          <w:p w14:paraId="76D09FD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389</w:t>
            </w:r>
          </w:p>
        </w:tc>
        <w:tc>
          <w:tcPr>
            <w:tcW w:w="567" w:type="dxa"/>
            <w:tcBorders>
              <w:top w:val="nil"/>
              <w:left w:val="nil"/>
              <w:bottom w:val="nil"/>
              <w:right w:val="nil"/>
            </w:tcBorders>
            <w:shd w:val="clear" w:color="auto" w:fill="auto"/>
          </w:tcPr>
          <w:p w14:paraId="3C903127"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70"/>
              <w:jc w:val="right"/>
              <w:rPr>
                <w:sz w:val="16"/>
                <w:lang w:val="en-GB" w:eastAsia="en-GB" w:bidi="ar-SA"/>
              </w:rPr>
            </w:pPr>
          </w:p>
        </w:tc>
      </w:tr>
      <w:tr w:rsidR="00E76F49" w14:paraId="354B19AB" w14:textId="77777777" w:rsidTr="00E76F49">
        <w:trPr>
          <w:cantSplit/>
        </w:trPr>
        <w:tc>
          <w:tcPr>
            <w:tcW w:w="4567" w:type="dxa"/>
            <w:tcBorders>
              <w:top w:val="nil"/>
              <w:left w:val="nil"/>
              <w:bottom w:val="nil"/>
              <w:right w:val="nil"/>
            </w:tcBorders>
            <w:shd w:val="clear" w:color="auto" w:fill="auto"/>
            <w:vAlign w:val="center"/>
          </w:tcPr>
          <w:p w14:paraId="460F13C3" w14:textId="77777777" w:rsidR="00DF4A0D" w:rsidRPr="00571974" w:rsidRDefault="003D4D89" w:rsidP="00DF4A0D">
            <w:pPr>
              <w:tabs>
                <w:tab w:val="right" w:leader="dot" w:pos="5112"/>
              </w:tabs>
              <w:suppressAutoHyphens/>
              <w:ind w:left="400" w:hanging="200"/>
              <w:jc w:val="right"/>
              <w:rPr>
                <w:sz w:val="16"/>
                <w:lang w:val="en-GB" w:eastAsia="en-GB" w:bidi="ar-SA"/>
              </w:rPr>
            </w:pPr>
            <w:r w:rsidRPr="00571974">
              <w:rPr>
                <w:sz w:val="16"/>
                <w:lang w:val="en-GB" w:eastAsia="en-GB" w:bidi="ar-SA"/>
              </w:rPr>
              <w:t>Special items and remeasurements</w:t>
            </w:r>
            <w:r w:rsidRPr="00571974">
              <w:rPr>
                <w:sz w:val="16"/>
                <w:lang w:val="en-GB" w:eastAsia="en-GB" w:bidi="ar-SA"/>
              </w:rPr>
              <w:tab/>
            </w:r>
          </w:p>
        </w:tc>
        <w:tc>
          <w:tcPr>
            <w:tcW w:w="1127" w:type="dxa"/>
            <w:tcBorders>
              <w:top w:val="nil"/>
              <w:left w:val="nil"/>
              <w:bottom w:val="nil"/>
              <w:right w:val="nil"/>
            </w:tcBorders>
            <w:shd w:val="clear" w:color="auto" w:fill="auto"/>
            <w:vAlign w:val="center"/>
          </w:tcPr>
          <w:p w14:paraId="4B7602F9" w14:textId="77777777" w:rsidR="00DF4A0D" w:rsidRPr="00571974" w:rsidRDefault="003D4D89" w:rsidP="00DF4A0D">
            <w:pPr>
              <w:tabs>
                <w:tab w:val="right" w:leader="dot" w:pos="5112"/>
              </w:tabs>
              <w:suppressAutoHyphens/>
              <w:ind w:left="400" w:hanging="200"/>
              <w:jc w:val="right"/>
              <w:rPr>
                <w:sz w:val="16"/>
                <w:lang w:val="en-GB" w:eastAsia="en-GB" w:bidi="ar-SA"/>
              </w:rPr>
            </w:pPr>
            <w:r w:rsidRPr="00571974">
              <w:rPr>
                <w:sz w:val="16"/>
                <w:lang w:val="en-GB" w:eastAsia="en-GB" w:bidi="ar-SA"/>
              </w:rPr>
              <w:t>282</w:t>
            </w:r>
          </w:p>
        </w:tc>
        <w:tc>
          <w:tcPr>
            <w:tcW w:w="563" w:type="dxa"/>
            <w:tcBorders>
              <w:top w:val="nil"/>
              <w:left w:val="nil"/>
              <w:bottom w:val="nil"/>
              <w:right w:val="nil"/>
            </w:tcBorders>
            <w:shd w:val="clear" w:color="auto" w:fill="auto"/>
            <w:vAlign w:val="center"/>
          </w:tcPr>
          <w:p w14:paraId="095CE0DA" w14:textId="77777777" w:rsidR="00DF4A0D" w:rsidRPr="00571974" w:rsidRDefault="00DF4A0D" w:rsidP="00DF4A0D">
            <w:pPr>
              <w:tabs>
                <w:tab w:val="right" w:leader="dot" w:pos="5112"/>
              </w:tabs>
              <w:suppressAutoHyphens/>
              <w:ind w:left="400" w:hanging="200"/>
              <w:jc w:val="right"/>
              <w:rPr>
                <w:sz w:val="16"/>
                <w:lang w:val="en-GB" w:eastAsia="en-GB" w:bidi="ar-SA"/>
              </w:rPr>
            </w:pPr>
          </w:p>
        </w:tc>
        <w:tc>
          <w:tcPr>
            <w:tcW w:w="1185" w:type="dxa"/>
            <w:tcBorders>
              <w:top w:val="nil"/>
              <w:left w:val="nil"/>
              <w:bottom w:val="nil"/>
              <w:right w:val="nil"/>
            </w:tcBorders>
            <w:shd w:val="clear" w:color="auto" w:fill="auto"/>
          </w:tcPr>
          <w:p w14:paraId="4B2ACF3B" w14:textId="77777777" w:rsidR="00DF4A0D" w:rsidRPr="00571974" w:rsidRDefault="003D4D89" w:rsidP="00DF4A0D">
            <w:pPr>
              <w:tabs>
                <w:tab w:val="right" w:leader="dot" w:pos="5112"/>
              </w:tabs>
              <w:suppressAutoHyphens/>
              <w:ind w:left="400" w:hanging="200"/>
              <w:jc w:val="right"/>
              <w:rPr>
                <w:sz w:val="16"/>
                <w:lang w:val="en-GB" w:eastAsia="en-GB" w:bidi="ar-SA"/>
              </w:rPr>
            </w:pPr>
            <w:r w:rsidRPr="00571974">
              <w:rPr>
                <w:sz w:val="16"/>
                <w:lang w:val="en-GB" w:eastAsia="en-GB" w:bidi="ar-SA"/>
              </w:rPr>
              <w:t>744</w:t>
            </w:r>
          </w:p>
        </w:tc>
        <w:tc>
          <w:tcPr>
            <w:tcW w:w="567" w:type="dxa"/>
            <w:tcBorders>
              <w:top w:val="nil"/>
              <w:left w:val="nil"/>
              <w:bottom w:val="nil"/>
              <w:right w:val="nil"/>
            </w:tcBorders>
            <w:shd w:val="clear" w:color="auto" w:fill="auto"/>
          </w:tcPr>
          <w:p w14:paraId="445CE193" w14:textId="77777777" w:rsidR="00DF4A0D" w:rsidRPr="00571974" w:rsidRDefault="00DF4A0D" w:rsidP="00DF4A0D">
            <w:pPr>
              <w:tabs>
                <w:tab w:val="right" w:leader="dot" w:pos="5112"/>
              </w:tabs>
              <w:suppressAutoHyphens/>
              <w:ind w:left="400" w:hanging="200"/>
              <w:jc w:val="right"/>
              <w:rPr>
                <w:sz w:val="16"/>
                <w:lang w:val="en-GB" w:eastAsia="en-GB" w:bidi="ar-SA"/>
              </w:rPr>
            </w:pPr>
          </w:p>
        </w:tc>
        <w:tc>
          <w:tcPr>
            <w:tcW w:w="1135" w:type="dxa"/>
            <w:tcBorders>
              <w:top w:val="nil"/>
              <w:left w:val="nil"/>
              <w:bottom w:val="nil"/>
              <w:right w:val="nil"/>
            </w:tcBorders>
            <w:shd w:val="clear" w:color="auto" w:fill="auto"/>
          </w:tcPr>
          <w:p w14:paraId="3A46A7C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(144)</w:t>
            </w:r>
          </w:p>
        </w:tc>
        <w:tc>
          <w:tcPr>
            <w:tcW w:w="567" w:type="dxa"/>
            <w:tcBorders>
              <w:top w:val="nil"/>
              <w:left w:val="nil"/>
              <w:bottom w:val="nil"/>
              <w:right w:val="nil"/>
            </w:tcBorders>
            <w:shd w:val="clear" w:color="auto" w:fill="auto"/>
          </w:tcPr>
          <w:p w14:paraId="439E91C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735E9DEF" w14:textId="77777777" w:rsidTr="00E76F49">
        <w:trPr>
          <w:cantSplit/>
        </w:trPr>
        <w:tc>
          <w:tcPr>
            <w:tcW w:w="4567" w:type="dxa"/>
            <w:tcBorders>
              <w:top w:val="nil"/>
              <w:left w:val="nil"/>
              <w:bottom w:val="nil"/>
              <w:right w:val="nil"/>
            </w:tcBorders>
            <w:shd w:val="clear" w:color="auto" w:fill="auto"/>
            <w:vAlign w:val="center"/>
          </w:tcPr>
          <w:p w14:paraId="1D248C91" w14:textId="77777777" w:rsidR="00DF4A0D" w:rsidRPr="00571974" w:rsidRDefault="003D4D89" w:rsidP="00DF4A0D">
            <w:pPr>
              <w:tabs>
                <w:tab w:val="right" w:leader="dot" w:pos="5112"/>
              </w:tabs>
              <w:suppressAutoHyphens/>
              <w:ind w:left="400" w:hanging="200"/>
              <w:jc w:val="right"/>
              <w:rPr>
                <w:sz w:val="16"/>
                <w:lang w:val="en-GB" w:eastAsia="en-GB" w:bidi="ar-SA"/>
              </w:rPr>
            </w:pPr>
            <w:r w:rsidRPr="00571974">
              <w:rPr>
                <w:sz w:val="16"/>
                <w:lang w:val="en-GB" w:eastAsia="en-GB" w:bidi="ar-SA"/>
              </w:rPr>
              <w:t>Net finance costs</w:t>
            </w:r>
            <w:r w:rsidRPr="00571974">
              <w:rPr>
                <w:sz w:val="16"/>
                <w:lang w:val="en-GB" w:eastAsia="en-GB" w:bidi="ar-SA"/>
              </w:rPr>
              <w:tab/>
            </w:r>
          </w:p>
        </w:tc>
        <w:tc>
          <w:tcPr>
            <w:tcW w:w="1127" w:type="dxa"/>
            <w:tcBorders>
              <w:top w:val="nil"/>
              <w:left w:val="nil"/>
              <w:bottom w:val="nil"/>
              <w:right w:val="nil"/>
            </w:tcBorders>
            <w:shd w:val="clear" w:color="auto" w:fill="auto"/>
            <w:vAlign w:val="center"/>
          </w:tcPr>
          <w:p w14:paraId="1E31492E" w14:textId="77777777" w:rsidR="00DF4A0D" w:rsidRPr="00571974" w:rsidRDefault="003D4D89" w:rsidP="00DF4A0D">
            <w:pPr>
              <w:pBdr>
                <w:bottom w:val="double" w:sz="4" w:space="0" w:color="auto"/>
              </w:pBdr>
              <w:tabs>
                <w:tab w:val="right" w:leader="dot" w:pos="5112"/>
              </w:tabs>
              <w:suppressAutoHyphens/>
              <w:ind w:left="400" w:hanging="200"/>
              <w:jc w:val="right"/>
              <w:rPr>
                <w:sz w:val="16"/>
                <w:lang w:val="en-GB" w:eastAsia="en-GB" w:bidi="ar-SA"/>
              </w:rPr>
            </w:pPr>
            <w:r w:rsidRPr="00571974">
              <w:rPr>
                <w:sz w:val="16"/>
                <w:lang w:val="en-GB" w:eastAsia="en-GB" w:bidi="ar-SA"/>
              </w:rPr>
              <w:t>(586)</w:t>
            </w:r>
          </w:p>
        </w:tc>
        <w:tc>
          <w:tcPr>
            <w:tcW w:w="563" w:type="dxa"/>
            <w:tcBorders>
              <w:top w:val="nil"/>
              <w:left w:val="nil"/>
              <w:bottom w:val="nil"/>
              <w:right w:val="nil"/>
            </w:tcBorders>
            <w:shd w:val="clear" w:color="auto" w:fill="auto"/>
            <w:vAlign w:val="center"/>
          </w:tcPr>
          <w:p w14:paraId="63D12D85" w14:textId="77777777" w:rsidR="00DF4A0D" w:rsidRPr="00571974" w:rsidRDefault="00DF4A0D" w:rsidP="00DF4A0D">
            <w:pPr>
              <w:tabs>
                <w:tab w:val="right" w:leader="dot" w:pos="5112"/>
              </w:tabs>
              <w:suppressAutoHyphens/>
              <w:ind w:left="400" w:hanging="200"/>
              <w:jc w:val="right"/>
              <w:rPr>
                <w:sz w:val="16"/>
                <w:lang w:val="en-GB" w:eastAsia="en-GB" w:bidi="ar-SA"/>
              </w:rPr>
            </w:pPr>
          </w:p>
        </w:tc>
        <w:tc>
          <w:tcPr>
            <w:tcW w:w="1185" w:type="dxa"/>
            <w:tcBorders>
              <w:top w:val="nil"/>
              <w:left w:val="nil"/>
              <w:bottom w:val="nil"/>
              <w:right w:val="nil"/>
            </w:tcBorders>
            <w:shd w:val="clear" w:color="auto" w:fill="auto"/>
          </w:tcPr>
          <w:p w14:paraId="6ACC2FEA" w14:textId="77777777" w:rsidR="00DF4A0D" w:rsidRPr="00571974" w:rsidRDefault="003D4D89" w:rsidP="00DF4A0D">
            <w:pPr>
              <w:pBdr>
                <w:bottom w:val="double" w:sz="4" w:space="0" w:color="auto"/>
              </w:pBdr>
              <w:tabs>
                <w:tab w:val="right" w:leader="dot" w:pos="5112"/>
              </w:tabs>
              <w:suppressAutoHyphens/>
              <w:ind w:left="400" w:hanging="200"/>
              <w:jc w:val="right"/>
              <w:rPr>
                <w:sz w:val="16"/>
                <w:lang w:val="en-GB" w:eastAsia="en-GB" w:bidi="ar-SA"/>
              </w:rPr>
            </w:pPr>
            <w:r w:rsidRPr="00571974">
              <w:rPr>
                <w:sz w:val="16"/>
                <w:lang w:val="en-GB" w:eastAsia="en-GB" w:bidi="ar-SA"/>
              </w:rPr>
              <w:t>(514)</w:t>
            </w:r>
          </w:p>
        </w:tc>
        <w:tc>
          <w:tcPr>
            <w:tcW w:w="567" w:type="dxa"/>
            <w:tcBorders>
              <w:top w:val="nil"/>
              <w:left w:val="nil"/>
              <w:bottom w:val="nil"/>
              <w:right w:val="nil"/>
            </w:tcBorders>
            <w:shd w:val="clear" w:color="auto" w:fill="auto"/>
          </w:tcPr>
          <w:p w14:paraId="365713BA" w14:textId="77777777" w:rsidR="00DF4A0D" w:rsidRPr="00571974" w:rsidRDefault="00DF4A0D" w:rsidP="00DF4A0D">
            <w:pPr>
              <w:tabs>
                <w:tab w:val="right" w:leader="dot" w:pos="5112"/>
              </w:tabs>
              <w:suppressAutoHyphens/>
              <w:ind w:left="400" w:hanging="200"/>
              <w:jc w:val="right"/>
              <w:rPr>
                <w:sz w:val="16"/>
                <w:lang w:val="en-GB" w:eastAsia="en-GB" w:bidi="ar-SA"/>
              </w:rPr>
            </w:pPr>
          </w:p>
        </w:tc>
        <w:tc>
          <w:tcPr>
            <w:tcW w:w="1135" w:type="dxa"/>
            <w:tcBorders>
              <w:top w:val="nil"/>
              <w:left w:val="nil"/>
              <w:bottom w:val="nil"/>
              <w:right w:val="nil"/>
            </w:tcBorders>
            <w:shd w:val="clear" w:color="auto" w:fill="auto"/>
          </w:tcPr>
          <w:p w14:paraId="459C99D1" w14:textId="77777777" w:rsidR="00DF4A0D"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(426)</w:t>
            </w:r>
          </w:p>
        </w:tc>
        <w:tc>
          <w:tcPr>
            <w:tcW w:w="567" w:type="dxa"/>
            <w:tcBorders>
              <w:top w:val="nil"/>
              <w:left w:val="nil"/>
              <w:bottom w:val="nil"/>
              <w:right w:val="nil"/>
            </w:tcBorders>
            <w:shd w:val="clear" w:color="auto" w:fill="auto"/>
          </w:tcPr>
          <w:p w14:paraId="23C5B93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69D62883" w14:textId="77777777" w:rsidTr="00E76F49">
        <w:trPr>
          <w:cantSplit/>
        </w:trPr>
        <w:tc>
          <w:tcPr>
            <w:tcW w:w="4567" w:type="dxa"/>
            <w:tcBorders>
              <w:top w:val="nil"/>
              <w:left w:val="nil"/>
              <w:bottom w:val="nil"/>
              <w:right w:val="nil"/>
            </w:tcBorders>
            <w:shd w:val="clear" w:color="auto" w:fill="auto"/>
            <w:vAlign w:val="center"/>
          </w:tcPr>
          <w:p w14:paraId="0FDDD3D0" w14:textId="77777777" w:rsidR="00DF4A0D" w:rsidRPr="00571974" w:rsidRDefault="003D4D89" w:rsidP="00DF4A0D">
            <w:pPr>
              <w:tabs>
                <w:tab w:val="right" w:leader="dot" w:pos="5112"/>
              </w:tabs>
              <w:suppressAutoHyphens/>
              <w:ind w:left="400" w:hanging="200"/>
              <w:jc w:val="right"/>
              <w:rPr>
                <w:sz w:val="16"/>
                <w:lang w:val="en-GB" w:eastAsia="en-GB" w:bidi="ar-SA"/>
              </w:rPr>
            </w:pPr>
            <w:r w:rsidRPr="00571974">
              <w:rPr>
                <w:sz w:val="16"/>
                <w:lang w:val="en-GB" w:eastAsia="en-GB" w:bidi="ar-SA"/>
              </w:rPr>
              <w:t>Income tax expense</w:t>
            </w:r>
            <w:r w:rsidRPr="00571974">
              <w:rPr>
                <w:sz w:val="16"/>
                <w:lang w:val="en-GB" w:eastAsia="en-GB" w:bidi="ar-SA"/>
              </w:rPr>
              <w:tab/>
            </w:r>
          </w:p>
        </w:tc>
        <w:tc>
          <w:tcPr>
            <w:tcW w:w="1127" w:type="dxa"/>
            <w:tcBorders>
              <w:top w:val="nil"/>
              <w:left w:val="nil"/>
              <w:bottom w:val="nil"/>
              <w:right w:val="nil"/>
            </w:tcBorders>
            <w:shd w:val="clear" w:color="auto" w:fill="auto"/>
            <w:vAlign w:val="center"/>
          </w:tcPr>
          <w:p w14:paraId="4C137AF3" w14:textId="77777777" w:rsidR="00DF4A0D" w:rsidRPr="00571974" w:rsidRDefault="003D4D89" w:rsidP="00DF4A0D">
            <w:pPr>
              <w:pBdr>
                <w:bottom w:val="double" w:sz="4" w:space="0" w:color="auto"/>
              </w:pBdr>
              <w:tabs>
                <w:tab w:val="right" w:leader="dot" w:pos="5112"/>
              </w:tabs>
              <w:suppressAutoHyphens/>
              <w:ind w:left="400" w:hanging="200"/>
              <w:jc w:val="right"/>
              <w:rPr>
                <w:sz w:val="16"/>
                <w:lang w:val="en-GB" w:eastAsia="en-GB" w:bidi="ar-SA"/>
              </w:rPr>
            </w:pPr>
            <w:r w:rsidRPr="00571974">
              <w:rPr>
                <w:sz w:val="16"/>
                <w:lang w:val="en-GB" w:eastAsia="en-GB" w:bidi="ar-SA"/>
              </w:rPr>
              <w:t>(1,446)</w:t>
            </w:r>
          </w:p>
        </w:tc>
        <w:tc>
          <w:tcPr>
            <w:tcW w:w="563" w:type="dxa"/>
            <w:tcBorders>
              <w:top w:val="nil"/>
              <w:left w:val="nil"/>
              <w:bottom w:val="nil"/>
              <w:right w:val="nil"/>
            </w:tcBorders>
            <w:shd w:val="clear" w:color="auto" w:fill="auto"/>
            <w:vAlign w:val="center"/>
          </w:tcPr>
          <w:p w14:paraId="22609272" w14:textId="77777777" w:rsidR="00DF4A0D" w:rsidRPr="00571974" w:rsidRDefault="00DF4A0D" w:rsidP="00DF4A0D">
            <w:pPr>
              <w:tabs>
                <w:tab w:val="right" w:leader="dot" w:pos="5112"/>
              </w:tabs>
              <w:suppressAutoHyphens/>
              <w:ind w:left="400" w:hanging="200"/>
              <w:jc w:val="right"/>
              <w:rPr>
                <w:sz w:val="16"/>
                <w:lang w:val="en-GB" w:eastAsia="en-GB" w:bidi="ar-SA"/>
              </w:rPr>
            </w:pPr>
          </w:p>
        </w:tc>
        <w:tc>
          <w:tcPr>
            <w:tcW w:w="1185" w:type="dxa"/>
            <w:tcBorders>
              <w:top w:val="nil"/>
              <w:left w:val="nil"/>
              <w:bottom w:val="nil"/>
              <w:right w:val="nil"/>
            </w:tcBorders>
            <w:shd w:val="clear" w:color="auto" w:fill="auto"/>
          </w:tcPr>
          <w:p w14:paraId="6DDEF4E8" w14:textId="77777777" w:rsidR="00DF4A0D" w:rsidRPr="00571974" w:rsidRDefault="003D4D89" w:rsidP="00DF4A0D">
            <w:pPr>
              <w:pBdr>
                <w:bottom w:val="double" w:sz="4" w:space="0" w:color="auto"/>
              </w:pBdr>
              <w:tabs>
                <w:tab w:val="right" w:leader="dot" w:pos="5112"/>
              </w:tabs>
              <w:suppressAutoHyphens/>
              <w:ind w:left="400" w:hanging="200"/>
              <w:jc w:val="right"/>
              <w:rPr>
                <w:sz w:val="16"/>
                <w:lang w:val="en-GB" w:eastAsia="en-GB" w:bidi="ar-SA"/>
              </w:rPr>
            </w:pPr>
            <w:r w:rsidRPr="00571974">
              <w:rPr>
                <w:sz w:val="16"/>
                <w:lang w:val="en-GB" w:eastAsia="en-GB" w:bidi="ar-SA"/>
              </w:rPr>
              <w:t>(1,816)</w:t>
            </w:r>
          </w:p>
        </w:tc>
        <w:tc>
          <w:tcPr>
            <w:tcW w:w="567" w:type="dxa"/>
            <w:tcBorders>
              <w:top w:val="nil"/>
              <w:left w:val="nil"/>
              <w:bottom w:val="nil"/>
              <w:right w:val="nil"/>
            </w:tcBorders>
            <w:shd w:val="clear" w:color="auto" w:fill="auto"/>
          </w:tcPr>
          <w:p w14:paraId="1D664BCA" w14:textId="77777777" w:rsidR="00DF4A0D" w:rsidRPr="00571974" w:rsidRDefault="00DF4A0D" w:rsidP="00DF4A0D">
            <w:pPr>
              <w:tabs>
                <w:tab w:val="right" w:leader="dot" w:pos="5112"/>
              </w:tabs>
              <w:suppressAutoHyphens/>
              <w:ind w:left="400" w:hanging="200"/>
              <w:jc w:val="right"/>
              <w:rPr>
                <w:sz w:val="16"/>
                <w:lang w:val="en-GB" w:eastAsia="en-GB" w:bidi="ar-SA"/>
              </w:rPr>
            </w:pPr>
          </w:p>
        </w:tc>
        <w:tc>
          <w:tcPr>
            <w:tcW w:w="1135" w:type="dxa"/>
            <w:tcBorders>
              <w:top w:val="nil"/>
              <w:left w:val="nil"/>
              <w:bottom w:val="nil"/>
              <w:right w:val="nil"/>
            </w:tcBorders>
            <w:shd w:val="clear" w:color="auto" w:fill="auto"/>
          </w:tcPr>
          <w:p w14:paraId="7876403F" w14:textId="77777777" w:rsidR="00DF4A0D"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(1,564)</w:t>
            </w:r>
          </w:p>
        </w:tc>
        <w:tc>
          <w:tcPr>
            <w:tcW w:w="567" w:type="dxa"/>
            <w:tcBorders>
              <w:top w:val="nil"/>
              <w:left w:val="nil"/>
              <w:bottom w:val="nil"/>
              <w:right w:val="nil"/>
            </w:tcBorders>
            <w:shd w:val="clear" w:color="auto" w:fill="auto"/>
          </w:tcPr>
          <w:p w14:paraId="6B8BB61B"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0D067148" w14:textId="77777777" w:rsidTr="00E76F49">
        <w:trPr>
          <w:cantSplit/>
        </w:trPr>
        <w:tc>
          <w:tcPr>
            <w:tcW w:w="4567" w:type="dxa"/>
            <w:tcBorders>
              <w:top w:val="nil"/>
              <w:left w:val="nil"/>
              <w:bottom w:val="nil"/>
              <w:right w:val="nil"/>
            </w:tcBorders>
            <w:shd w:val="clear" w:color="auto" w:fill="auto"/>
            <w:vAlign w:val="center"/>
          </w:tcPr>
          <w:p w14:paraId="57DD096C" w14:textId="77777777" w:rsidR="00DF4A0D" w:rsidRPr="00571974" w:rsidRDefault="003D4D89" w:rsidP="00DF4A0D">
            <w:pPr>
              <w:tabs>
                <w:tab w:val="right" w:leader="dot" w:pos="5112"/>
              </w:tabs>
              <w:suppressAutoHyphens/>
              <w:spacing w:after="40"/>
              <w:ind w:left="200" w:hanging="200"/>
              <w:rPr>
                <w:b/>
                <w:bCs/>
                <w:sz w:val="16"/>
                <w:lang w:val="en-GB" w:eastAsia="en-GB" w:bidi="ar-SA"/>
              </w:rPr>
            </w:pPr>
            <w:r w:rsidRPr="00571974">
              <w:rPr>
                <w:bCs/>
                <w:sz w:val="16"/>
                <w:lang w:val="en-GB" w:eastAsia="en-GB" w:bidi="ar-SA"/>
              </w:rPr>
              <w:t xml:space="preserve">      Profit for the financial year</w:t>
            </w:r>
            <w:r w:rsidRPr="00571974">
              <w:rPr>
                <w:bCs/>
                <w:sz w:val="16"/>
                <w:lang w:val="en-GB" w:eastAsia="en-GB" w:bidi="ar-SA"/>
              </w:rPr>
              <w:tab/>
            </w:r>
          </w:p>
        </w:tc>
        <w:tc>
          <w:tcPr>
            <w:tcW w:w="1127" w:type="dxa"/>
            <w:tcBorders>
              <w:top w:val="nil"/>
              <w:left w:val="nil"/>
              <w:bottom w:val="nil"/>
              <w:right w:val="nil"/>
            </w:tcBorders>
            <w:shd w:val="clear" w:color="auto" w:fill="auto"/>
            <w:vAlign w:val="center"/>
          </w:tcPr>
          <w:p w14:paraId="55BF5A49"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4,059</w:t>
            </w:r>
          </w:p>
        </w:tc>
        <w:tc>
          <w:tcPr>
            <w:tcW w:w="563" w:type="dxa"/>
            <w:tcBorders>
              <w:top w:val="nil"/>
              <w:left w:val="nil"/>
              <w:bottom w:val="nil"/>
              <w:right w:val="nil"/>
            </w:tcBorders>
            <w:shd w:val="clear" w:color="auto" w:fill="auto"/>
            <w:vAlign w:val="center"/>
          </w:tcPr>
          <w:p w14:paraId="28F78B7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w:t>
            </w:r>
          </w:p>
        </w:tc>
        <w:tc>
          <w:tcPr>
            <w:tcW w:w="1185" w:type="dxa"/>
            <w:tcBorders>
              <w:top w:val="nil"/>
              <w:left w:val="nil"/>
              <w:bottom w:val="nil"/>
              <w:right w:val="nil"/>
            </w:tcBorders>
            <w:shd w:val="clear" w:color="auto" w:fill="auto"/>
          </w:tcPr>
          <w:p w14:paraId="3BAF4CF8"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4,373</w:t>
            </w:r>
          </w:p>
        </w:tc>
        <w:tc>
          <w:tcPr>
            <w:tcW w:w="567" w:type="dxa"/>
            <w:tcBorders>
              <w:top w:val="nil"/>
              <w:left w:val="nil"/>
              <w:bottom w:val="nil"/>
              <w:right w:val="nil"/>
            </w:tcBorders>
            <w:shd w:val="clear" w:color="auto" w:fill="auto"/>
          </w:tcPr>
          <w:p w14:paraId="4F28AB0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w:t>
            </w:r>
          </w:p>
        </w:tc>
        <w:tc>
          <w:tcPr>
            <w:tcW w:w="1135" w:type="dxa"/>
            <w:tcBorders>
              <w:top w:val="nil"/>
              <w:left w:val="nil"/>
              <w:bottom w:val="nil"/>
              <w:right w:val="nil"/>
            </w:tcBorders>
            <w:shd w:val="clear" w:color="auto" w:fill="auto"/>
          </w:tcPr>
          <w:p w14:paraId="6635D25B" w14:textId="77777777" w:rsidR="00DF4A0D"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4,582</w:t>
            </w:r>
          </w:p>
        </w:tc>
        <w:tc>
          <w:tcPr>
            <w:tcW w:w="567" w:type="dxa"/>
            <w:tcBorders>
              <w:top w:val="nil"/>
              <w:left w:val="nil"/>
              <w:bottom w:val="nil"/>
              <w:right w:val="nil"/>
            </w:tcBorders>
            <w:shd w:val="clear" w:color="auto" w:fill="auto"/>
          </w:tcPr>
          <w:p w14:paraId="39D3CA5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70"/>
              <w:jc w:val="right"/>
              <w:rPr>
                <w:sz w:val="16"/>
                <w:lang w:val="en-GB" w:eastAsia="en-GB" w:bidi="ar-SA"/>
              </w:rPr>
            </w:pPr>
            <w:r w:rsidRPr="00571974">
              <w:rPr>
                <w:sz w:val="16"/>
                <w:lang w:val="en-GB" w:eastAsia="en-GB" w:bidi="ar-SA"/>
              </w:rPr>
              <w:t>100</w:t>
            </w:r>
          </w:p>
        </w:tc>
      </w:tr>
      <w:tr w:rsidR="00E76F49" w14:paraId="087FC0DA" w14:textId="77777777" w:rsidTr="00E76F49">
        <w:trPr>
          <w:cantSplit/>
          <w:trHeight w:val="618"/>
        </w:trPr>
        <w:tc>
          <w:tcPr>
            <w:tcW w:w="4567" w:type="dxa"/>
            <w:tcBorders>
              <w:top w:val="nil"/>
              <w:left w:val="nil"/>
              <w:bottom w:val="nil"/>
              <w:right w:val="nil"/>
            </w:tcBorders>
            <w:vAlign w:val="bottom"/>
          </w:tcPr>
          <w:p w14:paraId="4B348C6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112"/>
              </w:tabs>
              <w:suppressAutoHyphens/>
              <w:ind w:left="400" w:hanging="200"/>
              <w:rPr>
                <w:sz w:val="16"/>
                <w:lang w:val="en-GB" w:eastAsia="en-GB" w:bidi="ar-SA"/>
              </w:rPr>
            </w:pPr>
            <w:r w:rsidRPr="00571974">
              <w:rPr>
                <w:b/>
                <w:bCs/>
                <w:sz w:val="16"/>
                <w:lang w:val="en-GB" w:eastAsia="en-GB" w:bidi="ar-SA"/>
              </w:rPr>
              <w:t>Subsidiaries and attributable share of equity accounted entities</w:t>
            </w:r>
          </w:p>
        </w:tc>
        <w:tc>
          <w:tcPr>
            <w:tcW w:w="1127" w:type="dxa"/>
            <w:tcBorders>
              <w:top w:val="nil"/>
              <w:left w:val="nil"/>
              <w:bottom w:val="nil"/>
              <w:right w:val="nil"/>
            </w:tcBorders>
            <w:vAlign w:val="bottom"/>
          </w:tcPr>
          <w:p w14:paraId="39FC376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3" w:type="dxa"/>
            <w:tcBorders>
              <w:top w:val="nil"/>
              <w:left w:val="nil"/>
              <w:bottom w:val="nil"/>
              <w:right w:val="nil"/>
            </w:tcBorders>
            <w:vAlign w:val="bottom"/>
          </w:tcPr>
          <w:p w14:paraId="1BE6ED7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85" w:type="dxa"/>
            <w:tcBorders>
              <w:top w:val="nil"/>
              <w:left w:val="nil"/>
              <w:bottom w:val="nil"/>
              <w:right w:val="nil"/>
            </w:tcBorders>
            <w:vAlign w:val="bottom"/>
          </w:tcPr>
          <w:p w14:paraId="053005A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7" w:type="dxa"/>
            <w:tcBorders>
              <w:top w:val="nil"/>
              <w:left w:val="nil"/>
              <w:bottom w:val="nil"/>
              <w:right w:val="nil"/>
            </w:tcBorders>
            <w:vAlign w:val="bottom"/>
          </w:tcPr>
          <w:p w14:paraId="1E54DBD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135" w:type="dxa"/>
            <w:tcBorders>
              <w:top w:val="nil"/>
              <w:left w:val="nil"/>
              <w:bottom w:val="nil"/>
              <w:right w:val="nil"/>
            </w:tcBorders>
            <w:vAlign w:val="bottom"/>
          </w:tcPr>
          <w:p w14:paraId="38818AB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67" w:type="dxa"/>
            <w:tcBorders>
              <w:top w:val="nil"/>
              <w:left w:val="nil"/>
              <w:bottom w:val="nil"/>
              <w:right w:val="nil"/>
            </w:tcBorders>
            <w:vAlign w:val="bottom"/>
          </w:tcPr>
          <w:p w14:paraId="5CB435C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E76F49" w14:paraId="0D8FEBAA" w14:textId="77777777" w:rsidTr="00E76F49">
        <w:trPr>
          <w:cantSplit/>
          <w:trHeight w:val="200"/>
        </w:trPr>
        <w:tc>
          <w:tcPr>
            <w:tcW w:w="4567" w:type="dxa"/>
            <w:tcBorders>
              <w:top w:val="nil"/>
              <w:left w:val="nil"/>
              <w:bottom w:val="nil"/>
              <w:right w:val="nil"/>
            </w:tcBorders>
            <w:vAlign w:val="bottom"/>
          </w:tcPr>
          <w:p w14:paraId="28162F75"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De Beers</w:t>
            </w:r>
            <w:r w:rsidRPr="00571974">
              <w:rPr>
                <w:sz w:val="16"/>
                <w:lang w:val="en-GB" w:eastAsia="en-GB" w:bidi="ar-SA"/>
              </w:rPr>
              <w:tab/>
            </w:r>
          </w:p>
        </w:tc>
        <w:tc>
          <w:tcPr>
            <w:tcW w:w="1127" w:type="dxa"/>
            <w:tcBorders>
              <w:top w:val="nil"/>
              <w:left w:val="nil"/>
              <w:bottom w:val="nil"/>
              <w:right w:val="nil"/>
            </w:tcBorders>
            <w:vAlign w:val="bottom"/>
          </w:tcPr>
          <w:p w14:paraId="7627612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873</w:t>
            </w:r>
          </w:p>
        </w:tc>
        <w:tc>
          <w:tcPr>
            <w:tcW w:w="563" w:type="dxa"/>
            <w:tcBorders>
              <w:top w:val="nil"/>
              <w:left w:val="nil"/>
              <w:bottom w:val="nil"/>
              <w:right w:val="nil"/>
            </w:tcBorders>
            <w:vAlign w:val="bottom"/>
          </w:tcPr>
          <w:p w14:paraId="5FC8456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14.0</w:t>
            </w:r>
          </w:p>
        </w:tc>
        <w:tc>
          <w:tcPr>
            <w:tcW w:w="1185" w:type="dxa"/>
            <w:tcBorders>
              <w:top w:val="nil"/>
              <w:left w:val="nil"/>
              <w:bottom w:val="nil"/>
              <w:right w:val="nil"/>
            </w:tcBorders>
          </w:tcPr>
          <w:p w14:paraId="211C627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694</w:t>
            </w:r>
          </w:p>
        </w:tc>
        <w:tc>
          <w:tcPr>
            <w:tcW w:w="567" w:type="dxa"/>
            <w:tcBorders>
              <w:top w:val="nil"/>
              <w:left w:val="nil"/>
              <w:bottom w:val="nil"/>
              <w:right w:val="nil"/>
            </w:tcBorders>
          </w:tcPr>
          <w:p w14:paraId="58F9DFA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10.9</w:t>
            </w:r>
          </w:p>
        </w:tc>
        <w:tc>
          <w:tcPr>
            <w:tcW w:w="1135" w:type="dxa"/>
            <w:tcBorders>
              <w:top w:val="nil"/>
              <w:left w:val="nil"/>
              <w:bottom w:val="nil"/>
              <w:right w:val="nil"/>
            </w:tcBorders>
          </w:tcPr>
          <w:p w14:paraId="05059F2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168</w:t>
            </w:r>
          </w:p>
        </w:tc>
        <w:tc>
          <w:tcPr>
            <w:tcW w:w="567" w:type="dxa"/>
            <w:tcBorders>
              <w:top w:val="nil"/>
              <w:left w:val="nil"/>
              <w:bottom w:val="nil"/>
              <w:right w:val="nil"/>
            </w:tcBorders>
            <w:vAlign w:val="center"/>
          </w:tcPr>
          <w:p w14:paraId="43B839D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color w:val="000000"/>
                <w:sz w:val="16"/>
                <w:szCs w:val="16"/>
                <w:lang w:val="en-GB" w:eastAsia="en-GB" w:bidi="ar-SA"/>
              </w:rPr>
              <w:t>2.4</w:t>
            </w:r>
          </w:p>
        </w:tc>
      </w:tr>
      <w:tr w:rsidR="00E76F49" w14:paraId="5F44EB8E" w14:textId="77777777" w:rsidTr="00E76F49">
        <w:trPr>
          <w:cantSplit/>
          <w:trHeight w:val="200"/>
        </w:trPr>
        <w:tc>
          <w:tcPr>
            <w:tcW w:w="4567" w:type="dxa"/>
            <w:tcBorders>
              <w:top w:val="nil"/>
              <w:left w:val="nil"/>
              <w:bottom w:val="nil"/>
              <w:right w:val="nil"/>
            </w:tcBorders>
            <w:vAlign w:val="bottom"/>
          </w:tcPr>
          <w:p w14:paraId="65508437"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Copper</w:t>
            </w:r>
            <w:r w:rsidRPr="00571974">
              <w:rPr>
                <w:sz w:val="16"/>
                <w:lang w:val="en-GB" w:eastAsia="en-GB" w:bidi="ar-SA"/>
              </w:rPr>
              <w:tab/>
            </w:r>
          </w:p>
        </w:tc>
        <w:tc>
          <w:tcPr>
            <w:tcW w:w="1127" w:type="dxa"/>
            <w:tcBorders>
              <w:top w:val="nil"/>
              <w:left w:val="nil"/>
              <w:bottom w:val="nil"/>
              <w:right w:val="nil"/>
            </w:tcBorders>
            <w:vAlign w:val="bottom"/>
          </w:tcPr>
          <w:p w14:paraId="5CED194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923</w:t>
            </w:r>
          </w:p>
        </w:tc>
        <w:tc>
          <w:tcPr>
            <w:tcW w:w="563" w:type="dxa"/>
            <w:tcBorders>
              <w:top w:val="nil"/>
              <w:left w:val="nil"/>
              <w:bottom w:val="nil"/>
              <w:right w:val="nil"/>
            </w:tcBorders>
            <w:vAlign w:val="bottom"/>
          </w:tcPr>
          <w:p w14:paraId="0EF0B1B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14.8</w:t>
            </w:r>
          </w:p>
        </w:tc>
        <w:tc>
          <w:tcPr>
            <w:tcW w:w="1185" w:type="dxa"/>
            <w:tcBorders>
              <w:top w:val="nil"/>
              <w:left w:val="nil"/>
              <w:bottom w:val="nil"/>
              <w:right w:val="nil"/>
            </w:tcBorders>
          </w:tcPr>
          <w:p w14:paraId="42DD531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1,234</w:t>
            </w:r>
          </w:p>
        </w:tc>
        <w:tc>
          <w:tcPr>
            <w:tcW w:w="567" w:type="dxa"/>
            <w:tcBorders>
              <w:top w:val="nil"/>
              <w:left w:val="nil"/>
              <w:bottom w:val="nil"/>
              <w:right w:val="nil"/>
            </w:tcBorders>
          </w:tcPr>
          <w:p w14:paraId="3FC8EB3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19.3</w:t>
            </w:r>
          </w:p>
        </w:tc>
        <w:tc>
          <w:tcPr>
            <w:tcW w:w="1135" w:type="dxa"/>
            <w:tcBorders>
              <w:top w:val="nil"/>
              <w:left w:val="nil"/>
              <w:bottom w:val="nil"/>
              <w:right w:val="nil"/>
            </w:tcBorders>
          </w:tcPr>
          <w:p w14:paraId="19F3E19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960</w:t>
            </w:r>
          </w:p>
        </w:tc>
        <w:tc>
          <w:tcPr>
            <w:tcW w:w="567" w:type="dxa"/>
            <w:tcBorders>
              <w:top w:val="nil"/>
              <w:left w:val="nil"/>
              <w:bottom w:val="nil"/>
              <w:right w:val="nil"/>
            </w:tcBorders>
            <w:vAlign w:val="center"/>
          </w:tcPr>
          <w:p w14:paraId="3C21299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13.7</w:t>
            </w:r>
          </w:p>
        </w:tc>
      </w:tr>
      <w:tr w:rsidR="00E76F49" w14:paraId="7A3B0BA3" w14:textId="77777777" w:rsidTr="00E76F49">
        <w:trPr>
          <w:cantSplit/>
          <w:trHeight w:val="200"/>
        </w:trPr>
        <w:tc>
          <w:tcPr>
            <w:tcW w:w="4567" w:type="dxa"/>
            <w:tcBorders>
              <w:top w:val="nil"/>
              <w:left w:val="nil"/>
              <w:bottom w:val="nil"/>
              <w:right w:val="nil"/>
            </w:tcBorders>
            <w:vAlign w:val="bottom"/>
          </w:tcPr>
          <w:p w14:paraId="720D89CA"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PGMs</w:t>
            </w:r>
            <w:r w:rsidRPr="00571974">
              <w:rPr>
                <w:sz w:val="16"/>
                <w:lang w:val="en-GB" w:eastAsia="en-GB" w:bidi="ar-SA"/>
              </w:rPr>
              <w:tab/>
            </w:r>
          </w:p>
        </w:tc>
        <w:tc>
          <w:tcPr>
            <w:tcW w:w="1127" w:type="dxa"/>
            <w:tcBorders>
              <w:top w:val="nil"/>
              <w:left w:val="nil"/>
              <w:bottom w:val="nil"/>
              <w:right w:val="nil"/>
            </w:tcBorders>
            <w:vAlign w:val="bottom"/>
          </w:tcPr>
          <w:p w14:paraId="0C6BF71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512</w:t>
            </w:r>
          </w:p>
        </w:tc>
        <w:tc>
          <w:tcPr>
            <w:tcW w:w="563" w:type="dxa"/>
            <w:tcBorders>
              <w:top w:val="nil"/>
              <w:left w:val="nil"/>
              <w:bottom w:val="nil"/>
              <w:right w:val="nil"/>
            </w:tcBorders>
            <w:vAlign w:val="bottom"/>
          </w:tcPr>
          <w:p w14:paraId="24F38FD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8.2</w:t>
            </w:r>
          </w:p>
        </w:tc>
        <w:tc>
          <w:tcPr>
            <w:tcW w:w="1185" w:type="dxa"/>
            <w:tcBorders>
              <w:top w:val="nil"/>
              <w:left w:val="nil"/>
              <w:bottom w:val="nil"/>
              <w:right w:val="nil"/>
            </w:tcBorders>
          </w:tcPr>
          <w:p w14:paraId="2EE2EEF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705</w:t>
            </w:r>
          </w:p>
        </w:tc>
        <w:tc>
          <w:tcPr>
            <w:tcW w:w="567" w:type="dxa"/>
            <w:tcBorders>
              <w:top w:val="nil"/>
              <w:left w:val="nil"/>
              <w:bottom w:val="nil"/>
              <w:right w:val="nil"/>
            </w:tcBorders>
          </w:tcPr>
          <w:p w14:paraId="52F595B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11.1</w:t>
            </w:r>
          </w:p>
        </w:tc>
        <w:tc>
          <w:tcPr>
            <w:tcW w:w="1135" w:type="dxa"/>
            <w:tcBorders>
              <w:top w:val="nil"/>
              <w:left w:val="nil"/>
              <w:bottom w:val="nil"/>
              <w:right w:val="nil"/>
            </w:tcBorders>
          </w:tcPr>
          <w:p w14:paraId="327CE16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1,672</w:t>
            </w:r>
          </w:p>
        </w:tc>
        <w:tc>
          <w:tcPr>
            <w:tcW w:w="567" w:type="dxa"/>
            <w:tcBorders>
              <w:top w:val="nil"/>
              <w:left w:val="nil"/>
              <w:bottom w:val="nil"/>
              <w:right w:val="nil"/>
            </w:tcBorders>
            <w:vAlign w:val="center"/>
          </w:tcPr>
          <w:p w14:paraId="7BE0CD9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23.9</w:t>
            </w:r>
          </w:p>
        </w:tc>
      </w:tr>
      <w:tr w:rsidR="00E76F49" w14:paraId="7F9B4D7E" w14:textId="77777777" w:rsidTr="00E76F49">
        <w:trPr>
          <w:cantSplit/>
          <w:trHeight w:val="217"/>
        </w:trPr>
        <w:tc>
          <w:tcPr>
            <w:tcW w:w="4567" w:type="dxa"/>
            <w:tcBorders>
              <w:top w:val="nil"/>
              <w:left w:val="nil"/>
              <w:bottom w:val="nil"/>
              <w:right w:val="nil"/>
            </w:tcBorders>
            <w:vAlign w:val="bottom"/>
          </w:tcPr>
          <w:p w14:paraId="463A760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Iron Ore</w:t>
            </w:r>
            <w:r w:rsidRPr="00571974">
              <w:rPr>
                <w:sz w:val="16"/>
                <w:vertAlign w:val="superscript"/>
                <w:lang w:val="en-GB" w:eastAsia="en-GB" w:bidi="ar-SA"/>
              </w:rPr>
              <w:t>(1)</w:t>
            </w:r>
            <w:r w:rsidRPr="00571974">
              <w:rPr>
                <w:sz w:val="16"/>
                <w:lang w:val="en-GB" w:eastAsia="en-GB" w:bidi="ar-SA"/>
              </w:rPr>
              <w:tab/>
            </w:r>
          </w:p>
        </w:tc>
        <w:tc>
          <w:tcPr>
            <w:tcW w:w="1127" w:type="dxa"/>
            <w:tcBorders>
              <w:top w:val="nil"/>
              <w:left w:val="nil"/>
              <w:bottom w:val="nil"/>
              <w:right w:val="nil"/>
            </w:tcBorders>
            <w:vAlign w:val="bottom"/>
          </w:tcPr>
          <w:p w14:paraId="4BCE061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1,500</w:t>
            </w:r>
          </w:p>
        </w:tc>
        <w:tc>
          <w:tcPr>
            <w:tcW w:w="563" w:type="dxa"/>
            <w:tcBorders>
              <w:top w:val="nil"/>
              <w:left w:val="nil"/>
              <w:bottom w:val="nil"/>
              <w:right w:val="nil"/>
            </w:tcBorders>
            <w:vAlign w:val="bottom"/>
          </w:tcPr>
          <w:p w14:paraId="39CB7DC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24.0</w:t>
            </w:r>
          </w:p>
        </w:tc>
        <w:tc>
          <w:tcPr>
            <w:tcW w:w="1185" w:type="dxa"/>
            <w:tcBorders>
              <w:top w:val="nil"/>
              <w:left w:val="nil"/>
              <w:bottom w:val="nil"/>
              <w:right w:val="nil"/>
            </w:tcBorders>
          </w:tcPr>
          <w:p w14:paraId="4EA4758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747</w:t>
            </w:r>
          </w:p>
        </w:tc>
        <w:tc>
          <w:tcPr>
            <w:tcW w:w="567" w:type="dxa"/>
            <w:tcBorders>
              <w:top w:val="nil"/>
              <w:left w:val="nil"/>
              <w:bottom w:val="nil"/>
              <w:right w:val="nil"/>
            </w:tcBorders>
          </w:tcPr>
          <w:p w14:paraId="163DDE7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11.7</w:t>
            </w:r>
          </w:p>
        </w:tc>
        <w:tc>
          <w:tcPr>
            <w:tcW w:w="1135" w:type="dxa"/>
            <w:tcBorders>
              <w:top w:val="nil"/>
              <w:left w:val="nil"/>
              <w:bottom w:val="nil"/>
              <w:right w:val="nil"/>
            </w:tcBorders>
          </w:tcPr>
          <w:p w14:paraId="5E8D337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2,952</w:t>
            </w:r>
          </w:p>
        </w:tc>
        <w:tc>
          <w:tcPr>
            <w:tcW w:w="567" w:type="dxa"/>
            <w:tcBorders>
              <w:top w:val="nil"/>
              <w:left w:val="nil"/>
              <w:bottom w:val="nil"/>
              <w:right w:val="nil"/>
            </w:tcBorders>
            <w:vAlign w:val="center"/>
          </w:tcPr>
          <w:p w14:paraId="69FBE55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42.1</w:t>
            </w:r>
          </w:p>
        </w:tc>
      </w:tr>
      <w:tr w:rsidR="00E76F49" w14:paraId="1EC0B1F8" w14:textId="77777777" w:rsidTr="00E76F49">
        <w:trPr>
          <w:cantSplit/>
          <w:trHeight w:val="217"/>
        </w:trPr>
        <w:tc>
          <w:tcPr>
            <w:tcW w:w="4567" w:type="dxa"/>
            <w:tcBorders>
              <w:top w:val="nil"/>
              <w:left w:val="nil"/>
              <w:bottom w:val="nil"/>
              <w:right w:val="nil"/>
            </w:tcBorders>
            <w:vAlign w:val="bottom"/>
          </w:tcPr>
          <w:p w14:paraId="03F8CEC4"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Coal</w:t>
            </w:r>
            <w:r w:rsidRPr="00571974">
              <w:rPr>
                <w:sz w:val="16"/>
                <w:lang w:val="en-GB" w:eastAsia="en-GB" w:bidi="ar-SA"/>
              </w:rPr>
              <w:tab/>
            </w:r>
          </w:p>
        </w:tc>
        <w:tc>
          <w:tcPr>
            <w:tcW w:w="1127" w:type="dxa"/>
            <w:tcBorders>
              <w:top w:val="nil"/>
              <w:left w:val="nil"/>
              <w:bottom w:val="nil"/>
              <w:right w:val="nil"/>
            </w:tcBorders>
            <w:vAlign w:val="bottom"/>
          </w:tcPr>
          <w:p w14:paraId="7B20EF9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2,274</w:t>
            </w:r>
          </w:p>
        </w:tc>
        <w:tc>
          <w:tcPr>
            <w:tcW w:w="563" w:type="dxa"/>
            <w:tcBorders>
              <w:top w:val="nil"/>
              <w:left w:val="nil"/>
              <w:bottom w:val="nil"/>
              <w:right w:val="nil"/>
            </w:tcBorders>
            <w:vAlign w:val="bottom"/>
          </w:tcPr>
          <w:p w14:paraId="3993A0F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36.4</w:t>
            </w:r>
          </w:p>
        </w:tc>
        <w:tc>
          <w:tcPr>
            <w:tcW w:w="1185" w:type="dxa"/>
            <w:tcBorders>
              <w:top w:val="nil"/>
              <w:left w:val="nil"/>
              <w:bottom w:val="nil"/>
              <w:right w:val="nil"/>
            </w:tcBorders>
          </w:tcPr>
          <w:p w14:paraId="6F93C19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2,538</w:t>
            </w:r>
          </w:p>
        </w:tc>
        <w:tc>
          <w:tcPr>
            <w:tcW w:w="567" w:type="dxa"/>
            <w:tcBorders>
              <w:top w:val="nil"/>
              <w:left w:val="nil"/>
              <w:bottom w:val="nil"/>
              <w:right w:val="nil"/>
            </w:tcBorders>
          </w:tcPr>
          <w:p w14:paraId="1276496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39.8</w:t>
            </w:r>
          </w:p>
        </w:tc>
        <w:tc>
          <w:tcPr>
            <w:tcW w:w="1135" w:type="dxa"/>
            <w:tcBorders>
              <w:top w:val="nil"/>
              <w:left w:val="nil"/>
              <w:bottom w:val="nil"/>
              <w:right w:val="nil"/>
            </w:tcBorders>
          </w:tcPr>
          <w:p w14:paraId="5EEA80A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1,010</w:t>
            </w:r>
          </w:p>
        </w:tc>
        <w:tc>
          <w:tcPr>
            <w:tcW w:w="567" w:type="dxa"/>
            <w:tcBorders>
              <w:top w:val="nil"/>
              <w:left w:val="nil"/>
              <w:bottom w:val="nil"/>
              <w:right w:val="nil"/>
            </w:tcBorders>
            <w:vAlign w:val="center"/>
          </w:tcPr>
          <w:p w14:paraId="655591A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14.4</w:t>
            </w:r>
          </w:p>
        </w:tc>
      </w:tr>
      <w:tr w:rsidR="00E76F49" w14:paraId="2E1E578C" w14:textId="77777777" w:rsidTr="00E76F49">
        <w:trPr>
          <w:cantSplit/>
          <w:trHeight w:val="217"/>
        </w:trPr>
        <w:tc>
          <w:tcPr>
            <w:tcW w:w="4567" w:type="dxa"/>
            <w:tcBorders>
              <w:top w:val="nil"/>
              <w:left w:val="nil"/>
              <w:bottom w:val="nil"/>
              <w:right w:val="nil"/>
            </w:tcBorders>
            <w:vAlign w:val="bottom"/>
          </w:tcPr>
          <w:p w14:paraId="617840D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Nickel and Manganese</w:t>
            </w:r>
            <w:r w:rsidRPr="00571974">
              <w:rPr>
                <w:sz w:val="16"/>
                <w:vertAlign w:val="superscript"/>
                <w:lang w:val="en-GB" w:eastAsia="en-GB" w:bidi="ar-SA"/>
              </w:rPr>
              <w:t>(1)</w:t>
            </w:r>
            <w:r w:rsidRPr="00571974">
              <w:rPr>
                <w:sz w:val="16"/>
                <w:lang w:val="en-GB" w:eastAsia="en-GB" w:bidi="ar-SA"/>
              </w:rPr>
              <w:tab/>
            </w:r>
          </w:p>
        </w:tc>
        <w:tc>
          <w:tcPr>
            <w:tcW w:w="1127" w:type="dxa"/>
            <w:tcBorders>
              <w:top w:val="nil"/>
              <w:left w:val="nil"/>
              <w:bottom w:val="nil"/>
              <w:right w:val="nil"/>
            </w:tcBorders>
            <w:vAlign w:val="bottom"/>
          </w:tcPr>
          <w:p w14:paraId="5D5BAE4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478</w:t>
            </w:r>
          </w:p>
        </w:tc>
        <w:tc>
          <w:tcPr>
            <w:tcW w:w="563" w:type="dxa"/>
            <w:tcBorders>
              <w:top w:val="nil"/>
              <w:left w:val="nil"/>
              <w:bottom w:val="nil"/>
              <w:right w:val="nil"/>
            </w:tcBorders>
            <w:vAlign w:val="bottom"/>
          </w:tcPr>
          <w:p w14:paraId="213A9D0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7.6</w:t>
            </w:r>
          </w:p>
        </w:tc>
        <w:tc>
          <w:tcPr>
            <w:tcW w:w="1185" w:type="dxa"/>
            <w:tcBorders>
              <w:top w:val="nil"/>
              <w:left w:val="nil"/>
              <w:bottom w:val="nil"/>
              <w:right w:val="nil"/>
            </w:tcBorders>
          </w:tcPr>
          <w:p w14:paraId="60A72CA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685</w:t>
            </w:r>
          </w:p>
        </w:tc>
        <w:tc>
          <w:tcPr>
            <w:tcW w:w="567" w:type="dxa"/>
            <w:tcBorders>
              <w:top w:val="nil"/>
              <w:left w:val="nil"/>
              <w:bottom w:val="nil"/>
              <w:right w:val="nil"/>
            </w:tcBorders>
          </w:tcPr>
          <w:p w14:paraId="0869AA7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10.7</w:t>
            </w:r>
          </w:p>
        </w:tc>
        <w:tc>
          <w:tcPr>
            <w:tcW w:w="1135" w:type="dxa"/>
            <w:tcBorders>
              <w:top w:val="nil"/>
              <w:left w:val="nil"/>
              <w:bottom w:val="nil"/>
              <w:right w:val="nil"/>
            </w:tcBorders>
          </w:tcPr>
          <w:p w14:paraId="58BE356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477</w:t>
            </w:r>
          </w:p>
        </w:tc>
        <w:tc>
          <w:tcPr>
            <w:tcW w:w="567" w:type="dxa"/>
            <w:tcBorders>
              <w:top w:val="nil"/>
              <w:left w:val="nil"/>
              <w:bottom w:val="nil"/>
              <w:right w:val="nil"/>
            </w:tcBorders>
            <w:vAlign w:val="center"/>
          </w:tcPr>
          <w:p w14:paraId="1412BE6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6.8</w:t>
            </w:r>
          </w:p>
        </w:tc>
      </w:tr>
      <w:tr w:rsidR="00E76F49" w14:paraId="55D72843" w14:textId="77777777" w:rsidTr="00E76F49">
        <w:trPr>
          <w:cantSplit/>
          <w:trHeight w:val="250"/>
        </w:trPr>
        <w:tc>
          <w:tcPr>
            <w:tcW w:w="4567" w:type="dxa"/>
            <w:tcBorders>
              <w:top w:val="nil"/>
              <w:left w:val="nil"/>
              <w:bottom w:val="nil"/>
              <w:right w:val="nil"/>
            </w:tcBorders>
            <w:vAlign w:val="bottom"/>
          </w:tcPr>
          <w:p w14:paraId="5D115433" w14:textId="77777777" w:rsidR="00DF4A0D" w:rsidRPr="00571974" w:rsidRDefault="003D4D89" w:rsidP="00DF4A0D">
            <w:pPr>
              <w:tabs>
                <w:tab w:val="right" w:leader="dot" w:pos="5112"/>
              </w:tabs>
              <w:suppressAutoHyphens/>
              <w:spacing w:after="20"/>
              <w:ind w:left="400" w:hanging="200"/>
              <w:rPr>
                <w:sz w:val="16"/>
                <w:lang w:val="en-GB" w:eastAsia="en-GB" w:bidi="ar-SA"/>
              </w:rPr>
            </w:pPr>
            <w:r w:rsidRPr="00571974">
              <w:rPr>
                <w:sz w:val="16"/>
                <w:lang w:val="en-GB" w:eastAsia="en-GB" w:bidi="ar-SA"/>
              </w:rPr>
              <w:t>Corporate and Other</w:t>
            </w:r>
            <w:r w:rsidRPr="00571974">
              <w:rPr>
                <w:sz w:val="16"/>
                <w:vertAlign w:val="superscript"/>
                <w:lang w:val="en-GB" w:eastAsia="en-GB" w:bidi="ar-SA"/>
              </w:rPr>
              <w:t>(2)</w:t>
            </w:r>
            <w:r w:rsidRPr="00571974">
              <w:rPr>
                <w:sz w:val="16"/>
                <w:lang w:val="en-GB" w:eastAsia="en-GB" w:bidi="ar-SA"/>
              </w:rPr>
              <w:tab/>
            </w:r>
          </w:p>
        </w:tc>
        <w:tc>
          <w:tcPr>
            <w:tcW w:w="1127" w:type="dxa"/>
            <w:tcBorders>
              <w:top w:val="nil"/>
              <w:left w:val="nil"/>
              <w:bottom w:val="nil"/>
              <w:right w:val="nil"/>
            </w:tcBorders>
            <w:vAlign w:val="bottom"/>
          </w:tcPr>
          <w:p w14:paraId="7CD80729"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(313)</w:t>
            </w:r>
          </w:p>
        </w:tc>
        <w:tc>
          <w:tcPr>
            <w:tcW w:w="563" w:type="dxa"/>
            <w:tcBorders>
              <w:top w:val="nil"/>
              <w:left w:val="nil"/>
              <w:bottom w:val="nil"/>
              <w:right w:val="nil"/>
            </w:tcBorders>
            <w:vAlign w:val="bottom"/>
          </w:tcPr>
          <w:p w14:paraId="0697998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(5.0)</w:t>
            </w:r>
          </w:p>
        </w:tc>
        <w:tc>
          <w:tcPr>
            <w:tcW w:w="1185" w:type="dxa"/>
            <w:tcBorders>
              <w:top w:val="nil"/>
              <w:left w:val="nil"/>
              <w:bottom w:val="nil"/>
              <w:right w:val="nil"/>
            </w:tcBorders>
          </w:tcPr>
          <w:p w14:paraId="00EA47D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(226)</w:t>
            </w:r>
          </w:p>
        </w:tc>
        <w:tc>
          <w:tcPr>
            <w:tcW w:w="567" w:type="dxa"/>
            <w:tcBorders>
              <w:top w:val="nil"/>
              <w:left w:val="nil"/>
              <w:bottom w:val="nil"/>
              <w:right w:val="nil"/>
            </w:tcBorders>
          </w:tcPr>
          <w:p w14:paraId="36D2842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(3.5)</w:t>
            </w:r>
          </w:p>
        </w:tc>
        <w:tc>
          <w:tcPr>
            <w:tcW w:w="1135" w:type="dxa"/>
            <w:tcBorders>
              <w:top w:val="nil"/>
              <w:left w:val="nil"/>
              <w:bottom w:val="nil"/>
              <w:right w:val="nil"/>
            </w:tcBorders>
          </w:tcPr>
          <w:p w14:paraId="4524BAD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(229)</w:t>
            </w:r>
          </w:p>
        </w:tc>
        <w:tc>
          <w:tcPr>
            <w:tcW w:w="567" w:type="dxa"/>
            <w:tcBorders>
              <w:top w:val="nil"/>
              <w:left w:val="nil"/>
              <w:bottom w:val="nil"/>
              <w:right w:val="nil"/>
            </w:tcBorders>
            <w:vAlign w:val="center"/>
          </w:tcPr>
          <w:p w14:paraId="2D2093E9" w14:textId="499DDF68" w:rsidR="00DF4A0D" w:rsidRPr="00571974" w:rsidRDefault="00B603E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Pr>
                <w:sz w:val="16"/>
                <w:lang w:val="en-GB" w:eastAsia="en-GB" w:bidi="ar-SA"/>
              </w:rPr>
              <w:t>(</w:t>
            </w:r>
            <w:r w:rsidR="003D4D89" w:rsidRPr="00571974">
              <w:rPr>
                <w:sz w:val="16"/>
                <w:lang w:val="en-GB" w:eastAsia="en-GB" w:bidi="ar-SA"/>
              </w:rPr>
              <w:t>3.3</w:t>
            </w:r>
            <w:r>
              <w:rPr>
                <w:sz w:val="16"/>
                <w:lang w:val="en-GB" w:eastAsia="en-GB" w:bidi="ar-SA"/>
              </w:rPr>
              <w:t>)</w:t>
            </w:r>
          </w:p>
        </w:tc>
      </w:tr>
      <w:tr w:rsidR="00E76F49" w14:paraId="082FFB7A" w14:textId="77777777" w:rsidTr="00E76F49">
        <w:trPr>
          <w:cantSplit/>
        </w:trPr>
        <w:tc>
          <w:tcPr>
            <w:tcW w:w="4567" w:type="dxa"/>
            <w:tcBorders>
              <w:top w:val="nil"/>
              <w:left w:val="nil"/>
              <w:bottom w:val="nil"/>
              <w:right w:val="nil"/>
            </w:tcBorders>
            <w:vAlign w:val="bottom"/>
          </w:tcPr>
          <w:p w14:paraId="3A306B48" w14:textId="77777777" w:rsidR="00DF4A0D" w:rsidRPr="00571974" w:rsidRDefault="003D4D89" w:rsidP="00DF4A0D">
            <w:pPr>
              <w:tabs>
                <w:tab w:val="right" w:leader="dot" w:pos="5112"/>
              </w:tabs>
              <w:suppressAutoHyphens/>
              <w:spacing w:after="40"/>
              <w:ind w:left="200" w:hanging="200"/>
              <w:rPr>
                <w:sz w:val="16"/>
                <w:lang w:val="en-GB" w:eastAsia="en-GB" w:bidi="ar-SA"/>
              </w:rPr>
            </w:pPr>
            <w:r w:rsidRPr="00571974">
              <w:rPr>
                <w:b/>
                <w:bCs/>
                <w:sz w:val="16"/>
                <w:lang w:val="en-GB" w:eastAsia="en-GB" w:bidi="ar-SA"/>
              </w:rPr>
              <w:t>Total Group operations including equity accounted entities</w:t>
            </w:r>
            <w:r w:rsidRPr="00571974">
              <w:rPr>
                <w:sz w:val="16"/>
                <w:lang w:val="en-GB" w:eastAsia="en-GB" w:bidi="ar-SA"/>
              </w:rPr>
              <w:tab/>
            </w:r>
          </w:p>
        </w:tc>
        <w:tc>
          <w:tcPr>
            <w:tcW w:w="1127" w:type="dxa"/>
            <w:tcBorders>
              <w:top w:val="nil"/>
              <w:left w:val="nil"/>
              <w:bottom w:val="nil"/>
              <w:right w:val="nil"/>
            </w:tcBorders>
            <w:vAlign w:val="bottom"/>
          </w:tcPr>
          <w:p w14:paraId="6E9073EF"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6,247</w:t>
            </w:r>
          </w:p>
        </w:tc>
        <w:tc>
          <w:tcPr>
            <w:tcW w:w="563" w:type="dxa"/>
            <w:tcBorders>
              <w:top w:val="nil"/>
              <w:left w:val="nil"/>
              <w:bottom w:val="nil"/>
              <w:right w:val="nil"/>
            </w:tcBorders>
            <w:vAlign w:val="bottom"/>
          </w:tcPr>
          <w:p w14:paraId="36BC7C4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80"/>
              <w:jc w:val="right"/>
              <w:rPr>
                <w:sz w:val="16"/>
                <w:lang w:val="en-GB" w:eastAsia="en-GB" w:bidi="ar-SA"/>
              </w:rPr>
            </w:pPr>
            <w:r w:rsidRPr="00571974">
              <w:rPr>
                <w:sz w:val="16"/>
                <w:lang w:val="en-GB" w:eastAsia="en-GB" w:bidi="ar-SA"/>
              </w:rPr>
              <w:t>100</w:t>
            </w:r>
          </w:p>
        </w:tc>
        <w:tc>
          <w:tcPr>
            <w:tcW w:w="1185" w:type="dxa"/>
            <w:tcBorders>
              <w:top w:val="nil"/>
              <w:left w:val="nil"/>
              <w:bottom w:val="nil"/>
              <w:right w:val="nil"/>
            </w:tcBorders>
          </w:tcPr>
          <w:p w14:paraId="77F98623"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6,377</w:t>
            </w:r>
          </w:p>
        </w:tc>
        <w:tc>
          <w:tcPr>
            <w:tcW w:w="567" w:type="dxa"/>
            <w:tcBorders>
              <w:top w:val="nil"/>
              <w:left w:val="nil"/>
              <w:bottom w:val="nil"/>
              <w:right w:val="nil"/>
            </w:tcBorders>
          </w:tcPr>
          <w:p w14:paraId="3A9BE9B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80"/>
              <w:jc w:val="right"/>
              <w:rPr>
                <w:sz w:val="16"/>
                <w:lang w:val="en-GB" w:eastAsia="en-GB" w:bidi="ar-SA"/>
              </w:rPr>
            </w:pPr>
            <w:r w:rsidRPr="00571974">
              <w:rPr>
                <w:sz w:val="16"/>
                <w:lang w:val="en-GB" w:eastAsia="en-GB" w:bidi="ar-SA"/>
              </w:rPr>
              <w:t>100</w:t>
            </w:r>
          </w:p>
        </w:tc>
        <w:tc>
          <w:tcPr>
            <w:tcW w:w="1135" w:type="dxa"/>
            <w:tcBorders>
              <w:top w:val="nil"/>
              <w:left w:val="nil"/>
              <w:bottom w:val="nil"/>
              <w:right w:val="nil"/>
            </w:tcBorders>
          </w:tcPr>
          <w:p w14:paraId="0A612A9C"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7,010</w:t>
            </w:r>
          </w:p>
        </w:tc>
        <w:tc>
          <w:tcPr>
            <w:tcW w:w="567" w:type="dxa"/>
            <w:tcBorders>
              <w:top w:val="nil"/>
              <w:left w:val="nil"/>
              <w:bottom w:val="nil"/>
              <w:right w:val="nil"/>
            </w:tcBorders>
          </w:tcPr>
          <w:p w14:paraId="4CAC471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w:t>
            </w:r>
          </w:p>
        </w:tc>
      </w:tr>
    </w:tbl>
    <w:p w14:paraId="33CF1AB0" w14:textId="77777777" w:rsidR="00DF4A0D" w:rsidRPr="00571974" w:rsidRDefault="00DF4A0D" w:rsidP="00DF4A0D">
      <w:pPr>
        <w:rPr>
          <w:lang w:val="en-GB"/>
        </w:rPr>
      </w:pPr>
    </w:p>
    <w:p w14:paraId="1DA14F6D" w14:textId="2AB71F4A" w:rsidR="00BF572C" w:rsidRDefault="00836D74" w:rsidP="00DF4A0D">
      <w:pPr>
        <w:pStyle w:val="BodyText"/>
        <w:widowControl/>
        <w:autoSpaceDE/>
        <w:autoSpaceDN/>
        <w:adjustRightInd/>
        <w:ind w:firstLine="360"/>
        <w:rPr>
          <w:lang w:val="en-GB"/>
        </w:rPr>
      </w:pPr>
      <w:r>
        <w:rPr>
          <w:lang w:val="en-GB"/>
        </w:rPr>
        <w:pict w14:anchorId="5070D5C6">
          <v:rect id="_x0000_i1032" style="width:184.5pt;height:1pt" o:hrpct="250" o:hrstd="t" o:hrnoshade="t" o:hr="t" fillcolor="black" stroked="f"/>
        </w:pict>
      </w:r>
    </w:p>
    <w:p w14:paraId="4E383585" w14:textId="118FA434" w:rsidR="00BF572C" w:rsidRPr="007B1404" w:rsidRDefault="00A60C2B" w:rsidP="00BF572C">
      <w:pPr>
        <w:pStyle w:val="BodyText"/>
        <w:widowControl/>
        <w:numPr>
          <w:ilvl w:val="0"/>
          <w:numId w:val="45"/>
        </w:numPr>
        <w:autoSpaceDE/>
        <w:autoSpaceDN/>
        <w:adjustRightInd/>
        <w:rPr>
          <w:lang w:val="en-GB"/>
        </w:rPr>
      </w:pPr>
      <w:r>
        <w:rPr>
          <w:sz w:val="16"/>
          <w:szCs w:val="18"/>
          <w:lang w:val="en-GB"/>
        </w:rPr>
        <w:t>Following a reassessment of the Group</w:t>
      </w:r>
      <w:r w:rsidR="00A311D8">
        <w:rPr>
          <w:sz w:val="16"/>
          <w:szCs w:val="18"/>
          <w:lang w:val="en-GB"/>
        </w:rPr>
        <w:t>’</w:t>
      </w:r>
      <w:r>
        <w:rPr>
          <w:sz w:val="16"/>
          <w:szCs w:val="18"/>
          <w:lang w:val="en-GB"/>
        </w:rPr>
        <w:t>s reportable segments</w:t>
      </w:r>
      <w:r w:rsidR="0009201B">
        <w:rPr>
          <w:sz w:val="16"/>
          <w:szCs w:val="18"/>
          <w:lang w:val="en-GB"/>
        </w:rPr>
        <w:t xml:space="preserve"> in 2018</w:t>
      </w:r>
      <w:r>
        <w:rPr>
          <w:sz w:val="16"/>
          <w:szCs w:val="18"/>
          <w:lang w:val="en-GB"/>
        </w:rPr>
        <w:t>, the Group has presented the results of the Iron Ore businesses as the Iron Ore reportable segment. Manganese, which was previously reported with Iron Ore has been aggregated with Nickel as a single reportable segment. Comparative information has been restated t</w:t>
      </w:r>
      <w:r w:rsidR="008409C4">
        <w:rPr>
          <w:sz w:val="16"/>
          <w:szCs w:val="18"/>
          <w:lang w:val="en-GB"/>
        </w:rPr>
        <w:t>o</w:t>
      </w:r>
      <w:r>
        <w:rPr>
          <w:sz w:val="16"/>
          <w:szCs w:val="18"/>
          <w:lang w:val="en-GB"/>
        </w:rPr>
        <w:t xml:space="preserve"> reflect this change.</w:t>
      </w:r>
    </w:p>
    <w:p w14:paraId="08BD3C90" w14:textId="27276133" w:rsidR="00A60C2B" w:rsidRPr="00A60C2B" w:rsidRDefault="00A60C2B" w:rsidP="00BF572C">
      <w:pPr>
        <w:pStyle w:val="BodyText"/>
        <w:widowControl/>
        <w:numPr>
          <w:ilvl w:val="0"/>
          <w:numId w:val="45"/>
        </w:numPr>
        <w:autoSpaceDE/>
        <w:autoSpaceDN/>
        <w:adjustRightInd/>
        <w:rPr>
          <w:sz w:val="16"/>
          <w:szCs w:val="18"/>
          <w:lang w:val="en-GB"/>
        </w:rPr>
      </w:pPr>
      <w:r w:rsidRPr="007B1404">
        <w:rPr>
          <w:sz w:val="16"/>
          <w:szCs w:val="18"/>
          <w:lang w:val="en-GB"/>
        </w:rPr>
        <w:t xml:space="preserve">The </w:t>
      </w:r>
      <w:r w:rsidR="00A311D8">
        <w:rPr>
          <w:sz w:val="16"/>
          <w:szCs w:val="18"/>
          <w:lang w:val="en-GB"/>
        </w:rPr>
        <w:t>‘</w:t>
      </w:r>
      <w:r w:rsidRPr="007B1404">
        <w:rPr>
          <w:sz w:val="16"/>
          <w:szCs w:val="18"/>
          <w:lang w:val="en-GB"/>
        </w:rPr>
        <w:t>Corporate and Other</w:t>
      </w:r>
      <w:r w:rsidR="00A311D8">
        <w:rPr>
          <w:sz w:val="16"/>
          <w:szCs w:val="18"/>
          <w:lang w:val="en-GB"/>
        </w:rPr>
        <w:t>’</w:t>
      </w:r>
      <w:r w:rsidRPr="007B1404">
        <w:rPr>
          <w:sz w:val="16"/>
          <w:szCs w:val="18"/>
          <w:lang w:val="en-GB"/>
        </w:rPr>
        <w:t xml:space="preserve"> segment</w:t>
      </w:r>
      <w:r>
        <w:rPr>
          <w:sz w:val="16"/>
          <w:szCs w:val="18"/>
          <w:lang w:val="en-GB"/>
        </w:rPr>
        <w:t xml:space="preserve"> includes unallocated corporate costs, exploration costs and the Other Mining and Industrial business unit. Exploration costs represent the cost of the Group</w:t>
      </w:r>
      <w:r w:rsidR="00A311D8">
        <w:rPr>
          <w:sz w:val="16"/>
          <w:szCs w:val="18"/>
          <w:lang w:val="en-GB"/>
        </w:rPr>
        <w:t>’</w:t>
      </w:r>
      <w:r>
        <w:rPr>
          <w:sz w:val="16"/>
          <w:szCs w:val="18"/>
          <w:lang w:val="en-GB"/>
        </w:rPr>
        <w:t>s exploration activities across all segments.</w:t>
      </w:r>
    </w:p>
    <w:p w14:paraId="2B3FA196" w14:textId="5E988E8B" w:rsidR="00DF4A0D" w:rsidRPr="00571974" w:rsidRDefault="003D4D89" w:rsidP="00DF4A0D">
      <w:pPr>
        <w:pStyle w:val="BodyText"/>
        <w:widowControl/>
        <w:autoSpaceDE/>
        <w:autoSpaceDN/>
        <w:adjustRightInd/>
        <w:ind w:firstLine="360"/>
        <w:rPr>
          <w:lang w:val="en-GB"/>
        </w:rPr>
      </w:pPr>
      <w:r w:rsidRPr="00571974">
        <w:rPr>
          <w:lang w:val="en-GB"/>
        </w:rPr>
        <w:t>The above tables present equity accounted entities (associates and joint ventures) separately from subsidiaries.</w:t>
      </w:r>
    </w:p>
    <w:p w14:paraId="4326D48E" w14:textId="77777777" w:rsidR="00DF4A0D" w:rsidRPr="00571974" w:rsidRDefault="003D4D89" w:rsidP="00DF4A0D">
      <w:pPr>
        <w:tabs>
          <w:tab w:val="left" w:pos="-720"/>
          <w:tab w:val="left" w:pos="0"/>
        </w:tabs>
        <w:suppressAutoHyphens/>
        <w:spacing w:after="240"/>
        <w:ind w:left="993" w:hanging="360"/>
        <w:rPr>
          <w:szCs w:val="20"/>
          <w:lang w:val="en-GB"/>
        </w:rPr>
      </w:pPr>
      <w:r w:rsidRPr="00571974">
        <w:rPr>
          <w:lang w:val="en-GB"/>
        </w:rPr>
        <w:t>•</w:t>
      </w:r>
      <w:r w:rsidRPr="00571974">
        <w:rPr>
          <w:szCs w:val="20"/>
          <w:lang w:val="en-GB"/>
        </w:rPr>
        <w:tab/>
        <w:t xml:space="preserve">Associates are investments over which the Group is in a position to exercise significant influence, but not control or joint control, through participation in the financial and operating policy decisions of the investee. Typically, the Group owns between 20% and 50% of the voting equity of associates. The financial results of associates are accounted for in the consolidated financial statements of the Group </w:t>
      </w:r>
      <w:r w:rsidRPr="00571974">
        <w:rPr>
          <w:szCs w:val="20"/>
          <w:lang w:val="en-GB"/>
        </w:rPr>
        <w:lastRenderedPageBreak/>
        <w:t>using the equity method of accounting.</w:t>
      </w:r>
    </w:p>
    <w:p w14:paraId="43B515FD" w14:textId="77777777" w:rsidR="00DF4A0D" w:rsidRPr="00571974" w:rsidRDefault="003D4D89" w:rsidP="003D4D89">
      <w:pPr>
        <w:pStyle w:val="ListParagraph"/>
        <w:widowControl/>
        <w:numPr>
          <w:ilvl w:val="0"/>
          <w:numId w:val="26"/>
        </w:numPr>
        <w:tabs>
          <w:tab w:val="left" w:pos="-720"/>
        </w:tabs>
        <w:suppressAutoHyphens/>
        <w:spacing w:after="240"/>
        <w:ind w:left="993"/>
        <w:rPr>
          <w:lang w:val="en-GB"/>
        </w:rPr>
      </w:pPr>
      <w:r w:rsidRPr="00571974">
        <w:rPr>
          <w:lang w:val="en-GB"/>
        </w:rPr>
        <w:t xml:space="preserve">Under IFRS 11, a joint venture is a joint arrangement whereby the parties that have joint control of the arrangement have rights to the net assets of the arrangement. </w:t>
      </w:r>
    </w:p>
    <w:p w14:paraId="151972EA" w14:textId="28537EA8" w:rsidR="00DF4A0D" w:rsidRPr="00571974" w:rsidRDefault="003D4D89" w:rsidP="00DF4A0D">
      <w:pPr>
        <w:pStyle w:val="BodyText"/>
        <w:keepNext/>
        <w:widowControl/>
        <w:autoSpaceDE/>
        <w:autoSpaceDN/>
        <w:adjustRightInd/>
        <w:ind w:firstLine="357"/>
        <w:rPr>
          <w:lang w:val="en-GB"/>
        </w:rPr>
      </w:pPr>
      <w:r w:rsidRPr="00571974">
        <w:rPr>
          <w:lang w:val="en-GB"/>
        </w:rPr>
        <w:t>The following table sets forth the Group</w:t>
      </w:r>
      <w:r w:rsidR="00A311D8">
        <w:rPr>
          <w:lang w:val="en-GB"/>
        </w:rPr>
        <w:t>’</w:t>
      </w:r>
      <w:r w:rsidRPr="00571974">
        <w:rPr>
          <w:lang w:val="en-GB"/>
        </w:rPr>
        <w:t>s geographical analysis of Group revenue allocated based on the country in which the customer is located:</w:t>
      </w:r>
    </w:p>
    <w:tbl>
      <w:tblPr>
        <w:tblW w:w="5000" w:type="pct"/>
        <w:tblInd w:w="-72" w:type="dxa"/>
        <w:tblLayout w:type="fixed"/>
        <w:tblCellMar>
          <w:left w:w="72" w:type="dxa"/>
          <w:right w:w="72" w:type="dxa"/>
        </w:tblCellMar>
        <w:tblLook w:val="0000" w:firstRow="0" w:lastRow="0" w:firstColumn="0" w:lastColumn="0" w:noHBand="0" w:noVBand="0"/>
      </w:tblPr>
      <w:tblGrid>
        <w:gridCol w:w="5276"/>
        <w:gridCol w:w="1360"/>
        <w:gridCol w:w="1360"/>
        <w:gridCol w:w="1360"/>
      </w:tblGrid>
      <w:tr w:rsidR="002228B8" w14:paraId="39DD7FF1" w14:textId="77777777" w:rsidTr="00DF4A0D">
        <w:trPr>
          <w:cantSplit/>
          <w:trHeight w:val="511"/>
        </w:trPr>
        <w:tc>
          <w:tcPr>
            <w:tcW w:w="5276" w:type="dxa"/>
            <w:tcBorders>
              <w:top w:val="nil"/>
              <w:left w:val="nil"/>
              <w:bottom w:val="nil"/>
              <w:right w:val="nil"/>
            </w:tcBorders>
            <w:vAlign w:val="bottom"/>
          </w:tcPr>
          <w:p w14:paraId="0C5A32F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360" w:type="dxa"/>
            <w:tcBorders>
              <w:top w:val="nil"/>
              <w:left w:val="nil"/>
              <w:bottom w:val="nil"/>
              <w:right w:val="nil"/>
            </w:tcBorders>
            <w:vAlign w:val="bottom"/>
          </w:tcPr>
          <w:p w14:paraId="7B6294F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 ended December 31, 2017</w:t>
            </w:r>
          </w:p>
        </w:tc>
        <w:tc>
          <w:tcPr>
            <w:tcW w:w="1360" w:type="dxa"/>
            <w:tcBorders>
              <w:top w:val="nil"/>
              <w:left w:val="nil"/>
              <w:bottom w:val="nil"/>
              <w:right w:val="nil"/>
            </w:tcBorders>
            <w:vAlign w:val="bottom"/>
          </w:tcPr>
          <w:p w14:paraId="0FF969A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 ended December 31, 2018</w:t>
            </w:r>
          </w:p>
        </w:tc>
        <w:tc>
          <w:tcPr>
            <w:tcW w:w="1360" w:type="dxa"/>
            <w:tcBorders>
              <w:top w:val="nil"/>
              <w:left w:val="nil"/>
              <w:bottom w:val="nil"/>
              <w:right w:val="nil"/>
            </w:tcBorders>
            <w:vAlign w:val="bottom"/>
          </w:tcPr>
          <w:p w14:paraId="6E57D04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 ended December 31, 2019</w:t>
            </w:r>
          </w:p>
        </w:tc>
      </w:tr>
      <w:tr w:rsidR="002228B8" w14:paraId="1E6ADFDC" w14:textId="77777777" w:rsidTr="00DF4A0D">
        <w:trPr>
          <w:cantSplit/>
          <w:trHeight w:val="227"/>
        </w:trPr>
        <w:tc>
          <w:tcPr>
            <w:tcW w:w="5276" w:type="dxa"/>
            <w:tcBorders>
              <w:top w:val="nil"/>
              <w:left w:val="nil"/>
              <w:bottom w:val="nil"/>
              <w:right w:val="nil"/>
            </w:tcBorders>
          </w:tcPr>
          <w:p w14:paraId="0182261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p>
        </w:tc>
        <w:tc>
          <w:tcPr>
            <w:tcW w:w="1360" w:type="dxa"/>
            <w:tcBorders>
              <w:top w:val="nil"/>
              <w:left w:val="nil"/>
              <w:bottom w:val="nil"/>
              <w:right w:val="nil"/>
            </w:tcBorders>
            <w:vAlign w:val="bottom"/>
          </w:tcPr>
          <w:p w14:paraId="78FBABD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360" w:type="dxa"/>
            <w:tcBorders>
              <w:top w:val="nil"/>
              <w:left w:val="nil"/>
              <w:bottom w:val="nil"/>
              <w:right w:val="nil"/>
            </w:tcBorders>
            <w:vAlign w:val="bottom"/>
          </w:tcPr>
          <w:p w14:paraId="69FBA05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1360" w:type="dxa"/>
            <w:tcBorders>
              <w:top w:val="nil"/>
              <w:left w:val="nil"/>
              <w:bottom w:val="nil"/>
              <w:right w:val="nil"/>
            </w:tcBorders>
            <w:vAlign w:val="bottom"/>
          </w:tcPr>
          <w:p w14:paraId="7542CAC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4862184B" w14:textId="77777777" w:rsidTr="00DF4A0D">
        <w:trPr>
          <w:cantSplit/>
          <w:trHeight w:val="246"/>
        </w:trPr>
        <w:tc>
          <w:tcPr>
            <w:tcW w:w="5276" w:type="dxa"/>
            <w:tcBorders>
              <w:top w:val="nil"/>
              <w:left w:val="nil"/>
              <w:bottom w:val="nil"/>
              <w:right w:val="nil"/>
            </w:tcBorders>
            <w:shd w:val="clear" w:color="auto" w:fill="auto"/>
            <w:vAlign w:val="bottom"/>
          </w:tcPr>
          <w:p w14:paraId="051AB63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South Africa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6CCC434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1,876</w:t>
            </w:r>
          </w:p>
        </w:tc>
        <w:tc>
          <w:tcPr>
            <w:tcW w:w="1360" w:type="dxa"/>
            <w:tcBorders>
              <w:top w:val="nil"/>
              <w:left w:val="nil"/>
              <w:bottom w:val="nil"/>
              <w:right w:val="nil"/>
            </w:tcBorders>
            <w:shd w:val="clear" w:color="auto" w:fill="auto"/>
            <w:vAlign w:val="bottom"/>
          </w:tcPr>
          <w:p w14:paraId="733DCD9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1,466</w:t>
            </w:r>
          </w:p>
        </w:tc>
        <w:tc>
          <w:tcPr>
            <w:tcW w:w="1360" w:type="dxa"/>
            <w:tcBorders>
              <w:top w:val="nil"/>
              <w:left w:val="nil"/>
              <w:bottom w:val="nil"/>
              <w:right w:val="nil"/>
            </w:tcBorders>
            <w:shd w:val="clear" w:color="auto" w:fill="auto"/>
            <w:vAlign w:val="bottom"/>
          </w:tcPr>
          <w:p w14:paraId="2504E8C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807</w:t>
            </w:r>
          </w:p>
        </w:tc>
      </w:tr>
      <w:tr w:rsidR="002228B8" w14:paraId="47A08AE0" w14:textId="77777777" w:rsidTr="00DF4A0D">
        <w:trPr>
          <w:cantSplit/>
          <w:trHeight w:val="227"/>
        </w:trPr>
        <w:tc>
          <w:tcPr>
            <w:tcW w:w="5276" w:type="dxa"/>
            <w:tcBorders>
              <w:top w:val="nil"/>
              <w:left w:val="nil"/>
              <w:bottom w:val="nil"/>
              <w:right w:val="nil"/>
            </w:tcBorders>
            <w:shd w:val="clear" w:color="auto" w:fill="auto"/>
            <w:vAlign w:val="bottom"/>
          </w:tcPr>
          <w:p w14:paraId="764AC976"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Other Africa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2E1FBA5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1,709</w:t>
            </w:r>
          </w:p>
        </w:tc>
        <w:tc>
          <w:tcPr>
            <w:tcW w:w="1360" w:type="dxa"/>
            <w:tcBorders>
              <w:top w:val="nil"/>
              <w:left w:val="nil"/>
              <w:bottom w:val="nil"/>
              <w:right w:val="nil"/>
            </w:tcBorders>
            <w:shd w:val="clear" w:color="auto" w:fill="auto"/>
            <w:vAlign w:val="bottom"/>
          </w:tcPr>
          <w:p w14:paraId="123D5D6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1,816</w:t>
            </w:r>
          </w:p>
        </w:tc>
        <w:tc>
          <w:tcPr>
            <w:tcW w:w="1360" w:type="dxa"/>
            <w:tcBorders>
              <w:top w:val="nil"/>
              <w:left w:val="nil"/>
              <w:bottom w:val="nil"/>
              <w:right w:val="nil"/>
            </w:tcBorders>
            <w:shd w:val="clear" w:color="auto" w:fill="auto"/>
            <w:vAlign w:val="bottom"/>
          </w:tcPr>
          <w:p w14:paraId="5735D7B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1,220</w:t>
            </w:r>
          </w:p>
        </w:tc>
      </w:tr>
      <w:tr w:rsidR="002228B8" w14:paraId="2FFDB1BA" w14:textId="77777777" w:rsidTr="00DF4A0D">
        <w:trPr>
          <w:cantSplit/>
          <w:trHeight w:val="227"/>
        </w:trPr>
        <w:tc>
          <w:tcPr>
            <w:tcW w:w="5276" w:type="dxa"/>
            <w:tcBorders>
              <w:top w:val="nil"/>
              <w:left w:val="nil"/>
              <w:bottom w:val="nil"/>
              <w:right w:val="nil"/>
            </w:tcBorders>
            <w:shd w:val="clear" w:color="auto" w:fill="auto"/>
            <w:vAlign w:val="bottom"/>
          </w:tcPr>
          <w:p w14:paraId="74FC8A97"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Brazil</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175DAD2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422</w:t>
            </w:r>
          </w:p>
        </w:tc>
        <w:tc>
          <w:tcPr>
            <w:tcW w:w="1360" w:type="dxa"/>
            <w:tcBorders>
              <w:top w:val="nil"/>
              <w:left w:val="nil"/>
              <w:bottom w:val="nil"/>
              <w:right w:val="nil"/>
            </w:tcBorders>
            <w:shd w:val="clear" w:color="auto" w:fill="auto"/>
            <w:vAlign w:val="bottom"/>
          </w:tcPr>
          <w:p w14:paraId="7FC98DF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383</w:t>
            </w:r>
          </w:p>
        </w:tc>
        <w:tc>
          <w:tcPr>
            <w:tcW w:w="1360" w:type="dxa"/>
            <w:tcBorders>
              <w:top w:val="nil"/>
              <w:left w:val="nil"/>
              <w:bottom w:val="nil"/>
              <w:right w:val="nil"/>
            </w:tcBorders>
            <w:shd w:val="clear" w:color="auto" w:fill="auto"/>
            <w:vAlign w:val="bottom"/>
          </w:tcPr>
          <w:p w14:paraId="7257DE7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437</w:t>
            </w:r>
          </w:p>
        </w:tc>
      </w:tr>
      <w:tr w:rsidR="002228B8" w14:paraId="765505FE" w14:textId="77777777" w:rsidTr="00DF4A0D">
        <w:trPr>
          <w:cantSplit/>
          <w:trHeight w:val="227"/>
        </w:trPr>
        <w:tc>
          <w:tcPr>
            <w:tcW w:w="5276" w:type="dxa"/>
            <w:tcBorders>
              <w:top w:val="nil"/>
              <w:left w:val="nil"/>
              <w:bottom w:val="nil"/>
              <w:right w:val="nil"/>
            </w:tcBorders>
            <w:shd w:val="clear" w:color="auto" w:fill="auto"/>
            <w:vAlign w:val="bottom"/>
          </w:tcPr>
          <w:p w14:paraId="3297FF38"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Chile</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0C26C83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432</w:t>
            </w:r>
          </w:p>
        </w:tc>
        <w:tc>
          <w:tcPr>
            <w:tcW w:w="1360" w:type="dxa"/>
            <w:tcBorders>
              <w:top w:val="nil"/>
              <w:left w:val="nil"/>
              <w:bottom w:val="nil"/>
              <w:right w:val="nil"/>
            </w:tcBorders>
            <w:shd w:val="clear" w:color="auto" w:fill="auto"/>
            <w:vAlign w:val="bottom"/>
          </w:tcPr>
          <w:p w14:paraId="46DC64D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540</w:t>
            </w:r>
          </w:p>
        </w:tc>
        <w:tc>
          <w:tcPr>
            <w:tcW w:w="1360" w:type="dxa"/>
            <w:tcBorders>
              <w:top w:val="nil"/>
              <w:left w:val="nil"/>
              <w:bottom w:val="nil"/>
              <w:right w:val="nil"/>
            </w:tcBorders>
            <w:shd w:val="clear" w:color="auto" w:fill="auto"/>
            <w:vAlign w:val="bottom"/>
          </w:tcPr>
          <w:p w14:paraId="1014503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574</w:t>
            </w:r>
          </w:p>
        </w:tc>
      </w:tr>
      <w:tr w:rsidR="002228B8" w14:paraId="309C8074" w14:textId="77777777" w:rsidTr="00DF4A0D">
        <w:trPr>
          <w:cantSplit/>
          <w:trHeight w:val="246"/>
        </w:trPr>
        <w:tc>
          <w:tcPr>
            <w:tcW w:w="5276" w:type="dxa"/>
            <w:tcBorders>
              <w:top w:val="nil"/>
              <w:left w:val="nil"/>
              <w:bottom w:val="nil"/>
              <w:right w:val="nil"/>
            </w:tcBorders>
            <w:shd w:val="clear" w:color="auto" w:fill="auto"/>
            <w:vAlign w:val="bottom"/>
          </w:tcPr>
          <w:p w14:paraId="36D3E93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Other South America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7AA5E9D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w:t>
            </w:r>
          </w:p>
        </w:tc>
        <w:tc>
          <w:tcPr>
            <w:tcW w:w="1360" w:type="dxa"/>
            <w:tcBorders>
              <w:top w:val="nil"/>
              <w:left w:val="nil"/>
              <w:bottom w:val="nil"/>
              <w:right w:val="nil"/>
            </w:tcBorders>
            <w:shd w:val="clear" w:color="auto" w:fill="auto"/>
            <w:vAlign w:val="bottom"/>
          </w:tcPr>
          <w:p w14:paraId="4A08022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35</w:t>
            </w:r>
          </w:p>
        </w:tc>
        <w:tc>
          <w:tcPr>
            <w:tcW w:w="1360" w:type="dxa"/>
            <w:tcBorders>
              <w:top w:val="nil"/>
              <w:left w:val="nil"/>
              <w:bottom w:val="nil"/>
              <w:right w:val="nil"/>
            </w:tcBorders>
            <w:shd w:val="clear" w:color="auto" w:fill="auto"/>
            <w:vAlign w:val="bottom"/>
          </w:tcPr>
          <w:p w14:paraId="30470BC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71</w:t>
            </w:r>
          </w:p>
        </w:tc>
      </w:tr>
      <w:tr w:rsidR="002228B8" w14:paraId="4B846E1E" w14:textId="77777777" w:rsidTr="00DF4A0D">
        <w:trPr>
          <w:cantSplit/>
          <w:trHeight w:val="227"/>
        </w:trPr>
        <w:tc>
          <w:tcPr>
            <w:tcW w:w="5276" w:type="dxa"/>
            <w:tcBorders>
              <w:top w:val="nil"/>
              <w:left w:val="nil"/>
              <w:bottom w:val="nil"/>
              <w:right w:val="nil"/>
            </w:tcBorders>
            <w:shd w:val="clear" w:color="auto" w:fill="auto"/>
            <w:vAlign w:val="bottom"/>
          </w:tcPr>
          <w:p w14:paraId="7EF8B8D4"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North America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26D7A34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875</w:t>
            </w:r>
          </w:p>
        </w:tc>
        <w:tc>
          <w:tcPr>
            <w:tcW w:w="1360" w:type="dxa"/>
            <w:tcBorders>
              <w:top w:val="nil"/>
              <w:left w:val="nil"/>
              <w:bottom w:val="nil"/>
              <w:right w:val="nil"/>
            </w:tcBorders>
            <w:shd w:val="clear" w:color="auto" w:fill="auto"/>
            <w:vAlign w:val="bottom"/>
          </w:tcPr>
          <w:p w14:paraId="39A0148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714</w:t>
            </w:r>
          </w:p>
        </w:tc>
        <w:tc>
          <w:tcPr>
            <w:tcW w:w="1360" w:type="dxa"/>
            <w:tcBorders>
              <w:top w:val="nil"/>
              <w:left w:val="nil"/>
              <w:bottom w:val="nil"/>
              <w:right w:val="nil"/>
            </w:tcBorders>
            <w:shd w:val="clear" w:color="auto" w:fill="auto"/>
            <w:vAlign w:val="bottom"/>
          </w:tcPr>
          <w:p w14:paraId="4D40D6F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786</w:t>
            </w:r>
          </w:p>
        </w:tc>
      </w:tr>
      <w:tr w:rsidR="002228B8" w14:paraId="6E289A44" w14:textId="77777777" w:rsidTr="00DF4A0D">
        <w:trPr>
          <w:cantSplit/>
          <w:trHeight w:val="227"/>
        </w:trPr>
        <w:tc>
          <w:tcPr>
            <w:tcW w:w="5276" w:type="dxa"/>
            <w:tcBorders>
              <w:top w:val="nil"/>
              <w:left w:val="nil"/>
              <w:bottom w:val="nil"/>
              <w:right w:val="nil"/>
            </w:tcBorders>
            <w:shd w:val="clear" w:color="auto" w:fill="auto"/>
            <w:vAlign w:val="bottom"/>
          </w:tcPr>
          <w:p w14:paraId="3281564E"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Australia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26D8CD4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41</w:t>
            </w:r>
          </w:p>
        </w:tc>
        <w:tc>
          <w:tcPr>
            <w:tcW w:w="1360" w:type="dxa"/>
            <w:tcBorders>
              <w:top w:val="nil"/>
              <w:left w:val="nil"/>
              <w:bottom w:val="nil"/>
              <w:right w:val="nil"/>
            </w:tcBorders>
            <w:shd w:val="clear" w:color="auto" w:fill="auto"/>
            <w:vAlign w:val="bottom"/>
          </w:tcPr>
          <w:p w14:paraId="6647AF3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47</w:t>
            </w:r>
          </w:p>
        </w:tc>
        <w:tc>
          <w:tcPr>
            <w:tcW w:w="1360" w:type="dxa"/>
            <w:tcBorders>
              <w:top w:val="nil"/>
              <w:left w:val="nil"/>
              <w:bottom w:val="nil"/>
              <w:right w:val="nil"/>
            </w:tcBorders>
            <w:shd w:val="clear" w:color="auto" w:fill="auto"/>
            <w:vAlign w:val="bottom"/>
          </w:tcPr>
          <w:p w14:paraId="671A11C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229</w:t>
            </w:r>
          </w:p>
        </w:tc>
      </w:tr>
      <w:tr w:rsidR="002228B8" w14:paraId="4BE4FB2E" w14:textId="77777777" w:rsidTr="00DF4A0D">
        <w:trPr>
          <w:cantSplit/>
          <w:trHeight w:val="227"/>
        </w:trPr>
        <w:tc>
          <w:tcPr>
            <w:tcW w:w="5276" w:type="dxa"/>
            <w:tcBorders>
              <w:top w:val="nil"/>
              <w:left w:val="nil"/>
              <w:bottom w:val="nil"/>
              <w:right w:val="nil"/>
            </w:tcBorders>
            <w:shd w:val="clear" w:color="auto" w:fill="auto"/>
            <w:vAlign w:val="bottom"/>
          </w:tcPr>
          <w:p w14:paraId="26B30B88"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China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3DCE186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6,451</w:t>
            </w:r>
          </w:p>
        </w:tc>
        <w:tc>
          <w:tcPr>
            <w:tcW w:w="1360" w:type="dxa"/>
            <w:tcBorders>
              <w:top w:val="nil"/>
              <w:left w:val="nil"/>
              <w:bottom w:val="nil"/>
              <w:right w:val="nil"/>
            </w:tcBorders>
            <w:shd w:val="clear" w:color="auto" w:fill="auto"/>
            <w:vAlign w:val="bottom"/>
          </w:tcPr>
          <w:p w14:paraId="268A0F0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6,933</w:t>
            </w:r>
          </w:p>
        </w:tc>
        <w:tc>
          <w:tcPr>
            <w:tcW w:w="1360" w:type="dxa"/>
            <w:tcBorders>
              <w:top w:val="nil"/>
              <w:left w:val="nil"/>
              <w:bottom w:val="nil"/>
              <w:right w:val="nil"/>
            </w:tcBorders>
            <w:shd w:val="clear" w:color="auto" w:fill="auto"/>
            <w:vAlign w:val="bottom"/>
          </w:tcPr>
          <w:p w14:paraId="196ED4C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9,470</w:t>
            </w:r>
          </w:p>
        </w:tc>
      </w:tr>
      <w:tr w:rsidR="002228B8" w14:paraId="2AC3D16E" w14:textId="77777777" w:rsidTr="00DF4A0D">
        <w:trPr>
          <w:cantSplit/>
          <w:trHeight w:val="246"/>
        </w:trPr>
        <w:tc>
          <w:tcPr>
            <w:tcW w:w="5276" w:type="dxa"/>
            <w:tcBorders>
              <w:top w:val="nil"/>
              <w:left w:val="nil"/>
              <w:bottom w:val="nil"/>
              <w:right w:val="nil"/>
            </w:tcBorders>
            <w:shd w:val="clear" w:color="auto" w:fill="auto"/>
            <w:vAlign w:val="bottom"/>
          </w:tcPr>
          <w:p w14:paraId="2A84F259"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India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4952039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3,636</w:t>
            </w:r>
          </w:p>
        </w:tc>
        <w:tc>
          <w:tcPr>
            <w:tcW w:w="1360" w:type="dxa"/>
            <w:tcBorders>
              <w:top w:val="nil"/>
              <w:left w:val="nil"/>
              <w:bottom w:val="nil"/>
              <w:right w:val="nil"/>
            </w:tcBorders>
            <w:shd w:val="clear" w:color="auto" w:fill="auto"/>
            <w:vAlign w:val="bottom"/>
          </w:tcPr>
          <w:p w14:paraId="6A61A29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3,796</w:t>
            </w:r>
          </w:p>
        </w:tc>
        <w:tc>
          <w:tcPr>
            <w:tcW w:w="1360" w:type="dxa"/>
            <w:tcBorders>
              <w:top w:val="nil"/>
              <w:left w:val="nil"/>
              <w:bottom w:val="nil"/>
              <w:right w:val="nil"/>
            </w:tcBorders>
            <w:shd w:val="clear" w:color="auto" w:fill="auto"/>
            <w:vAlign w:val="bottom"/>
          </w:tcPr>
          <w:p w14:paraId="3EA7145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2,898</w:t>
            </w:r>
          </w:p>
        </w:tc>
      </w:tr>
      <w:tr w:rsidR="002228B8" w14:paraId="18D42907" w14:textId="77777777" w:rsidTr="00DF4A0D">
        <w:trPr>
          <w:cantSplit/>
          <w:trHeight w:val="227"/>
        </w:trPr>
        <w:tc>
          <w:tcPr>
            <w:tcW w:w="5276" w:type="dxa"/>
            <w:tcBorders>
              <w:top w:val="nil"/>
              <w:left w:val="nil"/>
              <w:bottom w:val="nil"/>
              <w:right w:val="nil"/>
            </w:tcBorders>
            <w:shd w:val="clear" w:color="auto" w:fill="auto"/>
            <w:vAlign w:val="bottom"/>
          </w:tcPr>
          <w:p w14:paraId="3546268E"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Japan</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5F41D4E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2,625</w:t>
            </w:r>
          </w:p>
        </w:tc>
        <w:tc>
          <w:tcPr>
            <w:tcW w:w="1360" w:type="dxa"/>
            <w:tcBorders>
              <w:top w:val="nil"/>
              <w:left w:val="nil"/>
              <w:bottom w:val="nil"/>
              <w:right w:val="nil"/>
            </w:tcBorders>
            <w:shd w:val="clear" w:color="auto" w:fill="auto"/>
            <w:vAlign w:val="bottom"/>
          </w:tcPr>
          <w:p w14:paraId="7B91680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2,840</w:t>
            </w:r>
          </w:p>
        </w:tc>
        <w:tc>
          <w:tcPr>
            <w:tcW w:w="1360" w:type="dxa"/>
            <w:tcBorders>
              <w:top w:val="nil"/>
              <w:left w:val="nil"/>
              <w:bottom w:val="nil"/>
              <w:right w:val="nil"/>
            </w:tcBorders>
            <w:shd w:val="clear" w:color="auto" w:fill="auto"/>
            <w:vAlign w:val="bottom"/>
          </w:tcPr>
          <w:p w14:paraId="1451952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3,114</w:t>
            </w:r>
          </w:p>
        </w:tc>
      </w:tr>
      <w:tr w:rsidR="002228B8" w14:paraId="005BCE74" w14:textId="77777777" w:rsidTr="00DF4A0D">
        <w:trPr>
          <w:cantSplit/>
          <w:trHeight w:val="227"/>
        </w:trPr>
        <w:tc>
          <w:tcPr>
            <w:tcW w:w="5276" w:type="dxa"/>
            <w:tcBorders>
              <w:top w:val="nil"/>
              <w:left w:val="nil"/>
              <w:bottom w:val="nil"/>
              <w:right w:val="nil"/>
            </w:tcBorders>
            <w:shd w:val="clear" w:color="auto" w:fill="auto"/>
            <w:vAlign w:val="bottom"/>
          </w:tcPr>
          <w:p w14:paraId="1E36B0EF"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Other Asia</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332E8DE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5,514</w:t>
            </w:r>
          </w:p>
        </w:tc>
        <w:tc>
          <w:tcPr>
            <w:tcW w:w="1360" w:type="dxa"/>
            <w:tcBorders>
              <w:top w:val="nil"/>
              <w:left w:val="nil"/>
              <w:bottom w:val="nil"/>
              <w:right w:val="nil"/>
            </w:tcBorders>
            <w:shd w:val="clear" w:color="auto" w:fill="auto"/>
            <w:vAlign w:val="bottom"/>
          </w:tcPr>
          <w:p w14:paraId="1C07936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5,813</w:t>
            </w:r>
          </w:p>
        </w:tc>
        <w:tc>
          <w:tcPr>
            <w:tcW w:w="1360" w:type="dxa"/>
            <w:tcBorders>
              <w:top w:val="nil"/>
              <w:left w:val="nil"/>
              <w:bottom w:val="nil"/>
              <w:right w:val="nil"/>
            </w:tcBorders>
            <w:shd w:val="clear" w:color="auto" w:fill="auto"/>
            <w:vAlign w:val="bottom"/>
          </w:tcPr>
          <w:p w14:paraId="69AF2CE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6,055</w:t>
            </w:r>
          </w:p>
        </w:tc>
      </w:tr>
      <w:tr w:rsidR="002228B8" w14:paraId="53124AB7" w14:textId="77777777" w:rsidTr="00DF4A0D">
        <w:trPr>
          <w:cantSplit/>
          <w:trHeight w:val="165"/>
        </w:trPr>
        <w:tc>
          <w:tcPr>
            <w:tcW w:w="5276" w:type="dxa"/>
            <w:tcBorders>
              <w:top w:val="nil"/>
              <w:left w:val="nil"/>
              <w:bottom w:val="nil"/>
              <w:right w:val="nil"/>
            </w:tcBorders>
            <w:shd w:val="clear" w:color="auto" w:fill="auto"/>
            <w:vAlign w:val="bottom"/>
          </w:tcPr>
          <w:p w14:paraId="5D0BF4C2" w14:textId="6723D5FB" w:rsidR="00DF4A0D" w:rsidRPr="00571974" w:rsidRDefault="003D4D89" w:rsidP="00DF4A0D">
            <w:pPr>
              <w:tabs>
                <w:tab w:val="right" w:leader="dot" w:pos="5112"/>
              </w:tabs>
              <w:suppressAutoHyphens/>
              <w:spacing w:after="20"/>
              <w:ind w:left="400" w:hanging="200"/>
              <w:rPr>
                <w:sz w:val="16"/>
                <w:lang w:val="en-GB" w:eastAsia="en-GB" w:bidi="ar-SA"/>
              </w:rPr>
            </w:pPr>
            <w:r w:rsidRPr="00571974">
              <w:rPr>
                <w:sz w:val="16"/>
                <w:lang w:val="en-GB" w:eastAsia="en-GB" w:bidi="ar-SA"/>
              </w:rPr>
              <w:t>United Kingdom (Anglo American plc</w:t>
            </w:r>
            <w:r w:rsidR="00A311D8">
              <w:rPr>
                <w:sz w:val="16"/>
                <w:lang w:val="en-GB" w:eastAsia="en-GB" w:bidi="ar-SA"/>
              </w:rPr>
              <w:t>’</w:t>
            </w:r>
            <w:r w:rsidRPr="00571974">
              <w:rPr>
                <w:sz w:val="16"/>
                <w:lang w:val="en-GB" w:eastAsia="en-GB" w:bidi="ar-SA"/>
              </w:rPr>
              <w:t>s country of domicile)</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2EB98E4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1,571</w:t>
            </w:r>
          </w:p>
        </w:tc>
        <w:tc>
          <w:tcPr>
            <w:tcW w:w="1360" w:type="dxa"/>
            <w:tcBorders>
              <w:top w:val="nil"/>
              <w:left w:val="nil"/>
              <w:bottom w:val="nil"/>
              <w:right w:val="nil"/>
            </w:tcBorders>
            <w:shd w:val="clear" w:color="auto" w:fill="auto"/>
            <w:vAlign w:val="bottom"/>
          </w:tcPr>
          <w:p w14:paraId="1F94B6F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1,889</w:t>
            </w:r>
          </w:p>
        </w:tc>
        <w:tc>
          <w:tcPr>
            <w:tcW w:w="1360" w:type="dxa"/>
            <w:tcBorders>
              <w:top w:val="nil"/>
              <w:left w:val="nil"/>
              <w:bottom w:val="nil"/>
              <w:right w:val="nil"/>
            </w:tcBorders>
            <w:shd w:val="clear" w:color="auto" w:fill="auto"/>
            <w:vAlign w:val="bottom"/>
          </w:tcPr>
          <w:p w14:paraId="273C659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2,379</w:t>
            </w:r>
          </w:p>
        </w:tc>
      </w:tr>
      <w:tr w:rsidR="002228B8" w14:paraId="05E7BDF4" w14:textId="77777777" w:rsidTr="00DF4A0D">
        <w:trPr>
          <w:cantSplit/>
          <w:trHeight w:val="165"/>
        </w:trPr>
        <w:tc>
          <w:tcPr>
            <w:tcW w:w="5276" w:type="dxa"/>
            <w:tcBorders>
              <w:top w:val="nil"/>
              <w:left w:val="nil"/>
              <w:bottom w:val="nil"/>
              <w:right w:val="nil"/>
            </w:tcBorders>
            <w:shd w:val="clear" w:color="auto" w:fill="auto"/>
            <w:vAlign w:val="bottom"/>
          </w:tcPr>
          <w:p w14:paraId="7FC927CB" w14:textId="77777777" w:rsidR="00DF4A0D" w:rsidRPr="00571974" w:rsidRDefault="003D4D89" w:rsidP="00DF4A0D">
            <w:pPr>
              <w:tabs>
                <w:tab w:val="right" w:leader="dot" w:pos="5112"/>
              </w:tabs>
              <w:suppressAutoHyphens/>
              <w:spacing w:after="20"/>
              <w:ind w:left="400" w:hanging="200"/>
              <w:rPr>
                <w:sz w:val="16"/>
                <w:lang w:val="en-GB" w:eastAsia="en-GB" w:bidi="ar-SA"/>
              </w:rPr>
            </w:pPr>
            <w:r w:rsidRPr="00571974">
              <w:rPr>
                <w:sz w:val="16"/>
                <w:lang w:val="en-GB" w:eastAsia="en-GB" w:bidi="ar-SA"/>
              </w:rPr>
              <w:t>Other Europe</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6308845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3,489</w:t>
            </w:r>
          </w:p>
        </w:tc>
        <w:tc>
          <w:tcPr>
            <w:tcW w:w="1360" w:type="dxa"/>
            <w:tcBorders>
              <w:top w:val="nil"/>
              <w:left w:val="nil"/>
              <w:bottom w:val="nil"/>
              <w:right w:val="nil"/>
            </w:tcBorders>
            <w:shd w:val="clear" w:color="auto" w:fill="auto"/>
            <w:vAlign w:val="bottom"/>
          </w:tcPr>
          <w:p w14:paraId="58CADA19"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3,924</w:t>
            </w:r>
          </w:p>
        </w:tc>
        <w:tc>
          <w:tcPr>
            <w:tcW w:w="1360" w:type="dxa"/>
            <w:tcBorders>
              <w:top w:val="nil"/>
              <w:left w:val="nil"/>
              <w:bottom w:val="nil"/>
              <w:right w:val="nil"/>
            </w:tcBorders>
            <w:shd w:val="clear" w:color="auto" w:fill="auto"/>
            <w:vAlign w:val="bottom"/>
          </w:tcPr>
          <w:p w14:paraId="791DC3A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3,785</w:t>
            </w:r>
          </w:p>
        </w:tc>
      </w:tr>
      <w:tr w:rsidR="002228B8" w14:paraId="14FBA1AF" w14:textId="77777777" w:rsidTr="00DF4A0D">
        <w:trPr>
          <w:cantSplit/>
          <w:trHeight w:val="458"/>
        </w:trPr>
        <w:tc>
          <w:tcPr>
            <w:tcW w:w="5276" w:type="dxa"/>
            <w:tcBorders>
              <w:top w:val="nil"/>
              <w:left w:val="nil"/>
              <w:bottom w:val="nil"/>
              <w:right w:val="nil"/>
            </w:tcBorders>
            <w:shd w:val="clear" w:color="auto" w:fill="auto"/>
            <w:vAlign w:val="bottom"/>
          </w:tcPr>
          <w:p w14:paraId="266EFCDA" w14:textId="665D81CD" w:rsidR="00DF4A0D" w:rsidRPr="00571974" w:rsidRDefault="003D4D89" w:rsidP="00DF4A0D">
            <w:pPr>
              <w:tabs>
                <w:tab w:val="right" w:leader="dot" w:pos="5112"/>
              </w:tabs>
              <w:suppressAutoHyphens/>
              <w:spacing w:after="40"/>
              <w:ind w:left="200" w:hanging="200"/>
              <w:rPr>
                <w:sz w:val="16"/>
                <w:lang w:val="en-GB" w:eastAsia="en-GB" w:bidi="ar-SA"/>
              </w:rPr>
            </w:pPr>
            <w:r w:rsidRPr="00571974">
              <w:rPr>
                <w:b/>
                <w:bCs/>
                <w:sz w:val="16"/>
                <w:lang w:val="en-GB" w:eastAsia="en-GB" w:bidi="ar-SA"/>
              </w:rPr>
              <w:t>Group Revenue (including attributable share of associates</w:t>
            </w:r>
            <w:r w:rsidR="00A311D8">
              <w:rPr>
                <w:b/>
                <w:bCs/>
                <w:sz w:val="16"/>
                <w:lang w:val="en-GB" w:eastAsia="en-GB" w:bidi="ar-SA"/>
              </w:rPr>
              <w:t>’</w:t>
            </w:r>
            <w:r w:rsidRPr="00571974">
              <w:rPr>
                <w:b/>
                <w:bCs/>
                <w:sz w:val="16"/>
                <w:lang w:val="en-GB" w:eastAsia="en-GB" w:bidi="ar-SA"/>
              </w:rPr>
              <w:t xml:space="preserve"> and joint ventures</w:t>
            </w:r>
            <w:r w:rsidR="00A311D8">
              <w:rPr>
                <w:b/>
                <w:bCs/>
                <w:sz w:val="16"/>
                <w:lang w:val="en-GB" w:eastAsia="en-GB" w:bidi="ar-SA"/>
              </w:rPr>
              <w:t>’</w:t>
            </w:r>
            <w:r w:rsidRPr="00571974">
              <w:rPr>
                <w:b/>
                <w:bCs/>
                <w:sz w:val="16"/>
                <w:lang w:val="en-GB" w:eastAsia="en-GB" w:bidi="ar-SA"/>
              </w:rPr>
              <w:t xml:space="preserve"> revenue)</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0AE70E6A"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b/>
                <w:sz w:val="16"/>
                <w:lang w:val="en-GB" w:eastAsia="en-GB" w:bidi="ar-SA"/>
              </w:rPr>
            </w:pPr>
            <w:r w:rsidRPr="00571974">
              <w:rPr>
                <w:b/>
                <w:sz w:val="16"/>
                <w:lang w:val="en-GB" w:eastAsia="en-GB" w:bidi="ar-SA"/>
              </w:rPr>
              <w:t>28,650</w:t>
            </w:r>
          </w:p>
        </w:tc>
        <w:tc>
          <w:tcPr>
            <w:tcW w:w="1360" w:type="dxa"/>
            <w:tcBorders>
              <w:top w:val="nil"/>
              <w:left w:val="nil"/>
              <w:bottom w:val="nil"/>
              <w:right w:val="nil"/>
            </w:tcBorders>
            <w:shd w:val="clear" w:color="auto" w:fill="auto"/>
            <w:vAlign w:val="bottom"/>
          </w:tcPr>
          <w:p w14:paraId="5D20BC77"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b/>
                <w:sz w:val="16"/>
                <w:lang w:val="en-GB" w:eastAsia="en-GB" w:bidi="ar-SA"/>
              </w:rPr>
            </w:pPr>
            <w:r w:rsidRPr="00571974">
              <w:rPr>
                <w:b/>
                <w:sz w:val="16"/>
                <w:lang w:val="en-GB" w:eastAsia="en-GB" w:bidi="ar-SA"/>
              </w:rPr>
              <w:t>30,196</w:t>
            </w:r>
          </w:p>
        </w:tc>
        <w:tc>
          <w:tcPr>
            <w:tcW w:w="1360" w:type="dxa"/>
            <w:tcBorders>
              <w:top w:val="nil"/>
              <w:left w:val="nil"/>
              <w:bottom w:val="nil"/>
              <w:right w:val="nil"/>
            </w:tcBorders>
            <w:shd w:val="clear" w:color="auto" w:fill="auto"/>
            <w:vAlign w:val="bottom"/>
          </w:tcPr>
          <w:p w14:paraId="4BEB17C4"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b/>
                <w:sz w:val="16"/>
                <w:lang w:val="en-GB" w:eastAsia="en-GB" w:bidi="ar-SA"/>
              </w:rPr>
            </w:pPr>
            <w:r w:rsidRPr="00571974">
              <w:rPr>
                <w:b/>
                <w:sz w:val="16"/>
                <w:lang w:val="en-GB" w:eastAsia="en-GB" w:bidi="ar-SA"/>
              </w:rPr>
              <w:t>31,825</w:t>
            </w:r>
          </w:p>
        </w:tc>
      </w:tr>
      <w:tr w:rsidR="002228B8" w14:paraId="6E29A828" w14:textId="77777777" w:rsidTr="00DF4A0D">
        <w:trPr>
          <w:cantSplit/>
          <w:trHeight w:val="458"/>
        </w:trPr>
        <w:tc>
          <w:tcPr>
            <w:tcW w:w="5276" w:type="dxa"/>
            <w:tcBorders>
              <w:top w:val="nil"/>
              <w:left w:val="nil"/>
              <w:bottom w:val="nil"/>
              <w:right w:val="nil"/>
            </w:tcBorders>
            <w:shd w:val="clear" w:color="auto" w:fill="auto"/>
            <w:vAlign w:val="bottom"/>
          </w:tcPr>
          <w:p w14:paraId="14766422" w14:textId="77777777" w:rsidR="00DF4A0D" w:rsidRPr="00571974" w:rsidRDefault="003D4D89" w:rsidP="00DF4A0D">
            <w:pPr>
              <w:tabs>
                <w:tab w:val="right" w:leader="dot" w:pos="5112"/>
              </w:tabs>
              <w:suppressAutoHyphens/>
              <w:ind w:left="400" w:hanging="200"/>
              <w:rPr>
                <w:sz w:val="16"/>
                <w:lang w:val="en-GB" w:eastAsia="en-GB" w:bidi="ar-SA"/>
              </w:rPr>
            </w:pPr>
            <w:r w:rsidRPr="00571974">
              <w:rPr>
                <w:sz w:val="16"/>
                <w:lang w:val="en-GB" w:eastAsia="en-GB" w:bidi="ar-SA"/>
              </w:rPr>
              <w:t>Less: associates and joint ventures</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1CEC309D"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(2,407)</w:t>
            </w:r>
          </w:p>
        </w:tc>
        <w:tc>
          <w:tcPr>
            <w:tcW w:w="1360" w:type="dxa"/>
            <w:tcBorders>
              <w:top w:val="nil"/>
              <w:left w:val="nil"/>
              <w:bottom w:val="nil"/>
              <w:right w:val="nil"/>
            </w:tcBorders>
            <w:shd w:val="clear" w:color="auto" w:fill="auto"/>
            <w:vAlign w:val="bottom"/>
          </w:tcPr>
          <w:p w14:paraId="2C11BCB8"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(2,586)</w:t>
            </w:r>
          </w:p>
        </w:tc>
        <w:tc>
          <w:tcPr>
            <w:tcW w:w="1360" w:type="dxa"/>
            <w:tcBorders>
              <w:top w:val="nil"/>
              <w:left w:val="nil"/>
              <w:bottom w:val="nil"/>
              <w:right w:val="nil"/>
            </w:tcBorders>
            <w:shd w:val="clear" w:color="auto" w:fill="auto"/>
            <w:vAlign w:val="bottom"/>
          </w:tcPr>
          <w:p w14:paraId="3F81B5D6"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(1,955)</w:t>
            </w:r>
          </w:p>
        </w:tc>
      </w:tr>
      <w:tr w:rsidR="002228B8" w14:paraId="6AAF0BAB" w14:textId="77777777" w:rsidTr="00DF4A0D">
        <w:trPr>
          <w:cantSplit/>
          <w:trHeight w:val="458"/>
        </w:trPr>
        <w:tc>
          <w:tcPr>
            <w:tcW w:w="5276" w:type="dxa"/>
            <w:tcBorders>
              <w:top w:val="nil"/>
              <w:left w:val="nil"/>
              <w:bottom w:val="nil"/>
              <w:right w:val="nil"/>
            </w:tcBorders>
            <w:shd w:val="clear" w:color="auto" w:fill="auto"/>
            <w:vAlign w:val="bottom"/>
          </w:tcPr>
          <w:p w14:paraId="4F25096E" w14:textId="77777777" w:rsidR="00DF4A0D" w:rsidRPr="00571974" w:rsidRDefault="003D4D89" w:rsidP="00DF4A0D">
            <w:pPr>
              <w:tabs>
                <w:tab w:val="right" w:leader="dot" w:pos="5112"/>
              </w:tabs>
              <w:suppressAutoHyphens/>
              <w:spacing w:after="40"/>
              <w:ind w:left="200" w:hanging="200"/>
              <w:rPr>
                <w:b/>
                <w:bCs/>
                <w:sz w:val="16"/>
                <w:lang w:val="en-GB" w:eastAsia="en-GB" w:bidi="ar-SA"/>
              </w:rPr>
            </w:pPr>
            <w:r w:rsidRPr="00571974">
              <w:rPr>
                <w:b/>
                <w:bCs/>
                <w:sz w:val="16"/>
                <w:lang w:val="en-GB" w:eastAsia="en-GB" w:bidi="ar-SA"/>
              </w:rPr>
              <w:t xml:space="preserve">Revenue </w:t>
            </w:r>
            <w:r w:rsidRPr="00571974">
              <w:rPr>
                <w:sz w:val="16"/>
                <w:lang w:val="en-GB" w:eastAsia="en-GB" w:bidi="ar-SA"/>
              </w:rPr>
              <w:tab/>
            </w:r>
          </w:p>
        </w:tc>
        <w:tc>
          <w:tcPr>
            <w:tcW w:w="1360" w:type="dxa"/>
            <w:tcBorders>
              <w:top w:val="nil"/>
              <w:left w:val="nil"/>
              <w:bottom w:val="nil"/>
              <w:right w:val="nil"/>
            </w:tcBorders>
            <w:shd w:val="clear" w:color="auto" w:fill="auto"/>
            <w:vAlign w:val="bottom"/>
          </w:tcPr>
          <w:p w14:paraId="5AE7A763"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b/>
                <w:sz w:val="16"/>
                <w:lang w:val="en-GB" w:eastAsia="en-GB" w:bidi="ar-SA"/>
              </w:rPr>
            </w:pPr>
            <w:r w:rsidRPr="00571974">
              <w:rPr>
                <w:b/>
                <w:sz w:val="16"/>
                <w:lang w:val="en-GB" w:eastAsia="en-GB" w:bidi="ar-SA"/>
              </w:rPr>
              <w:t>26,243</w:t>
            </w:r>
          </w:p>
        </w:tc>
        <w:tc>
          <w:tcPr>
            <w:tcW w:w="1360" w:type="dxa"/>
            <w:tcBorders>
              <w:top w:val="nil"/>
              <w:left w:val="nil"/>
              <w:bottom w:val="nil"/>
              <w:right w:val="nil"/>
            </w:tcBorders>
            <w:shd w:val="clear" w:color="auto" w:fill="auto"/>
            <w:vAlign w:val="bottom"/>
          </w:tcPr>
          <w:p w14:paraId="040D666C"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b/>
                <w:sz w:val="16"/>
                <w:lang w:val="en-GB" w:eastAsia="en-GB" w:bidi="ar-SA"/>
              </w:rPr>
            </w:pPr>
            <w:r w:rsidRPr="00571974">
              <w:rPr>
                <w:b/>
                <w:sz w:val="16"/>
                <w:lang w:val="en-GB" w:eastAsia="en-GB" w:bidi="ar-SA"/>
              </w:rPr>
              <w:t>27,610</w:t>
            </w:r>
          </w:p>
        </w:tc>
        <w:tc>
          <w:tcPr>
            <w:tcW w:w="1360" w:type="dxa"/>
            <w:tcBorders>
              <w:top w:val="nil"/>
              <w:left w:val="nil"/>
              <w:bottom w:val="nil"/>
              <w:right w:val="nil"/>
            </w:tcBorders>
            <w:shd w:val="clear" w:color="auto" w:fill="auto"/>
            <w:vAlign w:val="bottom"/>
          </w:tcPr>
          <w:p w14:paraId="111EEE77"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b/>
                <w:sz w:val="16"/>
                <w:lang w:val="en-GB" w:eastAsia="en-GB" w:bidi="ar-SA"/>
              </w:rPr>
            </w:pPr>
            <w:r w:rsidRPr="00571974">
              <w:rPr>
                <w:b/>
                <w:sz w:val="16"/>
                <w:lang w:val="en-GB" w:eastAsia="en-GB" w:bidi="ar-SA"/>
              </w:rPr>
              <w:t>29,870</w:t>
            </w:r>
          </w:p>
        </w:tc>
      </w:tr>
    </w:tbl>
    <w:p w14:paraId="585F810D" w14:textId="77777777" w:rsidR="00DF4A0D" w:rsidRPr="00571974" w:rsidRDefault="00DF4A0D" w:rsidP="00DF4A0D">
      <w:pPr>
        <w:rPr>
          <w:lang w:val="en-GB"/>
        </w:rPr>
      </w:pPr>
    </w:p>
    <w:p w14:paraId="62E6B912" w14:textId="77777777" w:rsidR="00DF4A0D" w:rsidRPr="00571974" w:rsidRDefault="003D4D89" w:rsidP="00DF4A0D">
      <w:pPr>
        <w:rPr>
          <w:lang w:val="en-GB"/>
        </w:rPr>
      </w:pPr>
      <w:r w:rsidRPr="00571974">
        <w:rPr>
          <w:lang w:val="en-GB"/>
        </w:rPr>
        <w:br w:type="page"/>
      </w:r>
    </w:p>
    <w:p w14:paraId="4856D037" w14:textId="77777777" w:rsidR="00542FF4" w:rsidRPr="00571974" w:rsidRDefault="003D4D89" w:rsidP="001E1DA0">
      <w:pPr>
        <w:pStyle w:val="Heading2"/>
        <w:spacing w:before="240"/>
        <w:rPr>
          <w:lang w:val="en-GB"/>
        </w:rPr>
      </w:pPr>
      <w:bookmarkStart w:id="53" w:name="_Hlk505958934"/>
      <w:bookmarkEnd w:id="52"/>
      <w:r w:rsidRPr="00571974">
        <w:rPr>
          <w:lang w:val="en-GB"/>
        </w:rPr>
        <w:lastRenderedPageBreak/>
        <w:t>Business Segments</w:t>
      </w:r>
    </w:p>
    <w:p w14:paraId="457E9E4E" w14:textId="77777777" w:rsidR="00542FF4" w:rsidRPr="00571974" w:rsidRDefault="003D4D89" w:rsidP="00542FF4">
      <w:pPr>
        <w:pStyle w:val="BodyText"/>
        <w:widowControl/>
        <w:autoSpaceDE/>
        <w:autoSpaceDN/>
        <w:adjustRightInd/>
        <w:ind w:firstLine="360"/>
        <w:rPr>
          <w:lang w:val="en-GB"/>
        </w:rPr>
      </w:pPr>
      <w:r w:rsidRPr="00571974">
        <w:rPr>
          <w:lang w:val="en-GB"/>
        </w:rPr>
        <w:t>This section provides background information, a business overview, information related to strategy and</w:t>
      </w:r>
      <w:r w:rsidR="00B70554" w:rsidRPr="00571974">
        <w:rPr>
          <w:lang w:val="en-GB"/>
        </w:rPr>
        <w:t xml:space="preserve"> </w:t>
      </w:r>
      <w:r w:rsidRPr="00571974">
        <w:rPr>
          <w:lang w:val="en-GB"/>
        </w:rPr>
        <w:t>business development and any significant growth or restructuring projects for each segment.</w:t>
      </w:r>
    </w:p>
    <w:p w14:paraId="258BE563" w14:textId="77777777" w:rsidR="00542FF4" w:rsidRPr="00571974" w:rsidRDefault="003D4D89" w:rsidP="007B1404">
      <w:pPr>
        <w:pStyle w:val="Heading3"/>
        <w:rPr>
          <w:lang w:val="en-GB"/>
        </w:rPr>
      </w:pPr>
      <w:r w:rsidRPr="00571974">
        <w:rPr>
          <w:lang w:val="en-GB"/>
        </w:rPr>
        <w:t>De Beers</w:t>
      </w:r>
    </w:p>
    <w:p w14:paraId="02EBD2A5" w14:textId="77777777" w:rsidR="00542FF4" w:rsidRPr="00571974" w:rsidRDefault="003D4D89" w:rsidP="00EA3F32">
      <w:pPr>
        <w:pStyle w:val="Heading4"/>
      </w:pPr>
      <w:r w:rsidRPr="00571974">
        <w:t>Business Overview</w:t>
      </w:r>
    </w:p>
    <w:p w14:paraId="2BFCC8F4" w14:textId="53792C38" w:rsidR="007A4248" w:rsidRPr="00571974" w:rsidRDefault="003D4D89" w:rsidP="008E2DF0">
      <w:pPr>
        <w:pStyle w:val="BodyText"/>
        <w:widowControl/>
        <w:autoSpaceDE/>
        <w:autoSpaceDN/>
        <w:adjustRightInd/>
        <w:ind w:firstLine="360"/>
        <w:rPr>
          <w:lang w:val="en-GB"/>
        </w:rPr>
      </w:pPr>
      <w:r w:rsidRPr="00571974">
        <w:rPr>
          <w:lang w:val="en-GB"/>
        </w:rPr>
        <w:t>De Beers is the world</w:t>
      </w:r>
      <w:r w:rsidR="00A311D8">
        <w:rPr>
          <w:lang w:val="en-GB"/>
        </w:rPr>
        <w:t>’</w:t>
      </w:r>
      <w:r w:rsidRPr="00571974">
        <w:rPr>
          <w:lang w:val="en-GB"/>
        </w:rPr>
        <w:t xml:space="preserve">s leading diamond company, </w:t>
      </w:r>
      <w:r w:rsidR="00CD3989" w:rsidRPr="00571974">
        <w:rPr>
          <w:lang w:val="en-GB"/>
        </w:rPr>
        <w:t xml:space="preserve">accounting for </w:t>
      </w:r>
      <w:r w:rsidRPr="00571974">
        <w:rPr>
          <w:lang w:val="en-GB"/>
        </w:rPr>
        <w:t>approximately one third of the world</w:t>
      </w:r>
      <w:r w:rsidR="00A311D8">
        <w:rPr>
          <w:lang w:val="en-GB"/>
        </w:rPr>
        <w:t>’</w:t>
      </w:r>
      <w:r w:rsidRPr="00571974">
        <w:rPr>
          <w:lang w:val="en-GB"/>
        </w:rPr>
        <w:t xml:space="preserve">s rough diamond supply by value. </w:t>
      </w:r>
      <w:r w:rsidR="00041312" w:rsidRPr="00571974">
        <w:rPr>
          <w:lang w:val="en-GB"/>
        </w:rPr>
        <w:t>De Beers recovers diamonds from four countries: Botswana, Canada, Namibia and South Africa.</w:t>
      </w:r>
    </w:p>
    <w:p w14:paraId="1BB5F749" w14:textId="48F966D2" w:rsidR="004B1480" w:rsidRPr="00571974" w:rsidRDefault="003D4D89" w:rsidP="000E4543">
      <w:pPr>
        <w:pStyle w:val="BodyText"/>
        <w:widowControl/>
        <w:autoSpaceDE/>
        <w:autoSpaceDN/>
        <w:adjustRightInd/>
        <w:ind w:firstLine="360"/>
        <w:rPr>
          <w:lang w:val="en-GB"/>
        </w:rPr>
      </w:pPr>
      <w:r w:rsidRPr="00571974">
        <w:rPr>
          <w:lang w:val="en-GB"/>
        </w:rPr>
        <w:t xml:space="preserve">De Beers sells the majority of its rough diamonds through 10 Sight sales each year to term contract Sightholders and Accredited Buyers. It </w:t>
      </w:r>
      <w:r w:rsidR="00D32436">
        <w:rPr>
          <w:lang w:val="en-GB"/>
        </w:rPr>
        <w:t xml:space="preserve">markets and </w:t>
      </w:r>
      <w:r w:rsidRPr="00571974">
        <w:rPr>
          <w:lang w:val="en-GB"/>
        </w:rPr>
        <w:t xml:space="preserve">sells polished diamonds and diamond jewellery via its Forevermark™ and De Beers Jewellers businesses. </w:t>
      </w:r>
      <w:r w:rsidR="00663418" w:rsidRPr="00663418">
        <w:rPr>
          <w:lang w:val="en-GB"/>
        </w:rPr>
        <w:t>On March 30, 2020, we announced that, due to the public health restrictions relating to COVID-19 on the movement of people and product in Botswana, South Africa and India, which prohibit customers from travelling and prevent the shipment of goods to customers’ international operations, De Beers will not hold its third Sight of 2020. De Beers is enabling Sightholders to defer 100% of their Sight 3 allocations to later in the year, and will continue to seek innovative ways to meet Sightholders’ rough diamond supply needs.</w:t>
      </w:r>
    </w:p>
    <w:p w14:paraId="2EDC704E" w14:textId="0B527C62" w:rsidR="004B1480" w:rsidRPr="00571974" w:rsidRDefault="003D4D89" w:rsidP="000E4543">
      <w:pPr>
        <w:pStyle w:val="BodyText"/>
        <w:widowControl/>
        <w:autoSpaceDE/>
        <w:autoSpaceDN/>
        <w:adjustRightInd/>
        <w:ind w:firstLine="360"/>
        <w:rPr>
          <w:lang w:val="en-GB"/>
        </w:rPr>
      </w:pPr>
      <w:r w:rsidRPr="00571974">
        <w:rPr>
          <w:lang w:val="en-GB"/>
        </w:rPr>
        <w:t>In Botswana, via a 50:50 joint venture with the Government of the Republic of Botswana (</w:t>
      </w:r>
      <w:r w:rsidR="00A311D8">
        <w:rPr>
          <w:lang w:val="en-GB"/>
        </w:rPr>
        <w:t>“</w:t>
      </w:r>
      <w:r w:rsidRPr="00571974">
        <w:rPr>
          <w:lang w:val="en-GB"/>
        </w:rPr>
        <w:t>GRB</w:t>
      </w:r>
      <w:r w:rsidR="00A311D8">
        <w:rPr>
          <w:lang w:val="en-GB"/>
        </w:rPr>
        <w:t>”</w:t>
      </w:r>
      <w:r w:rsidRPr="00571974">
        <w:rPr>
          <w:lang w:val="en-GB"/>
        </w:rPr>
        <w:t>) known as Debswana Diamond Company (Proprietary) Limited (</w:t>
      </w:r>
      <w:r w:rsidR="00A311D8">
        <w:rPr>
          <w:lang w:val="en-GB"/>
        </w:rPr>
        <w:t>“</w:t>
      </w:r>
      <w:r w:rsidRPr="00571974">
        <w:rPr>
          <w:lang w:val="en-GB"/>
        </w:rPr>
        <w:t>Debswana</w:t>
      </w:r>
      <w:r w:rsidR="00A311D8">
        <w:rPr>
          <w:lang w:val="en-GB"/>
        </w:rPr>
        <w:t>”</w:t>
      </w:r>
      <w:r w:rsidRPr="00571974">
        <w:rPr>
          <w:lang w:val="en-GB"/>
        </w:rPr>
        <w:t>)</w:t>
      </w:r>
      <w:r w:rsidR="00565AA3">
        <w:rPr>
          <w:lang w:val="en-GB"/>
        </w:rPr>
        <w:t>,</w:t>
      </w:r>
      <w:r w:rsidRPr="00571974">
        <w:rPr>
          <w:lang w:val="en-GB"/>
        </w:rPr>
        <w:t xml:space="preserve"> the company recovers diamonds from four mines</w:t>
      </w:r>
      <w:r w:rsidR="00041312" w:rsidRPr="00571974">
        <w:rPr>
          <w:lang w:val="en-GB"/>
        </w:rPr>
        <w:t xml:space="preserve">; Jwaneng, Orapa, Letlhakane and Damtshaa. </w:t>
      </w:r>
      <w:r w:rsidRPr="00571974">
        <w:rPr>
          <w:lang w:val="en-GB"/>
        </w:rPr>
        <w:t>Jwaneng</w:t>
      </w:r>
      <w:r w:rsidR="00041312" w:rsidRPr="00571974">
        <w:rPr>
          <w:lang w:val="en-GB"/>
        </w:rPr>
        <w:t xml:space="preserve"> is</w:t>
      </w:r>
      <w:r w:rsidRPr="00571974">
        <w:rPr>
          <w:lang w:val="en-GB"/>
        </w:rPr>
        <w:t xml:space="preserve"> one of the world</w:t>
      </w:r>
      <w:r w:rsidR="00A311D8">
        <w:rPr>
          <w:lang w:val="en-GB"/>
        </w:rPr>
        <w:t>’</w:t>
      </w:r>
      <w:r w:rsidRPr="00571974">
        <w:rPr>
          <w:lang w:val="en-GB"/>
        </w:rPr>
        <w:t>s richest diamond mines by value. The mine</w:t>
      </w:r>
      <w:r w:rsidR="00A311D8">
        <w:rPr>
          <w:lang w:val="en-GB"/>
        </w:rPr>
        <w:t>’</w:t>
      </w:r>
      <w:r w:rsidRPr="00571974">
        <w:rPr>
          <w:lang w:val="en-GB"/>
        </w:rPr>
        <w:t>s high-grade ore contributes between 60-70% of Debswana</w:t>
      </w:r>
      <w:r w:rsidR="00A311D8">
        <w:rPr>
          <w:lang w:val="en-GB"/>
        </w:rPr>
        <w:t>’</w:t>
      </w:r>
      <w:r w:rsidRPr="00571974">
        <w:rPr>
          <w:lang w:val="en-GB"/>
        </w:rPr>
        <w:t xml:space="preserve">s revenue. The </w:t>
      </w:r>
      <w:r w:rsidR="00A76A21">
        <w:rPr>
          <w:lang w:val="en-GB"/>
        </w:rPr>
        <w:t>US</w:t>
      </w:r>
      <w:r w:rsidRPr="00571974">
        <w:rPr>
          <w:lang w:val="en-GB"/>
        </w:rPr>
        <w:t xml:space="preserve">$2 billion </w:t>
      </w:r>
      <w:r w:rsidR="00A311D8">
        <w:rPr>
          <w:lang w:val="en-GB"/>
        </w:rPr>
        <w:t>‘</w:t>
      </w:r>
      <w:r w:rsidRPr="00571974">
        <w:rPr>
          <w:lang w:val="en-GB"/>
        </w:rPr>
        <w:t>Cut-9</w:t>
      </w:r>
      <w:r w:rsidR="00A311D8">
        <w:rPr>
          <w:lang w:val="en-GB"/>
        </w:rPr>
        <w:t>’</w:t>
      </w:r>
      <w:r w:rsidRPr="00571974">
        <w:rPr>
          <w:lang w:val="en-GB"/>
        </w:rPr>
        <w:t xml:space="preserve"> expansion of Jwaneng </w:t>
      </w:r>
      <w:r w:rsidR="00BB253D" w:rsidRPr="00571974">
        <w:rPr>
          <w:lang w:val="en-GB"/>
        </w:rPr>
        <w:t>is e</w:t>
      </w:r>
      <w:r w:rsidR="0047454D" w:rsidRPr="00571974">
        <w:rPr>
          <w:lang w:val="en-GB"/>
        </w:rPr>
        <w:t>x</w:t>
      </w:r>
      <w:r w:rsidR="00BB253D" w:rsidRPr="00571974">
        <w:rPr>
          <w:lang w:val="en-GB"/>
        </w:rPr>
        <w:t xml:space="preserve">pected to </w:t>
      </w:r>
      <w:r w:rsidRPr="00571974">
        <w:rPr>
          <w:lang w:val="en-GB"/>
        </w:rPr>
        <w:t>extend the life of the mine to 2035 and is expected to yield an estimated 53 million carats of rough diamonds from approximately 44 million tonnes of treated material.</w:t>
      </w:r>
      <w:r w:rsidR="00565AA3">
        <w:rPr>
          <w:lang w:val="en-GB"/>
        </w:rPr>
        <w:t xml:space="preserve"> The sales agreement for the sale of the majority of Debswana</w:t>
      </w:r>
      <w:r w:rsidR="00A311D8">
        <w:rPr>
          <w:lang w:val="en-GB"/>
        </w:rPr>
        <w:t>’</w:t>
      </w:r>
      <w:r w:rsidR="00565AA3">
        <w:rPr>
          <w:lang w:val="en-GB"/>
        </w:rPr>
        <w:t xml:space="preserve">s production to De Beers </w:t>
      </w:r>
      <w:r w:rsidR="00574FF3">
        <w:rPr>
          <w:lang w:val="en-GB"/>
        </w:rPr>
        <w:t xml:space="preserve">expires </w:t>
      </w:r>
      <w:r w:rsidR="00565AA3">
        <w:rPr>
          <w:lang w:val="en-GB"/>
        </w:rPr>
        <w:t>in December 2020. A new sales agreement is currentl</w:t>
      </w:r>
      <w:r w:rsidR="0067587D">
        <w:rPr>
          <w:lang w:val="en-GB"/>
        </w:rPr>
        <w:t>y</w:t>
      </w:r>
      <w:r w:rsidR="00565AA3">
        <w:rPr>
          <w:lang w:val="en-GB"/>
        </w:rPr>
        <w:t xml:space="preserve"> being negotiated between GRB and De Beers.</w:t>
      </w:r>
    </w:p>
    <w:p w14:paraId="59CD306F" w14:textId="5547A436" w:rsidR="00016625" w:rsidRPr="00571974" w:rsidRDefault="003D4D89" w:rsidP="000E4543">
      <w:pPr>
        <w:pStyle w:val="BodyText"/>
        <w:widowControl/>
        <w:autoSpaceDE/>
        <w:autoSpaceDN/>
        <w:adjustRightInd/>
        <w:ind w:firstLine="360"/>
        <w:rPr>
          <w:lang w:val="en-GB"/>
        </w:rPr>
      </w:pPr>
      <w:r w:rsidRPr="00571974">
        <w:rPr>
          <w:lang w:val="en-GB"/>
        </w:rPr>
        <w:t xml:space="preserve">In Namibia, De Beers </w:t>
      </w:r>
      <w:r w:rsidR="00565AA3">
        <w:rPr>
          <w:lang w:val="en-GB"/>
        </w:rPr>
        <w:t xml:space="preserve">has </w:t>
      </w:r>
      <w:r w:rsidR="0070515A">
        <w:rPr>
          <w:lang w:val="en-GB"/>
        </w:rPr>
        <w:t xml:space="preserve">a </w:t>
      </w:r>
      <w:r w:rsidRPr="00571974">
        <w:rPr>
          <w:lang w:val="en-GB"/>
        </w:rPr>
        <w:t>50:50</w:t>
      </w:r>
      <w:r w:rsidR="00A2515D" w:rsidRPr="00571974">
        <w:rPr>
          <w:lang w:val="en-GB"/>
        </w:rPr>
        <w:t xml:space="preserve"> </w:t>
      </w:r>
      <w:r w:rsidR="00BB253D" w:rsidRPr="00571974">
        <w:rPr>
          <w:lang w:val="en-GB"/>
        </w:rPr>
        <w:t xml:space="preserve">joint venture </w:t>
      </w:r>
      <w:r w:rsidRPr="00571974">
        <w:rPr>
          <w:lang w:val="en-GB"/>
        </w:rPr>
        <w:t>with the Government of the</w:t>
      </w:r>
      <w:r w:rsidR="00A2515D" w:rsidRPr="00571974">
        <w:rPr>
          <w:lang w:val="en-GB"/>
        </w:rPr>
        <w:t xml:space="preserve"> </w:t>
      </w:r>
      <w:r w:rsidRPr="00571974">
        <w:rPr>
          <w:lang w:val="en-GB"/>
        </w:rPr>
        <w:t>Republic of Namibia through Namdeb</w:t>
      </w:r>
      <w:r w:rsidR="00A2515D" w:rsidRPr="00571974">
        <w:rPr>
          <w:lang w:val="en-GB"/>
        </w:rPr>
        <w:t xml:space="preserve"> </w:t>
      </w:r>
      <w:r w:rsidRPr="00571974">
        <w:rPr>
          <w:lang w:val="en-GB"/>
        </w:rPr>
        <w:t xml:space="preserve">Holdings, where they recover </w:t>
      </w:r>
      <w:r w:rsidR="0047454D" w:rsidRPr="00571974">
        <w:rPr>
          <w:lang w:val="en-GB"/>
        </w:rPr>
        <w:t xml:space="preserve">both </w:t>
      </w:r>
      <w:r w:rsidR="00BB253D" w:rsidRPr="00571974">
        <w:rPr>
          <w:lang w:val="en-GB"/>
        </w:rPr>
        <w:t>land</w:t>
      </w:r>
      <w:r w:rsidR="0047454D" w:rsidRPr="00571974">
        <w:rPr>
          <w:lang w:val="en-GB"/>
        </w:rPr>
        <w:t>-</w:t>
      </w:r>
      <w:r w:rsidR="00BB253D" w:rsidRPr="00571974">
        <w:rPr>
          <w:lang w:val="en-GB"/>
        </w:rPr>
        <w:t xml:space="preserve">based </w:t>
      </w:r>
      <w:r w:rsidRPr="00571974">
        <w:rPr>
          <w:lang w:val="en-GB"/>
        </w:rPr>
        <w:t>diamonds (Namdeb) and offshore diamonds</w:t>
      </w:r>
      <w:r w:rsidR="00A2515D" w:rsidRPr="00571974">
        <w:rPr>
          <w:lang w:val="en-GB"/>
        </w:rPr>
        <w:t xml:space="preserve"> </w:t>
      </w:r>
      <w:r w:rsidRPr="00571974">
        <w:rPr>
          <w:lang w:val="en-GB"/>
        </w:rPr>
        <w:t>(Debmarine Namibia). Namibia has the richest</w:t>
      </w:r>
      <w:r w:rsidR="00A2515D" w:rsidRPr="00571974">
        <w:rPr>
          <w:lang w:val="en-GB"/>
        </w:rPr>
        <w:t xml:space="preserve"> </w:t>
      </w:r>
      <w:r w:rsidRPr="00571974">
        <w:rPr>
          <w:lang w:val="en-GB"/>
        </w:rPr>
        <w:t>known marine diamond deposits in the world,</w:t>
      </w:r>
      <w:r w:rsidR="00A2515D" w:rsidRPr="00571974">
        <w:rPr>
          <w:lang w:val="en-GB"/>
        </w:rPr>
        <w:t xml:space="preserve"> </w:t>
      </w:r>
      <w:r w:rsidRPr="00571974">
        <w:rPr>
          <w:lang w:val="en-GB"/>
        </w:rPr>
        <w:t xml:space="preserve">with </w:t>
      </w:r>
      <w:r w:rsidR="00DE1A7C">
        <w:rPr>
          <w:lang w:val="en-GB"/>
        </w:rPr>
        <w:t>D</w:t>
      </w:r>
      <w:r w:rsidR="00DE1A7C" w:rsidRPr="00571974">
        <w:rPr>
          <w:lang w:val="en-GB"/>
        </w:rPr>
        <w:t xml:space="preserve">iamond </w:t>
      </w:r>
      <w:r w:rsidR="00DE1A7C">
        <w:rPr>
          <w:lang w:val="en-GB"/>
        </w:rPr>
        <w:t>R</w:t>
      </w:r>
      <w:r w:rsidR="00DE1A7C" w:rsidRPr="00571974">
        <w:rPr>
          <w:lang w:val="en-GB"/>
        </w:rPr>
        <w:t xml:space="preserve">esources </w:t>
      </w:r>
      <w:r w:rsidRPr="00571974">
        <w:rPr>
          <w:lang w:val="en-GB"/>
        </w:rPr>
        <w:t>estimated at more</w:t>
      </w:r>
      <w:r w:rsidR="00A2515D" w:rsidRPr="00571974">
        <w:rPr>
          <w:lang w:val="en-GB"/>
        </w:rPr>
        <w:t xml:space="preserve"> </w:t>
      </w:r>
      <w:r w:rsidRPr="00571974">
        <w:rPr>
          <w:lang w:val="en-GB"/>
        </w:rPr>
        <w:t>than 80 million carats in approximately</w:t>
      </w:r>
      <w:r w:rsidR="00A2515D" w:rsidRPr="00571974">
        <w:rPr>
          <w:lang w:val="en-GB"/>
        </w:rPr>
        <w:t xml:space="preserve"> </w:t>
      </w:r>
      <w:r w:rsidRPr="00571974">
        <w:rPr>
          <w:lang w:val="en-GB"/>
        </w:rPr>
        <w:t xml:space="preserve">1.1 million </w:t>
      </w:r>
      <w:r w:rsidR="00B8735C" w:rsidRPr="00571974">
        <w:rPr>
          <w:lang w:val="en-GB"/>
        </w:rPr>
        <w:t>k</w:t>
      </w:r>
      <w:r w:rsidR="00B8735C">
        <w:rPr>
          <w:lang w:val="en-GB"/>
        </w:rPr>
        <w:t xml:space="preserve"> (</w:t>
      </w:r>
      <w:r w:rsidR="00B8735C" w:rsidRPr="00571974">
        <w:rPr>
          <w:lang w:val="en-GB"/>
        </w:rPr>
        <w:t>m</w:t>
      </w:r>
      <w:r w:rsidR="00B8735C" w:rsidRPr="007B1404">
        <w:rPr>
          <w:vertAlign w:val="superscript"/>
          <w:lang w:val="en-GB"/>
        </w:rPr>
        <w:t>2</w:t>
      </w:r>
      <w:r w:rsidR="00B8735C">
        <w:rPr>
          <w:lang w:val="en-GB"/>
        </w:rPr>
        <w:t>)</w:t>
      </w:r>
      <w:r w:rsidR="00DE1A7C">
        <w:rPr>
          <w:lang w:val="en-GB"/>
        </w:rPr>
        <w:t>.</w:t>
      </w:r>
      <w:r w:rsidRPr="00571974">
        <w:rPr>
          <w:lang w:val="en-GB"/>
        </w:rPr>
        <w:t xml:space="preserve"> Marine diamond deposits</w:t>
      </w:r>
      <w:r w:rsidR="00A2515D" w:rsidRPr="00571974">
        <w:rPr>
          <w:lang w:val="en-GB"/>
        </w:rPr>
        <w:t xml:space="preserve"> </w:t>
      </w:r>
      <w:r w:rsidRPr="00571974">
        <w:rPr>
          <w:lang w:val="en-GB"/>
        </w:rPr>
        <w:t>represent around 65% of Namdeb Holdings</w:t>
      </w:r>
      <w:r w:rsidR="00A311D8">
        <w:rPr>
          <w:lang w:val="en-GB"/>
        </w:rPr>
        <w:t>’</w:t>
      </w:r>
      <w:r w:rsidR="00A2515D" w:rsidRPr="00571974">
        <w:rPr>
          <w:lang w:val="en-GB"/>
        </w:rPr>
        <w:t xml:space="preserve"> </w:t>
      </w:r>
      <w:r w:rsidRPr="00571974">
        <w:rPr>
          <w:lang w:val="en-GB"/>
        </w:rPr>
        <w:t>total diamond production and 90% of its</w:t>
      </w:r>
      <w:r w:rsidR="00A2515D" w:rsidRPr="00571974">
        <w:rPr>
          <w:lang w:val="en-GB"/>
        </w:rPr>
        <w:t xml:space="preserve"> </w:t>
      </w:r>
      <w:r w:rsidR="0067587D">
        <w:rPr>
          <w:lang w:val="en-GB"/>
        </w:rPr>
        <w:t>d</w:t>
      </w:r>
      <w:r w:rsidRPr="00571974">
        <w:rPr>
          <w:lang w:val="en-GB"/>
        </w:rPr>
        <w:t xml:space="preserve">iamond </w:t>
      </w:r>
      <w:r w:rsidR="0067587D">
        <w:rPr>
          <w:lang w:val="en-GB"/>
        </w:rPr>
        <w:t>r</w:t>
      </w:r>
      <w:r w:rsidRPr="00571974">
        <w:rPr>
          <w:lang w:val="en-GB"/>
        </w:rPr>
        <w:t>esources. Marine diamond recovery</w:t>
      </w:r>
      <w:r w:rsidR="00A2515D" w:rsidRPr="00571974">
        <w:rPr>
          <w:lang w:val="en-GB"/>
        </w:rPr>
        <w:t xml:space="preserve"> </w:t>
      </w:r>
      <w:r w:rsidRPr="00571974">
        <w:rPr>
          <w:lang w:val="en-GB"/>
        </w:rPr>
        <w:t>produces more in annual volumes than the</w:t>
      </w:r>
      <w:r w:rsidR="00A2515D" w:rsidRPr="00571974">
        <w:rPr>
          <w:lang w:val="en-GB"/>
        </w:rPr>
        <w:t xml:space="preserve"> </w:t>
      </w:r>
      <w:r w:rsidRPr="00571974">
        <w:rPr>
          <w:lang w:val="en-GB"/>
        </w:rPr>
        <w:t>country</w:t>
      </w:r>
      <w:r w:rsidR="00A311D8">
        <w:rPr>
          <w:lang w:val="en-GB"/>
        </w:rPr>
        <w:t>’</w:t>
      </w:r>
      <w:r w:rsidRPr="00571974">
        <w:rPr>
          <w:lang w:val="en-GB"/>
        </w:rPr>
        <w:t>s land-based diamond mining.</w:t>
      </w:r>
    </w:p>
    <w:p w14:paraId="2FC7F2D5" w14:textId="740FEB6F" w:rsidR="00542FF4" w:rsidRPr="00571974" w:rsidRDefault="003D4D89" w:rsidP="000E4543">
      <w:pPr>
        <w:pStyle w:val="BodyText"/>
        <w:widowControl/>
        <w:autoSpaceDE/>
        <w:autoSpaceDN/>
        <w:adjustRightInd/>
        <w:ind w:firstLine="360"/>
        <w:rPr>
          <w:lang w:val="en-GB"/>
        </w:rPr>
      </w:pPr>
      <w:r w:rsidRPr="00571974">
        <w:rPr>
          <w:lang w:val="en-GB"/>
        </w:rPr>
        <w:t xml:space="preserve">In South Africa, De Beers Consolidated Mines </w:t>
      </w:r>
      <w:r w:rsidR="00BB253D" w:rsidRPr="00571974">
        <w:rPr>
          <w:lang w:val="en-GB"/>
        </w:rPr>
        <w:t xml:space="preserve">(in which the Group has a 74% interest) </w:t>
      </w:r>
      <w:r w:rsidRPr="00571974">
        <w:rPr>
          <w:lang w:val="en-GB"/>
        </w:rPr>
        <w:t>recovers diamonds from Venetia mine in Limpopo Province. Venetia is an open-pit mine and the country</w:t>
      </w:r>
      <w:r w:rsidR="00A311D8">
        <w:rPr>
          <w:lang w:val="en-GB"/>
        </w:rPr>
        <w:t>’</w:t>
      </w:r>
      <w:r w:rsidRPr="00571974">
        <w:rPr>
          <w:lang w:val="en-GB"/>
        </w:rPr>
        <w:t>s largest producer of diamonds, contributing 40% of the country</w:t>
      </w:r>
      <w:r w:rsidR="00A311D8">
        <w:rPr>
          <w:lang w:val="en-GB"/>
        </w:rPr>
        <w:t>’</w:t>
      </w:r>
      <w:r w:rsidRPr="00571974">
        <w:rPr>
          <w:lang w:val="en-GB"/>
        </w:rPr>
        <w:t>s annual diamond production. Open-pit mining at Venetia is likely to run until 2021 and the transition is already under way to convert to underground mining, which is expected to extend the life of the mine to 204</w:t>
      </w:r>
      <w:r w:rsidR="00AD4E55">
        <w:rPr>
          <w:lang w:val="en-GB"/>
        </w:rPr>
        <w:t>6</w:t>
      </w:r>
      <w:r w:rsidRPr="00571974">
        <w:rPr>
          <w:lang w:val="en-GB"/>
        </w:rPr>
        <w:t xml:space="preserve">. The project is expected to treat 132 million tonnes of </w:t>
      </w:r>
      <w:r w:rsidR="00727A81">
        <w:rPr>
          <w:lang w:val="en-GB"/>
        </w:rPr>
        <w:t>material</w:t>
      </w:r>
      <w:r w:rsidRPr="00571974">
        <w:rPr>
          <w:lang w:val="en-GB"/>
        </w:rPr>
        <w:t xml:space="preserve"> containing an estimated 100 million carats.</w:t>
      </w:r>
      <w:r w:rsidR="00BB253D" w:rsidRPr="00571974">
        <w:rPr>
          <w:lang w:val="en-GB"/>
        </w:rPr>
        <w:t xml:space="preserve"> </w:t>
      </w:r>
      <w:r w:rsidR="009A24F6" w:rsidRPr="00571974">
        <w:rPr>
          <w:lang w:val="en-GB"/>
        </w:rPr>
        <w:t xml:space="preserve">In </w:t>
      </w:r>
      <w:r w:rsidR="004171BD" w:rsidRPr="00571974">
        <w:rPr>
          <w:lang w:val="en-GB"/>
        </w:rPr>
        <w:t>the fou</w:t>
      </w:r>
      <w:r w:rsidR="00956F99">
        <w:rPr>
          <w:lang w:val="en-GB"/>
        </w:rPr>
        <w:t>r</w:t>
      </w:r>
      <w:r w:rsidR="004171BD" w:rsidRPr="00571974">
        <w:rPr>
          <w:lang w:val="en-GB"/>
        </w:rPr>
        <w:t>th qu</w:t>
      </w:r>
      <w:r w:rsidR="009A24F6" w:rsidRPr="00571974">
        <w:rPr>
          <w:lang w:val="en-GB"/>
        </w:rPr>
        <w:t>a</w:t>
      </w:r>
      <w:r w:rsidR="004171BD" w:rsidRPr="00571974">
        <w:rPr>
          <w:lang w:val="en-GB"/>
        </w:rPr>
        <w:t>rter of 2018</w:t>
      </w:r>
      <w:r w:rsidR="005A4202" w:rsidRPr="00571974">
        <w:rPr>
          <w:lang w:val="en-GB"/>
        </w:rPr>
        <w:t>, De Beers placed Voorspoed, owned by DBCM, on care and maintenance.</w:t>
      </w:r>
      <w:r w:rsidR="009A24F6" w:rsidRPr="00571974">
        <w:rPr>
          <w:lang w:val="en-GB"/>
        </w:rPr>
        <w:t xml:space="preserve"> </w:t>
      </w:r>
    </w:p>
    <w:p w14:paraId="24BBAD6C" w14:textId="02B22C3C" w:rsidR="00A2515D" w:rsidRPr="00571974" w:rsidRDefault="003D4D89" w:rsidP="000E4543">
      <w:pPr>
        <w:pStyle w:val="BodyText"/>
        <w:widowControl/>
        <w:autoSpaceDE/>
        <w:autoSpaceDN/>
        <w:adjustRightInd/>
        <w:ind w:firstLine="360"/>
        <w:rPr>
          <w:lang w:val="en-GB"/>
        </w:rPr>
      </w:pPr>
      <w:r w:rsidRPr="00571974">
        <w:rPr>
          <w:lang w:val="en-GB"/>
        </w:rPr>
        <w:t xml:space="preserve">In Canada, De Beers </w:t>
      </w:r>
      <w:r w:rsidR="00565AA3">
        <w:rPr>
          <w:lang w:val="en-GB"/>
        </w:rPr>
        <w:t xml:space="preserve">has a majority interest in and </w:t>
      </w:r>
      <w:r w:rsidRPr="00571974">
        <w:rPr>
          <w:lang w:val="en-GB"/>
        </w:rPr>
        <w:t>is the sole operator of Gahcho Kué mine, in the Northwest Territories, which began commercial production in 2017. The open-pit mine, with an 11-year life,</w:t>
      </w:r>
      <w:r w:rsidR="00BB253D" w:rsidRPr="00571974">
        <w:rPr>
          <w:lang w:val="en-GB"/>
        </w:rPr>
        <w:t xml:space="preserve"> is expected to</w:t>
      </w:r>
      <w:r w:rsidRPr="00571974">
        <w:rPr>
          <w:lang w:val="en-GB"/>
        </w:rPr>
        <w:t xml:space="preserve"> produce an average of 4.5 million carats a year, yielding a total of 54 million carats from approximately 33 million tonnes of </w:t>
      </w:r>
      <w:r w:rsidR="00727A81">
        <w:rPr>
          <w:lang w:val="en-GB"/>
        </w:rPr>
        <w:t>material</w:t>
      </w:r>
      <w:r w:rsidR="00727A81" w:rsidRPr="00571974">
        <w:rPr>
          <w:lang w:val="en-GB"/>
        </w:rPr>
        <w:t xml:space="preserve"> </w:t>
      </w:r>
      <w:r w:rsidRPr="00571974">
        <w:rPr>
          <w:lang w:val="en-GB"/>
        </w:rPr>
        <w:t>treated.</w:t>
      </w:r>
    </w:p>
    <w:p w14:paraId="4EF8CC1E" w14:textId="126A3580" w:rsidR="00542FF4" w:rsidRPr="00D50E60" w:rsidRDefault="003D4D89" w:rsidP="00FF1FFB">
      <w:pPr>
        <w:pStyle w:val="BodyText"/>
        <w:widowControl/>
        <w:autoSpaceDE/>
        <w:autoSpaceDN/>
        <w:adjustRightInd/>
        <w:ind w:firstLine="360"/>
        <w:rPr>
          <w:b/>
          <w:bCs/>
          <w:i/>
          <w:iCs/>
          <w:lang w:val="en-GB"/>
        </w:rPr>
      </w:pPr>
      <w:r w:rsidRPr="00571974">
        <w:rPr>
          <w:lang w:val="en-GB"/>
        </w:rPr>
        <w:t xml:space="preserve">De Beers sells rough diamonds through two distribution channels: about 90% is sold via term contract sales to </w:t>
      </w:r>
      <w:r w:rsidR="00E44754" w:rsidRPr="00571974">
        <w:rPr>
          <w:lang w:val="en-GB"/>
        </w:rPr>
        <w:t>customers</w:t>
      </w:r>
      <w:r w:rsidR="000A0130" w:rsidRPr="00571974">
        <w:rPr>
          <w:lang w:val="en-GB"/>
        </w:rPr>
        <w:t xml:space="preserve"> (known as Sightholders)</w:t>
      </w:r>
      <w:r w:rsidRPr="00571974">
        <w:rPr>
          <w:lang w:val="en-GB"/>
        </w:rPr>
        <w:t xml:space="preserve"> through De Beers Global Sightholder Sales </w:t>
      </w:r>
      <w:r w:rsidR="00ED5DC7" w:rsidRPr="00571974">
        <w:rPr>
          <w:lang w:val="en-GB"/>
        </w:rPr>
        <w:t>(</w:t>
      </w:r>
      <w:r w:rsidRPr="00571974">
        <w:rPr>
          <w:lang w:val="en-GB"/>
        </w:rPr>
        <w:t>Proprietary</w:t>
      </w:r>
      <w:r w:rsidR="00ED5DC7" w:rsidRPr="00571974">
        <w:rPr>
          <w:lang w:val="en-GB"/>
        </w:rPr>
        <w:t>)</w:t>
      </w:r>
      <w:r w:rsidRPr="00571974">
        <w:rPr>
          <w:lang w:val="en-GB"/>
        </w:rPr>
        <w:t xml:space="preserve"> Limited, based in Botswana, with the remainder being sold via regular auctions via De Beers Auction </w:t>
      </w:r>
      <w:r w:rsidR="00ED5DC7" w:rsidRPr="00571974">
        <w:rPr>
          <w:lang w:val="en-GB"/>
        </w:rPr>
        <w:t>S</w:t>
      </w:r>
      <w:r w:rsidRPr="00571974">
        <w:rPr>
          <w:lang w:val="en-GB"/>
        </w:rPr>
        <w:t xml:space="preserve">ales, based in Singapore. </w:t>
      </w:r>
      <w:r w:rsidR="008A051B" w:rsidRPr="00571974">
        <w:rPr>
          <w:lang w:val="en-GB"/>
        </w:rPr>
        <w:t xml:space="preserve">In </w:t>
      </w:r>
      <w:r w:rsidRPr="00571974">
        <w:rPr>
          <w:lang w:val="en-GB"/>
        </w:rPr>
        <w:t>2014, De Beers announced details of a new approach to its rough diamond sales contracts</w:t>
      </w:r>
      <w:r w:rsidR="0024139D" w:rsidRPr="00571974">
        <w:rPr>
          <w:lang w:val="en-GB"/>
        </w:rPr>
        <w:t xml:space="preserve"> to Sightholders (and </w:t>
      </w:r>
      <w:r w:rsidR="00456823" w:rsidRPr="00571974">
        <w:rPr>
          <w:lang w:val="en-GB"/>
        </w:rPr>
        <w:t>A</w:t>
      </w:r>
      <w:r w:rsidR="0024139D" w:rsidRPr="00571974">
        <w:rPr>
          <w:lang w:val="en-GB"/>
        </w:rPr>
        <w:t xml:space="preserve">ccredited </w:t>
      </w:r>
      <w:r w:rsidR="00456823" w:rsidRPr="00571974">
        <w:rPr>
          <w:lang w:val="en-GB"/>
        </w:rPr>
        <w:t>B</w:t>
      </w:r>
      <w:r w:rsidR="0024139D" w:rsidRPr="00571974">
        <w:rPr>
          <w:lang w:val="en-GB"/>
        </w:rPr>
        <w:t>uyers)</w:t>
      </w:r>
      <w:r w:rsidRPr="00571974">
        <w:rPr>
          <w:lang w:val="en-GB"/>
        </w:rPr>
        <w:t>. The</w:t>
      </w:r>
      <w:r w:rsidR="00456823" w:rsidRPr="00571974">
        <w:rPr>
          <w:lang w:val="en-GB"/>
        </w:rPr>
        <w:t xml:space="preserve"> current</w:t>
      </w:r>
      <w:r w:rsidRPr="00571974">
        <w:rPr>
          <w:lang w:val="en-GB"/>
        </w:rPr>
        <w:t xml:space="preserve"> contract period, which started at the end of March 2015</w:t>
      </w:r>
      <w:r w:rsidR="00A55943" w:rsidRPr="00571974">
        <w:rPr>
          <w:lang w:val="en-GB"/>
        </w:rPr>
        <w:t>,</w:t>
      </w:r>
      <w:r w:rsidR="00456823" w:rsidRPr="00571974">
        <w:rPr>
          <w:lang w:val="en-GB"/>
        </w:rPr>
        <w:t xml:space="preserve"> </w:t>
      </w:r>
      <w:r w:rsidR="005A7392">
        <w:rPr>
          <w:lang w:val="en-GB"/>
        </w:rPr>
        <w:t>terminates in</w:t>
      </w:r>
      <w:r w:rsidR="00456823" w:rsidRPr="00571974">
        <w:rPr>
          <w:lang w:val="en-GB"/>
        </w:rPr>
        <w:t xml:space="preserve"> December 2020. </w:t>
      </w:r>
      <w:r w:rsidR="00DE2F00">
        <w:rPr>
          <w:lang w:eastAsia="en-US"/>
        </w:rPr>
        <w:t xml:space="preserve">De Beers has commenced its Sightholder selection process for the rough diamond supply contract period commencing January 2021. The stages of this process are being kept under review as a result of COVID-19 and could result in changes to the currently envisaged timeframes. </w:t>
      </w:r>
      <w:r w:rsidRPr="00571974">
        <w:rPr>
          <w:lang w:val="en-GB"/>
        </w:rPr>
        <w:t xml:space="preserve">De Beers is also an equal joint venture partner in Diamond Trading Company Botswana </w:t>
      </w:r>
      <w:r w:rsidR="00520D43" w:rsidRPr="00571974">
        <w:rPr>
          <w:lang w:val="en-GB"/>
        </w:rPr>
        <w:t xml:space="preserve">(Proprietary) Limited </w:t>
      </w:r>
      <w:r w:rsidRPr="00571974">
        <w:rPr>
          <w:lang w:val="en-GB"/>
        </w:rPr>
        <w:t>and in Namibia Diamond Trading Company (Proprietary) Limited (</w:t>
      </w:r>
      <w:r w:rsidR="00A311D8">
        <w:rPr>
          <w:lang w:val="en-GB"/>
        </w:rPr>
        <w:t>“</w:t>
      </w:r>
      <w:r w:rsidRPr="00571974">
        <w:rPr>
          <w:lang w:val="en-GB"/>
        </w:rPr>
        <w:t>NDTC</w:t>
      </w:r>
      <w:r w:rsidR="00A311D8">
        <w:rPr>
          <w:lang w:val="en-GB"/>
        </w:rPr>
        <w:t>”</w:t>
      </w:r>
      <w:r w:rsidRPr="00571974">
        <w:rPr>
          <w:lang w:val="en-GB"/>
        </w:rPr>
        <w:t xml:space="preserve">) with the GRB and GRN, respectively; these local companies are engaged in sorting and valuing diamonds and also </w:t>
      </w:r>
      <w:r w:rsidR="0024139D" w:rsidRPr="00571974">
        <w:rPr>
          <w:lang w:val="en-GB"/>
        </w:rPr>
        <w:t>support De Beers</w:t>
      </w:r>
      <w:r w:rsidR="00A311D8">
        <w:rPr>
          <w:lang w:val="en-GB"/>
        </w:rPr>
        <w:t>’</w:t>
      </w:r>
      <w:r w:rsidRPr="00571974">
        <w:rPr>
          <w:lang w:val="en-GB"/>
        </w:rPr>
        <w:t xml:space="preserve"> global selling function. NDTC also sells diamonds to local Namibian based Sightholders. In South Africa, De Beers holds, via DBCM, a 74% interest in De Beers Sightholder Sales South Africa Proprietary Limited (</w:t>
      </w:r>
      <w:r w:rsidR="00A311D8">
        <w:rPr>
          <w:lang w:val="en-GB"/>
        </w:rPr>
        <w:t>“</w:t>
      </w:r>
      <w:r w:rsidRPr="00571974">
        <w:rPr>
          <w:lang w:val="en-GB"/>
        </w:rPr>
        <w:t>DBSSSA</w:t>
      </w:r>
      <w:r w:rsidR="00A311D8">
        <w:rPr>
          <w:lang w:val="en-GB"/>
        </w:rPr>
        <w:t>”</w:t>
      </w:r>
      <w:r w:rsidRPr="00571974">
        <w:rPr>
          <w:lang w:val="en-GB"/>
        </w:rPr>
        <w:t>), with the remaining 26% held by Ponahalo Holdings</w:t>
      </w:r>
      <w:r w:rsidR="00F7056E" w:rsidRPr="00571974">
        <w:rPr>
          <w:lang w:val="en-GB"/>
        </w:rPr>
        <w:t xml:space="preserve"> </w:t>
      </w:r>
      <w:r w:rsidR="00F7056E" w:rsidRPr="00571974">
        <w:rPr>
          <w:lang w:val="en-GB"/>
        </w:rPr>
        <w:lastRenderedPageBreak/>
        <w:t>(Proprietary) Limited</w:t>
      </w:r>
      <w:r w:rsidRPr="00571974">
        <w:rPr>
          <w:lang w:val="en-GB"/>
        </w:rPr>
        <w:t xml:space="preserve">. DBSSSA is engaged in sorting and valuing South African production and also </w:t>
      </w:r>
      <w:r w:rsidR="0024139D" w:rsidRPr="00571974">
        <w:rPr>
          <w:lang w:val="en-GB"/>
        </w:rPr>
        <w:t>supports De Beers</w:t>
      </w:r>
      <w:r w:rsidRPr="00571974">
        <w:rPr>
          <w:lang w:val="en-GB"/>
        </w:rPr>
        <w:t xml:space="preserve"> in the global selling function. It also sells diamonds locally to South African based Sightholders.</w:t>
      </w:r>
    </w:p>
    <w:p w14:paraId="39BB8A78" w14:textId="77777777" w:rsidR="00A2515D" w:rsidRPr="00571974" w:rsidRDefault="003D4D89" w:rsidP="000E4543">
      <w:pPr>
        <w:pStyle w:val="BodyText"/>
        <w:widowControl/>
        <w:autoSpaceDE/>
        <w:autoSpaceDN/>
        <w:adjustRightInd/>
        <w:ind w:firstLine="360"/>
        <w:rPr>
          <w:lang w:val="en-GB"/>
        </w:rPr>
      </w:pPr>
      <w:r w:rsidRPr="00571974">
        <w:rPr>
          <w:lang w:val="en-GB"/>
        </w:rPr>
        <w:t>De Beers also develops industrial super materials through Element Six, which includes the production of laboratory grown diamonds for Lightbox Jewelry. De Beers continues to offer diamond grading and testing services through De Beers Group Industry services (formerly known as International Institute of Diamond Grading &amp; Research).</w:t>
      </w:r>
    </w:p>
    <w:p w14:paraId="6ABBE2D3" w14:textId="180D5D0A" w:rsidR="00A2515D" w:rsidRPr="00571974" w:rsidRDefault="003D4D89" w:rsidP="000E4543">
      <w:pPr>
        <w:pStyle w:val="BodyText"/>
        <w:widowControl/>
        <w:autoSpaceDE/>
        <w:autoSpaceDN/>
        <w:adjustRightInd/>
        <w:ind w:firstLine="360"/>
        <w:rPr>
          <w:lang w:val="en-GB"/>
        </w:rPr>
      </w:pPr>
      <w:r w:rsidRPr="00571974">
        <w:rPr>
          <w:lang w:val="en-GB"/>
        </w:rPr>
        <w:t>Global consumer demand for diamond jewellery was broadly flat in 2019, in U</w:t>
      </w:r>
      <w:r w:rsidR="00A76A21">
        <w:rPr>
          <w:lang w:val="en-GB"/>
        </w:rPr>
        <w:t>.</w:t>
      </w:r>
      <w:r w:rsidRPr="00571974">
        <w:rPr>
          <w:lang w:val="en-GB"/>
        </w:rPr>
        <w:t>S</w:t>
      </w:r>
      <w:r w:rsidR="00A76A21">
        <w:rPr>
          <w:lang w:val="en-GB"/>
        </w:rPr>
        <w:t>.</w:t>
      </w:r>
      <w:r w:rsidRPr="00571974">
        <w:rPr>
          <w:lang w:val="en-GB"/>
        </w:rPr>
        <w:t xml:space="preserve"> dollar terms, despite the challenges of increased uncertainty around the economic outlook owing to the continued U</w:t>
      </w:r>
      <w:r w:rsidR="00A76A21">
        <w:rPr>
          <w:lang w:val="en-GB"/>
        </w:rPr>
        <w:t>.</w:t>
      </w:r>
      <w:r w:rsidRPr="00571974">
        <w:rPr>
          <w:lang w:val="en-GB"/>
        </w:rPr>
        <w:t>S</w:t>
      </w:r>
      <w:r w:rsidR="00A76A21">
        <w:rPr>
          <w:lang w:val="en-GB"/>
        </w:rPr>
        <w:t>.</w:t>
      </w:r>
      <w:r w:rsidRPr="00571974">
        <w:rPr>
          <w:lang w:val="en-GB"/>
        </w:rPr>
        <w:t>-China trade tensions, as well as the impact of the Hong</w:t>
      </w:r>
      <w:r w:rsidR="00A76A21">
        <w:rPr>
          <w:lang w:val="en-GB"/>
        </w:rPr>
        <w:t xml:space="preserve"> </w:t>
      </w:r>
      <w:r w:rsidRPr="00571974">
        <w:rPr>
          <w:lang w:val="en-GB"/>
        </w:rPr>
        <w:t>Kong protests and certain macroeconomic issues affecting consumer confidence in India. Demand in the U</w:t>
      </w:r>
      <w:r w:rsidR="00A76A21">
        <w:rPr>
          <w:lang w:val="en-GB"/>
        </w:rPr>
        <w:t>.</w:t>
      </w:r>
      <w:r w:rsidRPr="00571974">
        <w:rPr>
          <w:lang w:val="en-GB"/>
        </w:rPr>
        <w:t>S</w:t>
      </w:r>
      <w:r w:rsidR="00A76A21">
        <w:rPr>
          <w:lang w:val="en-GB"/>
        </w:rPr>
        <w:t>.</w:t>
      </w:r>
      <w:r w:rsidRPr="00571974">
        <w:rPr>
          <w:lang w:val="en-GB"/>
        </w:rPr>
        <w:t xml:space="preserve"> remained reasonably strong, but growth in local currency terms in China and Japan was offset by the strength of the U</w:t>
      </w:r>
      <w:r w:rsidR="00A76A21">
        <w:rPr>
          <w:lang w:val="en-GB"/>
        </w:rPr>
        <w:t>.</w:t>
      </w:r>
      <w:r w:rsidRPr="00571974">
        <w:rPr>
          <w:lang w:val="en-GB"/>
        </w:rPr>
        <w:t>S</w:t>
      </w:r>
      <w:r w:rsidR="00A76A21">
        <w:rPr>
          <w:lang w:val="en-GB"/>
        </w:rPr>
        <w:t>.</w:t>
      </w:r>
      <w:r w:rsidRPr="00571974">
        <w:rPr>
          <w:lang w:val="en-GB"/>
        </w:rPr>
        <w:t xml:space="preserve"> dollar, while demand from India and the Gulf declined.</w:t>
      </w:r>
    </w:p>
    <w:p w14:paraId="44F9B290" w14:textId="77777777" w:rsidR="008E2DF0" w:rsidRPr="00571974" w:rsidRDefault="003D4D89" w:rsidP="00EA3F32">
      <w:pPr>
        <w:pStyle w:val="Heading4"/>
      </w:pPr>
      <w:r w:rsidRPr="00571974">
        <w:t xml:space="preserve">Significant Transactions and Restructuring </w:t>
      </w:r>
    </w:p>
    <w:p w14:paraId="3A440618" w14:textId="77777777" w:rsidR="00A113A1" w:rsidRPr="00571974" w:rsidRDefault="003D4D89" w:rsidP="00A113A1">
      <w:pPr>
        <w:pStyle w:val="BodyText"/>
        <w:widowControl/>
        <w:autoSpaceDE/>
        <w:autoSpaceDN/>
        <w:adjustRightInd/>
        <w:ind w:firstLine="360"/>
        <w:rPr>
          <w:i/>
          <w:color w:val="000000"/>
          <w:lang w:val="en-GB"/>
        </w:rPr>
      </w:pPr>
      <w:r w:rsidRPr="00571974">
        <w:rPr>
          <w:i/>
          <w:color w:val="000000"/>
          <w:lang w:val="en-GB"/>
        </w:rPr>
        <w:t xml:space="preserve">Snap Lake </w:t>
      </w:r>
    </w:p>
    <w:p w14:paraId="68536DB3" w14:textId="0EA17968" w:rsidR="0068585A" w:rsidRPr="00571974" w:rsidRDefault="0068585A" w:rsidP="0068585A">
      <w:pPr>
        <w:pStyle w:val="BodyText"/>
        <w:widowControl/>
        <w:autoSpaceDE/>
        <w:autoSpaceDN/>
        <w:adjustRightInd/>
        <w:ind w:firstLine="360"/>
        <w:rPr>
          <w:color w:val="000000" w:themeColor="text1"/>
          <w:lang w:val="en-GB"/>
        </w:rPr>
      </w:pPr>
      <w:r w:rsidRPr="00571974">
        <w:rPr>
          <w:color w:val="000000" w:themeColor="text1"/>
          <w:lang w:val="en-GB"/>
        </w:rPr>
        <w:t>Snap Lake was put on extended care and maintenance in December 2015, following a review of the mine</w:t>
      </w:r>
      <w:r w:rsidR="00A311D8">
        <w:rPr>
          <w:color w:val="000000" w:themeColor="text1"/>
          <w:lang w:val="en-GB"/>
        </w:rPr>
        <w:t>’</w:t>
      </w:r>
      <w:r w:rsidRPr="00571974">
        <w:rPr>
          <w:color w:val="000000" w:themeColor="text1"/>
          <w:lang w:val="en-GB"/>
        </w:rPr>
        <w:t>s operation in light of market conditions</w:t>
      </w:r>
      <w:r>
        <w:rPr>
          <w:color w:val="000000" w:themeColor="text1"/>
          <w:lang w:val="en-GB"/>
        </w:rPr>
        <w:t>. Following the flood</w:t>
      </w:r>
      <w:r w:rsidR="0067587D">
        <w:rPr>
          <w:color w:val="000000" w:themeColor="text1"/>
          <w:lang w:val="en-GB"/>
        </w:rPr>
        <w:t>ing</w:t>
      </w:r>
      <w:r>
        <w:rPr>
          <w:color w:val="000000" w:themeColor="text1"/>
          <w:lang w:val="en-GB"/>
        </w:rPr>
        <w:t xml:space="preserve"> of the underground works in January 2017, Snap Lake continues to be in a state of care and maintenance</w:t>
      </w:r>
      <w:r w:rsidR="00E63777">
        <w:rPr>
          <w:color w:val="000000" w:themeColor="text1"/>
          <w:lang w:val="en-GB"/>
        </w:rPr>
        <w:t>.</w:t>
      </w:r>
      <w:r w:rsidRPr="00571974">
        <w:rPr>
          <w:color w:val="000000" w:themeColor="text1"/>
          <w:lang w:val="en-GB"/>
        </w:rPr>
        <w:t xml:space="preserve"> </w:t>
      </w:r>
    </w:p>
    <w:p w14:paraId="52EF9ED8" w14:textId="77777777" w:rsidR="00654BFC" w:rsidRPr="00571974" w:rsidRDefault="003D4D89" w:rsidP="00654BFC">
      <w:pPr>
        <w:pStyle w:val="BodyText"/>
        <w:widowControl/>
        <w:autoSpaceDE/>
        <w:autoSpaceDN/>
        <w:adjustRightInd/>
        <w:ind w:firstLine="360"/>
        <w:rPr>
          <w:i/>
          <w:color w:val="000000"/>
          <w:lang w:val="en-GB"/>
        </w:rPr>
      </w:pPr>
      <w:r w:rsidRPr="00571974">
        <w:rPr>
          <w:i/>
          <w:color w:val="000000"/>
          <w:lang w:val="en-GB"/>
        </w:rPr>
        <w:t xml:space="preserve">Acquisition of remaining 50% interest in De Beers Jewellers </w:t>
      </w:r>
    </w:p>
    <w:p w14:paraId="4DADAB7F" w14:textId="23F97D00" w:rsidR="00654BFC" w:rsidRPr="00571974" w:rsidRDefault="003D4D89" w:rsidP="00654BFC">
      <w:pPr>
        <w:pStyle w:val="BodyText"/>
        <w:widowControl/>
        <w:autoSpaceDE/>
        <w:autoSpaceDN/>
        <w:adjustRightInd/>
        <w:ind w:firstLine="360"/>
        <w:rPr>
          <w:color w:val="000000"/>
          <w:lang w:val="en-GB"/>
        </w:rPr>
      </w:pPr>
      <w:r w:rsidRPr="00571974">
        <w:rPr>
          <w:color w:val="000000"/>
          <w:lang w:val="en-GB"/>
        </w:rPr>
        <w:t>In March 2017, De Beers acquired LVMH Moët Hennessy Louis Vuitton</w:t>
      </w:r>
      <w:r w:rsidR="00A311D8">
        <w:rPr>
          <w:color w:val="000000"/>
          <w:lang w:val="en-GB"/>
        </w:rPr>
        <w:t>’</w:t>
      </w:r>
      <w:r w:rsidRPr="00571974">
        <w:rPr>
          <w:color w:val="000000"/>
          <w:lang w:val="en-GB"/>
        </w:rPr>
        <w:t xml:space="preserve">s 50% shareholding in De Beers Jewellers, </w:t>
      </w:r>
      <w:r w:rsidR="009A24F6" w:rsidRPr="00571974">
        <w:rPr>
          <w:color w:val="000000"/>
          <w:lang w:val="en-GB"/>
        </w:rPr>
        <w:t xml:space="preserve">rendering </w:t>
      </w:r>
      <w:r w:rsidRPr="00571974">
        <w:rPr>
          <w:color w:val="000000"/>
          <w:lang w:val="en-GB"/>
        </w:rPr>
        <w:t xml:space="preserve">De Beers Jewellers </w:t>
      </w:r>
      <w:r w:rsidR="009A24F6" w:rsidRPr="00571974">
        <w:rPr>
          <w:color w:val="000000"/>
          <w:lang w:val="en-GB"/>
        </w:rPr>
        <w:t xml:space="preserve">a </w:t>
      </w:r>
      <w:r w:rsidRPr="00571974">
        <w:rPr>
          <w:color w:val="000000"/>
          <w:lang w:val="en-GB"/>
        </w:rPr>
        <w:t>100%</w:t>
      </w:r>
      <w:r w:rsidR="009A24F6" w:rsidRPr="00571974">
        <w:rPr>
          <w:color w:val="000000"/>
          <w:lang w:val="en-GB"/>
        </w:rPr>
        <w:t xml:space="preserve"> owned subsidiary of De Beers</w:t>
      </w:r>
      <w:r w:rsidRPr="00571974">
        <w:rPr>
          <w:color w:val="000000"/>
          <w:lang w:val="en-GB"/>
        </w:rPr>
        <w:t>.</w:t>
      </w:r>
    </w:p>
    <w:p w14:paraId="1A98F79D" w14:textId="77777777" w:rsidR="009A24F6" w:rsidRPr="00571974" w:rsidRDefault="003D4D89" w:rsidP="009A24F6">
      <w:pPr>
        <w:pStyle w:val="BodyText"/>
        <w:widowControl/>
        <w:autoSpaceDE/>
        <w:autoSpaceDN/>
        <w:adjustRightInd/>
        <w:ind w:firstLine="360"/>
        <w:rPr>
          <w:i/>
          <w:color w:val="000000"/>
          <w:lang w:val="en-GB"/>
        </w:rPr>
      </w:pPr>
      <w:r w:rsidRPr="00571974">
        <w:rPr>
          <w:i/>
          <w:color w:val="000000"/>
          <w:lang w:val="en-GB"/>
        </w:rPr>
        <w:t xml:space="preserve">Voorspoed mine </w:t>
      </w:r>
    </w:p>
    <w:p w14:paraId="62C4ED12" w14:textId="77777777" w:rsidR="008356A4" w:rsidRDefault="0068585A" w:rsidP="00D75C51">
      <w:pPr>
        <w:pStyle w:val="BodyText"/>
        <w:widowControl/>
        <w:autoSpaceDE/>
        <w:autoSpaceDN/>
        <w:adjustRightInd/>
        <w:ind w:firstLine="360"/>
        <w:rPr>
          <w:color w:val="000000" w:themeColor="text1"/>
          <w:lang w:val="en-GB"/>
        </w:rPr>
      </w:pPr>
      <w:r w:rsidRPr="001410E8">
        <w:rPr>
          <w:color w:val="000000" w:themeColor="text1"/>
          <w:lang w:val="en-GB"/>
        </w:rPr>
        <w:t xml:space="preserve">Voorspoed </w:t>
      </w:r>
      <w:r w:rsidRPr="00571974">
        <w:rPr>
          <w:color w:val="000000" w:themeColor="text1"/>
          <w:lang w:val="en-GB"/>
        </w:rPr>
        <w:t>mine, owned by DBCM,</w:t>
      </w:r>
      <w:r>
        <w:rPr>
          <w:color w:val="000000" w:themeColor="text1"/>
          <w:lang w:val="en-GB"/>
        </w:rPr>
        <w:t xml:space="preserve"> </w:t>
      </w:r>
      <w:r w:rsidRPr="001410E8">
        <w:rPr>
          <w:color w:val="000000" w:themeColor="text1"/>
          <w:lang w:val="en-GB"/>
        </w:rPr>
        <w:t>was placed on care and maintenance in December 2018.</w:t>
      </w:r>
    </w:p>
    <w:p w14:paraId="67053EDE" w14:textId="22B70844" w:rsidR="00D75C51" w:rsidRPr="00571974" w:rsidRDefault="00D75C51" w:rsidP="00D75C51">
      <w:pPr>
        <w:pStyle w:val="BodyText"/>
        <w:widowControl/>
        <w:autoSpaceDE/>
        <w:autoSpaceDN/>
        <w:adjustRightInd/>
        <w:ind w:firstLine="360"/>
        <w:rPr>
          <w:i/>
          <w:color w:val="000000"/>
          <w:lang w:val="en-GB"/>
        </w:rPr>
      </w:pPr>
      <w:r w:rsidRPr="00571974">
        <w:rPr>
          <w:i/>
          <w:color w:val="000000"/>
          <w:lang w:val="en-GB"/>
        </w:rPr>
        <w:t>Acquisition of Peregrine Diamonds Ltd</w:t>
      </w:r>
    </w:p>
    <w:p w14:paraId="4F49A78F" w14:textId="4CF500EF" w:rsidR="00D75C51" w:rsidRPr="00571974" w:rsidRDefault="00D75C51" w:rsidP="00D75C51">
      <w:pPr>
        <w:pStyle w:val="BodyText"/>
        <w:widowControl/>
        <w:autoSpaceDE/>
        <w:autoSpaceDN/>
        <w:adjustRightInd/>
        <w:ind w:firstLine="360"/>
        <w:rPr>
          <w:lang w:val="en-GB"/>
        </w:rPr>
      </w:pPr>
      <w:r w:rsidRPr="00571974">
        <w:rPr>
          <w:color w:val="000000"/>
          <w:lang w:val="en-GB"/>
        </w:rPr>
        <w:t xml:space="preserve">On September 13, 2018 De Beers announced the completion of the purchase of </w:t>
      </w:r>
      <w:r w:rsidRPr="00571974">
        <w:rPr>
          <w:lang w:val="en-GB"/>
        </w:rPr>
        <w:t>Peregrine Diamonds Ltd, for a total cash consideration of CAD107 million (US$8</w:t>
      </w:r>
      <w:r w:rsidR="00E22E85">
        <w:rPr>
          <w:lang w:val="en-GB"/>
        </w:rPr>
        <w:t>7</w:t>
      </w:r>
      <w:r w:rsidRPr="00571974">
        <w:rPr>
          <w:lang w:val="en-GB"/>
        </w:rPr>
        <w:t xml:space="preserve"> million equivalent). The acquisition includes the high quality Chidliak </w:t>
      </w:r>
      <w:r w:rsidR="0067587D">
        <w:rPr>
          <w:lang w:val="en-GB"/>
        </w:rPr>
        <w:t>d</w:t>
      </w:r>
      <w:r w:rsidRPr="00571974">
        <w:rPr>
          <w:lang w:val="en-GB"/>
        </w:rPr>
        <w:t xml:space="preserve">iamond </w:t>
      </w:r>
      <w:r w:rsidR="0067587D">
        <w:rPr>
          <w:lang w:val="en-GB"/>
        </w:rPr>
        <w:t>r</w:t>
      </w:r>
      <w:r w:rsidRPr="00571974">
        <w:rPr>
          <w:lang w:val="en-GB"/>
        </w:rPr>
        <w:t>esource located in Canada</w:t>
      </w:r>
      <w:r w:rsidR="00A311D8">
        <w:rPr>
          <w:lang w:val="en-GB"/>
        </w:rPr>
        <w:t>’</w:t>
      </w:r>
      <w:r w:rsidRPr="00571974">
        <w:rPr>
          <w:lang w:val="en-GB"/>
        </w:rPr>
        <w:t>s Nunavut Territory and other properties elsewhere in Nunavut and Canada</w:t>
      </w:r>
      <w:r w:rsidR="00A311D8">
        <w:rPr>
          <w:lang w:val="en-GB"/>
        </w:rPr>
        <w:t>’</w:t>
      </w:r>
      <w:r w:rsidRPr="00571974">
        <w:rPr>
          <w:lang w:val="en-GB"/>
        </w:rPr>
        <w:t>s Northwest Territories.</w:t>
      </w:r>
    </w:p>
    <w:p w14:paraId="6514C1E3" w14:textId="77777777" w:rsidR="00D75C51" w:rsidRPr="00571974" w:rsidRDefault="00D75C51" w:rsidP="00D75C51">
      <w:pPr>
        <w:pStyle w:val="BodyText"/>
        <w:widowControl/>
        <w:autoSpaceDE/>
        <w:autoSpaceDN/>
        <w:adjustRightInd/>
        <w:ind w:firstLine="360"/>
        <w:rPr>
          <w:i/>
          <w:color w:val="000000"/>
          <w:lang w:val="en-GB"/>
        </w:rPr>
      </w:pPr>
      <w:r w:rsidRPr="00571974">
        <w:rPr>
          <w:i/>
          <w:color w:val="000000"/>
          <w:lang w:val="en-GB"/>
        </w:rPr>
        <w:t>Debmarine joint venture</w:t>
      </w:r>
    </w:p>
    <w:p w14:paraId="685F0771" w14:textId="4C7F9767" w:rsidR="00D75C51" w:rsidRPr="00571974" w:rsidRDefault="00D75C51" w:rsidP="00D75C51">
      <w:pPr>
        <w:pStyle w:val="BodyText"/>
        <w:widowControl/>
        <w:autoSpaceDE/>
        <w:autoSpaceDN/>
        <w:adjustRightInd/>
        <w:ind w:firstLine="360"/>
        <w:rPr>
          <w:lang w:val="en-GB"/>
        </w:rPr>
      </w:pPr>
      <w:r w:rsidRPr="00571974">
        <w:rPr>
          <w:lang w:val="en-GB"/>
        </w:rPr>
        <w:t xml:space="preserve">On May 16, 2019 the Group </w:t>
      </w:r>
      <w:r>
        <w:rPr>
          <w:lang w:val="en-GB"/>
        </w:rPr>
        <w:t>an</w:t>
      </w:r>
      <w:r w:rsidRPr="00571974">
        <w:rPr>
          <w:lang w:val="en-GB"/>
        </w:rPr>
        <w:t xml:space="preserve">nounced the approval by Debmarine Namibia, a 50:50 joint venture between De Beers and the Government of the Republic of Namibia, of the construction of a new custom-built diamond recovery vessel. At an </w:t>
      </w:r>
      <w:r w:rsidR="00DB197F">
        <w:rPr>
          <w:lang w:val="en-GB"/>
        </w:rPr>
        <w:t xml:space="preserve">initially </w:t>
      </w:r>
      <w:r w:rsidRPr="00571974">
        <w:rPr>
          <w:lang w:val="en-GB"/>
        </w:rPr>
        <w:t xml:space="preserve">expected total capital cost of </w:t>
      </w:r>
      <w:r>
        <w:rPr>
          <w:lang w:val="en-GB"/>
        </w:rPr>
        <w:t>US</w:t>
      </w:r>
      <w:r w:rsidRPr="00571974">
        <w:rPr>
          <w:lang w:val="en-GB"/>
        </w:rPr>
        <w:t>$468 million (</w:t>
      </w:r>
      <w:r>
        <w:rPr>
          <w:lang w:val="en-GB"/>
        </w:rPr>
        <w:t>US</w:t>
      </w:r>
      <w:r w:rsidRPr="00571974">
        <w:rPr>
          <w:lang w:val="en-GB"/>
        </w:rPr>
        <w:t>$234 million attributable to Anglo American), this new vessel will become the seventh in the Debmarine Namibia fleet</w:t>
      </w:r>
      <w:r w:rsidR="00DB197F">
        <w:rPr>
          <w:lang w:val="en-GB"/>
        </w:rPr>
        <w:t xml:space="preserve">. It was initially </w:t>
      </w:r>
      <w:r w:rsidRPr="00571974">
        <w:rPr>
          <w:lang w:val="en-GB"/>
        </w:rPr>
        <w:t>expected to begin production in 2022</w:t>
      </w:r>
      <w:r w:rsidR="00DB197F">
        <w:rPr>
          <w:lang w:val="en-GB"/>
        </w:rPr>
        <w:t>,</w:t>
      </w:r>
      <w:r w:rsidRPr="00571974">
        <w:rPr>
          <w:lang w:val="en-GB"/>
        </w:rPr>
        <w:t xml:space="preserve"> with the capacity to add 500,000 carats of annual production, a 35% increase above Debmarine Namibia</w:t>
      </w:r>
      <w:r w:rsidR="00A311D8">
        <w:rPr>
          <w:lang w:val="en-GB"/>
        </w:rPr>
        <w:t>’</w:t>
      </w:r>
      <w:r w:rsidRPr="00571974">
        <w:rPr>
          <w:lang w:val="en-GB"/>
        </w:rPr>
        <w:t>s current levels.</w:t>
      </w:r>
      <w:r w:rsidR="004D30D4">
        <w:rPr>
          <w:lang w:val="en-GB"/>
        </w:rPr>
        <w:t xml:space="preserve"> </w:t>
      </w:r>
      <w:r w:rsidR="004D30D4" w:rsidRPr="004D30D4">
        <w:rPr>
          <w:lang w:val="en-GB"/>
        </w:rPr>
        <w:t>It is not yet clear what impact COVID-19 will have on this timeline.</w:t>
      </w:r>
    </w:p>
    <w:p w14:paraId="71D32ED4" w14:textId="361E9794" w:rsidR="001923E5" w:rsidRPr="00571974" w:rsidRDefault="003D4D89" w:rsidP="00654BFC">
      <w:pPr>
        <w:pStyle w:val="BodyText"/>
        <w:widowControl/>
        <w:autoSpaceDE/>
        <w:autoSpaceDN/>
        <w:adjustRightInd/>
        <w:ind w:firstLine="360"/>
        <w:rPr>
          <w:i/>
          <w:color w:val="000000"/>
          <w:lang w:val="en-GB"/>
        </w:rPr>
      </w:pPr>
      <w:r w:rsidRPr="00571974">
        <w:rPr>
          <w:i/>
          <w:color w:val="000000"/>
          <w:lang w:val="en-GB"/>
        </w:rPr>
        <w:t>Victor mine</w:t>
      </w:r>
    </w:p>
    <w:p w14:paraId="7D38A23D" w14:textId="77777777" w:rsidR="0068585A" w:rsidRPr="00571974" w:rsidRDefault="0068585A" w:rsidP="0068585A">
      <w:pPr>
        <w:pStyle w:val="BodyText"/>
        <w:widowControl/>
        <w:autoSpaceDE/>
        <w:autoSpaceDN/>
        <w:adjustRightInd/>
        <w:ind w:firstLine="360"/>
        <w:rPr>
          <w:color w:val="000000" w:themeColor="text1"/>
          <w:lang w:val="en-GB"/>
        </w:rPr>
      </w:pPr>
      <w:r w:rsidRPr="00571974">
        <w:rPr>
          <w:color w:val="000000" w:themeColor="text1"/>
          <w:lang w:val="en-GB"/>
        </w:rPr>
        <w:t xml:space="preserve">In Canada, </w:t>
      </w:r>
      <w:r>
        <w:rPr>
          <w:color w:val="000000" w:themeColor="text1"/>
          <w:lang w:val="en-GB"/>
        </w:rPr>
        <w:t>m</w:t>
      </w:r>
      <w:r w:rsidRPr="001410E8">
        <w:rPr>
          <w:color w:val="000000" w:themeColor="text1"/>
          <w:lang w:val="en-GB"/>
        </w:rPr>
        <w:t>ining at Victor Mine ended in June 2019 with the depletion of the economically mineable reserve and the mine is now preparing for mine closure.</w:t>
      </w:r>
    </w:p>
    <w:p w14:paraId="7F45F44A" w14:textId="77777777" w:rsidR="00E81576" w:rsidRPr="00571974" w:rsidRDefault="003D4D89" w:rsidP="007B1404">
      <w:pPr>
        <w:pStyle w:val="Heading3"/>
        <w:rPr>
          <w:lang w:val="en-GB"/>
        </w:rPr>
      </w:pPr>
      <w:r w:rsidRPr="00571974">
        <w:rPr>
          <w:lang w:val="en-GB"/>
        </w:rPr>
        <w:t>Copper</w:t>
      </w:r>
    </w:p>
    <w:p w14:paraId="39B9AA3A" w14:textId="77777777" w:rsidR="00E81576" w:rsidRPr="00571974" w:rsidRDefault="003D4D89" w:rsidP="00EA3F32">
      <w:pPr>
        <w:pStyle w:val="Heading4"/>
      </w:pPr>
      <w:r w:rsidRPr="00571974">
        <w:t>Business Overview</w:t>
      </w:r>
    </w:p>
    <w:p w14:paraId="22C449EA" w14:textId="11FCF444" w:rsidR="00306CC3" w:rsidRPr="00571974" w:rsidRDefault="003D4D89" w:rsidP="00306CC3">
      <w:pPr>
        <w:pStyle w:val="BodyText"/>
        <w:widowControl/>
        <w:autoSpaceDE/>
        <w:autoSpaceDN/>
        <w:adjustRightInd/>
        <w:ind w:firstLine="360"/>
        <w:rPr>
          <w:lang w:val="en-GB"/>
        </w:rPr>
      </w:pPr>
      <w:r w:rsidRPr="00571974">
        <w:rPr>
          <w:lang w:val="en-GB"/>
        </w:rPr>
        <w:t xml:space="preserve">In Chile, we have interests in two major copper operations: a 50.1% interest in the Los Bronces mine, which we manage and operate, and a 44% </w:t>
      </w:r>
      <w:r w:rsidR="00BB253D" w:rsidRPr="00571974">
        <w:rPr>
          <w:lang w:val="en-GB"/>
        </w:rPr>
        <w:t xml:space="preserve">interest in the </w:t>
      </w:r>
      <w:r w:rsidR="00571974" w:rsidRPr="00571974">
        <w:rPr>
          <w:lang w:val="en-GB"/>
        </w:rPr>
        <w:t>independently</w:t>
      </w:r>
      <w:r w:rsidR="00BB253D" w:rsidRPr="00571974">
        <w:rPr>
          <w:lang w:val="en-GB"/>
        </w:rPr>
        <w:t xml:space="preserve"> managed Collahuasi joint venture</w:t>
      </w:r>
      <w:r w:rsidRPr="00571974">
        <w:rPr>
          <w:lang w:val="en-GB"/>
        </w:rPr>
        <w:t>; we also manage and operate the El Soldado mine and Chagres smelter (50.1% interest in both). In Peru, we have a 60% interest in the Quellaveco project</w:t>
      </w:r>
      <w:r w:rsidR="008F71FE">
        <w:rPr>
          <w:lang w:val="en-GB"/>
        </w:rPr>
        <w:t xml:space="preserve">, which was approved </w:t>
      </w:r>
      <w:r w:rsidRPr="00571974">
        <w:rPr>
          <w:lang w:val="en-GB"/>
        </w:rPr>
        <w:t xml:space="preserve">for development in mid-2018. During the first 10 years, production is expected to average 300,000 tonnes of copper equivalent per year, with a first quartile cash cost of 105 c/lb. The Group also has a future potential project, the polymetallic Sakatti deposit in Finland. </w:t>
      </w:r>
    </w:p>
    <w:p w14:paraId="5F545D7D" w14:textId="24E26466" w:rsidR="00E81576" w:rsidRPr="00571974" w:rsidRDefault="003D4D89" w:rsidP="000E4543">
      <w:pPr>
        <w:pStyle w:val="BodyText"/>
        <w:widowControl/>
        <w:autoSpaceDE/>
        <w:autoSpaceDN/>
        <w:adjustRightInd/>
        <w:ind w:firstLine="360"/>
        <w:rPr>
          <w:lang w:val="en-GB"/>
        </w:rPr>
      </w:pPr>
      <w:r w:rsidRPr="00571974">
        <w:rPr>
          <w:lang w:val="en-GB"/>
        </w:rPr>
        <w:t>The average LME cash copper price in 2019 was 8% lower at 272 c/lb (2018: 296 c/lb). Trade tensions between the U</w:t>
      </w:r>
      <w:r w:rsidR="00A76A21">
        <w:rPr>
          <w:lang w:val="en-GB"/>
        </w:rPr>
        <w:t>.</w:t>
      </w:r>
      <w:r w:rsidRPr="00571974">
        <w:rPr>
          <w:lang w:val="en-GB"/>
        </w:rPr>
        <w:t>S</w:t>
      </w:r>
      <w:r w:rsidR="00A76A21">
        <w:rPr>
          <w:lang w:val="en-GB"/>
        </w:rPr>
        <w:t>.</w:t>
      </w:r>
      <w:r w:rsidRPr="00571974">
        <w:rPr>
          <w:lang w:val="en-GB"/>
        </w:rPr>
        <w:t xml:space="preserve"> and China and measures to restrict shadow lending by the Chinese authorities contributed to slower economic growth in China, adversely affecting key copper-consuming sectors. As a result, investors were risk </w:t>
      </w:r>
      <w:r w:rsidRPr="00571974">
        <w:rPr>
          <w:lang w:val="en-GB"/>
        </w:rPr>
        <w:lastRenderedPageBreak/>
        <w:t>averse through most of the year and the weaker U</w:t>
      </w:r>
      <w:r w:rsidR="00A76A21">
        <w:rPr>
          <w:lang w:val="en-GB"/>
        </w:rPr>
        <w:t>.</w:t>
      </w:r>
      <w:r w:rsidRPr="00571974">
        <w:rPr>
          <w:lang w:val="en-GB"/>
        </w:rPr>
        <w:t>S</w:t>
      </w:r>
      <w:r w:rsidR="00A76A21">
        <w:rPr>
          <w:lang w:val="en-GB"/>
        </w:rPr>
        <w:t>.</w:t>
      </w:r>
      <w:r w:rsidRPr="00571974">
        <w:rPr>
          <w:lang w:val="en-GB"/>
        </w:rPr>
        <w:t xml:space="preserve"> dollar/Chinese renminbi exchange rate also put pressure on the copper price. However, a decrease in reported warehouse stocks and stagnant growth in global copper mine supply provided some support, reflected in lower smelter treatment charges owing to tightening copper concentrate supplies.</w:t>
      </w:r>
    </w:p>
    <w:p w14:paraId="42936930" w14:textId="77777777" w:rsidR="00E81576" w:rsidRPr="00571974" w:rsidRDefault="003D4D89" w:rsidP="00EA3F32">
      <w:pPr>
        <w:pStyle w:val="Heading4"/>
      </w:pPr>
      <w:r w:rsidRPr="00571974">
        <w:t>Significant Transactions and Restructuring</w:t>
      </w:r>
    </w:p>
    <w:p w14:paraId="2C373C0B" w14:textId="46ADFF58" w:rsidR="003A3836" w:rsidRDefault="003D4D89" w:rsidP="000E4543">
      <w:pPr>
        <w:pStyle w:val="BodyText"/>
        <w:widowControl/>
        <w:autoSpaceDE/>
        <w:autoSpaceDN/>
        <w:adjustRightInd/>
        <w:ind w:firstLine="360"/>
        <w:rPr>
          <w:lang w:val="en-GB"/>
        </w:rPr>
      </w:pPr>
      <w:bookmarkStart w:id="54" w:name="_Hlk32227701"/>
      <w:r w:rsidRPr="00571974">
        <w:rPr>
          <w:lang w:val="en-GB"/>
        </w:rPr>
        <w:t xml:space="preserve">Anglo American announced on July 26, 2018, that its Board had approved the development of the Quellaveco copper project in Peru. This follows the completion of the transaction announced in June 2018, whereby Mitsubishi increased its interest in AAQSA, which owns the Quellaveco project, to 40% via the issuance of </w:t>
      </w:r>
      <w:r w:rsidR="008634C2">
        <w:rPr>
          <w:lang w:val="en-GB"/>
        </w:rPr>
        <w:t xml:space="preserve">new </w:t>
      </w:r>
      <w:r w:rsidRPr="00571974">
        <w:rPr>
          <w:lang w:val="en-GB"/>
        </w:rPr>
        <w:t xml:space="preserve">shares. </w:t>
      </w:r>
      <w:r w:rsidR="005E3FA0">
        <w:rPr>
          <w:lang w:val="en-GB"/>
        </w:rPr>
        <w:t>A</w:t>
      </w:r>
      <w:r w:rsidR="008634C2" w:rsidRPr="008634C2">
        <w:rPr>
          <w:lang w:val="en-GB"/>
        </w:rPr>
        <w:t>s at December 31, 2019</w:t>
      </w:r>
      <w:r w:rsidR="005E3FA0" w:rsidRPr="005E3FA0">
        <w:rPr>
          <w:lang w:val="en-GB"/>
        </w:rPr>
        <w:t>, project execution at Quellaveco</w:t>
      </w:r>
      <w:r w:rsidR="008634C2" w:rsidRPr="008634C2">
        <w:rPr>
          <w:lang w:val="en-GB"/>
        </w:rPr>
        <w:t xml:space="preserve"> was </w:t>
      </w:r>
      <w:r w:rsidR="00571974" w:rsidRPr="00571974">
        <w:rPr>
          <w:lang w:val="en-GB"/>
        </w:rPr>
        <w:t>approximately</w:t>
      </w:r>
      <w:r w:rsidRPr="00571974">
        <w:rPr>
          <w:lang w:val="en-GB"/>
        </w:rPr>
        <w:t xml:space="preserve"> 40% complete, with all key milestones for 2019 </w:t>
      </w:r>
      <w:r w:rsidR="008634C2">
        <w:rPr>
          <w:lang w:val="en-GB"/>
        </w:rPr>
        <w:t>completed</w:t>
      </w:r>
      <w:r w:rsidRPr="00571974">
        <w:rPr>
          <w:lang w:val="en-GB"/>
        </w:rPr>
        <w:t xml:space="preserve"> on schedule. </w:t>
      </w:r>
    </w:p>
    <w:p w14:paraId="59FB889D" w14:textId="480E8FC2" w:rsidR="00722DD6" w:rsidRPr="00571974" w:rsidRDefault="00722DD6" w:rsidP="000E4543">
      <w:pPr>
        <w:pStyle w:val="BodyText"/>
        <w:widowControl/>
        <w:autoSpaceDE/>
        <w:autoSpaceDN/>
        <w:adjustRightInd/>
        <w:ind w:firstLine="360"/>
        <w:rPr>
          <w:lang w:val="en-GB"/>
        </w:rPr>
      </w:pPr>
      <w:r>
        <w:t>On March 17, 2020, we announced the temporary withdrawal of the majority of employees and contractors from our Quellaveco copper project, following the Government of Peru</w:t>
      </w:r>
      <w:r w:rsidR="00A311D8">
        <w:t>’</w:t>
      </w:r>
      <w:r>
        <w:t>s announcement of a</w:t>
      </w:r>
      <w:r w:rsidR="00E12694">
        <w:t>n initial</w:t>
      </w:r>
      <w:r>
        <w:t xml:space="preserve"> 15-day national quarantine</w:t>
      </w:r>
      <w:r w:rsidR="00E12694">
        <w:t xml:space="preserve"> (subsequently extended)</w:t>
      </w:r>
      <w:r>
        <w:t xml:space="preserve"> to curb the spread of COVID-19. Construction work on the project will therefore be significantly slowed, with only critical areas of the project continuing as normal, until such time as workers can return safely.</w:t>
      </w:r>
      <w:r w:rsidR="008634C2" w:rsidRPr="008634C2">
        <w:rPr>
          <w:lang w:val="en-GB"/>
        </w:rPr>
        <w:t xml:space="preserve"> </w:t>
      </w:r>
    </w:p>
    <w:bookmarkEnd w:id="54"/>
    <w:p w14:paraId="5E073129" w14:textId="77777777" w:rsidR="00542FF4" w:rsidRPr="00571974" w:rsidRDefault="003D4D89" w:rsidP="007B1404">
      <w:pPr>
        <w:pStyle w:val="Heading3"/>
        <w:rPr>
          <w:lang w:val="en-GB"/>
        </w:rPr>
      </w:pPr>
      <w:r w:rsidRPr="00571974">
        <w:rPr>
          <w:lang w:val="en-GB"/>
        </w:rPr>
        <w:t>Platinum</w:t>
      </w:r>
      <w:r w:rsidR="0079731E" w:rsidRPr="00571974">
        <w:rPr>
          <w:lang w:val="en-GB"/>
        </w:rPr>
        <w:t xml:space="preserve"> Group Metals</w:t>
      </w:r>
    </w:p>
    <w:p w14:paraId="54F5D074" w14:textId="77777777" w:rsidR="00542FF4" w:rsidRPr="00571974" w:rsidRDefault="003D4D89" w:rsidP="00EA3F32">
      <w:pPr>
        <w:pStyle w:val="Heading4"/>
      </w:pPr>
      <w:r w:rsidRPr="00571974">
        <w:t>Business Overview</w:t>
      </w:r>
    </w:p>
    <w:p w14:paraId="754AD4D1" w14:textId="610865E4" w:rsidR="00860290" w:rsidRPr="00571974" w:rsidRDefault="003D4D89" w:rsidP="000E4543">
      <w:pPr>
        <w:pStyle w:val="BodyText"/>
        <w:widowControl/>
        <w:autoSpaceDE/>
        <w:autoSpaceDN/>
        <w:adjustRightInd/>
        <w:ind w:firstLine="360"/>
        <w:rPr>
          <w:lang w:val="en-GB"/>
        </w:rPr>
      </w:pPr>
      <w:r w:rsidRPr="00571974">
        <w:rPr>
          <w:lang w:val="en-GB"/>
        </w:rPr>
        <w:t>Anglo American is a leading producer of PGMs, essential metals for cleaning vehicle exhaust emissions and as the catalyst in electric fuel cell technology. We own and operate three mining complexes in South Africa</w:t>
      </w:r>
      <w:r w:rsidR="00A311D8">
        <w:rPr>
          <w:lang w:val="en-GB"/>
        </w:rPr>
        <w:t>’</w:t>
      </w:r>
      <w:r w:rsidRPr="00571974">
        <w:rPr>
          <w:lang w:val="en-GB"/>
        </w:rPr>
        <w:t>s Bushveld complex, including Mogalakwena – the world</w:t>
      </w:r>
      <w:r w:rsidR="00A311D8">
        <w:rPr>
          <w:lang w:val="en-GB"/>
        </w:rPr>
        <w:t>’</w:t>
      </w:r>
      <w:r w:rsidRPr="00571974">
        <w:rPr>
          <w:lang w:val="en-GB"/>
        </w:rPr>
        <w:t>s largest open-pit PGMs mine; Amandelbult and Mototolo, as well as the Unki mine, in Zimbabwe. In South Africa, we also own smelting and refining operations which treat concentrates from our wholly owned mines, our joint venture operations and third parties.</w:t>
      </w:r>
    </w:p>
    <w:p w14:paraId="52D35E98" w14:textId="341FFFB3" w:rsidR="00860290" w:rsidRPr="00571974" w:rsidRDefault="003D4D89" w:rsidP="00D50E60">
      <w:pPr>
        <w:pStyle w:val="BodyText"/>
        <w:widowControl/>
        <w:autoSpaceDE/>
        <w:autoSpaceDN/>
        <w:adjustRightInd/>
        <w:ind w:firstLine="360"/>
        <w:rPr>
          <w:lang w:val="en-GB"/>
        </w:rPr>
      </w:pPr>
      <w:r w:rsidRPr="00571974">
        <w:rPr>
          <w:lang w:val="en-GB"/>
        </w:rPr>
        <w:t>The average platinum price decreased by 2%</w:t>
      </w:r>
      <w:r w:rsidR="0047454D" w:rsidRPr="00571974">
        <w:rPr>
          <w:lang w:val="en-GB"/>
        </w:rPr>
        <w:t xml:space="preserve"> in 201</w:t>
      </w:r>
      <w:r w:rsidR="0002469B">
        <w:rPr>
          <w:lang w:val="en-GB"/>
        </w:rPr>
        <w:t>9</w:t>
      </w:r>
      <w:r w:rsidRPr="00571974">
        <w:rPr>
          <w:lang w:val="en-GB"/>
        </w:rPr>
        <w:t xml:space="preserve">, recovering well in the second half owing to strong investor demand, following weaker sentiment earlier in </w:t>
      </w:r>
      <w:r w:rsidR="0047454D" w:rsidRPr="00571974">
        <w:rPr>
          <w:lang w:val="en-GB"/>
        </w:rPr>
        <w:t>the year</w:t>
      </w:r>
      <w:r w:rsidRPr="00571974">
        <w:rPr>
          <w:lang w:val="en-GB"/>
        </w:rPr>
        <w:t xml:space="preserve">. In contrast, average palladium and rhodium prices strengthened by 50% and 77% </w:t>
      </w:r>
      <w:r w:rsidR="0047454D" w:rsidRPr="00571974">
        <w:rPr>
          <w:lang w:val="en-GB"/>
        </w:rPr>
        <w:t xml:space="preserve">in 2019 </w:t>
      </w:r>
      <w:r w:rsidRPr="00571974">
        <w:rPr>
          <w:lang w:val="en-GB"/>
        </w:rPr>
        <w:t>respectively, despite a fall in global light duty vehicle sales, due to strong automotive demand driven by tighter emissions regulations in key markets. The</w:t>
      </w:r>
      <w:r w:rsidR="00522733">
        <w:rPr>
          <w:lang w:val="en-GB"/>
        </w:rPr>
        <w:t xml:space="preserve"> average</w:t>
      </w:r>
      <w:r w:rsidRPr="00571974">
        <w:rPr>
          <w:lang w:val="en-GB"/>
        </w:rPr>
        <w:t xml:space="preserve"> basket </w:t>
      </w:r>
      <w:r w:rsidR="00522733">
        <w:rPr>
          <w:lang w:val="en-GB"/>
        </w:rPr>
        <w:t>of PGM commodity prices</w:t>
      </w:r>
      <w:r w:rsidRPr="00EA2352">
        <w:rPr>
          <w:lang w:val="en-GB"/>
        </w:rPr>
        <w:t xml:space="preserve"> </w:t>
      </w:r>
      <w:r w:rsidRPr="00571974">
        <w:rPr>
          <w:lang w:val="en-GB"/>
        </w:rPr>
        <w:t>increased by 27% in dollar terms and 38% in South African rand terms.</w:t>
      </w:r>
    </w:p>
    <w:p w14:paraId="11E0D30D" w14:textId="77777777" w:rsidR="00542FF4" w:rsidRPr="00571974" w:rsidRDefault="003D4D89" w:rsidP="00EA3F32">
      <w:pPr>
        <w:pStyle w:val="Heading4"/>
      </w:pPr>
      <w:r w:rsidRPr="00571974">
        <w:t>Significant Transactions and Restructuring</w:t>
      </w:r>
    </w:p>
    <w:p w14:paraId="790D476D" w14:textId="087C8531" w:rsidR="00542FF4" w:rsidRPr="002C1CF9" w:rsidRDefault="003D4D89" w:rsidP="00FF1FFB">
      <w:pPr>
        <w:pStyle w:val="Heading5"/>
        <w:rPr>
          <w:b/>
          <w:lang w:val="en-GB"/>
        </w:rPr>
      </w:pPr>
      <w:r w:rsidRPr="00571974">
        <w:rPr>
          <w:b/>
          <w:lang w:val="en-GB"/>
        </w:rPr>
        <w:t>Disposal of Rustenburg</w:t>
      </w:r>
    </w:p>
    <w:p w14:paraId="212136C4" w14:textId="32123CB1" w:rsidR="007315EB" w:rsidRPr="007315EB" w:rsidRDefault="007315EB" w:rsidP="007315EB">
      <w:pPr>
        <w:pStyle w:val="BodyText"/>
        <w:widowControl/>
        <w:autoSpaceDE/>
        <w:autoSpaceDN/>
        <w:adjustRightInd/>
        <w:ind w:firstLine="360"/>
        <w:rPr>
          <w:lang w:val="en-GB"/>
        </w:rPr>
      </w:pPr>
      <w:r w:rsidRPr="007315EB">
        <w:rPr>
          <w:lang w:val="en-GB"/>
        </w:rPr>
        <w:t xml:space="preserve">On November 1, 2016, Anglo American Platinum completed the sale of the Rustenburg mining and concentration operations (the </w:t>
      </w:r>
      <w:r w:rsidR="00A311D8">
        <w:rPr>
          <w:lang w:val="en-GB"/>
        </w:rPr>
        <w:t>“</w:t>
      </w:r>
      <w:r w:rsidRPr="007315EB">
        <w:rPr>
          <w:lang w:val="en-GB"/>
        </w:rPr>
        <w:t>Rustenburg Operations</w:t>
      </w:r>
      <w:r w:rsidR="00A311D8">
        <w:rPr>
          <w:lang w:val="en-GB"/>
        </w:rPr>
        <w:t>”</w:t>
      </w:r>
      <w:r w:rsidRPr="007315EB">
        <w:rPr>
          <w:lang w:val="en-GB"/>
        </w:rPr>
        <w:t>) by its wholly owned subsidiary Rustenburg Platinum Mines Limited to Sibanye Rustenburg Platinum Mines Proprietary Limited (</w:t>
      </w:r>
      <w:r w:rsidR="00A311D8">
        <w:rPr>
          <w:lang w:val="en-GB"/>
        </w:rPr>
        <w:t>“</w:t>
      </w:r>
      <w:r w:rsidRPr="007315EB">
        <w:rPr>
          <w:lang w:val="en-GB"/>
        </w:rPr>
        <w:t>Sibanye</w:t>
      </w:r>
      <w:r w:rsidR="00A311D8">
        <w:rPr>
          <w:lang w:val="en-GB"/>
        </w:rPr>
        <w:t>”</w:t>
      </w:r>
      <w:r w:rsidRPr="007315EB">
        <w:rPr>
          <w:lang w:val="en-GB"/>
        </w:rPr>
        <w:t>), a subsidiary of Sibanye Gold Limited (</w:t>
      </w:r>
      <w:r w:rsidR="00A311D8">
        <w:rPr>
          <w:lang w:val="en-GB"/>
        </w:rPr>
        <w:t>“</w:t>
      </w:r>
      <w:r w:rsidRPr="007315EB">
        <w:rPr>
          <w:lang w:val="en-GB"/>
        </w:rPr>
        <w:t>Sibanye Gold</w:t>
      </w:r>
      <w:r w:rsidR="00A311D8">
        <w:rPr>
          <w:lang w:val="en-GB"/>
        </w:rPr>
        <w:t>”</w:t>
      </w:r>
      <w:r w:rsidRPr="007315EB">
        <w:rPr>
          <w:lang w:val="en-GB"/>
        </w:rPr>
        <w:t xml:space="preserve">). </w:t>
      </w:r>
    </w:p>
    <w:p w14:paraId="123EC0CB" w14:textId="365C6BDE" w:rsidR="007315EB" w:rsidRPr="007315EB" w:rsidRDefault="007315EB" w:rsidP="007315EB">
      <w:pPr>
        <w:pStyle w:val="BodyText"/>
        <w:widowControl/>
        <w:autoSpaceDE/>
        <w:autoSpaceDN/>
        <w:adjustRightInd/>
        <w:ind w:firstLine="360"/>
        <w:rPr>
          <w:lang w:val="en-GB"/>
        </w:rPr>
      </w:pPr>
      <w:r w:rsidRPr="007315EB">
        <w:rPr>
          <w:lang w:val="en-GB"/>
        </w:rPr>
        <w:t>The upfront cash proceeds of ZAR1.5 billion (US$110 million) were used to reduce net debt and further strengthen Anglo American Platinum</w:t>
      </w:r>
      <w:r w:rsidR="00A311D8">
        <w:rPr>
          <w:lang w:val="en-GB"/>
        </w:rPr>
        <w:t>’</w:t>
      </w:r>
      <w:r w:rsidRPr="007315EB">
        <w:rPr>
          <w:lang w:val="en-GB"/>
        </w:rPr>
        <w:t xml:space="preserve">s balance sheet. Sibanye will also pay minimum deferred proceeds of ZAR3.0 billion (in nominal terms) (US$220 million), to be earned through a 35% share of the distributable free cash flows generated by the Rustenburg Operations on an annual basis for a period of six full years commencing from January 1, 2017. </w:t>
      </w:r>
    </w:p>
    <w:p w14:paraId="03F6FDA2" w14:textId="77777777" w:rsidR="007315EB" w:rsidRPr="009E0A3F" w:rsidRDefault="007315EB" w:rsidP="009C0AD8">
      <w:pPr>
        <w:pStyle w:val="BodyText"/>
        <w:widowControl/>
        <w:autoSpaceDE/>
        <w:autoSpaceDN/>
        <w:adjustRightInd/>
        <w:ind w:firstLine="360"/>
      </w:pPr>
      <w:r w:rsidRPr="007315EB">
        <w:rPr>
          <w:lang w:val="en-GB"/>
        </w:rPr>
        <w:t>To the extent that there is an outstanding minimum deferred proceeds balance at the end of the six year period, Sibanye has the option to extend the payment period for up to two years (to December 31, 2024), or until the minimum deferred payment has been paid in full (whichever is earlier). Sibanye also has the option to settle the outstanding balance in cash or listed Sibanye Gold ordinary shares at the end of the six or eight year period. In February 2020, with Anglo American Platinum consent, Sibanye completed a Scheme of Arrangement in order to effect an internal restructuring of the Sibanye group. As a result of the restructuring should Sibanye elect to settle any outstanding balance in shares, the shares issued will be ordinary listed shares in Sibanye-Stillwater Limited rather than in Sibanye Gold.</w:t>
      </w:r>
    </w:p>
    <w:p w14:paraId="0DBB0DB5" w14:textId="77777777" w:rsidR="00C77B64" w:rsidRPr="00571974" w:rsidRDefault="003D4D89" w:rsidP="00EA3F32">
      <w:pPr>
        <w:pStyle w:val="Heading4"/>
      </w:pPr>
      <w:r w:rsidRPr="00571974">
        <w:t>Disposal of Union Mine and MASA Chrome Company Proprietary Limited</w:t>
      </w:r>
    </w:p>
    <w:p w14:paraId="5C097F6A" w14:textId="0BA96328" w:rsidR="00C77B64" w:rsidRPr="00571974" w:rsidRDefault="003D4D89" w:rsidP="000E4543">
      <w:pPr>
        <w:pStyle w:val="BodyText"/>
        <w:widowControl/>
        <w:autoSpaceDE/>
        <w:autoSpaceDN/>
        <w:adjustRightInd/>
        <w:ind w:firstLine="360"/>
        <w:rPr>
          <w:lang w:val="en-GB"/>
        </w:rPr>
      </w:pPr>
      <w:r w:rsidRPr="00571974">
        <w:rPr>
          <w:lang w:val="en-GB"/>
        </w:rPr>
        <w:t>On February 15, 2017, the Group announced that it had agreed the sale of Anglo American Platinum</w:t>
      </w:r>
      <w:r w:rsidR="00A311D8">
        <w:rPr>
          <w:lang w:val="en-GB"/>
        </w:rPr>
        <w:t>’</w:t>
      </w:r>
      <w:r w:rsidRPr="00571974">
        <w:rPr>
          <w:lang w:val="en-GB"/>
        </w:rPr>
        <w:t xml:space="preserve">s 85% interest in the Union platinum mine and its 50.1% in MASA Chrome Company Proprietary Limited to Siyanda </w:t>
      </w:r>
      <w:r w:rsidRPr="00571974">
        <w:rPr>
          <w:lang w:val="en-GB"/>
        </w:rPr>
        <w:lastRenderedPageBreak/>
        <w:t xml:space="preserve">Resources Proprietary Limited for consideration comprising upfront cash of ZAR400 million (approximately </w:t>
      </w:r>
      <w:r w:rsidR="003E1CBD" w:rsidRPr="00571974">
        <w:rPr>
          <w:lang w:val="en-GB"/>
        </w:rPr>
        <w:t>US$</w:t>
      </w:r>
      <w:r w:rsidRPr="00571974">
        <w:rPr>
          <w:lang w:val="en-GB"/>
        </w:rPr>
        <w:t>29 million) and deferred consideration based on the operation</w:t>
      </w:r>
      <w:r w:rsidR="00A311D8">
        <w:rPr>
          <w:lang w:val="en-GB"/>
        </w:rPr>
        <w:t>’</w:t>
      </w:r>
      <w:r w:rsidRPr="00571974">
        <w:rPr>
          <w:lang w:val="en-GB"/>
        </w:rPr>
        <w:t>s free cash flow generation over a ten year period. The transaction was completed on February 1, 2018.</w:t>
      </w:r>
    </w:p>
    <w:p w14:paraId="7369FB38" w14:textId="49AA2B49" w:rsidR="00C77B64" w:rsidRPr="00571974" w:rsidRDefault="003D4D89" w:rsidP="000E4543">
      <w:pPr>
        <w:pStyle w:val="BodyText"/>
        <w:widowControl/>
        <w:autoSpaceDE/>
        <w:autoSpaceDN/>
        <w:adjustRightInd/>
        <w:ind w:firstLine="360"/>
        <w:rPr>
          <w:lang w:val="en-GB"/>
        </w:rPr>
      </w:pPr>
      <w:r w:rsidRPr="00571974">
        <w:rPr>
          <w:lang w:val="en-GB"/>
        </w:rPr>
        <w:t xml:space="preserve">The fair value of the Union mine and its associated mineral resources is expected to be recovered principally through the sale. An impairment of </w:t>
      </w:r>
      <w:r w:rsidR="003E1CBD" w:rsidRPr="00571974">
        <w:rPr>
          <w:lang w:val="en-GB"/>
        </w:rPr>
        <w:t>US$</w:t>
      </w:r>
      <w:r w:rsidRPr="00571974">
        <w:rPr>
          <w:lang w:val="en-GB"/>
        </w:rPr>
        <w:t>197 million (</w:t>
      </w:r>
      <w:r w:rsidR="003E1CBD" w:rsidRPr="00571974">
        <w:rPr>
          <w:lang w:val="en-GB"/>
        </w:rPr>
        <w:t>US$</w:t>
      </w:r>
      <w:r w:rsidRPr="00571974">
        <w:rPr>
          <w:lang w:val="en-GB"/>
        </w:rPr>
        <w:t xml:space="preserve">113 million after tax and non-controlling interests) </w:t>
      </w:r>
      <w:r w:rsidR="00F17F94" w:rsidRPr="00571974">
        <w:rPr>
          <w:lang w:val="en-GB"/>
        </w:rPr>
        <w:t xml:space="preserve">was </w:t>
      </w:r>
      <w:r w:rsidRPr="00571974">
        <w:rPr>
          <w:lang w:val="en-GB"/>
        </w:rPr>
        <w:t xml:space="preserve">recorded </w:t>
      </w:r>
      <w:r w:rsidR="0070515A">
        <w:rPr>
          <w:lang w:val="en-GB"/>
        </w:rPr>
        <w:t xml:space="preserve">in 2018 </w:t>
      </w:r>
      <w:r w:rsidRPr="00571974">
        <w:rPr>
          <w:lang w:val="en-GB"/>
        </w:rPr>
        <w:t>to bring the operation</w:t>
      </w:r>
      <w:r w:rsidR="00A311D8">
        <w:rPr>
          <w:lang w:val="en-GB"/>
        </w:rPr>
        <w:t>’</w:t>
      </w:r>
      <w:r w:rsidRPr="00571974">
        <w:rPr>
          <w:lang w:val="en-GB"/>
        </w:rPr>
        <w:t xml:space="preserve">s carrying value into line with its fair value less costs of disposal. The impairment charge </w:t>
      </w:r>
      <w:r w:rsidR="00F17F94" w:rsidRPr="00571974">
        <w:rPr>
          <w:lang w:val="en-GB"/>
        </w:rPr>
        <w:t xml:space="preserve">was </w:t>
      </w:r>
      <w:r w:rsidRPr="00571974">
        <w:rPr>
          <w:lang w:val="en-GB"/>
        </w:rPr>
        <w:t>recorded principally against property, plant and equipment.</w:t>
      </w:r>
    </w:p>
    <w:p w14:paraId="086C6E27" w14:textId="77777777" w:rsidR="00C31765" w:rsidRDefault="00C31765" w:rsidP="00C31765">
      <w:pPr>
        <w:pStyle w:val="Heading4"/>
      </w:pPr>
      <w:r>
        <w:t>Bafokeng Rasimone disposal</w:t>
      </w:r>
    </w:p>
    <w:p w14:paraId="42CA738F" w14:textId="17A7D3E1" w:rsidR="00C31765" w:rsidRPr="00965A64" w:rsidRDefault="00C31765" w:rsidP="00C31765">
      <w:pPr>
        <w:pStyle w:val="Heading4"/>
        <w:rPr>
          <w:b w:val="0"/>
          <w:i w:val="0"/>
        </w:rPr>
      </w:pPr>
      <w:r w:rsidRPr="00965A64">
        <w:rPr>
          <w:b w:val="0"/>
          <w:i w:val="0"/>
        </w:rPr>
        <w:t>On July 5, 2018</w:t>
      </w:r>
      <w:r w:rsidR="00323073">
        <w:rPr>
          <w:b w:val="0"/>
          <w:i w:val="0"/>
        </w:rPr>
        <w:t>,</w:t>
      </w:r>
      <w:r w:rsidRPr="00965A64">
        <w:rPr>
          <w:b w:val="0"/>
          <w:i w:val="0"/>
        </w:rPr>
        <w:t xml:space="preserve"> Anglo American Platinum announced that </w:t>
      </w:r>
      <w:r>
        <w:rPr>
          <w:b w:val="0"/>
          <w:i w:val="0"/>
        </w:rPr>
        <w:t xml:space="preserve">its </w:t>
      </w:r>
      <w:r w:rsidRPr="00965A64">
        <w:rPr>
          <w:b w:val="0"/>
          <w:i w:val="0"/>
        </w:rPr>
        <w:t>wholly-owned subsidiary, Rustenburg Platinum Mines Limited (</w:t>
      </w:r>
      <w:r w:rsidR="00A311D8">
        <w:rPr>
          <w:b w:val="0"/>
          <w:i w:val="0"/>
        </w:rPr>
        <w:t>“</w:t>
      </w:r>
      <w:r w:rsidRPr="00965A64">
        <w:rPr>
          <w:b w:val="0"/>
          <w:i w:val="0"/>
        </w:rPr>
        <w:t>RPM</w:t>
      </w:r>
      <w:r w:rsidR="00A311D8">
        <w:rPr>
          <w:b w:val="0"/>
          <w:i w:val="0"/>
        </w:rPr>
        <w:t>”</w:t>
      </w:r>
      <w:r w:rsidRPr="00965A64">
        <w:rPr>
          <w:b w:val="0"/>
          <w:i w:val="0"/>
        </w:rPr>
        <w:t>)</w:t>
      </w:r>
      <w:r>
        <w:rPr>
          <w:b w:val="0"/>
          <w:i w:val="0"/>
        </w:rPr>
        <w:t>,</w:t>
      </w:r>
      <w:r w:rsidRPr="00965A64">
        <w:rPr>
          <w:b w:val="0"/>
          <w:i w:val="0"/>
        </w:rPr>
        <w:t xml:space="preserve"> had accepted an offer from Royal Bafokeng Platinum Limited (</w:t>
      </w:r>
      <w:r w:rsidR="00A311D8">
        <w:rPr>
          <w:b w:val="0"/>
          <w:i w:val="0"/>
        </w:rPr>
        <w:t>“</w:t>
      </w:r>
      <w:r w:rsidRPr="00965A64">
        <w:rPr>
          <w:b w:val="0"/>
          <w:i w:val="0"/>
        </w:rPr>
        <w:t>RBPlat</w:t>
      </w:r>
      <w:r w:rsidR="00A311D8">
        <w:rPr>
          <w:b w:val="0"/>
          <w:i w:val="0"/>
        </w:rPr>
        <w:t>”</w:t>
      </w:r>
      <w:r w:rsidRPr="00965A64">
        <w:rPr>
          <w:b w:val="0"/>
          <w:i w:val="0"/>
        </w:rPr>
        <w:t>) to purchase its 33% interest in the Bafokeng Rasimone Platinum Mine joint venture (</w:t>
      </w:r>
      <w:r w:rsidR="00A311D8">
        <w:rPr>
          <w:b w:val="0"/>
          <w:i w:val="0"/>
        </w:rPr>
        <w:t>“</w:t>
      </w:r>
      <w:r w:rsidRPr="00965A64">
        <w:rPr>
          <w:b w:val="0"/>
          <w:i w:val="0"/>
        </w:rPr>
        <w:t>BRPM JV</w:t>
      </w:r>
      <w:r w:rsidR="00A311D8">
        <w:rPr>
          <w:b w:val="0"/>
          <w:i w:val="0"/>
        </w:rPr>
        <w:t>”</w:t>
      </w:r>
      <w:r w:rsidRPr="00965A64">
        <w:rPr>
          <w:b w:val="0"/>
          <w:i w:val="0"/>
        </w:rPr>
        <w:t xml:space="preserve">). The total purchase consideration at the time of announcement was R2.178 billion (a purchase consideration of R1.863 billion plus the repayment of </w:t>
      </w:r>
      <w:r>
        <w:rPr>
          <w:b w:val="0"/>
          <w:i w:val="0"/>
        </w:rPr>
        <w:t>Anglo American Platinum</w:t>
      </w:r>
      <w:r w:rsidR="00A311D8">
        <w:rPr>
          <w:b w:val="0"/>
          <w:i w:val="0"/>
        </w:rPr>
        <w:t>’</w:t>
      </w:r>
      <w:r w:rsidRPr="00965A64">
        <w:rPr>
          <w:b w:val="0"/>
          <w:i w:val="0"/>
        </w:rPr>
        <w:t xml:space="preserve">s contributions into the BRPM </w:t>
      </w:r>
      <w:r>
        <w:rPr>
          <w:b w:val="0"/>
          <w:i w:val="0"/>
        </w:rPr>
        <w:t>JV</w:t>
      </w:r>
      <w:r w:rsidRPr="00965A64">
        <w:rPr>
          <w:b w:val="0"/>
          <w:i w:val="0"/>
        </w:rPr>
        <w:t xml:space="preserve"> until completion of the transaction). In December 2018</w:t>
      </w:r>
      <w:r>
        <w:rPr>
          <w:b w:val="0"/>
          <w:i w:val="0"/>
        </w:rPr>
        <w:t>,</w:t>
      </w:r>
      <w:r w:rsidRPr="00965A64">
        <w:rPr>
          <w:b w:val="0"/>
          <w:i w:val="0"/>
        </w:rPr>
        <w:t xml:space="preserve"> Anglo American Platinum announced that all conditions precedent to the sale and purchase agreement with RBPlat had been fulfilled. An upfront consideration of R555 million was settled by a cash payment by Royal Bafokeng Resources Limited on the completion date. The remaining deferred consideration</w:t>
      </w:r>
      <w:r>
        <w:rPr>
          <w:b w:val="0"/>
          <w:i w:val="0"/>
        </w:rPr>
        <w:t xml:space="preserve"> of R1.851 billion</w:t>
      </w:r>
      <w:r w:rsidRPr="00965A64">
        <w:rPr>
          <w:b w:val="0"/>
          <w:i w:val="0"/>
        </w:rPr>
        <w:t xml:space="preserve"> </w:t>
      </w:r>
      <w:r>
        <w:rPr>
          <w:b w:val="0"/>
          <w:i w:val="0"/>
        </w:rPr>
        <w:t>(</w:t>
      </w:r>
      <w:r w:rsidRPr="00965A64">
        <w:rPr>
          <w:b w:val="0"/>
          <w:i w:val="0"/>
        </w:rPr>
        <w:t>including accumulated interest</w:t>
      </w:r>
      <w:r>
        <w:rPr>
          <w:b w:val="0"/>
          <w:i w:val="0"/>
        </w:rPr>
        <w:t>)</w:t>
      </w:r>
      <w:r w:rsidRPr="00965A64">
        <w:rPr>
          <w:b w:val="0"/>
          <w:i w:val="0"/>
        </w:rPr>
        <w:t xml:space="preserve"> was settled in full on January 30, 2020.</w:t>
      </w:r>
    </w:p>
    <w:p w14:paraId="3E54061C" w14:textId="77777777" w:rsidR="00C31765" w:rsidRDefault="00C31765" w:rsidP="00DA283E">
      <w:pPr>
        <w:pStyle w:val="Heading4"/>
        <w:rPr>
          <w:lang w:eastAsia="en-GB"/>
        </w:rPr>
      </w:pPr>
      <w:r w:rsidRPr="00A74E13">
        <w:rPr>
          <w:lang w:eastAsia="en-GB"/>
        </w:rPr>
        <w:t>Disposal of 11% interest in Royal Bafokeng Platinum</w:t>
      </w:r>
    </w:p>
    <w:p w14:paraId="31B7F486" w14:textId="1DA942C5" w:rsidR="00C31765" w:rsidRPr="00DA283E" w:rsidRDefault="00C31765" w:rsidP="00DA283E">
      <w:pPr>
        <w:pStyle w:val="BodyText"/>
        <w:widowControl/>
        <w:autoSpaceDE/>
        <w:autoSpaceDN/>
        <w:adjustRightInd/>
        <w:ind w:firstLine="360"/>
        <w:rPr>
          <w:lang w:val="en-GB"/>
        </w:rPr>
      </w:pPr>
      <w:r w:rsidRPr="00D71C7C">
        <w:rPr>
          <w:szCs w:val="20"/>
          <w:lang w:eastAsia="en-GB"/>
        </w:rPr>
        <w:t xml:space="preserve">On </w:t>
      </w:r>
      <w:r w:rsidRPr="00DA283E">
        <w:rPr>
          <w:lang w:val="en-GB"/>
        </w:rPr>
        <w:t>April</w:t>
      </w:r>
      <w:r w:rsidRPr="00D71C7C">
        <w:rPr>
          <w:szCs w:val="20"/>
          <w:lang w:eastAsia="en-GB"/>
        </w:rPr>
        <w:t xml:space="preserve"> </w:t>
      </w:r>
      <w:r w:rsidR="00323073">
        <w:rPr>
          <w:szCs w:val="20"/>
          <w:lang w:eastAsia="en-GB"/>
        </w:rPr>
        <w:t xml:space="preserve">24, </w:t>
      </w:r>
      <w:r w:rsidRPr="00D71C7C">
        <w:rPr>
          <w:szCs w:val="20"/>
          <w:lang w:eastAsia="en-GB"/>
        </w:rPr>
        <w:t xml:space="preserve">2018, </w:t>
      </w:r>
      <w:r>
        <w:rPr>
          <w:szCs w:val="20"/>
          <w:lang w:eastAsia="en-GB"/>
        </w:rPr>
        <w:t>Anglo American Platinum</w:t>
      </w:r>
      <w:r w:rsidRPr="00D71C7C">
        <w:rPr>
          <w:szCs w:val="20"/>
          <w:lang w:eastAsia="en-GB"/>
        </w:rPr>
        <w:t xml:space="preserve"> disposed of 17.3 million shares in RBPlat for R</w:t>
      </w:r>
      <w:r w:rsidR="003637DD">
        <w:rPr>
          <w:szCs w:val="20"/>
          <w:lang w:eastAsia="en-GB"/>
        </w:rPr>
        <w:t>0.4 b</w:t>
      </w:r>
      <w:r w:rsidRPr="00D71C7C">
        <w:rPr>
          <w:szCs w:val="20"/>
          <w:lang w:eastAsia="en-GB"/>
        </w:rPr>
        <w:t xml:space="preserve">illion. The sale </w:t>
      </w:r>
      <w:r w:rsidRPr="00DA283E">
        <w:rPr>
          <w:lang w:val="en-GB"/>
        </w:rPr>
        <w:t>of Anglo American Platinum</w:t>
      </w:r>
      <w:r w:rsidR="00A311D8">
        <w:rPr>
          <w:lang w:val="en-GB"/>
        </w:rPr>
        <w:t>’</w:t>
      </w:r>
      <w:r w:rsidRPr="00DA283E">
        <w:rPr>
          <w:lang w:val="en-GB"/>
        </w:rPr>
        <w:t>s residual shareholding in RBPlat was completed on August 7, 2018, reali</w:t>
      </w:r>
      <w:r w:rsidR="00323073" w:rsidRPr="00DA283E">
        <w:rPr>
          <w:lang w:val="en-GB"/>
        </w:rPr>
        <w:t>z</w:t>
      </w:r>
      <w:r w:rsidRPr="00DA283E">
        <w:rPr>
          <w:lang w:val="en-GB"/>
        </w:rPr>
        <w:t>ing net proceeds of R</w:t>
      </w:r>
      <w:r w:rsidR="003637DD">
        <w:rPr>
          <w:lang w:val="en-GB"/>
        </w:rPr>
        <w:t>0.1 b</w:t>
      </w:r>
      <w:r w:rsidRPr="00DA283E">
        <w:rPr>
          <w:lang w:val="en-GB"/>
        </w:rPr>
        <w:t>illion.</w:t>
      </w:r>
    </w:p>
    <w:p w14:paraId="5B016B82" w14:textId="714375D9" w:rsidR="00A55943" w:rsidRPr="00571974" w:rsidRDefault="003D4D89" w:rsidP="00EA3F32">
      <w:pPr>
        <w:pStyle w:val="Heading4"/>
      </w:pPr>
      <w:r w:rsidRPr="00571974">
        <w:t>Purchase of Mototolo</w:t>
      </w:r>
    </w:p>
    <w:p w14:paraId="60863E67" w14:textId="32A90A0A" w:rsidR="00A55943" w:rsidRPr="00571974" w:rsidRDefault="003D4D89" w:rsidP="000E4543">
      <w:pPr>
        <w:pStyle w:val="BodyText"/>
        <w:widowControl/>
        <w:autoSpaceDE/>
        <w:autoSpaceDN/>
        <w:adjustRightInd/>
        <w:ind w:firstLine="360"/>
        <w:rPr>
          <w:lang w:val="en-GB"/>
        </w:rPr>
      </w:pPr>
      <w:r w:rsidRPr="00571974">
        <w:rPr>
          <w:lang w:val="en-GB"/>
        </w:rPr>
        <w:t>On November 1, 2018, Anglo American Platinum announced the completion of the acquisition of both Glencore Operations South Africa Proprietary Limited</w:t>
      </w:r>
      <w:r w:rsidR="00A311D8">
        <w:rPr>
          <w:lang w:val="en-GB"/>
        </w:rPr>
        <w:t>’</w:t>
      </w:r>
      <w:r w:rsidRPr="00571974">
        <w:rPr>
          <w:lang w:val="en-GB"/>
        </w:rPr>
        <w:t>s 40.2% interest and Kagiso Platinum Ventures Proprietary Limited</w:t>
      </w:r>
      <w:r w:rsidR="00A311D8">
        <w:rPr>
          <w:lang w:val="en-GB"/>
        </w:rPr>
        <w:t>’</w:t>
      </w:r>
      <w:r w:rsidRPr="00571974">
        <w:rPr>
          <w:lang w:val="en-GB"/>
        </w:rPr>
        <w:t>s 9.8% interest in the Mototolo joint venture. With effect from November 1, 2018, Mototolo became a wholly owned operation of Anglo American Platinum.</w:t>
      </w:r>
    </w:p>
    <w:p w14:paraId="1914F001" w14:textId="77777777" w:rsidR="004D195C" w:rsidRPr="00571974" w:rsidRDefault="003D4D89" w:rsidP="00542FF4">
      <w:pPr>
        <w:pStyle w:val="BodyText"/>
        <w:widowControl/>
        <w:autoSpaceDE/>
        <w:autoSpaceDN/>
        <w:adjustRightInd/>
        <w:ind w:firstLine="360"/>
        <w:rPr>
          <w:b/>
          <w:i/>
          <w:iCs/>
          <w:lang w:val="en-GB"/>
        </w:rPr>
      </w:pPr>
      <w:r w:rsidRPr="00571974">
        <w:rPr>
          <w:b/>
          <w:i/>
          <w:iCs/>
          <w:lang w:val="en-GB"/>
        </w:rPr>
        <w:t>Investment in venture capital fund</w:t>
      </w:r>
    </w:p>
    <w:p w14:paraId="53481022" w14:textId="5821DCA2" w:rsidR="004D195C" w:rsidRPr="00571974" w:rsidRDefault="003D4D89" w:rsidP="00542FF4">
      <w:pPr>
        <w:pStyle w:val="BodyText"/>
        <w:widowControl/>
        <w:autoSpaceDE/>
        <w:autoSpaceDN/>
        <w:adjustRightInd/>
        <w:ind w:firstLine="360"/>
        <w:rPr>
          <w:lang w:val="en-GB"/>
        </w:rPr>
      </w:pPr>
      <w:bookmarkStart w:id="55" w:name="_Hlk536613757"/>
      <w:r w:rsidRPr="00571974">
        <w:rPr>
          <w:lang w:val="en-GB"/>
        </w:rPr>
        <w:t>On</w:t>
      </w:r>
      <w:r w:rsidR="00212D6F" w:rsidRPr="00571974">
        <w:rPr>
          <w:lang w:val="en-GB"/>
        </w:rPr>
        <w:t xml:space="preserve"> July 17, 2018 </w:t>
      </w:r>
      <w:r w:rsidRPr="00571974">
        <w:rPr>
          <w:lang w:val="en-GB"/>
        </w:rPr>
        <w:t>Anglo American reported that its 7</w:t>
      </w:r>
      <w:r w:rsidR="00DF42DC" w:rsidRPr="00571974">
        <w:rPr>
          <w:lang w:val="en-GB"/>
        </w:rPr>
        <w:t>9.4</w:t>
      </w:r>
      <w:r w:rsidRPr="00571974">
        <w:rPr>
          <w:lang w:val="en-GB"/>
        </w:rPr>
        <w:t>% owned subsidiary, Anglo American Platinum Limited</w:t>
      </w:r>
      <w:r w:rsidR="0021371A" w:rsidRPr="00571974">
        <w:rPr>
          <w:lang w:val="en-GB"/>
        </w:rPr>
        <w:t>,</w:t>
      </w:r>
      <w:r w:rsidRPr="00571974">
        <w:rPr>
          <w:lang w:val="en-GB"/>
        </w:rPr>
        <w:t xml:space="preserve"> announced its subsidiary, Anglo Platinum Marketing Limited (</w:t>
      </w:r>
      <w:r w:rsidR="00A311D8">
        <w:rPr>
          <w:lang w:val="en-GB"/>
        </w:rPr>
        <w:t>“</w:t>
      </w:r>
      <w:r w:rsidRPr="00571974">
        <w:rPr>
          <w:lang w:val="en-GB"/>
        </w:rPr>
        <w:t>APML</w:t>
      </w:r>
      <w:r w:rsidR="00A311D8">
        <w:rPr>
          <w:lang w:val="en-GB"/>
        </w:rPr>
        <w:t>”</w:t>
      </w:r>
      <w:r w:rsidRPr="00571974">
        <w:rPr>
          <w:lang w:val="en-GB"/>
        </w:rPr>
        <w:t>), ha</w:t>
      </w:r>
      <w:r w:rsidR="0021371A" w:rsidRPr="00571974">
        <w:rPr>
          <w:lang w:val="en-GB"/>
        </w:rPr>
        <w:t>d</w:t>
      </w:r>
      <w:r w:rsidRPr="00571974">
        <w:rPr>
          <w:lang w:val="en-GB"/>
        </w:rPr>
        <w:t xml:space="preserve"> subscribed for interests in two UK</w:t>
      </w:r>
      <w:r w:rsidR="007C20E3" w:rsidRPr="00571974">
        <w:rPr>
          <w:lang w:val="en-GB"/>
        </w:rPr>
        <w:t>-</w:t>
      </w:r>
      <w:r w:rsidRPr="00571974">
        <w:rPr>
          <w:lang w:val="en-GB"/>
        </w:rPr>
        <w:t xml:space="preserve">based venture capital funds (the </w:t>
      </w:r>
      <w:r w:rsidR="00A311D8">
        <w:rPr>
          <w:lang w:val="en-GB"/>
        </w:rPr>
        <w:t>“</w:t>
      </w:r>
      <w:r w:rsidRPr="00571974">
        <w:rPr>
          <w:lang w:val="en-GB"/>
        </w:rPr>
        <w:t>Funds</w:t>
      </w:r>
      <w:r w:rsidR="00A311D8">
        <w:rPr>
          <w:lang w:val="en-GB"/>
        </w:rPr>
        <w:t>”</w:t>
      </w:r>
      <w:r w:rsidRPr="00571974">
        <w:rPr>
          <w:lang w:val="en-GB"/>
        </w:rPr>
        <w:t xml:space="preserve">), with a total aggregate commitment of </w:t>
      </w:r>
      <w:r w:rsidR="003E1CBD" w:rsidRPr="00571974">
        <w:rPr>
          <w:lang w:val="en-GB"/>
        </w:rPr>
        <w:t>US$</w:t>
      </w:r>
      <w:r w:rsidRPr="00571974">
        <w:rPr>
          <w:lang w:val="en-GB"/>
        </w:rPr>
        <w:t>100 million. Anglo American Platinum</w:t>
      </w:r>
      <w:r w:rsidR="00A311D8">
        <w:rPr>
          <w:lang w:val="en-GB"/>
        </w:rPr>
        <w:t>’</w:t>
      </w:r>
      <w:r w:rsidRPr="00571974">
        <w:rPr>
          <w:lang w:val="en-GB"/>
        </w:rPr>
        <w:t xml:space="preserve">s commitment to the Funds is matched by a </w:t>
      </w:r>
      <w:r w:rsidR="003E1CBD" w:rsidRPr="00571974">
        <w:rPr>
          <w:lang w:val="en-GB"/>
        </w:rPr>
        <w:t>US$</w:t>
      </w:r>
      <w:r w:rsidRPr="00571974">
        <w:rPr>
          <w:lang w:val="en-GB"/>
        </w:rPr>
        <w:t>100 million commitment from South Africa</w:t>
      </w:r>
      <w:r w:rsidR="00A311D8">
        <w:rPr>
          <w:lang w:val="en-GB"/>
        </w:rPr>
        <w:t>’</w:t>
      </w:r>
      <w:r w:rsidRPr="00571974">
        <w:rPr>
          <w:lang w:val="en-GB"/>
        </w:rPr>
        <w:t>s Government Employees Pension Fund represented by the Public Investment Corporation SOC Ltd (</w:t>
      </w:r>
      <w:r w:rsidR="00A311D8">
        <w:rPr>
          <w:lang w:val="en-GB"/>
        </w:rPr>
        <w:t>“</w:t>
      </w:r>
      <w:r w:rsidRPr="00571974">
        <w:rPr>
          <w:lang w:val="en-GB"/>
        </w:rPr>
        <w:t>PIC</w:t>
      </w:r>
      <w:r w:rsidR="00A311D8">
        <w:rPr>
          <w:lang w:val="en-GB"/>
        </w:rPr>
        <w:t>”</w:t>
      </w:r>
      <w:r w:rsidRPr="00571974">
        <w:rPr>
          <w:lang w:val="en-GB"/>
        </w:rPr>
        <w:t>).</w:t>
      </w:r>
    </w:p>
    <w:p w14:paraId="0E9FC3EB" w14:textId="77777777" w:rsidR="00F17F94" w:rsidRPr="00571974" w:rsidRDefault="003D4D89" w:rsidP="00F17F94">
      <w:pPr>
        <w:pStyle w:val="Heading5"/>
        <w:rPr>
          <w:b/>
          <w:lang w:val="en-GB"/>
        </w:rPr>
      </w:pPr>
      <w:r w:rsidRPr="00571974">
        <w:rPr>
          <w:b/>
          <w:lang w:val="en-GB"/>
        </w:rPr>
        <w:t>Acquisition of Kwanda North and Central block prospecting rights</w:t>
      </w:r>
    </w:p>
    <w:p w14:paraId="222BC080" w14:textId="1DCFB302" w:rsidR="00F17F94" w:rsidRDefault="003D4D89" w:rsidP="00542FF4">
      <w:pPr>
        <w:pStyle w:val="BodyText"/>
        <w:widowControl/>
        <w:autoSpaceDE/>
        <w:autoSpaceDN/>
        <w:adjustRightInd/>
        <w:ind w:firstLine="360"/>
        <w:rPr>
          <w:lang w:val="en-GB"/>
        </w:rPr>
      </w:pPr>
      <w:r w:rsidRPr="00571974">
        <w:rPr>
          <w:lang w:val="en-GB"/>
        </w:rPr>
        <w:t>On August 27, 2019 Anglo American Platinum and Atlatsa completed the acquisition and inclusion of the resources specified in the Central Block and Kwanda North prospecting rights into RPM</w:t>
      </w:r>
      <w:r w:rsidR="00A311D8">
        <w:rPr>
          <w:lang w:val="en-GB"/>
        </w:rPr>
        <w:t>’</w:t>
      </w:r>
      <w:r w:rsidRPr="00571974">
        <w:rPr>
          <w:lang w:val="en-GB"/>
        </w:rPr>
        <w:t xml:space="preserve">s Mogalakwena mining right. </w:t>
      </w:r>
      <w:r w:rsidR="00206D20" w:rsidRPr="00206D20">
        <w:rPr>
          <w:lang w:val="en-GB"/>
        </w:rPr>
        <w:t>The acquisition was part of a composite transaction which included, among others: the disposal of Anglo American Platinum</w:t>
      </w:r>
      <w:r w:rsidR="00A311D8">
        <w:rPr>
          <w:lang w:val="en-GB"/>
        </w:rPr>
        <w:t>’</w:t>
      </w:r>
      <w:r w:rsidR="00206D20" w:rsidRPr="00206D20">
        <w:rPr>
          <w:lang w:val="en-GB"/>
        </w:rPr>
        <w:t>s 22.55% shareholding in Atlatsa for a nominal cash consideration; the waiver and/or capitali</w:t>
      </w:r>
      <w:r w:rsidR="00206D20">
        <w:rPr>
          <w:lang w:val="en-GB"/>
        </w:rPr>
        <w:t>z</w:t>
      </w:r>
      <w:r w:rsidR="00206D20" w:rsidRPr="00206D20">
        <w:rPr>
          <w:lang w:val="en-GB"/>
        </w:rPr>
        <w:t>ation of all of the current debt owing by Atlatsa group to Anglo American Platinum totaling approximately R</w:t>
      </w:r>
      <w:r w:rsidR="003637DD">
        <w:rPr>
          <w:lang w:val="en-GB"/>
        </w:rPr>
        <w:t>4.8 b</w:t>
      </w:r>
      <w:r w:rsidR="00BA141C">
        <w:rPr>
          <w:lang w:val="en-GB"/>
        </w:rPr>
        <w:t>illion</w:t>
      </w:r>
      <w:r w:rsidR="00BA141C" w:rsidRPr="00206D20">
        <w:rPr>
          <w:lang w:val="en-GB"/>
        </w:rPr>
        <w:t xml:space="preserve"> </w:t>
      </w:r>
      <w:r w:rsidR="00206D20" w:rsidRPr="00206D20">
        <w:rPr>
          <w:lang w:val="en-GB"/>
        </w:rPr>
        <w:t>(the loans had already been fully impaired); the waiver of further debt to be provided to Atlatsa until December 31, 2019, for care and maintenance costs at Bokoni Mine; and the waiver of all of the debt owing by Atlatsa Holdings Proprietary Limited, Atlatsa</w:t>
      </w:r>
      <w:r w:rsidR="00A311D8">
        <w:rPr>
          <w:lang w:val="en-GB"/>
        </w:rPr>
        <w:t>’</w:t>
      </w:r>
      <w:r w:rsidR="00206D20" w:rsidRPr="00206D20">
        <w:rPr>
          <w:lang w:val="en-GB"/>
        </w:rPr>
        <w:t>s controlling shareholder, to Anglo American Platinum totaling approximately R</w:t>
      </w:r>
      <w:r w:rsidR="003637DD">
        <w:rPr>
          <w:lang w:val="en-GB"/>
        </w:rPr>
        <w:t>0.5 b</w:t>
      </w:r>
      <w:r w:rsidR="00206D20" w:rsidRPr="00206D20">
        <w:rPr>
          <w:lang w:val="en-GB"/>
        </w:rPr>
        <w:t>illion (this loan has also already been fully impaired). Atlatsa and Anglo American Platinum retain their 51% and 49% respective shareholdings in the Bokoni Mine joint venture.</w:t>
      </w:r>
    </w:p>
    <w:p w14:paraId="1B83D76C" w14:textId="2E93BE8A" w:rsidR="001768BA" w:rsidRPr="00DA283E" w:rsidRDefault="001768BA" w:rsidP="00DA283E">
      <w:pPr>
        <w:pStyle w:val="Heading5"/>
        <w:rPr>
          <w:b/>
          <w:lang w:val="en-GB"/>
        </w:rPr>
      </w:pPr>
      <w:r w:rsidRPr="00DA283E">
        <w:rPr>
          <w:b/>
          <w:lang w:val="en-GB"/>
        </w:rPr>
        <w:t xml:space="preserve">Other Recent Developments </w:t>
      </w:r>
    </w:p>
    <w:p w14:paraId="26491A69" w14:textId="77777777" w:rsidR="001768BA" w:rsidRPr="00DA283E" w:rsidRDefault="001768BA" w:rsidP="00DA283E">
      <w:pPr>
        <w:pStyle w:val="Heading5"/>
        <w:rPr>
          <w:b/>
          <w:lang w:val="en-GB"/>
        </w:rPr>
      </w:pPr>
      <w:r w:rsidRPr="00DA283E">
        <w:rPr>
          <w:b/>
          <w:lang w:val="en-GB"/>
        </w:rPr>
        <w:t>Anglo American Platinum ACP plant shutdown</w:t>
      </w:r>
    </w:p>
    <w:p w14:paraId="1C229B93" w14:textId="73DEAF97" w:rsidR="001768BA" w:rsidRPr="001768BA" w:rsidRDefault="001768BA" w:rsidP="001768BA">
      <w:pPr>
        <w:pStyle w:val="BodyText"/>
        <w:widowControl/>
        <w:autoSpaceDE/>
        <w:autoSpaceDN/>
        <w:adjustRightInd/>
        <w:ind w:firstLine="360"/>
        <w:rPr>
          <w:lang w:val="en-GB"/>
        </w:rPr>
      </w:pPr>
      <w:r w:rsidRPr="001768BA">
        <w:rPr>
          <w:lang w:val="en-GB"/>
        </w:rPr>
        <w:t>O</w:t>
      </w:r>
      <w:r>
        <w:rPr>
          <w:lang w:val="en-GB"/>
        </w:rPr>
        <w:t xml:space="preserve">n </w:t>
      </w:r>
      <w:r w:rsidRPr="001768BA">
        <w:rPr>
          <w:lang w:val="en-GB"/>
        </w:rPr>
        <w:t xml:space="preserve">March </w:t>
      </w:r>
      <w:r>
        <w:rPr>
          <w:lang w:val="en-GB"/>
        </w:rPr>
        <w:t xml:space="preserve">6, </w:t>
      </w:r>
      <w:r w:rsidRPr="001768BA">
        <w:rPr>
          <w:lang w:val="en-GB"/>
        </w:rPr>
        <w:t xml:space="preserve">2020, Anglo American Platinum announced the temporary shutdown of the entire Anglo Converter Plant (the </w:t>
      </w:r>
      <w:r w:rsidR="00A311D8">
        <w:rPr>
          <w:lang w:val="en-GB"/>
        </w:rPr>
        <w:t>“</w:t>
      </w:r>
      <w:r w:rsidRPr="001768BA">
        <w:rPr>
          <w:lang w:val="en-GB"/>
        </w:rPr>
        <w:t>ACP</w:t>
      </w:r>
      <w:r w:rsidR="00A311D8">
        <w:rPr>
          <w:lang w:val="en-GB"/>
        </w:rPr>
        <w:t>”</w:t>
      </w:r>
      <w:r w:rsidRPr="001768BA">
        <w:rPr>
          <w:lang w:val="en-GB"/>
        </w:rPr>
        <w:t>), part of the chain of processing facilities, and the need to declare force majeure.</w:t>
      </w:r>
    </w:p>
    <w:p w14:paraId="5BEFD328" w14:textId="28D18A05" w:rsidR="001768BA" w:rsidRPr="001768BA" w:rsidRDefault="001768BA" w:rsidP="001768BA">
      <w:pPr>
        <w:pStyle w:val="BodyText"/>
        <w:widowControl/>
        <w:autoSpaceDE/>
        <w:autoSpaceDN/>
        <w:adjustRightInd/>
        <w:ind w:firstLine="360"/>
        <w:rPr>
          <w:lang w:val="en-GB"/>
        </w:rPr>
      </w:pPr>
      <w:r w:rsidRPr="001768BA">
        <w:rPr>
          <w:lang w:val="en-GB"/>
        </w:rPr>
        <w:lastRenderedPageBreak/>
        <w:t>Anglo American Platinum</w:t>
      </w:r>
      <w:r w:rsidR="00A311D8">
        <w:rPr>
          <w:lang w:val="en-GB"/>
        </w:rPr>
        <w:t>’</w:t>
      </w:r>
      <w:r w:rsidRPr="001768BA">
        <w:rPr>
          <w:lang w:val="en-GB"/>
        </w:rPr>
        <w:t>s ACP phase A converter plant, at Waterval smelter in Rustenburg, was damaged following an explosion within the converter on February 10</w:t>
      </w:r>
      <w:r>
        <w:rPr>
          <w:lang w:val="en-GB"/>
        </w:rPr>
        <w:t>,</w:t>
      </w:r>
      <w:r w:rsidRPr="001768BA">
        <w:rPr>
          <w:lang w:val="en-GB"/>
        </w:rPr>
        <w:t xml:space="preserve"> 2020. Nobody was injured in the incident and work has started to repair phase A, which is currently expected to be completed by </w:t>
      </w:r>
      <w:r>
        <w:rPr>
          <w:lang w:val="en-GB"/>
        </w:rPr>
        <w:t>the first quarter of</w:t>
      </w:r>
      <w:r w:rsidRPr="001768BA">
        <w:rPr>
          <w:lang w:val="en-GB"/>
        </w:rPr>
        <w:t xml:space="preserve"> 2021.</w:t>
      </w:r>
      <w:r>
        <w:rPr>
          <w:lang w:val="en-GB"/>
        </w:rPr>
        <w:t xml:space="preserve"> </w:t>
      </w:r>
    </w:p>
    <w:p w14:paraId="1A8490D5" w14:textId="77777777" w:rsidR="001768BA" w:rsidRPr="001768BA" w:rsidRDefault="001768BA" w:rsidP="001768BA">
      <w:pPr>
        <w:pStyle w:val="BodyText"/>
        <w:widowControl/>
        <w:autoSpaceDE/>
        <w:autoSpaceDN/>
        <w:adjustRightInd/>
        <w:ind w:firstLine="360"/>
        <w:rPr>
          <w:lang w:val="en-GB"/>
        </w:rPr>
      </w:pPr>
      <w:r w:rsidRPr="001768BA">
        <w:rPr>
          <w:lang w:val="en-GB"/>
        </w:rPr>
        <w:t>As per normal business procedure, the phase B unit was commissioned to take over from the phase A plant and was in the process of ramping up to steady state, when water was detected in the furnace. Notwithstanding extensive testing being conducted to determine the source of the water, and a number of circuits being isolated, water continued to be observed in the furnace. This poses a high risk of explosion and Anglo American Platinum determined that it had no other option but to temporarily shut down the phase B unit, to ensure the safety of all employees, and avoid a catastrophic event.</w:t>
      </w:r>
    </w:p>
    <w:p w14:paraId="7501862D" w14:textId="5F9C9B4B" w:rsidR="001768BA" w:rsidRPr="00571974" w:rsidRDefault="001768BA" w:rsidP="00542FF4">
      <w:pPr>
        <w:pStyle w:val="BodyText"/>
        <w:widowControl/>
        <w:autoSpaceDE/>
        <w:autoSpaceDN/>
        <w:adjustRightInd/>
        <w:ind w:firstLine="360"/>
        <w:rPr>
          <w:lang w:val="en-GB"/>
        </w:rPr>
      </w:pPr>
      <w:r w:rsidRPr="001768BA">
        <w:rPr>
          <w:lang w:val="en-GB"/>
        </w:rPr>
        <w:t>As a result of the temporary closure of the entire ACP, Anglo American Platinum has had to declare force majeure to customers, suppliers of third-party purchase of concentrate and suppliers of tolling material, as it is unable to complete the processing of material during the converter repair. Production from own mines will continue, and the concentrate from the mines will continue to be smelted at one of the four smelter complexes. However, production from own mines, as well as third party material will not be able to be converted to refined production while the ACP is undergoing repairs.</w:t>
      </w:r>
      <w:r>
        <w:rPr>
          <w:lang w:val="en-GB"/>
        </w:rPr>
        <w:t xml:space="preserve"> </w:t>
      </w:r>
    </w:p>
    <w:bookmarkEnd w:id="55"/>
    <w:p w14:paraId="0384B5D6" w14:textId="77777777" w:rsidR="00542FF4" w:rsidRPr="00571974" w:rsidRDefault="003D4D89" w:rsidP="007B1404">
      <w:pPr>
        <w:pStyle w:val="Heading3"/>
        <w:rPr>
          <w:lang w:val="en-GB"/>
        </w:rPr>
      </w:pPr>
      <w:r w:rsidRPr="00571974">
        <w:rPr>
          <w:lang w:val="en-GB"/>
        </w:rPr>
        <w:t>Iron Ore</w:t>
      </w:r>
    </w:p>
    <w:p w14:paraId="15408339" w14:textId="77777777" w:rsidR="00542FF4" w:rsidRPr="00571974" w:rsidRDefault="003D4D89" w:rsidP="00EA3F32">
      <w:pPr>
        <w:pStyle w:val="Heading4"/>
      </w:pPr>
      <w:r w:rsidRPr="00571974">
        <w:t>Business Overview</w:t>
      </w:r>
    </w:p>
    <w:p w14:paraId="66F6E930" w14:textId="295F0BC4" w:rsidR="00C7196C" w:rsidRPr="00571974" w:rsidRDefault="003D4D89" w:rsidP="000E4543">
      <w:pPr>
        <w:pStyle w:val="BodyText"/>
        <w:widowControl/>
        <w:autoSpaceDE/>
        <w:autoSpaceDN/>
        <w:adjustRightInd/>
        <w:ind w:firstLine="360"/>
        <w:rPr>
          <w:lang w:val="en-GB"/>
        </w:rPr>
      </w:pPr>
      <w:r w:rsidRPr="00571974">
        <w:rPr>
          <w:lang w:val="en-GB"/>
        </w:rPr>
        <w:t>Anglo American</w:t>
      </w:r>
      <w:r w:rsidR="00A311D8">
        <w:rPr>
          <w:lang w:val="en-GB"/>
        </w:rPr>
        <w:t>’</w:t>
      </w:r>
      <w:r w:rsidRPr="00571974">
        <w:rPr>
          <w:lang w:val="en-GB"/>
        </w:rPr>
        <w:t>s iron ore operations provide customers with high-grade iron ore products which help our steel customers meet ever tighter emissions standards. In South Africa, we have a majority share (69.7%) in Kumba Iron Ore, while in Brazil we have developed the integrated Minas-Rio operation.</w:t>
      </w:r>
    </w:p>
    <w:p w14:paraId="295CBB38" w14:textId="1604D8ED" w:rsidR="00F17F94" w:rsidRPr="00571974" w:rsidRDefault="003D4D89" w:rsidP="000E4543">
      <w:pPr>
        <w:autoSpaceDE/>
        <w:spacing w:after="120"/>
        <w:ind w:firstLine="360"/>
        <w:rPr>
          <w:lang w:val="en-GB"/>
        </w:rPr>
      </w:pPr>
      <w:r w:rsidRPr="00571974">
        <w:rPr>
          <w:lang w:val="en-GB"/>
        </w:rPr>
        <w:t>Anglo American</w:t>
      </w:r>
      <w:r w:rsidR="00A311D8">
        <w:rPr>
          <w:lang w:val="en-GB"/>
        </w:rPr>
        <w:t>’</w:t>
      </w:r>
      <w:r w:rsidRPr="00571974">
        <w:rPr>
          <w:lang w:val="en-GB"/>
        </w:rPr>
        <w:t>s strategy is to supply premium iron ore products against a background of declining quality global iron ore supplies. We have a unique iron ore resource profile, with extensive, high quality resource bases in South Africa and Brazil.</w:t>
      </w:r>
    </w:p>
    <w:p w14:paraId="4C079D89" w14:textId="32848D90" w:rsidR="00542FF4" w:rsidRPr="009F3BED" w:rsidRDefault="003D4D89" w:rsidP="007B1404">
      <w:pPr>
        <w:autoSpaceDE/>
        <w:spacing w:after="120"/>
        <w:ind w:firstLine="360"/>
        <w:rPr>
          <w:bCs/>
          <w:iCs/>
        </w:rPr>
      </w:pPr>
      <w:r w:rsidRPr="007B1404">
        <w:rPr>
          <w:b/>
          <w:bCs/>
          <w:i/>
          <w:iCs/>
        </w:rPr>
        <w:t>Kumba</w:t>
      </w:r>
    </w:p>
    <w:p w14:paraId="5B337313" w14:textId="2A8EFB22" w:rsidR="00C7196C" w:rsidRDefault="003D4D89" w:rsidP="00F03602">
      <w:pPr>
        <w:autoSpaceDE/>
        <w:spacing w:after="120"/>
        <w:ind w:firstLine="360"/>
        <w:rPr>
          <w:lang w:val="en-GB"/>
        </w:rPr>
      </w:pPr>
      <w:r w:rsidRPr="00571974">
        <w:rPr>
          <w:lang w:val="en-GB"/>
        </w:rPr>
        <w:t>Kumba, which is listed on the Johannesburg Stock Exchange, operates two open-pit mines – Sishen and Kolomela – both located in the Northern Cape of South Africa, producing high</w:t>
      </w:r>
      <w:r w:rsidR="00F03602">
        <w:rPr>
          <w:lang w:val="en-GB"/>
        </w:rPr>
        <w:t>-</w:t>
      </w:r>
      <w:r w:rsidRPr="00571974">
        <w:rPr>
          <w:lang w:val="en-GB"/>
        </w:rPr>
        <w:t>grade (64.</w:t>
      </w:r>
      <w:r w:rsidR="00094105">
        <w:rPr>
          <w:lang w:val="en-GB"/>
        </w:rPr>
        <w:t>2</w:t>
      </w:r>
      <w:r w:rsidRPr="00571974">
        <w:rPr>
          <w:lang w:val="en-GB"/>
        </w:rPr>
        <w:t>%</w:t>
      </w:r>
      <w:r w:rsidR="00AD4E55">
        <w:rPr>
          <w:lang w:val="en-GB"/>
        </w:rPr>
        <w:t>Fe</w:t>
      </w:r>
      <w:r w:rsidRPr="00571974">
        <w:rPr>
          <w:lang w:val="en-GB"/>
        </w:rPr>
        <w:t xml:space="preserve">) and </w:t>
      </w:r>
      <w:r w:rsidR="00F03602">
        <w:rPr>
          <w:lang w:val="en-GB"/>
        </w:rPr>
        <w:t>high-</w:t>
      </w:r>
      <w:r w:rsidRPr="00571974">
        <w:rPr>
          <w:lang w:val="en-GB"/>
        </w:rPr>
        <w:t>quality lump ore and a premium fine ore. Around 6</w:t>
      </w:r>
      <w:r w:rsidR="00094105">
        <w:rPr>
          <w:lang w:val="en-GB"/>
        </w:rPr>
        <w:t>7</w:t>
      </w:r>
      <w:r w:rsidRPr="00571974">
        <w:rPr>
          <w:lang w:val="en-GB"/>
        </w:rPr>
        <w:t>% of Kumba</w:t>
      </w:r>
      <w:r w:rsidR="00A311D8">
        <w:rPr>
          <w:lang w:val="en-GB"/>
        </w:rPr>
        <w:t>’</w:t>
      </w:r>
      <w:r w:rsidRPr="00571974">
        <w:rPr>
          <w:lang w:val="en-GB"/>
        </w:rPr>
        <w:t>s production is lump, which commands a premium price, owing to its physical strength and high iron content. Kumba is serviced by an 861-kilometre rail line, the iron ore export channel, managed by Transnet. Our marketing teams work closely with our customers to blend and match our products with their needs – before shipment from Saldanha Bay to China, Japan and Europe.</w:t>
      </w:r>
    </w:p>
    <w:p w14:paraId="16CDF5E3" w14:textId="589B8C08" w:rsidR="00721FCF" w:rsidRPr="00571974" w:rsidRDefault="00721FCF" w:rsidP="00721FCF">
      <w:pPr>
        <w:autoSpaceDE/>
        <w:spacing w:after="120"/>
        <w:ind w:firstLine="360"/>
        <w:rPr>
          <w:lang w:val="en-GB"/>
        </w:rPr>
      </w:pPr>
      <w:r w:rsidRPr="00571974">
        <w:rPr>
          <w:lang w:val="en-GB"/>
        </w:rPr>
        <w:t>Kumba seeks to deliver sustainable stakeholder returns by unlocking the full potential of Kumba</w:t>
      </w:r>
      <w:r w:rsidR="00A311D8">
        <w:rPr>
          <w:lang w:val="en-GB"/>
        </w:rPr>
        <w:t>’</w:t>
      </w:r>
      <w:r w:rsidRPr="00571974">
        <w:rPr>
          <w:lang w:val="en-GB"/>
        </w:rPr>
        <w:t xml:space="preserve">s assets through safe, efficient and innovative operational performance. Kumba is well positioned to drive margin expansion across the value chain through higher price realizations from improved product quality while continuing to deliver cost savings and operational efficiencies. </w:t>
      </w:r>
    </w:p>
    <w:p w14:paraId="765EBA83" w14:textId="77777777" w:rsidR="00721FCF" w:rsidRPr="00571974" w:rsidRDefault="00721FCF" w:rsidP="00721FCF">
      <w:pPr>
        <w:autoSpaceDE/>
        <w:spacing w:after="120"/>
        <w:ind w:firstLine="360"/>
        <w:rPr>
          <w:lang w:val="en-GB"/>
        </w:rPr>
      </w:pPr>
      <w:r w:rsidRPr="00571974">
        <w:rPr>
          <w:lang w:val="en-GB"/>
        </w:rPr>
        <w:t>In addition to optimizing its current assets, Kumba seeks to grow its core business by investing in new technologies to beneficiate potential in situ and stockpile/discard materials and realize various identified life extension projects around both Sishen and Kolomela. Kumba seeks to focus on the Northern Cape, as the region contains the most attractive ore bodies.</w:t>
      </w:r>
    </w:p>
    <w:p w14:paraId="36FCAEE2" w14:textId="2B262482" w:rsidR="00721FCF" w:rsidRPr="00571974" w:rsidRDefault="00721FCF" w:rsidP="00721FCF">
      <w:pPr>
        <w:autoSpaceDE/>
        <w:spacing w:after="120"/>
        <w:ind w:firstLine="360"/>
        <w:rPr>
          <w:lang w:val="en-GB"/>
        </w:rPr>
      </w:pPr>
      <w:r w:rsidRPr="00571974">
        <w:rPr>
          <w:lang w:val="en-GB"/>
        </w:rPr>
        <w:t>Kumba captures value across the value chain through its commercial and logistics strategies and by executing its growth projects efficiently, while continuing to deliver on its organizational responsibilities, capabilities and societal obligations.</w:t>
      </w:r>
    </w:p>
    <w:p w14:paraId="5FD285BA" w14:textId="77777777" w:rsidR="00542FF4" w:rsidRPr="00571974" w:rsidRDefault="003D4D89" w:rsidP="00EA3F32">
      <w:pPr>
        <w:pStyle w:val="Heading4"/>
      </w:pPr>
      <w:r w:rsidRPr="00571974">
        <w:t>Iron Ore Brazil</w:t>
      </w:r>
    </w:p>
    <w:p w14:paraId="2A612B01" w14:textId="467DDC67" w:rsidR="00C7196C" w:rsidRPr="00571974" w:rsidRDefault="003D4D89" w:rsidP="000E4543">
      <w:pPr>
        <w:autoSpaceDE/>
        <w:spacing w:after="120"/>
        <w:ind w:firstLine="360"/>
        <w:rPr>
          <w:lang w:val="en-GB"/>
        </w:rPr>
      </w:pPr>
      <w:r w:rsidRPr="00571974">
        <w:rPr>
          <w:lang w:val="en-GB"/>
        </w:rPr>
        <w:t>Our integrated iron ore operation in Brazil, Minas-Rio, consists of an open pit mine and beneficiation plant, which produces a high-grade (~67%</w:t>
      </w:r>
      <w:r w:rsidR="00AD4E55">
        <w:rPr>
          <w:lang w:val="en-GB"/>
        </w:rPr>
        <w:t>Fe</w:t>
      </w:r>
      <w:r w:rsidRPr="00571974">
        <w:rPr>
          <w:lang w:val="en-GB"/>
        </w:rPr>
        <w:t xml:space="preserve">) pellet feed product, with low levels of contaminants. The iron ore is then transported through a 529-kilometre pipeline to the iron ore handling and shipping facilities at the port of Açu, in which Anglo American has a 50% </w:t>
      </w:r>
      <w:r w:rsidR="00F17F94" w:rsidRPr="00571974">
        <w:rPr>
          <w:lang w:val="en-GB"/>
        </w:rPr>
        <w:t>interest</w:t>
      </w:r>
      <w:r w:rsidRPr="00571974">
        <w:rPr>
          <w:lang w:val="en-GB"/>
        </w:rPr>
        <w:t xml:space="preserve">. </w:t>
      </w:r>
    </w:p>
    <w:p w14:paraId="6CBB978F" w14:textId="50F8CE66" w:rsidR="00F43655" w:rsidRPr="00571974" w:rsidRDefault="003D4D89" w:rsidP="000E4543">
      <w:pPr>
        <w:autoSpaceDE/>
        <w:spacing w:after="120"/>
        <w:ind w:firstLine="360"/>
        <w:rPr>
          <w:lang w:val="en-GB"/>
        </w:rPr>
      </w:pPr>
      <w:r w:rsidRPr="00571974">
        <w:rPr>
          <w:lang w:val="en-GB"/>
        </w:rPr>
        <w:t>In December 2018, Minas-Rio</w:t>
      </w:r>
      <w:r w:rsidR="002421B0" w:rsidRPr="00571974">
        <w:rPr>
          <w:lang w:val="en-GB"/>
        </w:rPr>
        <w:t xml:space="preserve"> received regulatory approval relating to the Step 3 </w:t>
      </w:r>
      <w:r w:rsidR="00361910" w:rsidRPr="00571974">
        <w:rPr>
          <w:lang w:val="en-GB"/>
        </w:rPr>
        <w:t xml:space="preserve">environmental </w:t>
      </w:r>
      <w:r w:rsidR="002421B0" w:rsidRPr="00571974">
        <w:rPr>
          <w:lang w:val="en-GB"/>
        </w:rPr>
        <w:t>licen</w:t>
      </w:r>
      <w:r w:rsidR="00610C80" w:rsidRPr="00571974">
        <w:rPr>
          <w:lang w:val="en-GB"/>
        </w:rPr>
        <w:t>s</w:t>
      </w:r>
      <w:r w:rsidR="002421B0" w:rsidRPr="00571974">
        <w:rPr>
          <w:lang w:val="en-GB"/>
        </w:rPr>
        <w:t xml:space="preserve">e </w:t>
      </w:r>
      <w:r w:rsidR="00361910" w:rsidRPr="00571974">
        <w:rPr>
          <w:lang w:val="en-GB"/>
        </w:rPr>
        <w:t xml:space="preserve">for the mine </w:t>
      </w:r>
      <w:r w:rsidR="002421B0" w:rsidRPr="00571974">
        <w:rPr>
          <w:lang w:val="en-GB"/>
        </w:rPr>
        <w:t xml:space="preserve">area of Minas-Rio. Access to the Step 3 areas provides greater operational flexibility and access to higher grade iron ore to support the increase of production of operation towards its full design capacity of 26.5 </w:t>
      </w:r>
      <w:r w:rsidR="00E027C4" w:rsidRPr="00571974">
        <w:rPr>
          <w:lang w:val="en-GB"/>
        </w:rPr>
        <w:t>Mt (wet basis)</w:t>
      </w:r>
      <w:r w:rsidR="002421B0" w:rsidRPr="00571974">
        <w:rPr>
          <w:lang w:val="en-GB"/>
        </w:rPr>
        <w:t>.</w:t>
      </w:r>
      <w:r w:rsidR="00E027C4" w:rsidRPr="00571974">
        <w:rPr>
          <w:lang w:val="en-GB"/>
        </w:rPr>
        <w:t xml:space="preserve"> </w:t>
      </w:r>
      <w:r w:rsidR="00721FCF">
        <w:rPr>
          <w:lang w:val="en-GB"/>
        </w:rPr>
        <w:t xml:space="preserve">Following the suspension of operations at Minas-Rio on March 29, 2018 as a result of a second leak in a </w:t>
      </w:r>
      <w:r w:rsidR="00721FCF">
        <w:rPr>
          <w:lang w:val="en-GB"/>
        </w:rPr>
        <w:lastRenderedPageBreak/>
        <w:t xml:space="preserve">pipeline on this date, </w:t>
      </w:r>
      <w:r w:rsidR="00E027C4" w:rsidRPr="00571974">
        <w:rPr>
          <w:lang w:val="en-GB"/>
        </w:rPr>
        <w:t>Minas-Rio resumed operations</w:t>
      </w:r>
      <w:r w:rsidR="00DD4888" w:rsidRPr="00571974">
        <w:rPr>
          <w:lang w:val="en-GB"/>
        </w:rPr>
        <w:t xml:space="preserve"> on </w:t>
      </w:r>
      <w:r w:rsidR="00CF59EB" w:rsidRPr="00571974">
        <w:rPr>
          <w:lang w:val="en-GB"/>
        </w:rPr>
        <w:t xml:space="preserve">December 21, </w:t>
      </w:r>
      <w:r w:rsidR="00DD4888" w:rsidRPr="00571974">
        <w:rPr>
          <w:lang w:val="en-GB"/>
        </w:rPr>
        <w:t>2018,</w:t>
      </w:r>
      <w:r w:rsidR="00E027C4" w:rsidRPr="00571974">
        <w:rPr>
          <w:lang w:val="en-GB"/>
        </w:rPr>
        <w:t xml:space="preserve"> following an extensive and detailed technical inspection of the pipeline, </w:t>
      </w:r>
      <w:r w:rsidR="00721FCF">
        <w:rPr>
          <w:lang w:val="en-GB"/>
        </w:rPr>
        <w:t xml:space="preserve">which </w:t>
      </w:r>
      <w:r w:rsidR="00890B86" w:rsidRPr="00571974">
        <w:rPr>
          <w:lang w:val="en-GB"/>
        </w:rPr>
        <w:t>confirm</w:t>
      </w:r>
      <w:r w:rsidR="00721FCF">
        <w:rPr>
          <w:lang w:val="en-GB"/>
        </w:rPr>
        <w:t>ed</w:t>
      </w:r>
      <w:r w:rsidR="00E027C4" w:rsidRPr="00571974">
        <w:rPr>
          <w:lang w:val="en-GB"/>
        </w:rPr>
        <w:t xml:space="preserve"> </w:t>
      </w:r>
      <w:r w:rsidR="00890B86" w:rsidRPr="00571974">
        <w:rPr>
          <w:lang w:val="en-GB"/>
        </w:rPr>
        <w:t>its</w:t>
      </w:r>
      <w:r w:rsidR="00E027C4" w:rsidRPr="00571974">
        <w:rPr>
          <w:lang w:val="en-GB"/>
        </w:rPr>
        <w:t xml:space="preserve"> integrity</w:t>
      </w:r>
      <w:r w:rsidR="00721FCF">
        <w:rPr>
          <w:lang w:val="en-GB"/>
        </w:rPr>
        <w:t>.</w:t>
      </w:r>
      <w:r w:rsidR="00E027C4" w:rsidRPr="00571974">
        <w:rPr>
          <w:lang w:val="en-GB"/>
        </w:rPr>
        <w:t xml:space="preserve">  </w:t>
      </w:r>
      <w:r w:rsidR="00361910" w:rsidRPr="00571974">
        <w:rPr>
          <w:lang w:val="en-GB"/>
        </w:rPr>
        <w:t xml:space="preserve">Following the </w:t>
      </w:r>
      <w:r w:rsidR="00291CC9" w:rsidRPr="00571974">
        <w:rPr>
          <w:lang w:val="en-GB"/>
        </w:rPr>
        <w:t>leak</w:t>
      </w:r>
      <w:r w:rsidR="00361910" w:rsidRPr="00571974">
        <w:rPr>
          <w:lang w:val="en-GB"/>
        </w:rPr>
        <w:t>,</w:t>
      </w:r>
      <w:r w:rsidR="00291CC9" w:rsidRPr="00571974">
        <w:rPr>
          <w:lang w:val="en-GB"/>
        </w:rPr>
        <w:t xml:space="preserve"> a pipeline scan </w:t>
      </w:r>
      <w:r w:rsidR="00F17F94" w:rsidRPr="00571974">
        <w:rPr>
          <w:lang w:val="en-GB"/>
        </w:rPr>
        <w:t xml:space="preserve">was </w:t>
      </w:r>
      <w:r w:rsidR="00291CC9" w:rsidRPr="00571974">
        <w:rPr>
          <w:lang w:val="en-GB"/>
        </w:rPr>
        <w:t>completed and independently verified, 4km of pipeline was replaced as a precaution, additional monitoring equipment was installed and pig inspection frequency will be increased to 2 years, from 5.</w:t>
      </w:r>
    </w:p>
    <w:p w14:paraId="2CAC2948" w14:textId="0D86700F" w:rsidR="00513235" w:rsidRDefault="003D4D89" w:rsidP="00DA283E">
      <w:pPr>
        <w:autoSpaceDE/>
        <w:spacing w:after="120"/>
        <w:ind w:firstLine="360"/>
        <w:rPr>
          <w:lang w:val="en-GB" w:eastAsia="en-US" w:bidi="ar-SA"/>
        </w:rPr>
      </w:pPr>
      <w:r w:rsidRPr="00571974">
        <w:rPr>
          <w:lang w:val="en-GB"/>
        </w:rPr>
        <w:t xml:space="preserve">In December 2019 the Group </w:t>
      </w:r>
      <w:r w:rsidR="00571974" w:rsidRPr="00571974">
        <w:rPr>
          <w:lang w:val="en-GB"/>
        </w:rPr>
        <w:t>received</w:t>
      </w:r>
      <w:r w:rsidRPr="00571974">
        <w:rPr>
          <w:lang w:val="en-GB"/>
        </w:rPr>
        <w:t xml:space="preserve"> the next phase of its operating licen</w:t>
      </w:r>
      <w:r w:rsidR="000177E2">
        <w:rPr>
          <w:lang w:val="en-GB"/>
        </w:rPr>
        <w:t>s</w:t>
      </w:r>
      <w:r w:rsidRPr="00571974">
        <w:rPr>
          <w:lang w:val="en-GB"/>
        </w:rPr>
        <w:t>e, following the work to raise the dam</w:t>
      </w:r>
      <w:r w:rsidR="00721FCF">
        <w:rPr>
          <w:lang w:val="en-GB"/>
        </w:rPr>
        <w:t xml:space="preserve"> from level 680 to level 700</w:t>
      </w:r>
      <w:r w:rsidRPr="00571974">
        <w:rPr>
          <w:lang w:val="en-GB"/>
        </w:rPr>
        <w:t xml:space="preserve"> as part of the Step 3 licen</w:t>
      </w:r>
      <w:r w:rsidR="000177E2">
        <w:rPr>
          <w:lang w:val="en-GB"/>
        </w:rPr>
        <w:t>s</w:t>
      </w:r>
      <w:r w:rsidRPr="00571974">
        <w:rPr>
          <w:lang w:val="en-GB"/>
        </w:rPr>
        <w:t>e area of the mine. The regulatory authorities in Brazil granted the installation licen</w:t>
      </w:r>
      <w:r w:rsidR="000177E2">
        <w:rPr>
          <w:lang w:val="en-GB"/>
        </w:rPr>
        <w:t>s</w:t>
      </w:r>
      <w:r w:rsidRPr="00571974">
        <w:rPr>
          <w:lang w:val="en-GB"/>
        </w:rPr>
        <w:t>e for this work in January 2018 and the construction work</w:t>
      </w:r>
      <w:r w:rsidR="00721FCF">
        <w:rPr>
          <w:lang w:val="en-GB"/>
        </w:rPr>
        <w:t xml:space="preserve"> to level 689</w:t>
      </w:r>
      <w:r w:rsidRPr="00571974">
        <w:rPr>
          <w:lang w:val="en-GB"/>
        </w:rPr>
        <w:t xml:space="preserve"> was completed in accordance with that licen</w:t>
      </w:r>
      <w:r w:rsidR="000177E2">
        <w:rPr>
          <w:lang w:val="en-GB"/>
        </w:rPr>
        <w:t>s</w:t>
      </w:r>
      <w:r w:rsidRPr="00571974">
        <w:rPr>
          <w:lang w:val="en-GB"/>
        </w:rPr>
        <w:t>e in August 2019.</w:t>
      </w:r>
      <w:r w:rsidR="00C7196C" w:rsidRPr="00571974">
        <w:rPr>
          <w:lang w:val="en-GB"/>
        </w:rPr>
        <w:t xml:space="preserve"> </w:t>
      </w:r>
      <w:bookmarkStart w:id="56" w:name="_Hlk32227928"/>
      <w:r w:rsidR="00C7196C" w:rsidRPr="00571974">
        <w:rPr>
          <w:lang w:val="en-GB"/>
        </w:rPr>
        <w:t>During 2019, operations at Minas-Rio achieved a successful ramp-up and the operating licen</w:t>
      </w:r>
      <w:r w:rsidR="000177E2">
        <w:rPr>
          <w:lang w:val="en-GB"/>
        </w:rPr>
        <w:t>s</w:t>
      </w:r>
      <w:r w:rsidR="00C7196C" w:rsidRPr="00571974">
        <w:rPr>
          <w:lang w:val="en-GB"/>
        </w:rPr>
        <w:t>e for the first tailings dam extension</w:t>
      </w:r>
      <w:r w:rsidR="00721FCF">
        <w:rPr>
          <w:lang w:val="en-GB"/>
        </w:rPr>
        <w:t xml:space="preserve"> to level 689</w:t>
      </w:r>
      <w:r w:rsidR="00C7196C" w:rsidRPr="00571974">
        <w:rPr>
          <w:lang w:val="en-GB"/>
        </w:rPr>
        <w:t xml:space="preserve"> was awarded in December 2019.</w:t>
      </w:r>
      <w:r w:rsidR="00513235">
        <w:rPr>
          <w:lang w:val="en-GB"/>
        </w:rPr>
        <w:t xml:space="preserve"> </w:t>
      </w:r>
      <w:r w:rsidR="00513235">
        <w:t>Construction work for level 700 is under way and is currently expected to be completed by the end of 2020 with the operating license for the increase to level 700 currently expected to be obtained early in 2021.</w:t>
      </w:r>
    </w:p>
    <w:p w14:paraId="73B22CC0" w14:textId="72D36196" w:rsidR="009F55F1" w:rsidRPr="00571974" w:rsidRDefault="00513235">
      <w:pPr>
        <w:autoSpaceDE/>
        <w:spacing w:after="120"/>
        <w:ind w:firstLine="360"/>
        <w:rPr>
          <w:lang w:val="en-GB"/>
        </w:rPr>
      </w:pPr>
      <w:r>
        <w:t xml:space="preserve">In January 2020, Anglo American and the State of Minas Gerais received a citizen claim requesting a declaration that the operating license for the heightening of the tailings dam to level 689 be declared null and void. Both the State of Minas Gerais and Anglo American opposed the relief and the injunction was denied. The claimant </w:t>
      </w:r>
      <w:r w:rsidR="00357E37">
        <w:t>has now withdrawn its claim</w:t>
      </w:r>
      <w:r>
        <w:t>.</w:t>
      </w:r>
      <w:r w:rsidR="0009201B">
        <w:t xml:space="preserve"> </w:t>
      </w:r>
      <w:r w:rsidR="0009201B" w:rsidRPr="0009201B">
        <w:t>In March 2020, the Public Prosecutor of Conceição do Mato Dentro filed a public civil claim against Anglo American and the State of Minas Gerais in similar terms to the aforementioned January 2020 civil claim. Anglo American and the State of Minas Gerais intend to oppose the relief.</w:t>
      </w:r>
    </w:p>
    <w:bookmarkEnd w:id="56"/>
    <w:p w14:paraId="61AC0302" w14:textId="77777777" w:rsidR="00542FF4" w:rsidRPr="00571974" w:rsidRDefault="003D4D89" w:rsidP="00EA3F32">
      <w:pPr>
        <w:pStyle w:val="Heading4"/>
      </w:pPr>
      <w:r w:rsidRPr="00571974">
        <w:t>Significant Transactions and Restructuring</w:t>
      </w:r>
    </w:p>
    <w:p w14:paraId="1EFC4463" w14:textId="77777777" w:rsidR="00542FF4" w:rsidRPr="00571974" w:rsidRDefault="003D4D89" w:rsidP="00542FF4">
      <w:pPr>
        <w:pStyle w:val="Heading5"/>
        <w:rPr>
          <w:b/>
          <w:lang w:val="en-GB"/>
        </w:rPr>
      </w:pPr>
      <w:r w:rsidRPr="00571974">
        <w:rPr>
          <w:b/>
          <w:lang w:val="en-GB"/>
        </w:rPr>
        <w:t>Sishen Mining Right</w:t>
      </w:r>
    </w:p>
    <w:p w14:paraId="4ED84994" w14:textId="3ADC6E64" w:rsidR="00622106" w:rsidRPr="00571974" w:rsidRDefault="003D4D89" w:rsidP="000E4543">
      <w:pPr>
        <w:autoSpaceDE/>
        <w:spacing w:after="120"/>
        <w:ind w:firstLine="360"/>
        <w:rPr>
          <w:lang w:val="en-GB"/>
        </w:rPr>
      </w:pPr>
      <w:r w:rsidRPr="00571974">
        <w:rPr>
          <w:lang w:val="en-GB"/>
        </w:rPr>
        <w:t>Sishen</w:t>
      </w:r>
      <w:r w:rsidR="00A311D8">
        <w:rPr>
          <w:lang w:val="en-GB"/>
        </w:rPr>
        <w:t>’</w:t>
      </w:r>
      <w:r w:rsidRPr="00571974">
        <w:rPr>
          <w:lang w:val="en-GB"/>
        </w:rPr>
        <w:t xml:space="preserve">s application to extend </w:t>
      </w:r>
      <w:r w:rsidR="00F17F94" w:rsidRPr="00571974">
        <w:rPr>
          <w:lang w:val="en-GB"/>
        </w:rPr>
        <w:t xml:space="preserve">its </w:t>
      </w:r>
      <w:r w:rsidRPr="00571974">
        <w:rPr>
          <w:lang w:val="en-GB"/>
        </w:rPr>
        <w:t>Sishen mine</w:t>
      </w:r>
      <w:r w:rsidR="00A311D8">
        <w:rPr>
          <w:lang w:val="en-GB"/>
        </w:rPr>
        <w:t>’</w:t>
      </w:r>
      <w:r w:rsidRPr="00571974">
        <w:rPr>
          <w:lang w:val="en-GB"/>
        </w:rPr>
        <w:t xml:space="preserve">s mining right by the inclusion of the adjacent </w:t>
      </w:r>
      <w:r w:rsidR="00F17F94" w:rsidRPr="00571974">
        <w:rPr>
          <w:lang w:val="en-GB"/>
        </w:rPr>
        <w:t xml:space="preserve">Dingleton area </w:t>
      </w:r>
      <w:r w:rsidRPr="00571974">
        <w:rPr>
          <w:lang w:val="en-GB"/>
        </w:rPr>
        <w:t>was granted on June 25, 2017 and executed</w:t>
      </w:r>
      <w:r w:rsidR="00571974">
        <w:rPr>
          <w:lang w:val="en-GB"/>
        </w:rPr>
        <w:t xml:space="preserve"> by notary</w:t>
      </w:r>
      <w:r w:rsidRPr="00571974">
        <w:rPr>
          <w:lang w:val="en-GB"/>
        </w:rPr>
        <w:t xml:space="preserve"> on June 29, 2018. </w:t>
      </w:r>
      <w:r w:rsidR="00F17F94" w:rsidRPr="00571974">
        <w:rPr>
          <w:lang w:val="en-GB"/>
        </w:rPr>
        <w:t xml:space="preserve">This </w:t>
      </w:r>
      <w:r w:rsidRPr="00571974">
        <w:rPr>
          <w:lang w:val="en-GB"/>
        </w:rPr>
        <w:t>allows Sishen mine to expand its current operations within the adjacent Dingleton area</w:t>
      </w:r>
      <w:r w:rsidR="00B4729C" w:rsidRPr="00571974">
        <w:rPr>
          <w:lang w:val="en-GB"/>
        </w:rPr>
        <w:t>.</w:t>
      </w:r>
      <w:r w:rsidR="00F17F94" w:rsidRPr="00571974">
        <w:rPr>
          <w:lang w:val="en-GB"/>
        </w:rPr>
        <w:t xml:space="preserve"> Mining operations have since been commenced in </w:t>
      </w:r>
      <w:r w:rsidR="0067587D">
        <w:rPr>
          <w:lang w:val="en-GB"/>
        </w:rPr>
        <w:t>one</w:t>
      </w:r>
      <w:r w:rsidR="00F17F94" w:rsidRPr="00571974">
        <w:rPr>
          <w:lang w:val="en-GB"/>
        </w:rPr>
        <w:t xml:space="preserve"> of the pushback areas, namely pushback 16, following the deproclamation of that area and re</w:t>
      </w:r>
      <w:r w:rsidR="0047454D" w:rsidRPr="00571974">
        <w:rPr>
          <w:lang w:val="en-GB"/>
        </w:rPr>
        <w:t>z</w:t>
      </w:r>
      <w:r w:rsidR="00F17F94" w:rsidRPr="00571974">
        <w:rPr>
          <w:lang w:val="en-GB"/>
        </w:rPr>
        <w:t>oning to mining</w:t>
      </w:r>
      <w:r w:rsidR="000E4543" w:rsidRPr="00571974">
        <w:rPr>
          <w:lang w:val="en-GB"/>
        </w:rPr>
        <w:t xml:space="preserve">. </w:t>
      </w:r>
    </w:p>
    <w:p w14:paraId="5A8B94C5" w14:textId="77777777" w:rsidR="009F0D9C" w:rsidRPr="00571974" w:rsidRDefault="003D4D89" w:rsidP="001A578D">
      <w:pPr>
        <w:pStyle w:val="Heading5"/>
        <w:rPr>
          <w:b/>
          <w:lang w:val="en-GB"/>
        </w:rPr>
      </w:pPr>
      <w:bookmarkStart w:id="57" w:name="_Hlk536617246"/>
      <w:r w:rsidRPr="00571974">
        <w:rPr>
          <w:b/>
          <w:lang w:val="en-GB"/>
        </w:rPr>
        <w:t>Kolomela consolidated mining right granted</w:t>
      </w:r>
    </w:p>
    <w:p w14:paraId="37D739E2" w14:textId="77777777" w:rsidR="00B34349" w:rsidRPr="00571974" w:rsidRDefault="003D4D89" w:rsidP="000E4543">
      <w:pPr>
        <w:autoSpaceDE/>
        <w:spacing w:after="120"/>
        <w:ind w:firstLine="360"/>
        <w:rPr>
          <w:lang w:val="en-GB"/>
        </w:rPr>
      </w:pPr>
      <w:r w:rsidRPr="00571974">
        <w:rPr>
          <w:lang w:val="en-GB"/>
        </w:rPr>
        <w:t xml:space="preserve">The Section 102 application to amend the Kolomela mining right and the </w:t>
      </w:r>
      <w:r w:rsidR="00D57EFE" w:rsidRPr="00571974">
        <w:rPr>
          <w:lang w:val="en-GB"/>
        </w:rPr>
        <w:t xml:space="preserve">mining </w:t>
      </w:r>
      <w:r w:rsidRPr="00571974">
        <w:rPr>
          <w:lang w:val="en-GB"/>
        </w:rPr>
        <w:t>work program</w:t>
      </w:r>
      <w:r w:rsidR="00E64229">
        <w:rPr>
          <w:lang w:val="en-GB"/>
        </w:rPr>
        <w:t>me</w:t>
      </w:r>
      <w:r w:rsidRPr="00571974">
        <w:rPr>
          <w:lang w:val="en-GB"/>
        </w:rPr>
        <w:t xml:space="preserve"> to include Heuningkranz and portion 1 of Langverwacht was granted on October 14, 2018. The Environmental </w:t>
      </w:r>
      <w:r w:rsidR="00EE0B1D" w:rsidRPr="00571974">
        <w:rPr>
          <w:lang w:val="en-GB"/>
        </w:rPr>
        <w:t xml:space="preserve">authorization </w:t>
      </w:r>
      <w:r w:rsidRPr="00571974">
        <w:rPr>
          <w:lang w:val="en-GB"/>
        </w:rPr>
        <w:t>was approved on November 7, 2018. The grant allows Kolomela mine to expand its current mining operations within the adjacent Heuningkranz area.</w:t>
      </w:r>
    </w:p>
    <w:bookmarkEnd w:id="57"/>
    <w:p w14:paraId="56D477A7" w14:textId="77777777" w:rsidR="00542FF4" w:rsidRPr="00571974" w:rsidRDefault="003D4D89" w:rsidP="00542FF4">
      <w:pPr>
        <w:pStyle w:val="Heading5"/>
        <w:rPr>
          <w:b/>
          <w:lang w:val="en-GB"/>
        </w:rPr>
      </w:pPr>
      <w:r w:rsidRPr="00571974">
        <w:rPr>
          <w:b/>
          <w:lang w:val="en-GB"/>
        </w:rPr>
        <w:t>Disposal of Thabazimbi Mine</w:t>
      </w:r>
    </w:p>
    <w:p w14:paraId="2FFF38BB" w14:textId="77777777" w:rsidR="009F0D9C" w:rsidRPr="00571974" w:rsidRDefault="003D4D89" w:rsidP="000E4543">
      <w:pPr>
        <w:autoSpaceDE/>
        <w:spacing w:after="120"/>
        <w:ind w:firstLine="360"/>
        <w:rPr>
          <w:lang w:val="en-GB"/>
        </w:rPr>
      </w:pPr>
      <w:r w:rsidRPr="00571974">
        <w:rPr>
          <w:lang w:val="en-GB"/>
        </w:rPr>
        <w:t>SIOC and ArcelorMittal SA entered into an agreement in 2016</w:t>
      </w:r>
      <w:r w:rsidR="00B4729C" w:rsidRPr="00571974">
        <w:rPr>
          <w:lang w:val="en-GB"/>
        </w:rPr>
        <w:t xml:space="preserve"> </w:t>
      </w:r>
      <w:r w:rsidRPr="00571974">
        <w:rPr>
          <w:lang w:val="en-GB"/>
        </w:rPr>
        <w:t>to transfer Thabazimbi mine to ArcelorMittal SA, subject to the fulfilment of certain conditions precedent. On</w:t>
      </w:r>
      <w:r w:rsidR="009044D0" w:rsidRPr="00571974">
        <w:rPr>
          <w:lang w:val="en-GB"/>
        </w:rPr>
        <w:t xml:space="preserve"> </w:t>
      </w:r>
      <w:r w:rsidRPr="00571974">
        <w:rPr>
          <w:lang w:val="en-GB"/>
        </w:rPr>
        <w:t>October</w:t>
      </w:r>
      <w:r w:rsidR="00B34349" w:rsidRPr="00571974">
        <w:rPr>
          <w:lang w:val="en-GB"/>
        </w:rPr>
        <w:t xml:space="preserve"> 12,</w:t>
      </w:r>
      <w:r w:rsidRPr="00571974">
        <w:rPr>
          <w:lang w:val="en-GB"/>
        </w:rPr>
        <w:t xml:space="preserve"> 2018, Kumba and ArcelorMittal SA announced that all the conditions precedent to the transfer</w:t>
      </w:r>
      <w:r w:rsidR="009044D0" w:rsidRPr="00571974">
        <w:rPr>
          <w:lang w:val="en-GB"/>
        </w:rPr>
        <w:t xml:space="preserve"> </w:t>
      </w:r>
      <w:r w:rsidRPr="00571974">
        <w:rPr>
          <w:lang w:val="en-GB"/>
        </w:rPr>
        <w:t>of Thabazimbi mine, together with the mining rights, had either been fulfilled or waived. The employees, assets and</w:t>
      </w:r>
      <w:r w:rsidR="009044D0" w:rsidRPr="00571974">
        <w:rPr>
          <w:lang w:val="en-GB"/>
        </w:rPr>
        <w:t xml:space="preserve"> </w:t>
      </w:r>
      <w:r w:rsidRPr="00571974">
        <w:rPr>
          <w:lang w:val="en-GB"/>
        </w:rPr>
        <w:t>liabilities as well as the mining rights and the assumed liabilities of the mine were transferred at a nominal purchase</w:t>
      </w:r>
      <w:r w:rsidR="009044D0" w:rsidRPr="00571974">
        <w:rPr>
          <w:lang w:val="en-GB"/>
        </w:rPr>
        <w:t xml:space="preserve"> </w:t>
      </w:r>
      <w:r w:rsidRPr="00571974">
        <w:rPr>
          <w:lang w:val="en-GB"/>
        </w:rPr>
        <w:t>consideration from SIOC to Thabazimbi Iron Ore Mine (Pty) Ltd</w:t>
      </w:r>
      <w:r w:rsidR="004B27FD" w:rsidRPr="00571974">
        <w:rPr>
          <w:lang w:val="en-GB"/>
        </w:rPr>
        <w:t xml:space="preserve"> (previously ArcelorMittal South Africa Operations (Pty) Ltd</w:t>
      </w:r>
      <w:r w:rsidRPr="00571974">
        <w:rPr>
          <w:lang w:val="en-GB"/>
        </w:rPr>
        <w:t>, a wholly-owned s</w:t>
      </w:r>
      <w:r w:rsidR="004B27FD" w:rsidRPr="00571974">
        <w:rPr>
          <w:lang w:val="en-GB"/>
        </w:rPr>
        <w:t>ubsidiary of ArcelorMittal SA</w:t>
      </w:r>
      <w:r w:rsidR="00A55943" w:rsidRPr="00571974">
        <w:rPr>
          <w:lang w:val="en-GB"/>
        </w:rPr>
        <w:t>)</w:t>
      </w:r>
      <w:r w:rsidRPr="00571974">
        <w:rPr>
          <w:lang w:val="en-GB"/>
        </w:rPr>
        <w:t xml:space="preserve"> on</w:t>
      </w:r>
      <w:r w:rsidR="009044D0" w:rsidRPr="00571974">
        <w:rPr>
          <w:lang w:val="en-GB"/>
        </w:rPr>
        <w:t xml:space="preserve"> </w:t>
      </w:r>
      <w:r w:rsidRPr="00571974">
        <w:rPr>
          <w:lang w:val="en-GB"/>
        </w:rPr>
        <w:t>November</w:t>
      </w:r>
      <w:r w:rsidR="00B34349" w:rsidRPr="00571974">
        <w:rPr>
          <w:lang w:val="en-GB"/>
        </w:rPr>
        <w:t xml:space="preserve"> 1,</w:t>
      </w:r>
      <w:r w:rsidRPr="00571974">
        <w:rPr>
          <w:lang w:val="en-GB"/>
        </w:rPr>
        <w:t xml:space="preserve"> 2018.</w:t>
      </w:r>
    </w:p>
    <w:p w14:paraId="6D302975" w14:textId="77777777" w:rsidR="00542FF4" w:rsidRPr="00571974" w:rsidRDefault="003D4D89" w:rsidP="00EA3F32">
      <w:pPr>
        <w:pStyle w:val="Heading4"/>
      </w:pPr>
      <w:r w:rsidRPr="00571974">
        <w:t>Other Recent Developments</w:t>
      </w:r>
    </w:p>
    <w:p w14:paraId="6BB3714D" w14:textId="7985B594" w:rsidR="00B70981" w:rsidRPr="00571974" w:rsidRDefault="003D4D89" w:rsidP="00B70981">
      <w:pPr>
        <w:keepNext/>
        <w:widowControl/>
        <w:autoSpaceDE/>
        <w:autoSpaceDN/>
        <w:adjustRightInd/>
        <w:spacing w:after="120"/>
        <w:ind w:firstLine="357"/>
        <w:outlineLvl w:val="4"/>
        <w:rPr>
          <w:b/>
          <w:i/>
          <w:lang w:val="en-GB"/>
        </w:rPr>
      </w:pPr>
      <w:r w:rsidRPr="00571974">
        <w:rPr>
          <w:b/>
          <w:i/>
          <w:lang w:val="en-GB"/>
        </w:rPr>
        <w:t>Changes in the Brazilian Mining Code and Calculation of Royalties</w:t>
      </w:r>
    </w:p>
    <w:p w14:paraId="5E0E844B" w14:textId="5074FDA1" w:rsidR="00E1493B" w:rsidRPr="00571974" w:rsidRDefault="003D4D89" w:rsidP="002C1CF9">
      <w:pPr>
        <w:autoSpaceDE/>
        <w:spacing w:after="120"/>
        <w:ind w:firstLine="360"/>
        <w:rPr>
          <w:lang w:val="en-GB"/>
        </w:rPr>
      </w:pPr>
      <w:r w:rsidRPr="00571974">
        <w:rPr>
          <w:lang w:val="en-GB"/>
        </w:rPr>
        <w:t xml:space="preserve">At the end of December 2017, </w:t>
      </w:r>
      <w:r w:rsidR="00FC6371" w:rsidRPr="00571974">
        <w:rPr>
          <w:lang w:val="en-GB"/>
        </w:rPr>
        <w:t xml:space="preserve">Brazilian </w:t>
      </w:r>
      <w:r w:rsidRPr="00571974">
        <w:rPr>
          <w:lang w:val="en-GB"/>
        </w:rPr>
        <w:t xml:space="preserve">Law 13,540 </w:t>
      </w:r>
      <w:r w:rsidR="00FC6371" w:rsidRPr="00571974">
        <w:rPr>
          <w:lang w:val="en-GB"/>
        </w:rPr>
        <w:t>introduced</w:t>
      </w:r>
      <w:r w:rsidRPr="00571974">
        <w:rPr>
          <w:lang w:val="en-GB"/>
        </w:rPr>
        <w:t xml:space="preserve"> some amendments to the Brazilian mining code and </w:t>
      </w:r>
      <w:r w:rsidR="00FC6371" w:rsidRPr="00571974">
        <w:rPr>
          <w:lang w:val="en-GB"/>
        </w:rPr>
        <w:t xml:space="preserve">the </w:t>
      </w:r>
      <w:r w:rsidRPr="00571974">
        <w:rPr>
          <w:lang w:val="en-GB"/>
        </w:rPr>
        <w:t xml:space="preserve">creation of the National Mining Agency (the </w:t>
      </w:r>
      <w:r w:rsidR="00A311D8">
        <w:rPr>
          <w:lang w:val="en-GB"/>
        </w:rPr>
        <w:t>“</w:t>
      </w:r>
      <w:r w:rsidRPr="00571974">
        <w:rPr>
          <w:lang w:val="en-GB"/>
        </w:rPr>
        <w:t>ANM</w:t>
      </w:r>
      <w:r w:rsidR="00A311D8">
        <w:rPr>
          <w:lang w:val="en-GB"/>
        </w:rPr>
        <w:t>”</w:t>
      </w:r>
      <w:r w:rsidRPr="00571974">
        <w:rPr>
          <w:lang w:val="en-GB"/>
        </w:rPr>
        <w:t xml:space="preserve">), replacing the National Department of Mineral Production (the </w:t>
      </w:r>
      <w:r w:rsidR="00A311D8">
        <w:rPr>
          <w:lang w:val="en-GB"/>
        </w:rPr>
        <w:t>“</w:t>
      </w:r>
      <w:r w:rsidRPr="00571974">
        <w:rPr>
          <w:lang w:val="en-GB"/>
        </w:rPr>
        <w:t>DNPM</w:t>
      </w:r>
      <w:r w:rsidR="00A311D8">
        <w:rPr>
          <w:lang w:val="en-GB"/>
        </w:rPr>
        <w:t>”</w:t>
      </w:r>
      <w:r w:rsidRPr="00571974">
        <w:rPr>
          <w:lang w:val="en-GB"/>
        </w:rPr>
        <w:t xml:space="preserve">). The main change that </w:t>
      </w:r>
      <w:r w:rsidR="002C1CF9">
        <w:rPr>
          <w:lang w:val="en-GB"/>
        </w:rPr>
        <w:t>has affected</w:t>
      </w:r>
      <w:r w:rsidRPr="00571974">
        <w:rPr>
          <w:lang w:val="en-GB"/>
        </w:rPr>
        <w:t xml:space="preserve"> our business </w:t>
      </w:r>
      <w:r w:rsidR="00A55943" w:rsidRPr="00571974">
        <w:rPr>
          <w:lang w:val="en-GB"/>
        </w:rPr>
        <w:t xml:space="preserve">was a </w:t>
      </w:r>
      <w:r w:rsidR="00FC6371" w:rsidRPr="00571974">
        <w:rPr>
          <w:lang w:val="en-GB"/>
        </w:rPr>
        <w:t xml:space="preserve">change in the rates of </w:t>
      </w:r>
      <w:r w:rsidRPr="00571974">
        <w:rPr>
          <w:lang w:val="en-GB"/>
        </w:rPr>
        <w:t>CFEM applicable to iron ore</w:t>
      </w:r>
      <w:r w:rsidR="002C1CF9">
        <w:rPr>
          <w:lang w:val="en-GB"/>
        </w:rPr>
        <w:t>,</w:t>
      </w:r>
      <w:r w:rsidR="00FC6371" w:rsidRPr="00571974">
        <w:rPr>
          <w:lang w:val="en-GB"/>
        </w:rPr>
        <w:t xml:space="preserve"> which</w:t>
      </w:r>
      <w:r w:rsidRPr="00571974">
        <w:rPr>
          <w:lang w:val="en-GB"/>
        </w:rPr>
        <w:t xml:space="preserve"> has increased from 2% to 3.5%</w:t>
      </w:r>
      <w:r w:rsidR="00FC6371" w:rsidRPr="00571974">
        <w:rPr>
          <w:lang w:val="en-GB"/>
        </w:rPr>
        <w:t>; the CFEM rate</w:t>
      </w:r>
      <w:r w:rsidRPr="00571974">
        <w:rPr>
          <w:lang w:val="en-GB"/>
        </w:rPr>
        <w:t xml:space="preserve"> for </w:t>
      </w:r>
      <w:r w:rsidR="007C20E3" w:rsidRPr="00571974">
        <w:rPr>
          <w:lang w:val="en-GB"/>
        </w:rPr>
        <w:t>n</w:t>
      </w:r>
      <w:r w:rsidRPr="00571974">
        <w:rPr>
          <w:lang w:val="en-GB"/>
        </w:rPr>
        <w:t xml:space="preserve">ickel remained at 2%. </w:t>
      </w:r>
    </w:p>
    <w:p w14:paraId="6DF60BAF" w14:textId="77777777" w:rsidR="00E1493B" w:rsidRPr="00571974" w:rsidRDefault="003D4D89" w:rsidP="00E1493B">
      <w:pPr>
        <w:autoSpaceDE/>
        <w:spacing w:after="120"/>
        <w:ind w:firstLine="360"/>
        <w:rPr>
          <w:lang w:val="en-GB"/>
        </w:rPr>
      </w:pPr>
      <w:r w:rsidRPr="00571974">
        <w:rPr>
          <w:lang w:val="en-GB"/>
        </w:rPr>
        <w:t xml:space="preserve">Most of the changes to the mining code </w:t>
      </w:r>
      <w:r w:rsidR="00BA0985" w:rsidRPr="00571974">
        <w:rPr>
          <w:lang w:val="en-GB"/>
        </w:rPr>
        <w:t xml:space="preserve">were </w:t>
      </w:r>
      <w:r w:rsidRPr="00571974">
        <w:rPr>
          <w:lang w:val="en-GB"/>
        </w:rPr>
        <w:t>aimed at bringing it up to date and eliminating or adjusting provisions that impaired a more efficient development of projects</w:t>
      </w:r>
      <w:r w:rsidR="00E93869" w:rsidRPr="00571974">
        <w:rPr>
          <w:lang w:val="en-GB"/>
        </w:rPr>
        <w:t>.</w:t>
      </w:r>
      <w:r w:rsidRPr="00571974">
        <w:rPr>
          <w:lang w:val="en-GB"/>
        </w:rPr>
        <w:t xml:space="preserve"> </w:t>
      </w:r>
      <w:r w:rsidR="00E93869" w:rsidRPr="00571974">
        <w:rPr>
          <w:lang w:val="en-GB"/>
        </w:rPr>
        <w:t>T</w:t>
      </w:r>
      <w:r w:rsidRPr="00571974">
        <w:rPr>
          <w:lang w:val="en-GB"/>
        </w:rPr>
        <w:t>he creation of the ANM puts the mining industry into the same management model already applied in Brazil to oil, gas, power and communication, with expected increases in transparency and efficiency.</w:t>
      </w:r>
    </w:p>
    <w:p w14:paraId="132B1BA2" w14:textId="77777777" w:rsidR="00B41A71" w:rsidRPr="00571974" w:rsidRDefault="003D4D89" w:rsidP="00B41A71">
      <w:pPr>
        <w:keepNext/>
        <w:spacing w:after="120"/>
        <w:ind w:firstLine="357"/>
        <w:rPr>
          <w:b/>
          <w:i/>
          <w:lang w:val="en-GB"/>
        </w:rPr>
      </w:pPr>
      <w:r w:rsidRPr="00571974">
        <w:rPr>
          <w:b/>
          <w:i/>
          <w:lang w:val="en-GB"/>
        </w:rPr>
        <w:t>Changes in regulations related to tailings disposal in Brazil</w:t>
      </w:r>
    </w:p>
    <w:p w14:paraId="77CFCE6B" w14:textId="1CB7F9BC" w:rsidR="00B41A71" w:rsidRPr="00571974" w:rsidRDefault="003D4D89" w:rsidP="00B41A71">
      <w:pPr>
        <w:spacing w:after="120"/>
        <w:ind w:firstLine="360"/>
        <w:rPr>
          <w:lang w:val="en-GB"/>
        </w:rPr>
      </w:pPr>
      <w:r w:rsidRPr="00571974">
        <w:rPr>
          <w:lang w:val="en-GB"/>
        </w:rPr>
        <w:t>On February 15, 2019, the ANM issued new regulations on tailings storage facilities and banning upstream construction and heightening of tailings storage facilities.</w:t>
      </w:r>
      <w:r w:rsidR="00045E7E" w:rsidRPr="00571974">
        <w:rPr>
          <w:lang w:val="en-GB"/>
        </w:rPr>
        <w:t xml:space="preserve"> Since the Group</w:t>
      </w:r>
      <w:r w:rsidR="00A311D8">
        <w:rPr>
          <w:lang w:val="en-GB"/>
        </w:rPr>
        <w:t>’</w:t>
      </w:r>
      <w:r w:rsidR="00045E7E" w:rsidRPr="00571974">
        <w:rPr>
          <w:lang w:val="en-GB"/>
        </w:rPr>
        <w:t xml:space="preserve">s tailings storage facility is to be heightened using the downstream method, the banning of upstream heightening of tailings storage facilities is not </w:t>
      </w:r>
      <w:r w:rsidR="00045E7E" w:rsidRPr="00571974">
        <w:rPr>
          <w:lang w:val="en-GB"/>
        </w:rPr>
        <w:lastRenderedPageBreak/>
        <w:t>currently expected to impact directly on the Group, however other aspects of the new rules, including the reporting requirements and licensing rules, will apply.</w:t>
      </w:r>
    </w:p>
    <w:p w14:paraId="7A2EE464" w14:textId="01462299" w:rsidR="001334B4" w:rsidRPr="00571974" w:rsidRDefault="003D4D89" w:rsidP="001334B4">
      <w:pPr>
        <w:spacing w:after="120"/>
        <w:ind w:firstLine="360"/>
        <w:rPr>
          <w:lang w:val="en-GB"/>
        </w:rPr>
      </w:pPr>
      <w:r w:rsidRPr="00571974">
        <w:rPr>
          <w:lang w:val="en-GB"/>
        </w:rPr>
        <w:t>On February 25, 2019, the State of Minas Gerais issued State Law nr. 23.291/2019 providing for a new policy for tailings disposal in the State. The new rules include stricter procedures for tailings storage facilities and eliminate the possibility of upstream heightening of tailings storage facilities.</w:t>
      </w:r>
      <w:r w:rsidR="00575FCC">
        <w:rPr>
          <w:lang w:val="en-GB"/>
        </w:rPr>
        <w:t xml:space="preserve"> Both federal and Minas Gerais state laws are under continued scrutiny and additional regulations are expected to be issued and may impose restrictions and/or create additional challenge</w:t>
      </w:r>
      <w:r w:rsidR="00172F0F">
        <w:rPr>
          <w:lang w:val="en-GB"/>
        </w:rPr>
        <w:t>s</w:t>
      </w:r>
      <w:r w:rsidR="00575FCC">
        <w:rPr>
          <w:lang w:val="en-GB"/>
        </w:rPr>
        <w:t xml:space="preserve"> in relation to mining operations.</w:t>
      </w:r>
    </w:p>
    <w:p w14:paraId="73FCC48A" w14:textId="77777777" w:rsidR="00542FF4" w:rsidRPr="00571974" w:rsidRDefault="003D4D89" w:rsidP="007B1404">
      <w:pPr>
        <w:pStyle w:val="Heading3"/>
        <w:rPr>
          <w:lang w:val="en-GB"/>
        </w:rPr>
      </w:pPr>
      <w:r w:rsidRPr="00571974">
        <w:rPr>
          <w:lang w:val="en-GB"/>
        </w:rPr>
        <w:t>Coal</w:t>
      </w:r>
    </w:p>
    <w:p w14:paraId="430CD7D8" w14:textId="77777777" w:rsidR="00542FF4" w:rsidRPr="00571974" w:rsidRDefault="003D4D89" w:rsidP="00EA3F32">
      <w:pPr>
        <w:pStyle w:val="Heading4"/>
      </w:pPr>
      <w:r w:rsidRPr="00571974">
        <w:t>Business Overview</w:t>
      </w:r>
    </w:p>
    <w:p w14:paraId="5EC16118" w14:textId="77777777" w:rsidR="00CD475E" w:rsidRPr="00571974" w:rsidRDefault="003D4D89" w:rsidP="000E4543">
      <w:pPr>
        <w:pStyle w:val="BodyText"/>
        <w:widowControl/>
        <w:autoSpaceDE/>
        <w:autoSpaceDN/>
        <w:adjustRightInd/>
        <w:ind w:firstLine="360"/>
        <w:rPr>
          <w:lang w:val="en-GB"/>
        </w:rPr>
      </w:pPr>
      <w:r w:rsidRPr="00571974">
        <w:rPr>
          <w:lang w:val="en-GB"/>
        </w:rPr>
        <w:t>Our high quality assets provide a reliable supply of niche products our wide range of customers need, in both metallurgical coal (for steelmaking) and thermal coal (for electricity generation). Our coal portfolio is</w:t>
      </w:r>
      <w:r w:rsidR="000E4543" w:rsidRPr="00571974">
        <w:rPr>
          <w:lang w:val="en-GB"/>
        </w:rPr>
        <w:t xml:space="preserve"> </w:t>
      </w:r>
      <w:r w:rsidRPr="00571974">
        <w:rPr>
          <w:lang w:val="en-GB"/>
        </w:rPr>
        <w:t>geographically diverse, with metallurgical coal assets in Australia, and thermal coal assets in South Africa and Colombia.</w:t>
      </w:r>
      <w:r w:rsidR="000E4543" w:rsidRPr="00571974">
        <w:rPr>
          <w:lang w:val="en-GB"/>
        </w:rPr>
        <w:t xml:space="preserve"> </w:t>
      </w:r>
    </w:p>
    <w:p w14:paraId="3BB6B793" w14:textId="77777777" w:rsidR="00CD475E" w:rsidRPr="00571974" w:rsidRDefault="003D4D89" w:rsidP="000E4543">
      <w:pPr>
        <w:pStyle w:val="Heading5"/>
        <w:rPr>
          <w:b/>
          <w:lang w:val="en-GB"/>
        </w:rPr>
      </w:pPr>
      <w:r w:rsidRPr="00571974">
        <w:rPr>
          <w:b/>
          <w:lang w:val="en-GB"/>
        </w:rPr>
        <w:t>Metallurgical</w:t>
      </w:r>
      <w:r w:rsidR="00542FF4" w:rsidRPr="00571974">
        <w:rPr>
          <w:b/>
          <w:lang w:val="en-GB"/>
        </w:rPr>
        <w:t xml:space="preserve"> </w:t>
      </w:r>
      <w:r w:rsidRPr="00571974">
        <w:rPr>
          <w:b/>
          <w:lang w:val="en-GB"/>
        </w:rPr>
        <w:t>Coal</w:t>
      </w:r>
    </w:p>
    <w:p w14:paraId="6BAD64C8" w14:textId="3C61A96C" w:rsidR="00CD475E" w:rsidRPr="00571974" w:rsidRDefault="003D4D89" w:rsidP="00466832">
      <w:pPr>
        <w:pStyle w:val="BodyText"/>
        <w:widowControl/>
        <w:autoSpaceDE/>
        <w:autoSpaceDN/>
        <w:adjustRightInd/>
        <w:ind w:firstLine="360"/>
        <w:rPr>
          <w:lang w:val="en-GB"/>
        </w:rPr>
      </w:pPr>
      <w:r w:rsidRPr="00571974">
        <w:rPr>
          <w:lang w:val="en-GB"/>
        </w:rPr>
        <w:t xml:space="preserve">Our assets include the Moranbah North </w:t>
      </w:r>
      <w:r w:rsidR="005E625E" w:rsidRPr="00571974">
        <w:rPr>
          <w:lang w:val="en-GB"/>
        </w:rPr>
        <w:t>(</w:t>
      </w:r>
      <w:r w:rsidR="005E625E" w:rsidRPr="00466832">
        <w:rPr>
          <w:lang w:val="en-GB"/>
        </w:rPr>
        <w:t>88% owners</w:t>
      </w:r>
      <w:r w:rsidR="00CE087C" w:rsidRPr="00466832">
        <w:rPr>
          <w:lang w:val="en-GB"/>
        </w:rPr>
        <w:t xml:space="preserve">hip) </w:t>
      </w:r>
      <w:r w:rsidRPr="00466832">
        <w:rPr>
          <w:lang w:val="en-GB"/>
        </w:rPr>
        <w:t xml:space="preserve">and Grosvenor </w:t>
      </w:r>
      <w:r w:rsidR="00CE087C" w:rsidRPr="00466832">
        <w:rPr>
          <w:lang w:val="en-GB"/>
        </w:rPr>
        <w:t>(100% ownership at December 31</w:t>
      </w:r>
      <w:r w:rsidR="00466832" w:rsidRPr="00466832">
        <w:rPr>
          <w:lang w:val="en-GB"/>
        </w:rPr>
        <w:t xml:space="preserve">; </w:t>
      </w:r>
      <w:r w:rsidR="00466832" w:rsidRPr="007B1404">
        <w:rPr>
          <w:lang w:val="en-GB"/>
        </w:rPr>
        <w:t xml:space="preserve">see </w:t>
      </w:r>
      <w:r w:rsidR="00A311D8">
        <w:rPr>
          <w:lang w:val="en-GB"/>
        </w:rPr>
        <w:t>“</w:t>
      </w:r>
      <w:r w:rsidR="00466832" w:rsidRPr="007B1404">
        <w:rPr>
          <w:lang w:val="en-GB"/>
        </w:rPr>
        <w:t>—Key Strategic Growth Projects—Portfolio update</w:t>
      </w:r>
      <w:r w:rsidR="00A311D8">
        <w:rPr>
          <w:lang w:val="en-GB"/>
        </w:rPr>
        <w:t>”</w:t>
      </w:r>
      <w:r w:rsidR="00466832" w:rsidRPr="007B1404">
        <w:rPr>
          <w:lang w:val="en-GB"/>
        </w:rPr>
        <w:t>)</w:t>
      </w:r>
      <w:r w:rsidR="00CE087C" w:rsidRPr="00466832">
        <w:rPr>
          <w:lang w:val="en-GB"/>
        </w:rPr>
        <w:t xml:space="preserve"> </w:t>
      </w:r>
      <w:r w:rsidRPr="00466832">
        <w:rPr>
          <w:lang w:val="en-GB"/>
        </w:rPr>
        <w:t>metall</w:t>
      </w:r>
      <w:r w:rsidRPr="00571974">
        <w:rPr>
          <w:lang w:val="en-GB"/>
        </w:rPr>
        <w:t>urgical coal mines, both located in Queensland, Australia. The Group</w:t>
      </w:r>
      <w:r w:rsidR="00A311D8">
        <w:rPr>
          <w:lang w:val="en-GB"/>
        </w:rPr>
        <w:t>’</w:t>
      </w:r>
      <w:r w:rsidRPr="00571974">
        <w:rPr>
          <w:lang w:val="en-GB"/>
        </w:rPr>
        <w:t>s Canadian operations (Peace River Coal) are on care and maintenance.</w:t>
      </w:r>
    </w:p>
    <w:p w14:paraId="76003973" w14:textId="77777777" w:rsidR="008C1A9D" w:rsidRPr="00571974" w:rsidRDefault="003D4D89" w:rsidP="000E4543">
      <w:pPr>
        <w:pStyle w:val="BodyText"/>
        <w:widowControl/>
        <w:autoSpaceDE/>
        <w:autoSpaceDN/>
        <w:adjustRightInd/>
        <w:ind w:firstLine="360"/>
        <w:rPr>
          <w:lang w:val="en-GB"/>
        </w:rPr>
      </w:pPr>
      <w:r w:rsidRPr="00571974">
        <w:rPr>
          <w:lang w:val="en-GB"/>
        </w:rPr>
        <w:t>Metallurgical coal is an essential ingredient in blast-furnace steel production, being used for its mechanical, chemical and energy properties. Around 70% of global steel output is produced using this method. Emerging markets, particularly in the Asia-Pacific region, continue to drive demand for metallurgical coal — to help generate the steel needed for infrastructure, housing, transport and machinery.</w:t>
      </w:r>
    </w:p>
    <w:p w14:paraId="01A8E718" w14:textId="77777777" w:rsidR="00CD475E" w:rsidRPr="00571974" w:rsidRDefault="003D4D89" w:rsidP="000E4543">
      <w:pPr>
        <w:pStyle w:val="BodyText"/>
        <w:widowControl/>
        <w:autoSpaceDE/>
        <w:autoSpaceDN/>
        <w:adjustRightInd/>
        <w:ind w:firstLine="360"/>
        <w:rPr>
          <w:lang w:val="en-GB"/>
        </w:rPr>
      </w:pPr>
      <w:r w:rsidRPr="00571974">
        <w:rPr>
          <w:lang w:val="en-GB"/>
        </w:rPr>
        <w:t xml:space="preserve">Market prices decreased in line with demand through the second half of </w:t>
      </w:r>
      <w:r w:rsidR="00CE087C" w:rsidRPr="00571974">
        <w:rPr>
          <w:lang w:val="en-GB"/>
        </w:rPr>
        <w:t>2019</w:t>
      </w:r>
      <w:r w:rsidRPr="00571974">
        <w:rPr>
          <w:lang w:val="en-GB"/>
        </w:rPr>
        <w:t>. Demand was affected by increasingly stringent coal import policies at ports in China and a slowdown in the Indian economy, as well as lower production at east Asian steel mills in response to poor steel margins.</w:t>
      </w:r>
      <w:r w:rsidR="000E4543" w:rsidRPr="00571974">
        <w:rPr>
          <w:lang w:val="en-GB"/>
        </w:rPr>
        <w:t xml:space="preserve"> </w:t>
      </w:r>
    </w:p>
    <w:p w14:paraId="47B63000" w14:textId="77777777" w:rsidR="00542FF4" w:rsidRPr="00571974" w:rsidRDefault="003D4D89" w:rsidP="00542FF4">
      <w:pPr>
        <w:pStyle w:val="Heading5"/>
        <w:rPr>
          <w:b/>
          <w:lang w:val="en-GB"/>
        </w:rPr>
      </w:pPr>
      <w:r w:rsidRPr="00571974">
        <w:rPr>
          <w:b/>
          <w:lang w:val="en-GB"/>
        </w:rPr>
        <w:t xml:space="preserve">Coal South Africa and </w:t>
      </w:r>
      <w:r w:rsidR="003742BE" w:rsidRPr="00571974">
        <w:rPr>
          <w:b/>
          <w:lang w:val="en-GB"/>
        </w:rPr>
        <w:t>Cerrejón</w:t>
      </w:r>
    </w:p>
    <w:p w14:paraId="335C5741" w14:textId="0BB6C9CB" w:rsidR="00CD475E" w:rsidRPr="00571974" w:rsidRDefault="003D4D89" w:rsidP="000E4543">
      <w:pPr>
        <w:pStyle w:val="BodyText"/>
        <w:widowControl/>
        <w:autoSpaceDE/>
        <w:autoSpaceDN/>
        <w:adjustRightInd/>
        <w:ind w:firstLine="360"/>
        <w:rPr>
          <w:lang w:val="en-GB"/>
        </w:rPr>
      </w:pPr>
      <w:r w:rsidRPr="00571974">
        <w:rPr>
          <w:lang w:val="en-GB"/>
        </w:rPr>
        <w:t xml:space="preserve">We have narrowed our South African thermal coal portfolio to concentrate on export markets, supplying around 18 million tonnes (Mt) of thermal coal a year to our customers in Europe and Asia. Our South African export product is derived from three wholly-owned and operated mines – Goedehoop, Greenside and Khwezela; </w:t>
      </w:r>
      <w:r w:rsidR="0047454D" w:rsidRPr="00571974">
        <w:rPr>
          <w:lang w:val="en-GB"/>
        </w:rPr>
        <w:t>as well as the 73% owned mine Zibulo. We also have produc</w:t>
      </w:r>
      <w:r w:rsidR="00571974">
        <w:rPr>
          <w:lang w:val="en-GB"/>
        </w:rPr>
        <w:t>t</w:t>
      </w:r>
      <w:r w:rsidR="0047454D" w:rsidRPr="00571974">
        <w:rPr>
          <w:lang w:val="en-GB"/>
        </w:rPr>
        <w:t xml:space="preserve"> </w:t>
      </w:r>
      <w:r w:rsidRPr="00571974">
        <w:rPr>
          <w:lang w:val="en-GB"/>
        </w:rPr>
        <w:t xml:space="preserve">from Mafube colliery, a 50:50 joint operation. </w:t>
      </w:r>
      <w:r w:rsidR="00005D0E">
        <w:rPr>
          <w:lang w:val="en-GB"/>
        </w:rPr>
        <w:t xml:space="preserve">Our Isibonelo mine is engaged in the production of thermal coal for Sasol Synthetic </w:t>
      </w:r>
      <w:r w:rsidR="00E70CC5">
        <w:rPr>
          <w:lang w:val="en-GB"/>
        </w:rPr>
        <w:t>F</w:t>
      </w:r>
      <w:r w:rsidR="00005D0E">
        <w:rPr>
          <w:lang w:val="en-GB"/>
        </w:rPr>
        <w:t xml:space="preserve">uels. </w:t>
      </w:r>
      <w:r w:rsidRPr="00571974">
        <w:rPr>
          <w:lang w:val="en-GB"/>
        </w:rPr>
        <w:t xml:space="preserve">These mines operate in the first quartile of the seaborne cost curve and produce high quality thermal coal. </w:t>
      </w:r>
      <w:r w:rsidR="00CE087C" w:rsidRPr="00571974">
        <w:rPr>
          <w:lang w:val="en-GB"/>
        </w:rPr>
        <w:t>The Group also retains an effective 37% interest in the Phola washing plant, a 50:50 joint operation w</w:t>
      </w:r>
      <w:r w:rsidR="000E4543" w:rsidRPr="00571974">
        <w:rPr>
          <w:lang w:val="en-GB"/>
        </w:rPr>
        <w:t>i</w:t>
      </w:r>
      <w:r w:rsidR="00CE087C" w:rsidRPr="00571974">
        <w:rPr>
          <w:lang w:val="en-GB"/>
        </w:rPr>
        <w:t xml:space="preserve">th South32. </w:t>
      </w:r>
      <w:r w:rsidRPr="00571974">
        <w:rPr>
          <w:lang w:val="en-GB"/>
        </w:rPr>
        <w:t>In Colombia, Anglo American, BHP and Glencore each have a one-third shareholding in Cerrejón</w:t>
      </w:r>
      <w:r w:rsidR="00CE087C" w:rsidRPr="00571974">
        <w:rPr>
          <w:lang w:val="en-GB"/>
        </w:rPr>
        <w:t>, an ind</w:t>
      </w:r>
      <w:r w:rsidR="000E4543" w:rsidRPr="00571974">
        <w:rPr>
          <w:lang w:val="en-GB"/>
        </w:rPr>
        <w:t>e</w:t>
      </w:r>
      <w:r w:rsidR="00CE087C" w:rsidRPr="00571974">
        <w:rPr>
          <w:lang w:val="en-GB"/>
        </w:rPr>
        <w:t>pend</w:t>
      </w:r>
      <w:r w:rsidR="000E4543" w:rsidRPr="00571974">
        <w:rPr>
          <w:lang w:val="en-GB"/>
        </w:rPr>
        <w:t>en</w:t>
      </w:r>
      <w:r w:rsidR="00CE087C" w:rsidRPr="00571974">
        <w:rPr>
          <w:lang w:val="en-GB"/>
        </w:rPr>
        <w:t>tly managed joint venture and</w:t>
      </w:r>
      <w:r w:rsidRPr="00571974">
        <w:rPr>
          <w:lang w:val="en-GB"/>
        </w:rPr>
        <w:t xml:space="preserve"> one of the country</w:t>
      </w:r>
      <w:r w:rsidR="00A311D8">
        <w:rPr>
          <w:lang w:val="en-GB"/>
        </w:rPr>
        <w:t>’</w:t>
      </w:r>
      <w:r w:rsidRPr="00571974">
        <w:rPr>
          <w:lang w:val="en-GB"/>
        </w:rPr>
        <w:t>s largest thermal coal exporters.</w:t>
      </w:r>
    </w:p>
    <w:p w14:paraId="788C2317" w14:textId="7DE33DA0" w:rsidR="00542FF4" w:rsidRPr="00571974" w:rsidRDefault="003D4D89" w:rsidP="000E4543">
      <w:pPr>
        <w:pStyle w:val="BodyText"/>
        <w:widowControl/>
        <w:autoSpaceDE/>
        <w:autoSpaceDN/>
        <w:adjustRightInd/>
        <w:ind w:firstLine="360"/>
        <w:rPr>
          <w:lang w:val="en-GB"/>
        </w:rPr>
      </w:pPr>
      <w:r w:rsidRPr="00571974">
        <w:rPr>
          <w:lang w:val="en-GB"/>
        </w:rPr>
        <w:t>Thermal coal is the heat source for around 40% of all electricity generated globally today. India and China</w:t>
      </w:r>
      <w:r w:rsidR="00A311D8">
        <w:rPr>
          <w:lang w:val="en-GB"/>
        </w:rPr>
        <w:t>’</w:t>
      </w:r>
      <w:r w:rsidRPr="00571974">
        <w:rPr>
          <w:lang w:val="en-GB"/>
        </w:rPr>
        <w:t>s reliance on thermal coal is expected to drive demand in absolute terms in the near term. However, fossil fuels are being increasingly contested by society and a responsible transition away from their use is necessary to achieve the Paris Agreement.</w:t>
      </w:r>
      <w:r w:rsidR="000E4543" w:rsidRPr="00FD12A4">
        <w:rPr>
          <w:lang w:val="en-GB"/>
        </w:rPr>
        <w:t xml:space="preserve"> </w:t>
      </w:r>
    </w:p>
    <w:p w14:paraId="332B1853" w14:textId="77777777" w:rsidR="00CE087C" w:rsidRPr="00571974" w:rsidRDefault="003D4D89" w:rsidP="000E4543">
      <w:pPr>
        <w:pStyle w:val="BodyText"/>
        <w:widowControl/>
        <w:autoSpaceDE/>
        <w:autoSpaceDN/>
        <w:adjustRightInd/>
        <w:ind w:firstLine="360"/>
        <w:rPr>
          <w:lang w:val="en-GB"/>
        </w:rPr>
      </w:pPr>
      <w:r w:rsidRPr="00571974">
        <w:rPr>
          <w:lang w:val="en-GB"/>
        </w:rPr>
        <w:t>Thermal coal prices fell sharply in 2019 as lower gas and higher carbon prices encouraged a switch from coal to gas-generated power in Europe. Indian import demand remained strong, however, supported by local steel making demand (sponge iron). Delays to customs clearances at Chinese ports and various restrictions in Korea and Taiwan kept pressure on Pacific pricing towards the end of the year.</w:t>
      </w:r>
      <w:r w:rsidR="000E4543" w:rsidRPr="00571974">
        <w:rPr>
          <w:lang w:val="en-GB"/>
        </w:rPr>
        <w:t xml:space="preserve"> </w:t>
      </w:r>
    </w:p>
    <w:p w14:paraId="17510272" w14:textId="77777777" w:rsidR="00542FF4" w:rsidRPr="00571974" w:rsidRDefault="003D4D89" w:rsidP="00EA3F32">
      <w:pPr>
        <w:pStyle w:val="Heading4"/>
      </w:pPr>
      <w:r w:rsidRPr="00571974">
        <w:t>Significant Transactions and Restructuring</w:t>
      </w:r>
    </w:p>
    <w:p w14:paraId="19D77E2C" w14:textId="77777777" w:rsidR="00542FF4" w:rsidRPr="00571974" w:rsidRDefault="003D4D89" w:rsidP="00542FF4">
      <w:pPr>
        <w:pStyle w:val="Heading5"/>
        <w:rPr>
          <w:b/>
          <w:lang w:val="en-GB"/>
        </w:rPr>
      </w:pPr>
      <w:r w:rsidRPr="00571974">
        <w:rPr>
          <w:b/>
          <w:lang w:val="en-GB"/>
        </w:rPr>
        <w:t>Dartbrook disposal</w:t>
      </w:r>
    </w:p>
    <w:p w14:paraId="7B101EA5" w14:textId="6E3EA74C" w:rsidR="00EC6C5C" w:rsidRPr="00571974" w:rsidRDefault="003D4D89" w:rsidP="000E4543">
      <w:pPr>
        <w:pStyle w:val="BodyText"/>
        <w:widowControl/>
        <w:autoSpaceDE/>
        <w:autoSpaceDN/>
        <w:adjustRightInd/>
        <w:ind w:firstLine="360"/>
        <w:rPr>
          <w:lang w:val="en-GB"/>
        </w:rPr>
      </w:pPr>
      <w:r w:rsidRPr="00571974">
        <w:rPr>
          <w:lang w:val="en-GB"/>
        </w:rPr>
        <w:t xml:space="preserve">On December 24, 2015, the Group announced that it had entered into a </w:t>
      </w:r>
      <w:r w:rsidR="009044D0" w:rsidRPr="00571974">
        <w:rPr>
          <w:lang w:val="en-GB"/>
        </w:rPr>
        <w:t>sale and purchase agreement</w:t>
      </w:r>
      <w:r w:rsidRPr="00571974">
        <w:rPr>
          <w:lang w:val="en-GB"/>
        </w:rPr>
        <w:t xml:space="preserve"> (and agreed to enter into a related Royalty Deed) with </w:t>
      </w:r>
      <w:r w:rsidR="00046DDA" w:rsidRPr="00571974">
        <w:rPr>
          <w:lang w:val="en-GB"/>
        </w:rPr>
        <w:t>a wholly</w:t>
      </w:r>
      <w:r w:rsidR="007C20E3" w:rsidRPr="00571974">
        <w:rPr>
          <w:lang w:val="en-GB"/>
        </w:rPr>
        <w:t xml:space="preserve"> </w:t>
      </w:r>
      <w:r w:rsidR="00046DDA" w:rsidRPr="00571974">
        <w:rPr>
          <w:lang w:val="en-GB"/>
        </w:rPr>
        <w:t xml:space="preserve">owned subsidiary of </w:t>
      </w:r>
      <w:r w:rsidRPr="00571974">
        <w:rPr>
          <w:lang w:val="en-GB"/>
        </w:rPr>
        <w:t>Australian Pacific Coal Ltd to sell its 83.33% interest in the Dartbrook Coal Mine (</w:t>
      </w:r>
      <w:r w:rsidR="00A311D8">
        <w:rPr>
          <w:lang w:val="en-GB"/>
        </w:rPr>
        <w:t>“</w:t>
      </w:r>
      <w:r w:rsidRPr="00571974">
        <w:rPr>
          <w:lang w:val="en-GB"/>
        </w:rPr>
        <w:t>Dartbrook</w:t>
      </w:r>
      <w:r w:rsidR="00A311D8">
        <w:rPr>
          <w:lang w:val="en-GB"/>
        </w:rPr>
        <w:t>”</w:t>
      </w:r>
      <w:r w:rsidRPr="00571974">
        <w:rPr>
          <w:lang w:val="en-GB"/>
        </w:rPr>
        <w:t>) in the Hunter Valley, New South Wales, Australia, for upfront proceeds of AUD25 million and a future royalty stream. Dartbrook consists of an underground thermal coal mine and associated processing infrastructure that has been in care and maintenance since 20</w:t>
      </w:r>
      <w:r w:rsidR="00605822" w:rsidRPr="00571974">
        <w:rPr>
          <w:lang w:val="en-GB"/>
        </w:rPr>
        <w:t>0</w:t>
      </w:r>
      <w:r w:rsidRPr="00571974">
        <w:rPr>
          <w:lang w:val="en-GB"/>
        </w:rPr>
        <w:t>6.</w:t>
      </w:r>
      <w:r w:rsidR="00F44D39" w:rsidRPr="00571974">
        <w:rPr>
          <w:lang w:val="en-GB"/>
        </w:rPr>
        <w:t xml:space="preserve"> </w:t>
      </w:r>
      <w:r w:rsidRPr="00571974">
        <w:rPr>
          <w:lang w:val="en-GB"/>
        </w:rPr>
        <w:t xml:space="preserve">On May 29, 2017, the Group completed this sale with the </w:t>
      </w:r>
      <w:r w:rsidR="00F35F88" w:rsidRPr="00571974">
        <w:rPr>
          <w:lang w:val="en-GB"/>
        </w:rPr>
        <w:t>net gain</w:t>
      </w:r>
      <w:r w:rsidRPr="00571974">
        <w:rPr>
          <w:lang w:val="en-GB"/>
        </w:rPr>
        <w:t xml:space="preserve"> on disposal </w:t>
      </w:r>
      <w:r w:rsidR="00984F1A" w:rsidRPr="00571974">
        <w:rPr>
          <w:lang w:val="en-GB"/>
        </w:rPr>
        <w:t xml:space="preserve">of </w:t>
      </w:r>
      <w:r w:rsidR="003E1CBD" w:rsidRPr="00571974">
        <w:rPr>
          <w:lang w:val="en-GB"/>
        </w:rPr>
        <w:t>US$</w:t>
      </w:r>
      <w:r w:rsidR="00F35F88" w:rsidRPr="00571974">
        <w:rPr>
          <w:lang w:val="en-GB"/>
        </w:rPr>
        <w:t>76</w:t>
      </w:r>
      <w:r w:rsidRPr="00571974">
        <w:rPr>
          <w:lang w:val="en-GB"/>
        </w:rPr>
        <w:t xml:space="preserve"> million.</w:t>
      </w:r>
    </w:p>
    <w:p w14:paraId="347496C7" w14:textId="77777777" w:rsidR="00B8335D" w:rsidRPr="00571974" w:rsidRDefault="003D4D89" w:rsidP="00B8335D">
      <w:pPr>
        <w:pStyle w:val="BodyText"/>
        <w:ind w:firstLine="360"/>
        <w:rPr>
          <w:lang w:val="en-GB"/>
        </w:rPr>
      </w:pPr>
      <w:r w:rsidRPr="00571974">
        <w:rPr>
          <w:b/>
          <w:i/>
          <w:lang w:val="en-GB"/>
        </w:rPr>
        <w:lastRenderedPageBreak/>
        <w:t>Disposal of Drayton mine</w:t>
      </w:r>
    </w:p>
    <w:p w14:paraId="77C92D6D" w14:textId="0FB9C610" w:rsidR="00B8335D" w:rsidRPr="00571974" w:rsidRDefault="003D4D89" w:rsidP="001334B4">
      <w:pPr>
        <w:pStyle w:val="BodyText"/>
        <w:ind w:firstLine="360"/>
        <w:rPr>
          <w:lang w:val="en-GB"/>
        </w:rPr>
      </w:pPr>
      <w:r w:rsidRPr="00571974">
        <w:rPr>
          <w:lang w:val="en-GB"/>
        </w:rPr>
        <w:t>On May 4, 2017, the Group announced that it had entered into a sale and purchase Agreement with a wholly owned subsidiary of Malabar Coal Limited to sell its 88.17% interest in the Drayton thermal coal mine and Drayton South project, located in New South Wales, Australia. The transaction was effected via a sale of shares in the subsidiary companies holding Anglo American</w:t>
      </w:r>
      <w:r w:rsidR="00A311D8">
        <w:rPr>
          <w:lang w:val="en-GB"/>
        </w:rPr>
        <w:t>’</w:t>
      </w:r>
      <w:r w:rsidRPr="00571974">
        <w:rPr>
          <w:lang w:val="en-GB"/>
        </w:rPr>
        <w:t>s interest in Drayton. The Group ceased mining activities at the Drayton mine during 2016. This transaction was completed on February 26, 2018.</w:t>
      </w:r>
    </w:p>
    <w:p w14:paraId="7BE0A654" w14:textId="77777777" w:rsidR="00DA6B39" w:rsidRPr="00571974" w:rsidRDefault="003D4D89" w:rsidP="00CD7A92">
      <w:pPr>
        <w:pStyle w:val="Heading5"/>
        <w:rPr>
          <w:b/>
          <w:lang w:val="en-GB"/>
        </w:rPr>
      </w:pPr>
      <w:r w:rsidRPr="00571974">
        <w:rPr>
          <w:b/>
          <w:lang w:val="en-GB"/>
        </w:rPr>
        <w:t>Disposal of Eskom-tied domestic thermal coal operations</w:t>
      </w:r>
    </w:p>
    <w:p w14:paraId="7459EEE8" w14:textId="1B2C7010" w:rsidR="00E11B91" w:rsidRPr="00571974" w:rsidRDefault="003D4D89" w:rsidP="00F43655">
      <w:pPr>
        <w:pStyle w:val="BodyText"/>
        <w:ind w:firstLine="360"/>
        <w:rPr>
          <w:lang w:val="en-GB"/>
        </w:rPr>
      </w:pPr>
      <w:r w:rsidRPr="00571974">
        <w:rPr>
          <w:lang w:val="en-GB"/>
        </w:rPr>
        <w:t xml:space="preserve">On April </w:t>
      </w:r>
      <w:r w:rsidR="00F43655" w:rsidRPr="00571974">
        <w:rPr>
          <w:lang w:val="en-GB"/>
        </w:rPr>
        <w:t>10</w:t>
      </w:r>
      <w:r w:rsidRPr="00571974">
        <w:rPr>
          <w:lang w:val="en-GB"/>
        </w:rPr>
        <w:t xml:space="preserve">, 2017, the Group </w:t>
      </w:r>
      <w:r w:rsidR="00F43655" w:rsidRPr="00571974">
        <w:rPr>
          <w:lang w:val="en-GB"/>
        </w:rPr>
        <w:t>announced the</w:t>
      </w:r>
      <w:r w:rsidRPr="00571974">
        <w:rPr>
          <w:lang w:val="en-GB"/>
        </w:rPr>
        <w:t xml:space="preserve"> sale of</w:t>
      </w:r>
      <w:r w:rsidR="00F43655" w:rsidRPr="00571974">
        <w:rPr>
          <w:lang w:val="en-GB"/>
        </w:rPr>
        <w:t xml:space="preserve"> the</w:t>
      </w:r>
      <w:r w:rsidRPr="00571974">
        <w:rPr>
          <w:lang w:val="en-GB"/>
        </w:rPr>
        <w:t xml:space="preserve"> Eskom-tied domestic thermal coal operations </w:t>
      </w:r>
      <w:r w:rsidR="00F43655" w:rsidRPr="00571974">
        <w:rPr>
          <w:lang w:val="en-GB"/>
        </w:rPr>
        <w:t xml:space="preserve">which </w:t>
      </w:r>
      <w:r w:rsidRPr="00571974">
        <w:rPr>
          <w:lang w:val="en-GB"/>
        </w:rPr>
        <w:t>consist</w:t>
      </w:r>
      <w:r w:rsidR="00F43655" w:rsidRPr="00571974">
        <w:rPr>
          <w:lang w:val="en-GB"/>
        </w:rPr>
        <w:t>ed</w:t>
      </w:r>
      <w:r w:rsidRPr="00571974">
        <w:rPr>
          <w:lang w:val="en-GB"/>
        </w:rPr>
        <w:t xml:space="preserve"> of the New Vaal, New Denmark and Kriel collieries, as well as four closed collieries</w:t>
      </w:r>
      <w:r w:rsidR="00F43655" w:rsidRPr="00571974">
        <w:rPr>
          <w:lang w:val="en-GB"/>
        </w:rPr>
        <w:t xml:space="preserve">, all in South Africa, (together, the </w:t>
      </w:r>
      <w:r w:rsidR="00A311D8">
        <w:rPr>
          <w:lang w:val="en-GB"/>
        </w:rPr>
        <w:t>“</w:t>
      </w:r>
      <w:r w:rsidR="00F43655" w:rsidRPr="00571974">
        <w:rPr>
          <w:lang w:val="en-GB"/>
        </w:rPr>
        <w:t>E</w:t>
      </w:r>
      <w:r w:rsidR="00F94FC3" w:rsidRPr="00571974">
        <w:rPr>
          <w:lang w:val="en-GB"/>
        </w:rPr>
        <w:t>sk</w:t>
      </w:r>
      <w:r w:rsidR="00F43655" w:rsidRPr="00571974">
        <w:rPr>
          <w:lang w:val="en-GB"/>
        </w:rPr>
        <w:t>om tied operations</w:t>
      </w:r>
      <w:r w:rsidR="00A311D8">
        <w:rPr>
          <w:lang w:val="en-GB"/>
        </w:rPr>
        <w:t>”</w:t>
      </w:r>
      <w:r w:rsidR="00F43655" w:rsidRPr="00571974">
        <w:rPr>
          <w:lang w:val="en-GB"/>
        </w:rPr>
        <w:t>) by Anglo Operations Proprietary Limited and Anglo American Inyosi Coal Proprietary Limited to a wholly owned subsidiary of Seriti Resources Holdings Proprietary Limited</w:t>
      </w:r>
      <w:r w:rsidR="008C300F" w:rsidRPr="00571974">
        <w:rPr>
          <w:lang w:val="en-GB"/>
        </w:rPr>
        <w:t>,</w:t>
      </w:r>
      <w:r w:rsidR="00F43655" w:rsidRPr="00571974">
        <w:rPr>
          <w:lang w:val="en-GB"/>
        </w:rPr>
        <w:t xml:space="preserve"> for a consideration payable as at January 1, 2017 of ZAR2.3 billion (approximately </w:t>
      </w:r>
      <w:r w:rsidR="003E1CBD" w:rsidRPr="00571974">
        <w:rPr>
          <w:lang w:val="en-GB"/>
        </w:rPr>
        <w:t>US$</w:t>
      </w:r>
      <w:r w:rsidR="00F43655" w:rsidRPr="00571974">
        <w:rPr>
          <w:lang w:val="en-GB"/>
        </w:rPr>
        <w:t>164 million)</w:t>
      </w:r>
      <w:r w:rsidRPr="00571974">
        <w:rPr>
          <w:lang w:val="en-GB"/>
        </w:rPr>
        <w:t>.</w:t>
      </w:r>
      <w:r w:rsidR="009B7C4C" w:rsidRPr="00571974">
        <w:rPr>
          <w:lang w:val="en-GB"/>
        </w:rPr>
        <w:t xml:space="preserve"> </w:t>
      </w:r>
      <w:r w:rsidR="00F43655" w:rsidRPr="00571974">
        <w:rPr>
          <w:lang w:val="en-GB"/>
        </w:rPr>
        <w:t>The sale was completed on March 1, 2018</w:t>
      </w:r>
      <w:r w:rsidR="009B7C4C" w:rsidRPr="00571974">
        <w:rPr>
          <w:lang w:val="en-GB"/>
        </w:rPr>
        <w:t>.</w:t>
      </w:r>
    </w:p>
    <w:p w14:paraId="392F2701" w14:textId="77777777" w:rsidR="004514ED" w:rsidRPr="00571974" w:rsidRDefault="003D4D89" w:rsidP="00CD7A92">
      <w:pPr>
        <w:pStyle w:val="Heading5"/>
        <w:rPr>
          <w:b/>
          <w:lang w:val="en-GB"/>
        </w:rPr>
      </w:pPr>
      <w:r w:rsidRPr="00571974">
        <w:rPr>
          <w:b/>
          <w:lang w:val="en-GB"/>
        </w:rPr>
        <w:t xml:space="preserve">Disposal of New Largo </w:t>
      </w:r>
    </w:p>
    <w:p w14:paraId="60F81A6B" w14:textId="77777777" w:rsidR="00B33641" w:rsidRPr="00571974" w:rsidRDefault="003D4D89" w:rsidP="000E4543">
      <w:pPr>
        <w:pStyle w:val="BodyText"/>
        <w:widowControl/>
        <w:autoSpaceDE/>
        <w:autoSpaceDN/>
        <w:adjustRightInd/>
        <w:ind w:firstLine="360"/>
        <w:rPr>
          <w:lang w:val="en-GB"/>
        </w:rPr>
      </w:pPr>
      <w:bookmarkStart w:id="58" w:name="_Hlk536613810"/>
      <w:r w:rsidRPr="00571974">
        <w:rPr>
          <w:lang w:val="en-GB"/>
        </w:rPr>
        <w:t>On</w:t>
      </w:r>
      <w:r w:rsidR="00CF59EB" w:rsidRPr="00571974">
        <w:rPr>
          <w:lang w:val="en-GB"/>
        </w:rPr>
        <w:t xml:space="preserve"> August</w:t>
      </w:r>
      <w:r w:rsidR="00093144" w:rsidRPr="00571974">
        <w:rPr>
          <w:lang w:val="en-GB"/>
        </w:rPr>
        <w:t xml:space="preserve"> </w:t>
      </w:r>
      <w:r w:rsidR="00CF59EB" w:rsidRPr="00571974">
        <w:rPr>
          <w:lang w:val="en-GB"/>
        </w:rPr>
        <w:t>1, 2018</w:t>
      </w:r>
      <w:r w:rsidRPr="00571974">
        <w:rPr>
          <w:lang w:val="en-GB"/>
        </w:rPr>
        <w:t xml:space="preserve">, the Group </w:t>
      </w:r>
      <w:r w:rsidR="00CF59EB" w:rsidRPr="00571974">
        <w:rPr>
          <w:lang w:val="en-GB"/>
        </w:rPr>
        <w:t xml:space="preserve">completed </w:t>
      </w:r>
      <w:r w:rsidRPr="00571974">
        <w:rPr>
          <w:lang w:val="en-GB"/>
        </w:rPr>
        <w:t>the sale</w:t>
      </w:r>
      <w:r w:rsidR="00CF59EB" w:rsidRPr="00571974">
        <w:rPr>
          <w:lang w:val="en-GB"/>
        </w:rPr>
        <w:t xml:space="preserve"> of New Largo in South Africa</w:t>
      </w:r>
      <w:r w:rsidRPr="00571974">
        <w:rPr>
          <w:lang w:val="en-GB"/>
        </w:rPr>
        <w:t xml:space="preserve">, by its 73%-held subsidiary </w:t>
      </w:r>
      <w:r w:rsidR="00F43655" w:rsidRPr="00571974">
        <w:rPr>
          <w:lang w:val="en-GB"/>
        </w:rPr>
        <w:t>AAIC</w:t>
      </w:r>
      <w:r w:rsidRPr="00571974">
        <w:rPr>
          <w:lang w:val="en-GB"/>
        </w:rPr>
        <w:t xml:space="preserve">, to the </w:t>
      </w:r>
      <w:r w:rsidR="00F84681" w:rsidRPr="00571974">
        <w:rPr>
          <w:lang w:val="en-GB"/>
        </w:rPr>
        <w:t>New Largo Coal Proprietary Limited</w:t>
      </w:r>
      <w:r w:rsidRPr="00571974">
        <w:rPr>
          <w:lang w:val="en-GB"/>
        </w:rPr>
        <w:t xml:space="preserve">, which is owned by Seriti Resources Proprietary Limited and Coalzar Proprietary Limited, two companies majority owned and controlled by </w:t>
      </w:r>
      <w:r w:rsidR="000A591F" w:rsidRPr="00571974">
        <w:rPr>
          <w:lang w:val="en-GB"/>
        </w:rPr>
        <w:t>HDSAs</w:t>
      </w:r>
      <w:r w:rsidRPr="00571974">
        <w:rPr>
          <w:lang w:val="en-GB"/>
        </w:rPr>
        <w:t xml:space="preserve"> and the IDC.</w:t>
      </w:r>
      <w:bookmarkEnd w:id="58"/>
      <w:r w:rsidRPr="00571974">
        <w:rPr>
          <w:lang w:val="en-GB"/>
        </w:rPr>
        <w:t xml:space="preserve"> </w:t>
      </w:r>
    </w:p>
    <w:p w14:paraId="291A5888" w14:textId="77777777" w:rsidR="00CE087C" w:rsidRPr="00571974" w:rsidRDefault="003D4D89" w:rsidP="00CE087C">
      <w:pPr>
        <w:pStyle w:val="Heading5"/>
        <w:rPr>
          <w:b/>
          <w:lang w:val="en-GB"/>
        </w:rPr>
      </w:pPr>
      <w:r w:rsidRPr="00571974">
        <w:rPr>
          <w:b/>
          <w:lang w:val="en-GB"/>
        </w:rPr>
        <w:t xml:space="preserve">Aquila life extending project </w:t>
      </w:r>
    </w:p>
    <w:p w14:paraId="72C33531" w14:textId="237E5688" w:rsidR="00CE087C" w:rsidRPr="00571974" w:rsidRDefault="003D4D89" w:rsidP="000E4543">
      <w:pPr>
        <w:pStyle w:val="BodyText"/>
        <w:widowControl/>
        <w:autoSpaceDE/>
        <w:autoSpaceDN/>
        <w:adjustRightInd/>
        <w:ind w:firstLine="360"/>
        <w:rPr>
          <w:lang w:val="en-GB"/>
        </w:rPr>
      </w:pPr>
      <w:r w:rsidRPr="00571974">
        <w:rPr>
          <w:lang w:val="en-GB"/>
        </w:rPr>
        <w:t xml:space="preserve">On July 25, 2019, the Group announced the approval by its Board of the Aquila project to extend the life of the Capcoal underground hard coking coal operations in Queensland, Australia by six years, to 2028. With an expected attributable capital cost of US$226 million, development work began in September 2019, with first longwall production of premium quality hard coking coal </w:t>
      </w:r>
      <w:r w:rsidR="00234F7E">
        <w:rPr>
          <w:lang w:val="en-GB"/>
        </w:rPr>
        <w:t>planned for</w:t>
      </w:r>
      <w:r w:rsidRPr="00571974">
        <w:rPr>
          <w:lang w:val="en-GB"/>
        </w:rPr>
        <w:t xml:space="preserve"> early 2022.</w:t>
      </w:r>
    </w:p>
    <w:p w14:paraId="45DC8632" w14:textId="22CFDF93" w:rsidR="00CE087C" w:rsidRPr="00571974" w:rsidRDefault="003D4D89" w:rsidP="00CE087C">
      <w:pPr>
        <w:pStyle w:val="Heading5"/>
        <w:rPr>
          <w:b/>
          <w:lang w:val="en-GB"/>
        </w:rPr>
      </w:pPr>
      <w:r w:rsidRPr="00571974">
        <w:rPr>
          <w:b/>
          <w:lang w:val="en-GB"/>
        </w:rPr>
        <w:t>Moranbah</w:t>
      </w:r>
      <w:r w:rsidR="00005D0E">
        <w:rPr>
          <w:b/>
          <w:lang w:val="en-GB"/>
        </w:rPr>
        <w:t xml:space="preserve"> North</w:t>
      </w:r>
      <w:r w:rsidRPr="00571974">
        <w:rPr>
          <w:b/>
          <w:lang w:val="en-GB"/>
        </w:rPr>
        <w:t>-Grosvenor ownership equalization</w:t>
      </w:r>
    </w:p>
    <w:p w14:paraId="38150D7F" w14:textId="699BF94D" w:rsidR="00CE087C" w:rsidRPr="00571974" w:rsidRDefault="003D4D89" w:rsidP="000E4543">
      <w:pPr>
        <w:pStyle w:val="BodyText"/>
        <w:widowControl/>
        <w:autoSpaceDE/>
        <w:autoSpaceDN/>
        <w:adjustRightInd/>
        <w:ind w:firstLine="360"/>
        <w:rPr>
          <w:lang w:val="en-GB"/>
        </w:rPr>
      </w:pPr>
      <w:r w:rsidRPr="00571974">
        <w:rPr>
          <w:lang w:val="en-GB"/>
        </w:rPr>
        <w:t xml:space="preserve">On November 27, 2019, the Group announced the </w:t>
      </w:r>
      <w:r w:rsidR="005D6A0B">
        <w:rPr>
          <w:lang w:val="en-GB"/>
        </w:rPr>
        <w:t xml:space="preserve">entry into an agreement providing for </w:t>
      </w:r>
      <w:r w:rsidRPr="00571974">
        <w:rPr>
          <w:lang w:val="en-GB"/>
        </w:rPr>
        <w:t>equali</w:t>
      </w:r>
      <w:r w:rsidR="00EA3F32">
        <w:rPr>
          <w:lang w:val="en-GB"/>
        </w:rPr>
        <w:t>z</w:t>
      </w:r>
      <w:r w:rsidRPr="00571974">
        <w:rPr>
          <w:lang w:val="en-GB"/>
        </w:rPr>
        <w:t xml:space="preserve">ation of ownership across its integrated metallurgical coal operations at Moranbah North and Grosvenor, in Queensland, Australia. The long-established Moranbah North mine and processing operation is 88% owned by Anglo American, with 12% owned by a consortium of Japanese companies </w:t>
      </w:r>
      <w:r w:rsidR="00234F7E">
        <w:rPr>
          <w:lang w:val="en-GB"/>
        </w:rPr>
        <w:t>(</w:t>
      </w:r>
      <w:r w:rsidRPr="00571974">
        <w:rPr>
          <w:lang w:val="en-GB"/>
        </w:rPr>
        <w:t>Nippon Steel Corporation, Mitsui &amp; Co., Ltd, Nippon Steel Trading Corporation, Shinsho Corporation and JFE Mineral Co., Ltd</w:t>
      </w:r>
      <w:r w:rsidR="00234F7E">
        <w:rPr>
          <w:lang w:val="en-GB"/>
        </w:rPr>
        <w:t>)</w:t>
      </w:r>
      <w:r w:rsidRPr="00571974">
        <w:rPr>
          <w:lang w:val="en-GB"/>
        </w:rPr>
        <w:t>. The neighbouring Grosvenor mine is wholly owned by Anglo American and came onstream in 2016. The Grosvenor mine uses Moranbah North</w:t>
      </w:r>
      <w:r w:rsidR="00A311D8">
        <w:rPr>
          <w:lang w:val="en-GB"/>
        </w:rPr>
        <w:t>’</w:t>
      </w:r>
      <w:r w:rsidRPr="00571974">
        <w:rPr>
          <w:lang w:val="en-GB"/>
        </w:rPr>
        <w:t xml:space="preserve">s coal processing infrastructure, therefore the Group sought to replicate the ownership structure of Moranbah North at Grosvenor, through the agreed sale of a 12% interest in the Grosvenor mine to the same consortium partners, in order to align the interests of all of the owners. Under the terms of the agreement, which is subject to a number of conditions prior to completion, Anglo American will receive cash proceeds of approximately US$141 million in respect of the </w:t>
      </w:r>
      <w:r w:rsidR="00234F7E">
        <w:rPr>
          <w:lang w:val="en-GB"/>
        </w:rPr>
        <w:t xml:space="preserve">sale of the </w:t>
      </w:r>
      <w:r w:rsidRPr="00571974">
        <w:rPr>
          <w:lang w:val="en-GB"/>
        </w:rPr>
        <w:t xml:space="preserve">12% minority interest in the Grosvenor mine.  </w:t>
      </w:r>
    </w:p>
    <w:p w14:paraId="1AB3991B" w14:textId="77777777" w:rsidR="00E81576" w:rsidRPr="00571974" w:rsidRDefault="003D4D89" w:rsidP="007B1404">
      <w:pPr>
        <w:pStyle w:val="Heading3"/>
        <w:rPr>
          <w:lang w:val="en-GB"/>
        </w:rPr>
      </w:pPr>
      <w:r w:rsidRPr="00571974">
        <w:rPr>
          <w:lang w:val="en-GB"/>
        </w:rPr>
        <w:t>Nickel</w:t>
      </w:r>
      <w:r w:rsidR="004A4B3C" w:rsidRPr="00571974">
        <w:rPr>
          <w:lang w:val="en-GB"/>
        </w:rPr>
        <w:t xml:space="preserve"> and Manganese</w:t>
      </w:r>
    </w:p>
    <w:p w14:paraId="77055DB9" w14:textId="77777777" w:rsidR="00E81576" w:rsidRPr="00571974" w:rsidRDefault="003D4D89" w:rsidP="00EA3F32">
      <w:pPr>
        <w:pStyle w:val="Heading4"/>
      </w:pPr>
      <w:r w:rsidRPr="00571974">
        <w:t>Business Overview</w:t>
      </w:r>
    </w:p>
    <w:p w14:paraId="23E975E6" w14:textId="77777777" w:rsidR="00B71758" w:rsidRPr="00571974" w:rsidRDefault="003D4D89" w:rsidP="000E4543">
      <w:pPr>
        <w:pStyle w:val="BodyText"/>
        <w:widowControl/>
        <w:autoSpaceDE/>
        <w:autoSpaceDN/>
        <w:adjustRightInd/>
        <w:ind w:firstLine="360"/>
        <w:rPr>
          <w:lang w:val="en-GB"/>
        </w:rPr>
      </w:pPr>
      <w:r w:rsidRPr="00571974">
        <w:rPr>
          <w:lang w:val="en-GB"/>
        </w:rPr>
        <w:t>The Nickel and Manganese operations both provide ingredients for stainless and alloy steels. They are located in Brazil (Nickel), as well as South Africa and Australia (Manganese).</w:t>
      </w:r>
    </w:p>
    <w:p w14:paraId="4E5CBD6A" w14:textId="77777777" w:rsidR="004A4B3C" w:rsidRPr="004E7C59" w:rsidRDefault="003D4D89" w:rsidP="00EA3F32">
      <w:pPr>
        <w:pStyle w:val="Heading4"/>
      </w:pPr>
      <w:r w:rsidRPr="004E7C59">
        <w:t>Nickel</w:t>
      </w:r>
    </w:p>
    <w:p w14:paraId="56DB6293" w14:textId="77777777" w:rsidR="00B71758" w:rsidRPr="00571974" w:rsidRDefault="003D4D89" w:rsidP="000E4543">
      <w:pPr>
        <w:pStyle w:val="BodyText"/>
        <w:widowControl/>
        <w:autoSpaceDE/>
        <w:autoSpaceDN/>
        <w:adjustRightInd/>
        <w:ind w:firstLine="360"/>
        <w:rPr>
          <w:lang w:val="en-GB"/>
        </w:rPr>
      </w:pPr>
      <w:r w:rsidRPr="00571974">
        <w:rPr>
          <w:lang w:val="en-GB"/>
        </w:rPr>
        <w:t>Our nickel assets are wholly owned, consisting of two ferronickel production sites: Barro Alto and Codemin. Our Nickel business produces around 45,000 tonnes per annum of ferronickel, whose primary end use is in the global stainless steel industry.</w:t>
      </w:r>
    </w:p>
    <w:p w14:paraId="39617DCA" w14:textId="77777777" w:rsidR="00B71758" w:rsidRPr="00571974" w:rsidRDefault="003D4D89" w:rsidP="000E4543">
      <w:pPr>
        <w:pStyle w:val="BodyText"/>
        <w:widowControl/>
        <w:autoSpaceDE/>
        <w:autoSpaceDN/>
        <w:adjustRightInd/>
        <w:ind w:firstLine="360"/>
        <w:rPr>
          <w:lang w:val="en-GB"/>
        </w:rPr>
      </w:pPr>
      <w:r w:rsidRPr="00571974">
        <w:rPr>
          <w:lang w:val="en-GB"/>
        </w:rPr>
        <w:t xml:space="preserve">The average nickel price increased by 6% </w:t>
      </w:r>
      <w:r w:rsidR="000B0B23" w:rsidRPr="00571974">
        <w:rPr>
          <w:lang w:val="en-GB"/>
        </w:rPr>
        <w:t xml:space="preserve">in 2019 </w:t>
      </w:r>
      <w:r w:rsidRPr="00571974">
        <w:rPr>
          <w:lang w:val="en-GB"/>
        </w:rPr>
        <w:t>to 632c/Ib (2018: 595 c/lb), driven by strong growth in stainless steel production (around 70% of nickel demand) in China and solid battery demand growth (principally, zero emission vehicles and lithium-ion based energy storage). Prices were also supported by Indonesia bringing forward its ban on nickel ore exports from January 2023 to January 2020, which is expected to markedly reduce nickel ore supply to Chinese nickel pig iron producers.</w:t>
      </w:r>
    </w:p>
    <w:p w14:paraId="6C2386CC" w14:textId="77777777" w:rsidR="004A4B3C" w:rsidRPr="00571974" w:rsidRDefault="003D4D89" w:rsidP="004A4B3C">
      <w:pPr>
        <w:pStyle w:val="Heading5"/>
        <w:rPr>
          <w:b/>
          <w:lang w:val="en-GB"/>
        </w:rPr>
      </w:pPr>
      <w:r w:rsidRPr="00571974">
        <w:rPr>
          <w:b/>
          <w:lang w:val="en-GB"/>
        </w:rPr>
        <w:lastRenderedPageBreak/>
        <w:t>Manganese</w:t>
      </w:r>
    </w:p>
    <w:p w14:paraId="29F726D6" w14:textId="6C10C934" w:rsidR="00E81576" w:rsidRPr="00571974" w:rsidRDefault="003D4D89" w:rsidP="000E4543">
      <w:pPr>
        <w:pStyle w:val="BodyText"/>
        <w:widowControl/>
        <w:autoSpaceDE/>
        <w:autoSpaceDN/>
        <w:adjustRightInd/>
        <w:ind w:firstLine="360"/>
        <w:rPr>
          <w:lang w:val="en-GB"/>
        </w:rPr>
      </w:pPr>
      <w:r w:rsidRPr="00571974">
        <w:rPr>
          <w:lang w:val="en-GB"/>
        </w:rPr>
        <w:t xml:space="preserve">In Manganese, we have a 40% </w:t>
      </w:r>
      <w:r w:rsidR="00AF142E">
        <w:rPr>
          <w:lang w:val="en-GB"/>
        </w:rPr>
        <w:t>interest</w:t>
      </w:r>
      <w:r w:rsidRPr="00571974">
        <w:rPr>
          <w:lang w:val="en-GB"/>
        </w:rPr>
        <w:t xml:space="preserve"> in Samancor (managed by South32, which holds 60%)</w:t>
      </w:r>
      <w:r w:rsidR="00CE087C" w:rsidRPr="00571974">
        <w:rPr>
          <w:lang w:val="en-GB"/>
        </w:rPr>
        <w:t xml:space="preserve"> with operations based in South Africa and Australia</w:t>
      </w:r>
      <w:r w:rsidRPr="00571974">
        <w:rPr>
          <w:lang w:val="en-GB"/>
        </w:rPr>
        <w:t xml:space="preserve">. </w:t>
      </w:r>
      <w:r w:rsidR="004A4B3C" w:rsidRPr="00571974">
        <w:rPr>
          <w:lang w:val="en-GB"/>
        </w:rPr>
        <w:t>Samancor is the world</w:t>
      </w:r>
      <w:r w:rsidR="00A311D8">
        <w:rPr>
          <w:lang w:val="en-GB"/>
        </w:rPr>
        <w:t>’</w:t>
      </w:r>
      <w:r w:rsidR="004A4B3C" w:rsidRPr="00571974">
        <w:rPr>
          <w:lang w:val="en-GB"/>
        </w:rPr>
        <w:t xml:space="preserve">s largest producer of manganese ore and is among the top global producers of manganese alloy. </w:t>
      </w:r>
    </w:p>
    <w:p w14:paraId="0999BAC9" w14:textId="240F369A" w:rsidR="000B0B23" w:rsidRPr="00571974" w:rsidRDefault="003D4D89" w:rsidP="000E4543">
      <w:pPr>
        <w:pStyle w:val="BodyText"/>
        <w:widowControl/>
        <w:autoSpaceDE/>
        <w:autoSpaceDN/>
        <w:adjustRightInd/>
        <w:ind w:firstLine="360"/>
        <w:rPr>
          <w:lang w:val="en-GB"/>
        </w:rPr>
      </w:pPr>
      <w:r w:rsidRPr="00571974">
        <w:rPr>
          <w:lang w:val="en-GB"/>
        </w:rPr>
        <w:t xml:space="preserve">The average benchmark price for manganese ore (Metal Bulletin 44% manganese ore CIF China) was </w:t>
      </w:r>
      <w:r w:rsidR="005E7CB3">
        <w:rPr>
          <w:lang w:val="en-GB"/>
        </w:rPr>
        <w:t>US</w:t>
      </w:r>
      <w:r w:rsidRPr="00571974">
        <w:rPr>
          <w:lang w:val="en-GB"/>
        </w:rPr>
        <w:t xml:space="preserve">$5.58/dmtu, a decrease of 23% (2018: </w:t>
      </w:r>
      <w:r w:rsidR="005E7CB3">
        <w:rPr>
          <w:lang w:val="en-GB"/>
        </w:rPr>
        <w:t>US</w:t>
      </w:r>
      <w:r w:rsidRPr="00571974">
        <w:rPr>
          <w:lang w:val="en-GB"/>
        </w:rPr>
        <w:t>$7.24/dmtu). The effect of strong steel output and stricter reinforcing steel standards in China was more than offset by an increase in manganese ore supply from South Africa.</w:t>
      </w:r>
    </w:p>
    <w:p w14:paraId="699F58BB" w14:textId="77777777" w:rsidR="00CA7D85" w:rsidRPr="00571974" w:rsidRDefault="003D4D89" w:rsidP="00EA3F32">
      <w:pPr>
        <w:pStyle w:val="Heading4"/>
      </w:pPr>
      <w:r w:rsidRPr="00571974">
        <w:t>Other Recent Developments</w:t>
      </w:r>
    </w:p>
    <w:p w14:paraId="211BE21D" w14:textId="5A933A52" w:rsidR="00CA7D85" w:rsidRPr="00571974" w:rsidRDefault="003D4D89" w:rsidP="00CA7D85">
      <w:pPr>
        <w:pStyle w:val="Heading5"/>
        <w:rPr>
          <w:b/>
          <w:lang w:val="en-GB"/>
        </w:rPr>
      </w:pPr>
      <w:r w:rsidRPr="00571974">
        <w:rPr>
          <w:b/>
          <w:lang w:val="en-GB"/>
        </w:rPr>
        <w:t>Changes in the Brazilian Mining Code and Calculation of Royalties</w:t>
      </w:r>
    </w:p>
    <w:p w14:paraId="45BE46C1" w14:textId="5012FE1E" w:rsidR="00E81576" w:rsidRPr="00571974" w:rsidRDefault="003D4D89" w:rsidP="00380546">
      <w:pPr>
        <w:pStyle w:val="BodyText"/>
        <w:widowControl/>
        <w:autoSpaceDE/>
        <w:autoSpaceDN/>
        <w:adjustRightInd/>
        <w:ind w:firstLine="360"/>
        <w:rPr>
          <w:lang w:val="en-GB"/>
        </w:rPr>
      </w:pPr>
      <w:r w:rsidRPr="00571974">
        <w:rPr>
          <w:lang w:val="en-GB"/>
        </w:rPr>
        <w:t xml:space="preserve">At the end of 2017, </w:t>
      </w:r>
      <w:r w:rsidR="00C3767A" w:rsidRPr="00571974">
        <w:rPr>
          <w:lang w:val="en-GB"/>
        </w:rPr>
        <w:t xml:space="preserve">Brazilian </w:t>
      </w:r>
      <w:r w:rsidRPr="00571974">
        <w:rPr>
          <w:lang w:val="en-GB"/>
        </w:rPr>
        <w:t xml:space="preserve">Law 13,540 </w:t>
      </w:r>
      <w:r w:rsidR="00C3767A" w:rsidRPr="00571974">
        <w:rPr>
          <w:lang w:val="en-GB"/>
        </w:rPr>
        <w:t>introduced</w:t>
      </w:r>
      <w:r w:rsidRPr="00571974">
        <w:rPr>
          <w:lang w:val="en-GB"/>
        </w:rPr>
        <w:t xml:space="preserve"> some amendments to the Brazilian mining code and</w:t>
      </w:r>
      <w:r w:rsidR="00C3767A" w:rsidRPr="00571974">
        <w:rPr>
          <w:lang w:val="en-GB"/>
        </w:rPr>
        <w:t xml:space="preserve"> the</w:t>
      </w:r>
      <w:r w:rsidRPr="00571974">
        <w:rPr>
          <w:lang w:val="en-GB"/>
        </w:rPr>
        <w:t xml:space="preserve"> creation of the ANM, replacing the DNPM.</w:t>
      </w:r>
      <w:r w:rsidR="00CA7D85" w:rsidRPr="00571974">
        <w:rPr>
          <w:lang w:val="en-GB"/>
        </w:rPr>
        <w:t xml:space="preserve"> See further at </w:t>
      </w:r>
      <w:r w:rsidR="00A311D8">
        <w:rPr>
          <w:lang w:val="en-GB"/>
        </w:rPr>
        <w:t>“</w:t>
      </w:r>
      <w:r w:rsidR="00CA7D85" w:rsidRPr="00571974">
        <w:rPr>
          <w:lang w:val="en-GB"/>
        </w:rPr>
        <w:t>Iron Ore</w:t>
      </w:r>
      <w:r w:rsidR="00380546">
        <w:rPr>
          <w:lang w:val="en-GB"/>
        </w:rPr>
        <w:t>—</w:t>
      </w:r>
      <w:r w:rsidR="00CA7D85" w:rsidRPr="00571974">
        <w:rPr>
          <w:lang w:val="en-GB"/>
        </w:rPr>
        <w:t>Other Recent Developments</w:t>
      </w:r>
      <w:r w:rsidR="00380546">
        <w:rPr>
          <w:lang w:val="en-GB"/>
        </w:rPr>
        <w:t>—</w:t>
      </w:r>
      <w:r w:rsidR="00CA7D85" w:rsidRPr="00571974">
        <w:rPr>
          <w:lang w:val="en-GB"/>
        </w:rPr>
        <w:t>Changes in the Brazilian Mining Code and Calculation of Royalties</w:t>
      </w:r>
      <w:r w:rsidR="00A311D8">
        <w:rPr>
          <w:lang w:val="en-GB"/>
        </w:rPr>
        <w:t>”</w:t>
      </w:r>
      <w:r w:rsidR="00CA7D85" w:rsidRPr="00571974">
        <w:rPr>
          <w:lang w:val="en-GB"/>
        </w:rPr>
        <w:t>.</w:t>
      </w:r>
    </w:p>
    <w:p w14:paraId="2FAD3A3F" w14:textId="77777777" w:rsidR="00542FF4" w:rsidRPr="00571974" w:rsidRDefault="003D4D89" w:rsidP="007B1404">
      <w:pPr>
        <w:pStyle w:val="Heading3"/>
        <w:rPr>
          <w:lang w:val="en-GB"/>
        </w:rPr>
      </w:pPr>
      <w:r w:rsidRPr="00571974">
        <w:rPr>
          <w:lang w:val="en-GB"/>
        </w:rPr>
        <w:t>Corporate and Other</w:t>
      </w:r>
    </w:p>
    <w:p w14:paraId="23A05E73" w14:textId="77777777" w:rsidR="00542FF4" w:rsidRPr="00571974" w:rsidRDefault="003D4D89" w:rsidP="00EA3F32">
      <w:pPr>
        <w:pStyle w:val="Heading4"/>
      </w:pPr>
      <w:r w:rsidRPr="00571974">
        <w:t>Business Overview</w:t>
      </w:r>
    </w:p>
    <w:p w14:paraId="5A543A44" w14:textId="77777777" w:rsidR="00CA2B19" w:rsidRPr="00571974" w:rsidRDefault="003D4D89">
      <w:pPr>
        <w:pStyle w:val="BodyText"/>
        <w:widowControl/>
        <w:autoSpaceDE/>
        <w:autoSpaceDN/>
        <w:adjustRightInd/>
        <w:ind w:firstLine="360"/>
        <w:rPr>
          <w:lang w:val="en-GB"/>
        </w:rPr>
      </w:pPr>
      <w:r w:rsidRPr="00571974">
        <w:rPr>
          <w:lang w:val="en-GB"/>
        </w:rPr>
        <w:t>This business segment includes the non-core businesses previously reported under Other Mining and Industrial</w:t>
      </w:r>
      <w:r w:rsidR="00004644" w:rsidRPr="00571974">
        <w:rPr>
          <w:lang w:val="en-GB"/>
        </w:rPr>
        <w:t>.</w:t>
      </w:r>
      <w:r w:rsidRPr="00571974">
        <w:rPr>
          <w:lang w:val="en-GB"/>
        </w:rPr>
        <w:t xml:space="preserve"> </w:t>
      </w:r>
    </w:p>
    <w:p w14:paraId="6C4C3065" w14:textId="77777777" w:rsidR="00542FF4" w:rsidRPr="00571974" w:rsidRDefault="003D4D89" w:rsidP="00EA3F32">
      <w:pPr>
        <w:pStyle w:val="Heading4"/>
      </w:pPr>
      <w:r w:rsidRPr="00571974">
        <w:t>Significant Transactions and Restructuring</w:t>
      </w:r>
    </w:p>
    <w:p w14:paraId="41E98FE6" w14:textId="77777777" w:rsidR="00497E01" w:rsidRPr="00571974" w:rsidRDefault="003D4D89" w:rsidP="00542FF4">
      <w:pPr>
        <w:pStyle w:val="Heading5"/>
        <w:rPr>
          <w:b/>
          <w:lang w:val="en-GB"/>
        </w:rPr>
      </w:pPr>
      <w:bookmarkStart w:id="59" w:name="_Hlk32228242"/>
      <w:r w:rsidRPr="00571974">
        <w:rPr>
          <w:b/>
          <w:lang w:val="en-GB"/>
        </w:rPr>
        <w:t>US$1 billion additional shareholder returns</w:t>
      </w:r>
    </w:p>
    <w:p w14:paraId="3842321D" w14:textId="467D65DD" w:rsidR="00C62B91" w:rsidRPr="00571974" w:rsidRDefault="003D4D89" w:rsidP="00932961">
      <w:pPr>
        <w:pStyle w:val="BodyText"/>
        <w:widowControl/>
        <w:autoSpaceDE/>
        <w:autoSpaceDN/>
        <w:adjustRightInd/>
        <w:ind w:firstLine="360"/>
        <w:rPr>
          <w:lang w:val="en-GB"/>
        </w:rPr>
      </w:pPr>
      <w:r w:rsidRPr="00571974">
        <w:rPr>
          <w:lang w:val="en-GB"/>
        </w:rPr>
        <w:t>On July 25, 2019, the Group announced its intention to return u</w:t>
      </w:r>
      <w:r w:rsidR="00CE087C" w:rsidRPr="00571974">
        <w:rPr>
          <w:lang w:val="en-GB"/>
        </w:rPr>
        <w:t>p</w:t>
      </w:r>
      <w:r w:rsidRPr="00571974">
        <w:rPr>
          <w:lang w:val="en-GB"/>
        </w:rPr>
        <w:t xml:space="preserve"> to US$1 billion to its shareholders through an on-market irrevocable and non-discretionary share buyback programme (the </w:t>
      </w:r>
      <w:r w:rsidR="00A311D8">
        <w:rPr>
          <w:lang w:val="en-GB"/>
        </w:rPr>
        <w:t>“</w:t>
      </w:r>
      <w:r w:rsidRPr="00571974">
        <w:rPr>
          <w:lang w:val="en-GB"/>
        </w:rPr>
        <w:t>Programme</w:t>
      </w:r>
      <w:r w:rsidR="00A311D8">
        <w:rPr>
          <w:lang w:val="en-GB"/>
        </w:rPr>
        <w:t>”</w:t>
      </w:r>
      <w:r w:rsidRPr="00571974">
        <w:rPr>
          <w:lang w:val="en-GB"/>
        </w:rPr>
        <w:t xml:space="preserve">). The Programme </w:t>
      </w:r>
      <w:r w:rsidR="00CE087C" w:rsidRPr="00571974">
        <w:rPr>
          <w:lang w:val="en-GB"/>
        </w:rPr>
        <w:t xml:space="preserve">began on July 25, 2019 </w:t>
      </w:r>
      <w:r w:rsidRPr="00571974">
        <w:rPr>
          <w:lang w:val="en-GB"/>
        </w:rPr>
        <w:t xml:space="preserve">and </w:t>
      </w:r>
      <w:r w:rsidR="0009201B">
        <w:rPr>
          <w:lang w:val="en-GB"/>
        </w:rPr>
        <w:t>was completed</w:t>
      </w:r>
      <w:r w:rsidRPr="00571974">
        <w:rPr>
          <w:lang w:val="en-GB"/>
        </w:rPr>
        <w:t xml:space="preserve"> </w:t>
      </w:r>
      <w:r w:rsidR="003637DD">
        <w:rPr>
          <w:lang w:val="en-GB"/>
        </w:rPr>
        <w:t xml:space="preserve">on </w:t>
      </w:r>
      <w:r w:rsidRPr="00571974">
        <w:rPr>
          <w:lang w:val="en-GB"/>
        </w:rPr>
        <w:t>March</w:t>
      </w:r>
      <w:r w:rsidR="005E7CB3">
        <w:rPr>
          <w:lang w:val="en-GB"/>
        </w:rPr>
        <w:t xml:space="preserve"> </w:t>
      </w:r>
      <w:r w:rsidR="0009201B">
        <w:rPr>
          <w:lang w:val="en-GB"/>
        </w:rPr>
        <w:t>2</w:t>
      </w:r>
      <w:r w:rsidR="005E7CB3">
        <w:rPr>
          <w:lang w:val="en-GB"/>
        </w:rPr>
        <w:t>,</w:t>
      </w:r>
      <w:r w:rsidRPr="00571974">
        <w:rPr>
          <w:lang w:val="en-GB"/>
        </w:rPr>
        <w:t xml:space="preserve"> 2020.</w:t>
      </w:r>
      <w:r w:rsidR="00932961" w:rsidRPr="00571974">
        <w:rPr>
          <w:lang w:val="en-GB"/>
        </w:rPr>
        <w:t xml:space="preserve"> </w:t>
      </w:r>
      <w:bookmarkStart w:id="60" w:name="_Hlk505959304"/>
      <w:bookmarkEnd w:id="53"/>
      <w:bookmarkEnd w:id="59"/>
    </w:p>
    <w:p w14:paraId="5E8947EB" w14:textId="77777777" w:rsidR="00E93D9C" w:rsidRPr="00571974" w:rsidRDefault="003D4D89">
      <w:pPr>
        <w:widowControl/>
        <w:autoSpaceDE/>
        <w:autoSpaceDN/>
        <w:adjustRightInd/>
        <w:rPr>
          <w:rFonts w:eastAsia="PMingLiU"/>
          <w:b/>
          <w:caps/>
          <w:snapToGrid w:val="0"/>
          <w:szCs w:val="20"/>
          <w:lang w:val="en-GB"/>
        </w:rPr>
      </w:pPr>
      <w:bookmarkStart w:id="61" w:name="_Hlk31707195"/>
      <w:r w:rsidRPr="00571974">
        <w:rPr>
          <w:lang w:val="en-GB"/>
        </w:rPr>
        <w:br w:type="page"/>
      </w:r>
    </w:p>
    <w:p w14:paraId="5398E3DA" w14:textId="77777777" w:rsidR="00E93D9C" w:rsidRPr="00571974" w:rsidRDefault="003D4D89" w:rsidP="00E93D9C">
      <w:pPr>
        <w:pStyle w:val="Heading1"/>
        <w:rPr>
          <w:lang w:val="en-GB"/>
        </w:rPr>
      </w:pPr>
      <w:bookmarkStart w:id="62" w:name="_Toc36388961"/>
      <w:r w:rsidRPr="00571974">
        <w:rPr>
          <w:lang w:val="en-GB"/>
        </w:rPr>
        <w:lastRenderedPageBreak/>
        <w:t>MINERAL PRODUCTION</w:t>
      </w:r>
      <w:bookmarkEnd w:id="62"/>
    </w:p>
    <w:p w14:paraId="2B6A0819" w14:textId="14DB8FA7" w:rsidR="00E93D9C" w:rsidRPr="00571974" w:rsidRDefault="003D4D89" w:rsidP="00932961">
      <w:pPr>
        <w:pStyle w:val="BodyText"/>
        <w:widowControl/>
        <w:autoSpaceDE/>
        <w:autoSpaceDN/>
        <w:adjustRightInd/>
        <w:ind w:firstLine="360"/>
        <w:rPr>
          <w:lang w:val="en-GB"/>
        </w:rPr>
      </w:pPr>
      <w:r w:rsidRPr="00571974">
        <w:rPr>
          <w:lang w:val="en-GB"/>
        </w:rPr>
        <w:t>This section provides the entire output of consolidated entities and the Group</w:t>
      </w:r>
      <w:r w:rsidR="00A311D8">
        <w:rPr>
          <w:lang w:val="en-GB"/>
        </w:rPr>
        <w:t>’</w:t>
      </w:r>
      <w:r w:rsidRPr="00571974">
        <w:rPr>
          <w:lang w:val="en-GB"/>
        </w:rPr>
        <w:t>s attributable share of joint operations, associates and joint ventures where applicable, except for Collahuasi in the Copper segment and De Beers</w:t>
      </w:r>
      <w:r w:rsidR="00A311D8">
        <w:rPr>
          <w:lang w:val="en-GB"/>
        </w:rPr>
        <w:t>’</w:t>
      </w:r>
      <w:r w:rsidRPr="00571974">
        <w:rPr>
          <w:lang w:val="en-GB"/>
        </w:rPr>
        <w:t xml:space="preserve"> joint operations which are presented on a 100% basis.</w:t>
      </w:r>
    </w:p>
    <w:p w14:paraId="1DC5821F" w14:textId="77777777" w:rsidR="00E93D9C" w:rsidRPr="00571974" w:rsidRDefault="00E93D9C" w:rsidP="00932961">
      <w:pPr>
        <w:pStyle w:val="BodyText"/>
        <w:widowControl/>
        <w:autoSpaceDE/>
        <w:autoSpaceDN/>
        <w:adjustRightInd/>
        <w:ind w:firstLine="360"/>
        <w:rPr>
          <w:lang w:val="en-GB"/>
        </w:rPr>
      </w:pPr>
    </w:p>
    <w:p w14:paraId="3D1DAD56" w14:textId="77777777" w:rsidR="00E93D9C" w:rsidRPr="00571974" w:rsidRDefault="00E93D9C" w:rsidP="00932961">
      <w:pPr>
        <w:pStyle w:val="BodyText"/>
        <w:widowControl/>
        <w:autoSpaceDE/>
        <w:autoSpaceDN/>
        <w:adjustRightInd/>
        <w:ind w:firstLine="360"/>
        <w:rPr>
          <w:lang w:val="en-GB"/>
        </w:rPr>
      </w:pPr>
    </w:p>
    <w:tbl>
      <w:tblPr>
        <w:tblW w:w="5185" w:type="pct"/>
        <w:tblLayout w:type="fixed"/>
        <w:tblCellMar>
          <w:left w:w="72" w:type="dxa"/>
          <w:right w:w="72" w:type="dxa"/>
        </w:tblCellMar>
        <w:tblLook w:val="0000" w:firstRow="0" w:lastRow="0" w:firstColumn="0" w:lastColumn="0" w:noHBand="0" w:noVBand="0"/>
      </w:tblPr>
      <w:tblGrid>
        <w:gridCol w:w="6360"/>
        <w:gridCol w:w="1112"/>
        <w:gridCol w:w="1112"/>
        <w:gridCol w:w="1118"/>
      </w:tblGrid>
      <w:tr w:rsidR="002228B8" w14:paraId="02FEF947" w14:textId="77777777" w:rsidTr="00DF4A0D">
        <w:trPr>
          <w:cantSplit/>
          <w:trHeight w:val="193"/>
        </w:trPr>
        <w:tc>
          <w:tcPr>
            <w:tcW w:w="3278" w:type="pct"/>
            <w:tcBorders>
              <w:top w:val="nil"/>
              <w:left w:val="nil"/>
              <w:bottom w:val="nil"/>
              <w:right w:val="nil"/>
            </w:tcBorders>
            <w:vAlign w:val="bottom"/>
          </w:tcPr>
          <w:p w14:paraId="368FA06C"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722" w:type="pct"/>
            <w:gridSpan w:val="3"/>
            <w:tcBorders>
              <w:top w:val="nil"/>
              <w:left w:val="nil"/>
              <w:bottom w:val="nil"/>
              <w:right w:val="nil"/>
            </w:tcBorders>
            <w:vAlign w:val="bottom"/>
          </w:tcPr>
          <w:p w14:paraId="3F0A2374"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31A24AC4" w14:textId="77777777" w:rsidTr="00DF4A0D">
        <w:trPr>
          <w:cantSplit/>
          <w:trHeight w:val="228"/>
        </w:trPr>
        <w:tc>
          <w:tcPr>
            <w:tcW w:w="3278" w:type="pct"/>
            <w:tcBorders>
              <w:top w:val="nil"/>
              <w:left w:val="nil"/>
              <w:bottom w:val="nil"/>
              <w:right w:val="nil"/>
            </w:tcBorders>
            <w:vAlign w:val="bottom"/>
          </w:tcPr>
          <w:p w14:paraId="0AADCDFF"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573" w:type="pct"/>
            <w:tcBorders>
              <w:top w:val="nil"/>
              <w:left w:val="nil"/>
              <w:bottom w:val="nil"/>
              <w:right w:val="nil"/>
            </w:tcBorders>
            <w:vAlign w:val="bottom"/>
          </w:tcPr>
          <w:p w14:paraId="48C461C4"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573" w:type="pct"/>
            <w:tcBorders>
              <w:top w:val="nil"/>
              <w:left w:val="nil"/>
              <w:bottom w:val="nil"/>
              <w:right w:val="nil"/>
            </w:tcBorders>
            <w:vAlign w:val="bottom"/>
          </w:tcPr>
          <w:p w14:paraId="30E77A8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576" w:type="pct"/>
            <w:tcBorders>
              <w:top w:val="nil"/>
              <w:left w:val="nil"/>
              <w:bottom w:val="nil"/>
              <w:right w:val="nil"/>
            </w:tcBorders>
            <w:vAlign w:val="bottom"/>
          </w:tcPr>
          <w:p w14:paraId="3B5471E6"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2019</w:t>
            </w:r>
          </w:p>
        </w:tc>
      </w:tr>
      <w:tr w:rsidR="002228B8" w14:paraId="513CE673" w14:textId="77777777" w:rsidTr="00DF4A0D">
        <w:trPr>
          <w:cantSplit/>
          <w:trHeight w:val="213"/>
        </w:trPr>
        <w:tc>
          <w:tcPr>
            <w:tcW w:w="3278" w:type="pct"/>
            <w:tcBorders>
              <w:top w:val="nil"/>
              <w:left w:val="nil"/>
              <w:bottom w:val="nil"/>
              <w:right w:val="nil"/>
            </w:tcBorders>
            <w:vAlign w:val="bottom"/>
          </w:tcPr>
          <w:p w14:paraId="3A1AFC3F"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722" w:type="pct"/>
            <w:gridSpan w:val="3"/>
            <w:tcBorders>
              <w:top w:val="nil"/>
              <w:left w:val="nil"/>
              <w:bottom w:val="nil"/>
              <w:right w:val="nil"/>
            </w:tcBorders>
            <w:vAlign w:val="bottom"/>
          </w:tcPr>
          <w:p w14:paraId="384BDBD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6"/>
                <w:szCs w:val="18"/>
                <w:lang w:val="en-GB" w:eastAsia="en-GB" w:bidi="ar-SA"/>
              </w:rPr>
            </w:pPr>
            <w:r w:rsidRPr="00571974">
              <w:rPr>
                <w:b/>
                <w:bCs/>
                <w:i/>
                <w:iCs/>
                <w:sz w:val="16"/>
                <w:szCs w:val="18"/>
                <w:lang w:val="en-GB" w:eastAsia="en-GB" w:bidi="ar-SA"/>
              </w:rPr>
              <w:t>(thousands of carats)</w:t>
            </w:r>
          </w:p>
        </w:tc>
      </w:tr>
      <w:tr w:rsidR="002228B8" w14:paraId="41D72AEA" w14:textId="77777777" w:rsidTr="00DF4A0D">
        <w:trPr>
          <w:cantSplit/>
          <w:trHeight w:val="197"/>
        </w:trPr>
        <w:tc>
          <w:tcPr>
            <w:tcW w:w="3278" w:type="pct"/>
            <w:tcBorders>
              <w:top w:val="nil"/>
              <w:left w:val="nil"/>
              <w:bottom w:val="nil"/>
              <w:right w:val="nil"/>
            </w:tcBorders>
          </w:tcPr>
          <w:p w14:paraId="2861977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i/>
                <w:iCs/>
                <w:sz w:val="18"/>
                <w:lang w:val="en-GB" w:eastAsia="en-GB" w:bidi="ar-SA"/>
              </w:rPr>
              <w:t>De Beers segment</w:t>
            </w:r>
            <w:r w:rsidRPr="00571974">
              <w:rPr>
                <w:bCs/>
                <w:sz w:val="18"/>
                <w:vertAlign w:val="superscript"/>
                <w:lang w:val="en-GB" w:eastAsia="en-GB" w:bidi="ar-SA"/>
              </w:rPr>
              <w:t>(1)</w:t>
            </w:r>
          </w:p>
        </w:tc>
        <w:tc>
          <w:tcPr>
            <w:tcW w:w="573" w:type="pct"/>
            <w:tcBorders>
              <w:top w:val="nil"/>
              <w:left w:val="nil"/>
              <w:bottom w:val="nil"/>
              <w:right w:val="nil"/>
            </w:tcBorders>
            <w:vAlign w:val="bottom"/>
          </w:tcPr>
          <w:p w14:paraId="42FD0B05"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73" w:type="pct"/>
            <w:tcBorders>
              <w:top w:val="nil"/>
              <w:left w:val="nil"/>
              <w:bottom w:val="nil"/>
              <w:right w:val="nil"/>
            </w:tcBorders>
            <w:vAlign w:val="bottom"/>
          </w:tcPr>
          <w:p w14:paraId="009CA7A5"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76" w:type="pct"/>
            <w:tcBorders>
              <w:top w:val="nil"/>
              <w:left w:val="nil"/>
              <w:bottom w:val="nil"/>
              <w:right w:val="nil"/>
            </w:tcBorders>
            <w:vAlign w:val="bottom"/>
          </w:tcPr>
          <w:p w14:paraId="14D81CD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2E7E5280" w14:textId="77777777" w:rsidTr="00DF4A0D">
        <w:trPr>
          <w:cantSplit/>
          <w:trHeight w:val="213"/>
        </w:trPr>
        <w:tc>
          <w:tcPr>
            <w:tcW w:w="3278" w:type="pct"/>
            <w:tcBorders>
              <w:top w:val="nil"/>
              <w:left w:val="nil"/>
              <w:bottom w:val="nil"/>
              <w:right w:val="nil"/>
            </w:tcBorders>
          </w:tcPr>
          <w:p w14:paraId="76962AEF" w14:textId="77777777" w:rsidR="00E93D9C" w:rsidRPr="00571974" w:rsidRDefault="003D4D89" w:rsidP="00DF4A0D">
            <w:pPr>
              <w:tabs>
                <w:tab w:val="right" w:leader="dot" w:pos="5892"/>
              </w:tabs>
              <w:suppressAutoHyphens/>
              <w:ind w:left="200" w:hanging="200"/>
              <w:rPr>
                <w:sz w:val="18"/>
                <w:lang w:val="en-GB" w:eastAsia="en-GB" w:bidi="ar-SA"/>
              </w:rPr>
            </w:pPr>
            <w:r w:rsidRPr="00571974">
              <w:rPr>
                <w:sz w:val="18"/>
                <w:lang w:val="en-GB" w:eastAsia="en-GB" w:bidi="ar-SA"/>
              </w:rPr>
              <w:t>Debswana</w:t>
            </w:r>
            <w:r w:rsidRPr="00571974">
              <w:rPr>
                <w:sz w:val="18"/>
                <w:lang w:val="en-GB" w:eastAsia="en-GB" w:bidi="ar-SA"/>
              </w:rPr>
              <w:tab/>
            </w:r>
          </w:p>
        </w:tc>
        <w:tc>
          <w:tcPr>
            <w:tcW w:w="573" w:type="pct"/>
            <w:tcBorders>
              <w:top w:val="nil"/>
              <w:left w:val="nil"/>
              <w:bottom w:val="nil"/>
              <w:right w:val="nil"/>
            </w:tcBorders>
            <w:vAlign w:val="bottom"/>
          </w:tcPr>
          <w:p w14:paraId="79FA05C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22,684</w:t>
            </w:r>
          </w:p>
        </w:tc>
        <w:tc>
          <w:tcPr>
            <w:tcW w:w="573" w:type="pct"/>
            <w:tcBorders>
              <w:top w:val="nil"/>
              <w:left w:val="nil"/>
              <w:bottom w:val="nil"/>
              <w:right w:val="nil"/>
            </w:tcBorders>
            <w:vAlign w:val="bottom"/>
          </w:tcPr>
          <w:p w14:paraId="07BBFC4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24,132</w:t>
            </w:r>
          </w:p>
        </w:tc>
        <w:tc>
          <w:tcPr>
            <w:tcW w:w="576" w:type="pct"/>
            <w:tcBorders>
              <w:top w:val="nil"/>
              <w:left w:val="nil"/>
              <w:bottom w:val="nil"/>
              <w:right w:val="nil"/>
            </w:tcBorders>
            <w:vAlign w:val="bottom"/>
          </w:tcPr>
          <w:p w14:paraId="51C9318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23,254</w:t>
            </w:r>
          </w:p>
        </w:tc>
      </w:tr>
      <w:tr w:rsidR="002228B8" w14:paraId="53C6DB9C" w14:textId="77777777" w:rsidTr="00DF4A0D">
        <w:trPr>
          <w:cantSplit/>
          <w:trHeight w:val="213"/>
        </w:trPr>
        <w:tc>
          <w:tcPr>
            <w:tcW w:w="3278" w:type="pct"/>
            <w:tcBorders>
              <w:top w:val="nil"/>
              <w:left w:val="nil"/>
              <w:bottom w:val="nil"/>
              <w:right w:val="nil"/>
            </w:tcBorders>
          </w:tcPr>
          <w:p w14:paraId="3F2FCA66" w14:textId="77777777" w:rsidR="00E93D9C" w:rsidRPr="00571974" w:rsidRDefault="003D4D89" w:rsidP="00DF4A0D">
            <w:pPr>
              <w:tabs>
                <w:tab w:val="right" w:leader="dot" w:pos="5892"/>
              </w:tabs>
              <w:suppressAutoHyphens/>
              <w:ind w:left="200" w:hanging="200"/>
              <w:rPr>
                <w:sz w:val="18"/>
                <w:lang w:val="en-GB" w:eastAsia="en-GB" w:bidi="ar-SA"/>
              </w:rPr>
            </w:pPr>
            <w:r w:rsidRPr="00571974">
              <w:rPr>
                <w:sz w:val="18"/>
                <w:lang w:val="en-GB" w:eastAsia="en-GB" w:bidi="ar-SA"/>
              </w:rPr>
              <w:t>Namdeb Holdings</w:t>
            </w:r>
            <w:r w:rsidRPr="00571974">
              <w:rPr>
                <w:sz w:val="18"/>
                <w:lang w:val="en-GB" w:eastAsia="en-GB" w:bidi="ar-SA"/>
              </w:rPr>
              <w:tab/>
            </w:r>
          </w:p>
        </w:tc>
        <w:tc>
          <w:tcPr>
            <w:tcW w:w="573" w:type="pct"/>
            <w:tcBorders>
              <w:top w:val="nil"/>
              <w:left w:val="nil"/>
              <w:bottom w:val="nil"/>
              <w:right w:val="nil"/>
            </w:tcBorders>
            <w:vAlign w:val="bottom"/>
          </w:tcPr>
          <w:p w14:paraId="277472F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1,805</w:t>
            </w:r>
          </w:p>
        </w:tc>
        <w:tc>
          <w:tcPr>
            <w:tcW w:w="573" w:type="pct"/>
            <w:tcBorders>
              <w:top w:val="nil"/>
              <w:left w:val="nil"/>
              <w:bottom w:val="nil"/>
              <w:right w:val="nil"/>
            </w:tcBorders>
            <w:vAlign w:val="bottom"/>
          </w:tcPr>
          <w:p w14:paraId="396C15C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2,008</w:t>
            </w:r>
          </w:p>
        </w:tc>
        <w:tc>
          <w:tcPr>
            <w:tcW w:w="576" w:type="pct"/>
            <w:tcBorders>
              <w:top w:val="nil"/>
              <w:left w:val="nil"/>
              <w:bottom w:val="nil"/>
              <w:right w:val="nil"/>
            </w:tcBorders>
            <w:vAlign w:val="bottom"/>
          </w:tcPr>
          <w:p w14:paraId="028C19C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1,700</w:t>
            </w:r>
          </w:p>
        </w:tc>
      </w:tr>
      <w:tr w:rsidR="002228B8" w14:paraId="32DA3503" w14:textId="77777777" w:rsidTr="00DF4A0D">
        <w:trPr>
          <w:cantSplit/>
          <w:trHeight w:val="213"/>
        </w:trPr>
        <w:tc>
          <w:tcPr>
            <w:tcW w:w="3278" w:type="pct"/>
            <w:tcBorders>
              <w:top w:val="nil"/>
              <w:left w:val="nil"/>
              <w:bottom w:val="nil"/>
              <w:right w:val="nil"/>
            </w:tcBorders>
          </w:tcPr>
          <w:p w14:paraId="0EE3DF78" w14:textId="77777777" w:rsidR="00E93D9C" w:rsidRPr="00571974" w:rsidRDefault="003D4D89" w:rsidP="00DF4A0D">
            <w:pPr>
              <w:tabs>
                <w:tab w:val="right" w:leader="dot" w:pos="5892"/>
              </w:tabs>
              <w:suppressAutoHyphens/>
              <w:ind w:left="200" w:hanging="200"/>
              <w:rPr>
                <w:sz w:val="18"/>
                <w:lang w:val="en-GB" w:eastAsia="en-GB" w:bidi="ar-SA"/>
              </w:rPr>
            </w:pPr>
            <w:r w:rsidRPr="00571974">
              <w:rPr>
                <w:sz w:val="18"/>
                <w:lang w:val="en-GB" w:eastAsia="en-GB" w:bidi="ar-SA"/>
              </w:rPr>
              <w:t>DBCM</w:t>
            </w:r>
            <w:r w:rsidRPr="00571974">
              <w:rPr>
                <w:sz w:val="18"/>
                <w:lang w:val="en-GB" w:eastAsia="en-GB" w:bidi="ar-SA"/>
              </w:rPr>
              <w:tab/>
            </w:r>
          </w:p>
        </w:tc>
        <w:tc>
          <w:tcPr>
            <w:tcW w:w="573" w:type="pct"/>
            <w:tcBorders>
              <w:top w:val="nil"/>
              <w:left w:val="nil"/>
              <w:bottom w:val="nil"/>
              <w:right w:val="nil"/>
            </w:tcBorders>
            <w:vAlign w:val="bottom"/>
          </w:tcPr>
          <w:p w14:paraId="5700C95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5,208</w:t>
            </w:r>
          </w:p>
        </w:tc>
        <w:tc>
          <w:tcPr>
            <w:tcW w:w="573" w:type="pct"/>
            <w:tcBorders>
              <w:top w:val="nil"/>
              <w:left w:val="nil"/>
              <w:bottom w:val="nil"/>
              <w:right w:val="nil"/>
            </w:tcBorders>
            <w:vAlign w:val="bottom"/>
          </w:tcPr>
          <w:p w14:paraId="543A25F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4,682</w:t>
            </w:r>
          </w:p>
        </w:tc>
        <w:tc>
          <w:tcPr>
            <w:tcW w:w="576" w:type="pct"/>
            <w:tcBorders>
              <w:top w:val="nil"/>
              <w:left w:val="nil"/>
              <w:bottom w:val="nil"/>
              <w:right w:val="nil"/>
            </w:tcBorders>
            <w:vAlign w:val="bottom"/>
          </w:tcPr>
          <w:p w14:paraId="55D04B0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1,922</w:t>
            </w:r>
          </w:p>
        </w:tc>
      </w:tr>
      <w:tr w:rsidR="002228B8" w14:paraId="592066A1" w14:textId="77777777" w:rsidTr="00DF4A0D">
        <w:trPr>
          <w:cantSplit/>
          <w:trHeight w:val="273"/>
        </w:trPr>
        <w:tc>
          <w:tcPr>
            <w:tcW w:w="3278" w:type="pct"/>
            <w:tcBorders>
              <w:top w:val="nil"/>
              <w:left w:val="nil"/>
              <w:bottom w:val="nil"/>
              <w:right w:val="nil"/>
            </w:tcBorders>
          </w:tcPr>
          <w:p w14:paraId="78309126" w14:textId="77777777" w:rsidR="00E93D9C" w:rsidRPr="00571974" w:rsidRDefault="003D4D89" w:rsidP="00DF4A0D">
            <w:pPr>
              <w:tabs>
                <w:tab w:val="right" w:leader="dot" w:pos="5892"/>
              </w:tabs>
              <w:suppressAutoHyphens/>
              <w:spacing w:after="40"/>
              <w:ind w:left="200" w:hanging="200"/>
              <w:rPr>
                <w:sz w:val="18"/>
                <w:lang w:val="en-GB" w:eastAsia="en-GB" w:bidi="ar-SA"/>
              </w:rPr>
            </w:pPr>
            <w:r w:rsidRPr="00571974">
              <w:rPr>
                <w:sz w:val="18"/>
                <w:lang w:val="en-GB" w:eastAsia="en-GB" w:bidi="ar-SA"/>
              </w:rPr>
              <w:t>De Beers Canada</w:t>
            </w:r>
            <w:r w:rsidRPr="00571974">
              <w:rPr>
                <w:sz w:val="18"/>
                <w:lang w:val="en-GB" w:eastAsia="en-GB" w:bidi="ar-SA"/>
              </w:rPr>
              <w:tab/>
            </w:r>
          </w:p>
        </w:tc>
        <w:tc>
          <w:tcPr>
            <w:tcW w:w="573" w:type="pct"/>
            <w:tcBorders>
              <w:top w:val="nil"/>
              <w:left w:val="nil"/>
              <w:bottom w:val="nil"/>
              <w:right w:val="nil"/>
            </w:tcBorders>
            <w:vAlign w:val="bottom"/>
          </w:tcPr>
          <w:p w14:paraId="7A3D4F92" w14:textId="77777777" w:rsidR="00E93D9C"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3,757</w:t>
            </w:r>
          </w:p>
        </w:tc>
        <w:tc>
          <w:tcPr>
            <w:tcW w:w="573" w:type="pct"/>
            <w:tcBorders>
              <w:top w:val="nil"/>
              <w:left w:val="nil"/>
              <w:bottom w:val="nil"/>
              <w:right w:val="nil"/>
            </w:tcBorders>
            <w:vAlign w:val="bottom"/>
          </w:tcPr>
          <w:p w14:paraId="1D227C1E" w14:textId="77777777" w:rsidR="00E93D9C"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4,475</w:t>
            </w:r>
          </w:p>
        </w:tc>
        <w:tc>
          <w:tcPr>
            <w:tcW w:w="576" w:type="pct"/>
            <w:tcBorders>
              <w:top w:val="nil"/>
              <w:left w:val="nil"/>
              <w:bottom w:val="nil"/>
              <w:right w:val="nil"/>
            </w:tcBorders>
            <w:vAlign w:val="bottom"/>
          </w:tcPr>
          <w:p w14:paraId="4F0049EA" w14:textId="77777777" w:rsidR="00E93D9C"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3,900</w:t>
            </w:r>
          </w:p>
        </w:tc>
      </w:tr>
      <w:tr w:rsidR="002228B8" w14:paraId="07E59748" w14:textId="77777777" w:rsidTr="00DF4A0D">
        <w:trPr>
          <w:cantSplit/>
          <w:trHeight w:val="258"/>
        </w:trPr>
        <w:tc>
          <w:tcPr>
            <w:tcW w:w="3278" w:type="pct"/>
            <w:tcBorders>
              <w:top w:val="nil"/>
              <w:left w:val="nil"/>
              <w:bottom w:val="nil"/>
              <w:right w:val="nil"/>
            </w:tcBorders>
          </w:tcPr>
          <w:p w14:paraId="4B0E196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p>
        </w:tc>
        <w:tc>
          <w:tcPr>
            <w:tcW w:w="573" w:type="pct"/>
            <w:tcBorders>
              <w:top w:val="nil"/>
              <w:left w:val="nil"/>
              <w:bottom w:val="nil"/>
              <w:right w:val="nil"/>
            </w:tcBorders>
            <w:vAlign w:val="bottom"/>
          </w:tcPr>
          <w:p w14:paraId="76F1B2B3" w14:textId="77777777" w:rsidR="00E93D9C"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33,454</w:t>
            </w:r>
          </w:p>
        </w:tc>
        <w:tc>
          <w:tcPr>
            <w:tcW w:w="573" w:type="pct"/>
            <w:tcBorders>
              <w:top w:val="nil"/>
              <w:left w:val="nil"/>
              <w:bottom w:val="nil"/>
              <w:right w:val="nil"/>
            </w:tcBorders>
            <w:vAlign w:val="bottom"/>
          </w:tcPr>
          <w:p w14:paraId="316169E6" w14:textId="77777777" w:rsidR="00E93D9C"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35,297</w:t>
            </w:r>
          </w:p>
        </w:tc>
        <w:tc>
          <w:tcPr>
            <w:tcW w:w="576" w:type="pct"/>
            <w:tcBorders>
              <w:top w:val="nil"/>
              <w:left w:val="nil"/>
              <w:bottom w:val="nil"/>
              <w:right w:val="nil"/>
            </w:tcBorders>
            <w:vAlign w:val="bottom"/>
          </w:tcPr>
          <w:p w14:paraId="0128738D" w14:textId="77777777" w:rsidR="00E93D9C"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30,776</w:t>
            </w:r>
          </w:p>
        </w:tc>
      </w:tr>
    </w:tbl>
    <w:p w14:paraId="0DE95B55" w14:textId="77777777" w:rsidR="00E93D9C" w:rsidRPr="00571974" w:rsidRDefault="00836D74" w:rsidP="00E93D9C">
      <w:pPr>
        <w:pStyle w:val="BodyText"/>
        <w:widowControl/>
        <w:autoSpaceDE/>
        <w:autoSpaceDN/>
        <w:adjustRightInd/>
        <w:rPr>
          <w:lang w:val="en-GB"/>
        </w:rPr>
      </w:pPr>
      <w:r>
        <w:rPr>
          <w:lang w:val="en-GB"/>
        </w:rPr>
        <w:pict w14:anchorId="27745C7C">
          <v:rect id="_x0000_i1033" style="width:184.5pt;height:1pt" o:hrpct="250" o:hrstd="t" o:hrnoshade="t" o:hr="t" fillcolor="black" stroked="f"/>
        </w:pict>
      </w:r>
    </w:p>
    <w:p w14:paraId="4C61975E" w14:textId="77777777" w:rsidR="00E93D9C" w:rsidRPr="00571974" w:rsidRDefault="003D4D89" w:rsidP="00E93D9C">
      <w:pPr>
        <w:pStyle w:val="ListParagraph"/>
        <w:widowControl/>
        <w:numPr>
          <w:ilvl w:val="0"/>
          <w:numId w:val="7"/>
        </w:numPr>
        <w:tabs>
          <w:tab w:val="left" w:pos="-720"/>
          <w:tab w:val="left" w:pos="0"/>
        </w:tabs>
        <w:suppressAutoHyphens/>
        <w:spacing w:after="240"/>
        <w:ind w:left="426" w:hanging="426"/>
        <w:rPr>
          <w:sz w:val="16"/>
          <w:szCs w:val="18"/>
          <w:lang w:val="en-GB"/>
        </w:rPr>
      </w:pPr>
      <w:r w:rsidRPr="00571974">
        <w:rPr>
          <w:sz w:val="16"/>
          <w:szCs w:val="18"/>
          <w:lang w:val="en-GB"/>
        </w:rPr>
        <w:t>De Beers production is on a 100% basis, except for the Gahcho Kué joint venture which is on an attributable 51% basis.</w:t>
      </w:r>
    </w:p>
    <w:tbl>
      <w:tblPr>
        <w:tblW w:w="5184" w:type="pct"/>
        <w:tblLayout w:type="fixed"/>
        <w:tblCellMar>
          <w:left w:w="72" w:type="dxa"/>
          <w:right w:w="72" w:type="dxa"/>
        </w:tblCellMar>
        <w:tblLook w:val="0000" w:firstRow="0" w:lastRow="0" w:firstColumn="0" w:lastColumn="0" w:noHBand="0" w:noVBand="0"/>
      </w:tblPr>
      <w:tblGrid>
        <w:gridCol w:w="6359"/>
        <w:gridCol w:w="1211"/>
        <w:gridCol w:w="1071"/>
        <w:gridCol w:w="1059"/>
      </w:tblGrid>
      <w:tr w:rsidR="002228B8" w14:paraId="1CA0A94D" w14:textId="77777777" w:rsidTr="00DF4A0D">
        <w:trPr>
          <w:cantSplit/>
          <w:trHeight w:val="557"/>
          <w:tblHeader/>
        </w:trPr>
        <w:tc>
          <w:tcPr>
            <w:tcW w:w="3278" w:type="pct"/>
            <w:tcBorders>
              <w:top w:val="nil"/>
              <w:left w:val="nil"/>
              <w:bottom w:val="nil"/>
              <w:right w:val="nil"/>
            </w:tcBorders>
            <w:vAlign w:val="bottom"/>
          </w:tcPr>
          <w:p w14:paraId="56F8DE48"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722" w:type="pct"/>
            <w:gridSpan w:val="3"/>
            <w:tcBorders>
              <w:top w:val="nil"/>
              <w:left w:val="nil"/>
              <w:bottom w:val="nil"/>
              <w:right w:val="nil"/>
            </w:tcBorders>
            <w:vAlign w:val="bottom"/>
          </w:tcPr>
          <w:p w14:paraId="24744C52"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iCs/>
                <w:sz w:val="18"/>
                <w:szCs w:val="18"/>
                <w:lang w:val="en-GB" w:eastAsia="en-GB" w:bidi="ar-SA"/>
              </w:rPr>
            </w:pPr>
            <w:r w:rsidRPr="00571974">
              <w:rPr>
                <w:b/>
                <w:bCs/>
                <w:iCs/>
                <w:sz w:val="18"/>
                <w:szCs w:val="18"/>
                <w:lang w:val="en-GB" w:eastAsia="en-GB" w:bidi="ar-SA"/>
              </w:rPr>
              <w:t>Year-ended December 31,</w:t>
            </w:r>
          </w:p>
        </w:tc>
      </w:tr>
      <w:tr w:rsidR="002228B8" w14:paraId="444BB6F0" w14:textId="77777777" w:rsidTr="00DF4A0D">
        <w:trPr>
          <w:cantSplit/>
          <w:trHeight w:val="269"/>
          <w:tblHeader/>
        </w:trPr>
        <w:tc>
          <w:tcPr>
            <w:tcW w:w="3278" w:type="pct"/>
            <w:tcBorders>
              <w:top w:val="nil"/>
              <w:left w:val="nil"/>
              <w:bottom w:val="nil"/>
              <w:right w:val="nil"/>
            </w:tcBorders>
            <w:vAlign w:val="bottom"/>
          </w:tcPr>
          <w:p w14:paraId="5A8BBBB3"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24" w:type="pct"/>
            <w:tcBorders>
              <w:top w:val="nil"/>
              <w:left w:val="nil"/>
              <w:bottom w:val="nil"/>
              <w:right w:val="nil"/>
            </w:tcBorders>
            <w:vAlign w:val="bottom"/>
          </w:tcPr>
          <w:p w14:paraId="3DAC9BDE"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552" w:type="pct"/>
            <w:tcBorders>
              <w:top w:val="nil"/>
              <w:left w:val="nil"/>
              <w:bottom w:val="nil"/>
              <w:right w:val="nil"/>
            </w:tcBorders>
            <w:vAlign w:val="bottom"/>
          </w:tcPr>
          <w:p w14:paraId="21E46553"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546" w:type="pct"/>
            <w:tcBorders>
              <w:top w:val="nil"/>
              <w:left w:val="nil"/>
              <w:bottom w:val="nil"/>
              <w:right w:val="nil"/>
            </w:tcBorders>
            <w:vAlign w:val="bottom"/>
          </w:tcPr>
          <w:p w14:paraId="520FD42E"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2019</w:t>
            </w:r>
          </w:p>
        </w:tc>
      </w:tr>
      <w:tr w:rsidR="002228B8" w14:paraId="52A8A0ED" w14:textId="77777777" w:rsidTr="00DF4A0D">
        <w:trPr>
          <w:cantSplit/>
          <w:trHeight w:val="251"/>
          <w:tblHeader/>
        </w:trPr>
        <w:tc>
          <w:tcPr>
            <w:tcW w:w="3278" w:type="pct"/>
            <w:tcBorders>
              <w:top w:val="nil"/>
              <w:left w:val="nil"/>
              <w:bottom w:val="nil"/>
              <w:right w:val="nil"/>
            </w:tcBorders>
            <w:vAlign w:val="bottom"/>
          </w:tcPr>
          <w:p w14:paraId="27B5E0F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722" w:type="pct"/>
            <w:gridSpan w:val="3"/>
            <w:tcBorders>
              <w:top w:val="nil"/>
              <w:left w:val="nil"/>
              <w:bottom w:val="nil"/>
              <w:right w:val="nil"/>
            </w:tcBorders>
            <w:vAlign w:val="bottom"/>
          </w:tcPr>
          <w:p w14:paraId="0783498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sz w:val="18"/>
                <w:szCs w:val="18"/>
                <w:lang w:val="en-GB" w:eastAsia="en-GB" w:bidi="ar-SA"/>
              </w:rPr>
            </w:pPr>
            <w:r w:rsidRPr="00571974">
              <w:rPr>
                <w:b/>
                <w:bCs/>
                <w:i/>
                <w:sz w:val="18"/>
                <w:szCs w:val="18"/>
                <w:lang w:val="en-GB" w:eastAsia="en-GB" w:bidi="ar-SA"/>
              </w:rPr>
              <w:t>(tonnes)</w:t>
            </w:r>
          </w:p>
        </w:tc>
      </w:tr>
      <w:tr w:rsidR="002228B8" w14:paraId="43A2B42E" w14:textId="77777777" w:rsidTr="00DF4A0D">
        <w:trPr>
          <w:cantSplit/>
          <w:trHeight w:val="251"/>
        </w:trPr>
        <w:tc>
          <w:tcPr>
            <w:tcW w:w="3278" w:type="pct"/>
            <w:tcBorders>
              <w:top w:val="nil"/>
              <w:left w:val="nil"/>
              <w:bottom w:val="nil"/>
              <w:right w:val="nil"/>
            </w:tcBorders>
          </w:tcPr>
          <w:p w14:paraId="2A32789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i/>
                <w:sz w:val="18"/>
                <w:szCs w:val="18"/>
                <w:lang w:val="en-GB" w:eastAsia="en-GB" w:bidi="ar-SA"/>
              </w:rPr>
            </w:pPr>
            <w:r w:rsidRPr="00571974">
              <w:rPr>
                <w:b/>
                <w:bCs/>
                <w:i/>
                <w:sz w:val="18"/>
                <w:szCs w:val="18"/>
                <w:lang w:val="en-GB" w:eastAsia="en-GB" w:bidi="ar-SA"/>
              </w:rPr>
              <w:t>Copper segment</w:t>
            </w:r>
            <w:r w:rsidRPr="00571974">
              <w:rPr>
                <w:bCs/>
                <w:sz w:val="18"/>
                <w:vertAlign w:val="superscript"/>
                <w:lang w:val="en-GB" w:eastAsia="en-GB" w:bidi="ar-SA"/>
              </w:rPr>
              <w:t>(1)(2)</w:t>
            </w:r>
          </w:p>
        </w:tc>
        <w:tc>
          <w:tcPr>
            <w:tcW w:w="624" w:type="pct"/>
            <w:tcBorders>
              <w:top w:val="nil"/>
              <w:left w:val="nil"/>
              <w:bottom w:val="nil"/>
              <w:right w:val="nil"/>
            </w:tcBorders>
            <w:vAlign w:val="bottom"/>
          </w:tcPr>
          <w:p w14:paraId="6D4A1B0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552" w:type="pct"/>
            <w:tcBorders>
              <w:top w:val="nil"/>
              <w:left w:val="nil"/>
              <w:bottom w:val="nil"/>
              <w:right w:val="nil"/>
            </w:tcBorders>
            <w:vAlign w:val="bottom"/>
          </w:tcPr>
          <w:p w14:paraId="4EFC4013"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546" w:type="pct"/>
            <w:tcBorders>
              <w:top w:val="nil"/>
              <w:left w:val="nil"/>
              <w:bottom w:val="nil"/>
              <w:right w:val="nil"/>
            </w:tcBorders>
            <w:vAlign w:val="bottom"/>
          </w:tcPr>
          <w:p w14:paraId="3E32F30B"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15101D6C" w14:textId="77777777" w:rsidTr="00DF4A0D">
        <w:trPr>
          <w:cantSplit/>
          <w:trHeight w:val="251"/>
        </w:trPr>
        <w:tc>
          <w:tcPr>
            <w:tcW w:w="3278" w:type="pct"/>
            <w:tcBorders>
              <w:top w:val="nil"/>
              <w:left w:val="nil"/>
              <w:bottom w:val="nil"/>
              <w:right w:val="nil"/>
            </w:tcBorders>
          </w:tcPr>
          <w:p w14:paraId="53E7119E" w14:textId="77777777" w:rsidR="00E93D9C" w:rsidRPr="00571974" w:rsidRDefault="003D4D89" w:rsidP="00DF4A0D">
            <w:pPr>
              <w:tabs>
                <w:tab w:val="right" w:leader="dot" w:pos="6248"/>
              </w:tabs>
              <w:suppressAutoHyphens/>
              <w:ind w:left="200" w:hanging="200"/>
              <w:rPr>
                <w:sz w:val="18"/>
                <w:szCs w:val="18"/>
                <w:lang w:val="en-GB" w:eastAsia="en-GB" w:bidi="ar-SA"/>
              </w:rPr>
            </w:pPr>
            <w:r w:rsidRPr="00571974">
              <w:rPr>
                <w:sz w:val="18"/>
                <w:szCs w:val="18"/>
                <w:lang w:val="en-GB" w:eastAsia="en-GB" w:bidi="ar-SA"/>
              </w:rPr>
              <w:t>Collahuasi (44% share)</w:t>
            </w:r>
            <w:r w:rsidRPr="00571974">
              <w:rPr>
                <w:sz w:val="18"/>
                <w:szCs w:val="18"/>
                <w:lang w:val="en-GB" w:eastAsia="en-GB" w:bidi="ar-SA"/>
              </w:rPr>
              <w:tab/>
            </w:r>
          </w:p>
        </w:tc>
        <w:tc>
          <w:tcPr>
            <w:tcW w:w="624" w:type="pct"/>
            <w:tcBorders>
              <w:top w:val="nil"/>
              <w:left w:val="nil"/>
              <w:bottom w:val="nil"/>
              <w:right w:val="nil"/>
            </w:tcBorders>
            <w:vAlign w:val="bottom"/>
          </w:tcPr>
          <w:p w14:paraId="629BAA1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230,500</w:t>
            </w:r>
          </w:p>
        </w:tc>
        <w:tc>
          <w:tcPr>
            <w:tcW w:w="552" w:type="pct"/>
            <w:tcBorders>
              <w:top w:val="nil"/>
              <w:left w:val="nil"/>
              <w:bottom w:val="nil"/>
              <w:right w:val="nil"/>
            </w:tcBorders>
            <w:vAlign w:val="bottom"/>
          </w:tcPr>
          <w:p w14:paraId="08DA4B4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246,000</w:t>
            </w:r>
          </w:p>
        </w:tc>
        <w:tc>
          <w:tcPr>
            <w:tcW w:w="546" w:type="pct"/>
            <w:tcBorders>
              <w:top w:val="nil"/>
              <w:left w:val="nil"/>
              <w:bottom w:val="nil"/>
              <w:right w:val="nil"/>
            </w:tcBorders>
            <w:vAlign w:val="bottom"/>
          </w:tcPr>
          <w:p w14:paraId="3987428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248,800</w:t>
            </w:r>
          </w:p>
        </w:tc>
      </w:tr>
      <w:tr w:rsidR="002228B8" w14:paraId="05426816" w14:textId="77777777" w:rsidTr="00DF4A0D">
        <w:trPr>
          <w:cantSplit/>
          <w:trHeight w:val="251"/>
        </w:trPr>
        <w:tc>
          <w:tcPr>
            <w:tcW w:w="3278" w:type="pct"/>
            <w:tcBorders>
              <w:top w:val="nil"/>
              <w:left w:val="nil"/>
              <w:bottom w:val="nil"/>
              <w:right w:val="nil"/>
            </w:tcBorders>
          </w:tcPr>
          <w:p w14:paraId="26456CB0" w14:textId="77777777" w:rsidR="00E93D9C" w:rsidRPr="00571974" w:rsidRDefault="003D4D89" w:rsidP="00DF4A0D">
            <w:pPr>
              <w:tabs>
                <w:tab w:val="right" w:leader="dot" w:pos="6248"/>
              </w:tabs>
              <w:suppressAutoHyphens/>
              <w:ind w:left="200" w:hanging="200"/>
              <w:rPr>
                <w:sz w:val="18"/>
                <w:szCs w:val="18"/>
                <w:lang w:val="en-GB" w:eastAsia="en-GB" w:bidi="ar-SA"/>
              </w:rPr>
            </w:pPr>
            <w:r w:rsidRPr="00571974">
              <w:rPr>
                <w:sz w:val="18"/>
                <w:szCs w:val="18"/>
                <w:lang w:val="en-GB" w:eastAsia="en-GB" w:bidi="ar-SA"/>
              </w:rPr>
              <w:t>AA Sur — Los Bronces mine</w:t>
            </w:r>
            <w:r w:rsidRPr="00571974">
              <w:rPr>
                <w:sz w:val="18"/>
                <w:szCs w:val="18"/>
                <w:lang w:val="en-GB" w:eastAsia="en-GB" w:bidi="ar-SA"/>
              </w:rPr>
              <w:tab/>
            </w:r>
          </w:p>
        </w:tc>
        <w:tc>
          <w:tcPr>
            <w:tcW w:w="624" w:type="pct"/>
            <w:tcBorders>
              <w:top w:val="nil"/>
              <w:left w:val="nil"/>
              <w:bottom w:val="nil"/>
              <w:right w:val="nil"/>
            </w:tcBorders>
            <w:vAlign w:val="bottom"/>
          </w:tcPr>
          <w:p w14:paraId="5067551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308,300</w:t>
            </w:r>
          </w:p>
        </w:tc>
        <w:tc>
          <w:tcPr>
            <w:tcW w:w="552" w:type="pct"/>
            <w:tcBorders>
              <w:top w:val="nil"/>
              <w:left w:val="nil"/>
              <w:bottom w:val="nil"/>
              <w:right w:val="nil"/>
            </w:tcBorders>
            <w:vAlign w:val="bottom"/>
          </w:tcPr>
          <w:p w14:paraId="2738DD5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369,500</w:t>
            </w:r>
          </w:p>
        </w:tc>
        <w:tc>
          <w:tcPr>
            <w:tcW w:w="546" w:type="pct"/>
            <w:tcBorders>
              <w:top w:val="nil"/>
              <w:left w:val="nil"/>
              <w:bottom w:val="nil"/>
              <w:right w:val="nil"/>
            </w:tcBorders>
            <w:vAlign w:val="bottom"/>
          </w:tcPr>
          <w:p w14:paraId="4B9098C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335,000</w:t>
            </w:r>
          </w:p>
        </w:tc>
      </w:tr>
      <w:tr w:rsidR="002228B8" w14:paraId="57735EB9" w14:textId="77777777" w:rsidTr="00DF4A0D">
        <w:trPr>
          <w:cantSplit/>
          <w:trHeight w:val="233"/>
        </w:trPr>
        <w:tc>
          <w:tcPr>
            <w:tcW w:w="3278" w:type="pct"/>
            <w:tcBorders>
              <w:top w:val="nil"/>
              <w:left w:val="nil"/>
              <w:bottom w:val="nil"/>
              <w:right w:val="nil"/>
            </w:tcBorders>
          </w:tcPr>
          <w:p w14:paraId="5F9FBA47" w14:textId="77777777" w:rsidR="00E93D9C" w:rsidRPr="00571974" w:rsidRDefault="003D4D89" w:rsidP="00DF4A0D">
            <w:pPr>
              <w:tabs>
                <w:tab w:val="right" w:leader="dot" w:pos="6248"/>
              </w:tabs>
              <w:suppressAutoHyphens/>
              <w:ind w:left="200" w:hanging="200"/>
              <w:rPr>
                <w:sz w:val="18"/>
                <w:szCs w:val="18"/>
                <w:lang w:val="en-GB" w:eastAsia="en-GB" w:bidi="ar-SA"/>
              </w:rPr>
            </w:pPr>
            <w:r w:rsidRPr="00571974">
              <w:rPr>
                <w:sz w:val="18"/>
                <w:szCs w:val="18"/>
                <w:lang w:val="en-GB" w:eastAsia="en-GB" w:bidi="ar-SA"/>
              </w:rPr>
              <w:t>AA Sur — El Soldado mine</w:t>
            </w:r>
            <w:r w:rsidRPr="00571974">
              <w:rPr>
                <w:sz w:val="18"/>
                <w:szCs w:val="18"/>
                <w:lang w:val="en-GB" w:eastAsia="en-GB" w:bidi="ar-SA"/>
              </w:rPr>
              <w:tab/>
            </w:r>
          </w:p>
        </w:tc>
        <w:tc>
          <w:tcPr>
            <w:tcW w:w="624" w:type="pct"/>
            <w:tcBorders>
              <w:top w:val="nil"/>
              <w:left w:val="nil"/>
              <w:bottom w:val="nil"/>
              <w:right w:val="nil"/>
            </w:tcBorders>
            <w:vAlign w:val="bottom"/>
          </w:tcPr>
          <w:p w14:paraId="0DBA2F0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40,500</w:t>
            </w:r>
          </w:p>
        </w:tc>
        <w:tc>
          <w:tcPr>
            <w:tcW w:w="552" w:type="pct"/>
            <w:tcBorders>
              <w:top w:val="nil"/>
              <w:left w:val="nil"/>
              <w:bottom w:val="nil"/>
              <w:right w:val="nil"/>
            </w:tcBorders>
            <w:vAlign w:val="bottom"/>
          </w:tcPr>
          <w:p w14:paraId="3AAAF55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52,700</w:t>
            </w:r>
          </w:p>
        </w:tc>
        <w:tc>
          <w:tcPr>
            <w:tcW w:w="546" w:type="pct"/>
            <w:tcBorders>
              <w:top w:val="nil"/>
              <w:left w:val="nil"/>
              <w:bottom w:val="nil"/>
              <w:right w:val="nil"/>
            </w:tcBorders>
            <w:vAlign w:val="bottom"/>
          </w:tcPr>
          <w:p w14:paraId="4B92BD4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54,200</w:t>
            </w:r>
          </w:p>
        </w:tc>
      </w:tr>
      <w:tr w:rsidR="002228B8" w14:paraId="7CB40E8A" w14:textId="77777777" w:rsidTr="00DF4A0D">
        <w:trPr>
          <w:cantSplit/>
          <w:trHeight w:val="251"/>
        </w:trPr>
        <w:tc>
          <w:tcPr>
            <w:tcW w:w="3278" w:type="pct"/>
            <w:tcBorders>
              <w:top w:val="nil"/>
              <w:left w:val="nil"/>
              <w:bottom w:val="nil"/>
              <w:right w:val="nil"/>
            </w:tcBorders>
          </w:tcPr>
          <w:p w14:paraId="0005BF92" w14:textId="77777777" w:rsidR="00E93D9C" w:rsidRPr="00571974" w:rsidRDefault="00E93D9C" w:rsidP="00DF4A0D">
            <w:pPr>
              <w:tabs>
                <w:tab w:val="right" w:leader="dot" w:pos="6248"/>
              </w:tabs>
              <w:suppressAutoHyphens/>
              <w:ind w:left="200" w:hanging="200"/>
              <w:rPr>
                <w:sz w:val="18"/>
                <w:szCs w:val="18"/>
                <w:lang w:val="en-GB" w:eastAsia="en-GB" w:bidi="ar-SA"/>
              </w:rPr>
            </w:pPr>
          </w:p>
        </w:tc>
        <w:tc>
          <w:tcPr>
            <w:tcW w:w="624" w:type="pct"/>
            <w:tcBorders>
              <w:top w:val="nil"/>
              <w:left w:val="nil"/>
              <w:bottom w:val="nil"/>
              <w:right w:val="nil"/>
            </w:tcBorders>
            <w:vAlign w:val="bottom"/>
          </w:tcPr>
          <w:p w14:paraId="7792E7C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552" w:type="pct"/>
            <w:tcBorders>
              <w:top w:val="nil"/>
              <w:left w:val="nil"/>
              <w:bottom w:val="nil"/>
              <w:right w:val="nil"/>
            </w:tcBorders>
            <w:vAlign w:val="bottom"/>
          </w:tcPr>
          <w:p w14:paraId="59D2AFC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546" w:type="pct"/>
            <w:tcBorders>
              <w:top w:val="nil"/>
              <w:left w:val="nil"/>
              <w:bottom w:val="nil"/>
              <w:right w:val="nil"/>
            </w:tcBorders>
            <w:vAlign w:val="bottom"/>
          </w:tcPr>
          <w:p w14:paraId="02AE886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109717E1" w14:textId="77777777" w:rsidTr="00DF4A0D">
        <w:trPr>
          <w:cantSplit/>
          <w:trHeight w:val="71"/>
        </w:trPr>
        <w:tc>
          <w:tcPr>
            <w:tcW w:w="3278" w:type="pct"/>
            <w:tcBorders>
              <w:top w:val="nil"/>
              <w:left w:val="nil"/>
              <w:bottom w:val="nil"/>
              <w:right w:val="nil"/>
            </w:tcBorders>
          </w:tcPr>
          <w:p w14:paraId="229EC1A4" w14:textId="77777777" w:rsidR="00E93D9C" w:rsidRPr="00571974" w:rsidRDefault="00E93D9C" w:rsidP="00DF4A0D">
            <w:pPr>
              <w:tabs>
                <w:tab w:val="right" w:leader="dot" w:pos="6248"/>
              </w:tabs>
              <w:suppressAutoHyphens/>
              <w:ind w:left="200" w:hanging="200"/>
              <w:rPr>
                <w:sz w:val="3"/>
                <w:szCs w:val="3"/>
                <w:lang w:val="en-GB" w:eastAsia="en-GB" w:bidi="ar-SA"/>
              </w:rPr>
            </w:pPr>
          </w:p>
        </w:tc>
        <w:tc>
          <w:tcPr>
            <w:tcW w:w="624" w:type="pct"/>
            <w:tcBorders>
              <w:top w:val="nil"/>
              <w:left w:val="nil"/>
              <w:bottom w:val="nil"/>
              <w:right w:val="nil"/>
            </w:tcBorders>
            <w:vAlign w:val="bottom"/>
          </w:tcPr>
          <w:p w14:paraId="3F778493" w14:textId="77777777" w:rsidR="00E93D9C" w:rsidRPr="00571974" w:rsidRDefault="00E93D9C"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3"/>
                <w:szCs w:val="3"/>
                <w:lang w:val="en-GB" w:eastAsia="en-GB" w:bidi="ar-SA"/>
              </w:rPr>
            </w:pPr>
          </w:p>
        </w:tc>
        <w:tc>
          <w:tcPr>
            <w:tcW w:w="552" w:type="pct"/>
            <w:tcBorders>
              <w:top w:val="nil"/>
              <w:left w:val="nil"/>
              <w:bottom w:val="nil"/>
              <w:right w:val="nil"/>
            </w:tcBorders>
            <w:vAlign w:val="bottom"/>
          </w:tcPr>
          <w:p w14:paraId="6725C6A1" w14:textId="77777777" w:rsidR="00E93D9C" w:rsidRPr="00571974" w:rsidRDefault="00E93D9C"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3"/>
                <w:szCs w:val="3"/>
                <w:lang w:val="en-GB" w:eastAsia="en-GB" w:bidi="ar-SA"/>
              </w:rPr>
            </w:pPr>
          </w:p>
        </w:tc>
        <w:tc>
          <w:tcPr>
            <w:tcW w:w="546" w:type="pct"/>
            <w:tcBorders>
              <w:top w:val="nil"/>
              <w:left w:val="nil"/>
              <w:bottom w:val="nil"/>
              <w:right w:val="nil"/>
            </w:tcBorders>
            <w:vAlign w:val="bottom"/>
          </w:tcPr>
          <w:p w14:paraId="2F41F66A" w14:textId="77777777" w:rsidR="00E93D9C" w:rsidRPr="00571974" w:rsidRDefault="00E93D9C"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3"/>
                <w:szCs w:val="3"/>
                <w:lang w:val="en-GB" w:eastAsia="en-GB" w:bidi="ar-SA"/>
              </w:rPr>
            </w:pPr>
          </w:p>
        </w:tc>
      </w:tr>
      <w:tr w:rsidR="002228B8" w14:paraId="5CE8157C" w14:textId="77777777" w:rsidTr="00DF4A0D">
        <w:trPr>
          <w:cantSplit/>
          <w:trHeight w:val="323"/>
        </w:trPr>
        <w:tc>
          <w:tcPr>
            <w:tcW w:w="3278" w:type="pct"/>
            <w:tcBorders>
              <w:top w:val="nil"/>
              <w:left w:val="nil"/>
              <w:bottom w:val="nil"/>
              <w:right w:val="nil"/>
            </w:tcBorders>
          </w:tcPr>
          <w:p w14:paraId="0F7BBE46" w14:textId="77777777" w:rsidR="00E93D9C" w:rsidRPr="00571974" w:rsidRDefault="003D4D89" w:rsidP="00DF4A0D">
            <w:pPr>
              <w:tabs>
                <w:tab w:val="right" w:leader="dot" w:pos="6248"/>
              </w:tabs>
              <w:suppressAutoHyphens/>
              <w:rPr>
                <w:sz w:val="18"/>
                <w:szCs w:val="18"/>
                <w:lang w:val="en-GB" w:eastAsia="en-GB" w:bidi="ar-SA"/>
              </w:rPr>
            </w:pPr>
            <w:r w:rsidRPr="00571974">
              <w:rPr>
                <w:b/>
                <w:bCs/>
                <w:sz w:val="18"/>
                <w:szCs w:val="18"/>
                <w:lang w:val="en-GB" w:eastAsia="en-GB" w:bidi="ar-SA"/>
              </w:rPr>
              <w:t>Total attributable copper production</w:t>
            </w:r>
            <w:r w:rsidRPr="00571974">
              <w:rPr>
                <w:sz w:val="18"/>
                <w:szCs w:val="18"/>
                <w:lang w:val="en-GB" w:eastAsia="en-GB" w:bidi="ar-SA"/>
              </w:rPr>
              <w:tab/>
            </w:r>
          </w:p>
        </w:tc>
        <w:tc>
          <w:tcPr>
            <w:tcW w:w="624" w:type="pct"/>
            <w:tcBorders>
              <w:top w:val="nil"/>
              <w:left w:val="nil"/>
              <w:bottom w:val="nil"/>
              <w:right w:val="nil"/>
            </w:tcBorders>
            <w:vAlign w:val="bottom"/>
          </w:tcPr>
          <w:p w14:paraId="193F4B5D" w14:textId="77777777" w:rsidR="00E93D9C"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579,300</w:t>
            </w:r>
          </w:p>
        </w:tc>
        <w:tc>
          <w:tcPr>
            <w:tcW w:w="552" w:type="pct"/>
            <w:tcBorders>
              <w:top w:val="nil"/>
              <w:left w:val="nil"/>
              <w:bottom w:val="nil"/>
              <w:right w:val="nil"/>
            </w:tcBorders>
            <w:vAlign w:val="bottom"/>
          </w:tcPr>
          <w:p w14:paraId="2C3AF0A6" w14:textId="77777777" w:rsidR="00E93D9C"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668,300</w:t>
            </w:r>
          </w:p>
        </w:tc>
        <w:tc>
          <w:tcPr>
            <w:tcW w:w="546" w:type="pct"/>
            <w:tcBorders>
              <w:top w:val="nil"/>
              <w:left w:val="nil"/>
              <w:bottom w:val="nil"/>
              <w:right w:val="nil"/>
            </w:tcBorders>
            <w:vAlign w:val="bottom"/>
          </w:tcPr>
          <w:p w14:paraId="6C2EDD2E" w14:textId="77777777" w:rsidR="00E93D9C"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638,000</w:t>
            </w:r>
          </w:p>
        </w:tc>
      </w:tr>
    </w:tbl>
    <w:p w14:paraId="4E8D25EA" w14:textId="77777777" w:rsidR="00E93D9C" w:rsidRPr="00571974" w:rsidRDefault="00836D74" w:rsidP="00E93D9C">
      <w:pPr>
        <w:rPr>
          <w:lang w:val="en-GB"/>
        </w:rPr>
      </w:pPr>
      <w:r>
        <w:rPr>
          <w:lang w:val="en-GB"/>
        </w:rPr>
        <w:pict w14:anchorId="360CD963">
          <v:rect id="_x0000_i1034" style="width:184.5pt;height:1pt" o:hrpct="250" o:hrstd="t" o:hrnoshade="t" o:hr="t" fillcolor="black" stroked="f"/>
        </w:pict>
      </w:r>
    </w:p>
    <w:p w14:paraId="17F4631E" w14:textId="77777777" w:rsidR="00E93D9C" w:rsidRPr="00571974" w:rsidRDefault="003D4D89" w:rsidP="00E93D9C">
      <w:pPr>
        <w:pStyle w:val="ListParagraph"/>
        <w:widowControl/>
        <w:numPr>
          <w:ilvl w:val="0"/>
          <w:numId w:val="5"/>
        </w:numPr>
        <w:tabs>
          <w:tab w:val="left" w:pos="-720"/>
          <w:tab w:val="left" w:pos="0"/>
        </w:tabs>
        <w:suppressAutoHyphens/>
        <w:spacing w:after="240"/>
        <w:ind w:left="284" w:hanging="284"/>
        <w:rPr>
          <w:sz w:val="16"/>
          <w:szCs w:val="18"/>
          <w:lang w:val="en-GB"/>
        </w:rPr>
      </w:pPr>
      <w:r w:rsidRPr="00571974">
        <w:rPr>
          <w:sz w:val="16"/>
          <w:szCs w:val="18"/>
          <w:lang w:val="en-GB"/>
        </w:rPr>
        <w:t>Production is presented on a contained metal basis.</w:t>
      </w:r>
    </w:p>
    <w:p w14:paraId="158B38F6" w14:textId="39E0A70E" w:rsidR="00E93D9C" w:rsidRPr="00571974" w:rsidRDefault="003D4D89" w:rsidP="00E93D9C">
      <w:pPr>
        <w:pStyle w:val="ListParagraph"/>
        <w:widowControl/>
        <w:numPr>
          <w:ilvl w:val="0"/>
          <w:numId w:val="5"/>
        </w:numPr>
        <w:tabs>
          <w:tab w:val="left" w:pos="-720"/>
          <w:tab w:val="left" w:pos="0"/>
        </w:tabs>
        <w:suppressAutoHyphens/>
        <w:spacing w:after="240"/>
        <w:ind w:left="284" w:hanging="284"/>
        <w:rPr>
          <w:sz w:val="16"/>
          <w:szCs w:val="18"/>
          <w:lang w:val="en-GB"/>
        </w:rPr>
      </w:pPr>
      <w:r w:rsidRPr="00571974">
        <w:rPr>
          <w:sz w:val="16"/>
          <w:szCs w:val="18"/>
          <w:lang w:val="en-GB"/>
        </w:rPr>
        <w:t>Excludes Anglo American Platinum</w:t>
      </w:r>
      <w:r w:rsidR="00A311D8">
        <w:rPr>
          <w:sz w:val="16"/>
          <w:szCs w:val="18"/>
          <w:lang w:val="en-GB"/>
        </w:rPr>
        <w:t>’</w:t>
      </w:r>
      <w:r w:rsidRPr="00571974">
        <w:rPr>
          <w:sz w:val="16"/>
          <w:szCs w:val="18"/>
          <w:lang w:val="en-GB"/>
        </w:rPr>
        <w:t>s copper production.</w:t>
      </w:r>
    </w:p>
    <w:p w14:paraId="1914FEA6" w14:textId="77777777" w:rsidR="00E93D9C" w:rsidRPr="00571974" w:rsidRDefault="00E93D9C" w:rsidP="00E93D9C">
      <w:pPr>
        <w:pStyle w:val="ListParagraph"/>
        <w:widowControl/>
        <w:tabs>
          <w:tab w:val="left" w:pos="-720"/>
          <w:tab w:val="left" w:pos="0"/>
        </w:tabs>
        <w:suppressAutoHyphens/>
        <w:spacing w:after="240"/>
        <w:ind w:left="284"/>
        <w:rPr>
          <w:sz w:val="16"/>
          <w:szCs w:val="18"/>
          <w:lang w:val="en-GB"/>
        </w:rPr>
      </w:pPr>
    </w:p>
    <w:tbl>
      <w:tblPr>
        <w:tblW w:w="5254" w:type="pct"/>
        <w:tblLayout w:type="fixed"/>
        <w:tblCellMar>
          <w:left w:w="72" w:type="dxa"/>
          <w:right w:w="72" w:type="dxa"/>
        </w:tblCellMar>
        <w:tblLook w:val="0000" w:firstRow="0" w:lastRow="0" w:firstColumn="0" w:lastColumn="0" w:noHBand="0" w:noVBand="0"/>
      </w:tblPr>
      <w:tblGrid>
        <w:gridCol w:w="6369"/>
        <w:gridCol w:w="1237"/>
        <w:gridCol w:w="1091"/>
        <w:gridCol w:w="1134"/>
      </w:tblGrid>
      <w:tr w:rsidR="002228B8" w14:paraId="7345B2D2" w14:textId="77777777" w:rsidTr="00DF4A0D">
        <w:trPr>
          <w:cantSplit/>
          <w:trHeight w:val="294"/>
        </w:trPr>
        <w:tc>
          <w:tcPr>
            <w:tcW w:w="3239" w:type="pct"/>
            <w:tcBorders>
              <w:top w:val="nil"/>
              <w:left w:val="nil"/>
              <w:bottom w:val="nil"/>
              <w:right w:val="nil"/>
            </w:tcBorders>
            <w:vAlign w:val="bottom"/>
          </w:tcPr>
          <w:p w14:paraId="5579F28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761" w:type="pct"/>
            <w:gridSpan w:val="3"/>
            <w:tcBorders>
              <w:top w:val="nil"/>
              <w:left w:val="nil"/>
              <w:bottom w:val="nil"/>
              <w:right w:val="nil"/>
            </w:tcBorders>
            <w:vAlign w:val="bottom"/>
          </w:tcPr>
          <w:p w14:paraId="425934A7"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iCs/>
                <w:sz w:val="18"/>
                <w:szCs w:val="18"/>
                <w:lang w:val="en-GB" w:eastAsia="en-GB" w:bidi="ar-SA"/>
              </w:rPr>
            </w:pPr>
            <w:r w:rsidRPr="00571974">
              <w:rPr>
                <w:b/>
                <w:bCs/>
                <w:iCs/>
                <w:sz w:val="18"/>
                <w:szCs w:val="18"/>
                <w:lang w:val="en-GB" w:eastAsia="en-GB" w:bidi="ar-SA"/>
              </w:rPr>
              <w:t>Year-ended December 31,</w:t>
            </w:r>
          </w:p>
        </w:tc>
      </w:tr>
      <w:tr w:rsidR="002228B8" w14:paraId="2BF14BD8" w14:textId="77777777" w:rsidTr="00DF4A0D">
        <w:trPr>
          <w:cantSplit/>
          <w:trHeight w:val="276"/>
        </w:trPr>
        <w:tc>
          <w:tcPr>
            <w:tcW w:w="3239" w:type="pct"/>
            <w:tcBorders>
              <w:top w:val="nil"/>
              <w:left w:val="nil"/>
              <w:bottom w:val="nil"/>
              <w:right w:val="nil"/>
            </w:tcBorders>
            <w:vAlign w:val="bottom"/>
          </w:tcPr>
          <w:p w14:paraId="53EA1F6B"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29" w:type="pct"/>
            <w:tcBorders>
              <w:top w:val="nil"/>
              <w:left w:val="nil"/>
              <w:bottom w:val="nil"/>
              <w:right w:val="nil"/>
            </w:tcBorders>
            <w:vAlign w:val="bottom"/>
          </w:tcPr>
          <w:p w14:paraId="57C432E5"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555" w:type="pct"/>
            <w:tcBorders>
              <w:top w:val="nil"/>
              <w:left w:val="nil"/>
              <w:bottom w:val="nil"/>
              <w:right w:val="nil"/>
            </w:tcBorders>
            <w:vAlign w:val="bottom"/>
          </w:tcPr>
          <w:p w14:paraId="1CE1720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577" w:type="pct"/>
            <w:tcBorders>
              <w:top w:val="nil"/>
              <w:left w:val="nil"/>
              <w:bottom w:val="nil"/>
              <w:right w:val="nil"/>
            </w:tcBorders>
            <w:vAlign w:val="bottom"/>
          </w:tcPr>
          <w:p w14:paraId="0FE0538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2019</w:t>
            </w:r>
          </w:p>
        </w:tc>
      </w:tr>
      <w:tr w:rsidR="002228B8" w14:paraId="5A70B234" w14:textId="77777777" w:rsidTr="00DF4A0D">
        <w:trPr>
          <w:cantSplit/>
          <w:trHeight w:val="91"/>
        </w:trPr>
        <w:tc>
          <w:tcPr>
            <w:tcW w:w="3239" w:type="pct"/>
            <w:tcBorders>
              <w:top w:val="nil"/>
              <w:left w:val="nil"/>
              <w:bottom w:val="nil"/>
              <w:right w:val="nil"/>
            </w:tcBorders>
            <w:vAlign w:val="bottom"/>
          </w:tcPr>
          <w:p w14:paraId="62F7633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761" w:type="pct"/>
            <w:gridSpan w:val="3"/>
            <w:tcBorders>
              <w:top w:val="nil"/>
              <w:left w:val="nil"/>
              <w:bottom w:val="nil"/>
              <w:right w:val="nil"/>
            </w:tcBorders>
            <w:vAlign w:val="bottom"/>
          </w:tcPr>
          <w:p w14:paraId="47A6860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sz w:val="16"/>
                <w:szCs w:val="18"/>
                <w:lang w:val="en-GB" w:eastAsia="en-GB" w:bidi="ar-SA"/>
              </w:rPr>
            </w:pPr>
            <w:r w:rsidRPr="00571974">
              <w:rPr>
                <w:b/>
                <w:bCs/>
                <w:i/>
                <w:sz w:val="16"/>
                <w:szCs w:val="18"/>
                <w:lang w:val="en-GB" w:eastAsia="en-GB" w:bidi="ar-SA"/>
              </w:rPr>
              <w:t>(thousands of ounces, except where noted otherwise)</w:t>
            </w:r>
          </w:p>
        </w:tc>
      </w:tr>
      <w:tr w:rsidR="002228B8" w14:paraId="1025507F" w14:textId="77777777" w:rsidTr="00DF4A0D">
        <w:trPr>
          <w:cantSplit/>
          <w:trHeight w:val="257"/>
        </w:trPr>
        <w:tc>
          <w:tcPr>
            <w:tcW w:w="3239" w:type="pct"/>
            <w:tcBorders>
              <w:top w:val="nil"/>
              <w:left w:val="nil"/>
              <w:bottom w:val="nil"/>
              <w:right w:val="nil"/>
            </w:tcBorders>
          </w:tcPr>
          <w:p w14:paraId="307151C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i/>
                <w:iCs/>
                <w:sz w:val="18"/>
                <w:lang w:val="en-GB" w:eastAsia="en-GB" w:bidi="ar-SA"/>
              </w:rPr>
              <w:t>Platinum Group Metals segment</w:t>
            </w:r>
          </w:p>
        </w:tc>
        <w:tc>
          <w:tcPr>
            <w:tcW w:w="629" w:type="pct"/>
            <w:tcBorders>
              <w:top w:val="nil"/>
              <w:left w:val="nil"/>
              <w:bottom w:val="nil"/>
              <w:right w:val="nil"/>
            </w:tcBorders>
            <w:vAlign w:val="bottom"/>
          </w:tcPr>
          <w:p w14:paraId="065C084F"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55" w:type="pct"/>
            <w:tcBorders>
              <w:top w:val="nil"/>
              <w:left w:val="nil"/>
              <w:bottom w:val="nil"/>
              <w:right w:val="nil"/>
            </w:tcBorders>
            <w:vAlign w:val="bottom"/>
          </w:tcPr>
          <w:p w14:paraId="13B76238"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77" w:type="pct"/>
            <w:tcBorders>
              <w:top w:val="nil"/>
              <w:left w:val="nil"/>
              <w:bottom w:val="nil"/>
              <w:right w:val="nil"/>
            </w:tcBorders>
            <w:vAlign w:val="bottom"/>
          </w:tcPr>
          <w:p w14:paraId="7D3FB590"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6F2005C5" w14:textId="77777777" w:rsidTr="00DF4A0D">
        <w:trPr>
          <w:cantSplit/>
          <w:trHeight w:val="257"/>
        </w:trPr>
        <w:tc>
          <w:tcPr>
            <w:tcW w:w="3239" w:type="pct"/>
            <w:tcBorders>
              <w:top w:val="nil"/>
              <w:left w:val="nil"/>
              <w:bottom w:val="nil"/>
              <w:right w:val="nil"/>
            </w:tcBorders>
          </w:tcPr>
          <w:p w14:paraId="028DE34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i/>
                <w:iCs/>
                <w:sz w:val="18"/>
                <w:lang w:val="en-GB" w:eastAsia="en-GB" w:bidi="ar-SA"/>
              </w:rPr>
              <w:t>Produced ounces</w:t>
            </w:r>
            <w:r w:rsidRPr="00571974">
              <w:rPr>
                <w:sz w:val="18"/>
                <w:vertAlign w:val="superscript"/>
                <w:lang w:val="en-GB" w:eastAsia="en-GB" w:bidi="ar-SA"/>
              </w:rPr>
              <w:t>(1)</w:t>
            </w:r>
          </w:p>
        </w:tc>
        <w:tc>
          <w:tcPr>
            <w:tcW w:w="629" w:type="pct"/>
            <w:tcBorders>
              <w:top w:val="nil"/>
              <w:left w:val="nil"/>
              <w:bottom w:val="nil"/>
              <w:right w:val="nil"/>
            </w:tcBorders>
            <w:vAlign w:val="bottom"/>
          </w:tcPr>
          <w:p w14:paraId="18556ED8"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55" w:type="pct"/>
            <w:tcBorders>
              <w:top w:val="nil"/>
              <w:left w:val="nil"/>
              <w:bottom w:val="nil"/>
              <w:right w:val="nil"/>
            </w:tcBorders>
            <w:vAlign w:val="bottom"/>
          </w:tcPr>
          <w:p w14:paraId="208A099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77" w:type="pct"/>
            <w:tcBorders>
              <w:top w:val="nil"/>
              <w:left w:val="nil"/>
              <w:bottom w:val="nil"/>
              <w:right w:val="nil"/>
            </w:tcBorders>
            <w:vAlign w:val="bottom"/>
          </w:tcPr>
          <w:p w14:paraId="6A9EF4BE"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693E1E2F" w14:textId="77777777" w:rsidTr="00DF4A0D">
        <w:trPr>
          <w:cantSplit/>
          <w:trHeight w:val="257"/>
        </w:trPr>
        <w:tc>
          <w:tcPr>
            <w:tcW w:w="3239" w:type="pct"/>
            <w:tcBorders>
              <w:top w:val="nil"/>
              <w:left w:val="nil"/>
              <w:bottom w:val="nil"/>
              <w:right w:val="nil"/>
            </w:tcBorders>
          </w:tcPr>
          <w:p w14:paraId="3A8A5439"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Platinum</w:t>
            </w:r>
            <w:r w:rsidRPr="00571974">
              <w:rPr>
                <w:sz w:val="18"/>
                <w:lang w:val="en-GB" w:eastAsia="en-GB" w:bidi="ar-SA"/>
              </w:rPr>
              <w:tab/>
            </w:r>
          </w:p>
        </w:tc>
        <w:tc>
          <w:tcPr>
            <w:tcW w:w="629" w:type="pct"/>
            <w:tcBorders>
              <w:top w:val="nil"/>
              <w:left w:val="nil"/>
              <w:bottom w:val="nil"/>
              <w:right w:val="nil"/>
            </w:tcBorders>
            <w:vAlign w:val="bottom"/>
          </w:tcPr>
          <w:p w14:paraId="67CDD9B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2,397</w:t>
            </w:r>
          </w:p>
        </w:tc>
        <w:tc>
          <w:tcPr>
            <w:tcW w:w="555" w:type="pct"/>
            <w:tcBorders>
              <w:top w:val="nil"/>
              <w:left w:val="nil"/>
              <w:bottom w:val="nil"/>
              <w:right w:val="nil"/>
            </w:tcBorders>
            <w:vAlign w:val="bottom"/>
          </w:tcPr>
          <w:p w14:paraId="5F25EE2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2,485</w:t>
            </w:r>
          </w:p>
        </w:tc>
        <w:tc>
          <w:tcPr>
            <w:tcW w:w="577" w:type="pct"/>
            <w:tcBorders>
              <w:top w:val="nil"/>
              <w:left w:val="nil"/>
              <w:bottom w:val="nil"/>
              <w:right w:val="nil"/>
            </w:tcBorders>
            <w:vAlign w:val="bottom"/>
          </w:tcPr>
          <w:p w14:paraId="4D2D987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w:t>
            </w:r>
            <w:r w:rsidR="00234F7E">
              <w:rPr>
                <w:sz w:val="18"/>
                <w:lang w:val="en-GB" w:eastAsia="en-GB" w:bidi="ar-SA"/>
              </w:rPr>
              <w:t>,</w:t>
            </w:r>
            <w:r w:rsidRPr="00571974">
              <w:rPr>
                <w:sz w:val="18"/>
                <w:lang w:val="en-GB" w:eastAsia="en-GB" w:bidi="ar-SA"/>
              </w:rPr>
              <w:t>051</w:t>
            </w:r>
          </w:p>
        </w:tc>
      </w:tr>
      <w:tr w:rsidR="002228B8" w14:paraId="67926880" w14:textId="77777777" w:rsidTr="00DF4A0D">
        <w:trPr>
          <w:cantSplit/>
          <w:trHeight w:val="239"/>
        </w:trPr>
        <w:tc>
          <w:tcPr>
            <w:tcW w:w="3239" w:type="pct"/>
            <w:tcBorders>
              <w:top w:val="nil"/>
              <w:left w:val="nil"/>
              <w:bottom w:val="nil"/>
              <w:right w:val="nil"/>
            </w:tcBorders>
          </w:tcPr>
          <w:p w14:paraId="0F18E9F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894"/>
              </w:tabs>
              <w:suppressAutoHyphens/>
              <w:ind w:left="200" w:hanging="200"/>
              <w:rPr>
                <w:sz w:val="18"/>
                <w:lang w:val="en-GB" w:eastAsia="en-GB" w:bidi="ar-SA"/>
              </w:rPr>
            </w:pPr>
            <w:r w:rsidRPr="00571974">
              <w:rPr>
                <w:i/>
                <w:iCs/>
                <w:sz w:val="18"/>
                <w:lang w:val="en-GB" w:eastAsia="en-GB" w:bidi="ar-SA"/>
              </w:rPr>
              <w:t>Refined</w:t>
            </w:r>
            <w:r w:rsidRPr="00571974">
              <w:rPr>
                <w:sz w:val="18"/>
                <w:vertAlign w:val="superscript"/>
                <w:lang w:val="en-GB" w:eastAsia="en-GB" w:bidi="ar-SA"/>
              </w:rPr>
              <w:t>(2)</w:t>
            </w:r>
          </w:p>
        </w:tc>
        <w:tc>
          <w:tcPr>
            <w:tcW w:w="629" w:type="pct"/>
            <w:tcBorders>
              <w:top w:val="nil"/>
              <w:left w:val="nil"/>
              <w:bottom w:val="nil"/>
              <w:right w:val="nil"/>
            </w:tcBorders>
            <w:vAlign w:val="bottom"/>
          </w:tcPr>
          <w:p w14:paraId="49D34F23"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55" w:type="pct"/>
            <w:tcBorders>
              <w:top w:val="nil"/>
              <w:left w:val="nil"/>
              <w:bottom w:val="nil"/>
              <w:right w:val="nil"/>
            </w:tcBorders>
            <w:vAlign w:val="bottom"/>
          </w:tcPr>
          <w:p w14:paraId="4A8FDF56"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77" w:type="pct"/>
            <w:tcBorders>
              <w:top w:val="nil"/>
              <w:left w:val="nil"/>
              <w:bottom w:val="nil"/>
              <w:right w:val="nil"/>
            </w:tcBorders>
            <w:vAlign w:val="bottom"/>
          </w:tcPr>
          <w:p w14:paraId="0C77B61F"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32FD6FA5" w14:textId="77777777" w:rsidTr="00DF4A0D">
        <w:trPr>
          <w:cantSplit/>
          <w:trHeight w:val="257"/>
        </w:trPr>
        <w:tc>
          <w:tcPr>
            <w:tcW w:w="3239" w:type="pct"/>
            <w:tcBorders>
              <w:top w:val="nil"/>
              <w:left w:val="nil"/>
              <w:bottom w:val="nil"/>
              <w:right w:val="nil"/>
            </w:tcBorders>
          </w:tcPr>
          <w:p w14:paraId="76BFDAE7"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Platinum</w:t>
            </w:r>
            <w:r w:rsidRPr="00571974">
              <w:rPr>
                <w:sz w:val="18"/>
                <w:lang w:val="en-GB" w:eastAsia="en-GB" w:bidi="ar-SA"/>
              </w:rPr>
              <w:tab/>
            </w:r>
          </w:p>
        </w:tc>
        <w:tc>
          <w:tcPr>
            <w:tcW w:w="629" w:type="pct"/>
            <w:tcBorders>
              <w:top w:val="nil"/>
              <w:left w:val="nil"/>
              <w:bottom w:val="nil"/>
              <w:right w:val="nil"/>
            </w:tcBorders>
            <w:vAlign w:val="bottom"/>
          </w:tcPr>
          <w:p w14:paraId="393DB90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2,512</w:t>
            </w:r>
          </w:p>
        </w:tc>
        <w:tc>
          <w:tcPr>
            <w:tcW w:w="555" w:type="pct"/>
            <w:tcBorders>
              <w:top w:val="nil"/>
              <w:left w:val="nil"/>
              <w:bottom w:val="nil"/>
              <w:right w:val="nil"/>
            </w:tcBorders>
            <w:vAlign w:val="bottom"/>
          </w:tcPr>
          <w:p w14:paraId="0FF0AED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2,402</w:t>
            </w:r>
          </w:p>
        </w:tc>
        <w:tc>
          <w:tcPr>
            <w:tcW w:w="577" w:type="pct"/>
            <w:tcBorders>
              <w:top w:val="nil"/>
              <w:left w:val="nil"/>
              <w:bottom w:val="nil"/>
              <w:right w:val="nil"/>
            </w:tcBorders>
            <w:vAlign w:val="bottom"/>
          </w:tcPr>
          <w:p w14:paraId="1F7051C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2,211</w:t>
            </w:r>
          </w:p>
        </w:tc>
      </w:tr>
      <w:tr w:rsidR="002228B8" w14:paraId="2C9710C5" w14:textId="77777777" w:rsidTr="00DF4A0D">
        <w:trPr>
          <w:cantSplit/>
          <w:trHeight w:val="257"/>
        </w:trPr>
        <w:tc>
          <w:tcPr>
            <w:tcW w:w="3239" w:type="pct"/>
            <w:tcBorders>
              <w:top w:val="nil"/>
              <w:left w:val="nil"/>
              <w:bottom w:val="nil"/>
              <w:right w:val="nil"/>
            </w:tcBorders>
          </w:tcPr>
          <w:p w14:paraId="3FB0E38F"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Palladium</w:t>
            </w:r>
            <w:r w:rsidRPr="00571974">
              <w:rPr>
                <w:sz w:val="18"/>
                <w:lang w:val="en-GB" w:eastAsia="en-GB" w:bidi="ar-SA"/>
              </w:rPr>
              <w:tab/>
            </w:r>
          </w:p>
        </w:tc>
        <w:tc>
          <w:tcPr>
            <w:tcW w:w="629" w:type="pct"/>
            <w:tcBorders>
              <w:top w:val="nil"/>
              <w:left w:val="nil"/>
              <w:bottom w:val="nil"/>
              <w:right w:val="nil"/>
            </w:tcBorders>
            <w:vAlign w:val="bottom"/>
          </w:tcPr>
          <w:p w14:paraId="0016BDE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1,669</w:t>
            </w:r>
          </w:p>
        </w:tc>
        <w:tc>
          <w:tcPr>
            <w:tcW w:w="555" w:type="pct"/>
            <w:tcBorders>
              <w:top w:val="nil"/>
              <w:left w:val="nil"/>
              <w:bottom w:val="nil"/>
              <w:right w:val="nil"/>
            </w:tcBorders>
            <w:vAlign w:val="bottom"/>
          </w:tcPr>
          <w:p w14:paraId="037F9E9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1,502</w:t>
            </w:r>
          </w:p>
        </w:tc>
        <w:tc>
          <w:tcPr>
            <w:tcW w:w="577" w:type="pct"/>
            <w:tcBorders>
              <w:top w:val="nil"/>
              <w:left w:val="nil"/>
              <w:bottom w:val="nil"/>
              <w:right w:val="nil"/>
            </w:tcBorders>
            <w:vAlign w:val="bottom"/>
          </w:tcPr>
          <w:p w14:paraId="51F484C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1,481</w:t>
            </w:r>
          </w:p>
        </w:tc>
      </w:tr>
      <w:tr w:rsidR="002228B8" w14:paraId="5C5757BF" w14:textId="77777777" w:rsidTr="00DF4A0D">
        <w:trPr>
          <w:cantSplit/>
          <w:trHeight w:val="257"/>
        </w:trPr>
        <w:tc>
          <w:tcPr>
            <w:tcW w:w="3239" w:type="pct"/>
            <w:tcBorders>
              <w:top w:val="nil"/>
              <w:left w:val="nil"/>
              <w:bottom w:val="nil"/>
              <w:right w:val="nil"/>
            </w:tcBorders>
          </w:tcPr>
          <w:p w14:paraId="3A6B1F99"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Rhodium</w:t>
            </w:r>
            <w:r w:rsidRPr="00571974">
              <w:rPr>
                <w:sz w:val="18"/>
                <w:lang w:val="en-GB" w:eastAsia="en-GB" w:bidi="ar-SA"/>
              </w:rPr>
              <w:tab/>
            </w:r>
          </w:p>
        </w:tc>
        <w:tc>
          <w:tcPr>
            <w:tcW w:w="629" w:type="pct"/>
            <w:tcBorders>
              <w:top w:val="nil"/>
              <w:left w:val="nil"/>
              <w:bottom w:val="nil"/>
              <w:right w:val="nil"/>
            </w:tcBorders>
            <w:vAlign w:val="bottom"/>
          </w:tcPr>
          <w:p w14:paraId="3AA7F5B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323</w:t>
            </w:r>
          </w:p>
        </w:tc>
        <w:tc>
          <w:tcPr>
            <w:tcW w:w="555" w:type="pct"/>
            <w:tcBorders>
              <w:top w:val="nil"/>
              <w:left w:val="nil"/>
              <w:bottom w:val="nil"/>
              <w:right w:val="nil"/>
            </w:tcBorders>
            <w:vAlign w:val="bottom"/>
          </w:tcPr>
          <w:p w14:paraId="588B469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293</w:t>
            </w:r>
          </w:p>
        </w:tc>
        <w:tc>
          <w:tcPr>
            <w:tcW w:w="577" w:type="pct"/>
            <w:tcBorders>
              <w:top w:val="nil"/>
              <w:left w:val="nil"/>
              <w:bottom w:val="nil"/>
              <w:right w:val="nil"/>
            </w:tcBorders>
            <w:vAlign w:val="bottom"/>
          </w:tcPr>
          <w:p w14:paraId="72204DD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293</w:t>
            </w:r>
          </w:p>
        </w:tc>
      </w:tr>
      <w:tr w:rsidR="002228B8" w14:paraId="09E8B226" w14:textId="77777777" w:rsidTr="00DF4A0D">
        <w:trPr>
          <w:cantSplit/>
          <w:trHeight w:val="257"/>
        </w:trPr>
        <w:tc>
          <w:tcPr>
            <w:tcW w:w="3239" w:type="pct"/>
            <w:tcBorders>
              <w:top w:val="nil"/>
              <w:left w:val="nil"/>
              <w:bottom w:val="nil"/>
              <w:right w:val="nil"/>
            </w:tcBorders>
          </w:tcPr>
          <w:p w14:paraId="1DCE1308"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Copper – Refined (tonnes)</w:t>
            </w:r>
            <w:r w:rsidRPr="00571974">
              <w:rPr>
                <w:sz w:val="18"/>
                <w:lang w:val="en-GB" w:eastAsia="en-GB" w:bidi="ar-SA"/>
              </w:rPr>
              <w:tab/>
            </w:r>
          </w:p>
        </w:tc>
        <w:tc>
          <w:tcPr>
            <w:tcW w:w="629" w:type="pct"/>
            <w:tcBorders>
              <w:top w:val="nil"/>
              <w:left w:val="nil"/>
              <w:bottom w:val="nil"/>
              <w:right w:val="nil"/>
            </w:tcBorders>
            <w:vAlign w:val="bottom"/>
          </w:tcPr>
          <w:p w14:paraId="05BCC8D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15,700</w:t>
            </w:r>
          </w:p>
        </w:tc>
        <w:tc>
          <w:tcPr>
            <w:tcW w:w="555" w:type="pct"/>
            <w:tcBorders>
              <w:top w:val="nil"/>
              <w:left w:val="nil"/>
              <w:bottom w:val="nil"/>
              <w:right w:val="nil"/>
            </w:tcBorders>
            <w:vAlign w:val="bottom"/>
          </w:tcPr>
          <w:p w14:paraId="3670A22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14,300</w:t>
            </w:r>
          </w:p>
        </w:tc>
        <w:tc>
          <w:tcPr>
            <w:tcW w:w="577" w:type="pct"/>
            <w:tcBorders>
              <w:top w:val="nil"/>
              <w:left w:val="nil"/>
              <w:bottom w:val="nil"/>
              <w:right w:val="nil"/>
            </w:tcBorders>
            <w:vAlign w:val="bottom"/>
          </w:tcPr>
          <w:p w14:paraId="1A09ED7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14,200</w:t>
            </w:r>
          </w:p>
        </w:tc>
      </w:tr>
      <w:tr w:rsidR="002228B8" w14:paraId="4E01DD64" w14:textId="77777777" w:rsidTr="00DF4A0D">
        <w:trPr>
          <w:cantSplit/>
          <w:trHeight w:val="257"/>
        </w:trPr>
        <w:tc>
          <w:tcPr>
            <w:tcW w:w="3239" w:type="pct"/>
            <w:tcBorders>
              <w:top w:val="nil"/>
              <w:left w:val="nil"/>
              <w:bottom w:val="nil"/>
              <w:right w:val="nil"/>
            </w:tcBorders>
          </w:tcPr>
          <w:p w14:paraId="3F071833"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Nickel – Refined (tonnes)</w:t>
            </w:r>
            <w:r w:rsidRPr="00571974">
              <w:rPr>
                <w:sz w:val="18"/>
                <w:lang w:val="en-GB" w:eastAsia="en-GB" w:bidi="ar-SA"/>
              </w:rPr>
              <w:tab/>
            </w:r>
          </w:p>
        </w:tc>
        <w:tc>
          <w:tcPr>
            <w:tcW w:w="629" w:type="pct"/>
            <w:tcBorders>
              <w:top w:val="nil"/>
              <w:left w:val="nil"/>
              <w:bottom w:val="nil"/>
              <w:right w:val="nil"/>
            </w:tcBorders>
            <w:vAlign w:val="bottom"/>
          </w:tcPr>
          <w:p w14:paraId="0E381F7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26,000</w:t>
            </w:r>
          </w:p>
        </w:tc>
        <w:tc>
          <w:tcPr>
            <w:tcW w:w="555" w:type="pct"/>
            <w:tcBorders>
              <w:top w:val="nil"/>
              <w:left w:val="nil"/>
              <w:bottom w:val="nil"/>
              <w:right w:val="nil"/>
            </w:tcBorders>
            <w:vAlign w:val="bottom"/>
          </w:tcPr>
          <w:p w14:paraId="1A1AED6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23,100</w:t>
            </w:r>
          </w:p>
        </w:tc>
        <w:tc>
          <w:tcPr>
            <w:tcW w:w="577" w:type="pct"/>
            <w:tcBorders>
              <w:top w:val="nil"/>
              <w:left w:val="nil"/>
              <w:bottom w:val="nil"/>
              <w:right w:val="nil"/>
            </w:tcBorders>
            <w:vAlign w:val="bottom"/>
          </w:tcPr>
          <w:p w14:paraId="1612102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23,000</w:t>
            </w:r>
          </w:p>
        </w:tc>
      </w:tr>
      <w:tr w:rsidR="002228B8" w14:paraId="76E79767" w14:textId="77777777" w:rsidTr="00DF4A0D">
        <w:trPr>
          <w:cantSplit/>
          <w:trHeight w:val="257"/>
        </w:trPr>
        <w:tc>
          <w:tcPr>
            <w:tcW w:w="3239" w:type="pct"/>
            <w:tcBorders>
              <w:top w:val="nil"/>
              <w:left w:val="nil"/>
              <w:bottom w:val="nil"/>
              <w:right w:val="nil"/>
            </w:tcBorders>
          </w:tcPr>
          <w:p w14:paraId="38971487"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Gold</w:t>
            </w:r>
            <w:r w:rsidRPr="00571974">
              <w:rPr>
                <w:sz w:val="18"/>
                <w:lang w:val="en-GB" w:eastAsia="en-GB" w:bidi="ar-SA"/>
              </w:rPr>
              <w:tab/>
            </w:r>
          </w:p>
        </w:tc>
        <w:tc>
          <w:tcPr>
            <w:tcW w:w="629" w:type="pct"/>
            <w:tcBorders>
              <w:top w:val="nil"/>
              <w:left w:val="nil"/>
              <w:bottom w:val="nil"/>
              <w:right w:val="nil"/>
            </w:tcBorders>
            <w:vAlign w:val="bottom"/>
          </w:tcPr>
          <w:p w14:paraId="16FB58A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115</w:t>
            </w:r>
          </w:p>
        </w:tc>
        <w:tc>
          <w:tcPr>
            <w:tcW w:w="555" w:type="pct"/>
            <w:tcBorders>
              <w:top w:val="nil"/>
              <w:left w:val="nil"/>
              <w:bottom w:val="nil"/>
              <w:right w:val="nil"/>
            </w:tcBorders>
            <w:vAlign w:val="bottom"/>
          </w:tcPr>
          <w:p w14:paraId="4385082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105</w:t>
            </w:r>
          </w:p>
        </w:tc>
        <w:tc>
          <w:tcPr>
            <w:tcW w:w="577" w:type="pct"/>
            <w:tcBorders>
              <w:top w:val="nil"/>
              <w:left w:val="nil"/>
              <w:bottom w:val="nil"/>
              <w:right w:val="nil"/>
            </w:tcBorders>
            <w:vAlign w:val="bottom"/>
          </w:tcPr>
          <w:p w14:paraId="6196F2A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106</w:t>
            </w:r>
          </w:p>
        </w:tc>
      </w:tr>
    </w:tbl>
    <w:p w14:paraId="2DA8471A" w14:textId="77777777" w:rsidR="00E93D9C" w:rsidRPr="00571974" w:rsidRDefault="00836D74" w:rsidP="00E93D9C">
      <w:pPr>
        <w:rPr>
          <w:lang w:val="en-GB"/>
        </w:rPr>
      </w:pPr>
      <w:r>
        <w:rPr>
          <w:lang w:val="en-GB"/>
        </w:rPr>
        <w:pict w14:anchorId="25FC8ABA">
          <v:rect id="_x0000_i1035" style="width:184.5pt;height:1pt" o:hrpct="250" o:hrstd="t" o:hrnoshade="t" o:hr="t" fillcolor="black" stroked="f"/>
        </w:pict>
      </w:r>
    </w:p>
    <w:p w14:paraId="2BBC6D83" w14:textId="77777777" w:rsidR="00E93D9C" w:rsidRPr="00571974" w:rsidRDefault="003D4D89" w:rsidP="00E93D9C">
      <w:pPr>
        <w:pStyle w:val="ListParagraph"/>
        <w:widowControl/>
        <w:numPr>
          <w:ilvl w:val="0"/>
          <w:numId w:val="6"/>
        </w:numPr>
        <w:tabs>
          <w:tab w:val="left" w:pos="-720"/>
          <w:tab w:val="left" w:pos="0"/>
        </w:tabs>
        <w:suppressAutoHyphens/>
        <w:spacing w:after="240"/>
        <w:ind w:left="284" w:hanging="284"/>
        <w:rPr>
          <w:sz w:val="16"/>
          <w:szCs w:val="18"/>
          <w:lang w:val="en-GB"/>
        </w:rPr>
      </w:pPr>
      <w:r w:rsidRPr="00571974">
        <w:rPr>
          <w:sz w:val="16"/>
          <w:szCs w:val="18"/>
          <w:lang w:val="en-GB"/>
        </w:rPr>
        <w:t>Reflects own mine production and purchases of metals in concentrate.</w:t>
      </w:r>
    </w:p>
    <w:p w14:paraId="76C215D9" w14:textId="77777777" w:rsidR="00E93D9C" w:rsidRPr="00571974" w:rsidRDefault="003D4D89" w:rsidP="00E93D9C">
      <w:pPr>
        <w:pStyle w:val="ListParagraph"/>
        <w:widowControl/>
        <w:numPr>
          <w:ilvl w:val="0"/>
          <w:numId w:val="6"/>
        </w:numPr>
        <w:tabs>
          <w:tab w:val="left" w:pos="-720"/>
          <w:tab w:val="left" w:pos="0"/>
        </w:tabs>
        <w:suppressAutoHyphens/>
        <w:spacing w:after="240"/>
        <w:ind w:left="284" w:hanging="284"/>
        <w:rPr>
          <w:sz w:val="16"/>
          <w:szCs w:val="18"/>
          <w:lang w:val="en-GB"/>
        </w:rPr>
      </w:pPr>
      <w:r w:rsidRPr="00571974">
        <w:rPr>
          <w:sz w:val="16"/>
          <w:szCs w:val="18"/>
          <w:lang w:val="en-GB"/>
        </w:rPr>
        <w:t>Excludes toll treated volumes</w:t>
      </w:r>
    </w:p>
    <w:p w14:paraId="0ECD2F2E" w14:textId="77777777" w:rsidR="00E93D9C" w:rsidRPr="00571974" w:rsidRDefault="00E93D9C" w:rsidP="00E93D9C">
      <w:pPr>
        <w:rPr>
          <w:sz w:val="16"/>
          <w:szCs w:val="18"/>
          <w:lang w:val="en-GB"/>
        </w:rPr>
      </w:pPr>
    </w:p>
    <w:tbl>
      <w:tblPr>
        <w:tblW w:w="5088" w:type="pct"/>
        <w:tblLayout w:type="fixed"/>
        <w:tblCellMar>
          <w:left w:w="72" w:type="dxa"/>
          <w:right w:w="72" w:type="dxa"/>
        </w:tblCellMar>
        <w:tblLook w:val="0000" w:firstRow="0" w:lastRow="0" w:firstColumn="0" w:lastColumn="0" w:noHBand="0" w:noVBand="0"/>
      </w:tblPr>
      <w:tblGrid>
        <w:gridCol w:w="6644"/>
        <w:gridCol w:w="967"/>
        <w:gridCol w:w="967"/>
        <w:gridCol w:w="943"/>
      </w:tblGrid>
      <w:tr w:rsidR="002228B8" w14:paraId="09B0EE45" w14:textId="77777777" w:rsidTr="00DF4A0D">
        <w:trPr>
          <w:cantSplit/>
        </w:trPr>
        <w:tc>
          <w:tcPr>
            <w:tcW w:w="3489" w:type="pct"/>
            <w:tcBorders>
              <w:top w:val="nil"/>
              <w:left w:val="nil"/>
              <w:bottom w:val="nil"/>
              <w:right w:val="nil"/>
            </w:tcBorders>
            <w:vAlign w:val="bottom"/>
          </w:tcPr>
          <w:p w14:paraId="7097A93C" w14:textId="77777777" w:rsidR="00E93D9C" w:rsidRPr="00571974" w:rsidRDefault="00E93D9C" w:rsidP="00DF4A0D">
            <w:pPr>
              <w:rPr>
                <w:lang w:val="en-GB" w:eastAsia="en-GB" w:bidi="ar-SA"/>
              </w:rPr>
            </w:pPr>
          </w:p>
        </w:tc>
        <w:tc>
          <w:tcPr>
            <w:tcW w:w="1511" w:type="pct"/>
            <w:gridSpan w:val="3"/>
            <w:tcBorders>
              <w:top w:val="nil"/>
              <w:left w:val="nil"/>
              <w:bottom w:val="nil"/>
              <w:right w:val="nil"/>
            </w:tcBorders>
            <w:vAlign w:val="bottom"/>
          </w:tcPr>
          <w:p w14:paraId="0544657A" w14:textId="77777777" w:rsidR="00E93D9C" w:rsidRPr="00571974" w:rsidRDefault="00E93D9C"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p w14:paraId="2BF5A46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101E96DF" w14:textId="77777777" w:rsidTr="00DF4A0D">
        <w:trPr>
          <w:cantSplit/>
        </w:trPr>
        <w:tc>
          <w:tcPr>
            <w:tcW w:w="3489" w:type="pct"/>
            <w:tcBorders>
              <w:top w:val="nil"/>
              <w:left w:val="nil"/>
              <w:bottom w:val="nil"/>
              <w:right w:val="nil"/>
            </w:tcBorders>
            <w:vAlign w:val="bottom"/>
          </w:tcPr>
          <w:p w14:paraId="63B1814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508" w:type="pct"/>
            <w:tcBorders>
              <w:top w:val="nil"/>
              <w:left w:val="nil"/>
              <w:bottom w:val="nil"/>
              <w:right w:val="nil"/>
            </w:tcBorders>
            <w:vAlign w:val="bottom"/>
          </w:tcPr>
          <w:p w14:paraId="2BB9E4E0"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6"/>
                <w:lang w:val="en-GB" w:eastAsia="en-GB" w:bidi="ar-SA"/>
              </w:rPr>
            </w:pPr>
            <w:r w:rsidRPr="00571974">
              <w:rPr>
                <w:b/>
                <w:bCs/>
                <w:sz w:val="16"/>
                <w:szCs w:val="18"/>
                <w:lang w:val="en-GB" w:eastAsia="en-GB" w:bidi="ar-SA"/>
              </w:rPr>
              <w:t>2017</w:t>
            </w:r>
          </w:p>
        </w:tc>
        <w:tc>
          <w:tcPr>
            <w:tcW w:w="508" w:type="pct"/>
            <w:tcBorders>
              <w:top w:val="nil"/>
              <w:left w:val="nil"/>
              <w:bottom w:val="nil"/>
              <w:right w:val="nil"/>
            </w:tcBorders>
            <w:vAlign w:val="bottom"/>
          </w:tcPr>
          <w:p w14:paraId="158E3BEC"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8"/>
                <w:lang w:val="en-GB" w:eastAsia="en-GB" w:bidi="ar-SA"/>
              </w:rPr>
            </w:pPr>
            <w:r w:rsidRPr="00571974">
              <w:rPr>
                <w:b/>
                <w:bCs/>
                <w:sz w:val="16"/>
                <w:szCs w:val="18"/>
                <w:lang w:val="en-GB" w:eastAsia="en-GB" w:bidi="ar-SA"/>
              </w:rPr>
              <w:t>2018</w:t>
            </w:r>
          </w:p>
        </w:tc>
        <w:tc>
          <w:tcPr>
            <w:tcW w:w="495" w:type="pct"/>
            <w:tcBorders>
              <w:top w:val="nil"/>
              <w:left w:val="nil"/>
              <w:bottom w:val="nil"/>
              <w:right w:val="nil"/>
            </w:tcBorders>
            <w:vAlign w:val="bottom"/>
          </w:tcPr>
          <w:p w14:paraId="0C9D7859"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8"/>
                <w:lang w:val="en-GB" w:eastAsia="en-GB" w:bidi="ar-SA"/>
              </w:rPr>
            </w:pPr>
            <w:r w:rsidRPr="00571974">
              <w:rPr>
                <w:b/>
                <w:bCs/>
                <w:sz w:val="16"/>
                <w:szCs w:val="18"/>
                <w:lang w:val="en-GB" w:eastAsia="en-GB" w:bidi="ar-SA"/>
              </w:rPr>
              <w:t>2019</w:t>
            </w:r>
          </w:p>
        </w:tc>
      </w:tr>
      <w:tr w:rsidR="002228B8" w14:paraId="45475F0A" w14:textId="77777777" w:rsidTr="00DF4A0D">
        <w:trPr>
          <w:cantSplit/>
        </w:trPr>
        <w:tc>
          <w:tcPr>
            <w:tcW w:w="3489" w:type="pct"/>
            <w:tcBorders>
              <w:top w:val="nil"/>
              <w:left w:val="nil"/>
              <w:bottom w:val="nil"/>
              <w:right w:val="nil"/>
            </w:tcBorders>
            <w:vAlign w:val="bottom"/>
          </w:tcPr>
          <w:p w14:paraId="008EA6C2"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511" w:type="pct"/>
            <w:gridSpan w:val="3"/>
            <w:tcBorders>
              <w:top w:val="nil"/>
              <w:left w:val="nil"/>
              <w:bottom w:val="nil"/>
              <w:right w:val="nil"/>
            </w:tcBorders>
            <w:vAlign w:val="bottom"/>
          </w:tcPr>
          <w:p w14:paraId="7BA0075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(thousands of tonnes)</w:t>
            </w:r>
          </w:p>
        </w:tc>
      </w:tr>
      <w:tr w:rsidR="002228B8" w14:paraId="5392AFF3" w14:textId="77777777" w:rsidTr="00DF4A0D">
        <w:trPr>
          <w:cantSplit/>
        </w:trPr>
        <w:tc>
          <w:tcPr>
            <w:tcW w:w="3489" w:type="pct"/>
            <w:tcBorders>
              <w:top w:val="nil"/>
              <w:left w:val="nil"/>
              <w:bottom w:val="nil"/>
              <w:right w:val="nil"/>
            </w:tcBorders>
          </w:tcPr>
          <w:p w14:paraId="5E15E95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b/>
                <w:bCs/>
                <w:i/>
                <w:iCs/>
                <w:sz w:val="18"/>
                <w:szCs w:val="18"/>
                <w:lang w:val="en-GB" w:eastAsia="en-GB" w:bidi="ar-SA"/>
              </w:rPr>
            </w:pPr>
            <w:r w:rsidRPr="00571974">
              <w:rPr>
                <w:b/>
                <w:bCs/>
                <w:i/>
                <w:iCs/>
                <w:sz w:val="18"/>
                <w:szCs w:val="18"/>
                <w:lang w:val="en-GB" w:eastAsia="en-GB" w:bidi="ar-SA"/>
              </w:rPr>
              <w:t>Iron Ore segment</w:t>
            </w:r>
          </w:p>
        </w:tc>
        <w:tc>
          <w:tcPr>
            <w:tcW w:w="508" w:type="pct"/>
            <w:tcBorders>
              <w:top w:val="nil"/>
              <w:left w:val="nil"/>
              <w:bottom w:val="nil"/>
              <w:right w:val="nil"/>
            </w:tcBorders>
            <w:vAlign w:val="bottom"/>
          </w:tcPr>
          <w:p w14:paraId="09A64963"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b/>
                <w:bCs/>
                <w:i/>
                <w:iCs/>
                <w:sz w:val="18"/>
                <w:szCs w:val="18"/>
                <w:lang w:val="en-GB" w:eastAsia="en-GB" w:bidi="ar-SA"/>
              </w:rPr>
            </w:pPr>
          </w:p>
        </w:tc>
        <w:tc>
          <w:tcPr>
            <w:tcW w:w="508" w:type="pct"/>
            <w:tcBorders>
              <w:top w:val="nil"/>
              <w:left w:val="nil"/>
              <w:bottom w:val="nil"/>
              <w:right w:val="nil"/>
            </w:tcBorders>
            <w:vAlign w:val="bottom"/>
          </w:tcPr>
          <w:p w14:paraId="4B5A2212"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b/>
                <w:bCs/>
                <w:i/>
                <w:iCs/>
                <w:sz w:val="18"/>
                <w:szCs w:val="18"/>
                <w:lang w:val="en-GB" w:eastAsia="en-GB" w:bidi="ar-SA"/>
              </w:rPr>
            </w:pPr>
          </w:p>
        </w:tc>
        <w:tc>
          <w:tcPr>
            <w:tcW w:w="495" w:type="pct"/>
            <w:tcBorders>
              <w:top w:val="nil"/>
              <w:left w:val="nil"/>
              <w:bottom w:val="nil"/>
              <w:right w:val="nil"/>
            </w:tcBorders>
            <w:vAlign w:val="bottom"/>
          </w:tcPr>
          <w:p w14:paraId="5BD9F4D6"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b/>
                <w:bCs/>
                <w:i/>
                <w:iCs/>
                <w:sz w:val="18"/>
                <w:szCs w:val="18"/>
                <w:lang w:val="en-GB" w:eastAsia="en-GB" w:bidi="ar-SA"/>
              </w:rPr>
            </w:pPr>
          </w:p>
        </w:tc>
      </w:tr>
      <w:tr w:rsidR="002228B8" w14:paraId="76533587" w14:textId="77777777" w:rsidTr="00DF4A0D">
        <w:trPr>
          <w:cantSplit/>
        </w:trPr>
        <w:tc>
          <w:tcPr>
            <w:tcW w:w="3489" w:type="pct"/>
            <w:tcBorders>
              <w:top w:val="nil"/>
              <w:left w:val="nil"/>
              <w:bottom w:val="nil"/>
              <w:right w:val="nil"/>
            </w:tcBorders>
          </w:tcPr>
          <w:p w14:paraId="3D74E0EF" w14:textId="77777777" w:rsidR="00E93D9C" w:rsidRPr="00571974" w:rsidRDefault="003D4D89" w:rsidP="00DF4A0D">
            <w:pPr>
              <w:tabs>
                <w:tab w:val="right" w:leader="dot" w:pos="6248"/>
              </w:tabs>
              <w:suppressAutoHyphens/>
              <w:ind w:left="200" w:hanging="200"/>
              <w:rPr>
                <w:sz w:val="18"/>
                <w:szCs w:val="18"/>
                <w:lang w:val="en-GB" w:eastAsia="en-GB" w:bidi="ar-SA"/>
              </w:rPr>
            </w:pPr>
            <w:r w:rsidRPr="00571974">
              <w:rPr>
                <w:sz w:val="18"/>
                <w:szCs w:val="18"/>
                <w:lang w:val="en-GB" w:eastAsia="en-GB" w:bidi="ar-SA"/>
              </w:rPr>
              <w:t>Iron ore – Kumba</w:t>
            </w:r>
            <w:r w:rsidRPr="00571974">
              <w:rPr>
                <w:sz w:val="18"/>
                <w:szCs w:val="18"/>
                <w:lang w:val="en-GB" w:eastAsia="en-GB" w:bidi="ar-SA"/>
              </w:rPr>
              <w:tab/>
            </w:r>
          </w:p>
        </w:tc>
        <w:tc>
          <w:tcPr>
            <w:tcW w:w="508" w:type="pct"/>
            <w:tcBorders>
              <w:top w:val="nil"/>
              <w:left w:val="nil"/>
              <w:bottom w:val="nil"/>
              <w:right w:val="nil"/>
            </w:tcBorders>
            <w:vAlign w:val="bottom"/>
          </w:tcPr>
          <w:p w14:paraId="47E5FAA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44,983</w:t>
            </w:r>
          </w:p>
        </w:tc>
        <w:tc>
          <w:tcPr>
            <w:tcW w:w="508" w:type="pct"/>
            <w:tcBorders>
              <w:top w:val="nil"/>
              <w:left w:val="nil"/>
              <w:bottom w:val="nil"/>
              <w:right w:val="nil"/>
            </w:tcBorders>
            <w:vAlign w:val="bottom"/>
          </w:tcPr>
          <w:p w14:paraId="5CCCC91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43,106</w:t>
            </w:r>
          </w:p>
        </w:tc>
        <w:tc>
          <w:tcPr>
            <w:tcW w:w="495" w:type="pct"/>
            <w:tcBorders>
              <w:top w:val="nil"/>
              <w:left w:val="nil"/>
              <w:bottom w:val="nil"/>
              <w:right w:val="nil"/>
            </w:tcBorders>
            <w:vAlign w:val="bottom"/>
          </w:tcPr>
          <w:p w14:paraId="374BE9C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42,388</w:t>
            </w:r>
          </w:p>
        </w:tc>
      </w:tr>
      <w:tr w:rsidR="002228B8" w14:paraId="1DBB8AB3" w14:textId="77777777" w:rsidTr="00DF4A0D">
        <w:trPr>
          <w:cantSplit/>
        </w:trPr>
        <w:tc>
          <w:tcPr>
            <w:tcW w:w="3489" w:type="pct"/>
            <w:tcBorders>
              <w:top w:val="nil"/>
              <w:left w:val="nil"/>
              <w:bottom w:val="nil"/>
              <w:right w:val="nil"/>
            </w:tcBorders>
          </w:tcPr>
          <w:p w14:paraId="71396085" w14:textId="77777777" w:rsidR="00E93D9C" w:rsidRPr="00571974" w:rsidRDefault="003D4D89" w:rsidP="00DF4A0D">
            <w:pPr>
              <w:tabs>
                <w:tab w:val="right" w:leader="dot" w:pos="6248"/>
              </w:tabs>
              <w:suppressAutoHyphens/>
              <w:ind w:left="200" w:hanging="200"/>
              <w:rPr>
                <w:sz w:val="18"/>
                <w:szCs w:val="18"/>
                <w:lang w:val="en-GB" w:eastAsia="en-GB" w:bidi="ar-SA"/>
              </w:rPr>
            </w:pPr>
            <w:r w:rsidRPr="00571974">
              <w:rPr>
                <w:sz w:val="18"/>
                <w:szCs w:val="18"/>
                <w:lang w:val="en-GB" w:eastAsia="en-GB" w:bidi="ar-SA"/>
              </w:rPr>
              <w:t>Iron ore – Minas-Rio</w:t>
            </w:r>
            <w:r w:rsidRPr="00571974">
              <w:rPr>
                <w:sz w:val="18"/>
                <w:szCs w:val="18"/>
                <w:vertAlign w:val="superscript"/>
                <w:lang w:val="en-GB" w:eastAsia="en-GB" w:bidi="ar-SA"/>
              </w:rPr>
              <w:t>(1)</w:t>
            </w:r>
            <w:r w:rsidRPr="00571974">
              <w:rPr>
                <w:sz w:val="18"/>
                <w:szCs w:val="18"/>
                <w:lang w:val="en-GB" w:eastAsia="en-GB" w:bidi="ar-SA"/>
              </w:rPr>
              <w:tab/>
            </w:r>
          </w:p>
        </w:tc>
        <w:tc>
          <w:tcPr>
            <w:tcW w:w="508" w:type="pct"/>
            <w:tcBorders>
              <w:top w:val="nil"/>
              <w:left w:val="nil"/>
              <w:bottom w:val="nil"/>
              <w:right w:val="nil"/>
            </w:tcBorders>
            <w:vAlign w:val="bottom"/>
          </w:tcPr>
          <w:p w14:paraId="4138BE7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16,787</w:t>
            </w:r>
          </w:p>
        </w:tc>
        <w:tc>
          <w:tcPr>
            <w:tcW w:w="508" w:type="pct"/>
            <w:tcBorders>
              <w:top w:val="nil"/>
              <w:left w:val="nil"/>
              <w:bottom w:val="nil"/>
              <w:right w:val="nil"/>
            </w:tcBorders>
            <w:vAlign w:val="bottom"/>
          </w:tcPr>
          <w:p w14:paraId="38F071B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3,382</w:t>
            </w:r>
          </w:p>
        </w:tc>
        <w:tc>
          <w:tcPr>
            <w:tcW w:w="495" w:type="pct"/>
            <w:tcBorders>
              <w:top w:val="nil"/>
              <w:left w:val="nil"/>
              <w:bottom w:val="nil"/>
              <w:right w:val="nil"/>
            </w:tcBorders>
            <w:vAlign w:val="bottom"/>
          </w:tcPr>
          <w:p w14:paraId="7B483F9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23,115</w:t>
            </w:r>
          </w:p>
        </w:tc>
      </w:tr>
    </w:tbl>
    <w:p w14:paraId="3EC4B398" w14:textId="77777777" w:rsidR="00E93D9C" w:rsidRPr="00571974" w:rsidRDefault="00836D74" w:rsidP="00E93D9C">
      <w:pPr>
        <w:rPr>
          <w:lang w:val="en-GB"/>
        </w:rPr>
      </w:pPr>
      <w:r>
        <w:rPr>
          <w:lang w:val="en-GB"/>
        </w:rPr>
        <w:pict w14:anchorId="6462BA4A">
          <v:rect id="_x0000_i1036" style="width:184.5pt;height:1pt" o:hrpct="250" o:hrstd="t" o:hrnoshade="t" o:hr="t" fillcolor="black" stroked="f"/>
        </w:pict>
      </w:r>
    </w:p>
    <w:p w14:paraId="1B2A9B66" w14:textId="77777777" w:rsidR="00E93D9C" w:rsidRPr="00571974" w:rsidRDefault="003D4D89" w:rsidP="003D4D89">
      <w:pPr>
        <w:pStyle w:val="ListParagraph"/>
        <w:widowControl/>
        <w:numPr>
          <w:ilvl w:val="0"/>
          <w:numId w:val="27"/>
        </w:numPr>
        <w:tabs>
          <w:tab w:val="left" w:pos="-720"/>
          <w:tab w:val="left" w:pos="0"/>
        </w:tabs>
        <w:suppressAutoHyphens/>
        <w:spacing w:after="240"/>
        <w:rPr>
          <w:lang w:val="en-GB"/>
        </w:rPr>
      </w:pPr>
      <w:r w:rsidRPr="00571974">
        <w:rPr>
          <w:sz w:val="16"/>
          <w:szCs w:val="18"/>
          <w:lang w:val="en-GB"/>
        </w:rPr>
        <w:t>Wet basis.</w:t>
      </w:r>
      <w:r w:rsidRPr="00571974">
        <w:rPr>
          <w:lang w:val="en-GB"/>
        </w:rPr>
        <w:t xml:space="preserve"> </w:t>
      </w:r>
    </w:p>
    <w:tbl>
      <w:tblPr>
        <w:tblW w:w="5087" w:type="pct"/>
        <w:tblLayout w:type="fixed"/>
        <w:tblCellMar>
          <w:left w:w="72" w:type="dxa"/>
          <w:right w:w="72" w:type="dxa"/>
        </w:tblCellMar>
        <w:tblLook w:val="0000" w:firstRow="0" w:lastRow="0" w:firstColumn="0" w:lastColumn="0" w:noHBand="0" w:noVBand="0"/>
      </w:tblPr>
      <w:tblGrid>
        <w:gridCol w:w="6641"/>
        <w:gridCol w:w="967"/>
        <w:gridCol w:w="967"/>
        <w:gridCol w:w="944"/>
      </w:tblGrid>
      <w:tr w:rsidR="002228B8" w14:paraId="3C4A49A0" w14:textId="77777777" w:rsidTr="00DF4A0D">
        <w:trPr>
          <w:cantSplit/>
        </w:trPr>
        <w:tc>
          <w:tcPr>
            <w:tcW w:w="3488" w:type="pct"/>
            <w:tcBorders>
              <w:top w:val="nil"/>
              <w:left w:val="nil"/>
              <w:bottom w:val="nil"/>
              <w:right w:val="nil"/>
            </w:tcBorders>
            <w:vAlign w:val="bottom"/>
          </w:tcPr>
          <w:p w14:paraId="4C984EF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512" w:type="pct"/>
            <w:gridSpan w:val="3"/>
            <w:tcBorders>
              <w:top w:val="nil"/>
              <w:left w:val="nil"/>
              <w:bottom w:val="nil"/>
              <w:right w:val="nil"/>
            </w:tcBorders>
            <w:vAlign w:val="bottom"/>
          </w:tcPr>
          <w:p w14:paraId="0A1AAC22"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iCs/>
                <w:sz w:val="18"/>
                <w:szCs w:val="18"/>
                <w:lang w:val="en-GB" w:eastAsia="en-GB" w:bidi="ar-SA"/>
              </w:rPr>
            </w:pPr>
            <w:r w:rsidRPr="00571974">
              <w:rPr>
                <w:b/>
                <w:bCs/>
                <w:iCs/>
                <w:sz w:val="18"/>
                <w:szCs w:val="18"/>
                <w:lang w:val="en-GB" w:eastAsia="en-GB" w:bidi="ar-SA"/>
              </w:rPr>
              <w:t>Year-ended December 31,</w:t>
            </w:r>
          </w:p>
        </w:tc>
      </w:tr>
      <w:tr w:rsidR="002228B8" w14:paraId="2A8E6A1A" w14:textId="77777777" w:rsidTr="00DF4A0D">
        <w:trPr>
          <w:cantSplit/>
        </w:trPr>
        <w:tc>
          <w:tcPr>
            <w:tcW w:w="3488" w:type="pct"/>
            <w:tcBorders>
              <w:top w:val="nil"/>
              <w:left w:val="nil"/>
              <w:bottom w:val="nil"/>
              <w:right w:val="nil"/>
            </w:tcBorders>
            <w:vAlign w:val="bottom"/>
          </w:tcPr>
          <w:p w14:paraId="08F75E96"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508" w:type="pct"/>
            <w:tcBorders>
              <w:top w:val="nil"/>
              <w:left w:val="nil"/>
              <w:bottom w:val="nil"/>
              <w:right w:val="nil"/>
            </w:tcBorders>
            <w:vAlign w:val="bottom"/>
          </w:tcPr>
          <w:p w14:paraId="14F463B5"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508" w:type="pct"/>
            <w:tcBorders>
              <w:top w:val="nil"/>
              <w:left w:val="nil"/>
              <w:bottom w:val="nil"/>
              <w:right w:val="nil"/>
            </w:tcBorders>
            <w:vAlign w:val="bottom"/>
          </w:tcPr>
          <w:p w14:paraId="7EA1C79B"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496" w:type="pct"/>
            <w:tcBorders>
              <w:top w:val="nil"/>
              <w:left w:val="nil"/>
              <w:bottom w:val="nil"/>
              <w:right w:val="nil"/>
            </w:tcBorders>
            <w:vAlign w:val="bottom"/>
          </w:tcPr>
          <w:p w14:paraId="1F736FA2"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2019</w:t>
            </w:r>
          </w:p>
        </w:tc>
      </w:tr>
      <w:tr w:rsidR="002228B8" w14:paraId="7612AC1A" w14:textId="77777777" w:rsidTr="00DF4A0D">
        <w:trPr>
          <w:cantSplit/>
        </w:trPr>
        <w:tc>
          <w:tcPr>
            <w:tcW w:w="3488" w:type="pct"/>
            <w:tcBorders>
              <w:top w:val="nil"/>
              <w:left w:val="nil"/>
              <w:bottom w:val="nil"/>
              <w:right w:val="nil"/>
            </w:tcBorders>
            <w:vAlign w:val="bottom"/>
          </w:tcPr>
          <w:p w14:paraId="34892F8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512" w:type="pct"/>
            <w:gridSpan w:val="3"/>
            <w:tcBorders>
              <w:top w:val="nil"/>
              <w:left w:val="nil"/>
              <w:bottom w:val="nil"/>
              <w:right w:val="nil"/>
            </w:tcBorders>
            <w:vAlign w:val="bottom"/>
          </w:tcPr>
          <w:p w14:paraId="0DF11DD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sz w:val="18"/>
                <w:szCs w:val="18"/>
                <w:lang w:val="en-GB" w:eastAsia="en-GB" w:bidi="ar-SA"/>
              </w:rPr>
            </w:pPr>
            <w:r w:rsidRPr="00571974">
              <w:rPr>
                <w:b/>
                <w:bCs/>
                <w:i/>
                <w:sz w:val="16"/>
                <w:szCs w:val="18"/>
                <w:lang w:val="en-GB" w:eastAsia="en-GB" w:bidi="ar-SA"/>
              </w:rPr>
              <w:t>(thousands of tonnes)</w:t>
            </w:r>
          </w:p>
        </w:tc>
      </w:tr>
      <w:tr w:rsidR="002228B8" w14:paraId="5FA148D2" w14:textId="77777777" w:rsidTr="00DF4A0D">
        <w:trPr>
          <w:cantSplit/>
        </w:trPr>
        <w:tc>
          <w:tcPr>
            <w:tcW w:w="3488" w:type="pct"/>
            <w:tcBorders>
              <w:top w:val="nil"/>
              <w:left w:val="nil"/>
              <w:bottom w:val="nil"/>
              <w:right w:val="nil"/>
            </w:tcBorders>
          </w:tcPr>
          <w:p w14:paraId="456149F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i/>
                <w:iCs/>
                <w:sz w:val="18"/>
                <w:lang w:val="en-GB" w:eastAsia="en-GB" w:bidi="ar-SA"/>
              </w:rPr>
              <w:t>Coal segment</w:t>
            </w:r>
          </w:p>
        </w:tc>
        <w:tc>
          <w:tcPr>
            <w:tcW w:w="508" w:type="pct"/>
            <w:tcBorders>
              <w:top w:val="nil"/>
              <w:left w:val="nil"/>
              <w:bottom w:val="nil"/>
              <w:right w:val="nil"/>
            </w:tcBorders>
            <w:vAlign w:val="bottom"/>
          </w:tcPr>
          <w:p w14:paraId="405F97EB"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08" w:type="pct"/>
            <w:tcBorders>
              <w:top w:val="nil"/>
              <w:left w:val="nil"/>
              <w:bottom w:val="nil"/>
              <w:right w:val="nil"/>
            </w:tcBorders>
            <w:vAlign w:val="bottom"/>
          </w:tcPr>
          <w:p w14:paraId="2E53F0A2"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496" w:type="pct"/>
            <w:tcBorders>
              <w:top w:val="nil"/>
              <w:left w:val="nil"/>
              <w:bottom w:val="nil"/>
              <w:right w:val="nil"/>
            </w:tcBorders>
            <w:vAlign w:val="bottom"/>
          </w:tcPr>
          <w:p w14:paraId="65433DA8"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1A56F22C" w14:textId="77777777" w:rsidTr="00DF4A0D">
        <w:trPr>
          <w:cantSplit/>
        </w:trPr>
        <w:tc>
          <w:tcPr>
            <w:tcW w:w="3488" w:type="pct"/>
            <w:tcBorders>
              <w:top w:val="nil"/>
              <w:left w:val="nil"/>
              <w:bottom w:val="nil"/>
              <w:right w:val="nil"/>
            </w:tcBorders>
          </w:tcPr>
          <w:p w14:paraId="4973849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i/>
                <w:iCs/>
                <w:sz w:val="18"/>
                <w:lang w:val="en-GB" w:eastAsia="en-GB" w:bidi="ar-SA"/>
              </w:rPr>
              <w:t>Australia</w:t>
            </w:r>
          </w:p>
        </w:tc>
        <w:tc>
          <w:tcPr>
            <w:tcW w:w="508" w:type="pct"/>
            <w:tcBorders>
              <w:top w:val="nil"/>
              <w:left w:val="nil"/>
              <w:bottom w:val="nil"/>
              <w:right w:val="nil"/>
            </w:tcBorders>
            <w:vAlign w:val="bottom"/>
          </w:tcPr>
          <w:p w14:paraId="6FB3838D"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08" w:type="pct"/>
            <w:tcBorders>
              <w:top w:val="nil"/>
              <w:left w:val="nil"/>
              <w:bottom w:val="nil"/>
              <w:right w:val="nil"/>
            </w:tcBorders>
            <w:vAlign w:val="bottom"/>
          </w:tcPr>
          <w:p w14:paraId="54CAB67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496" w:type="pct"/>
            <w:tcBorders>
              <w:top w:val="nil"/>
              <w:left w:val="nil"/>
              <w:bottom w:val="nil"/>
              <w:right w:val="nil"/>
            </w:tcBorders>
            <w:vAlign w:val="bottom"/>
          </w:tcPr>
          <w:p w14:paraId="7FC742B4"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64782180" w14:textId="77777777" w:rsidTr="00DF4A0D">
        <w:trPr>
          <w:cantSplit/>
        </w:trPr>
        <w:tc>
          <w:tcPr>
            <w:tcW w:w="3488" w:type="pct"/>
            <w:tcBorders>
              <w:top w:val="nil"/>
              <w:left w:val="nil"/>
              <w:bottom w:val="nil"/>
              <w:right w:val="nil"/>
            </w:tcBorders>
          </w:tcPr>
          <w:p w14:paraId="1495425A"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Metallurgical – Export</w:t>
            </w:r>
            <w:r w:rsidRPr="00571974">
              <w:rPr>
                <w:sz w:val="18"/>
                <w:lang w:val="en-GB" w:eastAsia="en-GB" w:bidi="ar-SA"/>
              </w:rPr>
              <w:tab/>
            </w:r>
          </w:p>
        </w:tc>
        <w:tc>
          <w:tcPr>
            <w:tcW w:w="508" w:type="pct"/>
            <w:tcBorders>
              <w:top w:val="nil"/>
              <w:left w:val="nil"/>
              <w:bottom w:val="nil"/>
              <w:right w:val="nil"/>
            </w:tcBorders>
            <w:vAlign w:val="bottom"/>
          </w:tcPr>
          <w:p w14:paraId="3D1F2B4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19,661</w:t>
            </w:r>
          </w:p>
        </w:tc>
        <w:tc>
          <w:tcPr>
            <w:tcW w:w="508" w:type="pct"/>
            <w:tcBorders>
              <w:top w:val="nil"/>
              <w:left w:val="nil"/>
              <w:bottom w:val="nil"/>
              <w:right w:val="nil"/>
            </w:tcBorders>
            <w:vAlign w:val="bottom"/>
          </w:tcPr>
          <w:p w14:paraId="6FCCC9B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21,830</w:t>
            </w:r>
          </w:p>
        </w:tc>
        <w:tc>
          <w:tcPr>
            <w:tcW w:w="496" w:type="pct"/>
            <w:tcBorders>
              <w:top w:val="nil"/>
              <w:left w:val="nil"/>
              <w:bottom w:val="nil"/>
              <w:right w:val="nil"/>
            </w:tcBorders>
            <w:vAlign w:val="bottom"/>
          </w:tcPr>
          <w:p w14:paraId="1E6359C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22,852</w:t>
            </w:r>
          </w:p>
        </w:tc>
      </w:tr>
      <w:tr w:rsidR="002228B8" w14:paraId="033D4AF5" w14:textId="77777777" w:rsidTr="00DF4A0D">
        <w:trPr>
          <w:cantSplit/>
        </w:trPr>
        <w:tc>
          <w:tcPr>
            <w:tcW w:w="3488" w:type="pct"/>
            <w:tcBorders>
              <w:top w:val="nil"/>
              <w:left w:val="nil"/>
              <w:bottom w:val="nil"/>
              <w:right w:val="nil"/>
            </w:tcBorders>
          </w:tcPr>
          <w:p w14:paraId="6FAA0F27"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Thermal – Export</w:t>
            </w:r>
            <w:r w:rsidRPr="00571974">
              <w:rPr>
                <w:sz w:val="18"/>
                <w:lang w:val="en-GB" w:eastAsia="en-GB" w:bidi="ar-SA"/>
              </w:rPr>
              <w:tab/>
            </w:r>
          </w:p>
        </w:tc>
        <w:tc>
          <w:tcPr>
            <w:tcW w:w="508" w:type="pct"/>
            <w:tcBorders>
              <w:top w:val="nil"/>
              <w:left w:val="nil"/>
              <w:bottom w:val="nil"/>
              <w:right w:val="nil"/>
            </w:tcBorders>
            <w:vAlign w:val="bottom"/>
          </w:tcPr>
          <w:p w14:paraId="6A143B5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1,641</w:t>
            </w:r>
          </w:p>
        </w:tc>
        <w:tc>
          <w:tcPr>
            <w:tcW w:w="508" w:type="pct"/>
            <w:tcBorders>
              <w:top w:val="nil"/>
              <w:left w:val="nil"/>
              <w:bottom w:val="nil"/>
              <w:right w:val="nil"/>
            </w:tcBorders>
            <w:vAlign w:val="bottom"/>
          </w:tcPr>
          <w:p w14:paraId="253528F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1,381</w:t>
            </w:r>
          </w:p>
        </w:tc>
        <w:tc>
          <w:tcPr>
            <w:tcW w:w="496" w:type="pct"/>
            <w:tcBorders>
              <w:top w:val="nil"/>
              <w:left w:val="nil"/>
              <w:bottom w:val="nil"/>
              <w:right w:val="nil"/>
            </w:tcBorders>
            <w:vAlign w:val="bottom"/>
          </w:tcPr>
          <w:p w14:paraId="037038B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1,411</w:t>
            </w:r>
          </w:p>
        </w:tc>
      </w:tr>
      <w:tr w:rsidR="002228B8" w14:paraId="2545E3CB" w14:textId="77777777" w:rsidTr="00DF4A0D">
        <w:trPr>
          <w:cantSplit/>
        </w:trPr>
        <w:tc>
          <w:tcPr>
            <w:tcW w:w="3488" w:type="pct"/>
            <w:tcBorders>
              <w:top w:val="nil"/>
              <w:left w:val="nil"/>
              <w:bottom w:val="nil"/>
              <w:right w:val="nil"/>
            </w:tcBorders>
          </w:tcPr>
          <w:p w14:paraId="6171577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894"/>
              </w:tabs>
              <w:suppressAutoHyphens/>
              <w:ind w:left="200" w:hanging="200"/>
              <w:rPr>
                <w:sz w:val="18"/>
                <w:lang w:val="en-GB" w:eastAsia="en-GB" w:bidi="ar-SA"/>
              </w:rPr>
            </w:pPr>
            <w:r w:rsidRPr="00571974">
              <w:rPr>
                <w:i/>
                <w:iCs/>
                <w:sz w:val="18"/>
                <w:lang w:val="en-GB" w:eastAsia="en-GB" w:bidi="ar-SA"/>
              </w:rPr>
              <w:t>South Africa</w:t>
            </w:r>
          </w:p>
        </w:tc>
        <w:tc>
          <w:tcPr>
            <w:tcW w:w="508" w:type="pct"/>
            <w:tcBorders>
              <w:top w:val="nil"/>
              <w:left w:val="nil"/>
              <w:bottom w:val="nil"/>
              <w:right w:val="nil"/>
            </w:tcBorders>
            <w:vAlign w:val="bottom"/>
          </w:tcPr>
          <w:p w14:paraId="5436695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08" w:type="pct"/>
            <w:tcBorders>
              <w:top w:val="nil"/>
              <w:left w:val="nil"/>
              <w:bottom w:val="nil"/>
              <w:right w:val="nil"/>
            </w:tcBorders>
            <w:vAlign w:val="bottom"/>
          </w:tcPr>
          <w:p w14:paraId="46744D6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496" w:type="pct"/>
            <w:tcBorders>
              <w:top w:val="nil"/>
              <w:left w:val="nil"/>
              <w:bottom w:val="nil"/>
              <w:right w:val="nil"/>
            </w:tcBorders>
            <w:vAlign w:val="bottom"/>
          </w:tcPr>
          <w:p w14:paraId="76C9581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32065562" w14:textId="77777777" w:rsidTr="00DF4A0D">
        <w:trPr>
          <w:cantSplit/>
        </w:trPr>
        <w:tc>
          <w:tcPr>
            <w:tcW w:w="3488" w:type="pct"/>
            <w:tcBorders>
              <w:top w:val="nil"/>
              <w:left w:val="nil"/>
              <w:bottom w:val="nil"/>
              <w:right w:val="nil"/>
            </w:tcBorders>
          </w:tcPr>
          <w:p w14:paraId="0540B073"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Thermal – Export</w:t>
            </w:r>
            <w:r w:rsidRPr="00571974">
              <w:rPr>
                <w:sz w:val="18"/>
                <w:szCs w:val="18"/>
                <w:vertAlign w:val="superscript"/>
                <w:lang w:val="en-GB" w:eastAsia="en-GB" w:bidi="ar-SA"/>
              </w:rPr>
              <w:t xml:space="preserve"> (1)</w:t>
            </w:r>
            <w:r w:rsidRPr="00571974">
              <w:rPr>
                <w:sz w:val="18"/>
                <w:lang w:val="en-GB" w:eastAsia="en-GB" w:bidi="ar-SA"/>
              </w:rPr>
              <w:tab/>
            </w:r>
          </w:p>
        </w:tc>
        <w:tc>
          <w:tcPr>
            <w:tcW w:w="508" w:type="pct"/>
            <w:tcBorders>
              <w:top w:val="nil"/>
              <w:left w:val="nil"/>
              <w:bottom w:val="nil"/>
              <w:right w:val="nil"/>
            </w:tcBorders>
            <w:vAlign w:val="bottom"/>
          </w:tcPr>
          <w:p w14:paraId="1DBDED1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18,593</w:t>
            </w:r>
          </w:p>
        </w:tc>
        <w:tc>
          <w:tcPr>
            <w:tcW w:w="508" w:type="pct"/>
            <w:tcBorders>
              <w:top w:val="nil"/>
              <w:left w:val="nil"/>
              <w:bottom w:val="nil"/>
              <w:right w:val="nil"/>
            </w:tcBorders>
            <w:vAlign w:val="bottom"/>
          </w:tcPr>
          <w:p w14:paraId="1A3E5A5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18,359</w:t>
            </w:r>
          </w:p>
        </w:tc>
        <w:tc>
          <w:tcPr>
            <w:tcW w:w="496" w:type="pct"/>
            <w:tcBorders>
              <w:top w:val="nil"/>
              <w:left w:val="nil"/>
              <w:bottom w:val="nil"/>
              <w:right w:val="nil"/>
            </w:tcBorders>
            <w:vAlign w:val="bottom"/>
          </w:tcPr>
          <w:p w14:paraId="651D59A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17,796</w:t>
            </w:r>
          </w:p>
        </w:tc>
      </w:tr>
      <w:tr w:rsidR="002228B8" w14:paraId="6E8E14E6" w14:textId="77777777" w:rsidTr="00DF4A0D">
        <w:trPr>
          <w:cantSplit/>
        </w:trPr>
        <w:tc>
          <w:tcPr>
            <w:tcW w:w="3488" w:type="pct"/>
            <w:tcBorders>
              <w:top w:val="nil"/>
              <w:left w:val="nil"/>
              <w:bottom w:val="nil"/>
              <w:right w:val="nil"/>
            </w:tcBorders>
          </w:tcPr>
          <w:p w14:paraId="38065D07"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Thermal – Domestic (Eskom)</w:t>
            </w:r>
            <w:r w:rsidRPr="00571974">
              <w:rPr>
                <w:sz w:val="18"/>
                <w:lang w:val="en-GB" w:eastAsia="en-GB" w:bidi="ar-SA"/>
              </w:rPr>
              <w:tab/>
            </w:r>
          </w:p>
        </w:tc>
        <w:tc>
          <w:tcPr>
            <w:tcW w:w="508" w:type="pct"/>
            <w:tcBorders>
              <w:top w:val="nil"/>
              <w:left w:val="nil"/>
              <w:bottom w:val="nil"/>
              <w:right w:val="nil"/>
            </w:tcBorders>
            <w:vAlign w:val="bottom"/>
          </w:tcPr>
          <w:p w14:paraId="672BB9D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23,859</w:t>
            </w:r>
          </w:p>
        </w:tc>
        <w:tc>
          <w:tcPr>
            <w:tcW w:w="508" w:type="pct"/>
            <w:tcBorders>
              <w:top w:val="nil"/>
              <w:left w:val="nil"/>
              <w:bottom w:val="nil"/>
              <w:right w:val="nil"/>
            </w:tcBorders>
            <w:vAlign w:val="bottom"/>
          </w:tcPr>
          <w:p w14:paraId="1386822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2,826</w:t>
            </w:r>
          </w:p>
        </w:tc>
        <w:tc>
          <w:tcPr>
            <w:tcW w:w="496" w:type="pct"/>
            <w:tcBorders>
              <w:top w:val="nil"/>
              <w:left w:val="nil"/>
              <w:bottom w:val="nil"/>
              <w:right w:val="nil"/>
            </w:tcBorders>
            <w:vAlign w:val="bottom"/>
          </w:tcPr>
          <w:p w14:paraId="2A3C838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w:t>
            </w:r>
          </w:p>
        </w:tc>
      </w:tr>
      <w:tr w:rsidR="002228B8" w14:paraId="59AABCF4" w14:textId="77777777" w:rsidTr="00DF4A0D">
        <w:trPr>
          <w:cantSplit/>
        </w:trPr>
        <w:tc>
          <w:tcPr>
            <w:tcW w:w="3488" w:type="pct"/>
            <w:tcBorders>
              <w:top w:val="nil"/>
              <w:left w:val="nil"/>
              <w:bottom w:val="nil"/>
              <w:right w:val="nil"/>
            </w:tcBorders>
          </w:tcPr>
          <w:p w14:paraId="5BC4B35D"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Thermal – Domestic (Non-Eskom)</w:t>
            </w:r>
            <w:r w:rsidRPr="00571974">
              <w:rPr>
                <w:sz w:val="18"/>
                <w:szCs w:val="18"/>
                <w:vertAlign w:val="superscript"/>
                <w:lang w:val="en-GB" w:eastAsia="en-GB" w:bidi="ar-SA"/>
              </w:rPr>
              <w:t xml:space="preserve"> (2)</w:t>
            </w:r>
            <w:r w:rsidRPr="00571974">
              <w:rPr>
                <w:sz w:val="18"/>
                <w:lang w:val="en-GB" w:eastAsia="en-GB" w:bidi="ar-SA"/>
              </w:rPr>
              <w:tab/>
            </w:r>
          </w:p>
        </w:tc>
        <w:tc>
          <w:tcPr>
            <w:tcW w:w="508" w:type="pct"/>
            <w:tcBorders>
              <w:top w:val="nil"/>
              <w:left w:val="nil"/>
              <w:bottom w:val="nil"/>
              <w:right w:val="nil"/>
            </w:tcBorders>
            <w:vAlign w:val="bottom"/>
          </w:tcPr>
          <w:p w14:paraId="2421E1B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7,454</w:t>
            </w:r>
          </w:p>
        </w:tc>
        <w:tc>
          <w:tcPr>
            <w:tcW w:w="508" w:type="pct"/>
            <w:tcBorders>
              <w:top w:val="nil"/>
              <w:left w:val="nil"/>
              <w:bottom w:val="nil"/>
              <w:right w:val="nil"/>
            </w:tcBorders>
            <w:vAlign w:val="bottom"/>
          </w:tcPr>
          <w:p w14:paraId="42DCBE5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10,867</w:t>
            </w:r>
          </w:p>
        </w:tc>
        <w:tc>
          <w:tcPr>
            <w:tcW w:w="496" w:type="pct"/>
            <w:tcBorders>
              <w:top w:val="nil"/>
              <w:left w:val="nil"/>
              <w:bottom w:val="nil"/>
              <w:right w:val="nil"/>
            </w:tcBorders>
            <w:vAlign w:val="bottom"/>
          </w:tcPr>
          <w:p w14:paraId="297DC99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10,046</w:t>
            </w:r>
          </w:p>
        </w:tc>
      </w:tr>
      <w:tr w:rsidR="002228B8" w14:paraId="49B2A2F4" w14:textId="77777777" w:rsidTr="00DF4A0D">
        <w:trPr>
          <w:cantSplit/>
        </w:trPr>
        <w:tc>
          <w:tcPr>
            <w:tcW w:w="3488" w:type="pct"/>
            <w:tcBorders>
              <w:top w:val="nil"/>
              <w:left w:val="nil"/>
              <w:bottom w:val="nil"/>
              <w:right w:val="nil"/>
            </w:tcBorders>
          </w:tcPr>
          <w:p w14:paraId="061FD175" w14:textId="77777777" w:rsidR="00E93D9C" w:rsidRPr="00571974" w:rsidRDefault="003D4D89" w:rsidP="00DF4A0D">
            <w:pPr>
              <w:tabs>
                <w:tab w:val="right" w:leader="dot" w:pos="5894"/>
              </w:tabs>
              <w:suppressAutoHyphens/>
              <w:ind w:left="200" w:hanging="200"/>
              <w:rPr>
                <w:i/>
                <w:sz w:val="18"/>
                <w:lang w:val="en-GB" w:eastAsia="en-GB" w:bidi="ar-SA"/>
              </w:rPr>
            </w:pPr>
            <w:r w:rsidRPr="00571974">
              <w:rPr>
                <w:i/>
                <w:sz w:val="18"/>
                <w:lang w:val="en-GB" w:eastAsia="en-GB" w:bidi="ar-SA"/>
              </w:rPr>
              <w:t>Colombia</w:t>
            </w:r>
          </w:p>
        </w:tc>
        <w:tc>
          <w:tcPr>
            <w:tcW w:w="508" w:type="pct"/>
            <w:tcBorders>
              <w:top w:val="nil"/>
              <w:left w:val="nil"/>
              <w:bottom w:val="nil"/>
              <w:right w:val="nil"/>
            </w:tcBorders>
            <w:vAlign w:val="bottom"/>
          </w:tcPr>
          <w:p w14:paraId="0DB32FCD"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08" w:type="pct"/>
            <w:tcBorders>
              <w:top w:val="nil"/>
              <w:left w:val="nil"/>
              <w:bottom w:val="nil"/>
              <w:right w:val="nil"/>
            </w:tcBorders>
            <w:vAlign w:val="bottom"/>
          </w:tcPr>
          <w:p w14:paraId="2E3D8B1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496" w:type="pct"/>
            <w:tcBorders>
              <w:top w:val="nil"/>
              <w:left w:val="nil"/>
              <w:bottom w:val="nil"/>
              <w:right w:val="nil"/>
            </w:tcBorders>
            <w:vAlign w:val="bottom"/>
          </w:tcPr>
          <w:p w14:paraId="0A0DAD0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039401E3" w14:textId="77777777" w:rsidTr="00DF4A0D">
        <w:trPr>
          <w:cantSplit/>
        </w:trPr>
        <w:tc>
          <w:tcPr>
            <w:tcW w:w="3488" w:type="pct"/>
            <w:tcBorders>
              <w:top w:val="nil"/>
              <w:left w:val="nil"/>
              <w:bottom w:val="nil"/>
              <w:right w:val="nil"/>
            </w:tcBorders>
          </w:tcPr>
          <w:p w14:paraId="65224F31" w14:textId="77777777" w:rsidR="00E93D9C" w:rsidRPr="00571974" w:rsidRDefault="003D4D89" w:rsidP="00DF4A0D">
            <w:pPr>
              <w:tabs>
                <w:tab w:val="right" w:leader="dot" w:pos="5894"/>
              </w:tabs>
              <w:suppressAutoHyphens/>
              <w:ind w:left="200" w:hanging="200"/>
              <w:rPr>
                <w:sz w:val="18"/>
                <w:lang w:val="en-GB" w:eastAsia="en-GB" w:bidi="ar-SA"/>
              </w:rPr>
            </w:pPr>
            <w:r w:rsidRPr="00571974">
              <w:rPr>
                <w:sz w:val="18"/>
                <w:lang w:val="en-GB" w:eastAsia="en-GB" w:bidi="ar-SA"/>
              </w:rPr>
              <w:t>Thermal – Export</w:t>
            </w:r>
            <w:r w:rsidRPr="00571974">
              <w:rPr>
                <w:sz w:val="18"/>
                <w:lang w:val="en-GB" w:eastAsia="en-GB" w:bidi="ar-SA"/>
              </w:rPr>
              <w:tab/>
            </w:r>
          </w:p>
        </w:tc>
        <w:tc>
          <w:tcPr>
            <w:tcW w:w="508" w:type="pct"/>
            <w:tcBorders>
              <w:top w:val="nil"/>
              <w:left w:val="nil"/>
              <w:bottom w:val="nil"/>
              <w:right w:val="nil"/>
            </w:tcBorders>
            <w:vAlign w:val="bottom"/>
          </w:tcPr>
          <w:p w14:paraId="704501D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10,642</w:t>
            </w:r>
          </w:p>
        </w:tc>
        <w:tc>
          <w:tcPr>
            <w:tcW w:w="508" w:type="pct"/>
            <w:tcBorders>
              <w:top w:val="nil"/>
              <w:left w:val="nil"/>
              <w:bottom w:val="nil"/>
              <w:right w:val="nil"/>
            </w:tcBorders>
            <w:vAlign w:val="bottom"/>
          </w:tcPr>
          <w:p w14:paraId="226546D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10,220</w:t>
            </w:r>
          </w:p>
        </w:tc>
        <w:tc>
          <w:tcPr>
            <w:tcW w:w="496" w:type="pct"/>
            <w:tcBorders>
              <w:top w:val="nil"/>
              <w:left w:val="nil"/>
              <w:bottom w:val="nil"/>
              <w:right w:val="nil"/>
            </w:tcBorders>
            <w:vAlign w:val="bottom"/>
          </w:tcPr>
          <w:p w14:paraId="225A770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8,586</w:t>
            </w:r>
          </w:p>
        </w:tc>
      </w:tr>
    </w:tbl>
    <w:p w14:paraId="60190E7F" w14:textId="77777777" w:rsidR="00E93D9C" w:rsidRPr="00571974" w:rsidRDefault="00836D74" w:rsidP="00E93D9C">
      <w:pPr>
        <w:rPr>
          <w:lang w:val="en-GB"/>
        </w:rPr>
      </w:pPr>
      <w:r>
        <w:rPr>
          <w:lang w:val="en-GB"/>
        </w:rPr>
        <w:pict w14:anchorId="3A9195FB">
          <v:rect id="_x0000_i1037" style="width:184.5pt;height:1pt" o:hrpct="250" o:hrstd="t" o:hrnoshade="t" o:hr="t" fillcolor="black" stroked="f"/>
        </w:pict>
      </w:r>
    </w:p>
    <w:p w14:paraId="3C4DFE58" w14:textId="77777777" w:rsidR="00E93D9C" w:rsidRPr="00571974" w:rsidRDefault="003D4D89" w:rsidP="003D4D89">
      <w:pPr>
        <w:pStyle w:val="ListParagraph"/>
        <w:widowControl/>
        <w:numPr>
          <w:ilvl w:val="0"/>
          <w:numId w:val="29"/>
        </w:numPr>
        <w:tabs>
          <w:tab w:val="left" w:pos="-720"/>
          <w:tab w:val="left" w:pos="0"/>
        </w:tabs>
        <w:suppressAutoHyphens/>
        <w:spacing w:after="240"/>
        <w:rPr>
          <w:sz w:val="16"/>
          <w:szCs w:val="16"/>
          <w:lang w:val="en-GB"/>
        </w:rPr>
      </w:pPr>
      <w:r w:rsidRPr="00571974">
        <w:rPr>
          <w:sz w:val="16"/>
          <w:szCs w:val="16"/>
          <w:lang w:val="en-GB"/>
        </w:rPr>
        <w:t>Thermal export – All product produced and sold into the export market. Comparatives have been restated to reflect current presentation.</w:t>
      </w:r>
    </w:p>
    <w:p w14:paraId="17235881" w14:textId="77777777" w:rsidR="00E93D9C" w:rsidRPr="00571974" w:rsidRDefault="003D4D89" w:rsidP="003D4D89">
      <w:pPr>
        <w:pStyle w:val="ListParagraph"/>
        <w:widowControl/>
        <w:numPr>
          <w:ilvl w:val="0"/>
          <w:numId w:val="29"/>
        </w:numPr>
        <w:tabs>
          <w:tab w:val="left" w:pos="-720"/>
          <w:tab w:val="left" w:pos="0"/>
        </w:tabs>
        <w:suppressAutoHyphens/>
        <w:spacing w:after="240"/>
        <w:rPr>
          <w:sz w:val="16"/>
          <w:szCs w:val="16"/>
          <w:lang w:val="en-GB"/>
        </w:rPr>
      </w:pPr>
      <w:r w:rsidRPr="00571974">
        <w:rPr>
          <w:sz w:val="16"/>
          <w:szCs w:val="16"/>
          <w:lang w:val="en-GB"/>
        </w:rPr>
        <w:t>Thermal domestic (Non-Eskom) includes Thermal – Domestic (Other) and Thermal Domestic (Isibonelo). Thermal – Domestic (Other) is product sold domestically excluding Eskom-tied and Isibonelo. Comparatives have been restated to reflect current presentation.</w:t>
      </w:r>
    </w:p>
    <w:p w14:paraId="4206FADF" w14:textId="77777777" w:rsidR="00E93D9C" w:rsidRPr="00571974" w:rsidRDefault="00E93D9C" w:rsidP="00E93D9C">
      <w:pPr>
        <w:tabs>
          <w:tab w:val="left" w:pos="-720"/>
          <w:tab w:val="left" w:pos="0"/>
        </w:tabs>
        <w:suppressAutoHyphens/>
        <w:spacing w:after="240"/>
        <w:rPr>
          <w:sz w:val="16"/>
          <w:szCs w:val="16"/>
          <w:lang w:val="en-GB"/>
        </w:rPr>
      </w:pPr>
    </w:p>
    <w:p w14:paraId="20D304B8" w14:textId="77777777" w:rsidR="00E93D9C" w:rsidRPr="00571974" w:rsidRDefault="00E93D9C" w:rsidP="00E93D9C">
      <w:pPr>
        <w:tabs>
          <w:tab w:val="left" w:pos="-720"/>
          <w:tab w:val="left" w:pos="0"/>
        </w:tabs>
        <w:suppressAutoHyphens/>
        <w:spacing w:after="240"/>
        <w:rPr>
          <w:sz w:val="16"/>
          <w:szCs w:val="16"/>
          <w:lang w:val="en-GB"/>
        </w:rPr>
      </w:pPr>
    </w:p>
    <w:tbl>
      <w:tblPr>
        <w:tblW w:w="9744" w:type="dxa"/>
        <w:tblInd w:w="-72" w:type="dxa"/>
        <w:tblLayout w:type="fixed"/>
        <w:tblCellMar>
          <w:left w:w="72" w:type="dxa"/>
          <w:right w:w="72" w:type="dxa"/>
        </w:tblCellMar>
        <w:tblLook w:val="0000" w:firstRow="0" w:lastRow="0" w:firstColumn="0" w:lastColumn="0" w:noHBand="0" w:noVBand="0"/>
      </w:tblPr>
      <w:tblGrid>
        <w:gridCol w:w="6814"/>
        <w:gridCol w:w="1086"/>
        <w:gridCol w:w="1086"/>
        <w:gridCol w:w="758"/>
      </w:tblGrid>
      <w:tr w:rsidR="002228B8" w14:paraId="53B12CCA" w14:textId="77777777" w:rsidTr="00DF4A0D">
        <w:trPr>
          <w:cantSplit/>
          <w:trHeight w:val="312"/>
        </w:trPr>
        <w:tc>
          <w:tcPr>
            <w:tcW w:w="6814" w:type="dxa"/>
            <w:tcBorders>
              <w:top w:val="nil"/>
              <w:left w:val="nil"/>
              <w:bottom w:val="nil"/>
              <w:right w:val="nil"/>
            </w:tcBorders>
            <w:vAlign w:val="bottom"/>
          </w:tcPr>
          <w:p w14:paraId="5A68DA2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left="720"/>
              <w:contextualSpacing/>
              <w:jc w:val="center"/>
              <w:rPr>
                <w:b/>
                <w:bCs/>
                <w:sz w:val="18"/>
                <w:szCs w:val="18"/>
                <w:lang w:val="en-GB" w:eastAsia="en-GB" w:bidi="ar-SA"/>
              </w:rPr>
            </w:pPr>
          </w:p>
        </w:tc>
        <w:tc>
          <w:tcPr>
            <w:tcW w:w="2930" w:type="dxa"/>
            <w:gridSpan w:val="3"/>
            <w:tcBorders>
              <w:top w:val="nil"/>
              <w:left w:val="nil"/>
              <w:bottom w:val="nil"/>
              <w:right w:val="nil"/>
            </w:tcBorders>
            <w:vAlign w:val="bottom"/>
          </w:tcPr>
          <w:p w14:paraId="03865680"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7E0CD873" w14:textId="77777777" w:rsidTr="00DF4A0D">
        <w:trPr>
          <w:cantSplit/>
          <w:trHeight w:val="292"/>
        </w:trPr>
        <w:tc>
          <w:tcPr>
            <w:tcW w:w="6814" w:type="dxa"/>
            <w:tcBorders>
              <w:top w:val="nil"/>
              <w:left w:val="nil"/>
              <w:bottom w:val="nil"/>
              <w:right w:val="nil"/>
            </w:tcBorders>
            <w:vAlign w:val="bottom"/>
          </w:tcPr>
          <w:p w14:paraId="4F101560"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086" w:type="dxa"/>
            <w:tcBorders>
              <w:top w:val="nil"/>
              <w:left w:val="nil"/>
              <w:bottom w:val="nil"/>
              <w:right w:val="nil"/>
            </w:tcBorders>
            <w:vAlign w:val="bottom"/>
          </w:tcPr>
          <w:p w14:paraId="3710F57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1086" w:type="dxa"/>
            <w:tcBorders>
              <w:top w:val="nil"/>
              <w:left w:val="nil"/>
              <w:bottom w:val="nil"/>
              <w:right w:val="nil"/>
            </w:tcBorders>
            <w:vAlign w:val="bottom"/>
          </w:tcPr>
          <w:p w14:paraId="20A5BE29"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758" w:type="dxa"/>
            <w:tcBorders>
              <w:top w:val="nil"/>
              <w:left w:val="nil"/>
              <w:bottom w:val="nil"/>
              <w:right w:val="nil"/>
            </w:tcBorders>
            <w:vAlign w:val="bottom"/>
          </w:tcPr>
          <w:p w14:paraId="117CDBE7"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2019</w:t>
            </w:r>
          </w:p>
        </w:tc>
      </w:tr>
      <w:tr w:rsidR="002228B8" w14:paraId="2D625015" w14:textId="77777777" w:rsidTr="00DF4A0D">
        <w:trPr>
          <w:cantSplit/>
          <w:trHeight w:val="273"/>
        </w:trPr>
        <w:tc>
          <w:tcPr>
            <w:tcW w:w="6814" w:type="dxa"/>
            <w:tcBorders>
              <w:top w:val="nil"/>
              <w:left w:val="nil"/>
              <w:bottom w:val="nil"/>
              <w:right w:val="nil"/>
            </w:tcBorders>
            <w:vAlign w:val="bottom"/>
          </w:tcPr>
          <w:p w14:paraId="4DD8A212"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2930" w:type="dxa"/>
            <w:gridSpan w:val="3"/>
            <w:tcBorders>
              <w:top w:val="nil"/>
              <w:left w:val="nil"/>
              <w:bottom w:val="nil"/>
              <w:right w:val="nil"/>
            </w:tcBorders>
            <w:vAlign w:val="bottom"/>
          </w:tcPr>
          <w:p w14:paraId="0ACE74C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6"/>
                <w:szCs w:val="18"/>
                <w:lang w:val="en-GB" w:eastAsia="en-GB" w:bidi="ar-SA"/>
              </w:rPr>
            </w:pPr>
            <w:r w:rsidRPr="00571974">
              <w:rPr>
                <w:b/>
                <w:bCs/>
                <w:i/>
                <w:iCs/>
                <w:sz w:val="16"/>
                <w:szCs w:val="18"/>
                <w:lang w:val="en-GB" w:eastAsia="en-GB" w:bidi="ar-SA"/>
              </w:rPr>
              <w:t>(tonnes)</w:t>
            </w:r>
          </w:p>
        </w:tc>
      </w:tr>
      <w:tr w:rsidR="002228B8" w14:paraId="391EF560" w14:textId="77777777" w:rsidTr="00DF4A0D">
        <w:trPr>
          <w:cantSplit/>
          <w:trHeight w:val="253"/>
        </w:trPr>
        <w:tc>
          <w:tcPr>
            <w:tcW w:w="6814" w:type="dxa"/>
            <w:tcBorders>
              <w:top w:val="nil"/>
              <w:left w:val="nil"/>
              <w:bottom w:val="nil"/>
              <w:right w:val="nil"/>
            </w:tcBorders>
            <w:vAlign w:val="bottom"/>
          </w:tcPr>
          <w:p w14:paraId="2FA6F70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i/>
                <w:iCs/>
                <w:sz w:val="18"/>
                <w:lang w:val="en-GB" w:eastAsia="en-GB" w:bidi="ar-SA"/>
              </w:rPr>
              <w:t>Nickel and Manganese segment</w:t>
            </w:r>
            <w:r w:rsidRPr="00571974">
              <w:rPr>
                <w:b/>
                <w:bCs/>
                <w:i/>
                <w:iCs/>
                <w:sz w:val="18"/>
                <w:vertAlign w:val="superscript"/>
                <w:lang w:val="en-GB" w:eastAsia="en-GB" w:bidi="ar-SA"/>
              </w:rPr>
              <w:t>(1)</w:t>
            </w:r>
          </w:p>
        </w:tc>
        <w:tc>
          <w:tcPr>
            <w:tcW w:w="1086" w:type="dxa"/>
            <w:tcBorders>
              <w:top w:val="nil"/>
              <w:left w:val="nil"/>
              <w:bottom w:val="nil"/>
              <w:right w:val="nil"/>
            </w:tcBorders>
            <w:vAlign w:val="bottom"/>
          </w:tcPr>
          <w:p w14:paraId="33602A6D"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1086" w:type="dxa"/>
            <w:tcBorders>
              <w:top w:val="nil"/>
              <w:left w:val="nil"/>
              <w:bottom w:val="nil"/>
              <w:right w:val="nil"/>
            </w:tcBorders>
            <w:vAlign w:val="bottom"/>
          </w:tcPr>
          <w:p w14:paraId="0B4871BD"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758" w:type="dxa"/>
            <w:tcBorders>
              <w:top w:val="nil"/>
              <w:left w:val="nil"/>
              <w:bottom w:val="nil"/>
              <w:right w:val="nil"/>
            </w:tcBorders>
            <w:vAlign w:val="bottom"/>
          </w:tcPr>
          <w:p w14:paraId="754026D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7CC57686" w14:textId="77777777" w:rsidTr="00DF4A0D">
        <w:trPr>
          <w:cantSplit/>
          <w:trHeight w:val="273"/>
        </w:trPr>
        <w:tc>
          <w:tcPr>
            <w:tcW w:w="6814" w:type="dxa"/>
            <w:tcBorders>
              <w:top w:val="nil"/>
              <w:left w:val="nil"/>
              <w:bottom w:val="nil"/>
              <w:right w:val="nil"/>
            </w:tcBorders>
            <w:vAlign w:val="bottom"/>
          </w:tcPr>
          <w:p w14:paraId="73B833AC" w14:textId="77777777" w:rsidR="00E93D9C" w:rsidRPr="00571974" w:rsidRDefault="003D4D89" w:rsidP="00DF4A0D">
            <w:pPr>
              <w:tabs>
                <w:tab w:val="right" w:leader="dot" w:pos="5892"/>
              </w:tabs>
              <w:suppressAutoHyphens/>
              <w:ind w:left="200" w:hanging="200"/>
              <w:rPr>
                <w:sz w:val="18"/>
                <w:lang w:val="en-GB" w:eastAsia="en-GB" w:bidi="ar-SA"/>
              </w:rPr>
            </w:pPr>
            <w:r w:rsidRPr="00571974">
              <w:rPr>
                <w:bCs/>
                <w:sz w:val="18"/>
                <w:lang w:val="en-GB" w:eastAsia="en-GB" w:bidi="ar-SA"/>
              </w:rPr>
              <w:t>Nickel</w:t>
            </w:r>
            <w:r w:rsidRPr="00571974">
              <w:rPr>
                <w:sz w:val="18"/>
                <w:lang w:val="en-GB" w:eastAsia="en-GB" w:bidi="ar-SA"/>
              </w:rPr>
              <w:tab/>
            </w:r>
          </w:p>
        </w:tc>
        <w:tc>
          <w:tcPr>
            <w:tcW w:w="1086" w:type="dxa"/>
            <w:tcBorders>
              <w:top w:val="nil"/>
              <w:left w:val="nil"/>
              <w:bottom w:val="nil"/>
              <w:right w:val="nil"/>
            </w:tcBorders>
            <w:vAlign w:val="bottom"/>
          </w:tcPr>
          <w:p w14:paraId="7CA3387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43,800</w:t>
            </w:r>
          </w:p>
        </w:tc>
        <w:tc>
          <w:tcPr>
            <w:tcW w:w="1086" w:type="dxa"/>
            <w:tcBorders>
              <w:top w:val="nil"/>
              <w:left w:val="nil"/>
              <w:bottom w:val="nil"/>
              <w:right w:val="nil"/>
            </w:tcBorders>
            <w:vAlign w:val="bottom"/>
          </w:tcPr>
          <w:p w14:paraId="1CBAAF3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42,300</w:t>
            </w:r>
          </w:p>
        </w:tc>
        <w:tc>
          <w:tcPr>
            <w:tcW w:w="758" w:type="dxa"/>
            <w:tcBorders>
              <w:top w:val="nil"/>
              <w:left w:val="nil"/>
              <w:bottom w:val="nil"/>
              <w:right w:val="nil"/>
            </w:tcBorders>
            <w:vAlign w:val="bottom"/>
          </w:tcPr>
          <w:p w14:paraId="40E06D1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42.600</w:t>
            </w:r>
          </w:p>
        </w:tc>
      </w:tr>
      <w:tr w:rsidR="002228B8" w14:paraId="7C2A27AE" w14:textId="77777777" w:rsidTr="00DF4A0D">
        <w:trPr>
          <w:cantSplit/>
          <w:trHeight w:val="273"/>
        </w:trPr>
        <w:tc>
          <w:tcPr>
            <w:tcW w:w="6814" w:type="dxa"/>
            <w:tcBorders>
              <w:top w:val="nil"/>
              <w:left w:val="nil"/>
              <w:bottom w:val="nil"/>
              <w:right w:val="nil"/>
            </w:tcBorders>
          </w:tcPr>
          <w:p w14:paraId="3E60DFDA" w14:textId="77777777" w:rsidR="00E93D9C" w:rsidRPr="00571974" w:rsidRDefault="003D4D89" w:rsidP="00DF4A0D">
            <w:pPr>
              <w:tabs>
                <w:tab w:val="right" w:leader="dot" w:pos="5892"/>
              </w:tabs>
              <w:suppressAutoHyphens/>
              <w:ind w:left="200" w:hanging="200"/>
              <w:rPr>
                <w:bCs/>
                <w:sz w:val="18"/>
                <w:lang w:val="en-GB" w:eastAsia="en-GB" w:bidi="ar-SA"/>
              </w:rPr>
            </w:pPr>
            <w:r w:rsidRPr="00571974">
              <w:rPr>
                <w:sz w:val="18"/>
                <w:szCs w:val="18"/>
                <w:lang w:val="en-GB" w:eastAsia="en-GB" w:bidi="ar-SA"/>
              </w:rPr>
              <w:t>Manganese ore</w:t>
            </w:r>
            <w:r w:rsidRPr="00571974">
              <w:rPr>
                <w:sz w:val="18"/>
                <w:szCs w:val="18"/>
                <w:vertAlign w:val="superscript"/>
                <w:lang w:val="en-GB" w:eastAsia="en-GB" w:bidi="ar-SA"/>
              </w:rPr>
              <w:t>(2)</w:t>
            </w:r>
            <w:r w:rsidRPr="00571974">
              <w:rPr>
                <w:sz w:val="18"/>
                <w:szCs w:val="18"/>
                <w:lang w:val="en-GB" w:eastAsia="en-GB" w:bidi="ar-SA"/>
              </w:rPr>
              <w:tab/>
            </w:r>
          </w:p>
        </w:tc>
        <w:tc>
          <w:tcPr>
            <w:tcW w:w="1086" w:type="dxa"/>
            <w:tcBorders>
              <w:top w:val="nil"/>
              <w:left w:val="nil"/>
              <w:bottom w:val="nil"/>
              <w:right w:val="nil"/>
            </w:tcBorders>
            <w:vAlign w:val="bottom"/>
          </w:tcPr>
          <w:p w14:paraId="25787AB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szCs w:val="18"/>
                <w:lang w:val="en-GB" w:eastAsia="en-GB" w:bidi="ar-SA"/>
              </w:rPr>
              <w:t>3,486</w:t>
            </w:r>
          </w:p>
        </w:tc>
        <w:tc>
          <w:tcPr>
            <w:tcW w:w="1086" w:type="dxa"/>
            <w:tcBorders>
              <w:top w:val="nil"/>
              <w:left w:val="nil"/>
              <w:bottom w:val="nil"/>
              <w:right w:val="nil"/>
            </w:tcBorders>
            <w:vAlign w:val="bottom"/>
          </w:tcPr>
          <w:p w14:paraId="1A07E9F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3,607</w:t>
            </w:r>
          </w:p>
        </w:tc>
        <w:tc>
          <w:tcPr>
            <w:tcW w:w="758" w:type="dxa"/>
            <w:tcBorders>
              <w:top w:val="nil"/>
              <w:left w:val="nil"/>
              <w:bottom w:val="nil"/>
              <w:right w:val="nil"/>
            </w:tcBorders>
            <w:vAlign w:val="bottom"/>
          </w:tcPr>
          <w:p w14:paraId="3CA7606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3,513</w:t>
            </w:r>
          </w:p>
        </w:tc>
      </w:tr>
      <w:tr w:rsidR="002228B8" w14:paraId="14BEBC0A" w14:textId="77777777" w:rsidTr="00DF4A0D">
        <w:trPr>
          <w:cantSplit/>
          <w:trHeight w:val="273"/>
        </w:trPr>
        <w:tc>
          <w:tcPr>
            <w:tcW w:w="6814" w:type="dxa"/>
            <w:tcBorders>
              <w:top w:val="nil"/>
              <w:left w:val="nil"/>
              <w:bottom w:val="nil"/>
              <w:right w:val="nil"/>
            </w:tcBorders>
          </w:tcPr>
          <w:p w14:paraId="78413D5C" w14:textId="77777777" w:rsidR="00E93D9C" w:rsidRPr="00571974" w:rsidRDefault="003D4D89" w:rsidP="00DF4A0D">
            <w:pPr>
              <w:tabs>
                <w:tab w:val="right" w:leader="dot" w:pos="5892"/>
              </w:tabs>
              <w:suppressAutoHyphens/>
              <w:ind w:left="200" w:hanging="200"/>
              <w:rPr>
                <w:bCs/>
                <w:sz w:val="18"/>
                <w:lang w:val="en-GB" w:eastAsia="en-GB" w:bidi="ar-SA"/>
              </w:rPr>
            </w:pPr>
            <w:r w:rsidRPr="00571974">
              <w:rPr>
                <w:sz w:val="18"/>
                <w:szCs w:val="18"/>
                <w:lang w:val="en-GB" w:eastAsia="en-GB" w:bidi="ar-SA"/>
              </w:rPr>
              <w:t>Manganese alloys</w:t>
            </w:r>
            <w:r w:rsidRPr="00571974">
              <w:rPr>
                <w:sz w:val="18"/>
                <w:szCs w:val="18"/>
                <w:vertAlign w:val="superscript"/>
                <w:lang w:val="en-GB" w:eastAsia="en-GB" w:bidi="ar-SA"/>
              </w:rPr>
              <w:t>(2)(3)</w:t>
            </w:r>
            <w:r w:rsidRPr="00571974">
              <w:rPr>
                <w:sz w:val="18"/>
                <w:szCs w:val="18"/>
                <w:lang w:val="en-GB" w:eastAsia="en-GB" w:bidi="ar-SA"/>
              </w:rPr>
              <w:tab/>
            </w:r>
          </w:p>
        </w:tc>
        <w:tc>
          <w:tcPr>
            <w:tcW w:w="1086" w:type="dxa"/>
            <w:tcBorders>
              <w:top w:val="nil"/>
              <w:left w:val="nil"/>
              <w:bottom w:val="nil"/>
              <w:right w:val="nil"/>
            </w:tcBorders>
            <w:vAlign w:val="bottom"/>
          </w:tcPr>
          <w:p w14:paraId="79DBFC1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szCs w:val="18"/>
                <w:lang w:val="en-GB" w:eastAsia="en-GB" w:bidi="ar-SA"/>
              </w:rPr>
              <w:t>149</w:t>
            </w:r>
          </w:p>
        </w:tc>
        <w:tc>
          <w:tcPr>
            <w:tcW w:w="1086" w:type="dxa"/>
            <w:tcBorders>
              <w:top w:val="nil"/>
              <w:left w:val="nil"/>
              <w:bottom w:val="nil"/>
              <w:right w:val="nil"/>
            </w:tcBorders>
            <w:vAlign w:val="bottom"/>
          </w:tcPr>
          <w:p w14:paraId="0761E59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157</w:t>
            </w:r>
          </w:p>
        </w:tc>
        <w:tc>
          <w:tcPr>
            <w:tcW w:w="758" w:type="dxa"/>
            <w:tcBorders>
              <w:top w:val="nil"/>
              <w:left w:val="nil"/>
              <w:bottom w:val="nil"/>
              <w:right w:val="nil"/>
            </w:tcBorders>
            <w:vAlign w:val="bottom"/>
          </w:tcPr>
          <w:p w14:paraId="51B12AA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137</w:t>
            </w:r>
          </w:p>
        </w:tc>
      </w:tr>
    </w:tbl>
    <w:p w14:paraId="74407DE8" w14:textId="77777777" w:rsidR="00E93D9C" w:rsidRPr="00571974" w:rsidRDefault="00836D74" w:rsidP="00E93D9C">
      <w:pPr>
        <w:tabs>
          <w:tab w:val="left" w:pos="-720"/>
          <w:tab w:val="left" w:pos="0"/>
        </w:tabs>
        <w:suppressAutoHyphens/>
        <w:rPr>
          <w:sz w:val="16"/>
          <w:szCs w:val="18"/>
          <w:lang w:val="en-GB"/>
        </w:rPr>
      </w:pPr>
      <w:r>
        <w:rPr>
          <w:lang w:val="en-GB"/>
        </w:rPr>
        <w:pict w14:anchorId="7E3383A3">
          <v:rect id="_x0000_i1038" style="width:184.5pt;height:1pt" o:hrpct="250" o:hrstd="t" o:hrnoshade="t" o:hr="t" fillcolor="black" stroked="f"/>
        </w:pict>
      </w:r>
    </w:p>
    <w:tbl>
      <w:tblPr>
        <w:tblW w:w="5001" w:type="pct"/>
        <w:tblLayout w:type="fixed"/>
        <w:tblCellMar>
          <w:left w:w="72" w:type="dxa"/>
          <w:right w:w="72" w:type="dxa"/>
        </w:tblCellMar>
        <w:tblLook w:val="0000" w:firstRow="0" w:lastRow="0" w:firstColumn="0" w:lastColumn="0" w:noHBand="0" w:noVBand="0"/>
      </w:tblPr>
      <w:tblGrid>
        <w:gridCol w:w="6543"/>
        <w:gridCol w:w="2815"/>
      </w:tblGrid>
      <w:tr w:rsidR="002228B8" w14:paraId="5BA6A3D4" w14:textId="77777777" w:rsidTr="00DF4A0D">
        <w:trPr>
          <w:cantSplit/>
          <w:trHeight w:val="831"/>
        </w:trPr>
        <w:tc>
          <w:tcPr>
            <w:tcW w:w="3496" w:type="pct"/>
            <w:tcBorders>
              <w:top w:val="nil"/>
              <w:left w:val="nil"/>
              <w:bottom w:val="nil"/>
              <w:right w:val="nil"/>
            </w:tcBorders>
            <w:vAlign w:val="bottom"/>
          </w:tcPr>
          <w:p w14:paraId="692B28E9" w14:textId="0D917AC4" w:rsidR="00E93D9C" w:rsidRPr="00571974" w:rsidRDefault="003D4D89" w:rsidP="003D4D89">
            <w:pPr>
              <w:pStyle w:val="ListParagraph"/>
              <w:widowControl/>
              <w:numPr>
                <w:ilvl w:val="0"/>
                <w:numId w:val="41"/>
              </w:numPr>
              <w:tabs>
                <w:tab w:val="left" w:pos="-720"/>
                <w:tab w:val="left" w:pos="0"/>
              </w:tabs>
              <w:suppressAutoHyphens/>
              <w:spacing w:after="240"/>
              <w:rPr>
                <w:sz w:val="16"/>
                <w:szCs w:val="18"/>
                <w:lang w:val="en-GB" w:eastAsia="en-GB" w:bidi="ar-SA"/>
              </w:rPr>
            </w:pPr>
            <w:r w:rsidRPr="00571974">
              <w:rPr>
                <w:sz w:val="16"/>
                <w:szCs w:val="18"/>
                <w:lang w:val="en-GB" w:eastAsia="en-GB" w:bidi="ar-SA"/>
              </w:rPr>
              <w:t>Excludes Anglo American Platinum</w:t>
            </w:r>
            <w:r w:rsidR="00A311D8">
              <w:rPr>
                <w:sz w:val="16"/>
                <w:szCs w:val="18"/>
                <w:lang w:val="en-GB" w:eastAsia="en-GB" w:bidi="ar-SA"/>
              </w:rPr>
              <w:t>’</w:t>
            </w:r>
            <w:r w:rsidRPr="00571974">
              <w:rPr>
                <w:sz w:val="16"/>
                <w:szCs w:val="18"/>
                <w:lang w:val="en-GB" w:eastAsia="en-GB" w:bidi="ar-SA"/>
              </w:rPr>
              <w:t>s nickel production.</w:t>
            </w:r>
          </w:p>
          <w:p w14:paraId="37CD67C2" w14:textId="77777777" w:rsidR="00E93D9C" w:rsidRPr="00571974" w:rsidRDefault="003D4D89" w:rsidP="003D4D89">
            <w:pPr>
              <w:pStyle w:val="ListParagraph"/>
              <w:widowControl/>
              <w:numPr>
                <w:ilvl w:val="0"/>
                <w:numId w:val="41"/>
              </w:numPr>
              <w:tabs>
                <w:tab w:val="left" w:pos="-720"/>
                <w:tab w:val="left" w:pos="0"/>
              </w:tabs>
              <w:suppressAutoHyphens/>
              <w:spacing w:after="240"/>
              <w:rPr>
                <w:sz w:val="16"/>
                <w:szCs w:val="18"/>
                <w:lang w:val="en-GB" w:eastAsia="en-GB" w:bidi="ar-SA"/>
              </w:rPr>
            </w:pPr>
            <w:r w:rsidRPr="00571974">
              <w:rPr>
                <w:sz w:val="16"/>
                <w:szCs w:val="18"/>
                <w:lang w:val="en-GB" w:eastAsia="en-GB" w:bidi="ar-SA"/>
              </w:rPr>
              <w:t>Saleable production.</w:t>
            </w:r>
          </w:p>
          <w:p w14:paraId="5E1253A5" w14:textId="77777777" w:rsidR="00E93D9C" w:rsidRPr="00571974" w:rsidRDefault="003D4D89" w:rsidP="003D4D89">
            <w:pPr>
              <w:pStyle w:val="ListParagraph"/>
              <w:widowControl/>
              <w:numPr>
                <w:ilvl w:val="0"/>
                <w:numId w:val="41"/>
              </w:numPr>
              <w:tabs>
                <w:tab w:val="left" w:pos="-720"/>
                <w:tab w:val="left" w:pos="0"/>
              </w:tabs>
              <w:suppressAutoHyphens/>
              <w:spacing w:after="240"/>
              <w:rPr>
                <w:b/>
                <w:bCs/>
                <w:sz w:val="18"/>
                <w:szCs w:val="18"/>
                <w:lang w:val="en-GB" w:eastAsia="en-GB" w:bidi="ar-SA"/>
              </w:rPr>
            </w:pPr>
            <w:r w:rsidRPr="00571974">
              <w:rPr>
                <w:sz w:val="16"/>
                <w:szCs w:val="18"/>
                <w:lang w:val="en-GB" w:eastAsia="en-GB" w:bidi="ar-SA"/>
              </w:rPr>
              <w:t>Production includes medium carbon ferro-manganese.</w:t>
            </w:r>
            <w:r w:rsidRPr="00571974">
              <w:rPr>
                <w:lang w:val="en-GB" w:eastAsia="en-GB" w:bidi="ar-SA"/>
              </w:rPr>
              <w:t xml:space="preserve"> </w:t>
            </w:r>
          </w:p>
        </w:tc>
        <w:tc>
          <w:tcPr>
            <w:tcW w:w="1504" w:type="pct"/>
            <w:tcBorders>
              <w:top w:val="nil"/>
              <w:left w:val="nil"/>
              <w:bottom w:val="nil"/>
              <w:right w:val="nil"/>
            </w:tcBorders>
            <w:vAlign w:val="bottom"/>
          </w:tcPr>
          <w:p w14:paraId="001FB670" w14:textId="77777777" w:rsidR="00E93D9C" w:rsidRPr="00571974" w:rsidRDefault="00E93D9C"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r>
    </w:tbl>
    <w:p w14:paraId="22E7DE40" w14:textId="77777777" w:rsidR="00E93D9C" w:rsidRPr="00571974" w:rsidRDefault="00E93D9C" w:rsidP="00E93D9C">
      <w:pPr>
        <w:rPr>
          <w:lang w:val="en-GB"/>
        </w:rPr>
      </w:pPr>
    </w:p>
    <w:p w14:paraId="34460422" w14:textId="77777777" w:rsidR="00E93D9C" w:rsidRPr="00571974" w:rsidRDefault="003D4D89" w:rsidP="00E93D9C">
      <w:pPr>
        <w:rPr>
          <w:lang w:val="en-GB"/>
        </w:rPr>
      </w:pPr>
      <w:r w:rsidRPr="00571974">
        <w:rPr>
          <w:lang w:val="en-GB"/>
        </w:rPr>
        <w:br w:type="page"/>
      </w:r>
    </w:p>
    <w:p w14:paraId="7D195FBE" w14:textId="3E865ACF" w:rsidR="00542FF4" w:rsidRPr="00571974" w:rsidRDefault="003D4D89" w:rsidP="00542FF4">
      <w:pPr>
        <w:pStyle w:val="Heading1"/>
        <w:rPr>
          <w:lang w:val="en-GB"/>
        </w:rPr>
      </w:pPr>
      <w:bookmarkStart w:id="63" w:name="_Toc36388962"/>
      <w:bookmarkStart w:id="64" w:name="_Toc349210423"/>
      <w:bookmarkEnd w:id="60"/>
      <w:bookmarkEnd w:id="61"/>
      <w:r w:rsidRPr="00571974">
        <w:rPr>
          <w:lang w:val="en-GB"/>
        </w:rPr>
        <w:lastRenderedPageBreak/>
        <w:t>INDUSTRY OVERVIEW</w:t>
      </w:r>
      <w:bookmarkEnd w:id="63"/>
    </w:p>
    <w:p w14:paraId="517B0298" w14:textId="77777777" w:rsidR="00542FF4" w:rsidRPr="00571974" w:rsidRDefault="003D4D89" w:rsidP="00542FF4">
      <w:pPr>
        <w:pStyle w:val="Heading2"/>
        <w:rPr>
          <w:lang w:val="en-GB"/>
        </w:rPr>
      </w:pPr>
      <w:r w:rsidRPr="00571974">
        <w:rPr>
          <w:lang w:val="en-GB"/>
        </w:rPr>
        <w:t>Global Markets</w:t>
      </w:r>
    </w:p>
    <w:p w14:paraId="771F63BF" w14:textId="77777777" w:rsidR="00CA7CC7" w:rsidRPr="00571974" w:rsidRDefault="003D4D89" w:rsidP="007B1404">
      <w:pPr>
        <w:pStyle w:val="Heading3"/>
        <w:rPr>
          <w:lang w:val="en-GB"/>
        </w:rPr>
      </w:pPr>
      <w:r w:rsidRPr="00571974">
        <w:rPr>
          <w:lang w:val="en-GB"/>
        </w:rPr>
        <w:t xml:space="preserve">Global growth </w:t>
      </w:r>
    </w:p>
    <w:p w14:paraId="155618F0" w14:textId="67FD9FB7" w:rsidR="00A06258" w:rsidRDefault="003D4D89" w:rsidP="00A06258">
      <w:pPr>
        <w:pStyle w:val="BodyText"/>
        <w:widowControl/>
        <w:autoSpaceDE/>
        <w:autoSpaceDN/>
        <w:adjustRightInd/>
        <w:ind w:firstLine="360"/>
        <w:rPr>
          <w:lang w:val="en-GB"/>
        </w:rPr>
      </w:pPr>
      <w:r w:rsidRPr="00571974">
        <w:rPr>
          <w:lang w:val="en-GB"/>
        </w:rPr>
        <w:t xml:space="preserve">For 2019, the IMF measured global growth in GDP at 2.8%, lower than the 3.6% recorded in 2018. Growth was </w:t>
      </w:r>
      <w:r w:rsidR="00546538">
        <w:rPr>
          <w:lang w:val="en-GB"/>
        </w:rPr>
        <w:t>adversely affected</w:t>
      </w:r>
      <w:r w:rsidR="00546538" w:rsidRPr="00571974">
        <w:rPr>
          <w:lang w:val="en-GB"/>
        </w:rPr>
        <w:t xml:space="preserve"> </w:t>
      </w:r>
      <w:r w:rsidRPr="00571974">
        <w:rPr>
          <w:lang w:val="en-GB"/>
        </w:rPr>
        <w:t>by escalating trade disputes, as well as global geo-political tensions. While many commodity prices were negatively affected, a number of Anglo American</w:t>
      </w:r>
      <w:r w:rsidR="00A311D8">
        <w:rPr>
          <w:lang w:val="en-GB"/>
        </w:rPr>
        <w:t>’</w:t>
      </w:r>
      <w:r w:rsidRPr="00571974">
        <w:rPr>
          <w:lang w:val="en-GB"/>
        </w:rPr>
        <w:t>s products performed better than in 2018. Platinum group metals</w:t>
      </w:r>
      <w:r w:rsidR="00A311D8">
        <w:rPr>
          <w:lang w:val="en-GB"/>
        </w:rPr>
        <w:t>’</w:t>
      </w:r>
      <w:r w:rsidRPr="00571974">
        <w:rPr>
          <w:lang w:val="en-GB"/>
        </w:rPr>
        <w:t xml:space="preserve"> exposure to stricter environmental regulations in the automotive sector and supply-s</w:t>
      </w:r>
      <w:r w:rsidR="00F3734B">
        <w:rPr>
          <w:lang w:val="en-GB"/>
        </w:rPr>
        <w:t xml:space="preserve">ide developments in nickel </w:t>
      </w:r>
      <w:r w:rsidRPr="00571974">
        <w:rPr>
          <w:lang w:val="en-GB"/>
        </w:rPr>
        <w:t>were supportive factors for these commodities.</w:t>
      </w:r>
      <w:r w:rsidR="00A06258">
        <w:rPr>
          <w:lang w:val="en-GB"/>
        </w:rPr>
        <w:t xml:space="preserve"> </w:t>
      </w:r>
    </w:p>
    <w:p w14:paraId="567742D7" w14:textId="6D085B2F" w:rsidR="00F3734B" w:rsidRPr="00571974" w:rsidRDefault="00A06258" w:rsidP="00A06258">
      <w:pPr>
        <w:pStyle w:val="BodyText"/>
        <w:widowControl/>
        <w:autoSpaceDE/>
        <w:autoSpaceDN/>
        <w:adjustRightInd/>
        <w:ind w:firstLine="360"/>
        <w:rPr>
          <w:lang w:val="en-GB"/>
        </w:rPr>
      </w:pPr>
      <w:r>
        <w:rPr>
          <w:lang w:val="en-GB"/>
        </w:rPr>
        <w:t>P</w:t>
      </w:r>
      <w:r w:rsidR="00F3734B" w:rsidRPr="00571974">
        <w:rPr>
          <w:lang w:val="en-GB"/>
        </w:rPr>
        <w:t>lease</w:t>
      </w:r>
      <w:r>
        <w:rPr>
          <w:lang w:val="en-GB"/>
        </w:rPr>
        <w:t xml:space="preserve"> also</w:t>
      </w:r>
      <w:r w:rsidR="00F3734B" w:rsidRPr="00571974">
        <w:rPr>
          <w:lang w:val="en-GB"/>
        </w:rPr>
        <w:t xml:space="preserve"> see </w:t>
      </w:r>
      <w:r w:rsidR="00A311D8">
        <w:rPr>
          <w:lang w:val="en-GB"/>
        </w:rPr>
        <w:t>“</w:t>
      </w:r>
      <w:r w:rsidR="00F3734B">
        <w:rPr>
          <w:lang w:val="en-GB"/>
        </w:rPr>
        <w:t>Recent Developments</w:t>
      </w:r>
      <w:r w:rsidR="00B603E9">
        <w:rPr>
          <w:lang w:val="en-GB"/>
        </w:rPr>
        <w:t>—COVID-19 Pandemic</w:t>
      </w:r>
      <w:r w:rsidR="00A311D8">
        <w:rPr>
          <w:lang w:val="en-GB"/>
        </w:rPr>
        <w:t>”</w:t>
      </w:r>
      <w:r w:rsidR="00B603E9">
        <w:rPr>
          <w:lang w:val="en-GB"/>
        </w:rPr>
        <w:t xml:space="preserve"> and</w:t>
      </w:r>
      <w:r w:rsidR="00F3734B">
        <w:rPr>
          <w:lang w:val="en-GB"/>
        </w:rPr>
        <w:t xml:space="preserve"> </w:t>
      </w:r>
      <w:r w:rsidR="00A311D8">
        <w:rPr>
          <w:lang w:val="en-GB"/>
        </w:rPr>
        <w:t>“</w:t>
      </w:r>
      <w:r w:rsidR="00F3734B">
        <w:rPr>
          <w:lang w:val="en-GB"/>
        </w:rPr>
        <w:t>Risk Factors—The emerging</w:t>
      </w:r>
      <w:r w:rsidR="00F3734B" w:rsidRPr="00F3734B">
        <w:t xml:space="preserve"> </w:t>
      </w:r>
      <w:r w:rsidR="00F3734B" w:rsidRPr="00F3734B">
        <w:rPr>
          <w:lang w:val="en-GB"/>
        </w:rPr>
        <w:t>COVID-19 global pandemic has had a negative impact on worldwide economic activity and is likely to adversely affect our business</w:t>
      </w:r>
      <w:r w:rsidR="00A311D8">
        <w:rPr>
          <w:lang w:val="en-GB"/>
        </w:rPr>
        <w:t>”</w:t>
      </w:r>
      <w:r w:rsidR="002A43AA" w:rsidRPr="00F3734B">
        <w:rPr>
          <w:lang w:val="en-GB"/>
        </w:rPr>
        <w:t>.</w:t>
      </w:r>
    </w:p>
    <w:p w14:paraId="36C61A1E" w14:textId="77777777" w:rsidR="00CA7CC7" w:rsidRPr="00571974" w:rsidRDefault="003D4D89" w:rsidP="007B1404">
      <w:pPr>
        <w:pStyle w:val="Heading3"/>
        <w:rPr>
          <w:lang w:val="en-GB"/>
        </w:rPr>
      </w:pPr>
      <w:r w:rsidRPr="00571974">
        <w:rPr>
          <w:lang w:val="en-GB"/>
        </w:rPr>
        <w:t xml:space="preserve">Trade and Politics </w:t>
      </w:r>
    </w:p>
    <w:p w14:paraId="68E4D227" w14:textId="2BA3DA9E" w:rsidR="00371961" w:rsidRPr="00571974" w:rsidRDefault="003D4D89" w:rsidP="00932961">
      <w:pPr>
        <w:pStyle w:val="BodyText"/>
        <w:widowControl/>
        <w:autoSpaceDE/>
        <w:autoSpaceDN/>
        <w:adjustRightInd/>
        <w:ind w:firstLine="360"/>
        <w:rPr>
          <w:lang w:val="en-GB"/>
        </w:rPr>
      </w:pPr>
      <w:r w:rsidRPr="00571974">
        <w:rPr>
          <w:lang w:val="en-GB"/>
        </w:rPr>
        <w:t>The U</w:t>
      </w:r>
      <w:r w:rsidR="007750E3">
        <w:rPr>
          <w:lang w:val="en-GB"/>
        </w:rPr>
        <w:t>.</w:t>
      </w:r>
      <w:r w:rsidRPr="00571974">
        <w:rPr>
          <w:lang w:val="en-GB"/>
        </w:rPr>
        <w:t>S</w:t>
      </w:r>
      <w:r w:rsidR="007750E3">
        <w:rPr>
          <w:lang w:val="en-GB"/>
        </w:rPr>
        <w:t>.</w:t>
      </w:r>
      <w:r w:rsidRPr="00571974">
        <w:rPr>
          <w:lang w:val="en-GB"/>
        </w:rPr>
        <w:t>-China trade dispute escalated further in 2019 and continued to weigh on world economic growth as the effect of higher trade barriers and the resultant disruption to global supply chains led to a slowdown in trade and industrial productivity. Despite the ongoing uncertainty over the USMCA trade agreement (which replaced the previous NAFTA deal between the U</w:t>
      </w:r>
      <w:r w:rsidR="005E7CB3">
        <w:rPr>
          <w:lang w:val="en-GB"/>
        </w:rPr>
        <w:t>.</w:t>
      </w:r>
      <w:r w:rsidRPr="00571974">
        <w:rPr>
          <w:lang w:val="en-GB"/>
        </w:rPr>
        <w:t>S</w:t>
      </w:r>
      <w:r w:rsidR="005E7CB3">
        <w:rPr>
          <w:lang w:val="en-GB"/>
        </w:rPr>
        <w:t>.</w:t>
      </w:r>
      <w:r w:rsidRPr="00571974">
        <w:rPr>
          <w:lang w:val="en-GB"/>
        </w:rPr>
        <w:t>, Canada and Mexico), and headwinds resulting from the fading fiscal stimulus and ongoing trade tensions, the U</w:t>
      </w:r>
      <w:r w:rsidR="00CF35DE">
        <w:rPr>
          <w:lang w:val="en-GB"/>
        </w:rPr>
        <w:t>.</w:t>
      </w:r>
      <w:r w:rsidRPr="00571974">
        <w:rPr>
          <w:lang w:val="en-GB"/>
        </w:rPr>
        <w:t>S</w:t>
      </w:r>
      <w:r w:rsidR="00CF35DE">
        <w:rPr>
          <w:lang w:val="en-GB"/>
        </w:rPr>
        <w:t>.</w:t>
      </w:r>
      <w:r w:rsidRPr="00571974">
        <w:rPr>
          <w:lang w:val="en-GB"/>
        </w:rPr>
        <w:t xml:space="preserve"> economy remained buoyant, growing at 2.3% for the year (2018: 2.9%). </w:t>
      </w:r>
    </w:p>
    <w:p w14:paraId="2D5F1988" w14:textId="78A0971D" w:rsidR="00371961" w:rsidRPr="00571974" w:rsidRDefault="003D4D89" w:rsidP="00932961">
      <w:pPr>
        <w:pStyle w:val="BodyText"/>
        <w:widowControl/>
        <w:autoSpaceDE/>
        <w:autoSpaceDN/>
        <w:adjustRightInd/>
        <w:ind w:firstLine="360"/>
        <w:rPr>
          <w:lang w:val="en-GB"/>
        </w:rPr>
      </w:pPr>
      <w:r w:rsidRPr="00571974">
        <w:rPr>
          <w:lang w:val="en-GB"/>
        </w:rPr>
        <w:t>In China, slowing industrial output, which reached a 17-year low of 5% in May 2019, and subdued power-generation growth, were further indicators of slowing manufacturing. Commodity demand remained resilient,</w:t>
      </w:r>
      <w:r w:rsidR="00932961" w:rsidRPr="00571974">
        <w:rPr>
          <w:lang w:val="en-GB"/>
        </w:rPr>
        <w:t xml:space="preserve"> </w:t>
      </w:r>
      <w:r w:rsidRPr="00571974">
        <w:rPr>
          <w:lang w:val="en-GB"/>
        </w:rPr>
        <w:t>however, supported by government policy stimulus and a strong construction sector. In aggregate, Chinese GDP is estimated to have grown by 6.1% in 2019 (2018: 6.6%),</w:t>
      </w:r>
      <w:r w:rsidR="002C1CF9">
        <w:rPr>
          <w:lang w:val="en-GB"/>
        </w:rPr>
        <w:t xml:space="preserve"> </w:t>
      </w:r>
      <w:r w:rsidRPr="00571974">
        <w:rPr>
          <w:lang w:val="en-GB"/>
        </w:rPr>
        <w:t xml:space="preserve">and is expected to slow down further in 2020. </w:t>
      </w:r>
      <w:r w:rsidR="00E54DA4">
        <w:rPr>
          <w:lang w:val="en-GB"/>
        </w:rPr>
        <w:t xml:space="preserve">See </w:t>
      </w:r>
      <w:r w:rsidR="00A311D8">
        <w:rPr>
          <w:lang w:val="en-GB"/>
        </w:rPr>
        <w:t>“</w:t>
      </w:r>
      <w:r w:rsidR="00E54DA4">
        <w:rPr>
          <w:lang w:val="en-GB"/>
        </w:rPr>
        <w:t>Risk Factors—</w:t>
      </w:r>
      <w:r w:rsidR="00E54DA4" w:rsidRPr="00E54DA4">
        <w:rPr>
          <w:lang w:val="en-GB"/>
        </w:rPr>
        <w:t>Slower levels of growth in Chinese demand for commodities may negatively impact pricing</w:t>
      </w:r>
      <w:r w:rsidR="00A311D8">
        <w:rPr>
          <w:lang w:val="en-GB"/>
        </w:rPr>
        <w:t>”</w:t>
      </w:r>
      <w:r w:rsidR="00E54DA4" w:rsidRPr="00E54DA4">
        <w:rPr>
          <w:lang w:val="en-GB"/>
        </w:rPr>
        <w:t>.</w:t>
      </w:r>
    </w:p>
    <w:p w14:paraId="34633772" w14:textId="71ED9922" w:rsidR="00371961" w:rsidRPr="00571974" w:rsidRDefault="003D4D89" w:rsidP="00932961">
      <w:pPr>
        <w:pStyle w:val="BodyText"/>
        <w:widowControl/>
        <w:autoSpaceDE/>
        <w:autoSpaceDN/>
        <w:adjustRightInd/>
        <w:ind w:firstLine="360"/>
        <w:rPr>
          <w:lang w:val="en-GB"/>
        </w:rPr>
      </w:pPr>
      <w:r w:rsidRPr="00571974">
        <w:rPr>
          <w:lang w:val="en-GB"/>
        </w:rPr>
        <w:t>Other Asian countries have also been exposed to the adverse economic impacts of reduced trade, owing to their high export orientation and strong trade integration with China. Nevertheless, domestic demand in southeast Asia has been supported by accommodative regional macro-economic policies. The potential for trade tariffs being implemented on the region</w:t>
      </w:r>
      <w:r w:rsidR="00A311D8">
        <w:rPr>
          <w:lang w:val="en-GB"/>
        </w:rPr>
        <w:t>’</w:t>
      </w:r>
      <w:r w:rsidRPr="00571974">
        <w:rPr>
          <w:lang w:val="en-GB"/>
        </w:rPr>
        <w:t>s exports, in addition to those on Chinese exports, remains a downside risk to growth. Emerging-market economies faced several headwinds, including from a strong U</w:t>
      </w:r>
      <w:r w:rsidR="005E7CB3">
        <w:rPr>
          <w:lang w:val="en-GB"/>
        </w:rPr>
        <w:t>.</w:t>
      </w:r>
      <w:r w:rsidRPr="00571974">
        <w:rPr>
          <w:lang w:val="en-GB"/>
        </w:rPr>
        <w:t>S</w:t>
      </w:r>
      <w:r w:rsidR="005E7CB3">
        <w:rPr>
          <w:lang w:val="en-GB"/>
        </w:rPr>
        <w:t>.</w:t>
      </w:r>
      <w:r w:rsidRPr="00571974">
        <w:rPr>
          <w:lang w:val="en-GB"/>
        </w:rPr>
        <w:t xml:space="preserve"> dollar. In India, GDP growth declined to just 4.8% (2018: 6.8%), leading to India</w:t>
      </w:r>
      <w:r w:rsidR="00A311D8">
        <w:rPr>
          <w:lang w:val="en-GB"/>
        </w:rPr>
        <w:t>’</w:t>
      </w:r>
      <w:r w:rsidRPr="00571974">
        <w:rPr>
          <w:lang w:val="en-GB"/>
        </w:rPr>
        <w:t>s central bank cutting interest rates five times during 2019, with further stimulus measures expected.</w:t>
      </w:r>
    </w:p>
    <w:p w14:paraId="5D52DD5D" w14:textId="21153CF5" w:rsidR="00371961" w:rsidRPr="00571974" w:rsidRDefault="003D4D89" w:rsidP="00932961">
      <w:pPr>
        <w:pStyle w:val="BodyText"/>
        <w:widowControl/>
        <w:autoSpaceDE/>
        <w:autoSpaceDN/>
        <w:adjustRightInd/>
        <w:ind w:firstLine="360"/>
        <w:rPr>
          <w:lang w:val="en-GB"/>
        </w:rPr>
      </w:pPr>
      <w:r w:rsidRPr="00571974">
        <w:rPr>
          <w:lang w:val="en-GB"/>
        </w:rPr>
        <w:t>In South Africa, the rand depreciated by 9% on average against the dollar against the backdrop of a slow economy, interruptions to the power supply, state-owned enterprises</w:t>
      </w:r>
      <w:r w:rsidR="00A311D8">
        <w:rPr>
          <w:lang w:val="en-GB"/>
        </w:rPr>
        <w:t>’</w:t>
      </w:r>
      <w:r w:rsidRPr="00571974">
        <w:rPr>
          <w:lang w:val="en-GB"/>
        </w:rPr>
        <w:t xml:space="preserve"> parlous financial situation and the risk of industrial action.</w:t>
      </w:r>
      <w:r w:rsidR="001C5149" w:rsidRPr="00571974">
        <w:rPr>
          <w:lang w:val="en-GB"/>
        </w:rPr>
        <w:t xml:space="preserve"> </w:t>
      </w:r>
      <w:r w:rsidR="00932961" w:rsidRPr="00571974">
        <w:rPr>
          <w:lang w:val="en-GB"/>
        </w:rPr>
        <w:t xml:space="preserve"> </w:t>
      </w:r>
    </w:p>
    <w:p w14:paraId="4F032787" w14:textId="28B46092" w:rsidR="00CA7CC7" w:rsidRPr="00571974" w:rsidRDefault="00B76A8C" w:rsidP="00D17877">
      <w:pPr>
        <w:pStyle w:val="Heading2"/>
        <w:rPr>
          <w:lang w:val="en-GB"/>
        </w:rPr>
      </w:pPr>
      <w:r w:rsidRPr="00571974">
        <w:rPr>
          <w:lang w:val="en-GB"/>
        </w:rPr>
        <w:t>Commodity Review</w:t>
      </w:r>
    </w:p>
    <w:p w14:paraId="471051B7" w14:textId="77777777" w:rsidR="00CA7CC7" w:rsidRPr="00571974" w:rsidRDefault="003D4D89" w:rsidP="007B1404">
      <w:pPr>
        <w:pStyle w:val="Heading3"/>
        <w:rPr>
          <w:lang w:val="en-GB"/>
        </w:rPr>
      </w:pPr>
      <w:r w:rsidRPr="00571974">
        <w:rPr>
          <w:lang w:val="en-GB"/>
        </w:rPr>
        <w:t>Diamonds</w:t>
      </w:r>
      <w:r w:rsidR="00646FAA" w:rsidRPr="00571974">
        <w:rPr>
          <w:lang w:val="en-GB"/>
        </w:rPr>
        <w:t xml:space="preserve"> </w:t>
      </w:r>
    </w:p>
    <w:p w14:paraId="480B1051" w14:textId="21029BFD" w:rsidR="00B43AB4" w:rsidRPr="00B43AB4" w:rsidRDefault="00B43AB4" w:rsidP="00B43AB4">
      <w:pPr>
        <w:pStyle w:val="BodyText"/>
        <w:widowControl/>
        <w:autoSpaceDE/>
        <w:autoSpaceDN/>
        <w:adjustRightInd/>
        <w:ind w:firstLine="360"/>
        <w:rPr>
          <w:lang w:val="en-GB"/>
        </w:rPr>
      </w:pPr>
      <w:r w:rsidRPr="00B43AB4">
        <w:rPr>
          <w:lang w:val="en-GB"/>
        </w:rPr>
        <w:t>A range of factors created significant challenges for rough diamond demand in 2019: in late 2018, stock market volatility and U</w:t>
      </w:r>
      <w:r w:rsidR="001B1C05">
        <w:rPr>
          <w:lang w:val="en-GB"/>
        </w:rPr>
        <w:t>.</w:t>
      </w:r>
      <w:r w:rsidRPr="00B43AB4">
        <w:rPr>
          <w:lang w:val="en-GB"/>
        </w:rPr>
        <w:t>S</w:t>
      </w:r>
      <w:r w:rsidR="001B1C05">
        <w:rPr>
          <w:lang w:val="en-GB"/>
        </w:rPr>
        <w:t>.</w:t>
      </w:r>
      <w:r w:rsidRPr="00B43AB4">
        <w:rPr>
          <w:lang w:val="en-GB"/>
        </w:rPr>
        <w:t>-China trade tensions resulted in lower than expected holiday retail sales, which led to higher than anticipated stock levels in the industry</w:t>
      </w:r>
      <w:r w:rsidR="00A311D8">
        <w:rPr>
          <w:lang w:val="en-GB"/>
        </w:rPr>
        <w:t>’</w:t>
      </w:r>
      <w:r w:rsidRPr="00B43AB4">
        <w:rPr>
          <w:lang w:val="en-GB"/>
        </w:rPr>
        <w:t>s midstream at the start of 2019. Throughout the course of 2019, the midstream inventory position was under further pressure due to the closure of some U</w:t>
      </w:r>
      <w:r w:rsidR="001B1C05">
        <w:rPr>
          <w:lang w:val="en-GB"/>
        </w:rPr>
        <w:t>.</w:t>
      </w:r>
      <w:r w:rsidRPr="00B43AB4">
        <w:rPr>
          <w:lang w:val="en-GB"/>
        </w:rPr>
        <w:t>S</w:t>
      </w:r>
      <w:r w:rsidR="001B1C05">
        <w:rPr>
          <w:lang w:val="en-GB"/>
        </w:rPr>
        <w:t>.</w:t>
      </w:r>
      <w:r w:rsidRPr="00B43AB4">
        <w:rPr>
          <w:lang w:val="en-GB"/>
        </w:rPr>
        <w:t xml:space="preserve"> retail outlets, an increase in online purchasing (where inventory levels are lower), and retailers increasing their stock held on consignment. Tighter financing also affected the midstream</w:t>
      </w:r>
      <w:r w:rsidR="00A311D8">
        <w:rPr>
          <w:lang w:val="en-GB"/>
        </w:rPr>
        <w:t>’</w:t>
      </w:r>
      <w:r w:rsidRPr="00B43AB4">
        <w:rPr>
          <w:lang w:val="en-GB"/>
        </w:rPr>
        <w:t>s ability to hold stock, all of which resulted in lower demand for rough diamonds.</w:t>
      </w:r>
    </w:p>
    <w:p w14:paraId="3B9F9B46" w14:textId="18EFE2AB" w:rsidR="00371961" w:rsidRPr="00571974" w:rsidRDefault="00B43AB4" w:rsidP="00571974">
      <w:pPr>
        <w:pStyle w:val="BodyText"/>
        <w:widowControl/>
        <w:autoSpaceDE/>
        <w:autoSpaceDN/>
        <w:adjustRightInd/>
        <w:ind w:firstLine="360"/>
        <w:rPr>
          <w:lang w:val="en-GB"/>
        </w:rPr>
      </w:pPr>
      <w:r w:rsidRPr="00B43AB4">
        <w:rPr>
          <w:lang w:val="en-GB"/>
        </w:rPr>
        <w:t>In U</w:t>
      </w:r>
      <w:r w:rsidR="001B1C05">
        <w:rPr>
          <w:lang w:val="en-GB"/>
        </w:rPr>
        <w:t>.</w:t>
      </w:r>
      <w:r w:rsidRPr="00B43AB4">
        <w:rPr>
          <w:lang w:val="en-GB"/>
        </w:rPr>
        <w:t>S</w:t>
      </w:r>
      <w:r w:rsidR="001B1C05">
        <w:rPr>
          <w:lang w:val="en-GB"/>
        </w:rPr>
        <w:t>.</w:t>
      </w:r>
      <w:r w:rsidRPr="00B43AB4">
        <w:rPr>
          <w:lang w:val="en-GB"/>
        </w:rPr>
        <w:t xml:space="preserve"> dollar terms, global consumer demand for diamond jewellery was broadly flat in 2019. This was despite the challenges of increased uncertainty around the economic outlook owing to the continued U</w:t>
      </w:r>
      <w:r w:rsidR="001B1C05">
        <w:rPr>
          <w:lang w:val="en-GB"/>
        </w:rPr>
        <w:t>.</w:t>
      </w:r>
      <w:r w:rsidRPr="00B43AB4">
        <w:rPr>
          <w:lang w:val="en-GB"/>
        </w:rPr>
        <w:t>S</w:t>
      </w:r>
      <w:r w:rsidR="001B1C05">
        <w:rPr>
          <w:lang w:val="en-GB"/>
        </w:rPr>
        <w:t>.</w:t>
      </w:r>
      <w:r w:rsidRPr="00B43AB4">
        <w:rPr>
          <w:lang w:val="en-GB"/>
        </w:rPr>
        <w:t>-China trade tensions, as well as the impact of the Hong</w:t>
      </w:r>
      <w:r>
        <w:rPr>
          <w:lang w:val="en-GB"/>
        </w:rPr>
        <w:t xml:space="preserve"> </w:t>
      </w:r>
      <w:r w:rsidRPr="00B43AB4">
        <w:rPr>
          <w:lang w:val="en-GB"/>
        </w:rPr>
        <w:t>Kong protests and certain macro-economic issues affecting consumer confidence in India. U</w:t>
      </w:r>
      <w:r>
        <w:rPr>
          <w:lang w:val="en-GB"/>
        </w:rPr>
        <w:t>.</w:t>
      </w:r>
      <w:r w:rsidRPr="00B43AB4">
        <w:rPr>
          <w:lang w:val="en-GB"/>
        </w:rPr>
        <w:t>S</w:t>
      </w:r>
      <w:r>
        <w:rPr>
          <w:lang w:val="en-GB"/>
        </w:rPr>
        <w:t>.</w:t>
      </w:r>
      <w:r w:rsidRPr="00B43AB4">
        <w:rPr>
          <w:lang w:val="en-GB"/>
        </w:rPr>
        <w:t xml:space="preserve"> consumer demand remained reasonably strong, but growth in local currency terms in China and Japan was offset by the strength of the U</w:t>
      </w:r>
      <w:r>
        <w:rPr>
          <w:lang w:val="en-GB"/>
        </w:rPr>
        <w:t>.</w:t>
      </w:r>
      <w:r w:rsidRPr="00B43AB4">
        <w:rPr>
          <w:lang w:val="en-GB"/>
        </w:rPr>
        <w:t>S</w:t>
      </w:r>
      <w:r>
        <w:rPr>
          <w:lang w:val="en-GB"/>
        </w:rPr>
        <w:t>.</w:t>
      </w:r>
      <w:r w:rsidRPr="00B43AB4">
        <w:rPr>
          <w:lang w:val="en-GB"/>
        </w:rPr>
        <w:t xml:space="preserve"> dollar, while demand from India and the Gulf declined.</w:t>
      </w:r>
      <w:r>
        <w:rPr>
          <w:lang w:val="en-GB"/>
        </w:rPr>
        <w:t xml:space="preserve"> </w:t>
      </w:r>
      <w:r w:rsidR="003D4D89" w:rsidRPr="00571974">
        <w:rPr>
          <w:lang w:val="en-GB"/>
        </w:rPr>
        <w:t xml:space="preserve"> </w:t>
      </w:r>
    </w:p>
    <w:p w14:paraId="75149E06" w14:textId="77777777" w:rsidR="006D3299" w:rsidRPr="00571974" w:rsidRDefault="003D4D89" w:rsidP="007B1404">
      <w:pPr>
        <w:pStyle w:val="Heading3"/>
        <w:rPr>
          <w:lang w:val="en-GB"/>
        </w:rPr>
      </w:pPr>
      <w:r w:rsidRPr="00571974">
        <w:rPr>
          <w:lang w:val="en-GB"/>
        </w:rPr>
        <w:lastRenderedPageBreak/>
        <w:t>Platinum Group Metals</w:t>
      </w:r>
      <w:r w:rsidR="00646FAA" w:rsidRPr="00571974">
        <w:rPr>
          <w:lang w:val="en-GB"/>
        </w:rPr>
        <w:t xml:space="preserve"> </w:t>
      </w:r>
      <w:r w:rsidRPr="00571974">
        <w:rPr>
          <w:lang w:val="en-GB"/>
        </w:rPr>
        <w:t>(PGMs)</w:t>
      </w:r>
    </w:p>
    <w:p w14:paraId="32FF44F7" w14:textId="6E807234" w:rsidR="005C0913" w:rsidRPr="00571974" w:rsidRDefault="003D4D89" w:rsidP="00932961">
      <w:pPr>
        <w:pStyle w:val="BodyText"/>
        <w:widowControl/>
        <w:autoSpaceDE/>
        <w:autoSpaceDN/>
        <w:adjustRightInd/>
        <w:ind w:firstLine="360"/>
        <w:rPr>
          <w:lang w:val="en-GB"/>
        </w:rPr>
      </w:pPr>
      <w:r w:rsidRPr="00571974">
        <w:rPr>
          <w:lang w:val="en-GB"/>
        </w:rPr>
        <w:t xml:space="preserve">PGMs prices fared better than base metals and bulk commodities in 2019, with palladium reaching a record </w:t>
      </w:r>
      <w:r w:rsidR="001B1C05">
        <w:rPr>
          <w:lang w:val="en-GB"/>
        </w:rPr>
        <w:t>US</w:t>
      </w:r>
      <w:r w:rsidRPr="00571974">
        <w:rPr>
          <w:lang w:val="en-GB"/>
        </w:rPr>
        <w:t xml:space="preserve">$1,980/oz and rhodium recording an 11-year high of </w:t>
      </w:r>
      <w:r w:rsidR="001B1C05">
        <w:rPr>
          <w:lang w:val="en-GB"/>
        </w:rPr>
        <w:t>US</w:t>
      </w:r>
      <w:r w:rsidRPr="00571974">
        <w:rPr>
          <w:lang w:val="en-GB"/>
        </w:rPr>
        <w:t xml:space="preserve">$6,155/oz. Platinum climbed from </w:t>
      </w:r>
      <w:r w:rsidR="001B1C05">
        <w:rPr>
          <w:lang w:val="en-GB"/>
        </w:rPr>
        <w:t>US</w:t>
      </w:r>
      <w:r w:rsidRPr="00571974">
        <w:rPr>
          <w:lang w:val="en-GB"/>
        </w:rPr>
        <w:t xml:space="preserve">$794/oz to </w:t>
      </w:r>
      <w:r w:rsidR="001B1C05">
        <w:rPr>
          <w:lang w:val="en-GB"/>
        </w:rPr>
        <w:t>US</w:t>
      </w:r>
      <w:r w:rsidRPr="00571974">
        <w:rPr>
          <w:lang w:val="en-GB"/>
        </w:rPr>
        <w:t xml:space="preserve">$971/oz over the course of the year. Increasingly strict emissions regulations supported higher PGM loadings on vehicles, particularly in China, resulting in PGM demand growth from the global automotive sector, despite weak automotive sales in many parts of the world. </w:t>
      </w:r>
    </w:p>
    <w:p w14:paraId="06058A15" w14:textId="7C8980A9" w:rsidR="00371961" w:rsidRPr="00571974" w:rsidRDefault="003D4D89" w:rsidP="00932961">
      <w:pPr>
        <w:pStyle w:val="BodyText"/>
        <w:widowControl/>
        <w:autoSpaceDE/>
        <w:autoSpaceDN/>
        <w:adjustRightInd/>
        <w:ind w:firstLine="360"/>
        <w:rPr>
          <w:lang w:val="en-GB"/>
        </w:rPr>
      </w:pPr>
      <w:r w:rsidRPr="00571974">
        <w:rPr>
          <w:lang w:val="en-GB"/>
        </w:rPr>
        <w:t>Platinum demand was supported by increases in the investment and industrial segments, although it faced some headwinds, including softer jewellery sales in China, in line with the country</w:t>
      </w:r>
      <w:r w:rsidR="00A311D8">
        <w:rPr>
          <w:lang w:val="en-GB"/>
        </w:rPr>
        <w:t>’</w:t>
      </w:r>
      <w:r w:rsidRPr="00571974">
        <w:rPr>
          <w:lang w:val="en-GB"/>
        </w:rPr>
        <w:t>s slower economic growth, and weaker demand in the European and Indian light-duty diesel vehicle sector.</w:t>
      </w:r>
    </w:p>
    <w:p w14:paraId="1D8EECA5" w14:textId="6E8209BB" w:rsidR="00371961" w:rsidRPr="00571974" w:rsidRDefault="003D4D89" w:rsidP="00932961">
      <w:pPr>
        <w:pStyle w:val="BodyText"/>
        <w:widowControl/>
        <w:autoSpaceDE/>
        <w:autoSpaceDN/>
        <w:adjustRightInd/>
        <w:ind w:firstLine="360"/>
        <w:rPr>
          <w:lang w:val="en-GB"/>
        </w:rPr>
      </w:pPr>
      <w:r w:rsidRPr="00571974">
        <w:rPr>
          <w:lang w:val="en-GB"/>
        </w:rPr>
        <w:t>Palladium remained in a deficit of approximately 1.1 million ounces in 2019,</w:t>
      </w:r>
      <w:r w:rsidR="005C0913" w:rsidRPr="00571974">
        <w:rPr>
          <w:lang w:val="en-GB"/>
        </w:rPr>
        <w:t xml:space="preserve"> </w:t>
      </w:r>
      <w:r w:rsidRPr="00571974">
        <w:rPr>
          <w:lang w:val="en-GB"/>
        </w:rPr>
        <w:t xml:space="preserve">while rhodium was more closely balanced. Despite the weak automotive sector, the current </w:t>
      </w:r>
      <w:r w:rsidR="005E7CB3">
        <w:rPr>
          <w:lang w:val="en-GB"/>
        </w:rPr>
        <w:t xml:space="preserve">global </w:t>
      </w:r>
      <w:r w:rsidRPr="00571974">
        <w:rPr>
          <w:lang w:val="en-GB"/>
        </w:rPr>
        <w:t>vehicle sales levels, if maintained, would support palladium and rhodium prices, against a backdrop of constrained supply</w:t>
      </w:r>
      <w:r w:rsidR="005C0913" w:rsidRPr="00571974">
        <w:rPr>
          <w:lang w:val="en-GB"/>
        </w:rPr>
        <w:t xml:space="preserve"> </w:t>
      </w:r>
      <w:r w:rsidRPr="00571974">
        <w:rPr>
          <w:lang w:val="en-GB"/>
        </w:rPr>
        <w:t>growth and a multi-year deficit expected for both metals. Primary mined platinum and palladium remained broadly flat year on year, at around 13 million ounces. South African output was flat year-on-year at 7.05 million ounces, while</w:t>
      </w:r>
      <w:r w:rsidR="005C0913" w:rsidRPr="00571974">
        <w:rPr>
          <w:lang w:val="en-GB"/>
        </w:rPr>
        <w:t xml:space="preserve"> </w:t>
      </w:r>
      <w:r w:rsidRPr="00571974">
        <w:rPr>
          <w:lang w:val="en-GB"/>
        </w:rPr>
        <w:t xml:space="preserve">secondary supply increased by 10% to 5.1 million ounces </w:t>
      </w:r>
      <w:r w:rsidR="00BF6E4E">
        <w:rPr>
          <w:lang w:val="en-GB"/>
        </w:rPr>
        <w:t xml:space="preserve">in 2019 </w:t>
      </w:r>
      <w:r w:rsidRPr="00571974">
        <w:rPr>
          <w:lang w:val="en-GB"/>
        </w:rPr>
        <w:t>(2018: 4.7 million ounces).</w:t>
      </w:r>
    </w:p>
    <w:p w14:paraId="0F194572" w14:textId="77777777" w:rsidR="00CA7CC7" w:rsidRPr="00571974" w:rsidRDefault="003D4D89" w:rsidP="007B1404">
      <w:pPr>
        <w:pStyle w:val="Heading3"/>
        <w:rPr>
          <w:lang w:val="en-GB"/>
        </w:rPr>
      </w:pPr>
      <w:r w:rsidRPr="00571974">
        <w:rPr>
          <w:lang w:val="en-GB"/>
        </w:rPr>
        <w:t>Base metals</w:t>
      </w:r>
      <w:r w:rsidR="00646FAA" w:rsidRPr="00571974">
        <w:rPr>
          <w:lang w:val="en-GB"/>
        </w:rPr>
        <w:t xml:space="preserve"> </w:t>
      </w:r>
    </w:p>
    <w:p w14:paraId="5789CF2D" w14:textId="5AA3271B" w:rsidR="0063678A" w:rsidRPr="00571974" w:rsidRDefault="003D4D89" w:rsidP="00932961">
      <w:pPr>
        <w:pStyle w:val="BodyText"/>
        <w:widowControl/>
        <w:autoSpaceDE/>
        <w:autoSpaceDN/>
        <w:adjustRightInd/>
        <w:ind w:firstLine="360"/>
        <w:rPr>
          <w:lang w:val="en-GB"/>
        </w:rPr>
      </w:pPr>
      <w:bookmarkStart w:id="65" w:name="_Hlk959563"/>
      <w:r w:rsidRPr="00571974">
        <w:rPr>
          <w:lang w:val="en-GB"/>
        </w:rPr>
        <w:t>Global refined copper consumption increased by an estimated 1.5% in 2019. However, the metal price struggled owing to slower than expected growth in China, largely as a consequence of the ongoing U</w:t>
      </w:r>
      <w:r w:rsidR="007750E3">
        <w:rPr>
          <w:lang w:val="en-GB"/>
        </w:rPr>
        <w:t>.</w:t>
      </w:r>
      <w:r w:rsidRPr="00571974">
        <w:rPr>
          <w:lang w:val="en-GB"/>
        </w:rPr>
        <w:t>S</w:t>
      </w:r>
      <w:r w:rsidR="007750E3">
        <w:rPr>
          <w:lang w:val="en-GB"/>
        </w:rPr>
        <w:t>.</w:t>
      </w:r>
      <w:r w:rsidRPr="00571974">
        <w:rPr>
          <w:lang w:val="en-GB"/>
        </w:rPr>
        <w:t xml:space="preserve">-China trade dispute. The copper price decreased to an average of 272 c/lb in 2019 (2018: 296 c/lb). </w:t>
      </w:r>
    </w:p>
    <w:p w14:paraId="5CDDC3FE" w14:textId="77777777" w:rsidR="0063678A" w:rsidRPr="00571974" w:rsidRDefault="003D4D89" w:rsidP="00932961">
      <w:pPr>
        <w:pStyle w:val="BodyText"/>
        <w:widowControl/>
        <w:autoSpaceDE/>
        <w:autoSpaceDN/>
        <w:adjustRightInd/>
        <w:ind w:firstLine="360"/>
        <w:rPr>
          <w:lang w:val="en-GB"/>
        </w:rPr>
      </w:pPr>
      <w:r w:rsidRPr="00571974">
        <w:rPr>
          <w:lang w:val="en-GB"/>
        </w:rPr>
        <w:t>Tighter environmental restrictions continue to affect copper scrap imports into China, supporting growth in apparent refined demand. In the medium term, the lean supply pipeline and the growing global middle-class</w:t>
      </w:r>
      <w:r w:rsidR="00932961" w:rsidRPr="00571974">
        <w:rPr>
          <w:lang w:val="en-GB"/>
        </w:rPr>
        <w:t xml:space="preserve"> </w:t>
      </w:r>
      <w:r w:rsidRPr="00571974">
        <w:rPr>
          <w:lang w:val="en-GB"/>
        </w:rPr>
        <w:t>population should be positive for metal demand.</w:t>
      </w:r>
    </w:p>
    <w:p w14:paraId="42B4CE86" w14:textId="6500101E" w:rsidR="0063678A" w:rsidRPr="00571974" w:rsidRDefault="003D4D89" w:rsidP="00BF6E4E">
      <w:pPr>
        <w:pStyle w:val="BodyText"/>
        <w:widowControl/>
        <w:autoSpaceDE/>
        <w:autoSpaceDN/>
        <w:adjustRightInd/>
        <w:ind w:firstLine="360"/>
        <w:rPr>
          <w:lang w:val="en-GB"/>
        </w:rPr>
      </w:pPr>
      <w:r w:rsidRPr="00571974">
        <w:rPr>
          <w:lang w:val="en-GB"/>
        </w:rPr>
        <w:t xml:space="preserve">Nickel demand was </w:t>
      </w:r>
      <w:r w:rsidR="00BF6E4E">
        <w:rPr>
          <w:lang w:val="en-GB"/>
        </w:rPr>
        <w:t>stronger</w:t>
      </w:r>
      <w:r w:rsidRPr="00571974">
        <w:rPr>
          <w:lang w:val="en-GB"/>
        </w:rPr>
        <w:t>, primarily driven by a 3.3% increase in stainless steel output, the largest end-use application for nickel, resulting in an estimated deficit of 23,000 tonnes in 2019. LME nickel stocks decreased to a multi-year low of 67,000 tonnes in October</w:t>
      </w:r>
      <w:r w:rsidR="005E7CB3">
        <w:rPr>
          <w:lang w:val="en-GB"/>
        </w:rPr>
        <w:t xml:space="preserve"> 2019</w:t>
      </w:r>
      <w:r w:rsidRPr="00571974">
        <w:rPr>
          <w:lang w:val="en-GB"/>
        </w:rPr>
        <w:t xml:space="preserve">, although uncertainty remains over the volume of material available in the market, not on the LME. </w:t>
      </w:r>
    </w:p>
    <w:p w14:paraId="2D63D00F" w14:textId="77777777" w:rsidR="0063678A" w:rsidRPr="00571974" w:rsidRDefault="003D4D89" w:rsidP="00932961">
      <w:pPr>
        <w:pStyle w:val="BodyText"/>
        <w:widowControl/>
        <w:autoSpaceDE/>
        <w:autoSpaceDN/>
        <w:adjustRightInd/>
        <w:ind w:firstLine="360"/>
        <w:rPr>
          <w:lang w:val="en-GB"/>
        </w:rPr>
      </w:pPr>
      <w:r w:rsidRPr="00571974">
        <w:rPr>
          <w:lang w:val="en-GB"/>
        </w:rPr>
        <w:t>The nickel price was volatile during the year, primarily as a result of the Indonesian ore export ban being brought forward by two years, to January 2020. In addition, there were some temporary supply concerns, which adversely affected several nickel mining operations. The nickel price reached a high of 845 c/lb and averaged 632 c/lb, a 6% increase over 2018 (2018: 595 c/lb).</w:t>
      </w:r>
    </w:p>
    <w:bookmarkEnd w:id="65"/>
    <w:p w14:paraId="6931A012" w14:textId="77777777" w:rsidR="00CA7CC7" w:rsidRPr="00571974" w:rsidRDefault="003D4D89" w:rsidP="007B1404">
      <w:pPr>
        <w:pStyle w:val="Heading3"/>
        <w:rPr>
          <w:lang w:val="en-GB"/>
        </w:rPr>
      </w:pPr>
      <w:r w:rsidRPr="00571974">
        <w:rPr>
          <w:lang w:val="en-GB"/>
        </w:rPr>
        <w:t>Bulk commodities</w:t>
      </w:r>
      <w:r w:rsidR="00646FAA" w:rsidRPr="00571974">
        <w:rPr>
          <w:lang w:val="en-GB"/>
        </w:rPr>
        <w:t xml:space="preserve"> </w:t>
      </w:r>
    </w:p>
    <w:p w14:paraId="2FD6BD77" w14:textId="0DBC2C7E" w:rsidR="0063678A" w:rsidRPr="00571974" w:rsidRDefault="003D4D89" w:rsidP="00932961">
      <w:pPr>
        <w:pStyle w:val="BodyText"/>
        <w:widowControl/>
        <w:autoSpaceDE/>
        <w:autoSpaceDN/>
        <w:adjustRightInd/>
        <w:ind w:firstLine="360"/>
        <w:rPr>
          <w:lang w:val="en-GB"/>
        </w:rPr>
      </w:pPr>
      <w:r w:rsidRPr="00571974">
        <w:rPr>
          <w:lang w:val="en-GB"/>
        </w:rPr>
        <w:t xml:space="preserve">Global crude steel production is estimated to have increased by approximately 3% in 2019, </w:t>
      </w:r>
      <w:r w:rsidR="005E7CB3">
        <w:rPr>
          <w:lang w:val="en-GB"/>
        </w:rPr>
        <w:t xml:space="preserve">primarily </w:t>
      </w:r>
      <w:r w:rsidRPr="00571974">
        <w:rPr>
          <w:lang w:val="en-GB"/>
        </w:rPr>
        <w:t>supported  by increased output in China. While output increased by around 7%, driven by government stimulus and</w:t>
      </w:r>
      <w:r w:rsidR="00932961" w:rsidRPr="00571974">
        <w:rPr>
          <w:lang w:val="en-GB"/>
        </w:rPr>
        <w:t xml:space="preserve"> </w:t>
      </w:r>
      <w:r w:rsidRPr="00571974">
        <w:rPr>
          <w:lang w:val="en-GB"/>
        </w:rPr>
        <w:t>infrastructure investment, elsewhere several key steel markets exhibited either weak or negative growth owing to the slowdown in global economic growth generally and exacerbated by the impact of the U</w:t>
      </w:r>
      <w:r w:rsidR="005E7CB3">
        <w:rPr>
          <w:lang w:val="en-GB"/>
        </w:rPr>
        <w:t>.</w:t>
      </w:r>
      <w:r w:rsidRPr="00571974">
        <w:rPr>
          <w:lang w:val="en-GB"/>
        </w:rPr>
        <w:t>S</w:t>
      </w:r>
      <w:r w:rsidR="005E7CB3">
        <w:rPr>
          <w:lang w:val="en-GB"/>
        </w:rPr>
        <w:t>.</w:t>
      </w:r>
      <w:r w:rsidRPr="00571974">
        <w:rPr>
          <w:lang w:val="en-GB"/>
        </w:rPr>
        <w:t>-China trade dispute. Globally, steelmaking margins weakened, particularly in the second half of the year, driven by resilient iron ore prices and falling steel prices.</w:t>
      </w:r>
    </w:p>
    <w:p w14:paraId="5C2F396C" w14:textId="5F07BC22" w:rsidR="0063678A" w:rsidRPr="00571974" w:rsidRDefault="00977B00" w:rsidP="00932961">
      <w:pPr>
        <w:pStyle w:val="BodyText"/>
        <w:widowControl/>
        <w:autoSpaceDE/>
        <w:autoSpaceDN/>
        <w:adjustRightInd/>
        <w:ind w:firstLine="360"/>
        <w:rPr>
          <w:lang w:val="en-GB"/>
        </w:rPr>
      </w:pPr>
      <w:r>
        <w:rPr>
          <w:lang w:val="en-GB"/>
        </w:rPr>
        <w:t>The supply-demand balance</w:t>
      </w:r>
      <w:r w:rsidR="003D4D89" w:rsidRPr="00571974">
        <w:rPr>
          <w:lang w:val="en-GB"/>
        </w:rPr>
        <w:t xml:space="preserve"> supported iron ore prices throughout 2019. In the first half, the loss of output following the Brumadinho dam disaster and adverse weather in Brazil and Australia, combined with strong steel production in China, pushed iron ore prices above </w:t>
      </w:r>
      <w:r w:rsidR="005E7CB3">
        <w:rPr>
          <w:lang w:val="en-GB"/>
        </w:rPr>
        <w:t>US</w:t>
      </w:r>
      <w:r w:rsidR="003D4D89" w:rsidRPr="00571974">
        <w:rPr>
          <w:lang w:val="en-GB"/>
        </w:rPr>
        <w:t>$100/t for the first time since 2014. Prices fell back during the second six months as supply gradually recovered, with the full year benchmark CFR China 62% Fe price</w:t>
      </w:r>
      <w:r w:rsidR="00932961" w:rsidRPr="00571974">
        <w:rPr>
          <w:lang w:val="en-GB"/>
        </w:rPr>
        <w:t xml:space="preserve"> </w:t>
      </w:r>
      <w:r w:rsidR="003D4D89" w:rsidRPr="00571974">
        <w:rPr>
          <w:lang w:val="en-GB"/>
        </w:rPr>
        <w:t xml:space="preserve">averaging </w:t>
      </w:r>
      <w:r w:rsidR="005E7CB3">
        <w:rPr>
          <w:lang w:val="en-GB"/>
        </w:rPr>
        <w:t>US</w:t>
      </w:r>
      <w:r w:rsidR="003D4D89" w:rsidRPr="00571974">
        <w:rPr>
          <w:lang w:val="en-GB"/>
        </w:rPr>
        <w:t xml:space="preserve">$93/t (2018: </w:t>
      </w:r>
      <w:r w:rsidR="005E7CB3">
        <w:rPr>
          <w:lang w:val="en-GB"/>
        </w:rPr>
        <w:t>US</w:t>
      </w:r>
      <w:r w:rsidR="003D4D89" w:rsidRPr="00571974">
        <w:rPr>
          <w:lang w:val="en-GB"/>
        </w:rPr>
        <w:t xml:space="preserve">$69/t). Premiums and discounts for high-grade and low-grade ore were narrower than in 2018, due to a decrease in steel mill profitability; however, the average lump premium increased, reflecting the </w:t>
      </w:r>
      <w:r>
        <w:rPr>
          <w:lang w:val="en-GB"/>
        </w:rPr>
        <w:t>supply-demand balance</w:t>
      </w:r>
      <w:r w:rsidR="003D4D89" w:rsidRPr="00571974">
        <w:rPr>
          <w:lang w:val="en-GB"/>
        </w:rPr>
        <w:t>. Global iron ore consumption increased by 1.7% to 2.23 billion tonnes</w:t>
      </w:r>
      <w:r w:rsidR="00BF6E4E">
        <w:rPr>
          <w:lang w:val="en-GB"/>
        </w:rPr>
        <w:t xml:space="preserve"> in 2019</w:t>
      </w:r>
      <w:r w:rsidR="003D4D89" w:rsidRPr="00571974">
        <w:rPr>
          <w:lang w:val="en-GB"/>
        </w:rPr>
        <w:t xml:space="preserve"> (2018: 2.20 billion tonnes).</w:t>
      </w:r>
    </w:p>
    <w:p w14:paraId="1ABAD11C" w14:textId="00EA86EF" w:rsidR="0063678A" w:rsidRPr="00571974" w:rsidRDefault="00977B00" w:rsidP="00932961">
      <w:pPr>
        <w:pStyle w:val="BodyText"/>
        <w:widowControl/>
        <w:autoSpaceDE/>
        <w:autoSpaceDN/>
        <w:adjustRightInd/>
        <w:ind w:firstLine="360"/>
        <w:rPr>
          <w:lang w:val="en-GB"/>
        </w:rPr>
      </w:pPr>
      <w:r>
        <w:rPr>
          <w:lang w:val="en-GB"/>
        </w:rPr>
        <w:t>M</w:t>
      </w:r>
      <w:r w:rsidR="003D4D89" w:rsidRPr="00571974">
        <w:rPr>
          <w:lang w:val="en-GB"/>
        </w:rPr>
        <w:t xml:space="preserve">etallurgical coal showed continued strength in the first half of the year, with benchmark hard coking coal (HCC) prices consistently above </w:t>
      </w:r>
      <w:r w:rsidR="005E7CB3">
        <w:rPr>
          <w:lang w:val="en-GB"/>
        </w:rPr>
        <w:t>US</w:t>
      </w:r>
      <w:r w:rsidR="003D4D89" w:rsidRPr="00571974">
        <w:rPr>
          <w:lang w:val="en-GB"/>
        </w:rPr>
        <w:t xml:space="preserve">$200/t on an FOB Australia basis, owing to strong crude steel output, particularly in China. However, a combination of factors, including weakening steel markets outside of China, particularly in Europe and India; an increase in seaborne volumes from Australia; customs clearance restrictions for coal imports at Chinese ports; and weaker global thermal coal prices saw the benchmark HCC price fall significantly </w:t>
      </w:r>
      <w:r w:rsidR="003D4D89" w:rsidRPr="00571974">
        <w:rPr>
          <w:lang w:val="en-GB"/>
        </w:rPr>
        <w:lastRenderedPageBreak/>
        <w:t xml:space="preserve">in the third quarter. Across the year, the average HCC benchmark price was </w:t>
      </w:r>
      <w:r w:rsidR="005E7CB3">
        <w:rPr>
          <w:lang w:val="en-GB"/>
        </w:rPr>
        <w:t>US</w:t>
      </w:r>
      <w:r w:rsidR="003D4D89" w:rsidRPr="00571974">
        <w:rPr>
          <w:lang w:val="en-GB"/>
        </w:rPr>
        <w:t xml:space="preserve">$177/t (2018: </w:t>
      </w:r>
      <w:r w:rsidR="005E7CB3">
        <w:rPr>
          <w:lang w:val="en-GB"/>
        </w:rPr>
        <w:t>US</w:t>
      </w:r>
      <w:r w:rsidR="003D4D89" w:rsidRPr="00571974">
        <w:rPr>
          <w:lang w:val="en-GB"/>
        </w:rPr>
        <w:t>$207/t), with global consumption of metallurgical coal increasing by 2</w:t>
      </w:r>
      <w:r w:rsidR="001B1C05">
        <w:rPr>
          <w:lang w:val="en-GB"/>
        </w:rPr>
        <w:t>.7</w:t>
      </w:r>
      <w:r w:rsidR="003D4D89" w:rsidRPr="00571974">
        <w:rPr>
          <w:lang w:val="en-GB"/>
        </w:rPr>
        <w:t>% to 1.15 billion tonnes (2018: 1.12 billion tonnes).</w:t>
      </w:r>
    </w:p>
    <w:p w14:paraId="0BF4CFBB" w14:textId="2B54272B" w:rsidR="0063678A" w:rsidRPr="00571974" w:rsidRDefault="003D4D89" w:rsidP="00932961">
      <w:pPr>
        <w:pStyle w:val="BodyText"/>
        <w:widowControl/>
        <w:autoSpaceDE/>
        <w:autoSpaceDN/>
        <w:adjustRightInd/>
        <w:ind w:firstLine="360"/>
        <w:rPr>
          <w:lang w:val="en-GB"/>
        </w:rPr>
      </w:pPr>
      <w:r w:rsidRPr="00571974">
        <w:rPr>
          <w:lang w:val="en-GB"/>
        </w:rPr>
        <w:t xml:space="preserve">Thermal coal prices were driven lower </w:t>
      </w:r>
      <w:r w:rsidR="00BF6E4E">
        <w:rPr>
          <w:lang w:val="en-GB"/>
        </w:rPr>
        <w:t xml:space="preserve">in 2019 </w:t>
      </w:r>
      <w:r w:rsidRPr="00571974">
        <w:rPr>
          <w:lang w:val="en-GB"/>
        </w:rPr>
        <w:t xml:space="preserve">by a combination of factors, including an increase in exports from Russia and Indonesia, combined with decreased demand from Europe as significant supply growth in the gas market drove down European gas prices, displacing coal-fired power generation. Later in the year, the threat of strike action in South Africa drove the FOB Richards Bay price higher, though there was little response from other benchmark coal prices. For the year as a whole, the FOB South Africa price averaged </w:t>
      </w:r>
      <w:r w:rsidR="005E7CB3">
        <w:rPr>
          <w:lang w:val="en-GB"/>
        </w:rPr>
        <w:t>US</w:t>
      </w:r>
      <w:r w:rsidRPr="00571974">
        <w:rPr>
          <w:lang w:val="en-GB"/>
        </w:rPr>
        <w:t xml:space="preserve">$72/t (2018: </w:t>
      </w:r>
      <w:r w:rsidR="005E7CB3">
        <w:rPr>
          <w:lang w:val="en-GB"/>
        </w:rPr>
        <w:t>US</w:t>
      </w:r>
      <w:r w:rsidRPr="00571974">
        <w:rPr>
          <w:lang w:val="en-GB"/>
        </w:rPr>
        <w:t>$98/t).</w:t>
      </w:r>
      <w:r w:rsidR="00932961" w:rsidRPr="00571974">
        <w:rPr>
          <w:lang w:val="en-GB"/>
        </w:rPr>
        <w:t xml:space="preserve"> </w:t>
      </w:r>
    </w:p>
    <w:p w14:paraId="3CB8D0EF" w14:textId="40472C4E" w:rsidR="00707971" w:rsidRPr="00571974" w:rsidRDefault="003D4D89" w:rsidP="00932961">
      <w:pPr>
        <w:pStyle w:val="BodyText"/>
        <w:widowControl/>
        <w:autoSpaceDE/>
        <w:autoSpaceDN/>
        <w:adjustRightInd/>
        <w:ind w:firstLine="360"/>
        <w:rPr>
          <w:rFonts w:eastAsia="PMingLiU"/>
          <w:b/>
          <w:caps/>
          <w:snapToGrid w:val="0"/>
          <w:szCs w:val="20"/>
          <w:lang w:val="en-GB"/>
        </w:rPr>
      </w:pPr>
      <w:r w:rsidRPr="00571974">
        <w:rPr>
          <w:lang w:val="en-GB"/>
        </w:rPr>
        <w:br w:type="page"/>
      </w:r>
    </w:p>
    <w:p w14:paraId="193442D5" w14:textId="77777777" w:rsidR="00DF4A0D" w:rsidRPr="00571974" w:rsidRDefault="003D4D89" w:rsidP="00DF4A0D">
      <w:pPr>
        <w:pStyle w:val="Heading1"/>
        <w:rPr>
          <w:lang w:val="en-GB"/>
        </w:rPr>
      </w:pPr>
      <w:bookmarkStart w:id="66" w:name="_Toc36388963"/>
      <w:bookmarkStart w:id="67" w:name="_Hlk31706400"/>
      <w:r w:rsidRPr="00571974">
        <w:rPr>
          <w:lang w:val="en-GB"/>
        </w:rPr>
        <w:lastRenderedPageBreak/>
        <w:t>SELECTED FINANCIAL INFORMATION</w:t>
      </w:r>
      <w:bookmarkEnd w:id="66"/>
    </w:p>
    <w:p w14:paraId="04F4AF56" w14:textId="77777777" w:rsidR="00DF4A0D" w:rsidRPr="00571974" w:rsidRDefault="003D4D89" w:rsidP="00DF4A0D">
      <w:pPr>
        <w:pStyle w:val="BodyText"/>
        <w:widowControl/>
        <w:autoSpaceDE/>
        <w:autoSpaceDN/>
        <w:adjustRightInd/>
        <w:ind w:firstLine="360"/>
        <w:rPr>
          <w:lang w:val="en-GB"/>
        </w:rPr>
      </w:pPr>
      <w:r w:rsidRPr="00571974">
        <w:rPr>
          <w:lang w:val="en-GB"/>
        </w:rPr>
        <w:t>The selected financial information for the Group set forth below as at or for the years ended December 31, 2019, 2018 and 2017 has been derived from, and should be read in conjunction with, the Group 2019 Consolidated Financial Statements, the Group 2018 Consolidated Financial Statements and the Group 2017 Consolidated Financial Statements and notes thereto prepared in accordance with IFRS and incorporated by reference herein.</w:t>
      </w:r>
    </w:p>
    <w:p w14:paraId="39F7346F" w14:textId="2BF79285" w:rsidR="00DF4A0D" w:rsidRPr="00571974" w:rsidRDefault="003D4D89" w:rsidP="00DF4A0D">
      <w:pPr>
        <w:spacing w:after="120"/>
        <w:ind w:firstLine="360"/>
        <w:rPr>
          <w:lang w:val="en-GB"/>
        </w:rPr>
      </w:pPr>
      <w:r w:rsidRPr="00571974">
        <w:rPr>
          <w:lang w:val="en-GB"/>
        </w:rPr>
        <w:t xml:space="preserve">You should regard the selected financial data below only as an introduction and should base your investment decision on a review of this entire document, including the sections entitled </w:t>
      </w:r>
      <w:r w:rsidR="00A311D8">
        <w:rPr>
          <w:lang w:val="en-GB"/>
        </w:rPr>
        <w:t>“</w:t>
      </w:r>
      <w:r w:rsidRPr="00571974">
        <w:rPr>
          <w:lang w:val="en-GB"/>
        </w:rPr>
        <w:t>Operating and Financial Review</w:t>
      </w:r>
      <w:r w:rsidR="00A311D8">
        <w:rPr>
          <w:lang w:val="en-GB"/>
        </w:rPr>
        <w:t>”</w:t>
      </w:r>
      <w:r w:rsidRPr="00571974">
        <w:rPr>
          <w:lang w:val="en-GB"/>
        </w:rPr>
        <w:t xml:space="preserve"> and </w:t>
      </w:r>
      <w:r w:rsidR="00A311D8">
        <w:rPr>
          <w:lang w:val="en-GB"/>
        </w:rPr>
        <w:t>“</w:t>
      </w:r>
      <w:r w:rsidRPr="00571974">
        <w:rPr>
          <w:lang w:val="en-GB"/>
        </w:rPr>
        <w:t>Non-IFRS Financial Measures</w:t>
      </w:r>
      <w:r w:rsidR="00A311D8">
        <w:rPr>
          <w:lang w:val="en-GB"/>
        </w:rPr>
        <w:t>”</w:t>
      </w:r>
      <w:r w:rsidRPr="00571974">
        <w:rPr>
          <w:lang w:val="en-GB"/>
        </w:rPr>
        <w:t>. The disclosures in this section include certain Alternative Performance Measures (</w:t>
      </w:r>
      <w:r w:rsidR="00A311D8">
        <w:rPr>
          <w:lang w:val="en-GB"/>
        </w:rPr>
        <w:t>“</w:t>
      </w:r>
      <w:r w:rsidRPr="00571974">
        <w:rPr>
          <w:lang w:val="en-GB"/>
        </w:rPr>
        <w:t>APMs</w:t>
      </w:r>
      <w:r w:rsidR="00A311D8">
        <w:rPr>
          <w:lang w:val="en-GB"/>
        </w:rPr>
        <w:t>”</w:t>
      </w:r>
      <w:r w:rsidRPr="00571974">
        <w:rPr>
          <w:lang w:val="en-GB"/>
        </w:rPr>
        <w:t xml:space="preserve">). For more information on the APMs please see </w:t>
      </w:r>
      <w:r w:rsidR="00A311D8">
        <w:rPr>
          <w:lang w:val="en-GB"/>
        </w:rPr>
        <w:t>“</w:t>
      </w:r>
      <w:r w:rsidRPr="00571974">
        <w:rPr>
          <w:lang w:val="en-GB"/>
        </w:rPr>
        <w:t>Presentation of Financial Information</w:t>
      </w:r>
      <w:r w:rsidR="00A311D8">
        <w:rPr>
          <w:lang w:val="en-GB"/>
        </w:rPr>
        <w:t>”</w:t>
      </w:r>
      <w:r w:rsidRPr="00571974">
        <w:rPr>
          <w:lang w:val="en-GB"/>
        </w:rPr>
        <w:t>.</w:t>
      </w:r>
    </w:p>
    <w:tbl>
      <w:tblPr>
        <w:tblW w:w="5078" w:type="pct"/>
        <w:tblLayout w:type="fixed"/>
        <w:tblCellMar>
          <w:left w:w="72" w:type="dxa"/>
          <w:right w:w="72" w:type="dxa"/>
        </w:tblCellMar>
        <w:tblLook w:val="0000" w:firstRow="0" w:lastRow="0" w:firstColumn="0" w:lastColumn="0" w:noHBand="0" w:noVBand="0"/>
      </w:tblPr>
      <w:tblGrid>
        <w:gridCol w:w="5906"/>
        <w:gridCol w:w="1190"/>
        <w:gridCol w:w="1190"/>
        <w:gridCol w:w="1216"/>
      </w:tblGrid>
      <w:tr w:rsidR="002228B8" w14:paraId="0E00141F" w14:textId="77777777" w:rsidTr="00DF4A0D">
        <w:trPr>
          <w:cantSplit/>
          <w:trHeight w:val="943"/>
        </w:trPr>
        <w:tc>
          <w:tcPr>
            <w:tcW w:w="3108" w:type="pct"/>
            <w:tcBorders>
              <w:top w:val="nil"/>
              <w:left w:val="nil"/>
              <w:bottom w:val="nil"/>
              <w:right w:val="nil"/>
            </w:tcBorders>
            <w:vAlign w:val="bottom"/>
          </w:tcPr>
          <w:p w14:paraId="5BA3570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lang w:val="en-GB" w:eastAsia="en-GB" w:bidi="ar-SA"/>
              </w:rPr>
            </w:pPr>
          </w:p>
        </w:tc>
        <w:tc>
          <w:tcPr>
            <w:tcW w:w="626" w:type="pct"/>
            <w:tcBorders>
              <w:top w:val="nil"/>
              <w:left w:val="nil"/>
              <w:bottom w:val="nil"/>
              <w:right w:val="nil"/>
            </w:tcBorders>
            <w:vAlign w:val="bottom"/>
          </w:tcPr>
          <w:p w14:paraId="244E4CB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 at or for</w:t>
            </w:r>
            <w:r w:rsidRPr="00571974">
              <w:rPr>
                <w:b/>
                <w:bCs/>
                <w:sz w:val="16"/>
                <w:szCs w:val="18"/>
                <w:lang w:val="en-GB" w:eastAsia="en-GB" w:bidi="ar-SA"/>
              </w:rPr>
              <w:br/>
              <w:t>the year-ended</w:t>
            </w:r>
            <w:r w:rsidRPr="00571974">
              <w:rPr>
                <w:b/>
                <w:bCs/>
                <w:sz w:val="16"/>
                <w:szCs w:val="18"/>
                <w:lang w:val="en-GB" w:eastAsia="en-GB" w:bidi="ar-SA"/>
              </w:rPr>
              <w:br/>
              <w:t>December 31,</w:t>
            </w:r>
            <w:r w:rsidRPr="00571974">
              <w:rPr>
                <w:b/>
                <w:bCs/>
                <w:sz w:val="16"/>
                <w:szCs w:val="18"/>
                <w:lang w:val="en-GB" w:eastAsia="en-GB" w:bidi="ar-SA"/>
              </w:rPr>
              <w:br/>
              <w:t>2017</w:t>
            </w:r>
          </w:p>
        </w:tc>
        <w:tc>
          <w:tcPr>
            <w:tcW w:w="626" w:type="pct"/>
            <w:tcBorders>
              <w:top w:val="nil"/>
              <w:left w:val="nil"/>
              <w:bottom w:val="nil"/>
              <w:right w:val="nil"/>
            </w:tcBorders>
            <w:vAlign w:val="bottom"/>
          </w:tcPr>
          <w:p w14:paraId="6AE19930"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 at or for</w:t>
            </w:r>
            <w:r w:rsidRPr="00571974">
              <w:rPr>
                <w:b/>
                <w:bCs/>
                <w:sz w:val="16"/>
                <w:szCs w:val="18"/>
                <w:lang w:val="en-GB" w:eastAsia="en-GB" w:bidi="ar-SA"/>
              </w:rPr>
              <w:br/>
              <w:t>the year-ended</w:t>
            </w:r>
            <w:r w:rsidRPr="00571974">
              <w:rPr>
                <w:b/>
                <w:bCs/>
                <w:sz w:val="16"/>
                <w:szCs w:val="18"/>
                <w:lang w:val="en-GB" w:eastAsia="en-GB" w:bidi="ar-SA"/>
              </w:rPr>
              <w:br/>
              <w:t>December 31,</w:t>
            </w:r>
            <w:r w:rsidRPr="00571974">
              <w:rPr>
                <w:b/>
                <w:bCs/>
                <w:sz w:val="16"/>
                <w:szCs w:val="18"/>
                <w:lang w:val="en-GB" w:eastAsia="en-GB" w:bidi="ar-SA"/>
              </w:rPr>
              <w:br/>
              <w:t>2018</w:t>
            </w:r>
          </w:p>
        </w:tc>
        <w:tc>
          <w:tcPr>
            <w:tcW w:w="640" w:type="pct"/>
            <w:tcBorders>
              <w:top w:val="nil"/>
              <w:left w:val="nil"/>
              <w:bottom w:val="nil"/>
              <w:right w:val="nil"/>
            </w:tcBorders>
            <w:vAlign w:val="bottom"/>
          </w:tcPr>
          <w:p w14:paraId="6BBEB3A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 at or for</w:t>
            </w:r>
            <w:r w:rsidRPr="00571974">
              <w:rPr>
                <w:b/>
                <w:bCs/>
                <w:sz w:val="16"/>
                <w:szCs w:val="18"/>
                <w:lang w:val="en-GB" w:eastAsia="en-GB" w:bidi="ar-SA"/>
              </w:rPr>
              <w:br/>
              <w:t>the year-ended</w:t>
            </w:r>
            <w:r w:rsidRPr="00571974">
              <w:rPr>
                <w:b/>
                <w:bCs/>
                <w:sz w:val="16"/>
                <w:szCs w:val="18"/>
                <w:lang w:val="en-GB" w:eastAsia="en-GB" w:bidi="ar-SA"/>
              </w:rPr>
              <w:br/>
              <w:t>December 31,</w:t>
            </w:r>
            <w:r w:rsidRPr="00571974">
              <w:rPr>
                <w:b/>
                <w:bCs/>
                <w:sz w:val="16"/>
                <w:szCs w:val="18"/>
                <w:lang w:val="en-GB" w:eastAsia="en-GB" w:bidi="ar-SA"/>
              </w:rPr>
              <w:br/>
              <w:t>2019</w:t>
            </w:r>
          </w:p>
        </w:tc>
      </w:tr>
      <w:tr w:rsidR="002228B8" w14:paraId="476AA887" w14:textId="77777777" w:rsidTr="00DF4A0D">
        <w:trPr>
          <w:cantSplit/>
          <w:trHeight w:val="259"/>
        </w:trPr>
        <w:tc>
          <w:tcPr>
            <w:tcW w:w="3108" w:type="pct"/>
            <w:tcBorders>
              <w:top w:val="nil"/>
              <w:left w:val="nil"/>
              <w:bottom w:val="nil"/>
              <w:right w:val="nil"/>
            </w:tcBorders>
            <w:vAlign w:val="bottom"/>
          </w:tcPr>
          <w:p w14:paraId="3410B11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892" w:type="pct"/>
            <w:gridSpan w:val="3"/>
            <w:tcBorders>
              <w:top w:val="nil"/>
              <w:left w:val="nil"/>
              <w:bottom w:val="nil"/>
              <w:right w:val="nil"/>
            </w:tcBorders>
            <w:vAlign w:val="bottom"/>
          </w:tcPr>
          <w:p w14:paraId="7F67AD2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6"/>
                <w:szCs w:val="18"/>
                <w:lang w:val="en-GB" w:eastAsia="en-GB" w:bidi="ar-SA"/>
              </w:rPr>
            </w:pPr>
            <w:r w:rsidRPr="00571974">
              <w:rPr>
                <w:b/>
                <w:bCs/>
                <w:i/>
                <w:iCs/>
                <w:sz w:val="16"/>
                <w:szCs w:val="18"/>
                <w:lang w:val="en-GB" w:eastAsia="en-GB" w:bidi="ar-SA"/>
              </w:rPr>
              <w:t>(US$m unless otherwise stated)</w:t>
            </w:r>
          </w:p>
        </w:tc>
      </w:tr>
      <w:tr w:rsidR="002228B8" w14:paraId="2A73EE5D" w14:textId="77777777" w:rsidTr="00DF4A0D">
        <w:trPr>
          <w:cantSplit/>
          <w:trHeight w:val="222"/>
        </w:trPr>
        <w:tc>
          <w:tcPr>
            <w:tcW w:w="3108" w:type="pct"/>
            <w:tcBorders>
              <w:top w:val="nil"/>
              <w:left w:val="nil"/>
              <w:bottom w:val="nil"/>
              <w:right w:val="nil"/>
            </w:tcBorders>
          </w:tcPr>
          <w:p w14:paraId="61D02A8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6"/>
                <w:lang w:val="en-GB" w:eastAsia="en-GB" w:bidi="ar-SA"/>
              </w:rPr>
            </w:pPr>
            <w:r w:rsidRPr="00571974">
              <w:rPr>
                <w:b/>
                <w:bCs/>
                <w:sz w:val="16"/>
                <w:lang w:val="en-GB" w:eastAsia="en-GB" w:bidi="ar-SA"/>
              </w:rPr>
              <w:t>Income statement measures</w:t>
            </w:r>
          </w:p>
        </w:tc>
        <w:tc>
          <w:tcPr>
            <w:tcW w:w="626" w:type="pct"/>
            <w:tcBorders>
              <w:top w:val="nil"/>
              <w:left w:val="nil"/>
              <w:bottom w:val="nil"/>
              <w:right w:val="nil"/>
            </w:tcBorders>
            <w:vAlign w:val="bottom"/>
          </w:tcPr>
          <w:p w14:paraId="09FC043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243B5C6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145560E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3961BD4B" w14:textId="77777777" w:rsidTr="00DF4A0D">
        <w:trPr>
          <w:cantSplit/>
          <w:trHeight w:val="222"/>
        </w:trPr>
        <w:tc>
          <w:tcPr>
            <w:tcW w:w="3108" w:type="pct"/>
            <w:tcBorders>
              <w:top w:val="nil"/>
              <w:left w:val="nil"/>
              <w:bottom w:val="nil"/>
              <w:right w:val="nil"/>
            </w:tcBorders>
          </w:tcPr>
          <w:p w14:paraId="3C8C3B34"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Revenue</w:t>
            </w:r>
            <w:r w:rsidRPr="00571974">
              <w:rPr>
                <w:sz w:val="16"/>
                <w:lang w:val="en-GB" w:eastAsia="en-GB" w:bidi="ar-SA"/>
              </w:rPr>
              <w:tab/>
            </w:r>
          </w:p>
        </w:tc>
        <w:tc>
          <w:tcPr>
            <w:tcW w:w="626" w:type="pct"/>
            <w:tcBorders>
              <w:top w:val="nil"/>
              <w:left w:val="nil"/>
              <w:bottom w:val="nil"/>
              <w:right w:val="nil"/>
            </w:tcBorders>
            <w:vAlign w:val="bottom"/>
          </w:tcPr>
          <w:p w14:paraId="6AC8166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26,243</w:t>
            </w:r>
          </w:p>
        </w:tc>
        <w:tc>
          <w:tcPr>
            <w:tcW w:w="626" w:type="pct"/>
            <w:tcBorders>
              <w:top w:val="nil"/>
              <w:left w:val="nil"/>
              <w:bottom w:val="nil"/>
              <w:right w:val="nil"/>
            </w:tcBorders>
            <w:vAlign w:val="bottom"/>
          </w:tcPr>
          <w:p w14:paraId="191139F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27,610</w:t>
            </w:r>
          </w:p>
        </w:tc>
        <w:tc>
          <w:tcPr>
            <w:tcW w:w="640" w:type="pct"/>
            <w:tcBorders>
              <w:top w:val="nil"/>
              <w:left w:val="nil"/>
              <w:bottom w:val="nil"/>
              <w:right w:val="nil"/>
            </w:tcBorders>
            <w:vAlign w:val="bottom"/>
          </w:tcPr>
          <w:p w14:paraId="44E8FDE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29,870</w:t>
            </w:r>
          </w:p>
        </w:tc>
      </w:tr>
      <w:tr w:rsidR="002228B8" w14:paraId="4AC1C60F" w14:textId="77777777" w:rsidTr="00DF4A0D">
        <w:trPr>
          <w:cantSplit/>
          <w:trHeight w:val="462"/>
        </w:trPr>
        <w:tc>
          <w:tcPr>
            <w:tcW w:w="3108" w:type="pct"/>
            <w:tcBorders>
              <w:top w:val="nil"/>
              <w:left w:val="nil"/>
              <w:bottom w:val="nil"/>
              <w:right w:val="nil"/>
            </w:tcBorders>
          </w:tcPr>
          <w:p w14:paraId="75A7C46E" w14:textId="240A3D9A"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Group Revenue (including attributable share of associates</w:t>
            </w:r>
            <w:r w:rsidR="00A311D8">
              <w:rPr>
                <w:sz w:val="16"/>
                <w:lang w:val="en-GB" w:eastAsia="en-GB" w:bidi="ar-SA"/>
              </w:rPr>
              <w:t>’</w:t>
            </w:r>
            <w:r w:rsidRPr="00571974">
              <w:rPr>
                <w:sz w:val="16"/>
                <w:lang w:val="en-GB" w:eastAsia="en-GB" w:bidi="ar-SA"/>
              </w:rPr>
              <w:t xml:space="preserve"> and joint ventures</w:t>
            </w:r>
            <w:r w:rsidR="00A311D8">
              <w:rPr>
                <w:sz w:val="16"/>
                <w:lang w:val="en-GB" w:eastAsia="en-GB" w:bidi="ar-SA"/>
              </w:rPr>
              <w:t>’</w:t>
            </w:r>
            <w:r w:rsidRPr="00571974">
              <w:rPr>
                <w:sz w:val="16"/>
                <w:lang w:val="en-GB" w:eastAsia="en-GB" w:bidi="ar-SA"/>
              </w:rPr>
              <w:t xml:space="preserve"> revenue)</w:t>
            </w:r>
            <w:r w:rsidRPr="00571974">
              <w:rPr>
                <w:sz w:val="16"/>
                <w:vertAlign w:val="superscript"/>
                <w:lang w:val="en-GB" w:eastAsia="en-GB" w:bidi="ar-SA"/>
              </w:rPr>
              <w:t>(1)</w:t>
            </w:r>
            <w:r w:rsidRPr="00571974">
              <w:rPr>
                <w:sz w:val="16"/>
                <w:lang w:val="en-GB" w:eastAsia="en-GB" w:bidi="ar-SA"/>
              </w:rPr>
              <w:tab/>
            </w:r>
          </w:p>
        </w:tc>
        <w:tc>
          <w:tcPr>
            <w:tcW w:w="626" w:type="pct"/>
            <w:tcBorders>
              <w:top w:val="nil"/>
              <w:left w:val="nil"/>
              <w:bottom w:val="nil"/>
              <w:right w:val="nil"/>
            </w:tcBorders>
            <w:vAlign w:val="bottom"/>
          </w:tcPr>
          <w:p w14:paraId="4027962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28,650</w:t>
            </w:r>
          </w:p>
        </w:tc>
        <w:tc>
          <w:tcPr>
            <w:tcW w:w="626" w:type="pct"/>
            <w:tcBorders>
              <w:top w:val="nil"/>
              <w:left w:val="nil"/>
              <w:bottom w:val="nil"/>
              <w:right w:val="nil"/>
            </w:tcBorders>
            <w:vAlign w:val="bottom"/>
          </w:tcPr>
          <w:p w14:paraId="49B899C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30,196</w:t>
            </w:r>
          </w:p>
        </w:tc>
        <w:tc>
          <w:tcPr>
            <w:tcW w:w="640" w:type="pct"/>
            <w:tcBorders>
              <w:top w:val="nil"/>
              <w:left w:val="nil"/>
              <w:bottom w:val="nil"/>
              <w:right w:val="nil"/>
            </w:tcBorders>
            <w:vAlign w:val="bottom"/>
          </w:tcPr>
          <w:p w14:paraId="49F157C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31,825</w:t>
            </w:r>
          </w:p>
        </w:tc>
      </w:tr>
      <w:tr w:rsidR="002228B8" w14:paraId="125282FF" w14:textId="77777777" w:rsidTr="00DF4A0D">
        <w:trPr>
          <w:cantSplit/>
          <w:trHeight w:val="222"/>
        </w:trPr>
        <w:tc>
          <w:tcPr>
            <w:tcW w:w="3108" w:type="pct"/>
            <w:tcBorders>
              <w:top w:val="nil"/>
              <w:left w:val="nil"/>
              <w:bottom w:val="nil"/>
              <w:right w:val="nil"/>
            </w:tcBorders>
            <w:shd w:val="clear" w:color="auto" w:fill="auto"/>
          </w:tcPr>
          <w:p w14:paraId="06D819F3"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Operating profit before special items and remeasurement</w:t>
            </w:r>
            <w:r w:rsidRPr="00571974">
              <w:rPr>
                <w:sz w:val="16"/>
                <w:lang w:val="en-GB" w:eastAsia="en-GB" w:bidi="ar-SA"/>
              </w:rPr>
              <w:tab/>
            </w:r>
          </w:p>
        </w:tc>
        <w:tc>
          <w:tcPr>
            <w:tcW w:w="626" w:type="pct"/>
            <w:tcBorders>
              <w:top w:val="nil"/>
              <w:left w:val="nil"/>
              <w:bottom w:val="nil"/>
              <w:right w:val="nil"/>
            </w:tcBorders>
            <w:shd w:val="clear" w:color="auto" w:fill="auto"/>
            <w:vAlign w:val="bottom"/>
          </w:tcPr>
          <w:p w14:paraId="2B68335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5,242</w:t>
            </w:r>
          </w:p>
        </w:tc>
        <w:tc>
          <w:tcPr>
            <w:tcW w:w="626" w:type="pct"/>
            <w:tcBorders>
              <w:top w:val="nil"/>
              <w:left w:val="nil"/>
              <w:bottom w:val="nil"/>
              <w:right w:val="nil"/>
            </w:tcBorders>
            <w:shd w:val="clear" w:color="auto" w:fill="auto"/>
            <w:vAlign w:val="bottom"/>
          </w:tcPr>
          <w:p w14:paraId="5786E6C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5,231</w:t>
            </w:r>
          </w:p>
        </w:tc>
        <w:tc>
          <w:tcPr>
            <w:tcW w:w="640" w:type="pct"/>
            <w:tcBorders>
              <w:top w:val="nil"/>
              <w:left w:val="nil"/>
              <w:bottom w:val="nil"/>
              <w:right w:val="nil"/>
            </w:tcBorders>
            <w:shd w:val="clear" w:color="auto" w:fill="FFFFFF"/>
            <w:vAlign w:val="bottom"/>
          </w:tcPr>
          <w:p w14:paraId="6D4F328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6,327</w:t>
            </w:r>
          </w:p>
        </w:tc>
      </w:tr>
      <w:tr w:rsidR="002228B8" w14:paraId="6FD82E7B" w14:textId="77777777" w:rsidTr="00DF4A0D">
        <w:trPr>
          <w:cantSplit/>
          <w:trHeight w:val="222"/>
        </w:trPr>
        <w:tc>
          <w:tcPr>
            <w:tcW w:w="3108" w:type="pct"/>
            <w:tcBorders>
              <w:top w:val="nil"/>
              <w:left w:val="nil"/>
              <w:bottom w:val="nil"/>
              <w:right w:val="nil"/>
            </w:tcBorders>
          </w:tcPr>
          <w:p w14:paraId="02782038"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Underlying EBIT</w:t>
            </w:r>
            <w:r w:rsidRPr="00571974">
              <w:rPr>
                <w:sz w:val="16"/>
                <w:vertAlign w:val="superscript"/>
                <w:lang w:val="en-GB" w:eastAsia="en-GB" w:bidi="ar-SA"/>
              </w:rPr>
              <w:t>(1)(2)</w:t>
            </w:r>
            <w:r w:rsidRPr="00571974">
              <w:rPr>
                <w:sz w:val="16"/>
                <w:lang w:val="en-GB" w:eastAsia="en-GB" w:bidi="ar-SA"/>
              </w:rPr>
              <w:tab/>
            </w:r>
          </w:p>
        </w:tc>
        <w:tc>
          <w:tcPr>
            <w:tcW w:w="626" w:type="pct"/>
            <w:tcBorders>
              <w:top w:val="nil"/>
              <w:left w:val="nil"/>
              <w:bottom w:val="nil"/>
              <w:right w:val="nil"/>
            </w:tcBorders>
            <w:vAlign w:val="bottom"/>
          </w:tcPr>
          <w:p w14:paraId="5578C4E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6,247</w:t>
            </w:r>
          </w:p>
        </w:tc>
        <w:tc>
          <w:tcPr>
            <w:tcW w:w="626" w:type="pct"/>
            <w:tcBorders>
              <w:top w:val="nil"/>
              <w:left w:val="nil"/>
              <w:bottom w:val="nil"/>
              <w:right w:val="nil"/>
            </w:tcBorders>
            <w:vAlign w:val="bottom"/>
          </w:tcPr>
          <w:p w14:paraId="1527CE5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6,377</w:t>
            </w:r>
          </w:p>
        </w:tc>
        <w:tc>
          <w:tcPr>
            <w:tcW w:w="640" w:type="pct"/>
            <w:tcBorders>
              <w:top w:val="nil"/>
              <w:left w:val="nil"/>
              <w:bottom w:val="nil"/>
              <w:right w:val="nil"/>
            </w:tcBorders>
            <w:vAlign w:val="bottom"/>
          </w:tcPr>
          <w:p w14:paraId="332364A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7,010</w:t>
            </w:r>
          </w:p>
        </w:tc>
      </w:tr>
      <w:tr w:rsidR="002228B8" w14:paraId="24C165BD" w14:textId="77777777" w:rsidTr="00DF4A0D">
        <w:trPr>
          <w:cantSplit/>
          <w:trHeight w:val="222"/>
        </w:trPr>
        <w:tc>
          <w:tcPr>
            <w:tcW w:w="3108" w:type="pct"/>
            <w:tcBorders>
              <w:top w:val="nil"/>
              <w:left w:val="nil"/>
              <w:bottom w:val="nil"/>
              <w:right w:val="nil"/>
            </w:tcBorders>
          </w:tcPr>
          <w:p w14:paraId="537C1526"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Underlying EBITDA</w:t>
            </w:r>
            <w:r w:rsidRPr="00571974">
              <w:rPr>
                <w:sz w:val="16"/>
                <w:vertAlign w:val="superscript"/>
                <w:lang w:val="en-GB" w:eastAsia="en-GB" w:bidi="ar-SA"/>
              </w:rPr>
              <w:t>(1)</w:t>
            </w:r>
            <w:r w:rsidRPr="00571974">
              <w:rPr>
                <w:sz w:val="16"/>
                <w:lang w:val="en-GB" w:eastAsia="en-GB" w:bidi="ar-SA"/>
              </w:rPr>
              <w:t xml:space="preserve"> </w:t>
            </w:r>
            <w:r w:rsidRPr="00571974">
              <w:rPr>
                <w:sz w:val="16"/>
                <w:lang w:val="en-GB" w:eastAsia="en-GB" w:bidi="ar-SA"/>
              </w:rPr>
              <w:tab/>
            </w:r>
          </w:p>
        </w:tc>
        <w:tc>
          <w:tcPr>
            <w:tcW w:w="626" w:type="pct"/>
            <w:tcBorders>
              <w:top w:val="nil"/>
              <w:left w:val="nil"/>
              <w:bottom w:val="nil"/>
              <w:right w:val="nil"/>
            </w:tcBorders>
            <w:vAlign w:val="bottom"/>
          </w:tcPr>
          <w:p w14:paraId="5A44455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8,823</w:t>
            </w:r>
          </w:p>
        </w:tc>
        <w:tc>
          <w:tcPr>
            <w:tcW w:w="626" w:type="pct"/>
            <w:tcBorders>
              <w:top w:val="nil"/>
              <w:left w:val="nil"/>
              <w:bottom w:val="nil"/>
              <w:right w:val="nil"/>
            </w:tcBorders>
            <w:vAlign w:val="bottom"/>
          </w:tcPr>
          <w:p w14:paraId="08261CF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9,161</w:t>
            </w:r>
          </w:p>
        </w:tc>
        <w:tc>
          <w:tcPr>
            <w:tcW w:w="640" w:type="pct"/>
            <w:tcBorders>
              <w:top w:val="nil"/>
              <w:left w:val="nil"/>
              <w:bottom w:val="nil"/>
              <w:right w:val="nil"/>
            </w:tcBorders>
            <w:vAlign w:val="bottom"/>
          </w:tcPr>
          <w:p w14:paraId="3930EB5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10,006</w:t>
            </w:r>
          </w:p>
        </w:tc>
      </w:tr>
      <w:tr w:rsidR="002228B8" w14:paraId="20B3497B" w14:textId="77777777" w:rsidTr="00DF4A0D">
        <w:trPr>
          <w:cantSplit/>
          <w:trHeight w:val="240"/>
        </w:trPr>
        <w:tc>
          <w:tcPr>
            <w:tcW w:w="3108" w:type="pct"/>
            <w:tcBorders>
              <w:top w:val="nil"/>
              <w:left w:val="nil"/>
              <w:bottom w:val="nil"/>
              <w:right w:val="nil"/>
            </w:tcBorders>
          </w:tcPr>
          <w:p w14:paraId="2A68C42D"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Profit/(loss) for the financial period</w:t>
            </w:r>
            <w:r w:rsidRPr="00571974">
              <w:rPr>
                <w:sz w:val="16"/>
                <w:lang w:val="en-GB" w:eastAsia="en-GB" w:bidi="ar-SA"/>
              </w:rPr>
              <w:tab/>
            </w:r>
          </w:p>
        </w:tc>
        <w:tc>
          <w:tcPr>
            <w:tcW w:w="626" w:type="pct"/>
            <w:tcBorders>
              <w:top w:val="nil"/>
              <w:left w:val="nil"/>
              <w:bottom w:val="nil"/>
              <w:right w:val="nil"/>
            </w:tcBorders>
            <w:vAlign w:val="bottom"/>
          </w:tcPr>
          <w:p w14:paraId="103AB4E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4,059</w:t>
            </w:r>
          </w:p>
        </w:tc>
        <w:tc>
          <w:tcPr>
            <w:tcW w:w="626" w:type="pct"/>
            <w:tcBorders>
              <w:top w:val="nil"/>
              <w:left w:val="nil"/>
              <w:bottom w:val="nil"/>
              <w:right w:val="nil"/>
            </w:tcBorders>
            <w:vAlign w:val="bottom"/>
          </w:tcPr>
          <w:p w14:paraId="373A275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4,373</w:t>
            </w:r>
          </w:p>
        </w:tc>
        <w:tc>
          <w:tcPr>
            <w:tcW w:w="640" w:type="pct"/>
            <w:tcBorders>
              <w:top w:val="nil"/>
              <w:left w:val="nil"/>
              <w:bottom w:val="nil"/>
              <w:right w:val="nil"/>
            </w:tcBorders>
            <w:vAlign w:val="bottom"/>
          </w:tcPr>
          <w:p w14:paraId="4D03AA9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4,582</w:t>
            </w:r>
          </w:p>
        </w:tc>
      </w:tr>
      <w:tr w:rsidR="002228B8" w14:paraId="7322837C" w14:textId="77777777" w:rsidTr="00DF4A0D">
        <w:trPr>
          <w:cantSplit/>
          <w:trHeight w:val="222"/>
        </w:trPr>
        <w:tc>
          <w:tcPr>
            <w:tcW w:w="3108" w:type="pct"/>
            <w:tcBorders>
              <w:top w:val="nil"/>
              <w:left w:val="nil"/>
              <w:bottom w:val="nil"/>
              <w:right w:val="nil"/>
            </w:tcBorders>
          </w:tcPr>
          <w:p w14:paraId="1916AE21"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Underlying earnings</w:t>
            </w:r>
            <w:r w:rsidRPr="00571974">
              <w:rPr>
                <w:sz w:val="16"/>
                <w:vertAlign w:val="superscript"/>
                <w:lang w:val="en-GB" w:eastAsia="en-GB" w:bidi="ar-SA"/>
              </w:rPr>
              <w:t>(1)</w:t>
            </w:r>
            <w:r w:rsidRPr="00571974">
              <w:rPr>
                <w:sz w:val="16"/>
                <w:lang w:val="en-GB" w:eastAsia="en-GB" w:bidi="ar-SA"/>
              </w:rPr>
              <w:tab/>
            </w:r>
          </w:p>
        </w:tc>
        <w:tc>
          <w:tcPr>
            <w:tcW w:w="626" w:type="pct"/>
            <w:tcBorders>
              <w:top w:val="nil"/>
              <w:left w:val="nil"/>
              <w:bottom w:val="nil"/>
              <w:right w:val="nil"/>
            </w:tcBorders>
            <w:vAlign w:val="bottom"/>
          </w:tcPr>
          <w:p w14:paraId="1622F58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3,272</w:t>
            </w:r>
          </w:p>
        </w:tc>
        <w:tc>
          <w:tcPr>
            <w:tcW w:w="626" w:type="pct"/>
            <w:tcBorders>
              <w:top w:val="nil"/>
              <w:left w:val="nil"/>
              <w:bottom w:val="nil"/>
              <w:right w:val="nil"/>
            </w:tcBorders>
            <w:vAlign w:val="bottom"/>
          </w:tcPr>
          <w:p w14:paraId="563288E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3,237</w:t>
            </w:r>
          </w:p>
        </w:tc>
        <w:tc>
          <w:tcPr>
            <w:tcW w:w="640" w:type="pct"/>
            <w:tcBorders>
              <w:top w:val="nil"/>
              <w:left w:val="nil"/>
              <w:bottom w:val="nil"/>
              <w:right w:val="nil"/>
            </w:tcBorders>
            <w:vAlign w:val="bottom"/>
          </w:tcPr>
          <w:p w14:paraId="6BBAAA4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3,468</w:t>
            </w:r>
          </w:p>
        </w:tc>
      </w:tr>
      <w:tr w:rsidR="002228B8" w14:paraId="1A16E41D" w14:textId="77777777" w:rsidTr="00DF4A0D">
        <w:trPr>
          <w:cantSplit/>
          <w:trHeight w:val="222"/>
        </w:trPr>
        <w:tc>
          <w:tcPr>
            <w:tcW w:w="3108" w:type="pct"/>
            <w:tcBorders>
              <w:top w:val="nil"/>
              <w:left w:val="nil"/>
              <w:bottom w:val="nil"/>
              <w:right w:val="nil"/>
            </w:tcBorders>
          </w:tcPr>
          <w:p w14:paraId="0E1B204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609"/>
              </w:tabs>
              <w:suppressAutoHyphens/>
              <w:ind w:left="200" w:hanging="200"/>
              <w:rPr>
                <w:sz w:val="16"/>
                <w:lang w:val="en-GB" w:eastAsia="en-GB" w:bidi="ar-SA"/>
              </w:rPr>
            </w:pPr>
            <w:r w:rsidRPr="00571974">
              <w:rPr>
                <w:b/>
                <w:bCs/>
                <w:sz w:val="16"/>
                <w:lang w:val="en-GB" w:eastAsia="en-GB" w:bidi="ar-SA"/>
              </w:rPr>
              <w:t>Earnings/(loss) per share (US$)</w:t>
            </w:r>
          </w:p>
        </w:tc>
        <w:tc>
          <w:tcPr>
            <w:tcW w:w="626" w:type="pct"/>
            <w:tcBorders>
              <w:top w:val="nil"/>
              <w:left w:val="nil"/>
              <w:bottom w:val="nil"/>
              <w:right w:val="nil"/>
            </w:tcBorders>
            <w:vAlign w:val="bottom"/>
          </w:tcPr>
          <w:p w14:paraId="41B179B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50963C7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2E9B624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15F5BD50" w14:textId="77777777" w:rsidTr="00DF4A0D">
        <w:trPr>
          <w:cantSplit/>
          <w:trHeight w:val="222"/>
        </w:trPr>
        <w:tc>
          <w:tcPr>
            <w:tcW w:w="3108" w:type="pct"/>
            <w:tcBorders>
              <w:top w:val="nil"/>
              <w:left w:val="nil"/>
              <w:bottom w:val="nil"/>
              <w:right w:val="nil"/>
            </w:tcBorders>
          </w:tcPr>
          <w:p w14:paraId="7B39F297"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Basic</w:t>
            </w:r>
            <w:r w:rsidRPr="00571974">
              <w:rPr>
                <w:sz w:val="16"/>
                <w:lang w:val="en-GB" w:eastAsia="en-GB" w:bidi="ar-SA"/>
              </w:rPr>
              <w:tab/>
            </w:r>
          </w:p>
        </w:tc>
        <w:tc>
          <w:tcPr>
            <w:tcW w:w="626" w:type="pct"/>
            <w:tcBorders>
              <w:top w:val="nil"/>
              <w:left w:val="nil"/>
              <w:bottom w:val="nil"/>
              <w:right w:val="nil"/>
            </w:tcBorders>
            <w:vAlign w:val="bottom"/>
          </w:tcPr>
          <w:p w14:paraId="791C84B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2.48</w:t>
            </w:r>
          </w:p>
        </w:tc>
        <w:tc>
          <w:tcPr>
            <w:tcW w:w="626" w:type="pct"/>
            <w:tcBorders>
              <w:top w:val="nil"/>
              <w:left w:val="nil"/>
              <w:bottom w:val="nil"/>
              <w:right w:val="nil"/>
            </w:tcBorders>
            <w:vAlign w:val="bottom"/>
          </w:tcPr>
          <w:p w14:paraId="561B3B4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2.80</w:t>
            </w:r>
          </w:p>
        </w:tc>
        <w:tc>
          <w:tcPr>
            <w:tcW w:w="640" w:type="pct"/>
            <w:tcBorders>
              <w:top w:val="nil"/>
              <w:left w:val="nil"/>
              <w:bottom w:val="nil"/>
              <w:right w:val="nil"/>
            </w:tcBorders>
            <w:vAlign w:val="bottom"/>
          </w:tcPr>
          <w:p w14:paraId="6DBD65C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2.81</w:t>
            </w:r>
          </w:p>
        </w:tc>
      </w:tr>
      <w:tr w:rsidR="002228B8" w14:paraId="5F275CC8" w14:textId="77777777" w:rsidTr="00DF4A0D">
        <w:trPr>
          <w:cantSplit/>
          <w:trHeight w:val="240"/>
        </w:trPr>
        <w:tc>
          <w:tcPr>
            <w:tcW w:w="3108" w:type="pct"/>
            <w:tcBorders>
              <w:top w:val="nil"/>
              <w:left w:val="nil"/>
              <w:bottom w:val="nil"/>
              <w:right w:val="nil"/>
            </w:tcBorders>
          </w:tcPr>
          <w:p w14:paraId="0F6C6707"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Diluted</w:t>
            </w:r>
            <w:r w:rsidRPr="00571974">
              <w:rPr>
                <w:sz w:val="16"/>
                <w:lang w:val="en-GB" w:eastAsia="en-GB" w:bidi="ar-SA"/>
              </w:rPr>
              <w:tab/>
            </w:r>
          </w:p>
        </w:tc>
        <w:tc>
          <w:tcPr>
            <w:tcW w:w="626" w:type="pct"/>
            <w:tcBorders>
              <w:top w:val="nil"/>
              <w:left w:val="nil"/>
              <w:bottom w:val="nil"/>
              <w:right w:val="nil"/>
            </w:tcBorders>
            <w:vAlign w:val="bottom"/>
          </w:tcPr>
          <w:p w14:paraId="4CB93D8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2.45</w:t>
            </w:r>
          </w:p>
        </w:tc>
        <w:tc>
          <w:tcPr>
            <w:tcW w:w="626" w:type="pct"/>
            <w:tcBorders>
              <w:top w:val="nil"/>
              <w:left w:val="nil"/>
              <w:bottom w:val="nil"/>
              <w:right w:val="nil"/>
            </w:tcBorders>
            <w:vAlign w:val="bottom"/>
          </w:tcPr>
          <w:p w14:paraId="797A308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2.74</w:t>
            </w:r>
          </w:p>
        </w:tc>
        <w:tc>
          <w:tcPr>
            <w:tcW w:w="640" w:type="pct"/>
            <w:tcBorders>
              <w:top w:val="nil"/>
              <w:left w:val="nil"/>
              <w:bottom w:val="nil"/>
              <w:right w:val="nil"/>
            </w:tcBorders>
            <w:vAlign w:val="bottom"/>
          </w:tcPr>
          <w:p w14:paraId="5FA52FC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2.76</w:t>
            </w:r>
          </w:p>
        </w:tc>
      </w:tr>
      <w:tr w:rsidR="002228B8" w14:paraId="7C29C2A1" w14:textId="77777777" w:rsidTr="00DF4A0D">
        <w:trPr>
          <w:cantSplit/>
          <w:trHeight w:val="222"/>
        </w:trPr>
        <w:tc>
          <w:tcPr>
            <w:tcW w:w="3108" w:type="pct"/>
            <w:tcBorders>
              <w:top w:val="nil"/>
              <w:left w:val="nil"/>
              <w:bottom w:val="nil"/>
              <w:right w:val="nil"/>
            </w:tcBorders>
          </w:tcPr>
          <w:p w14:paraId="041F3CE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609"/>
              </w:tabs>
              <w:suppressAutoHyphens/>
              <w:ind w:left="200" w:hanging="200"/>
              <w:rPr>
                <w:sz w:val="16"/>
                <w:lang w:val="en-GB" w:eastAsia="en-GB" w:bidi="ar-SA"/>
              </w:rPr>
            </w:pPr>
            <w:r w:rsidRPr="00571974">
              <w:rPr>
                <w:b/>
                <w:bCs/>
                <w:sz w:val="16"/>
                <w:lang w:val="en-GB" w:eastAsia="en-GB" w:bidi="ar-SA"/>
              </w:rPr>
              <w:t>Dividends per share (U.S. cents)</w:t>
            </w:r>
            <w:r w:rsidRPr="00571974">
              <w:rPr>
                <w:sz w:val="16"/>
                <w:vertAlign w:val="superscript"/>
                <w:lang w:val="en-GB" w:eastAsia="en-GB" w:bidi="ar-SA"/>
              </w:rPr>
              <w:t>(3)</w:t>
            </w:r>
          </w:p>
        </w:tc>
        <w:tc>
          <w:tcPr>
            <w:tcW w:w="626" w:type="pct"/>
            <w:tcBorders>
              <w:top w:val="nil"/>
              <w:left w:val="nil"/>
              <w:bottom w:val="nil"/>
              <w:right w:val="nil"/>
            </w:tcBorders>
            <w:vAlign w:val="bottom"/>
          </w:tcPr>
          <w:p w14:paraId="3D71028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337AB1E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050717D4"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2674CAE9" w14:textId="77777777" w:rsidTr="00DF4A0D">
        <w:trPr>
          <w:cantSplit/>
          <w:trHeight w:val="222"/>
        </w:trPr>
        <w:tc>
          <w:tcPr>
            <w:tcW w:w="3108" w:type="pct"/>
            <w:tcBorders>
              <w:top w:val="nil"/>
              <w:left w:val="nil"/>
              <w:bottom w:val="nil"/>
              <w:right w:val="nil"/>
            </w:tcBorders>
          </w:tcPr>
          <w:p w14:paraId="691C978B"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Ordinary</w:t>
            </w:r>
            <w:r w:rsidRPr="00571974">
              <w:rPr>
                <w:sz w:val="16"/>
                <w:lang w:val="en-GB" w:eastAsia="en-GB" w:bidi="ar-SA"/>
              </w:rPr>
              <w:tab/>
            </w:r>
          </w:p>
        </w:tc>
        <w:tc>
          <w:tcPr>
            <w:tcW w:w="626" w:type="pct"/>
            <w:tcBorders>
              <w:top w:val="nil"/>
              <w:left w:val="nil"/>
              <w:bottom w:val="nil"/>
              <w:right w:val="nil"/>
            </w:tcBorders>
            <w:vAlign w:val="bottom"/>
          </w:tcPr>
          <w:p w14:paraId="08EE8F7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102.0</w:t>
            </w:r>
          </w:p>
        </w:tc>
        <w:tc>
          <w:tcPr>
            <w:tcW w:w="626" w:type="pct"/>
            <w:tcBorders>
              <w:top w:val="nil"/>
              <w:left w:val="nil"/>
              <w:bottom w:val="nil"/>
              <w:right w:val="nil"/>
            </w:tcBorders>
            <w:vAlign w:val="bottom"/>
          </w:tcPr>
          <w:p w14:paraId="43032F4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100.0</w:t>
            </w:r>
          </w:p>
        </w:tc>
        <w:tc>
          <w:tcPr>
            <w:tcW w:w="640" w:type="pct"/>
            <w:tcBorders>
              <w:top w:val="nil"/>
              <w:left w:val="nil"/>
              <w:bottom w:val="nil"/>
              <w:right w:val="nil"/>
            </w:tcBorders>
            <w:vAlign w:val="bottom"/>
          </w:tcPr>
          <w:p w14:paraId="6C3ACA6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109.0</w:t>
            </w:r>
          </w:p>
        </w:tc>
      </w:tr>
      <w:tr w:rsidR="002228B8" w14:paraId="53D8FDAB" w14:textId="77777777" w:rsidTr="00DF4A0D">
        <w:trPr>
          <w:cantSplit/>
          <w:trHeight w:val="222"/>
        </w:trPr>
        <w:tc>
          <w:tcPr>
            <w:tcW w:w="3108" w:type="pct"/>
            <w:tcBorders>
              <w:top w:val="nil"/>
              <w:left w:val="nil"/>
              <w:bottom w:val="nil"/>
              <w:right w:val="nil"/>
            </w:tcBorders>
          </w:tcPr>
          <w:p w14:paraId="6999045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609"/>
              </w:tabs>
              <w:suppressAutoHyphens/>
              <w:ind w:left="200" w:hanging="200"/>
              <w:rPr>
                <w:sz w:val="16"/>
                <w:lang w:val="en-GB" w:eastAsia="en-GB" w:bidi="ar-SA"/>
              </w:rPr>
            </w:pPr>
            <w:r w:rsidRPr="00571974">
              <w:rPr>
                <w:b/>
                <w:bCs/>
                <w:sz w:val="16"/>
                <w:lang w:val="en-GB" w:eastAsia="en-GB" w:bidi="ar-SA"/>
              </w:rPr>
              <w:t>Balance sheet measures</w:t>
            </w:r>
          </w:p>
        </w:tc>
        <w:tc>
          <w:tcPr>
            <w:tcW w:w="626" w:type="pct"/>
            <w:tcBorders>
              <w:top w:val="nil"/>
              <w:left w:val="nil"/>
              <w:bottom w:val="nil"/>
              <w:right w:val="nil"/>
            </w:tcBorders>
            <w:vAlign w:val="bottom"/>
          </w:tcPr>
          <w:p w14:paraId="2E476FB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0594B21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3480FF9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6D8F866F" w14:textId="77777777" w:rsidTr="00DF4A0D">
        <w:trPr>
          <w:cantSplit/>
          <w:trHeight w:val="240"/>
        </w:trPr>
        <w:tc>
          <w:tcPr>
            <w:tcW w:w="3108" w:type="pct"/>
            <w:tcBorders>
              <w:top w:val="nil"/>
              <w:left w:val="nil"/>
              <w:bottom w:val="nil"/>
              <w:right w:val="nil"/>
            </w:tcBorders>
          </w:tcPr>
          <w:p w14:paraId="46887877"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Total assets</w:t>
            </w:r>
            <w:r w:rsidRPr="00571974">
              <w:rPr>
                <w:sz w:val="16"/>
                <w:lang w:val="en-GB" w:eastAsia="en-GB" w:bidi="ar-SA"/>
              </w:rPr>
              <w:tab/>
            </w:r>
          </w:p>
        </w:tc>
        <w:tc>
          <w:tcPr>
            <w:tcW w:w="626" w:type="pct"/>
            <w:tcBorders>
              <w:top w:val="nil"/>
              <w:left w:val="nil"/>
              <w:bottom w:val="nil"/>
              <w:right w:val="nil"/>
            </w:tcBorders>
            <w:vAlign w:val="bottom"/>
          </w:tcPr>
          <w:p w14:paraId="7C8243E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54,561</w:t>
            </w:r>
          </w:p>
        </w:tc>
        <w:tc>
          <w:tcPr>
            <w:tcW w:w="626" w:type="pct"/>
            <w:tcBorders>
              <w:top w:val="nil"/>
              <w:left w:val="nil"/>
              <w:bottom w:val="nil"/>
              <w:right w:val="nil"/>
            </w:tcBorders>
            <w:vAlign w:val="bottom"/>
          </w:tcPr>
          <w:p w14:paraId="2C7494A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52,196</w:t>
            </w:r>
          </w:p>
        </w:tc>
        <w:tc>
          <w:tcPr>
            <w:tcW w:w="640" w:type="pct"/>
            <w:tcBorders>
              <w:top w:val="nil"/>
              <w:left w:val="nil"/>
              <w:bottom w:val="nil"/>
              <w:right w:val="nil"/>
            </w:tcBorders>
            <w:vAlign w:val="bottom"/>
          </w:tcPr>
          <w:p w14:paraId="0F77449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56,152</w:t>
            </w:r>
          </w:p>
        </w:tc>
      </w:tr>
      <w:tr w:rsidR="002228B8" w14:paraId="0F414371" w14:textId="77777777" w:rsidTr="00DF4A0D">
        <w:trPr>
          <w:cantSplit/>
          <w:trHeight w:val="222"/>
        </w:trPr>
        <w:tc>
          <w:tcPr>
            <w:tcW w:w="3108" w:type="pct"/>
            <w:tcBorders>
              <w:top w:val="nil"/>
              <w:left w:val="nil"/>
              <w:bottom w:val="nil"/>
              <w:right w:val="nil"/>
            </w:tcBorders>
          </w:tcPr>
          <w:p w14:paraId="36253CE5"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Medium and long-term borrowings</w:t>
            </w:r>
            <w:r w:rsidRPr="00571974">
              <w:rPr>
                <w:sz w:val="16"/>
                <w:lang w:val="en-GB" w:eastAsia="en-GB" w:bidi="ar-SA"/>
              </w:rPr>
              <w:tab/>
            </w:r>
          </w:p>
        </w:tc>
        <w:tc>
          <w:tcPr>
            <w:tcW w:w="626" w:type="pct"/>
            <w:tcBorders>
              <w:top w:val="nil"/>
              <w:left w:val="nil"/>
              <w:bottom w:val="nil"/>
              <w:right w:val="nil"/>
            </w:tcBorders>
            <w:vAlign w:val="bottom"/>
          </w:tcPr>
          <w:p w14:paraId="4D9DFEA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(10,620)</w:t>
            </w:r>
          </w:p>
        </w:tc>
        <w:tc>
          <w:tcPr>
            <w:tcW w:w="626" w:type="pct"/>
            <w:tcBorders>
              <w:top w:val="nil"/>
              <w:left w:val="nil"/>
              <w:bottom w:val="nil"/>
              <w:right w:val="nil"/>
            </w:tcBorders>
            <w:vAlign w:val="bottom"/>
          </w:tcPr>
          <w:p w14:paraId="413FF26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(8,371)</w:t>
            </w:r>
          </w:p>
        </w:tc>
        <w:tc>
          <w:tcPr>
            <w:tcW w:w="640" w:type="pct"/>
            <w:tcBorders>
              <w:top w:val="nil"/>
              <w:left w:val="nil"/>
              <w:bottom w:val="nil"/>
              <w:right w:val="nil"/>
            </w:tcBorders>
            <w:vAlign w:val="bottom"/>
          </w:tcPr>
          <w:p w14:paraId="4D429B0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(9,744)</w:t>
            </w:r>
          </w:p>
        </w:tc>
      </w:tr>
      <w:tr w:rsidR="002228B8" w14:paraId="159D86D7" w14:textId="77777777" w:rsidTr="00DF4A0D">
        <w:trPr>
          <w:cantSplit/>
          <w:trHeight w:val="222"/>
        </w:trPr>
        <w:tc>
          <w:tcPr>
            <w:tcW w:w="3108" w:type="pct"/>
            <w:tcBorders>
              <w:top w:val="nil"/>
              <w:left w:val="nil"/>
              <w:bottom w:val="nil"/>
              <w:right w:val="nil"/>
            </w:tcBorders>
          </w:tcPr>
          <w:p w14:paraId="55C503DE"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Net debt</w:t>
            </w:r>
            <w:r w:rsidRPr="00571974">
              <w:rPr>
                <w:sz w:val="16"/>
                <w:vertAlign w:val="superscript"/>
                <w:lang w:val="en-GB" w:eastAsia="en-GB" w:bidi="ar-SA"/>
              </w:rPr>
              <w:t>(1)</w:t>
            </w:r>
            <w:r w:rsidRPr="00571974">
              <w:rPr>
                <w:sz w:val="16"/>
                <w:lang w:val="en-GB" w:eastAsia="en-GB" w:bidi="ar-SA"/>
              </w:rPr>
              <w:tab/>
            </w:r>
          </w:p>
        </w:tc>
        <w:tc>
          <w:tcPr>
            <w:tcW w:w="626" w:type="pct"/>
            <w:tcBorders>
              <w:top w:val="nil"/>
              <w:left w:val="nil"/>
              <w:bottom w:val="nil"/>
              <w:right w:val="nil"/>
            </w:tcBorders>
            <w:vAlign w:val="bottom"/>
          </w:tcPr>
          <w:p w14:paraId="02322FD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(4,501)</w:t>
            </w:r>
          </w:p>
        </w:tc>
        <w:tc>
          <w:tcPr>
            <w:tcW w:w="626" w:type="pct"/>
            <w:tcBorders>
              <w:top w:val="nil"/>
              <w:left w:val="nil"/>
              <w:bottom w:val="nil"/>
              <w:right w:val="nil"/>
            </w:tcBorders>
            <w:vAlign w:val="bottom"/>
          </w:tcPr>
          <w:p w14:paraId="5A6337C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(2,848)</w:t>
            </w:r>
          </w:p>
        </w:tc>
        <w:tc>
          <w:tcPr>
            <w:tcW w:w="640" w:type="pct"/>
            <w:tcBorders>
              <w:top w:val="nil"/>
              <w:left w:val="nil"/>
              <w:bottom w:val="nil"/>
              <w:right w:val="nil"/>
            </w:tcBorders>
            <w:vAlign w:val="bottom"/>
          </w:tcPr>
          <w:p w14:paraId="2B5FCF3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(4,626)</w:t>
            </w:r>
          </w:p>
        </w:tc>
      </w:tr>
      <w:tr w:rsidR="002228B8" w14:paraId="179FC97B" w14:textId="77777777" w:rsidTr="00DF4A0D">
        <w:trPr>
          <w:cantSplit/>
          <w:trHeight w:val="222"/>
        </w:trPr>
        <w:tc>
          <w:tcPr>
            <w:tcW w:w="3108" w:type="pct"/>
            <w:tcBorders>
              <w:top w:val="nil"/>
              <w:left w:val="nil"/>
              <w:bottom w:val="nil"/>
              <w:right w:val="nil"/>
            </w:tcBorders>
          </w:tcPr>
          <w:p w14:paraId="574AA45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 w:val="right" w:leader="dot" w:pos="5609"/>
              </w:tabs>
              <w:suppressAutoHyphens/>
              <w:ind w:left="200" w:hanging="200"/>
              <w:rPr>
                <w:sz w:val="16"/>
                <w:lang w:val="en-GB" w:eastAsia="en-GB" w:bidi="ar-SA"/>
              </w:rPr>
            </w:pPr>
            <w:r w:rsidRPr="00571974">
              <w:rPr>
                <w:b/>
                <w:bCs/>
                <w:sz w:val="16"/>
                <w:lang w:val="en-GB" w:eastAsia="en-GB" w:bidi="ar-SA"/>
              </w:rPr>
              <w:t>Cash flow measures</w:t>
            </w:r>
          </w:p>
        </w:tc>
        <w:tc>
          <w:tcPr>
            <w:tcW w:w="626" w:type="pct"/>
            <w:tcBorders>
              <w:top w:val="nil"/>
              <w:left w:val="nil"/>
              <w:bottom w:val="nil"/>
              <w:right w:val="nil"/>
            </w:tcBorders>
            <w:vAlign w:val="bottom"/>
          </w:tcPr>
          <w:p w14:paraId="6590A82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7990B41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3F5AC0B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3A85CEE4" w14:textId="77777777" w:rsidTr="00DF4A0D">
        <w:trPr>
          <w:cantSplit/>
          <w:trHeight w:val="240"/>
        </w:trPr>
        <w:tc>
          <w:tcPr>
            <w:tcW w:w="3108" w:type="pct"/>
            <w:tcBorders>
              <w:top w:val="nil"/>
              <w:left w:val="nil"/>
              <w:bottom w:val="nil"/>
              <w:right w:val="nil"/>
            </w:tcBorders>
          </w:tcPr>
          <w:p w14:paraId="68013279"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Net cash inflows from operating activities</w:t>
            </w:r>
            <w:r w:rsidRPr="00571974">
              <w:rPr>
                <w:sz w:val="16"/>
                <w:lang w:val="en-GB" w:eastAsia="en-GB" w:bidi="ar-SA"/>
              </w:rPr>
              <w:tab/>
            </w:r>
          </w:p>
        </w:tc>
        <w:tc>
          <w:tcPr>
            <w:tcW w:w="626" w:type="pct"/>
            <w:tcBorders>
              <w:top w:val="nil"/>
              <w:left w:val="nil"/>
              <w:bottom w:val="nil"/>
              <w:right w:val="nil"/>
            </w:tcBorders>
            <w:vAlign w:val="bottom"/>
          </w:tcPr>
          <w:p w14:paraId="10FA2E0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8,049</w:t>
            </w:r>
          </w:p>
        </w:tc>
        <w:tc>
          <w:tcPr>
            <w:tcW w:w="626" w:type="pct"/>
            <w:tcBorders>
              <w:top w:val="nil"/>
              <w:left w:val="nil"/>
              <w:bottom w:val="nil"/>
              <w:right w:val="nil"/>
            </w:tcBorders>
            <w:vAlign w:val="bottom"/>
          </w:tcPr>
          <w:p w14:paraId="68C5068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7,127</w:t>
            </w:r>
          </w:p>
        </w:tc>
        <w:tc>
          <w:tcPr>
            <w:tcW w:w="640" w:type="pct"/>
            <w:tcBorders>
              <w:top w:val="nil"/>
              <w:left w:val="nil"/>
              <w:bottom w:val="nil"/>
              <w:right w:val="nil"/>
            </w:tcBorders>
            <w:vAlign w:val="bottom"/>
          </w:tcPr>
          <w:p w14:paraId="6999560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7,664</w:t>
            </w:r>
          </w:p>
        </w:tc>
      </w:tr>
      <w:tr w:rsidR="002228B8" w14:paraId="7B17677B" w14:textId="77777777" w:rsidTr="00DF4A0D">
        <w:trPr>
          <w:cantSplit/>
          <w:trHeight w:val="222"/>
        </w:trPr>
        <w:tc>
          <w:tcPr>
            <w:tcW w:w="3108" w:type="pct"/>
            <w:tcBorders>
              <w:top w:val="nil"/>
              <w:left w:val="nil"/>
              <w:bottom w:val="nil"/>
              <w:right w:val="nil"/>
            </w:tcBorders>
          </w:tcPr>
          <w:p w14:paraId="3A5EC8D6"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Net cash used in investing activities</w:t>
            </w:r>
            <w:r w:rsidRPr="00571974">
              <w:rPr>
                <w:sz w:val="16"/>
                <w:lang w:val="en-GB" w:eastAsia="en-GB" w:bidi="ar-SA"/>
              </w:rPr>
              <w:tab/>
            </w:r>
          </w:p>
        </w:tc>
        <w:tc>
          <w:tcPr>
            <w:tcW w:w="626" w:type="pct"/>
            <w:tcBorders>
              <w:top w:val="nil"/>
              <w:left w:val="nil"/>
              <w:bottom w:val="nil"/>
              <w:right w:val="nil"/>
            </w:tcBorders>
            <w:vAlign w:val="bottom"/>
          </w:tcPr>
          <w:p w14:paraId="614B829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(1,947)</w:t>
            </w:r>
          </w:p>
        </w:tc>
        <w:tc>
          <w:tcPr>
            <w:tcW w:w="626" w:type="pct"/>
            <w:tcBorders>
              <w:top w:val="nil"/>
              <w:left w:val="nil"/>
              <w:bottom w:val="nil"/>
              <w:right w:val="nil"/>
            </w:tcBorders>
            <w:vAlign w:val="bottom"/>
          </w:tcPr>
          <w:p w14:paraId="28DD0A2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(3,098)</w:t>
            </w:r>
          </w:p>
        </w:tc>
        <w:tc>
          <w:tcPr>
            <w:tcW w:w="640" w:type="pct"/>
            <w:tcBorders>
              <w:top w:val="nil"/>
              <w:left w:val="nil"/>
              <w:bottom w:val="nil"/>
              <w:right w:val="nil"/>
            </w:tcBorders>
            <w:vAlign w:val="bottom"/>
          </w:tcPr>
          <w:p w14:paraId="42DB88A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(4,716)</w:t>
            </w:r>
          </w:p>
        </w:tc>
      </w:tr>
      <w:tr w:rsidR="002228B8" w14:paraId="22858907" w14:textId="77777777" w:rsidTr="00DF4A0D">
        <w:trPr>
          <w:cantSplit/>
          <w:trHeight w:val="222"/>
        </w:trPr>
        <w:tc>
          <w:tcPr>
            <w:tcW w:w="3108" w:type="pct"/>
            <w:tcBorders>
              <w:top w:val="nil"/>
              <w:left w:val="nil"/>
              <w:bottom w:val="nil"/>
              <w:right w:val="nil"/>
            </w:tcBorders>
          </w:tcPr>
          <w:p w14:paraId="4BE9C594"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Net cash used in from financing activities</w:t>
            </w:r>
            <w:r w:rsidRPr="00571974">
              <w:rPr>
                <w:sz w:val="16"/>
                <w:lang w:val="en-GB" w:eastAsia="en-GB" w:bidi="ar-SA"/>
              </w:rPr>
              <w:tab/>
            </w:r>
          </w:p>
        </w:tc>
        <w:tc>
          <w:tcPr>
            <w:tcW w:w="626" w:type="pct"/>
            <w:tcBorders>
              <w:top w:val="nil"/>
              <w:left w:val="nil"/>
              <w:bottom w:val="nil"/>
              <w:right w:val="nil"/>
            </w:tcBorders>
            <w:vAlign w:val="bottom"/>
          </w:tcPr>
          <w:p w14:paraId="624DAE2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(4,553)</w:t>
            </w:r>
          </w:p>
        </w:tc>
        <w:tc>
          <w:tcPr>
            <w:tcW w:w="626" w:type="pct"/>
            <w:tcBorders>
              <w:top w:val="nil"/>
              <w:left w:val="nil"/>
              <w:bottom w:val="nil"/>
              <w:right w:val="nil"/>
            </w:tcBorders>
            <w:vAlign w:val="bottom"/>
          </w:tcPr>
          <w:p w14:paraId="59201EB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(4,977)</w:t>
            </w:r>
          </w:p>
        </w:tc>
        <w:tc>
          <w:tcPr>
            <w:tcW w:w="640" w:type="pct"/>
            <w:tcBorders>
              <w:top w:val="nil"/>
              <w:left w:val="nil"/>
              <w:bottom w:val="nil"/>
              <w:right w:val="nil"/>
            </w:tcBorders>
            <w:vAlign w:val="bottom"/>
          </w:tcPr>
          <w:p w14:paraId="4047EE1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(3,116)</w:t>
            </w:r>
          </w:p>
        </w:tc>
      </w:tr>
    </w:tbl>
    <w:p w14:paraId="77E68C82" w14:textId="77777777" w:rsidR="00DF4A0D" w:rsidRPr="00571974" w:rsidRDefault="00836D74" w:rsidP="00DF4A0D">
      <w:pPr>
        <w:rPr>
          <w:lang w:val="en-GB"/>
        </w:rPr>
      </w:pPr>
      <w:r>
        <w:rPr>
          <w:lang w:val="en-GB"/>
        </w:rPr>
        <w:pict w14:anchorId="194E1308">
          <v:rect id="_x0000_i1039" style="width:184.5pt;height:1pt" o:hrpct="250" o:hrstd="t" o:hrnoshade="t" o:hr="t" fillcolor="black" stroked="f"/>
        </w:pict>
      </w:r>
    </w:p>
    <w:p w14:paraId="62A9558E" w14:textId="6A902C39" w:rsidR="00DF4A0D" w:rsidRPr="00571974" w:rsidRDefault="003D4D89" w:rsidP="00DF4A0D">
      <w:pPr>
        <w:pStyle w:val="ListParagraph"/>
        <w:widowControl/>
        <w:numPr>
          <w:ilvl w:val="0"/>
          <w:numId w:val="3"/>
        </w:numPr>
        <w:tabs>
          <w:tab w:val="left" w:pos="-720"/>
          <w:tab w:val="left" w:pos="0"/>
        </w:tabs>
        <w:suppressAutoHyphens/>
        <w:spacing w:after="240"/>
        <w:ind w:left="284" w:hanging="284"/>
        <w:rPr>
          <w:sz w:val="16"/>
          <w:szCs w:val="18"/>
          <w:lang w:val="en-GB"/>
        </w:rPr>
      </w:pPr>
      <w:r w:rsidRPr="00571974">
        <w:rPr>
          <w:sz w:val="16"/>
          <w:szCs w:val="18"/>
          <w:lang w:val="en-GB"/>
        </w:rPr>
        <w:t xml:space="preserve">Definitions are set out in </w:t>
      </w:r>
      <w:r w:rsidR="00A311D8">
        <w:rPr>
          <w:sz w:val="16"/>
          <w:szCs w:val="18"/>
          <w:lang w:val="en-GB"/>
        </w:rPr>
        <w:t>“</w:t>
      </w:r>
      <w:r w:rsidRPr="00571974">
        <w:rPr>
          <w:sz w:val="16"/>
          <w:szCs w:val="18"/>
          <w:lang w:val="en-GB"/>
        </w:rPr>
        <w:t>Non-IFRS Financial Measures</w:t>
      </w:r>
      <w:r w:rsidR="00A311D8">
        <w:rPr>
          <w:sz w:val="16"/>
          <w:szCs w:val="18"/>
          <w:lang w:val="en-GB"/>
        </w:rPr>
        <w:t>”</w:t>
      </w:r>
      <w:r w:rsidRPr="00571974">
        <w:rPr>
          <w:sz w:val="16"/>
          <w:szCs w:val="18"/>
          <w:lang w:val="en-GB"/>
        </w:rPr>
        <w:t>.</w:t>
      </w:r>
    </w:p>
    <w:p w14:paraId="15440C05" w14:textId="77777777" w:rsidR="00DF4A0D" w:rsidRPr="00571974" w:rsidRDefault="003D4D89" w:rsidP="00DF4A0D">
      <w:pPr>
        <w:pStyle w:val="ListParagraph"/>
        <w:widowControl/>
        <w:numPr>
          <w:ilvl w:val="0"/>
          <w:numId w:val="3"/>
        </w:numPr>
        <w:tabs>
          <w:tab w:val="left" w:pos="-720"/>
          <w:tab w:val="left" w:pos="0"/>
        </w:tabs>
        <w:suppressAutoHyphens/>
        <w:spacing w:after="240"/>
        <w:ind w:left="284" w:hanging="284"/>
        <w:rPr>
          <w:sz w:val="16"/>
          <w:szCs w:val="18"/>
          <w:lang w:val="en-GB"/>
        </w:rPr>
      </w:pPr>
      <w:r w:rsidRPr="00571974">
        <w:rPr>
          <w:sz w:val="16"/>
          <w:szCs w:val="18"/>
          <w:lang w:val="en-GB"/>
        </w:rPr>
        <w:t>The reconciliation from underlying EBIT to underlying EBITDA is as follows:</w:t>
      </w:r>
    </w:p>
    <w:tbl>
      <w:tblPr>
        <w:tblW w:w="5078" w:type="pct"/>
        <w:tblLayout w:type="fixed"/>
        <w:tblCellMar>
          <w:left w:w="72" w:type="dxa"/>
          <w:right w:w="72" w:type="dxa"/>
        </w:tblCellMar>
        <w:tblLook w:val="0000" w:firstRow="0" w:lastRow="0" w:firstColumn="0" w:lastColumn="0" w:noHBand="0" w:noVBand="0"/>
      </w:tblPr>
      <w:tblGrid>
        <w:gridCol w:w="5906"/>
        <w:gridCol w:w="1190"/>
        <w:gridCol w:w="1190"/>
        <w:gridCol w:w="1216"/>
      </w:tblGrid>
      <w:tr w:rsidR="002228B8" w14:paraId="73981DD4" w14:textId="77777777" w:rsidTr="00DF4A0D">
        <w:trPr>
          <w:cantSplit/>
          <w:trHeight w:val="943"/>
        </w:trPr>
        <w:tc>
          <w:tcPr>
            <w:tcW w:w="3108" w:type="pct"/>
            <w:tcBorders>
              <w:top w:val="nil"/>
              <w:left w:val="nil"/>
              <w:bottom w:val="nil"/>
              <w:right w:val="nil"/>
            </w:tcBorders>
            <w:vAlign w:val="bottom"/>
          </w:tcPr>
          <w:p w14:paraId="6E8DD0B7"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lang w:val="en-GB" w:eastAsia="en-GB" w:bidi="ar-SA"/>
              </w:rPr>
            </w:pPr>
          </w:p>
        </w:tc>
        <w:tc>
          <w:tcPr>
            <w:tcW w:w="626" w:type="pct"/>
            <w:tcBorders>
              <w:top w:val="nil"/>
              <w:left w:val="nil"/>
              <w:bottom w:val="nil"/>
              <w:right w:val="nil"/>
            </w:tcBorders>
            <w:vAlign w:val="bottom"/>
          </w:tcPr>
          <w:p w14:paraId="518CDF7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 at or for</w:t>
            </w:r>
            <w:r w:rsidRPr="00571974">
              <w:rPr>
                <w:b/>
                <w:bCs/>
                <w:sz w:val="16"/>
                <w:szCs w:val="18"/>
                <w:lang w:val="en-GB" w:eastAsia="en-GB" w:bidi="ar-SA"/>
              </w:rPr>
              <w:br/>
              <w:t>the year-ended</w:t>
            </w:r>
            <w:r w:rsidRPr="00571974">
              <w:rPr>
                <w:b/>
                <w:bCs/>
                <w:sz w:val="16"/>
                <w:szCs w:val="18"/>
                <w:lang w:val="en-GB" w:eastAsia="en-GB" w:bidi="ar-SA"/>
              </w:rPr>
              <w:br/>
              <w:t>December 31,</w:t>
            </w:r>
            <w:r w:rsidRPr="00571974">
              <w:rPr>
                <w:b/>
                <w:bCs/>
                <w:sz w:val="16"/>
                <w:szCs w:val="18"/>
                <w:lang w:val="en-GB" w:eastAsia="en-GB" w:bidi="ar-SA"/>
              </w:rPr>
              <w:br/>
              <w:t>2017</w:t>
            </w:r>
          </w:p>
        </w:tc>
        <w:tc>
          <w:tcPr>
            <w:tcW w:w="626" w:type="pct"/>
            <w:tcBorders>
              <w:top w:val="nil"/>
              <w:left w:val="nil"/>
              <w:bottom w:val="nil"/>
              <w:right w:val="nil"/>
            </w:tcBorders>
            <w:vAlign w:val="bottom"/>
          </w:tcPr>
          <w:p w14:paraId="246589C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 at or for</w:t>
            </w:r>
            <w:r w:rsidRPr="00571974">
              <w:rPr>
                <w:b/>
                <w:bCs/>
                <w:sz w:val="16"/>
                <w:szCs w:val="18"/>
                <w:lang w:val="en-GB" w:eastAsia="en-GB" w:bidi="ar-SA"/>
              </w:rPr>
              <w:br/>
              <w:t>the year-ended</w:t>
            </w:r>
            <w:r w:rsidRPr="00571974">
              <w:rPr>
                <w:b/>
                <w:bCs/>
                <w:sz w:val="16"/>
                <w:szCs w:val="18"/>
                <w:lang w:val="en-GB" w:eastAsia="en-GB" w:bidi="ar-SA"/>
              </w:rPr>
              <w:br/>
              <w:t>December 31,</w:t>
            </w:r>
            <w:r w:rsidRPr="00571974">
              <w:rPr>
                <w:b/>
                <w:bCs/>
                <w:sz w:val="16"/>
                <w:szCs w:val="18"/>
                <w:lang w:val="en-GB" w:eastAsia="en-GB" w:bidi="ar-SA"/>
              </w:rPr>
              <w:br/>
              <w:t>2018</w:t>
            </w:r>
          </w:p>
        </w:tc>
        <w:tc>
          <w:tcPr>
            <w:tcW w:w="640" w:type="pct"/>
            <w:tcBorders>
              <w:top w:val="nil"/>
              <w:left w:val="nil"/>
              <w:bottom w:val="nil"/>
              <w:right w:val="nil"/>
            </w:tcBorders>
            <w:vAlign w:val="bottom"/>
          </w:tcPr>
          <w:p w14:paraId="6662B3C9"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 at or for</w:t>
            </w:r>
            <w:r w:rsidRPr="00571974">
              <w:rPr>
                <w:b/>
                <w:bCs/>
                <w:sz w:val="16"/>
                <w:szCs w:val="18"/>
                <w:lang w:val="en-GB" w:eastAsia="en-GB" w:bidi="ar-SA"/>
              </w:rPr>
              <w:br/>
              <w:t>the year-ended</w:t>
            </w:r>
            <w:r w:rsidRPr="00571974">
              <w:rPr>
                <w:b/>
                <w:bCs/>
                <w:sz w:val="16"/>
                <w:szCs w:val="18"/>
                <w:lang w:val="en-GB" w:eastAsia="en-GB" w:bidi="ar-SA"/>
              </w:rPr>
              <w:br/>
              <w:t>December 31,</w:t>
            </w:r>
            <w:r w:rsidRPr="00571974">
              <w:rPr>
                <w:b/>
                <w:bCs/>
                <w:sz w:val="16"/>
                <w:szCs w:val="18"/>
                <w:lang w:val="en-GB" w:eastAsia="en-GB" w:bidi="ar-SA"/>
              </w:rPr>
              <w:br/>
              <w:t>2019</w:t>
            </w:r>
          </w:p>
        </w:tc>
      </w:tr>
      <w:tr w:rsidR="002228B8" w14:paraId="31A02BBF" w14:textId="77777777" w:rsidTr="00DF4A0D">
        <w:trPr>
          <w:cantSplit/>
          <w:trHeight w:val="259"/>
        </w:trPr>
        <w:tc>
          <w:tcPr>
            <w:tcW w:w="3108" w:type="pct"/>
            <w:tcBorders>
              <w:top w:val="nil"/>
              <w:left w:val="nil"/>
              <w:bottom w:val="nil"/>
              <w:right w:val="nil"/>
            </w:tcBorders>
            <w:vAlign w:val="bottom"/>
          </w:tcPr>
          <w:p w14:paraId="2DBD38D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892" w:type="pct"/>
            <w:gridSpan w:val="3"/>
            <w:tcBorders>
              <w:top w:val="nil"/>
              <w:left w:val="nil"/>
              <w:bottom w:val="nil"/>
              <w:right w:val="nil"/>
            </w:tcBorders>
            <w:vAlign w:val="bottom"/>
          </w:tcPr>
          <w:p w14:paraId="4F3B510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6"/>
                <w:szCs w:val="18"/>
                <w:lang w:val="en-GB" w:eastAsia="en-GB" w:bidi="ar-SA"/>
              </w:rPr>
            </w:pPr>
            <w:r w:rsidRPr="00571974">
              <w:rPr>
                <w:b/>
                <w:bCs/>
                <w:i/>
                <w:iCs/>
                <w:sz w:val="16"/>
                <w:szCs w:val="18"/>
                <w:lang w:val="en-GB" w:eastAsia="en-GB" w:bidi="ar-SA"/>
              </w:rPr>
              <w:t>(US$m unless otherwise stated)</w:t>
            </w:r>
          </w:p>
        </w:tc>
      </w:tr>
      <w:tr w:rsidR="002228B8" w14:paraId="7F53BD17" w14:textId="77777777" w:rsidTr="00DF4A0D">
        <w:trPr>
          <w:cantSplit/>
          <w:trHeight w:val="222"/>
        </w:trPr>
        <w:tc>
          <w:tcPr>
            <w:tcW w:w="3108" w:type="pct"/>
            <w:tcBorders>
              <w:top w:val="nil"/>
              <w:left w:val="nil"/>
              <w:bottom w:val="nil"/>
              <w:right w:val="nil"/>
            </w:tcBorders>
          </w:tcPr>
          <w:p w14:paraId="68BB0CA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6"/>
                <w:lang w:val="en-GB" w:eastAsia="en-GB" w:bidi="ar-SA"/>
              </w:rPr>
            </w:pPr>
            <w:r w:rsidRPr="00571974">
              <w:rPr>
                <w:b/>
                <w:bCs/>
                <w:sz w:val="16"/>
                <w:lang w:val="en-GB" w:eastAsia="en-GB" w:bidi="ar-SA"/>
              </w:rPr>
              <w:t>Income statement measures</w:t>
            </w:r>
          </w:p>
        </w:tc>
        <w:tc>
          <w:tcPr>
            <w:tcW w:w="626" w:type="pct"/>
            <w:tcBorders>
              <w:top w:val="nil"/>
              <w:left w:val="nil"/>
              <w:bottom w:val="nil"/>
              <w:right w:val="nil"/>
            </w:tcBorders>
            <w:vAlign w:val="bottom"/>
          </w:tcPr>
          <w:p w14:paraId="6AE28EA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1087B14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40A7C59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r w:rsidR="002228B8" w14:paraId="7401A836" w14:textId="77777777" w:rsidTr="00DF4A0D">
        <w:trPr>
          <w:cantSplit/>
          <w:trHeight w:val="222"/>
        </w:trPr>
        <w:tc>
          <w:tcPr>
            <w:tcW w:w="3108" w:type="pct"/>
            <w:tcBorders>
              <w:top w:val="nil"/>
              <w:left w:val="nil"/>
              <w:bottom w:val="nil"/>
              <w:right w:val="nil"/>
            </w:tcBorders>
          </w:tcPr>
          <w:p w14:paraId="4A8A2500"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Underlying EBIT</w:t>
            </w:r>
            <w:r w:rsidRPr="00571974">
              <w:rPr>
                <w:sz w:val="16"/>
                <w:lang w:val="en-GB" w:eastAsia="en-GB" w:bidi="ar-SA"/>
              </w:rPr>
              <w:tab/>
            </w:r>
          </w:p>
        </w:tc>
        <w:tc>
          <w:tcPr>
            <w:tcW w:w="626" w:type="pct"/>
            <w:tcBorders>
              <w:top w:val="nil"/>
              <w:left w:val="nil"/>
              <w:bottom w:val="nil"/>
              <w:right w:val="nil"/>
            </w:tcBorders>
            <w:vAlign w:val="bottom"/>
          </w:tcPr>
          <w:p w14:paraId="30BA3E6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6,247</w:t>
            </w:r>
          </w:p>
        </w:tc>
        <w:tc>
          <w:tcPr>
            <w:tcW w:w="626" w:type="pct"/>
            <w:tcBorders>
              <w:top w:val="nil"/>
              <w:left w:val="nil"/>
              <w:bottom w:val="nil"/>
              <w:right w:val="nil"/>
            </w:tcBorders>
            <w:vAlign w:val="bottom"/>
          </w:tcPr>
          <w:p w14:paraId="73F8C13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6,377</w:t>
            </w:r>
          </w:p>
        </w:tc>
        <w:tc>
          <w:tcPr>
            <w:tcW w:w="640" w:type="pct"/>
            <w:tcBorders>
              <w:top w:val="nil"/>
              <w:left w:val="nil"/>
              <w:bottom w:val="nil"/>
              <w:right w:val="nil"/>
            </w:tcBorders>
            <w:vAlign w:val="bottom"/>
          </w:tcPr>
          <w:p w14:paraId="291A60D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7,010</w:t>
            </w:r>
          </w:p>
        </w:tc>
      </w:tr>
      <w:tr w:rsidR="002228B8" w14:paraId="41208867" w14:textId="77777777" w:rsidTr="00DF4A0D">
        <w:trPr>
          <w:cantSplit/>
          <w:trHeight w:val="222"/>
        </w:trPr>
        <w:tc>
          <w:tcPr>
            <w:tcW w:w="3108" w:type="pct"/>
            <w:tcBorders>
              <w:top w:val="nil"/>
              <w:left w:val="nil"/>
              <w:bottom w:val="nil"/>
              <w:right w:val="nil"/>
            </w:tcBorders>
          </w:tcPr>
          <w:p w14:paraId="7E9F21D7" w14:textId="3064D75A" w:rsidR="00DF4A0D" w:rsidRPr="00571974" w:rsidRDefault="003D4D89" w:rsidP="00545D1D">
            <w:pPr>
              <w:tabs>
                <w:tab w:val="right" w:leader="dot" w:pos="5609"/>
              </w:tabs>
              <w:suppressAutoHyphens/>
              <w:ind w:left="200" w:hanging="200"/>
              <w:rPr>
                <w:sz w:val="16"/>
                <w:lang w:val="en-GB" w:eastAsia="en-GB" w:bidi="ar-SA"/>
              </w:rPr>
            </w:pPr>
            <w:r w:rsidRPr="00571974">
              <w:rPr>
                <w:sz w:val="16"/>
                <w:lang w:val="en-GB" w:eastAsia="en-GB" w:bidi="ar-SA"/>
              </w:rPr>
              <w:t>Depreciation and amortization (including associates and joint ventures)</w:t>
            </w:r>
            <w:r w:rsidR="00545D1D" w:rsidRPr="00571974">
              <w:rPr>
                <w:sz w:val="16"/>
                <w:vertAlign w:val="superscript"/>
                <w:lang w:val="en-GB" w:eastAsia="en-GB" w:bidi="ar-SA"/>
              </w:rPr>
              <w:t>(</w:t>
            </w:r>
            <w:r w:rsidR="00545D1D">
              <w:rPr>
                <w:sz w:val="16"/>
                <w:vertAlign w:val="superscript"/>
                <w:lang w:val="en-GB" w:eastAsia="en-GB" w:bidi="ar-SA"/>
              </w:rPr>
              <w:t>4</w:t>
            </w:r>
            <w:r w:rsidR="00545D1D" w:rsidRPr="00571974">
              <w:rPr>
                <w:sz w:val="16"/>
                <w:vertAlign w:val="superscript"/>
                <w:lang w:val="en-GB" w:eastAsia="en-GB" w:bidi="ar-SA"/>
              </w:rPr>
              <w:t>)</w:t>
            </w:r>
            <w:r w:rsidRPr="00571974">
              <w:rPr>
                <w:sz w:val="16"/>
                <w:lang w:val="en-GB" w:eastAsia="en-GB" w:bidi="ar-SA"/>
              </w:rPr>
              <w:tab/>
            </w:r>
          </w:p>
        </w:tc>
        <w:tc>
          <w:tcPr>
            <w:tcW w:w="626" w:type="pct"/>
            <w:tcBorders>
              <w:top w:val="nil"/>
              <w:left w:val="nil"/>
              <w:bottom w:val="nil"/>
              <w:right w:val="nil"/>
            </w:tcBorders>
            <w:vAlign w:val="bottom"/>
          </w:tcPr>
          <w:p w14:paraId="39E2299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2,576</w:t>
            </w:r>
          </w:p>
        </w:tc>
        <w:tc>
          <w:tcPr>
            <w:tcW w:w="626" w:type="pct"/>
            <w:tcBorders>
              <w:top w:val="nil"/>
              <w:left w:val="nil"/>
              <w:bottom w:val="nil"/>
              <w:right w:val="nil"/>
            </w:tcBorders>
            <w:vAlign w:val="bottom"/>
          </w:tcPr>
          <w:p w14:paraId="34637D9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2,784</w:t>
            </w:r>
          </w:p>
        </w:tc>
        <w:tc>
          <w:tcPr>
            <w:tcW w:w="640" w:type="pct"/>
            <w:tcBorders>
              <w:top w:val="nil"/>
              <w:left w:val="nil"/>
              <w:bottom w:val="nil"/>
              <w:right w:val="nil"/>
            </w:tcBorders>
            <w:vAlign w:val="bottom"/>
          </w:tcPr>
          <w:p w14:paraId="67D713D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2,996</w:t>
            </w:r>
          </w:p>
        </w:tc>
      </w:tr>
      <w:tr w:rsidR="002228B8" w14:paraId="3E339792" w14:textId="77777777" w:rsidTr="00DF4A0D">
        <w:trPr>
          <w:cantSplit/>
          <w:trHeight w:val="222"/>
        </w:trPr>
        <w:tc>
          <w:tcPr>
            <w:tcW w:w="3108" w:type="pct"/>
            <w:tcBorders>
              <w:top w:val="nil"/>
              <w:left w:val="nil"/>
              <w:bottom w:val="nil"/>
              <w:right w:val="nil"/>
            </w:tcBorders>
          </w:tcPr>
          <w:p w14:paraId="181DAFD6" w14:textId="77777777" w:rsidR="00DF4A0D" w:rsidRPr="00571974" w:rsidRDefault="003D4D89" w:rsidP="00DF4A0D">
            <w:pPr>
              <w:tabs>
                <w:tab w:val="right" w:leader="dot" w:pos="5609"/>
              </w:tabs>
              <w:suppressAutoHyphens/>
              <w:ind w:left="200" w:hanging="200"/>
              <w:rPr>
                <w:sz w:val="16"/>
                <w:lang w:val="en-GB" w:eastAsia="en-GB" w:bidi="ar-SA"/>
              </w:rPr>
            </w:pPr>
            <w:r w:rsidRPr="00571974">
              <w:rPr>
                <w:sz w:val="16"/>
                <w:lang w:val="en-GB" w:eastAsia="en-GB" w:bidi="ar-SA"/>
              </w:rPr>
              <w:t>Underlying EBITDA</w:t>
            </w:r>
            <w:r w:rsidRPr="00571974">
              <w:rPr>
                <w:sz w:val="16"/>
                <w:lang w:val="en-GB" w:eastAsia="en-GB" w:bidi="ar-SA"/>
              </w:rPr>
              <w:tab/>
            </w:r>
          </w:p>
        </w:tc>
        <w:tc>
          <w:tcPr>
            <w:tcW w:w="626" w:type="pct"/>
            <w:tcBorders>
              <w:top w:val="nil"/>
              <w:left w:val="nil"/>
              <w:bottom w:val="nil"/>
              <w:right w:val="nil"/>
            </w:tcBorders>
            <w:vAlign w:val="bottom"/>
          </w:tcPr>
          <w:p w14:paraId="45EF651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8,823</w:t>
            </w:r>
          </w:p>
        </w:tc>
        <w:tc>
          <w:tcPr>
            <w:tcW w:w="626" w:type="pct"/>
            <w:tcBorders>
              <w:top w:val="nil"/>
              <w:left w:val="nil"/>
              <w:bottom w:val="nil"/>
              <w:right w:val="nil"/>
            </w:tcBorders>
            <w:vAlign w:val="bottom"/>
          </w:tcPr>
          <w:p w14:paraId="0C0697C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9,161</w:t>
            </w:r>
          </w:p>
        </w:tc>
        <w:tc>
          <w:tcPr>
            <w:tcW w:w="640" w:type="pct"/>
            <w:tcBorders>
              <w:top w:val="nil"/>
              <w:left w:val="nil"/>
              <w:bottom w:val="nil"/>
              <w:right w:val="nil"/>
            </w:tcBorders>
            <w:vAlign w:val="bottom"/>
          </w:tcPr>
          <w:p w14:paraId="73F94E0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10,006</w:t>
            </w:r>
          </w:p>
        </w:tc>
      </w:tr>
      <w:tr w:rsidR="002228B8" w14:paraId="2DE2E4DF" w14:textId="77777777" w:rsidTr="00DF4A0D">
        <w:trPr>
          <w:cantSplit/>
          <w:trHeight w:val="222"/>
        </w:trPr>
        <w:tc>
          <w:tcPr>
            <w:tcW w:w="3108" w:type="pct"/>
            <w:tcBorders>
              <w:top w:val="nil"/>
              <w:left w:val="nil"/>
              <w:bottom w:val="nil"/>
              <w:right w:val="nil"/>
            </w:tcBorders>
          </w:tcPr>
          <w:p w14:paraId="5C4A8FE2" w14:textId="77777777" w:rsidR="00DF4A0D" w:rsidRPr="00571974" w:rsidRDefault="00DF4A0D" w:rsidP="00DF4A0D">
            <w:pPr>
              <w:tabs>
                <w:tab w:val="right" w:leader="dot" w:pos="5609"/>
              </w:tabs>
              <w:suppressAutoHyphens/>
              <w:ind w:left="200" w:hanging="200"/>
              <w:rPr>
                <w:sz w:val="16"/>
                <w:lang w:val="en-GB" w:eastAsia="en-GB" w:bidi="ar-SA"/>
              </w:rPr>
            </w:pPr>
          </w:p>
        </w:tc>
        <w:tc>
          <w:tcPr>
            <w:tcW w:w="626" w:type="pct"/>
            <w:tcBorders>
              <w:top w:val="nil"/>
              <w:left w:val="nil"/>
              <w:bottom w:val="nil"/>
              <w:right w:val="nil"/>
            </w:tcBorders>
            <w:vAlign w:val="bottom"/>
          </w:tcPr>
          <w:p w14:paraId="337EB4C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26" w:type="pct"/>
            <w:tcBorders>
              <w:top w:val="nil"/>
              <w:left w:val="nil"/>
              <w:bottom w:val="nil"/>
              <w:right w:val="nil"/>
            </w:tcBorders>
            <w:vAlign w:val="bottom"/>
          </w:tcPr>
          <w:p w14:paraId="1EE94049"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640" w:type="pct"/>
            <w:tcBorders>
              <w:top w:val="nil"/>
              <w:left w:val="nil"/>
              <w:bottom w:val="nil"/>
              <w:right w:val="nil"/>
            </w:tcBorders>
            <w:vAlign w:val="bottom"/>
          </w:tcPr>
          <w:p w14:paraId="7553E0C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r>
    </w:tbl>
    <w:p w14:paraId="747309DD" w14:textId="65A8A02A" w:rsidR="00DF4A0D" w:rsidRDefault="003D4D89" w:rsidP="00466832">
      <w:pPr>
        <w:pStyle w:val="ListParagraph"/>
        <w:widowControl/>
        <w:numPr>
          <w:ilvl w:val="0"/>
          <w:numId w:val="3"/>
        </w:numPr>
        <w:tabs>
          <w:tab w:val="left" w:pos="-720"/>
          <w:tab w:val="left" w:pos="0"/>
        </w:tabs>
        <w:suppressAutoHyphens/>
        <w:spacing w:after="240"/>
        <w:ind w:left="284" w:hanging="284"/>
        <w:rPr>
          <w:sz w:val="16"/>
          <w:szCs w:val="18"/>
          <w:lang w:val="en-GB"/>
        </w:rPr>
      </w:pPr>
      <w:r w:rsidRPr="00571974">
        <w:rPr>
          <w:sz w:val="16"/>
          <w:szCs w:val="18"/>
          <w:lang w:val="en-GB"/>
        </w:rPr>
        <w:t>Year-end dividends proposed in respect of the applicable year-ended December 31.</w:t>
      </w:r>
    </w:p>
    <w:p w14:paraId="111563D2" w14:textId="66BF00EC" w:rsidR="00545D1D" w:rsidRPr="00466832" w:rsidRDefault="00545D1D" w:rsidP="00466832">
      <w:pPr>
        <w:pStyle w:val="ListParagraph"/>
        <w:widowControl/>
        <w:numPr>
          <w:ilvl w:val="0"/>
          <w:numId w:val="3"/>
        </w:numPr>
        <w:tabs>
          <w:tab w:val="left" w:pos="-720"/>
          <w:tab w:val="left" w:pos="0"/>
        </w:tabs>
        <w:suppressAutoHyphens/>
        <w:spacing w:after="240"/>
        <w:ind w:left="284" w:hanging="284"/>
        <w:rPr>
          <w:sz w:val="16"/>
          <w:szCs w:val="18"/>
          <w:lang w:val="en-GB"/>
        </w:rPr>
      </w:pPr>
      <w:r>
        <w:rPr>
          <w:sz w:val="16"/>
          <w:szCs w:val="18"/>
          <w:lang w:val="en-GB"/>
        </w:rPr>
        <w:t>Non-IFRS measure: depreciation and amortisation, including associates and joint ventures.</w:t>
      </w:r>
      <w:r w:rsidR="00956F99">
        <w:rPr>
          <w:sz w:val="16"/>
          <w:szCs w:val="18"/>
          <w:lang w:val="en-GB"/>
        </w:rPr>
        <w:t xml:space="preserve"> </w:t>
      </w:r>
      <w:r>
        <w:rPr>
          <w:sz w:val="16"/>
          <w:szCs w:val="18"/>
          <w:lang w:val="en-GB"/>
        </w:rPr>
        <w:t>Reconciliation to the closest IFRS measure, consolidated depreciation and amortisation, is disclosed in Note 2 of the 2019 Group Consolidated Financial Statements.</w:t>
      </w:r>
    </w:p>
    <w:bookmarkEnd w:id="64"/>
    <w:bookmarkEnd w:id="67"/>
    <w:p w14:paraId="7C4E4EBB" w14:textId="77777777" w:rsidR="00542FF4" w:rsidRPr="00571974" w:rsidRDefault="003D4D89" w:rsidP="00542FF4">
      <w:pPr>
        <w:pStyle w:val="Heading1"/>
        <w:rPr>
          <w:lang w:val="en-GB"/>
        </w:rPr>
      </w:pPr>
      <w:r w:rsidRPr="00571974">
        <w:rPr>
          <w:sz w:val="16"/>
          <w:szCs w:val="18"/>
          <w:lang w:val="en-GB"/>
        </w:rPr>
        <w:br w:type="page"/>
      </w:r>
      <w:bookmarkStart w:id="68" w:name="_Toc36388964"/>
      <w:bookmarkStart w:id="69" w:name="_Toc349210424"/>
      <w:bookmarkStart w:id="70" w:name="_Hlk506830515"/>
      <w:r w:rsidRPr="00571974">
        <w:rPr>
          <w:lang w:val="en-GB"/>
        </w:rPr>
        <w:lastRenderedPageBreak/>
        <w:t>OPERATING AND FINANCIAL REVIEW</w:t>
      </w:r>
      <w:bookmarkEnd w:id="68"/>
    </w:p>
    <w:p w14:paraId="632F480E" w14:textId="689FA517" w:rsidR="00542FF4" w:rsidRPr="00571974" w:rsidRDefault="003D4D89" w:rsidP="001003BB">
      <w:pPr>
        <w:pStyle w:val="BodyText"/>
        <w:widowControl/>
        <w:autoSpaceDE/>
        <w:autoSpaceDN/>
        <w:adjustRightInd/>
        <w:ind w:firstLine="360"/>
        <w:rPr>
          <w:i/>
          <w:lang w:val="en-GB"/>
        </w:rPr>
      </w:pPr>
      <w:r w:rsidRPr="00571974">
        <w:rPr>
          <w:i/>
          <w:lang w:val="en-GB"/>
        </w:rPr>
        <w:t xml:space="preserve">This </w:t>
      </w:r>
      <w:r w:rsidR="00A311D8">
        <w:rPr>
          <w:i/>
          <w:lang w:val="en-GB"/>
        </w:rPr>
        <w:t>“</w:t>
      </w:r>
      <w:r w:rsidRPr="00571974">
        <w:rPr>
          <w:i/>
          <w:lang w:val="en-GB"/>
        </w:rPr>
        <w:t>Operating and Financial Review</w:t>
      </w:r>
      <w:r w:rsidR="00A311D8">
        <w:rPr>
          <w:i/>
          <w:lang w:val="en-GB"/>
        </w:rPr>
        <w:t>”</w:t>
      </w:r>
      <w:r w:rsidRPr="00571974">
        <w:rPr>
          <w:i/>
          <w:lang w:val="en-GB"/>
        </w:rPr>
        <w:t xml:space="preserve"> section is intended to convey management</w:t>
      </w:r>
      <w:r w:rsidR="00A311D8">
        <w:rPr>
          <w:i/>
          <w:lang w:val="en-GB"/>
        </w:rPr>
        <w:t>’</w:t>
      </w:r>
      <w:r w:rsidRPr="00571974">
        <w:rPr>
          <w:i/>
          <w:lang w:val="en-GB"/>
        </w:rPr>
        <w:t>s perspective on the Group</w:t>
      </w:r>
      <w:r w:rsidR="00A311D8">
        <w:rPr>
          <w:i/>
          <w:lang w:val="en-GB"/>
        </w:rPr>
        <w:t>’</w:t>
      </w:r>
      <w:r w:rsidRPr="00571974">
        <w:rPr>
          <w:i/>
          <w:lang w:val="en-GB"/>
        </w:rPr>
        <w:t xml:space="preserve">s operational performance and its financial performance as measured in accordance with IFRS. We intend this disclosure to assist </w:t>
      </w:r>
      <w:r w:rsidR="00E93869" w:rsidRPr="00571974">
        <w:rPr>
          <w:i/>
          <w:lang w:val="en-GB"/>
        </w:rPr>
        <w:t xml:space="preserve">investors </w:t>
      </w:r>
      <w:r w:rsidRPr="00571974">
        <w:rPr>
          <w:i/>
          <w:lang w:val="en-GB"/>
        </w:rPr>
        <w:t>in understanding and interpreting the financial statements incorporated by reference in this document</w:t>
      </w:r>
      <w:r w:rsidR="00BC2790" w:rsidRPr="00571974">
        <w:rPr>
          <w:i/>
          <w:lang w:val="en-GB"/>
        </w:rPr>
        <w:t xml:space="preserve">. </w:t>
      </w:r>
      <w:r w:rsidRPr="00571974">
        <w:rPr>
          <w:i/>
          <w:lang w:val="en-GB"/>
        </w:rPr>
        <w:t xml:space="preserve">This section is based on and should be read in conjunction with the </w:t>
      </w:r>
      <w:r w:rsidR="000037CA" w:rsidRPr="00571974">
        <w:rPr>
          <w:i/>
          <w:lang w:val="en-GB"/>
        </w:rPr>
        <w:t>Group 201</w:t>
      </w:r>
      <w:r w:rsidR="00901A6F" w:rsidRPr="00571974">
        <w:rPr>
          <w:i/>
          <w:lang w:val="en-GB"/>
        </w:rPr>
        <w:t>9</w:t>
      </w:r>
      <w:r w:rsidRPr="00571974">
        <w:rPr>
          <w:i/>
          <w:lang w:val="en-GB"/>
        </w:rPr>
        <w:t xml:space="preserve"> Consolidated Financial Statements</w:t>
      </w:r>
      <w:r w:rsidR="00FF47FA" w:rsidRPr="00571974">
        <w:rPr>
          <w:i/>
          <w:lang w:val="en-GB"/>
        </w:rPr>
        <w:t xml:space="preserve">, </w:t>
      </w:r>
      <w:r w:rsidRPr="00571974">
        <w:rPr>
          <w:i/>
          <w:lang w:val="en-GB"/>
        </w:rPr>
        <w:t xml:space="preserve">the </w:t>
      </w:r>
      <w:r w:rsidR="000037CA" w:rsidRPr="00571974">
        <w:rPr>
          <w:i/>
          <w:lang w:val="en-GB"/>
        </w:rPr>
        <w:t>Group 201</w:t>
      </w:r>
      <w:r w:rsidR="00901A6F" w:rsidRPr="00571974">
        <w:rPr>
          <w:i/>
          <w:lang w:val="en-GB"/>
        </w:rPr>
        <w:t>8</w:t>
      </w:r>
      <w:r w:rsidRPr="00571974">
        <w:rPr>
          <w:i/>
          <w:lang w:val="en-GB"/>
        </w:rPr>
        <w:t xml:space="preserve"> Consolidated Financial Statements</w:t>
      </w:r>
      <w:r w:rsidR="00FF47FA" w:rsidRPr="00571974">
        <w:rPr>
          <w:i/>
          <w:lang w:val="en-GB"/>
        </w:rPr>
        <w:t xml:space="preserve"> and</w:t>
      </w:r>
      <w:r w:rsidRPr="00571974">
        <w:rPr>
          <w:i/>
          <w:lang w:val="en-GB"/>
        </w:rPr>
        <w:t xml:space="preserve"> the Group 201</w:t>
      </w:r>
      <w:r w:rsidR="00901A6F" w:rsidRPr="00571974">
        <w:rPr>
          <w:i/>
          <w:lang w:val="en-GB"/>
        </w:rPr>
        <w:t>7</w:t>
      </w:r>
      <w:r w:rsidRPr="00571974">
        <w:rPr>
          <w:i/>
          <w:lang w:val="en-GB"/>
        </w:rPr>
        <w:t xml:space="preserve"> Consolidated Financial Statements, which are incorporated by reference into this document, as well as the </w:t>
      </w:r>
      <w:r w:rsidR="00A311D8">
        <w:rPr>
          <w:i/>
          <w:lang w:val="en-GB"/>
        </w:rPr>
        <w:t>“</w:t>
      </w:r>
      <w:r w:rsidRPr="00571974">
        <w:rPr>
          <w:i/>
          <w:lang w:val="en-GB"/>
        </w:rPr>
        <w:t>Presentation of Financial Information</w:t>
      </w:r>
      <w:r w:rsidR="00A311D8">
        <w:rPr>
          <w:i/>
          <w:lang w:val="en-GB"/>
        </w:rPr>
        <w:t>”</w:t>
      </w:r>
      <w:r w:rsidRPr="00571974">
        <w:rPr>
          <w:i/>
          <w:lang w:val="en-GB"/>
        </w:rPr>
        <w:t xml:space="preserve"> section. In this analysis, </w:t>
      </w:r>
      <w:r w:rsidR="00A47B69" w:rsidRPr="00571974">
        <w:rPr>
          <w:i/>
          <w:lang w:val="en-GB"/>
        </w:rPr>
        <w:t>all references to</w:t>
      </w:r>
      <w:r w:rsidR="00BC2790" w:rsidRPr="00571974">
        <w:rPr>
          <w:i/>
          <w:lang w:val="en-GB"/>
        </w:rPr>
        <w:t xml:space="preserve"> </w:t>
      </w:r>
      <w:r w:rsidR="00A311D8">
        <w:rPr>
          <w:i/>
          <w:lang w:val="en-GB"/>
        </w:rPr>
        <w:t>“</w:t>
      </w:r>
      <w:r w:rsidRPr="00571974">
        <w:rPr>
          <w:i/>
          <w:lang w:val="en-GB"/>
        </w:rPr>
        <w:t>201</w:t>
      </w:r>
      <w:r w:rsidR="00901A6F" w:rsidRPr="00571974">
        <w:rPr>
          <w:i/>
          <w:lang w:val="en-GB"/>
        </w:rPr>
        <w:t>9</w:t>
      </w:r>
      <w:r w:rsidR="00A311D8">
        <w:rPr>
          <w:i/>
          <w:lang w:val="en-GB"/>
        </w:rPr>
        <w:t>”</w:t>
      </w:r>
      <w:r w:rsidR="00FF47FA" w:rsidRPr="00571974">
        <w:rPr>
          <w:i/>
          <w:lang w:val="en-GB"/>
        </w:rPr>
        <w:t xml:space="preserve"> are to the year </w:t>
      </w:r>
      <w:r w:rsidRPr="00571974">
        <w:rPr>
          <w:i/>
          <w:lang w:val="en-GB"/>
        </w:rPr>
        <w:t>ended December 31, 201</w:t>
      </w:r>
      <w:r w:rsidR="00901A6F" w:rsidRPr="00571974">
        <w:rPr>
          <w:i/>
          <w:lang w:val="en-GB"/>
        </w:rPr>
        <w:t>9</w:t>
      </w:r>
      <w:r w:rsidRPr="00571974">
        <w:rPr>
          <w:i/>
          <w:lang w:val="en-GB"/>
        </w:rPr>
        <w:t xml:space="preserve">, </w:t>
      </w:r>
      <w:r w:rsidR="00984F1A" w:rsidRPr="00571974">
        <w:rPr>
          <w:i/>
          <w:lang w:val="en-GB"/>
        </w:rPr>
        <w:t>all references to 201</w:t>
      </w:r>
      <w:r w:rsidR="00901A6F" w:rsidRPr="00571974">
        <w:rPr>
          <w:i/>
          <w:lang w:val="en-GB"/>
        </w:rPr>
        <w:t>8</w:t>
      </w:r>
      <w:r w:rsidR="00984F1A" w:rsidRPr="00571974">
        <w:rPr>
          <w:i/>
          <w:lang w:val="en-GB"/>
        </w:rPr>
        <w:t xml:space="preserve"> </w:t>
      </w:r>
      <w:r w:rsidRPr="00571974">
        <w:rPr>
          <w:i/>
          <w:lang w:val="en-GB"/>
        </w:rPr>
        <w:t>or t</w:t>
      </w:r>
      <w:r w:rsidR="00FF47FA" w:rsidRPr="00571974">
        <w:rPr>
          <w:i/>
          <w:lang w:val="en-GB"/>
        </w:rPr>
        <w:t xml:space="preserve">he </w:t>
      </w:r>
      <w:r w:rsidR="00A311D8">
        <w:rPr>
          <w:i/>
          <w:lang w:val="en-GB"/>
        </w:rPr>
        <w:t>“</w:t>
      </w:r>
      <w:r w:rsidR="00FF47FA" w:rsidRPr="00571974">
        <w:rPr>
          <w:i/>
          <w:lang w:val="en-GB"/>
        </w:rPr>
        <w:t>prior year</w:t>
      </w:r>
      <w:r w:rsidR="00A311D8">
        <w:rPr>
          <w:i/>
          <w:lang w:val="en-GB"/>
        </w:rPr>
        <w:t>”</w:t>
      </w:r>
      <w:r w:rsidR="00FF47FA" w:rsidRPr="00571974">
        <w:rPr>
          <w:i/>
          <w:lang w:val="en-GB"/>
        </w:rPr>
        <w:t xml:space="preserve"> are to the year </w:t>
      </w:r>
      <w:r w:rsidRPr="00571974">
        <w:rPr>
          <w:i/>
          <w:lang w:val="en-GB"/>
        </w:rPr>
        <w:t>ended December 31, 201</w:t>
      </w:r>
      <w:r w:rsidR="00901A6F" w:rsidRPr="00571974">
        <w:rPr>
          <w:i/>
          <w:lang w:val="en-GB"/>
        </w:rPr>
        <w:t>8</w:t>
      </w:r>
      <w:r w:rsidRPr="00571974">
        <w:rPr>
          <w:i/>
          <w:lang w:val="en-GB"/>
        </w:rPr>
        <w:t xml:space="preserve"> and all references to </w:t>
      </w:r>
      <w:r w:rsidR="00A311D8">
        <w:rPr>
          <w:i/>
          <w:lang w:val="en-GB"/>
        </w:rPr>
        <w:t>“</w:t>
      </w:r>
      <w:r w:rsidRPr="00571974">
        <w:rPr>
          <w:i/>
          <w:lang w:val="en-GB"/>
        </w:rPr>
        <w:t>201</w:t>
      </w:r>
      <w:r w:rsidR="00901A6F" w:rsidRPr="00571974">
        <w:rPr>
          <w:i/>
          <w:lang w:val="en-GB"/>
        </w:rPr>
        <w:t>7</w:t>
      </w:r>
      <w:r w:rsidR="00A311D8">
        <w:rPr>
          <w:i/>
          <w:lang w:val="en-GB"/>
        </w:rPr>
        <w:t>”</w:t>
      </w:r>
      <w:r w:rsidR="00FF47FA" w:rsidRPr="00571974">
        <w:rPr>
          <w:i/>
          <w:lang w:val="en-GB"/>
        </w:rPr>
        <w:t xml:space="preserve"> are to the year </w:t>
      </w:r>
      <w:r w:rsidRPr="00571974">
        <w:rPr>
          <w:i/>
          <w:lang w:val="en-GB"/>
        </w:rPr>
        <w:t>ended December 31, 201</w:t>
      </w:r>
      <w:r w:rsidR="00901A6F" w:rsidRPr="00571974">
        <w:rPr>
          <w:i/>
          <w:lang w:val="en-GB"/>
        </w:rPr>
        <w:t>7</w:t>
      </w:r>
      <w:r w:rsidRPr="00571974">
        <w:rPr>
          <w:i/>
          <w:lang w:val="en-GB"/>
        </w:rPr>
        <w:t xml:space="preserve">. </w:t>
      </w:r>
    </w:p>
    <w:p w14:paraId="27EC1F1F" w14:textId="62987122" w:rsidR="00542FF4" w:rsidRPr="00571974" w:rsidRDefault="003D4D89" w:rsidP="00542FF4">
      <w:pPr>
        <w:pStyle w:val="BodyText"/>
        <w:widowControl/>
        <w:autoSpaceDE/>
        <w:autoSpaceDN/>
        <w:adjustRightInd/>
        <w:ind w:firstLine="360"/>
        <w:rPr>
          <w:i/>
          <w:lang w:val="en-GB"/>
        </w:rPr>
      </w:pPr>
      <w:r w:rsidRPr="00571974">
        <w:rPr>
          <w:i/>
          <w:lang w:val="en-GB"/>
        </w:rPr>
        <w:t>The following discussion also contains trend information and forward</w:t>
      </w:r>
      <w:r w:rsidRPr="00571974">
        <w:rPr>
          <w:i/>
          <w:lang w:val="en-GB"/>
        </w:rPr>
        <w:noBreakHyphen/>
        <w:t>looking statements. Actual results could differ materially from those discussed in these forward</w:t>
      </w:r>
      <w:r w:rsidRPr="00571974">
        <w:rPr>
          <w:i/>
          <w:lang w:val="en-GB"/>
        </w:rPr>
        <w:noBreakHyphen/>
        <w:t xml:space="preserve">looking statements. Factors that could cause or contribute to such differences include, but are not limited to, those discussed below and elsewhere in this document, particularly under </w:t>
      </w:r>
      <w:r w:rsidR="00A311D8">
        <w:rPr>
          <w:i/>
          <w:lang w:val="en-GB"/>
        </w:rPr>
        <w:t>“</w:t>
      </w:r>
      <w:r w:rsidRPr="00571974">
        <w:rPr>
          <w:i/>
          <w:lang w:val="en-GB"/>
        </w:rPr>
        <w:t>Forward</w:t>
      </w:r>
      <w:r w:rsidRPr="00571974">
        <w:rPr>
          <w:i/>
          <w:lang w:val="en-GB"/>
        </w:rPr>
        <w:noBreakHyphen/>
        <w:t>Looking Statements</w:t>
      </w:r>
      <w:r w:rsidR="00A311D8">
        <w:rPr>
          <w:i/>
          <w:lang w:val="en-GB"/>
        </w:rPr>
        <w:t>”</w:t>
      </w:r>
      <w:r w:rsidRPr="00571974">
        <w:rPr>
          <w:i/>
          <w:lang w:val="en-GB"/>
        </w:rPr>
        <w:t xml:space="preserve"> and </w:t>
      </w:r>
      <w:r w:rsidR="00A311D8">
        <w:rPr>
          <w:i/>
          <w:lang w:val="en-GB"/>
        </w:rPr>
        <w:t>“</w:t>
      </w:r>
      <w:r w:rsidRPr="00571974">
        <w:rPr>
          <w:i/>
          <w:lang w:val="en-GB"/>
        </w:rPr>
        <w:t>Risk Factors</w:t>
      </w:r>
      <w:r w:rsidR="00A311D8">
        <w:rPr>
          <w:i/>
          <w:lang w:val="en-GB"/>
        </w:rPr>
        <w:t>”</w:t>
      </w:r>
      <w:r w:rsidRPr="00571974">
        <w:rPr>
          <w:i/>
          <w:lang w:val="en-GB"/>
        </w:rPr>
        <w:t>.</w:t>
      </w:r>
    </w:p>
    <w:p w14:paraId="2872C087" w14:textId="693F79E5" w:rsidR="00542FF4" w:rsidRPr="00571974" w:rsidRDefault="003D4D89" w:rsidP="00542FF4">
      <w:pPr>
        <w:pStyle w:val="BodyText"/>
        <w:widowControl/>
        <w:autoSpaceDE/>
        <w:autoSpaceDN/>
        <w:adjustRightInd/>
        <w:ind w:firstLine="360"/>
        <w:rPr>
          <w:i/>
          <w:lang w:val="en-GB"/>
        </w:rPr>
      </w:pPr>
      <w:r w:rsidRPr="00571974">
        <w:rPr>
          <w:i/>
          <w:lang w:val="en-GB"/>
        </w:rPr>
        <w:t xml:space="preserve">We make reference herein to certain non-IFRS financial information that is explained in </w:t>
      </w:r>
      <w:r w:rsidR="00A311D8">
        <w:rPr>
          <w:i/>
          <w:lang w:val="en-GB"/>
        </w:rPr>
        <w:t>“</w:t>
      </w:r>
      <w:r w:rsidRPr="00571974">
        <w:rPr>
          <w:i/>
          <w:lang w:val="en-GB"/>
        </w:rPr>
        <w:t>Non-IFRS Financial Measures</w:t>
      </w:r>
      <w:r w:rsidR="00A311D8">
        <w:rPr>
          <w:i/>
          <w:lang w:val="en-GB"/>
        </w:rPr>
        <w:t>”</w:t>
      </w:r>
      <w:r w:rsidRPr="00571974">
        <w:rPr>
          <w:i/>
          <w:lang w:val="en-GB"/>
        </w:rPr>
        <w:t>.</w:t>
      </w:r>
    </w:p>
    <w:p w14:paraId="5550D3D5" w14:textId="77777777" w:rsidR="00E93D9C" w:rsidRPr="00571974" w:rsidRDefault="003D4D89" w:rsidP="00E93D9C">
      <w:pPr>
        <w:pStyle w:val="Heading2"/>
        <w:rPr>
          <w:rFonts w:ascii="Times New Roman" w:hAnsi="Times New Roman"/>
          <w:lang w:val="en-GB"/>
        </w:rPr>
      </w:pPr>
      <w:bookmarkStart w:id="71" w:name="_Hlk31707231"/>
      <w:r w:rsidRPr="00571974">
        <w:rPr>
          <w:rFonts w:ascii="Times New Roman" w:hAnsi="Times New Roman"/>
          <w:lang w:val="en-GB"/>
        </w:rPr>
        <w:t>Overview</w:t>
      </w:r>
    </w:p>
    <w:p w14:paraId="18DB7596" w14:textId="77DFF6FC" w:rsidR="00E93D9C" w:rsidRPr="00571974" w:rsidRDefault="003D4D89" w:rsidP="00E93D9C">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 xml:space="preserve">s underlying earnings in 2019, 2018 and 2017 were US$3,468 million, US$3,237 million and US$3,272 million, respectively. </w:t>
      </w:r>
    </w:p>
    <w:p w14:paraId="363AC1DA" w14:textId="22A471F8" w:rsidR="00E93D9C" w:rsidRPr="00571974" w:rsidRDefault="003D4D89" w:rsidP="00E93D9C">
      <w:pPr>
        <w:pStyle w:val="BodyText"/>
        <w:widowControl/>
        <w:autoSpaceDE/>
        <w:autoSpaceDN/>
        <w:adjustRightInd/>
        <w:ind w:firstLine="360"/>
        <w:rPr>
          <w:szCs w:val="20"/>
          <w:lang w:val="en-GB"/>
        </w:rPr>
      </w:pPr>
      <w:r w:rsidRPr="00571974">
        <w:rPr>
          <w:szCs w:val="20"/>
          <w:lang w:val="en-GB"/>
        </w:rPr>
        <w:t xml:space="preserve">2019 underlying earnings were 7% above 2018, reflecting increased earnings at Minas-Rio following the re-start in operations, as well as higher realized prices and </w:t>
      </w:r>
      <w:r w:rsidR="00571974" w:rsidRPr="00571974">
        <w:rPr>
          <w:szCs w:val="20"/>
          <w:lang w:val="en-GB"/>
        </w:rPr>
        <w:t>favorable</w:t>
      </w:r>
      <w:r w:rsidRPr="00571974">
        <w:rPr>
          <w:szCs w:val="20"/>
          <w:lang w:val="en-GB"/>
        </w:rPr>
        <w:t xml:space="preserve"> exchange rates, </w:t>
      </w:r>
      <w:r w:rsidR="00BF6E4E">
        <w:rPr>
          <w:szCs w:val="20"/>
          <w:lang w:val="en-GB"/>
        </w:rPr>
        <w:t xml:space="preserve">partially </w:t>
      </w:r>
      <w:r w:rsidRPr="00571974">
        <w:rPr>
          <w:szCs w:val="20"/>
          <w:lang w:val="en-GB"/>
        </w:rPr>
        <w:t>offset by diamond midstream market weakness.</w:t>
      </w:r>
    </w:p>
    <w:p w14:paraId="072B912E" w14:textId="07CBCB73" w:rsidR="00E93D9C" w:rsidRPr="00571974" w:rsidRDefault="003D4D89" w:rsidP="00E93D9C">
      <w:pPr>
        <w:pStyle w:val="BodyText"/>
        <w:widowControl/>
        <w:autoSpaceDE/>
        <w:autoSpaceDN/>
        <w:adjustRightInd/>
        <w:ind w:firstLine="360"/>
        <w:rPr>
          <w:szCs w:val="20"/>
          <w:lang w:val="en-GB"/>
        </w:rPr>
      </w:pPr>
      <w:r w:rsidRPr="00571974">
        <w:rPr>
          <w:szCs w:val="20"/>
          <w:lang w:val="en-GB"/>
        </w:rPr>
        <w:t>2018 underlying earnings were in line with 2017 (1% decrease) as increases in overall production volumes and higher realized product prices were offset by input cost inflation and operational stoppages, including the two leaks at the Minas-Rio pipeline, third party rail constraints on iron ore export volumes at Kumba and a 40-day maintenance stoppage at Nickel</w:t>
      </w:r>
      <w:r w:rsidR="00A311D8">
        <w:rPr>
          <w:szCs w:val="20"/>
          <w:lang w:val="en-GB"/>
        </w:rPr>
        <w:t>’</w:t>
      </w:r>
      <w:r w:rsidRPr="00571974">
        <w:rPr>
          <w:szCs w:val="20"/>
          <w:lang w:val="en-GB"/>
        </w:rPr>
        <w:t>s Barro Alto plant. Average exchange rates were relatively unchanged from 2017.</w:t>
      </w:r>
    </w:p>
    <w:p w14:paraId="2D6D420B" w14:textId="3A675DFA" w:rsidR="00E93D9C" w:rsidRPr="00571974" w:rsidRDefault="003D4D89" w:rsidP="00E93D9C">
      <w:pPr>
        <w:pStyle w:val="BodyText"/>
        <w:keepNext/>
        <w:widowControl/>
        <w:autoSpaceDE/>
        <w:autoSpaceDN/>
        <w:adjustRightInd/>
        <w:ind w:firstLine="360"/>
        <w:rPr>
          <w:lang w:val="en-GB"/>
        </w:rPr>
      </w:pPr>
      <w:r w:rsidRPr="00571974">
        <w:rPr>
          <w:lang w:val="en-GB"/>
        </w:rPr>
        <w:t xml:space="preserve">The reconciliation of profit for the financial </w:t>
      </w:r>
      <w:r w:rsidR="00545D1D">
        <w:rPr>
          <w:lang w:val="en-GB"/>
        </w:rPr>
        <w:t>year</w:t>
      </w:r>
      <w:r w:rsidR="00545D1D" w:rsidRPr="00571974">
        <w:rPr>
          <w:lang w:val="en-GB"/>
        </w:rPr>
        <w:t xml:space="preserve"> </w:t>
      </w:r>
      <w:r w:rsidRPr="00571974">
        <w:rPr>
          <w:lang w:val="en-GB"/>
        </w:rPr>
        <w:t>to underlying earnings is set out below:</w:t>
      </w:r>
    </w:p>
    <w:tbl>
      <w:tblPr>
        <w:tblW w:w="5000" w:type="pct"/>
        <w:tblLayout w:type="fixed"/>
        <w:tblCellMar>
          <w:left w:w="72" w:type="dxa"/>
          <w:right w:w="72" w:type="dxa"/>
        </w:tblCellMar>
        <w:tblLook w:val="0000" w:firstRow="0" w:lastRow="0" w:firstColumn="0" w:lastColumn="0" w:noHBand="0" w:noVBand="0"/>
      </w:tblPr>
      <w:tblGrid>
        <w:gridCol w:w="6879"/>
        <w:gridCol w:w="821"/>
        <w:gridCol w:w="821"/>
        <w:gridCol w:w="835"/>
      </w:tblGrid>
      <w:tr w:rsidR="002228B8" w14:paraId="5367ED05" w14:textId="77777777" w:rsidTr="00DF4A0D">
        <w:trPr>
          <w:cantSplit/>
        </w:trPr>
        <w:tc>
          <w:tcPr>
            <w:tcW w:w="3676" w:type="pct"/>
            <w:tcBorders>
              <w:top w:val="nil"/>
              <w:left w:val="nil"/>
              <w:bottom w:val="nil"/>
              <w:right w:val="nil"/>
            </w:tcBorders>
            <w:vAlign w:val="bottom"/>
          </w:tcPr>
          <w:p w14:paraId="538B598A"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324" w:type="pct"/>
            <w:gridSpan w:val="3"/>
            <w:tcBorders>
              <w:top w:val="nil"/>
              <w:left w:val="nil"/>
              <w:bottom w:val="nil"/>
              <w:right w:val="nil"/>
            </w:tcBorders>
            <w:vAlign w:val="bottom"/>
          </w:tcPr>
          <w:p w14:paraId="23F6F028"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6"/>
                <w:lang w:val="en-GB" w:eastAsia="en-GB" w:bidi="ar-SA"/>
              </w:rPr>
            </w:pPr>
            <w:r w:rsidRPr="00571974">
              <w:rPr>
                <w:b/>
                <w:bCs/>
                <w:sz w:val="16"/>
                <w:szCs w:val="16"/>
                <w:lang w:val="en-GB" w:eastAsia="en-GB" w:bidi="ar-SA"/>
              </w:rPr>
              <w:t>Year-ended December 31,</w:t>
            </w:r>
          </w:p>
        </w:tc>
      </w:tr>
      <w:tr w:rsidR="002228B8" w14:paraId="1096227E" w14:textId="77777777" w:rsidTr="00DF4A0D">
        <w:trPr>
          <w:cantSplit/>
        </w:trPr>
        <w:tc>
          <w:tcPr>
            <w:tcW w:w="3676" w:type="pct"/>
            <w:tcBorders>
              <w:top w:val="nil"/>
              <w:left w:val="nil"/>
              <w:bottom w:val="nil"/>
              <w:right w:val="nil"/>
            </w:tcBorders>
            <w:vAlign w:val="bottom"/>
          </w:tcPr>
          <w:p w14:paraId="54FCC563"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39" w:type="pct"/>
            <w:tcBorders>
              <w:top w:val="nil"/>
              <w:left w:val="nil"/>
              <w:bottom w:val="nil"/>
              <w:right w:val="nil"/>
            </w:tcBorders>
            <w:vAlign w:val="bottom"/>
          </w:tcPr>
          <w:p w14:paraId="002D4860"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6"/>
                <w:lang w:val="en-GB" w:eastAsia="en-GB" w:bidi="ar-SA"/>
              </w:rPr>
            </w:pPr>
            <w:r w:rsidRPr="00571974">
              <w:rPr>
                <w:b/>
                <w:bCs/>
                <w:sz w:val="16"/>
                <w:szCs w:val="16"/>
                <w:lang w:val="en-GB" w:eastAsia="en-GB" w:bidi="ar-SA"/>
              </w:rPr>
              <w:t>2017</w:t>
            </w:r>
          </w:p>
        </w:tc>
        <w:tc>
          <w:tcPr>
            <w:tcW w:w="439" w:type="pct"/>
            <w:tcBorders>
              <w:top w:val="nil"/>
              <w:left w:val="nil"/>
              <w:bottom w:val="nil"/>
              <w:right w:val="nil"/>
            </w:tcBorders>
            <w:vAlign w:val="bottom"/>
          </w:tcPr>
          <w:p w14:paraId="643E4372"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6"/>
                <w:lang w:val="en-GB" w:eastAsia="en-GB" w:bidi="ar-SA"/>
              </w:rPr>
            </w:pPr>
            <w:r w:rsidRPr="00571974">
              <w:rPr>
                <w:b/>
                <w:bCs/>
                <w:sz w:val="16"/>
                <w:szCs w:val="16"/>
                <w:lang w:val="en-GB" w:eastAsia="en-GB" w:bidi="ar-SA"/>
              </w:rPr>
              <w:t>2018</w:t>
            </w:r>
          </w:p>
        </w:tc>
        <w:tc>
          <w:tcPr>
            <w:tcW w:w="446" w:type="pct"/>
            <w:tcBorders>
              <w:top w:val="nil"/>
              <w:left w:val="nil"/>
              <w:bottom w:val="nil"/>
              <w:right w:val="nil"/>
            </w:tcBorders>
            <w:vAlign w:val="bottom"/>
          </w:tcPr>
          <w:p w14:paraId="43AE4B93"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6"/>
                <w:lang w:val="en-GB" w:eastAsia="en-GB" w:bidi="ar-SA"/>
              </w:rPr>
            </w:pPr>
            <w:r w:rsidRPr="00571974">
              <w:rPr>
                <w:b/>
                <w:bCs/>
                <w:sz w:val="16"/>
                <w:szCs w:val="16"/>
                <w:lang w:val="en-GB" w:eastAsia="en-GB" w:bidi="ar-SA"/>
              </w:rPr>
              <w:t>2019</w:t>
            </w:r>
          </w:p>
        </w:tc>
      </w:tr>
      <w:tr w:rsidR="002228B8" w14:paraId="5057B2E5" w14:textId="77777777" w:rsidTr="00DF4A0D">
        <w:trPr>
          <w:cantSplit/>
        </w:trPr>
        <w:tc>
          <w:tcPr>
            <w:tcW w:w="3676" w:type="pct"/>
            <w:tcBorders>
              <w:top w:val="nil"/>
              <w:left w:val="nil"/>
              <w:bottom w:val="nil"/>
              <w:right w:val="nil"/>
            </w:tcBorders>
            <w:vAlign w:val="bottom"/>
          </w:tcPr>
          <w:p w14:paraId="6AB5F850"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324" w:type="pct"/>
            <w:gridSpan w:val="3"/>
            <w:tcBorders>
              <w:top w:val="nil"/>
              <w:left w:val="nil"/>
              <w:bottom w:val="nil"/>
              <w:right w:val="nil"/>
            </w:tcBorders>
            <w:vAlign w:val="bottom"/>
          </w:tcPr>
          <w:p w14:paraId="62040C46"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6"/>
                <w:szCs w:val="16"/>
                <w:lang w:val="en-GB" w:eastAsia="en-GB" w:bidi="ar-SA"/>
              </w:rPr>
            </w:pPr>
            <w:r w:rsidRPr="00571974">
              <w:rPr>
                <w:b/>
                <w:bCs/>
                <w:i/>
                <w:iCs/>
                <w:sz w:val="16"/>
                <w:szCs w:val="16"/>
                <w:lang w:val="en-GB" w:eastAsia="en-GB" w:bidi="ar-SA"/>
              </w:rPr>
              <w:t>(US$m)</w:t>
            </w:r>
          </w:p>
        </w:tc>
      </w:tr>
      <w:tr w:rsidR="002228B8" w14:paraId="1A1A495B" w14:textId="77777777" w:rsidTr="00DF4A0D">
        <w:trPr>
          <w:cantSplit/>
        </w:trPr>
        <w:tc>
          <w:tcPr>
            <w:tcW w:w="3676" w:type="pct"/>
            <w:tcBorders>
              <w:top w:val="nil"/>
              <w:left w:val="nil"/>
              <w:bottom w:val="nil"/>
              <w:right w:val="nil"/>
            </w:tcBorders>
          </w:tcPr>
          <w:p w14:paraId="4F76D062" w14:textId="2A8D13F7" w:rsidR="00E93D9C" w:rsidRPr="00571974" w:rsidRDefault="003D4D89" w:rsidP="00545D1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 xml:space="preserve">Profit/(loss) for the financial </w:t>
            </w:r>
            <w:r w:rsidR="00545D1D">
              <w:rPr>
                <w:sz w:val="18"/>
                <w:szCs w:val="18"/>
                <w:lang w:val="en-GB" w:eastAsia="en-GB" w:bidi="ar-SA"/>
              </w:rPr>
              <w:t>year</w:t>
            </w:r>
            <w:r w:rsidRPr="00571974">
              <w:rPr>
                <w:sz w:val="18"/>
                <w:szCs w:val="18"/>
                <w:lang w:val="en-GB" w:eastAsia="en-GB" w:bidi="ar-SA"/>
              </w:rPr>
              <w:tab/>
            </w:r>
          </w:p>
        </w:tc>
        <w:tc>
          <w:tcPr>
            <w:tcW w:w="439" w:type="pct"/>
            <w:tcBorders>
              <w:top w:val="nil"/>
              <w:left w:val="nil"/>
              <w:bottom w:val="nil"/>
              <w:right w:val="nil"/>
            </w:tcBorders>
            <w:vAlign w:val="bottom"/>
          </w:tcPr>
          <w:p w14:paraId="1C252D99"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4,059</w:t>
            </w:r>
          </w:p>
        </w:tc>
        <w:tc>
          <w:tcPr>
            <w:tcW w:w="439" w:type="pct"/>
            <w:tcBorders>
              <w:top w:val="nil"/>
              <w:left w:val="nil"/>
              <w:bottom w:val="nil"/>
              <w:right w:val="nil"/>
            </w:tcBorders>
            <w:vAlign w:val="bottom"/>
          </w:tcPr>
          <w:p w14:paraId="595312E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4,373</w:t>
            </w:r>
          </w:p>
        </w:tc>
        <w:tc>
          <w:tcPr>
            <w:tcW w:w="446" w:type="pct"/>
            <w:tcBorders>
              <w:top w:val="nil"/>
              <w:left w:val="nil"/>
              <w:bottom w:val="nil"/>
              <w:right w:val="nil"/>
            </w:tcBorders>
            <w:vAlign w:val="bottom"/>
          </w:tcPr>
          <w:p w14:paraId="630A382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4,582</w:t>
            </w:r>
          </w:p>
        </w:tc>
      </w:tr>
      <w:tr w:rsidR="002228B8" w14:paraId="7E03FDFE" w14:textId="77777777" w:rsidTr="00DF4A0D">
        <w:trPr>
          <w:cantSplit/>
        </w:trPr>
        <w:tc>
          <w:tcPr>
            <w:tcW w:w="3676" w:type="pct"/>
            <w:tcBorders>
              <w:top w:val="nil"/>
              <w:left w:val="nil"/>
              <w:bottom w:val="nil"/>
              <w:right w:val="nil"/>
            </w:tcBorders>
          </w:tcPr>
          <w:p w14:paraId="7D7CD935" w14:textId="77777777" w:rsidR="00E93D9C" w:rsidRPr="00571974" w:rsidRDefault="003D4D89" w:rsidP="00DF4A0D">
            <w:pPr>
              <w:keepNext/>
              <w:tabs>
                <w:tab w:val="right" w:leader="dot" w:pos="6674"/>
              </w:tabs>
              <w:suppressAutoHyphens/>
              <w:spacing w:after="20"/>
              <w:ind w:left="200" w:hanging="200"/>
              <w:rPr>
                <w:sz w:val="18"/>
                <w:szCs w:val="18"/>
                <w:lang w:val="en-GB" w:eastAsia="en-GB" w:bidi="ar-SA"/>
              </w:rPr>
            </w:pPr>
            <w:r w:rsidRPr="00571974">
              <w:rPr>
                <w:sz w:val="18"/>
                <w:szCs w:val="18"/>
                <w:lang w:val="en-GB" w:eastAsia="en-GB" w:bidi="ar-SA"/>
              </w:rPr>
              <w:t>Non-controlling interests</w:t>
            </w:r>
            <w:r w:rsidRPr="00571974">
              <w:rPr>
                <w:sz w:val="18"/>
                <w:szCs w:val="18"/>
                <w:lang w:val="en-GB" w:eastAsia="en-GB" w:bidi="ar-SA"/>
              </w:rPr>
              <w:tab/>
            </w:r>
          </w:p>
        </w:tc>
        <w:tc>
          <w:tcPr>
            <w:tcW w:w="439" w:type="pct"/>
            <w:tcBorders>
              <w:top w:val="nil"/>
              <w:left w:val="nil"/>
              <w:bottom w:val="nil"/>
              <w:right w:val="nil"/>
            </w:tcBorders>
            <w:vAlign w:val="bottom"/>
          </w:tcPr>
          <w:p w14:paraId="39A5CC74"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(893)</w:t>
            </w:r>
          </w:p>
        </w:tc>
        <w:tc>
          <w:tcPr>
            <w:tcW w:w="439" w:type="pct"/>
            <w:tcBorders>
              <w:top w:val="nil"/>
              <w:left w:val="nil"/>
              <w:bottom w:val="nil"/>
              <w:right w:val="nil"/>
            </w:tcBorders>
            <w:vAlign w:val="bottom"/>
          </w:tcPr>
          <w:p w14:paraId="28A13DE8"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(824)</w:t>
            </w:r>
          </w:p>
        </w:tc>
        <w:tc>
          <w:tcPr>
            <w:tcW w:w="446" w:type="pct"/>
            <w:tcBorders>
              <w:top w:val="nil"/>
              <w:left w:val="nil"/>
              <w:bottom w:val="nil"/>
              <w:right w:val="nil"/>
            </w:tcBorders>
            <w:vAlign w:val="bottom"/>
          </w:tcPr>
          <w:p w14:paraId="4CD0B6DC"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(1,035)</w:t>
            </w:r>
          </w:p>
        </w:tc>
      </w:tr>
      <w:tr w:rsidR="002228B8" w14:paraId="0ECA32A6" w14:textId="77777777" w:rsidTr="00DF4A0D">
        <w:trPr>
          <w:cantSplit/>
        </w:trPr>
        <w:tc>
          <w:tcPr>
            <w:tcW w:w="3676" w:type="pct"/>
            <w:tcBorders>
              <w:top w:val="nil"/>
              <w:left w:val="nil"/>
              <w:bottom w:val="nil"/>
              <w:right w:val="nil"/>
            </w:tcBorders>
          </w:tcPr>
          <w:p w14:paraId="7A3404F0" w14:textId="0143C3E6" w:rsidR="00E93D9C" w:rsidRPr="00571974" w:rsidRDefault="003D4D89" w:rsidP="00545D1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 xml:space="preserve">Profit/(loss) for the financial </w:t>
            </w:r>
            <w:r w:rsidR="00545D1D">
              <w:rPr>
                <w:sz w:val="18"/>
                <w:szCs w:val="18"/>
                <w:lang w:val="en-GB" w:eastAsia="en-GB" w:bidi="ar-SA"/>
              </w:rPr>
              <w:t>year</w:t>
            </w:r>
            <w:r w:rsidR="00545D1D" w:rsidRPr="00571974">
              <w:rPr>
                <w:sz w:val="18"/>
                <w:szCs w:val="18"/>
                <w:lang w:val="en-GB" w:eastAsia="en-GB" w:bidi="ar-SA"/>
              </w:rPr>
              <w:t xml:space="preserve"> </w:t>
            </w:r>
            <w:r w:rsidRPr="00571974">
              <w:rPr>
                <w:sz w:val="18"/>
                <w:szCs w:val="18"/>
                <w:lang w:val="en-GB" w:eastAsia="en-GB" w:bidi="ar-SA"/>
              </w:rPr>
              <w:t>attributable to equity shareholders of the Company</w:t>
            </w:r>
            <w:r w:rsidRPr="00571974">
              <w:rPr>
                <w:sz w:val="18"/>
                <w:szCs w:val="18"/>
                <w:lang w:val="en-GB" w:eastAsia="en-GB" w:bidi="ar-SA"/>
              </w:rPr>
              <w:tab/>
            </w:r>
          </w:p>
        </w:tc>
        <w:tc>
          <w:tcPr>
            <w:tcW w:w="439" w:type="pct"/>
            <w:tcBorders>
              <w:top w:val="nil"/>
              <w:left w:val="nil"/>
              <w:bottom w:val="nil"/>
              <w:right w:val="nil"/>
            </w:tcBorders>
            <w:vAlign w:val="bottom"/>
          </w:tcPr>
          <w:p w14:paraId="38AE5B3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3,166</w:t>
            </w:r>
          </w:p>
        </w:tc>
        <w:tc>
          <w:tcPr>
            <w:tcW w:w="439" w:type="pct"/>
            <w:tcBorders>
              <w:top w:val="nil"/>
              <w:left w:val="nil"/>
              <w:bottom w:val="nil"/>
              <w:right w:val="nil"/>
            </w:tcBorders>
            <w:vAlign w:val="bottom"/>
          </w:tcPr>
          <w:p w14:paraId="13EDC90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3,549</w:t>
            </w:r>
          </w:p>
        </w:tc>
        <w:tc>
          <w:tcPr>
            <w:tcW w:w="446" w:type="pct"/>
            <w:tcBorders>
              <w:top w:val="nil"/>
              <w:left w:val="nil"/>
              <w:bottom w:val="nil"/>
              <w:right w:val="nil"/>
            </w:tcBorders>
            <w:vAlign w:val="bottom"/>
          </w:tcPr>
          <w:p w14:paraId="244539E1"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3,547</w:t>
            </w:r>
          </w:p>
        </w:tc>
      </w:tr>
      <w:tr w:rsidR="002228B8" w14:paraId="5B10E0CC" w14:textId="77777777" w:rsidTr="00DF4A0D">
        <w:trPr>
          <w:cantSplit/>
        </w:trPr>
        <w:tc>
          <w:tcPr>
            <w:tcW w:w="3676" w:type="pct"/>
            <w:tcBorders>
              <w:top w:val="nil"/>
              <w:left w:val="nil"/>
              <w:bottom w:val="nil"/>
              <w:right w:val="nil"/>
            </w:tcBorders>
          </w:tcPr>
          <w:p w14:paraId="7E05CFD6" w14:textId="5615F544" w:rsidR="00E93D9C" w:rsidRPr="00571974" w:rsidRDefault="003D4D89" w:rsidP="00DF4A0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Operating special items</w:t>
            </w:r>
            <w:r w:rsidR="00DE3AAF" w:rsidRPr="00DA283E">
              <w:rPr>
                <w:sz w:val="18"/>
                <w:szCs w:val="18"/>
                <w:vertAlign w:val="superscript"/>
                <w:lang w:val="en-GB" w:eastAsia="en-GB" w:bidi="ar-SA"/>
              </w:rPr>
              <w:t>(1)</w:t>
            </w:r>
            <w:r w:rsidRPr="00571974">
              <w:rPr>
                <w:sz w:val="18"/>
                <w:szCs w:val="18"/>
                <w:lang w:val="en-GB" w:eastAsia="en-GB" w:bidi="ar-SA"/>
              </w:rPr>
              <w:tab/>
            </w:r>
          </w:p>
        </w:tc>
        <w:tc>
          <w:tcPr>
            <w:tcW w:w="439" w:type="pct"/>
            <w:tcBorders>
              <w:top w:val="nil"/>
              <w:left w:val="nil"/>
              <w:bottom w:val="nil"/>
              <w:right w:val="nil"/>
            </w:tcBorders>
            <w:vAlign w:val="bottom"/>
          </w:tcPr>
          <w:p w14:paraId="40033429"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(382)</w:t>
            </w:r>
          </w:p>
        </w:tc>
        <w:tc>
          <w:tcPr>
            <w:tcW w:w="439" w:type="pct"/>
            <w:tcBorders>
              <w:top w:val="nil"/>
              <w:left w:val="nil"/>
              <w:bottom w:val="nil"/>
              <w:right w:val="nil"/>
            </w:tcBorders>
            <w:vAlign w:val="bottom"/>
          </w:tcPr>
          <w:p w14:paraId="55F4E6A1"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(963)</w:t>
            </w:r>
          </w:p>
        </w:tc>
        <w:tc>
          <w:tcPr>
            <w:tcW w:w="446" w:type="pct"/>
            <w:tcBorders>
              <w:top w:val="nil"/>
              <w:left w:val="nil"/>
              <w:bottom w:val="nil"/>
              <w:right w:val="nil"/>
            </w:tcBorders>
            <w:vAlign w:val="bottom"/>
          </w:tcPr>
          <w:p w14:paraId="2F40913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49</w:t>
            </w:r>
          </w:p>
        </w:tc>
      </w:tr>
      <w:tr w:rsidR="002228B8" w14:paraId="322E01D5" w14:textId="77777777" w:rsidTr="00DF4A0D">
        <w:trPr>
          <w:cantSplit/>
        </w:trPr>
        <w:tc>
          <w:tcPr>
            <w:tcW w:w="3676" w:type="pct"/>
            <w:tcBorders>
              <w:top w:val="nil"/>
              <w:left w:val="nil"/>
              <w:bottom w:val="nil"/>
              <w:right w:val="nil"/>
            </w:tcBorders>
          </w:tcPr>
          <w:p w14:paraId="318CD3D1" w14:textId="5372D280" w:rsidR="00E93D9C" w:rsidRPr="00571974" w:rsidRDefault="003D4D89" w:rsidP="00DF4A0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Operating remeasurements</w:t>
            </w:r>
            <w:r w:rsidR="00DE3AAF" w:rsidRPr="00301D48">
              <w:rPr>
                <w:sz w:val="18"/>
                <w:szCs w:val="18"/>
                <w:vertAlign w:val="superscript"/>
                <w:lang w:val="en-GB" w:eastAsia="en-GB" w:bidi="ar-SA"/>
              </w:rPr>
              <w:t>(1)</w:t>
            </w:r>
            <w:r w:rsidRPr="00571974">
              <w:rPr>
                <w:sz w:val="18"/>
                <w:szCs w:val="18"/>
                <w:lang w:val="en-GB" w:eastAsia="en-GB" w:bidi="ar-SA"/>
              </w:rPr>
              <w:tab/>
            </w:r>
          </w:p>
        </w:tc>
        <w:tc>
          <w:tcPr>
            <w:tcW w:w="439" w:type="pct"/>
            <w:tcBorders>
              <w:top w:val="nil"/>
              <w:left w:val="nil"/>
              <w:bottom w:val="nil"/>
              <w:right w:val="nil"/>
            </w:tcBorders>
            <w:vAlign w:val="bottom"/>
          </w:tcPr>
          <w:p w14:paraId="02A6CD60"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95</w:t>
            </w:r>
          </w:p>
        </w:tc>
        <w:tc>
          <w:tcPr>
            <w:tcW w:w="439" w:type="pct"/>
            <w:tcBorders>
              <w:top w:val="nil"/>
              <w:left w:val="nil"/>
              <w:bottom w:val="nil"/>
              <w:right w:val="nil"/>
            </w:tcBorders>
            <w:vAlign w:val="bottom"/>
          </w:tcPr>
          <w:p w14:paraId="5421842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125</w:t>
            </w:r>
          </w:p>
        </w:tc>
        <w:tc>
          <w:tcPr>
            <w:tcW w:w="446" w:type="pct"/>
            <w:tcBorders>
              <w:top w:val="nil"/>
              <w:left w:val="nil"/>
              <w:bottom w:val="nil"/>
              <w:right w:val="nil"/>
            </w:tcBorders>
            <w:vAlign w:val="bottom"/>
          </w:tcPr>
          <w:p w14:paraId="24D8F4A4"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102</w:t>
            </w:r>
          </w:p>
        </w:tc>
      </w:tr>
      <w:tr w:rsidR="002228B8" w14:paraId="55704C99" w14:textId="77777777" w:rsidTr="00DF4A0D">
        <w:trPr>
          <w:cantSplit/>
        </w:trPr>
        <w:tc>
          <w:tcPr>
            <w:tcW w:w="3676" w:type="pct"/>
            <w:tcBorders>
              <w:top w:val="nil"/>
              <w:left w:val="nil"/>
              <w:bottom w:val="nil"/>
              <w:right w:val="nil"/>
            </w:tcBorders>
          </w:tcPr>
          <w:p w14:paraId="2A092272" w14:textId="4893F7A3" w:rsidR="00E93D9C" w:rsidRPr="00571974" w:rsidRDefault="003D4D89" w:rsidP="00DF4A0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Non-operating special items</w:t>
            </w:r>
            <w:r w:rsidR="00DE3AAF" w:rsidRPr="00301D48">
              <w:rPr>
                <w:sz w:val="18"/>
                <w:szCs w:val="18"/>
                <w:vertAlign w:val="superscript"/>
                <w:lang w:val="en-GB" w:eastAsia="en-GB" w:bidi="ar-SA"/>
              </w:rPr>
              <w:t>(1)</w:t>
            </w:r>
            <w:r w:rsidRPr="00571974">
              <w:rPr>
                <w:sz w:val="18"/>
                <w:szCs w:val="18"/>
                <w:lang w:val="en-GB" w:eastAsia="en-GB" w:bidi="ar-SA"/>
              </w:rPr>
              <w:tab/>
            </w:r>
          </w:p>
        </w:tc>
        <w:tc>
          <w:tcPr>
            <w:tcW w:w="439" w:type="pct"/>
            <w:tcBorders>
              <w:top w:val="nil"/>
              <w:left w:val="nil"/>
              <w:bottom w:val="nil"/>
              <w:right w:val="nil"/>
            </w:tcBorders>
            <w:vAlign w:val="bottom"/>
          </w:tcPr>
          <w:p w14:paraId="3B7B2FA1"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w:t>
            </w:r>
          </w:p>
        </w:tc>
        <w:tc>
          <w:tcPr>
            <w:tcW w:w="439" w:type="pct"/>
            <w:tcBorders>
              <w:top w:val="nil"/>
              <w:left w:val="nil"/>
              <w:bottom w:val="nil"/>
              <w:right w:val="nil"/>
            </w:tcBorders>
            <w:vAlign w:val="bottom"/>
          </w:tcPr>
          <w:p w14:paraId="7FDF008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94</w:t>
            </w:r>
          </w:p>
        </w:tc>
        <w:tc>
          <w:tcPr>
            <w:tcW w:w="446" w:type="pct"/>
            <w:tcBorders>
              <w:top w:val="nil"/>
              <w:left w:val="nil"/>
              <w:bottom w:val="nil"/>
              <w:right w:val="nil"/>
            </w:tcBorders>
            <w:vAlign w:val="bottom"/>
          </w:tcPr>
          <w:p w14:paraId="2923974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w:t>
            </w:r>
          </w:p>
        </w:tc>
      </w:tr>
      <w:tr w:rsidR="002228B8" w14:paraId="6F46F25A" w14:textId="77777777" w:rsidTr="00DF4A0D">
        <w:trPr>
          <w:cantSplit/>
        </w:trPr>
        <w:tc>
          <w:tcPr>
            <w:tcW w:w="3676" w:type="pct"/>
            <w:tcBorders>
              <w:top w:val="nil"/>
              <w:left w:val="nil"/>
              <w:bottom w:val="nil"/>
              <w:right w:val="nil"/>
            </w:tcBorders>
          </w:tcPr>
          <w:p w14:paraId="50376B70" w14:textId="0DF83A8F" w:rsidR="00E93D9C" w:rsidRPr="00571974" w:rsidRDefault="003D4D89" w:rsidP="00DF4A0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Financing special items and remeasurements</w:t>
            </w:r>
            <w:r w:rsidR="00DE3AAF" w:rsidRPr="00301D48">
              <w:rPr>
                <w:sz w:val="18"/>
                <w:szCs w:val="18"/>
                <w:vertAlign w:val="superscript"/>
                <w:lang w:val="en-GB" w:eastAsia="en-GB" w:bidi="ar-SA"/>
              </w:rPr>
              <w:t>(1)</w:t>
            </w:r>
            <w:r w:rsidRPr="00571974">
              <w:rPr>
                <w:sz w:val="18"/>
                <w:szCs w:val="18"/>
                <w:lang w:val="en-GB" w:eastAsia="en-GB" w:bidi="ar-SA"/>
              </w:rPr>
              <w:tab/>
            </w:r>
          </w:p>
        </w:tc>
        <w:tc>
          <w:tcPr>
            <w:tcW w:w="439" w:type="pct"/>
            <w:tcBorders>
              <w:top w:val="nil"/>
              <w:left w:val="nil"/>
              <w:bottom w:val="nil"/>
              <w:right w:val="nil"/>
            </w:tcBorders>
            <w:vAlign w:val="bottom"/>
          </w:tcPr>
          <w:p w14:paraId="79218A11"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113</w:t>
            </w:r>
          </w:p>
        </w:tc>
        <w:tc>
          <w:tcPr>
            <w:tcW w:w="439" w:type="pct"/>
            <w:tcBorders>
              <w:top w:val="nil"/>
              <w:left w:val="nil"/>
              <w:bottom w:val="nil"/>
              <w:right w:val="nil"/>
            </w:tcBorders>
            <w:vAlign w:val="bottom"/>
          </w:tcPr>
          <w:p w14:paraId="16BA9AF9"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134</w:t>
            </w:r>
          </w:p>
        </w:tc>
        <w:tc>
          <w:tcPr>
            <w:tcW w:w="446" w:type="pct"/>
            <w:tcBorders>
              <w:top w:val="nil"/>
              <w:left w:val="nil"/>
              <w:bottom w:val="nil"/>
              <w:right w:val="nil"/>
            </w:tcBorders>
            <w:vAlign w:val="bottom"/>
          </w:tcPr>
          <w:p w14:paraId="0FD81269"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w:t>
            </w:r>
          </w:p>
        </w:tc>
      </w:tr>
      <w:tr w:rsidR="002228B8" w14:paraId="1F00C77C" w14:textId="77777777" w:rsidTr="00DF4A0D">
        <w:trPr>
          <w:cantSplit/>
        </w:trPr>
        <w:tc>
          <w:tcPr>
            <w:tcW w:w="3676" w:type="pct"/>
            <w:tcBorders>
              <w:top w:val="nil"/>
              <w:left w:val="nil"/>
              <w:bottom w:val="nil"/>
              <w:right w:val="nil"/>
            </w:tcBorders>
          </w:tcPr>
          <w:p w14:paraId="0FCC46FB" w14:textId="77777777" w:rsidR="00E93D9C" w:rsidRPr="00571974" w:rsidRDefault="003D4D89" w:rsidP="00DF4A0D">
            <w:pPr>
              <w:keepNext/>
              <w:tabs>
                <w:tab w:val="right" w:leader="dot" w:pos="6674"/>
              </w:tabs>
              <w:suppressAutoHyphens/>
              <w:ind w:left="200" w:hanging="200"/>
              <w:rPr>
                <w:sz w:val="18"/>
                <w:szCs w:val="18"/>
                <w:lang w:val="en-GB" w:eastAsia="en-GB" w:bidi="ar-SA"/>
              </w:rPr>
            </w:pPr>
            <w:r w:rsidRPr="00571974">
              <w:rPr>
                <w:sz w:val="18"/>
                <w:szCs w:val="18"/>
                <w:lang w:val="en-GB" w:eastAsia="en-GB" w:bidi="ar-SA"/>
              </w:rPr>
              <w:t>Special items and remeasurements tax</w:t>
            </w:r>
            <w:r w:rsidRPr="00571974">
              <w:rPr>
                <w:sz w:val="18"/>
                <w:szCs w:val="18"/>
                <w:lang w:val="en-GB" w:eastAsia="en-GB" w:bidi="ar-SA"/>
              </w:rPr>
              <w:tab/>
            </w:r>
          </w:p>
        </w:tc>
        <w:tc>
          <w:tcPr>
            <w:tcW w:w="439" w:type="pct"/>
            <w:tcBorders>
              <w:top w:val="nil"/>
              <w:left w:val="nil"/>
              <w:right w:val="nil"/>
            </w:tcBorders>
            <w:vAlign w:val="bottom"/>
          </w:tcPr>
          <w:p w14:paraId="2ACBCE6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122</w:t>
            </w:r>
          </w:p>
        </w:tc>
        <w:tc>
          <w:tcPr>
            <w:tcW w:w="439" w:type="pct"/>
            <w:tcBorders>
              <w:top w:val="nil"/>
              <w:left w:val="nil"/>
              <w:right w:val="nil"/>
            </w:tcBorders>
            <w:vAlign w:val="bottom"/>
          </w:tcPr>
          <w:p w14:paraId="67B9CFE8"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326</w:t>
            </w:r>
          </w:p>
        </w:tc>
        <w:tc>
          <w:tcPr>
            <w:tcW w:w="446" w:type="pct"/>
            <w:tcBorders>
              <w:top w:val="nil"/>
              <w:left w:val="nil"/>
              <w:right w:val="nil"/>
            </w:tcBorders>
            <w:vAlign w:val="bottom"/>
          </w:tcPr>
          <w:p w14:paraId="5E69E19A"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(196)</w:t>
            </w:r>
          </w:p>
        </w:tc>
      </w:tr>
      <w:tr w:rsidR="002228B8" w14:paraId="7D04A61F" w14:textId="77777777" w:rsidTr="00DF4A0D">
        <w:trPr>
          <w:cantSplit/>
        </w:trPr>
        <w:tc>
          <w:tcPr>
            <w:tcW w:w="3676" w:type="pct"/>
            <w:tcBorders>
              <w:top w:val="nil"/>
              <w:left w:val="nil"/>
              <w:bottom w:val="nil"/>
              <w:right w:val="nil"/>
            </w:tcBorders>
          </w:tcPr>
          <w:p w14:paraId="7BF1A128" w14:textId="77777777" w:rsidR="00E93D9C" w:rsidRPr="00571974" w:rsidRDefault="003D4D89" w:rsidP="00DF4A0D">
            <w:pPr>
              <w:keepNext/>
              <w:tabs>
                <w:tab w:val="right" w:leader="dot" w:pos="6674"/>
              </w:tabs>
              <w:suppressAutoHyphens/>
              <w:spacing w:after="20"/>
              <w:ind w:left="200" w:hanging="200"/>
              <w:rPr>
                <w:sz w:val="18"/>
                <w:szCs w:val="18"/>
                <w:lang w:val="en-GB" w:eastAsia="en-GB" w:bidi="ar-SA"/>
              </w:rPr>
            </w:pPr>
            <w:r w:rsidRPr="00571974">
              <w:rPr>
                <w:sz w:val="18"/>
                <w:szCs w:val="18"/>
                <w:lang w:val="en-GB" w:eastAsia="en-GB" w:bidi="ar-SA"/>
              </w:rPr>
              <w:t>Non-controlling interests on special items and remeasurements</w:t>
            </w:r>
            <w:r w:rsidRPr="00571974">
              <w:rPr>
                <w:sz w:val="18"/>
                <w:szCs w:val="18"/>
                <w:lang w:val="en-GB" w:eastAsia="en-GB" w:bidi="ar-SA"/>
              </w:rPr>
              <w:tab/>
            </w:r>
          </w:p>
        </w:tc>
        <w:tc>
          <w:tcPr>
            <w:tcW w:w="439" w:type="pct"/>
            <w:tcBorders>
              <w:top w:val="nil"/>
              <w:left w:val="nil"/>
              <w:right w:val="nil"/>
            </w:tcBorders>
            <w:vAlign w:val="bottom"/>
          </w:tcPr>
          <w:p w14:paraId="7FC075D0"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145</w:t>
            </w:r>
          </w:p>
        </w:tc>
        <w:tc>
          <w:tcPr>
            <w:tcW w:w="439" w:type="pct"/>
            <w:tcBorders>
              <w:top w:val="nil"/>
              <w:left w:val="nil"/>
              <w:bottom w:val="nil"/>
              <w:right w:val="nil"/>
            </w:tcBorders>
            <w:vAlign w:val="bottom"/>
          </w:tcPr>
          <w:p w14:paraId="15749730"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(39)</w:t>
            </w:r>
          </w:p>
        </w:tc>
        <w:tc>
          <w:tcPr>
            <w:tcW w:w="446" w:type="pct"/>
            <w:tcBorders>
              <w:top w:val="nil"/>
              <w:left w:val="nil"/>
              <w:bottom w:val="nil"/>
              <w:right w:val="nil"/>
            </w:tcBorders>
            <w:vAlign w:val="bottom"/>
          </w:tcPr>
          <w:p w14:paraId="34D8D232"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w:t>
            </w:r>
          </w:p>
        </w:tc>
      </w:tr>
      <w:tr w:rsidR="002228B8" w14:paraId="70915BFC" w14:textId="77777777" w:rsidTr="00DF4A0D">
        <w:trPr>
          <w:cantSplit/>
        </w:trPr>
        <w:tc>
          <w:tcPr>
            <w:tcW w:w="3676" w:type="pct"/>
            <w:tcBorders>
              <w:top w:val="nil"/>
              <w:left w:val="nil"/>
              <w:bottom w:val="nil"/>
              <w:right w:val="nil"/>
            </w:tcBorders>
          </w:tcPr>
          <w:p w14:paraId="3665EAEC" w14:textId="6CF256B9" w:rsidR="00E93D9C" w:rsidRPr="00571974" w:rsidRDefault="003D4D89" w:rsidP="00DF4A0D">
            <w:pPr>
              <w:keepNext/>
              <w:tabs>
                <w:tab w:val="right" w:leader="dot" w:pos="6674"/>
              </w:tabs>
              <w:suppressAutoHyphens/>
              <w:spacing w:after="20"/>
              <w:ind w:left="200" w:hanging="200"/>
              <w:rPr>
                <w:sz w:val="18"/>
                <w:szCs w:val="18"/>
                <w:lang w:val="en-GB" w:eastAsia="en-GB" w:bidi="ar-SA"/>
              </w:rPr>
            </w:pPr>
            <w:r w:rsidRPr="00571974">
              <w:rPr>
                <w:sz w:val="18"/>
                <w:szCs w:val="18"/>
                <w:lang w:val="en-GB" w:eastAsia="en-GB" w:bidi="ar-SA"/>
              </w:rPr>
              <w:t>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special items and remeasurements</w:t>
            </w:r>
            <w:r w:rsidRPr="00571974">
              <w:rPr>
                <w:sz w:val="18"/>
                <w:szCs w:val="18"/>
                <w:lang w:val="en-GB" w:eastAsia="en-GB" w:bidi="ar-SA"/>
              </w:rPr>
              <w:tab/>
            </w:r>
          </w:p>
        </w:tc>
        <w:tc>
          <w:tcPr>
            <w:tcW w:w="439" w:type="pct"/>
            <w:tcBorders>
              <w:left w:val="nil"/>
              <w:bottom w:val="nil"/>
              <w:right w:val="nil"/>
            </w:tcBorders>
            <w:vAlign w:val="bottom"/>
          </w:tcPr>
          <w:p w14:paraId="7EF23CB8"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8</w:t>
            </w:r>
          </w:p>
        </w:tc>
        <w:tc>
          <w:tcPr>
            <w:tcW w:w="439" w:type="pct"/>
            <w:tcBorders>
              <w:top w:val="nil"/>
              <w:left w:val="nil"/>
              <w:bottom w:val="nil"/>
              <w:right w:val="nil"/>
            </w:tcBorders>
            <w:vAlign w:val="bottom"/>
          </w:tcPr>
          <w:p w14:paraId="2E1048A5"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11</w:t>
            </w:r>
          </w:p>
        </w:tc>
        <w:tc>
          <w:tcPr>
            <w:tcW w:w="446" w:type="pct"/>
            <w:tcBorders>
              <w:top w:val="nil"/>
              <w:left w:val="nil"/>
              <w:bottom w:val="nil"/>
              <w:right w:val="nil"/>
            </w:tcBorders>
            <w:vAlign w:val="bottom"/>
          </w:tcPr>
          <w:p w14:paraId="41BFA7B3"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0</w:t>
            </w:r>
          </w:p>
        </w:tc>
      </w:tr>
      <w:tr w:rsidR="002228B8" w14:paraId="789A0595" w14:textId="77777777" w:rsidTr="00DF4A0D">
        <w:trPr>
          <w:cantSplit/>
        </w:trPr>
        <w:tc>
          <w:tcPr>
            <w:tcW w:w="3676" w:type="pct"/>
            <w:tcBorders>
              <w:top w:val="nil"/>
              <w:left w:val="nil"/>
              <w:bottom w:val="nil"/>
              <w:right w:val="nil"/>
            </w:tcBorders>
          </w:tcPr>
          <w:p w14:paraId="1382CA36" w14:textId="77777777" w:rsidR="00E93D9C" w:rsidRPr="00571974" w:rsidRDefault="003D4D89" w:rsidP="00DF4A0D">
            <w:pPr>
              <w:keepNext/>
              <w:tabs>
                <w:tab w:val="right" w:leader="dot" w:pos="6674"/>
              </w:tabs>
              <w:suppressAutoHyphens/>
              <w:spacing w:after="40"/>
              <w:ind w:left="200" w:hanging="200"/>
              <w:rPr>
                <w:sz w:val="18"/>
                <w:szCs w:val="18"/>
                <w:lang w:val="en-GB" w:eastAsia="en-GB" w:bidi="ar-SA"/>
              </w:rPr>
            </w:pPr>
            <w:r w:rsidRPr="00571974">
              <w:rPr>
                <w:sz w:val="18"/>
                <w:szCs w:val="18"/>
                <w:lang w:val="en-GB" w:eastAsia="en-GB" w:bidi="ar-SA"/>
              </w:rPr>
              <w:t>Underlying earnings</w:t>
            </w:r>
            <w:r w:rsidRPr="00571974">
              <w:rPr>
                <w:sz w:val="18"/>
                <w:szCs w:val="18"/>
                <w:lang w:val="en-GB" w:eastAsia="en-GB" w:bidi="ar-SA"/>
              </w:rPr>
              <w:tab/>
            </w:r>
          </w:p>
        </w:tc>
        <w:tc>
          <w:tcPr>
            <w:tcW w:w="439" w:type="pct"/>
            <w:tcBorders>
              <w:top w:val="nil"/>
              <w:left w:val="nil"/>
              <w:bottom w:val="nil"/>
              <w:right w:val="nil"/>
            </w:tcBorders>
            <w:vAlign w:val="bottom"/>
          </w:tcPr>
          <w:p w14:paraId="1B94303E" w14:textId="77777777" w:rsidR="00E93D9C" w:rsidRPr="00571974" w:rsidRDefault="003D4D89" w:rsidP="00DF4A0D">
            <w:pPr>
              <w:keepNext/>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3,272</w:t>
            </w:r>
          </w:p>
        </w:tc>
        <w:tc>
          <w:tcPr>
            <w:tcW w:w="439" w:type="pct"/>
            <w:tcBorders>
              <w:top w:val="nil"/>
              <w:left w:val="nil"/>
              <w:bottom w:val="nil"/>
              <w:right w:val="nil"/>
            </w:tcBorders>
            <w:vAlign w:val="bottom"/>
          </w:tcPr>
          <w:p w14:paraId="1F0B7DF6" w14:textId="77777777" w:rsidR="00E93D9C" w:rsidRPr="00571974" w:rsidRDefault="003D4D89" w:rsidP="00DF4A0D">
            <w:pPr>
              <w:keepNext/>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3,237</w:t>
            </w:r>
          </w:p>
        </w:tc>
        <w:tc>
          <w:tcPr>
            <w:tcW w:w="446" w:type="pct"/>
            <w:tcBorders>
              <w:top w:val="nil"/>
              <w:left w:val="nil"/>
              <w:bottom w:val="nil"/>
              <w:right w:val="nil"/>
            </w:tcBorders>
            <w:vAlign w:val="bottom"/>
          </w:tcPr>
          <w:p w14:paraId="16EC0C21" w14:textId="77777777" w:rsidR="00E93D9C" w:rsidRPr="00571974" w:rsidRDefault="003D4D89" w:rsidP="00DF4A0D">
            <w:pPr>
              <w:keepNext/>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3,468</w:t>
            </w:r>
          </w:p>
        </w:tc>
      </w:tr>
    </w:tbl>
    <w:p w14:paraId="322BC97F" w14:textId="77777777" w:rsidR="00DE3AAF" w:rsidRPr="00571974" w:rsidRDefault="00836D74" w:rsidP="00DE3AAF">
      <w:pPr>
        <w:rPr>
          <w:lang w:val="en-GB"/>
        </w:rPr>
      </w:pPr>
      <w:r>
        <w:rPr>
          <w:lang w:val="en-GB"/>
        </w:rPr>
        <w:pict w14:anchorId="39775605">
          <v:rect id="_x0000_i1040" style="width:184.5pt;height:1pt" o:hrpct="250" o:hrstd="t" o:hrnoshade="t" o:hr="t" fillcolor="black" stroked="f"/>
        </w:pict>
      </w:r>
    </w:p>
    <w:p w14:paraId="54DDD225" w14:textId="77777777" w:rsidR="00DE3AAF" w:rsidRPr="00301D48" w:rsidRDefault="00DE3AAF" w:rsidP="00DE3AAF">
      <w:pPr>
        <w:pStyle w:val="ListParagraph"/>
        <w:widowControl/>
        <w:numPr>
          <w:ilvl w:val="0"/>
          <w:numId w:val="46"/>
        </w:numPr>
        <w:tabs>
          <w:tab w:val="left" w:pos="-720"/>
          <w:tab w:val="left" w:pos="0"/>
        </w:tabs>
        <w:suppressAutoHyphens/>
        <w:spacing w:after="240"/>
        <w:rPr>
          <w:sz w:val="16"/>
          <w:szCs w:val="18"/>
          <w:lang w:val="en-GB"/>
        </w:rPr>
      </w:pPr>
      <w:r>
        <w:rPr>
          <w:sz w:val="16"/>
          <w:szCs w:val="18"/>
          <w:lang w:val="en-GB"/>
        </w:rPr>
        <w:t>Before tax and non-controlling interests</w:t>
      </w:r>
    </w:p>
    <w:p w14:paraId="55BE4E5E" w14:textId="1ED70EDC" w:rsidR="00E93D9C" w:rsidRPr="00571974" w:rsidRDefault="003D4D89" w:rsidP="00E93D9C">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 xml:space="preserve">s profit attributable to equity shareholders for 2019, 2018 and 2017 was US$3,547 million, US$3,549 million and US$3,166 million respectively. </w:t>
      </w:r>
    </w:p>
    <w:p w14:paraId="00D155F4" w14:textId="78801426" w:rsidR="00E93D9C" w:rsidRPr="00571974" w:rsidRDefault="003D4D89" w:rsidP="00932961">
      <w:pPr>
        <w:pStyle w:val="BodyText"/>
        <w:widowControl/>
        <w:autoSpaceDE/>
        <w:autoSpaceDN/>
        <w:adjustRightInd/>
        <w:ind w:firstLine="360"/>
        <w:rPr>
          <w:lang w:val="en-GB"/>
        </w:rPr>
      </w:pPr>
      <w:r w:rsidRPr="00571974">
        <w:rPr>
          <w:lang w:val="en-GB"/>
        </w:rPr>
        <w:t xml:space="preserve">2019 profit attributable to equity shareholders was flat </w:t>
      </w:r>
      <w:r w:rsidR="00B76A8C">
        <w:rPr>
          <w:lang w:val="en-GB"/>
        </w:rPr>
        <w:t xml:space="preserve">compared </w:t>
      </w:r>
      <w:r w:rsidRPr="00571974">
        <w:rPr>
          <w:lang w:val="en-GB"/>
        </w:rPr>
        <w:t>to 2018, as increased underlying earnings from subsidiaries and joint operations were offset by lower income from associates and joint ventures, driven by lower manganese and coal prices, as well as the net impact of special items, principally impairments and impairment reversals.</w:t>
      </w:r>
    </w:p>
    <w:p w14:paraId="79DB1108" w14:textId="77777777" w:rsidR="00E93D9C" w:rsidRPr="00571974" w:rsidRDefault="003D4D89" w:rsidP="00932961">
      <w:pPr>
        <w:pStyle w:val="BodyText"/>
        <w:widowControl/>
        <w:autoSpaceDE/>
        <w:autoSpaceDN/>
        <w:adjustRightInd/>
        <w:ind w:firstLine="360"/>
        <w:rPr>
          <w:lang w:val="en-GB"/>
        </w:rPr>
      </w:pPr>
      <w:r w:rsidRPr="00571974">
        <w:rPr>
          <w:lang w:val="en-GB"/>
        </w:rPr>
        <w:t xml:space="preserve">The US$383 million increase </w:t>
      </w:r>
      <w:r w:rsidR="00BF6E4E">
        <w:rPr>
          <w:lang w:val="en-GB"/>
        </w:rPr>
        <w:t xml:space="preserve">in profit attributable to equity shareholders </w:t>
      </w:r>
      <w:r w:rsidRPr="00571974">
        <w:rPr>
          <w:lang w:val="en-GB"/>
        </w:rPr>
        <w:t xml:space="preserve">from 2017 to 2018 was driven by increased prices across the Group, particularly the PGM basket of metals, thermal coal, metallurgical coal, and </w:t>
      </w:r>
      <w:r w:rsidRPr="00571974">
        <w:rPr>
          <w:lang w:val="en-GB"/>
        </w:rPr>
        <w:lastRenderedPageBreak/>
        <w:t>nickel, as well as, continued productivity improvements and cost control across the portfolio that more than offset the impact of inflation across the Group.</w:t>
      </w:r>
    </w:p>
    <w:p w14:paraId="6429643B" w14:textId="77777777" w:rsidR="00E93D9C" w:rsidRPr="00571974" w:rsidRDefault="00E93D9C" w:rsidP="00E93D9C">
      <w:pPr>
        <w:ind w:firstLine="360"/>
        <w:rPr>
          <w:lang w:val="en-GB"/>
        </w:rPr>
      </w:pPr>
    </w:p>
    <w:p w14:paraId="22F70846" w14:textId="77777777" w:rsidR="00E93D9C" w:rsidRPr="00571974" w:rsidRDefault="003D4D89" w:rsidP="00E93D9C">
      <w:pPr>
        <w:pStyle w:val="Heading2"/>
        <w:rPr>
          <w:rFonts w:ascii="Times New Roman" w:hAnsi="Times New Roman"/>
          <w:lang w:val="en-GB"/>
        </w:rPr>
      </w:pPr>
      <w:r w:rsidRPr="00571974">
        <w:rPr>
          <w:rFonts w:ascii="Times New Roman" w:hAnsi="Times New Roman"/>
          <w:lang w:val="en-GB"/>
        </w:rPr>
        <w:t>Factors Affecting Results of Operations</w:t>
      </w:r>
    </w:p>
    <w:p w14:paraId="7A051AED" w14:textId="35052106" w:rsidR="00E93D9C" w:rsidRPr="00571974" w:rsidRDefault="003D4D89" w:rsidP="001003BB">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 xml:space="preserve">s results of operations and </w:t>
      </w:r>
      <w:r w:rsidR="00545D1D">
        <w:rPr>
          <w:lang w:val="en-GB"/>
        </w:rPr>
        <w:t>year</w:t>
      </w:r>
      <w:r w:rsidRPr="00571974">
        <w:rPr>
          <w:lang w:val="en-GB"/>
        </w:rPr>
        <w:t>-to-</w:t>
      </w:r>
      <w:r w:rsidR="00545D1D">
        <w:rPr>
          <w:lang w:val="en-GB"/>
        </w:rPr>
        <w:t>year</w:t>
      </w:r>
      <w:r w:rsidR="00545D1D" w:rsidRPr="00571974">
        <w:rPr>
          <w:lang w:val="en-GB"/>
        </w:rPr>
        <w:t xml:space="preserve"> </w:t>
      </w:r>
      <w:r w:rsidRPr="00571974">
        <w:rPr>
          <w:lang w:val="en-GB"/>
        </w:rPr>
        <w:t>comparability of its financial results are affected by a number of factors, including changes in commodity prices and exchange rates, production levels, cost pressures, acquisitions, divestments and accounting standards.</w:t>
      </w:r>
    </w:p>
    <w:p w14:paraId="30E6EA76" w14:textId="77777777" w:rsidR="00E93D9C" w:rsidRPr="00571974" w:rsidRDefault="003D4D89" w:rsidP="007B1404">
      <w:pPr>
        <w:pStyle w:val="Heading3"/>
        <w:rPr>
          <w:lang w:val="en-GB"/>
        </w:rPr>
      </w:pPr>
      <w:r w:rsidRPr="00571974">
        <w:rPr>
          <w:lang w:val="en-GB"/>
        </w:rPr>
        <w:t>Commodity Prices</w:t>
      </w:r>
    </w:p>
    <w:p w14:paraId="25BD8E28" w14:textId="0CB95C22" w:rsidR="00E93D9C" w:rsidRPr="00571974" w:rsidRDefault="003D4D89" w:rsidP="00E93D9C">
      <w:pPr>
        <w:pStyle w:val="BodyText"/>
        <w:widowControl/>
        <w:autoSpaceDE/>
        <w:autoSpaceDN/>
        <w:adjustRightInd/>
        <w:ind w:firstLine="360"/>
        <w:rPr>
          <w:lang w:val="en-GB"/>
        </w:rPr>
      </w:pPr>
      <w:r w:rsidRPr="00571974">
        <w:rPr>
          <w:lang w:val="en-GB"/>
        </w:rPr>
        <w:t xml:space="preserve">The table below sets forth the average market prices for certain of our key commodities for the </w:t>
      </w:r>
      <w:r w:rsidR="00545D1D">
        <w:rPr>
          <w:lang w:val="en-GB"/>
        </w:rPr>
        <w:t>years</w:t>
      </w:r>
      <w:r w:rsidR="00545D1D" w:rsidRPr="00571974">
        <w:rPr>
          <w:lang w:val="en-GB"/>
        </w:rPr>
        <w:t xml:space="preserve"> </w:t>
      </w:r>
      <w:r w:rsidRPr="00571974">
        <w:rPr>
          <w:lang w:val="en-GB"/>
        </w:rPr>
        <w:t>presented:</w:t>
      </w:r>
    </w:p>
    <w:tbl>
      <w:tblPr>
        <w:tblW w:w="4826" w:type="pct"/>
        <w:tblLayout w:type="fixed"/>
        <w:tblCellMar>
          <w:left w:w="72" w:type="dxa"/>
          <w:right w:w="72" w:type="dxa"/>
        </w:tblCellMar>
        <w:tblLook w:val="0000" w:firstRow="0" w:lastRow="0" w:firstColumn="0" w:lastColumn="0" w:noHBand="0" w:noVBand="0"/>
      </w:tblPr>
      <w:tblGrid>
        <w:gridCol w:w="7193"/>
        <w:gridCol w:w="616"/>
        <w:gridCol w:w="612"/>
        <w:gridCol w:w="609"/>
      </w:tblGrid>
      <w:tr w:rsidR="002228B8" w14:paraId="0E23C28A" w14:textId="77777777" w:rsidTr="00DF4A0D">
        <w:trPr>
          <w:cantSplit/>
        </w:trPr>
        <w:tc>
          <w:tcPr>
            <w:tcW w:w="3983" w:type="pct"/>
            <w:tcBorders>
              <w:top w:val="nil"/>
              <w:left w:val="nil"/>
              <w:bottom w:val="nil"/>
              <w:right w:val="nil"/>
            </w:tcBorders>
            <w:shd w:val="clear" w:color="auto" w:fill="auto"/>
            <w:vAlign w:val="bottom"/>
          </w:tcPr>
          <w:p w14:paraId="74034D7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017" w:type="pct"/>
            <w:gridSpan w:val="3"/>
            <w:tcBorders>
              <w:top w:val="nil"/>
              <w:left w:val="nil"/>
              <w:bottom w:val="nil"/>
              <w:right w:val="nil"/>
            </w:tcBorders>
            <w:shd w:val="clear" w:color="auto" w:fill="auto"/>
            <w:vAlign w:val="bottom"/>
          </w:tcPr>
          <w:p w14:paraId="3DC01CF5"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644C45DC" w14:textId="77777777" w:rsidTr="00DF4A0D">
        <w:trPr>
          <w:cantSplit/>
        </w:trPr>
        <w:tc>
          <w:tcPr>
            <w:tcW w:w="3983" w:type="pct"/>
            <w:tcBorders>
              <w:top w:val="nil"/>
              <w:left w:val="nil"/>
              <w:bottom w:val="nil"/>
              <w:right w:val="nil"/>
            </w:tcBorders>
            <w:shd w:val="clear" w:color="auto" w:fill="auto"/>
            <w:vAlign w:val="bottom"/>
          </w:tcPr>
          <w:p w14:paraId="0CEAF25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341" w:type="pct"/>
            <w:tcBorders>
              <w:top w:val="nil"/>
              <w:left w:val="nil"/>
              <w:bottom w:val="nil"/>
              <w:right w:val="nil"/>
            </w:tcBorders>
            <w:shd w:val="clear" w:color="auto" w:fill="auto"/>
            <w:vAlign w:val="bottom"/>
          </w:tcPr>
          <w:p w14:paraId="2C5EBA29"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339" w:type="pct"/>
            <w:tcBorders>
              <w:top w:val="nil"/>
              <w:left w:val="nil"/>
              <w:bottom w:val="nil"/>
              <w:right w:val="nil"/>
            </w:tcBorders>
            <w:shd w:val="clear" w:color="auto" w:fill="auto"/>
            <w:vAlign w:val="bottom"/>
          </w:tcPr>
          <w:p w14:paraId="49187B3B"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337" w:type="pct"/>
            <w:tcBorders>
              <w:top w:val="nil"/>
              <w:left w:val="nil"/>
              <w:bottom w:val="nil"/>
              <w:right w:val="nil"/>
            </w:tcBorders>
            <w:shd w:val="clear" w:color="auto" w:fill="auto"/>
            <w:vAlign w:val="bottom"/>
          </w:tcPr>
          <w:p w14:paraId="4B3C5316"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410B33E6" w14:textId="77777777" w:rsidTr="00DF4A0D">
        <w:trPr>
          <w:cantSplit/>
        </w:trPr>
        <w:tc>
          <w:tcPr>
            <w:tcW w:w="3983" w:type="pct"/>
            <w:tcBorders>
              <w:top w:val="nil"/>
              <w:left w:val="nil"/>
              <w:bottom w:val="nil"/>
              <w:right w:val="nil"/>
            </w:tcBorders>
            <w:shd w:val="clear" w:color="auto" w:fill="auto"/>
          </w:tcPr>
          <w:p w14:paraId="5D210514" w14:textId="3E1031D5" w:rsidR="00E93D9C" w:rsidRPr="00571974" w:rsidRDefault="003D4D89" w:rsidP="00545D1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szCs w:val="18"/>
                <w:lang w:val="en-GB" w:eastAsia="en-GB" w:bidi="ar-SA"/>
              </w:rPr>
            </w:pPr>
            <w:r w:rsidRPr="00571974">
              <w:rPr>
                <w:b/>
                <w:bCs/>
                <w:sz w:val="18"/>
                <w:szCs w:val="18"/>
                <w:lang w:val="en-GB" w:eastAsia="en-GB" w:bidi="ar-SA"/>
              </w:rPr>
              <w:t xml:space="preserve">Average prices for the </w:t>
            </w:r>
            <w:r w:rsidR="00545D1D">
              <w:rPr>
                <w:b/>
                <w:bCs/>
                <w:sz w:val="18"/>
                <w:szCs w:val="18"/>
                <w:lang w:val="en-GB" w:eastAsia="en-GB" w:bidi="ar-SA"/>
              </w:rPr>
              <w:t>year</w:t>
            </w:r>
          </w:p>
        </w:tc>
        <w:tc>
          <w:tcPr>
            <w:tcW w:w="341" w:type="pct"/>
            <w:tcBorders>
              <w:top w:val="nil"/>
              <w:left w:val="nil"/>
              <w:bottom w:val="nil"/>
              <w:right w:val="nil"/>
            </w:tcBorders>
            <w:shd w:val="clear" w:color="auto" w:fill="auto"/>
            <w:vAlign w:val="bottom"/>
          </w:tcPr>
          <w:p w14:paraId="56CCA948"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339" w:type="pct"/>
            <w:tcBorders>
              <w:top w:val="nil"/>
              <w:left w:val="nil"/>
              <w:bottom w:val="nil"/>
              <w:right w:val="nil"/>
            </w:tcBorders>
            <w:shd w:val="clear" w:color="auto" w:fill="auto"/>
            <w:vAlign w:val="bottom"/>
          </w:tcPr>
          <w:p w14:paraId="048700E8"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337" w:type="pct"/>
            <w:tcBorders>
              <w:top w:val="nil"/>
              <w:left w:val="nil"/>
              <w:bottom w:val="nil"/>
              <w:right w:val="nil"/>
            </w:tcBorders>
            <w:shd w:val="clear" w:color="auto" w:fill="auto"/>
            <w:vAlign w:val="bottom"/>
          </w:tcPr>
          <w:p w14:paraId="4A3A7E4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10ADA7A2" w14:textId="77777777" w:rsidTr="00DF4A0D">
        <w:trPr>
          <w:cantSplit/>
        </w:trPr>
        <w:tc>
          <w:tcPr>
            <w:tcW w:w="3983" w:type="pct"/>
            <w:tcBorders>
              <w:top w:val="nil"/>
              <w:left w:val="nil"/>
              <w:bottom w:val="nil"/>
              <w:right w:val="nil"/>
            </w:tcBorders>
            <w:shd w:val="clear" w:color="auto" w:fill="auto"/>
          </w:tcPr>
          <w:p w14:paraId="65D2CAAE"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Copper (U.S. cents/lb)</w:t>
            </w:r>
            <w:r w:rsidRPr="00571974">
              <w:rPr>
                <w:sz w:val="18"/>
                <w:szCs w:val="18"/>
                <w:vertAlign w:val="superscript"/>
                <w:lang w:val="en-GB" w:eastAsia="en-GB" w:bidi="ar-SA"/>
              </w:rPr>
              <w:t>(1)</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62B6640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280</w:t>
            </w:r>
          </w:p>
        </w:tc>
        <w:tc>
          <w:tcPr>
            <w:tcW w:w="339" w:type="pct"/>
            <w:tcBorders>
              <w:top w:val="nil"/>
              <w:left w:val="nil"/>
              <w:bottom w:val="nil"/>
              <w:right w:val="nil"/>
            </w:tcBorders>
            <w:shd w:val="clear" w:color="auto" w:fill="auto"/>
            <w:vAlign w:val="bottom"/>
          </w:tcPr>
          <w:p w14:paraId="0A28533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296</w:t>
            </w:r>
          </w:p>
        </w:tc>
        <w:tc>
          <w:tcPr>
            <w:tcW w:w="337" w:type="pct"/>
            <w:tcBorders>
              <w:top w:val="nil"/>
              <w:left w:val="nil"/>
              <w:bottom w:val="nil"/>
              <w:right w:val="nil"/>
            </w:tcBorders>
            <w:shd w:val="clear" w:color="auto" w:fill="auto"/>
            <w:vAlign w:val="bottom"/>
          </w:tcPr>
          <w:p w14:paraId="480C087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272</w:t>
            </w:r>
          </w:p>
        </w:tc>
      </w:tr>
      <w:tr w:rsidR="002228B8" w14:paraId="66129EEC" w14:textId="77777777" w:rsidTr="00DF4A0D">
        <w:trPr>
          <w:cantSplit/>
        </w:trPr>
        <w:tc>
          <w:tcPr>
            <w:tcW w:w="3983" w:type="pct"/>
            <w:tcBorders>
              <w:top w:val="nil"/>
              <w:left w:val="nil"/>
              <w:bottom w:val="nil"/>
              <w:right w:val="nil"/>
            </w:tcBorders>
            <w:shd w:val="clear" w:color="auto" w:fill="auto"/>
          </w:tcPr>
          <w:p w14:paraId="7104A2A1"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Platinum (US$/oz)</w:t>
            </w:r>
            <w:r w:rsidRPr="00571974">
              <w:rPr>
                <w:sz w:val="18"/>
                <w:szCs w:val="18"/>
                <w:vertAlign w:val="superscript"/>
                <w:lang w:val="en-GB" w:eastAsia="en-GB" w:bidi="ar-SA"/>
              </w:rPr>
              <w:t>(2)</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59DFDDD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950</w:t>
            </w:r>
          </w:p>
        </w:tc>
        <w:tc>
          <w:tcPr>
            <w:tcW w:w="339" w:type="pct"/>
            <w:tcBorders>
              <w:top w:val="nil"/>
              <w:left w:val="nil"/>
              <w:bottom w:val="nil"/>
              <w:right w:val="nil"/>
            </w:tcBorders>
            <w:shd w:val="clear" w:color="auto" w:fill="auto"/>
            <w:vAlign w:val="bottom"/>
          </w:tcPr>
          <w:p w14:paraId="7C4E7BE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880</w:t>
            </w:r>
          </w:p>
        </w:tc>
        <w:tc>
          <w:tcPr>
            <w:tcW w:w="337" w:type="pct"/>
            <w:tcBorders>
              <w:top w:val="nil"/>
              <w:left w:val="nil"/>
              <w:bottom w:val="nil"/>
              <w:right w:val="nil"/>
            </w:tcBorders>
            <w:shd w:val="clear" w:color="auto" w:fill="auto"/>
            <w:vAlign w:val="bottom"/>
          </w:tcPr>
          <w:p w14:paraId="69F48EA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864</w:t>
            </w:r>
          </w:p>
        </w:tc>
      </w:tr>
      <w:tr w:rsidR="002228B8" w14:paraId="777556FE" w14:textId="77777777" w:rsidTr="00DF4A0D">
        <w:trPr>
          <w:cantSplit/>
        </w:trPr>
        <w:tc>
          <w:tcPr>
            <w:tcW w:w="3983" w:type="pct"/>
            <w:tcBorders>
              <w:top w:val="nil"/>
              <w:left w:val="nil"/>
              <w:bottom w:val="nil"/>
              <w:right w:val="nil"/>
            </w:tcBorders>
            <w:shd w:val="clear" w:color="auto" w:fill="auto"/>
          </w:tcPr>
          <w:p w14:paraId="7367AB48"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Palladium (US$/oz)</w:t>
            </w:r>
            <w:r w:rsidRPr="00571974">
              <w:rPr>
                <w:sz w:val="18"/>
                <w:szCs w:val="18"/>
                <w:vertAlign w:val="superscript"/>
                <w:lang w:val="en-GB" w:eastAsia="en-GB" w:bidi="ar-SA"/>
              </w:rPr>
              <w:t>(2)</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6B22EA6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871</w:t>
            </w:r>
          </w:p>
        </w:tc>
        <w:tc>
          <w:tcPr>
            <w:tcW w:w="339" w:type="pct"/>
            <w:tcBorders>
              <w:top w:val="nil"/>
              <w:left w:val="nil"/>
              <w:bottom w:val="nil"/>
              <w:right w:val="nil"/>
            </w:tcBorders>
            <w:shd w:val="clear" w:color="auto" w:fill="auto"/>
            <w:vAlign w:val="bottom"/>
          </w:tcPr>
          <w:p w14:paraId="35877E5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1,029</w:t>
            </w:r>
          </w:p>
        </w:tc>
        <w:tc>
          <w:tcPr>
            <w:tcW w:w="337" w:type="pct"/>
            <w:tcBorders>
              <w:top w:val="nil"/>
              <w:left w:val="nil"/>
              <w:bottom w:val="nil"/>
              <w:right w:val="nil"/>
            </w:tcBorders>
            <w:shd w:val="clear" w:color="auto" w:fill="auto"/>
            <w:vAlign w:val="bottom"/>
          </w:tcPr>
          <w:p w14:paraId="2A075C8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1,539</w:t>
            </w:r>
          </w:p>
        </w:tc>
      </w:tr>
      <w:tr w:rsidR="002228B8" w14:paraId="15ACDFA1" w14:textId="77777777" w:rsidTr="00DF4A0D">
        <w:trPr>
          <w:cantSplit/>
        </w:trPr>
        <w:tc>
          <w:tcPr>
            <w:tcW w:w="3983" w:type="pct"/>
            <w:tcBorders>
              <w:top w:val="nil"/>
              <w:left w:val="nil"/>
              <w:bottom w:val="nil"/>
              <w:right w:val="nil"/>
            </w:tcBorders>
            <w:shd w:val="clear" w:color="auto" w:fill="auto"/>
          </w:tcPr>
          <w:p w14:paraId="6B975810"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Rhodium (US$/oz)</w:t>
            </w:r>
            <w:r w:rsidRPr="00571974">
              <w:rPr>
                <w:sz w:val="18"/>
                <w:szCs w:val="18"/>
                <w:vertAlign w:val="superscript"/>
                <w:lang w:val="en-GB" w:eastAsia="en-GB" w:bidi="ar-SA"/>
              </w:rPr>
              <w:t>(3)</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281A5F8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1,097</w:t>
            </w:r>
          </w:p>
        </w:tc>
        <w:tc>
          <w:tcPr>
            <w:tcW w:w="339" w:type="pct"/>
            <w:tcBorders>
              <w:top w:val="nil"/>
              <w:left w:val="nil"/>
              <w:bottom w:val="nil"/>
              <w:right w:val="nil"/>
            </w:tcBorders>
            <w:shd w:val="clear" w:color="auto" w:fill="auto"/>
            <w:vAlign w:val="bottom"/>
          </w:tcPr>
          <w:p w14:paraId="16CF0E9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2,214</w:t>
            </w:r>
          </w:p>
        </w:tc>
        <w:tc>
          <w:tcPr>
            <w:tcW w:w="337" w:type="pct"/>
            <w:tcBorders>
              <w:top w:val="nil"/>
              <w:left w:val="nil"/>
              <w:bottom w:val="nil"/>
              <w:right w:val="nil"/>
            </w:tcBorders>
            <w:shd w:val="clear" w:color="auto" w:fill="auto"/>
            <w:vAlign w:val="bottom"/>
          </w:tcPr>
          <w:p w14:paraId="207077B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3,914</w:t>
            </w:r>
          </w:p>
        </w:tc>
      </w:tr>
      <w:tr w:rsidR="002228B8" w14:paraId="43AEA5A3" w14:textId="77777777" w:rsidTr="00DF4A0D">
        <w:trPr>
          <w:cantSplit/>
        </w:trPr>
        <w:tc>
          <w:tcPr>
            <w:tcW w:w="3983" w:type="pct"/>
            <w:tcBorders>
              <w:top w:val="nil"/>
              <w:left w:val="nil"/>
              <w:bottom w:val="nil"/>
              <w:right w:val="nil"/>
            </w:tcBorders>
            <w:shd w:val="clear" w:color="auto" w:fill="auto"/>
          </w:tcPr>
          <w:p w14:paraId="240BCF8C"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Iron ore (62% Fe CFR) (US$/tonne)</w:t>
            </w:r>
            <w:r w:rsidRPr="00571974">
              <w:rPr>
                <w:sz w:val="18"/>
                <w:szCs w:val="18"/>
                <w:vertAlign w:val="superscript"/>
                <w:lang w:val="en-GB" w:eastAsia="en-GB" w:bidi="ar-SA"/>
              </w:rPr>
              <w:t>(4)</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7426003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71</w:t>
            </w:r>
          </w:p>
        </w:tc>
        <w:tc>
          <w:tcPr>
            <w:tcW w:w="339" w:type="pct"/>
            <w:tcBorders>
              <w:top w:val="nil"/>
              <w:left w:val="nil"/>
              <w:bottom w:val="nil"/>
              <w:right w:val="nil"/>
            </w:tcBorders>
            <w:shd w:val="clear" w:color="auto" w:fill="auto"/>
            <w:vAlign w:val="bottom"/>
          </w:tcPr>
          <w:p w14:paraId="70E2BCA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69</w:t>
            </w:r>
          </w:p>
        </w:tc>
        <w:tc>
          <w:tcPr>
            <w:tcW w:w="337" w:type="pct"/>
            <w:tcBorders>
              <w:top w:val="nil"/>
              <w:left w:val="nil"/>
              <w:bottom w:val="nil"/>
              <w:right w:val="nil"/>
            </w:tcBorders>
            <w:shd w:val="clear" w:color="auto" w:fill="auto"/>
            <w:vAlign w:val="bottom"/>
          </w:tcPr>
          <w:p w14:paraId="456B628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93</w:t>
            </w:r>
          </w:p>
        </w:tc>
      </w:tr>
      <w:tr w:rsidR="002228B8" w14:paraId="24F5A36F" w14:textId="77777777" w:rsidTr="00DF4A0D">
        <w:trPr>
          <w:cantSplit/>
        </w:trPr>
        <w:tc>
          <w:tcPr>
            <w:tcW w:w="3983" w:type="pct"/>
            <w:tcBorders>
              <w:top w:val="nil"/>
              <w:left w:val="nil"/>
              <w:bottom w:val="nil"/>
              <w:right w:val="nil"/>
            </w:tcBorders>
            <w:shd w:val="clear" w:color="auto" w:fill="auto"/>
          </w:tcPr>
          <w:p w14:paraId="1E152F97"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Iron ore (66% Fe Concentrate CFR) (US$/tonne)</w:t>
            </w:r>
            <w:r w:rsidRPr="00571974">
              <w:rPr>
                <w:sz w:val="18"/>
                <w:szCs w:val="18"/>
                <w:vertAlign w:val="superscript"/>
                <w:lang w:val="en-GB" w:eastAsia="en-GB" w:bidi="ar-SA"/>
              </w:rPr>
              <w:t>(5)</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2DCF715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w:t>
            </w:r>
          </w:p>
        </w:tc>
        <w:tc>
          <w:tcPr>
            <w:tcW w:w="339" w:type="pct"/>
            <w:tcBorders>
              <w:top w:val="nil"/>
              <w:left w:val="nil"/>
              <w:bottom w:val="nil"/>
              <w:right w:val="nil"/>
            </w:tcBorders>
            <w:shd w:val="clear" w:color="auto" w:fill="auto"/>
            <w:vAlign w:val="bottom"/>
          </w:tcPr>
          <w:p w14:paraId="0A3D283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95</w:t>
            </w:r>
          </w:p>
        </w:tc>
        <w:tc>
          <w:tcPr>
            <w:tcW w:w="337" w:type="pct"/>
            <w:tcBorders>
              <w:top w:val="nil"/>
              <w:left w:val="nil"/>
              <w:bottom w:val="nil"/>
              <w:right w:val="nil"/>
            </w:tcBorders>
            <w:shd w:val="clear" w:color="auto" w:fill="auto"/>
            <w:vAlign w:val="bottom"/>
          </w:tcPr>
          <w:p w14:paraId="673CDCF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104</w:t>
            </w:r>
          </w:p>
        </w:tc>
      </w:tr>
      <w:tr w:rsidR="002228B8" w14:paraId="34D7C1CB" w14:textId="77777777" w:rsidTr="00DF4A0D">
        <w:trPr>
          <w:cantSplit/>
        </w:trPr>
        <w:tc>
          <w:tcPr>
            <w:tcW w:w="3983" w:type="pct"/>
            <w:tcBorders>
              <w:top w:val="nil"/>
              <w:left w:val="nil"/>
              <w:bottom w:val="nil"/>
              <w:right w:val="nil"/>
            </w:tcBorders>
            <w:shd w:val="clear" w:color="auto" w:fill="auto"/>
          </w:tcPr>
          <w:p w14:paraId="7E8B9989"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Hard coking coal (FOB Australia) (US$/tonne)</w:t>
            </w:r>
            <w:r w:rsidRPr="00571974">
              <w:rPr>
                <w:sz w:val="18"/>
                <w:szCs w:val="18"/>
                <w:vertAlign w:val="superscript"/>
                <w:lang w:val="en-GB" w:eastAsia="en-GB" w:bidi="ar-SA"/>
              </w:rPr>
              <w:t>(4)</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4C8E102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188</w:t>
            </w:r>
          </w:p>
        </w:tc>
        <w:tc>
          <w:tcPr>
            <w:tcW w:w="339" w:type="pct"/>
            <w:tcBorders>
              <w:top w:val="nil"/>
              <w:left w:val="nil"/>
              <w:bottom w:val="nil"/>
              <w:right w:val="nil"/>
            </w:tcBorders>
            <w:shd w:val="clear" w:color="auto" w:fill="auto"/>
            <w:vAlign w:val="bottom"/>
          </w:tcPr>
          <w:p w14:paraId="010EC43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207</w:t>
            </w:r>
          </w:p>
        </w:tc>
        <w:tc>
          <w:tcPr>
            <w:tcW w:w="337" w:type="pct"/>
            <w:tcBorders>
              <w:top w:val="nil"/>
              <w:left w:val="nil"/>
              <w:bottom w:val="nil"/>
              <w:right w:val="nil"/>
            </w:tcBorders>
            <w:shd w:val="clear" w:color="auto" w:fill="auto"/>
            <w:vAlign w:val="bottom"/>
          </w:tcPr>
          <w:p w14:paraId="2E8B661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177</w:t>
            </w:r>
          </w:p>
        </w:tc>
      </w:tr>
      <w:tr w:rsidR="002228B8" w14:paraId="1FF4EDC2" w14:textId="77777777" w:rsidTr="00DF4A0D">
        <w:trPr>
          <w:cantSplit/>
        </w:trPr>
        <w:tc>
          <w:tcPr>
            <w:tcW w:w="3983" w:type="pct"/>
            <w:tcBorders>
              <w:top w:val="nil"/>
              <w:left w:val="nil"/>
              <w:bottom w:val="nil"/>
              <w:right w:val="nil"/>
            </w:tcBorders>
            <w:shd w:val="clear" w:color="auto" w:fill="auto"/>
          </w:tcPr>
          <w:p w14:paraId="54325463"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PCI (FOB Australia)</w:t>
            </w:r>
            <w:r w:rsidRPr="00571974">
              <w:rPr>
                <w:sz w:val="18"/>
                <w:szCs w:val="18"/>
                <w:vertAlign w:val="superscript"/>
                <w:lang w:val="en-GB" w:eastAsia="en-GB" w:bidi="ar-SA"/>
              </w:rPr>
              <w:t>(4)</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29DC2EA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119</w:t>
            </w:r>
          </w:p>
        </w:tc>
        <w:tc>
          <w:tcPr>
            <w:tcW w:w="339" w:type="pct"/>
            <w:tcBorders>
              <w:top w:val="nil"/>
              <w:left w:val="nil"/>
              <w:bottom w:val="nil"/>
              <w:right w:val="nil"/>
            </w:tcBorders>
            <w:shd w:val="clear" w:color="auto" w:fill="auto"/>
            <w:vAlign w:val="bottom"/>
          </w:tcPr>
          <w:p w14:paraId="7EF7506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136</w:t>
            </w:r>
          </w:p>
        </w:tc>
        <w:tc>
          <w:tcPr>
            <w:tcW w:w="337" w:type="pct"/>
            <w:tcBorders>
              <w:top w:val="nil"/>
              <w:left w:val="nil"/>
              <w:bottom w:val="nil"/>
              <w:right w:val="nil"/>
            </w:tcBorders>
            <w:shd w:val="clear" w:color="auto" w:fill="auto"/>
            <w:vAlign w:val="bottom"/>
          </w:tcPr>
          <w:p w14:paraId="70D46A0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110</w:t>
            </w:r>
          </w:p>
        </w:tc>
      </w:tr>
      <w:tr w:rsidR="002228B8" w14:paraId="318E9C91" w14:textId="77777777" w:rsidTr="00DF4A0D">
        <w:trPr>
          <w:cantSplit/>
        </w:trPr>
        <w:tc>
          <w:tcPr>
            <w:tcW w:w="3983" w:type="pct"/>
            <w:tcBorders>
              <w:top w:val="nil"/>
              <w:left w:val="nil"/>
              <w:bottom w:val="nil"/>
              <w:right w:val="nil"/>
            </w:tcBorders>
            <w:shd w:val="clear" w:color="auto" w:fill="auto"/>
          </w:tcPr>
          <w:p w14:paraId="1251E327"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Thermal coal (FOB South Africa) (US$/tonne)</w:t>
            </w:r>
            <w:r w:rsidRPr="00571974">
              <w:rPr>
                <w:sz w:val="18"/>
                <w:szCs w:val="18"/>
                <w:vertAlign w:val="superscript"/>
                <w:lang w:val="en-GB" w:eastAsia="en-GB" w:bidi="ar-SA"/>
              </w:rPr>
              <w:t>(6)</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6A84011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84</w:t>
            </w:r>
          </w:p>
        </w:tc>
        <w:tc>
          <w:tcPr>
            <w:tcW w:w="339" w:type="pct"/>
            <w:tcBorders>
              <w:top w:val="nil"/>
              <w:left w:val="nil"/>
              <w:bottom w:val="nil"/>
              <w:right w:val="nil"/>
            </w:tcBorders>
            <w:shd w:val="clear" w:color="auto" w:fill="auto"/>
            <w:vAlign w:val="bottom"/>
          </w:tcPr>
          <w:p w14:paraId="6529E85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98</w:t>
            </w:r>
          </w:p>
        </w:tc>
        <w:tc>
          <w:tcPr>
            <w:tcW w:w="337" w:type="pct"/>
            <w:tcBorders>
              <w:top w:val="nil"/>
              <w:left w:val="nil"/>
              <w:bottom w:val="nil"/>
              <w:right w:val="nil"/>
            </w:tcBorders>
            <w:shd w:val="clear" w:color="auto" w:fill="auto"/>
            <w:vAlign w:val="bottom"/>
          </w:tcPr>
          <w:p w14:paraId="13C2C1B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72</w:t>
            </w:r>
          </w:p>
        </w:tc>
      </w:tr>
      <w:tr w:rsidR="002228B8" w14:paraId="3409CC71" w14:textId="77777777" w:rsidTr="00DF4A0D">
        <w:trPr>
          <w:cantSplit/>
        </w:trPr>
        <w:tc>
          <w:tcPr>
            <w:tcW w:w="3983" w:type="pct"/>
            <w:tcBorders>
              <w:top w:val="nil"/>
              <w:left w:val="nil"/>
              <w:bottom w:val="nil"/>
              <w:right w:val="nil"/>
            </w:tcBorders>
            <w:shd w:val="clear" w:color="auto" w:fill="auto"/>
          </w:tcPr>
          <w:p w14:paraId="47192FA8"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Thermal coal (FOB Australia) (US$/tonne)</w:t>
            </w:r>
            <w:r w:rsidRPr="00571974">
              <w:rPr>
                <w:sz w:val="18"/>
                <w:szCs w:val="18"/>
                <w:vertAlign w:val="superscript"/>
                <w:lang w:val="en-GB" w:eastAsia="en-GB" w:bidi="ar-SA"/>
              </w:rPr>
              <w:t>(7)</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2C4616B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89</w:t>
            </w:r>
          </w:p>
        </w:tc>
        <w:tc>
          <w:tcPr>
            <w:tcW w:w="339" w:type="pct"/>
            <w:tcBorders>
              <w:top w:val="nil"/>
              <w:left w:val="nil"/>
              <w:bottom w:val="nil"/>
              <w:right w:val="nil"/>
            </w:tcBorders>
            <w:shd w:val="clear" w:color="auto" w:fill="auto"/>
            <w:vAlign w:val="bottom"/>
          </w:tcPr>
          <w:p w14:paraId="17E2971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107</w:t>
            </w:r>
          </w:p>
        </w:tc>
        <w:tc>
          <w:tcPr>
            <w:tcW w:w="337" w:type="pct"/>
            <w:tcBorders>
              <w:top w:val="nil"/>
              <w:left w:val="nil"/>
              <w:bottom w:val="nil"/>
              <w:right w:val="nil"/>
            </w:tcBorders>
            <w:shd w:val="clear" w:color="auto" w:fill="auto"/>
            <w:vAlign w:val="bottom"/>
          </w:tcPr>
          <w:p w14:paraId="6ACC208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78</w:t>
            </w:r>
          </w:p>
        </w:tc>
      </w:tr>
      <w:tr w:rsidR="002228B8" w14:paraId="560D00AE" w14:textId="77777777" w:rsidTr="00DF4A0D">
        <w:trPr>
          <w:cantSplit/>
        </w:trPr>
        <w:tc>
          <w:tcPr>
            <w:tcW w:w="3983" w:type="pct"/>
            <w:tcBorders>
              <w:top w:val="nil"/>
              <w:left w:val="nil"/>
              <w:bottom w:val="nil"/>
              <w:right w:val="nil"/>
            </w:tcBorders>
            <w:shd w:val="clear" w:color="auto" w:fill="auto"/>
          </w:tcPr>
          <w:p w14:paraId="76F4D168" w14:textId="77777777" w:rsidR="00E93D9C" w:rsidRPr="00571974" w:rsidRDefault="003D4D89" w:rsidP="00DF4A0D">
            <w:pPr>
              <w:tabs>
                <w:tab w:val="right" w:leader="dot" w:pos="7740"/>
              </w:tabs>
              <w:suppressAutoHyphens/>
              <w:ind w:left="200" w:hanging="200"/>
              <w:rPr>
                <w:sz w:val="18"/>
                <w:szCs w:val="18"/>
                <w:lang w:val="en-GB" w:eastAsia="en-GB" w:bidi="ar-SA"/>
              </w:rPr>
            </w:pPr>
            <w:r w:rsidRPr="00571974">
              <w:rPr>
                <w:sz w:val="18"/>
                <w:szCs w:val="18"/>
                <w:lang w:val="en-GB" w:eastAsia="en-GB" w:bidi="ar-SA"/>
              </w:rPr>
              <w:t>Thermal coal (FOB Colombia) (US$/tonne)</w:t>
            </w:r>
            <w:r w:rsidRPr="00571974">
              <w:rPr>
                <w:sz w:val="18"/>
                <w:szCs w:val="18"/>
                <w:vertAlign w:val="superscript"/>
                <w:lang w:val="en-GB" w:eastAsia="en-GB" w:bidi="ar-SA"/>
              </w:rPr>
              <w:t>(6)</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2912722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78</w:t>
            </w:r>
          </w:p>
        </w:tc>
        <w:tc>
          <w:tcPr>
            <w:tcW w:w="339" w:type="pct"/>
            <w:tcBorders>
              <w:top w:val="nil"/>
              <w:left w:val="nil"/>
              <w:bottom w:val="nil"/>
              <w:right w:val="nil"/>
            </w:tcBorders>
            <w:shd w:val="clear" w:color="auto" w:fill="auto"/>
            <w:vAlign w:val="bottom"/>
          </w:tcPr>
          <w:p w14:paraId="43B10C7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85</w:t>
            </w:r>
          </w:p>
        </w:tc>
        <w:tc>
          <w:tcPr>
            <w:tcW w:w="337" w:type="pct"/>
            <w:tcBorders>
              <w:top w:val="nil"/>
              <w:left w:val="nil"/>
              <w:bottom w:val="nil"/>
              <w:right w:val="nil"/>
            </w:tcBorders>
            <w:shd w:val="clear" w:color="auto" w:fill="auto"/>
            <w:vAlign w:val="bottom"/>
          </w:tcPr>
          <w:p w14:paraId="7A381F1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54</w:t>
            </w:r>
          </w:p>
        </w:tc>
      </w:tr>
      <w:tr w:rsidR="002228B8" w14:paraId="21E9FD9D" w14:textId="77777777" w:rsidTr="00DF4A0D">
        <w:trPr>
          <w:cantSplit/>
        </w:trPr>
        <w:tc>
          <w:tcPr>
            <w:tcW w:w="3983" w:type="pct"/>
            <w:tcBorders>
              <w:top w:val="nil"/>
              <w:left w:val="nil"/>
              <w:bottom w:val="nil"/>
              <w:right w:val="nil"/>
            </w:tcBorders>
            <w:shd w:val="clear" w:color="auto" w:fill="auto"/>
          </w:tcPr>
          <w:p w14:paraId="4BDFF8E3" w14:textId="0E549C09" w:rsidR="00E93D9C" w:rsidRPr="00571974" w:rsidRDefault="003D4D89" w:rsidP="00545D1D">
            <w:pPr>
              <w:tabs>
                <w:tab w:val="right" w:leader="dot" w:pos="7740"/>
              </w:tabs>
              <w:suppressAutoHyphens/>
              <w:ind w:left="200" w:hanging="200"/>
              <w:rPr>
                <w:sz w:val="18"/>
                <w:szCs w:val="18"/>
                <w:lang w:val="en-GB" w:eastAsia="en-GB" w:bidi="ar-SA"/>
              </w:rPr>
            </w:pPr>
            <w:r w:rsidRPr="00571974">
              <w:rPr>
                <w:sz w:val="18"/>
                <w:szCs w:val="18"/>
                <w:lang w:val="en-GB" w:eastAsia="en-GB" w:bidi="ar-SA"/>
              </w:rPr>
              <w:t>Nickel (U.S. cents/lb)</w:t>
            </w:r>
            <w:r w:rsidRPr="00571974">
              <w:rPr>
                <w:sz w:val="18"/>
                <w:szCs w:val="18"/>
                <w:vertAlign w:val="superscript"/>
                <w:lang w:val="en-GB" w:eastAsia="en-GB" w:bidi="ar-SA"/>
              </w:rPr>
              <w:t>(1)</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6A5C08F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472</w:t>
            </w:r>
          </w:p>
        </w:tc>
        <w:tc>
          <w:tcPr>
            <w:tcW w:w="339" w:type="pct"/>
            <w:tcBorders>
              <w:top w:val="nil"/>
              <w:left w:val="nil"/>
              <w:bottom w:val="nil"/>
              <w:right w:val="nil"/>
            </w:tcBorders>
            <w:shd w:val="clear" w:color="auto" w:fill="auto"/>
            <w:vAlign w:val="bottom"/>
          </w:tcPr>
          <w:p w14:paraId="67D09FC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595</w:t>
            </w:r>
          </w:p>
        </w:tc>
        <w:tc>
          <w:tcPr>
            <w:tcW w:w="337" w:type="pct"/>
            <w:tcBorders>
              <w:top w:val="nil"/>
              <w:left w:val="nil"/>
              <w:bottom w:val="nil"/>
              <w:right w:val="nil"/>
            </w:tcBorders>
            <w:shd w:val="clear" w:color="auto" w:fill="auto"/>
            <w:vAlign w:val="bottom"/>
          </w:tcPr>
          <w:p w14:paraId="498F84E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632</w:t>
            </w:r>
          </w:p>
        </w:tc>
      </w:tr>
      <w:tr w:rsidR="00545D1D" w:rsidRPr="00571974" w14:paraId="2B811D6D" w14:textId="77777777" w:rsidTr="00F53054">
        <w:trPr>
          <w:cantSplit/>
        </w:trPr>
        <w:tc>
          <w:tcPr>
            <w:tcW w:w="3983" w:type="pct"/>
            <w:tcBorders>
              <w:top w:val="nil"/>
              <w:left w:val="nil"/>
              <w:bottom w:val="nil"/>
              <w:right w:val="nil"/>
            </w:tcBorders>
            <w:shd w:val="clear" w:color="auto" w:fill="auto"/>
          </w:tcPr>
          <w:p w14:paraId="25BD28F8" w14:textId="77777777" w:rsidR="00545D1D" w:rsidRPr="00571974" w:rsidRDefault="00545D1D" w:rsidP="00F53054">
            <w:pPr>
              <w:tabs>
                <w:tab w:val="right" w:leader="dot" w:pos="7740"/>
              </w:tabs>
              <w:suppressAutoHyphens/>
              <w:ind w:left="200" w:hanging="200"/>
              <w:rPr>
                <w:sz w:val="18"/>
                <w:szCs w:val="18"/>
                <w:lang w:val="en-GB" w:eastAsia="en-GB" w:bidi="ar-SA"/>
              </w:rPr>
            </w:pPr>
            <w:r>
              <w:rPr>
                <w:sz w:val="18"/>
                <w:szCs w:val="18"/>
                <w:lang w:val="en-GB" w:eastAsia="en-GB" w:bidi="ar-SA"/>
              </w:rPr>
              <w:t>Manganese ore (44% CIF China) (US$/dmtu)</w:t>
            </w:r>
            <w:r w:rsidRPr="00571974">
              <w:rPr>
                <w:sz w:val="18"/>
                <w:szCs w:val="18"/>
                <w:vertAlign w:val="superscript"/>
                <w:lang w:val="en-GB" w:eastAsia="en-GB" w:bidi="ar-SA"/>
              </w:rPr>
              <w:t>(5)</w:t>
            </w:r>
            <w:r w:rsidRPr="00571974">
              <w:rPr>
                <w:sz w:val="18"/>
                <w:szCs w:val="18"/>
                <w:lang w:val="en-GB" w:eastAsia="en-GB" w:bidi="ar-SA"/>
              </w:rPr>
              <w:tab/>
            </w:r>
          </w:p>
        </w:tc>
        <w:tc>
          <w:tcPr>
            <w:tcW w:w="341" w:type="pct"/>
            <w:tcBorders>
              <w:top w:val="nil"/>
              <w:left w:val="nil"/>
              <w:bottom w:val="nil"/>
              <w:right w:val="nil"/>
            </w:tcBorders>
            <w:shd w:val="clear" w:color="auto" w:fill="auto"/>
            <w:vAlign w:val="bottom"/>
          </w:tcPr>
          <w:p w14:paraId="64D98556" w14:textId="77777777" w:rsidR="00545D1D" w:rsidRPr="00571974" w:rsidRDefault="00545D1D" w:rsidP="00F53054">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5.91</w:t>
            </w:r>
          </w:p>
        </w:tc>
        <w:tc>
          <w:tcPr>
            <w:tcW w:w="339" w:type="pct"/>
            <w:tcBorders>
              <w:top w:val="nil"/>
              <w:left w:val="nil"/>
              <w:bottom w:val="nil"/>
              <w:right w:val="nil"/>
            </w:tcBorders>
            <w:shd w:val="clear" w:color="auto" w:fill="auto"/>
            <w:vAlign w:val="bottom"/>
          </w:tcPr>
          <w:p w14:paraId="07DD2CE1" w14:textId="77777777" w:rsidR="00545D1D" w:rsidRPr="00571974" w:rsidRDefault="00545D1D" w:rsidP="00F53054">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7.24</w:t>
            </w:r>
          </w:p>
        </w:tc>
        <w:tc>
          <w:tcPr>
            <w:tcW w:w="337" w:type="pct"/>
            <w:tcBorders>
              <w:top w:val="nil"/>
              <w:left w:val="nil"/>
              <w:bottom w:val="nil"/>
              <w:right w:val="nil"/>
            </w:tcBorders>
            <w:shd w:val="clear" w:color="auto" w:fill="auto"/>
            <w:vAlign w:val="bottom"/>
          </w:tcPr>
          <w:p w14:paraId="4B0F7826" w14:textId="77777777" w:rsidR="00545D1D" w:rsidRPr="00571974" w:rsidRDefault="00545D1D" w:rsidP="00F53054">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5.58</w:t>
            </w:r>
          </w:p>
        </w:tc>
      </w:tr>
    </w:tbl>
    <w:p w14:paraId="28B34142" w14:textId="77777777" w:rsidR="00E93D9C" w:rsidRPr="00571974" w:rsidRDefault="00836D74" w:rsidP="00E93D9C">
      <w:pPr>
        <w:rPr>
          <w:lang w:val="en-GB"/>
        </w:rPr>
      </w:pPr>
      <w:r>
        <w:rPr>
          <w:lang w:val="en-GB"/>
        </w:rPr>
        <w:pict w14:anchorId="633CD579">
          <v:rect id="_x0000_i1041" style="width:184.5pt;height:1pt" o:hrpct="250" o:hrstd="t" o:hrnoshade="t" o:hr="t" fillcolor="black" stroked="f"/>
        </w:pict>
      </w:r>
    </w:p>
    <w:p w14:paraId="7FDB56EA"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Source: London Metal Exchange (LME).</w:t>
      </w:r>
    </w:p>
    <w:p w14:paraId="1CA25C53"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Source: London Platinum and Palladium Market (LPPM).</w:t>
      </w:r>
    </w:p>
    <w:p w14:paraId="1BBCA5CF"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Source: Comdaq.</w:t>
      </w:r>
    </w:p>
    <w:p w14:paraId="2F31BEE2"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Source: Platts.</w:t>
      </w:r>
    </w:p>
    <w:p w14:paraId="22749EEC"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Source: Metal Bulletin.</w:t>
      </w:r>
    </w:p>
    <w:p w14:paraId="6F018DC3"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Source: Argus/McCloskey.</w:t>
      </w:r>
    </w:p>
    <w:p w14:paraId="29A85D5D" w14:textId="77777777" w:rsidR="00E93D9C" w:rsidRPr="00571974" w:rsidRDefault="003D4D89" w:rsidP="003D4D89">
      <w:pPr>
        <w:pStyle w:val="ListParagraph"/>
        <w:widowControl/>
        <w:numPr>
          <w:ilvl w:val="0"/>
          <w:numId w:val="37"/>
        </w:numPr>
        <w:tabs>
          <w:tab w:val="left" w:pos="-720"/>
          <w:tab w:val="left" w:pos="0"/>
        </w:tabs>
        <w:spacing w:after="240"/>
        <w:ind w:left="284" w:hanging="284"/>
        <w:rPr>
          <w:sz w:val="16"/>
          <w:szCs w:val="18"/>
          <w:lang w:val="en-GB"/>
        </w:rPr>
      </w:pPr>
      <w:r w:rsidRPr="00571974">
        <w:rPr>
          <w:sz w:val="16"/>
          <w:szCs w:val="18"/>
          <w:lang w:val="en-GB"/>
        </w:rPr>
        <w:t xml:space="preserve">Source: globalCOAL. </w:t>
      </w:r>
    </w:p>
    <w:p w14:paraId="3B128570" w14:textId="6BFCAE80" w:rsidR="00E93D9C" w:rsidRPr="00571974" w:rsidRDefault="003D4D89" w:rsidP="00E93D9C">
      <w:pPr>
        <w:pStyle w:val="BodyText"/>
        <w:widowControl/>
        <w:autoSpaceDE/>
        <w:autoSpaceDN/>
        <w:adjustRightInd/>
        <w:ind w:firstLine="360"/>
        <w:rPr>
          <w:lang w:val="en-GB"/>
        </w:rPr>
      </w:pPr>
      <w:r w:rsidRPr="00571974">
        <w:rPr>
          <w:lang w:val="en-GB"/>
        </w:rPr>
        <w:t xml:space="preserve">For further discussion on contributing factors to changes in commodity prices, see </w:t>
      </w:r>
      <w:r w:rsidR="00A311D8">
        <w:rPr>
          <w:lang w:val="en-GB"/>
        </w:rPr>
        <w:t>“</w:t>
      </w:r>
      <w:r w:rsidRPr="00571974">
        <w:rPr>
          <w:lang w:val="en-GB"/>
        </w:rPr>
        <w:t xml:space="preserve">Industry Overview—Commodity </w:t>
      </w:r>
      <w:r w:rsidR="00F3734B">
        <w:rPr>
          <w:lang w:val="en-GB"/>
        </w:rPr>
        <w:t>Review</w:t>
      </w:r>
      <w:r w:rsidR="00A311D8">
        <w:rPr>
          <w:lang w:val="en-GB"/>
        </w:rPr>
        <w:t>”</w:t>
      </w:r>
      <w:r w:rsidRPr="00571974">
        <w:rPr>
          <w:lang w:val="en-GB"/>
        </w:rPr>
        <w:t>.</w:t>
      </w:r>
    </w:p>
    <w:p w14:paraId="5095EC8F" w14:textId="0058385E" w:rsidR="00E93D9C" w:rsidRPr="00571974" w:rsidRDefault="004520D4" w:rsidP="001003BB">
      <w:pPr>
        <w:pStyle w:val="BodyText"/>
        <w:widowControl/>
        <w:autoSpaceDE/>
        <w:autoSpaceDN/>
        <w:adjustRightInd/>
        <w:ind w:firstLine="360"/>
        <w:rPr>
          <w:lang w:val="en-GB"/>
        </w:rPr>
      </w:pPr>
      <w:r w:rsidRPr="00542187">
        <w:t>Set forth below is the impact on 2019 underlying earnings of a 10% fluctuation in the prices for certain of the Group</w:t>
      </w:r>
      <w:r w:rsidR="00A311D8">
        <w:t>’</w:t>
      </w:r>
      <w:r w:rsidRPr="00542187">
        <w:t>s key commodities. These sensitivities reflect movement of an individual commodity price in isolation and are offered for illustrative purposes. In reality the combination of movements in commodity prices, exchange rates and interest rates will result in a different outcome.</w:t>
      </w:r>
    </w:p>
    <w:tbl>
      <w:tblPr>
        <w:tblW w:w="9346" w:type="dxa"/>
        <w:jc w:val="center"/>
        <w:tblLayout w:type="fixed"/>
        <w:tblCellMar>
          <w:left w:w="72" w:type="dxa"/>
          <w:right w:w="72" w:type="dxa"/>
        </w:tblCellMar>
        <w:tblLook w:val="0000" w:firstRow="0" w:lastRow="0" w:firstColumn="0" w:lastColumn="0" w:noHBand="0" w:noVBand="0"/>
      </w:tblPr>
      <w:tblGrid>
        <w:gridCol w:w="7561"/>
        <w:gridCol w:w="1785"/>
      </w:tblGrid>
      <w:tr w:rsidR="002228B8" w14:paraId="68E85261" w14:textId="77777777" w:rsidTr="00DF4A0D">
        <w:trPr>
          <w:cantSplit/>
          <w:jc w:val="center"/>
        </w:trPr>
        <w:tc>
          <w:tcPr>
            <w:tcW w:w="7561" w:type="dxa"/>
            <w:tcBorders>
              <w:top w:val="nil"/>
              <w:left w:val="nil"/>
              <w:bottom w:val="nil"/>
              <w:right w:val="nil"/>
            </w:tcBorders>
            <w:vAlign w:val="bottom"/>
          </w:tcPr>
          <w:p w14:paraId="22A0FFBF"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left="720"/>
              <w:contextualSpacing/>
              <w:jc w:val="center"/>
              <w:rPr>
                <w:b/>
                <w:bCs/>
                <w:sz w:val="18"/>
                <w:szCs w:val="18"/>
                <w:lang w:val="en-GB" w:eastAsia="en-GB" w:bidi="ar-SA"/>
              </w:rPr>
            </w:pPr>
          </w:p>
        </w:tc>
        <w:tc>
          <w:tcPr>
            <w:tcW w:w="1785" w:type="dxa"/>
            <w:tcBorders>
              <w:top w:val="nil"/>
              <w:left w:val="nil"/>
              <w:bottom w:val="nil"/>
              <w:right w:val="nil"/>
            </w:tcBorders>
            <w:vAlign w:val="bottom"/>
          </w:tcPr>
          <w:p w14:paraId="157FF50B"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 ended December 31, 2019</w:t>
            </w:r>
          </w:p>
        </w:tc>
      </w:tr>
      <w:tr w:rsidR="002228B8" w14:paraId="42EEB211" w14:textId="77777777" w:rsidTr="00DF4A0D">
        <w:trPr>
          <w:cantSplit/>
          <w:jc w:val="center"/>
        </w:trPr>
        <w:tc>
          <w:tcPr>
            <w:tcW w:w="7561" w:type="dxa"/>
            <w:tcBorders>
              <w:top w:val="nil"/>
              <w:left w:val="nil"/>
              <w:bottom w:val="nil"/>
              <w:right w:val="nil"/>
            </w:tcBorders>
            <w:vAlign w:val="bottom"/>
          </w:tcPr>
          <w:p w14:paraId="33AD339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785" w:type="dxa"/>
            <w:tcBorders>
              <w:top w:val="nil"/>
              <w:left w:val="nil"/>
              <w:bottom w:val="nil"/>
              <w:right w:val="nil"/>
            </w:tcBorders>
            <w:vAlign w:val="bottom"/>
          </w:tcPr>
          <w:p w14:paraId="16A13EB0"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10%</w:t>
            </w:r>
            <w:r w:rsidRPr="00571974">
              <w:rPr>
                <w:b/>
                <w:bCs/>
                <w:sz w:val="18"/>
                <w:szCs w:val="18"/>
                <w:lang w:val="en-GB" w:eastAsia="en-GB" w:bidi="ar-SA"/>
              </w:rPr>
              <w:br/>
              <w:t>sensitivity</w:t>
            </w:r>
          </w:p>
        </w:tc>
      </w:tr>
      <w:tr w:rsidR="002228B8" w14:paraId="34221D62" w14:textId="77777777" w:rsidTr="00DF4A0D">
        <w:trPr>
          <w:cantSplit/>
          <w:jc w:val="center"/>
        </w:trPr>
        <w:tc>
          <w:tcPr>
            <w:tcW w:w="7561" w:type="dxa"/>
            <w:tcBorders>
              <w:top w:val="nil"/>
              <w:left w:val="nil"/>
              <w:bottom w:val="nil"/>
              <w:right w:val="nil"/>
            </w:tcBorders>
            <w:vAlign w:val="bottom"/>
          </w:tcPr>
          <w:p w14:paraId="5A31FEA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785" w:type="dxa"/>
            <w:tcBorders>
              <w:top w:val="nil"/>
              <w:left w:val="nil"/>
              <w:bottom w:val="nil"/>
              <w:right w:val="nil"/>
            </w:tcBorders>
            <w:vAlign w:val="bottom"/>
          </w:tcPr>
          <w:p w14:paraId="4B02592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szCs w:val="18"/>
                <w:lang w:val="en-GB" w:eastAsia="en-GB" w:bidi="ar-SA"/>
              </w:rPr>
            </w:pPr>
            <w:r w:rsidRPr="00571974">
              <w:rPr>
                <w:b/>
                <w:bCs/>
                <w:i/>
                <w:iCs/>
                <w:sz w:val="18"/>
                <w:szCs w:val="18"/>
                <w:lang w:val="en-GB" w:eastAsia="en-GB" w:bidi="ar-SA"/>
              </w:rPr>
              <w:t>(US$m)</w:t>
            </w:r>
            <w:r w:rsidRPr="00571974">
              <w:rPr>
                <w:b/>
                <w:bCs/>
                <w:i/>
                <w:iCs/>
                <w:sz w:val="18"/>
                <w:szCs w:val="18"/>
                <w:vertAlign w:val="superscript"/>
                <w:lang w:val="en-GB" w:eastAsia="en-GB" w:bidi="ar-SA"/>
              </w:rPr>
              <w:t>(4)</w:t>
            </w:r>
          </w:p>
        </w:tc>
      </w:tr>
      <w:tr w:rsidR="002228B8" w14:paraId="6B831669" w14:textId="77777777" w:rsidTr="00DF4A0D">
        <w:trPr>
          <w:cantSplit/>
          <w:jc w:val="center"/>
        </w:trPr>
        <w:tc>
          <w:tcPr>
            <w:tcW w:w="7561" w:type="dxa"/>
            <w:tcBorders>
              <w:top w:val="nil"/>
              <w:left w:val="nil"/>
              <w:bottom w:val="nil"/>
              <w:right w:val="nil"/>
            </w:tcBorders>
          </w:tcPr>
          <w:p w14:paraId="1BCDFCA4"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Iron ore</w:t>
            </w:r>
            <w:r w:rsidRPr="00571974">
              <w:rPr>
                <w:sz w:val="18"/>
                <w:szCs w:val="18"/>
                <w:vertAlign w:val="superscript"/>
                <w:lang w:val="en-GB" w:eastAsia="en-GB" w:bidi="ar-SA"/>
              </w:rPr>
              <w:t>(1)</w:t>
            </w:r>
            <w:r w:rsidRPr="00571974">
              <w:rPr>
                <w:sz w:val="18"/>
                <w:szCs w:val="18"/>
                <w:lang w:val="en-GB" w:eastAsia="en-GB" w:bidi="ar-SA"/>
              </w:rPr>
              <w:tab/>
            </w:r>
          </w:p>
        </w:tc>
        <w:tc>
          <w:tcPr>
            <w:tcW w:w="1785" w:type="dxa"/>
            <w:tcBorders>
              <w:top w:val="nil"/>
              <w:left w:val="nil"/>
              <w:bottom w:val="nil"/>
              <w:right w:val="nil"/>
            </w:tcBorders>
          </w:tcPr>
          <w:p w14:paraId="4861D05B" w14:textId="45A5FAF5"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w:t>
            </w:r>
            <w:r w:rsidR="004520D4">
              <w:rPr>
                <w:lang w:val="en-GB" w:eastAsia="en-GB" w:bidi="ar-SA"/>
              </w:rPr>
              <w:t>314</w:t>
            </w:r>
          </w:p>
        </w:tc>
      </w:tr>
      <w:tr w:rsidR="002228B8" w14:paraId="5E40D5B6" w14:textId="77777777" w:rsidTr="00DF4A0D">
        <w:trPr>
          <w:cantSplit/>
          <w:jc w:val="center"/>
        </w:trPr>
        <w:tc>
          <w:tcPr>
            <w:tcW w:w="7561" w:type="dxa"/>
            <w:tcBorders>
              <w:top w:val="nil"/>
              <w:left w:val="nil"/>
              <w:bottom w:val="nil"/>
              <w:right w:val="nil"/>
            </w:tcBorders>
          </w:tcPr>
          <w:p w14:paraId="1EFFB4CE"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Hard coking coal</w:t>
            </w:r>
            <w:r w:rsidRPr="00571974">
              <w:rPr>
                <w:sz w:val="18"/>
                <w:szCs w:val="18"/>
                <w:lang w:val="en-GB" w:eastAsia="en-GB" w:bidi="ar-SA"/>
              </w:rPr>
              <w:tab/>
            </w:r>
          </w:p>
        </w:tc>
        <w:tc>
          <w:tcPr>
            <w:tcW w:w="1785" w:type="dxa"/>
            <w:tcBorders>
              <w:top w:val="nil"/>
              <w:left w:val="nil"/>
              <w:bottom w:val="nil"/>
              <w:right w:val="nil"/>
            </w:tcBorders>
          </w:tcPr>
          <w:p w14:paraId="52C803A6" w14:textId="0B9963F8"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w:t>
            </w:r>
            <w:r w:rsidR="004520D4">
              <w:rPr>
                <w:lang w:val="en-GB" w:eastAsia="en-GB" w:bidi="ar-SA"/>
              </w:rPr>
              <w:t>149</w:t>
            </w:r>
          </w:p>
        </w:tc>
      </w:tr>
      <w:tr w:rsidR="002228B8" w14:paraId="378455D8" w14:textId="77777777" w:rsidTr="00DF4A0D">
        <w:trPr>
          <w:cantSplit/>
          <w:jc w:val="center"/>
        </w:trPr>
        <w:tc>
          <w:tcPr>
            <w:tcW w:w="7561" w:type="dxa"/>
            <w:tcBorders>
              <w:top w:val="nil"/>
              <w:left w:val="nil"/>
              <w:bottom w:val="nil"/>
              <w:right w:val="nil"/>
            </w:tcBorders>
          </w:tcPr>
          <w:p w14:paraId="7853A239"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Thermal coal</w:t>
            </w:r>
            <w:r w:rsidRPr="00571974">
              <w:rPr>
                <w:sz w:val="18"/>
                <w:szCs w:val="18"/>
                <w:vertAlign w:val="superscript"/>
                <w:lang w:val="en-GB" w:eastAsia="en-GB" w:bidi="ar-SA"/>
              </w:rPr>
              <w:t>(2)</w:t>
            </w:r>
            <w:r w:rsidRPr="00571974">
              <w:rPr>
                <w:sz w:val="18"/>
                <w:szCs w:val="18"/>
                <w:lang w:val="en-GB" w:eastAsia="en-GB" w:bidi="ar-SA"/>
              </w:rPr>
              <w:tab/>
            </w:r>
          </w:p>
        </w:tc>
        <w:tc>
          <w:tcPr>
            <w:tcW w:w="1785" w:type="dxa"/>
            <w:tcBorders>
              <w:top w:val="nil"/>
              <w:left w:val="nil"/>
              <w:bottom w:val="nil"/>
              <w:right w:val="nil"/>
            </w:tcBorders>
          </w:tcPr>
          <w:p w14:paraId="3B834F41" w14:textId="169CE834"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w:t>
            </w:r>
            <w:r w:rsidR="004520D4">
              <w:rPr>
                <w:lang w:val="en-GB" w:eastAsia="en-GB" w:bidi="ar-SA"/>
              </w:rPr>
              <w:t>84</w:t>
            </w:r>
            <w:r w:rsidRPr="00571974">
              <w:rPr>
                <w:lang w:val="en-GB" w:eastAsia="en-GB" w:bidi="ar-SA"/>
              </w:rPr>
              <w:t xml:space="preserve"> </w:t>
            </w:r>
          </w:p>
        </w:tc>
      </w:tr>
      <w:tr w:rsidR="002228B8" w14:paraId="08D8EEC4" w14:textId="77777777" w:rsidTr="00DF4A0D">
        <w:trPr>
          <w:cantSplit/>
          <w:jc w:val="center"/>
        </w:trPr>
        <w:tc>
          <w:tcPr>
            <w:tcW w:w="7561" w:type="dxa"/>
            <w:tcBorders>
              <w:top w:val="nil"/>
              <w:left w:val="nil"/>
              <w:bottom w:val="nil"/>
              <w:right w:val="nil"/>
            </w:tcBorders>
          </w:tcPr>
          <w:p w14:paraId="6ADE0227"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Copper</w:t>
            </w:r>
            <w:r w:rsidRPr="00571974">
              <w:rPr>
                <w:sz w:val="18"/>
                <w:szCs w:val="18"/>
                <w:vertAlign w:val="superscript"/>
                <w:lang w:val="en-GB" w:eastAsia="en-GB" w:bidi="ar-SA"/>
              </w:rPr>
              <w:t>(3)</w:t>
            </w:r>
            <w:r w:rsidRPr="00571974">
              <w:rPr>
                <w:sz w:val="18"/>
                <w:szCs w:val="18"/>
                <w:lang w:val="en-GB" w:eastAsia="en-GB" w:bidi="ar-SA"/>
              </w:rPr>
              <w:tab/>
            </w:r>
          </w:p>
        </w:tc>
        <w:tc>
          <w:tcPr>
            <w:tcW w:w="1785" w:type="dxa"/>
            <w:tcBorders>
              <w:top w:val="nil"/>
              <w:left w:val="nil"/>
              <w:bottom w:val="nil"/>
              <w:right w:val="nil"/>
            </w:tcBorders>
          </w:tcPr>
          <w:p w14:paraId="62058555" w14:textId="1C84D4D4"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w:t>
            </w:r>
            <w:r w:rsidR="004520D4">
              <w:rPr>
                <w:lang w:val="en-GB" w:eastAsia="en-GB" w:bidi="ar-SA"/>
              </w:rPr>
              <w:t>180</w:t>
            </w:r>
          </w:p>
        </w:tc>
      </w:tr>
      <w:tr w:rsidR="002228B8" w14:paraId="4A1EF541" w14:textId="77777777" w:rsidTr="00DF4A0D">
        <w:trPr>
          <w:cantSplit/>
          <w:jc w:val="center"/>
        </w:trPr>
        <w:tc>
          <w:tcPr>
            <w:tcW w:w="7561" w:type="dxa"/>
            <w:tcBorders>
              <w:top w:val="nil"/>
              <w:left w:val="nil"/>
              <w:bottom w:val="nil"/>
              <w:right w:val="nil"/>
            </w:tcBorders>
          </w:tcPr>
          <w:p w14:paraId="054C835D"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Nickel</w:t>
            </w:r>
            <w:r w:rsidRPr="00571974">
              <w:rPr>
                <w:sz w:val="18"/>
                <w:szCs w:val="18"/>
                <w:lang w:val="en-GB" w:eastAsia="en-GB" w:bidi="ar-SA"/>
              </w:rPr>
              <w:tab/>
            </w:r>
          </w:p>
        </w:tc>
        <w:tc>
          <w:tcPr>
            <w:tcW w:w="1785" w:type="dxa"/>
            <w:tcBorders>
              <w:top w:val="nil"/>
              <w:left w:val="nil"/>
              <w:bottom w:val="nil"/>
              <w:right w:val="nil"/>
            </w:tcBorders>
          </w:tcPr>
          <w:p w14:paraId="63583610" w14:textId="2EE59CDD"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w:t>
            </w:r>
            <w:r w:rsidR="004520D4">
              <w:rPr>
                <w:lang w:val="en-GB" w:eastAsia="en-GB" w:bidi="ar-SA"/>
              </w:rPr>
              <w:t>55</w:t>
            </w:r>
          </w:p>
        </w:tc>
      </w:tr>
      <w:tr w:rsidR="002228B8" w14:paraId="797DB7BB" w14:textId="77777777" w:rsidTr="00DF4A0D">
        <w:trPr>
          <w:cantSplit/>
          <w:jc w:val="center"/>
        </w:trPr>
        <w:tc>
          <w:tcPr>
            <w:tcW w:w="7561" w:type="dxa"/>
            <w:tcBorders>
              <w:top w:val="nil"/>
              <w:left w:val="nil"/>
              <w:bottom w:val="nil"/>
              <w:right w:val="nil"/>
            </w:tcBorders>
          </w:tcPr>
          <w:p w14:paraId="20B3989B"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Platinum</w:t>
            </w:r>
            <w:r w:rsidRPr="00571974">
              <w:rPr>
                <w:sz w:val="18"/>
                <w:szCs w:val="18"/>
                <w:lang w:val="en-GB" w:eastAsia="en-GB" w:bidi="ar-SA"/>
              </w:rPr>
              <w:tab/>
            </w:r>
          </w:p>
        </w:tc>
        <w:tc>
          <w:tcPr>
            <w:tcW w:w="1785" w:type="dxa"/>
            <w:tcBorders>
              <w:top w:val="nil"/>
              <w:left w:val="nil"/>
              <w:bottom w:val="nil"/>
              <w:right w:val="nil"/>
            </w:tcBorders>
          </w:tcPr>
          <w:p w14:paraId="24F22B8E" w14:textId="39BF8794"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lang w:val="en-GB" w:eastAsia="en-GB" w:bidi="ar-SA"/>
              </w:rPr>
              <w:t>+/-</w:t>
            </w:r>
            <w:r w:rsidR="004520D4">
              <w:rPr>
                <w:lang w:val="en-GB" w:eastAsia="en-GB" w:bidi="ar-SA"/>
              </w:rPr>
              <w:t>82</w:t>
            </w:r>
          </w:p>
        </w:tc>
      </w:tr>
      <w:tr w:rsidR="002228B8" w14:paraId="2B3F8DF3" w14:textId="77777777" w:rsidTr="00DF4A0D">
        <w:trPr>
          <w:cantSplit/>
          <w:jc w:val="center"/>
        </w:trPr>
        <w:tc>
          <w:tcPr>
            <w:tcW w:w="7561" w:type="dxa"/>
            <w:tcBorders>
              <w:top w:val="nil"/>
              <w:left w:val="nil"/>
              <w:bottom w:val="nil"/>
              <w:right w:val="nil"/>
            </w:tcBorders>
          </w:tcPr>
          <w:p w14:paraId="66FE7645" w14:textId="77777777" w:rsidR="00E93D9C" w:rsidRPr="00571974" w:rsidRDefault="003D4D89" w:rsidP="00DF4A0D">
            <w:pPr>
              <w:tabs>
                <w:tab w:val="right" w:leader="dot" w:pos="7417"/>
              </w:tabs>
              <w:suppressAutoHyphens/>
              <w:ind w:left="200" w:hanging="200"/>
              <w:rPr>
                <w:sz w:val="18"/>
                <w:szCs w:val="18"/>
                <w:lang w:val="en-GB" w:eastAsia="en-GB" w:bidi="ar-SA"/>
              </w:rPr>
            </w:pPr>
            <w:r w:rsidRPr="00571974">
              <w:rPr>
                <w:sz w:val="18"/>
                <w:szCs w:val="18"/>
                <w:lang w:val="en-GB" w:eastAsia="en-GB" w:bidi="ar-SA"/>
              </w:rPr>
              <w:t>Palladium</w:t>
            </w:r>
            <w:r w:rsidRPr="00571974">
              <w:rPr>
                <w:sz w:val="18"/>
                <w:szCs w:val="18"/>
                <w:lang w:val="en-GB" w:eastAsia="en-GB" w:bidi="ar-SA"/>
              </w:rPr>
              <w:tab/>
            </w:r>
          </w:p>
        </w:tc>
        <w:tc>
          <w:tcPr>
            <w:tcW w:w="1785" w:type="dxa"/>
            <w:tcBorders>
              <w:top w:val="nil"/>
              <w:left w:val="nil"/>
              <w:bottom w:val="nil"/>
              <w:right w:val="nil"/>
            </w:tcBorders>
          </w:tcPr>
          <w:p w14:paraId="4B0C204A" w14:textId="03C10293"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lang w:val="en-GB" w:eastAsia="en-GB" w:bidi="ar-SA"/>
              </w:rPr>
            </w:pPr>
            <w:r w:rsidRPr="00571974">
              <w:rPr>
                <w:lang w:val="en-GB" w:eastAsia="en-GB" w:bidi="ar-SA"/>
              </w:rPr>
              <w:t>+/-</w:t>
            </w:r>
            <w:r w:rsidR="004520D4">
              <w:rPr>
                <w:lang w:val="en-GB" w:eastAsia="en-GB" w:bidi="ar-SA"/>
              </w:rPr>
              <w:t>108</w:t>
            </w:r>
          </w:p>
        </w:tc>
      </w:tr>
    </w:tbl>
    <w:p w14:paraId="40357FAA" w14:textId="77777777" w:rsidR="00E93D9C" w:rsidRPr="00571974" w:rsidRDefault="00836D74" w:rsidP="00E93D9C">
      <w:pPr>
        <w:rPr>
          <w:lang w:val="en-GB"/>
        </w:rPr>
      </w:pPr>
      <w:r>
        <w:rPr>
          <w:lang w:val="en-GB"/>
        </w:rPr>
        <w:pict w14:anchorId="2FD66C4F">
          <v:rect id="_x0000_i1042" style="width:184.5pt;height:1pt" o:hrpct="250" o:hrstd="t" o:hrnoshade="t" o:hr="t" fillcolor="black" stroked="f"/>
        </w:pict>
      </w:r>
    </w:p>
    <w:p w14:paraId="5F6F752C" w14:textId="77777777" w:rsidR="00E93D9C" w:rsidRPr="00571974" w:rsidRDefault="003D4D89" w:rsidP="00E93D9C">
      <w:pPr>
        <w:pStyle w:val="ListParagraph"/>
        <w:widowControl/>
        <w:numPr>
          <w:ilvl w:val="0"/>
          <w:numId w:val="10"/>
        </w:numPr>
        <w:tabs>
          <w:tab w:val="left" w:pos="-720"/>
          <w:tab w:val="left" w:pos="0"/>
        </w:tabs>
        <w:suppressAutoHyphens/>
        <w:spacing w:after="240"/>
        <w:ind w:left="284" w:hanging="284"/>
        <w:rPr>
          <w:sz w:val="16"/>
          <w:lang w:val="en-GB"/>
        </w:rPr>
      </w:pPr>
      <w:r w:rsidRPr="00571974">
        <w:rPr>
          <w:sz w:val="16"/>
          <w:lang w:val="en-GB"/>
        </w:rPr>
        <w:t>Sensitivity reflects the impact of a 10% change in the average price across lump and fine.</w:t>
      </w:r>
    </w:p>
    <w:p w14:paraId="51EEFFB6" w14:textId="77777777" w:rsidR="00E93D9C" w:rsidRPr="00571974" w:rsidRDefault="003D4D89" w:rsidP="00E93D9C">
      <w:pPr>
        <w:pStyle w:val="ListParagraph"/>
        <w:widowControl/>
        <w:numPr>
          <w:ilvl w:val="0"/>
          <w:numId w:val="10"/>
        </w:numPr>
        <w:tabs>
          <w:tab w:val="left" w:pos="-720"/>
          <w:tab w:val="left" w:pos="0"/>
        </w:tabs>
        <w:suppressAutoHyphens/>
        <w:spacing w:after="240"/>
        <w:ind w:left="284" w:hanging="284"/>
        <w:rPr>
          <w:sz w:val="16"/>
          <w:szCs w:val="18"/>
          <w:lang w:val="en-GB"/>
        </w:rPr>
      </w:pPr>
      <w:r w:rsidRPr="00571974">
        <w:rPr>
          <w:sz w:val="16"/>
          <w:szCs w:val="18"/>
          <w:lang w:val="en-GB"/>
        </w:rPr>
        <w:t>Sensitivity reflects the impact of a 10% change in South African thermal coal prices.</w:t>
      </w:r>
    </w:p>
    <w:p w14:paraId="58D4C414" w14:textId="77777777" w:rsidR="00E93D9C" w:rsidRPr="00571974" w:rsidRDefault="003D4D89" w:rsidP="00E93D9C">
      <w:pPr>
        <w:pStyle w:val="ListParagraph"/>
        <w:widowControl/>
        <w:numPr>
          <w:ilvl w:val="0"/>
          <w:numId w:val="10"/>
        </w:numPr>
        <w:tabs>
          <w:tab w:val="left" w:pos="-720"/>
          <w:tab w:val="left" w:pos="0"/>
        </w:tabs>
        <w:suppressAutoHyphens/>
        <w:spacing w:after="240"/>
        <w:ind w:left="284" w:hanging="284"/>
        <w:rPr>
          <w:sz w:val="16"/>
          <w:lang w:val="en-GB"/>
        </w:rPr>
      </w:pPr>
      <w:r w:rsidRPr="00571974">
        <w:rPr>
          <w:sz w:val="16"/>
          <w:lang w:val="en-GB"/>
        </w:rPr>
        <w:t>Sensitivity excludes the impact of provisionally priced copper.</w:t>
      </w:r>
    </w:p>
    <w:p w14:paraId="757320BC" w14:textId="77777777" w:rsidR="00E93D9C" w:rsidRPr="00571974" w:rsidRDefault="003D4D89" w:rsidP="00E93D9C">
      <w:pPr>
        <w:pStyle w:val="ListParagraph"/>
        <w:widowControl/>
        <w:numPr>
          <w:ilvl w:val="0"/>
          <w:numId w:val="10"/>
        </w:numPr>
        <w:tabs>
          <w:tab w:val="left" w:pos="-720"/>
          <w:tab w:val="left" w:pos="0"/>
        </w:tabs>
        <w:suppressAutoHyphens/>
        <w:spacing w:after="240"/>
        <w:ind w:left="284" w:hanging="284"/>
        <w:rPr>
          <w:sz w:val="16"/>
          <w:lang w:val="en-GB"/>
        </w:rPr>
      </w:pPr>
      <w:r w:rsidRPr="00571974">
        <w:rPr>
          <w:sz w:val="16"/>
          <w:lang w:val="en-GB"/>
        </w:rPr>
        <w:lastRenderedPageBreak/>
        <w:t>Stated after tax at marginal rate. Sensitivities are the average of the positive and negative and reflect the impact of a 10% change in the average prices achieved during 2019. Increases in commodity prices increase underlying earnings and vice versa.</w:t>
      </w:r>
    </w:p>
    <w:p w14:paraId="5CBBB498" w14:textId="75B2266A" w:rsidR="00E93D9C" w:rsidRPr="00571974" w:rsidRDefault="003D4D89" w:rsidP="00E93D9C">
      <w:pPr>
        <w:pStyle w:val="BodyText"/>
        <w:ind w:firstLine="360"/>
        <w:rPr>
          <w:lang w:val="en-GB"/>
        </w:rPr>
      </w:pPr>
      <w:r w:rsidRPr="00571974">
        <w:rPr>
          <w:lang w:val="en-GB"/>
        </w:rPr>
        <w:t>Average market prices for the Group</w:t>
      </w:r>
      <w:r w:rsidR="00A311D8">
        <w:rPr>
          <w:lang w:val="en-GB"/>
        </w:rPr>
        <w:t>’</w:t>
      </w:r>
      <w:r w:rsidRPr="00571974">
        <w:rPr>
          <w:lang w:val="en-GB"/>
        </w:rPr>
        <w:t>s basket of commodities and products increased by 1%</w:t>
      </w:r>
      <w:r w:rsidR="004D6637">
        <w:rPr>
          <w:lang w:val="en-GB"/>
        </w:rPr>
        <w:t>,</w:t>
      </w:r>
      <w:r w:rsidRPr="00571974">
        <w:rPr>
          <w:lang w:val="en-GB"/>
        </w:rPr>
        <w:t xml:space="preserve"> contributing US$0.4 billion of improvement to underlying EBITDA. The average realized FOB iron ore price for Kumba</w:t>
      </w:r>
      <w:r w:rsidR="00A311D8">
        <w:rPr>
          <w:lang w:val="en-GB"/>
        </w:rPr>
        <w:t>’</w:t>
      </w:r>
      <w:r w:rsidRPr="00571974">
        <w:rPr>
          <w:lang w:val="en-GB"/>
        </w:rPr>
        <w:t>s iron ore increased by 35%, outperforming the market index owing to its higher iron content and relatively high proportion of lump ore. The price achieved for the PGMs basket increased by 27%, largely due to palladium and rhodium, which recorded increases of 48% and 73% respectively. This was partly offset by a 30% decrease in the realized price for export thermal coal, 12% decrease in realized price for metallurgical hard coking coal and 4% decrease in realized price for copper.</w:t>
      </w:r>
    </w:p>
    <w:p w14:paraId="280C256E" w14:textId="77777777" w:rsidR="00E93D9C" w:rsidRPr="00571974" w:rsidRDefault="003D4D89" w:rsidP="00E93D9C">
      <w:pPr>
        <w:pStyle w:val="BodyText"/>
        <w:keepNext/>
        <w:widowControl/>
        <w:autoSpaceDE/>
        <w:autoSpaceDN/>
        <w:adjustRightInd/>
        <w:ind w:firstLine="360"/>
        <w:rPr>
          <w:lang w:val="en-GB"/>
        </w:rPr>
      </w:pPr>
      <w:r w:rsidRPr="00571974">
        <w:rPr>
          <w:lang w:val="en-GB"/>
        </w:rPr>
        <w:t>The table below sets forth the spot market prices for certain of our key commodities at period end:</w:t>
      </w:r>
    </w:p>
    <w:tbl>
      <w:tblPr>
        <w:tblW w:w="4998" w:type="pct"/>
        <w:tblLayout w:type="fixed"/>
        <w:tblCellMar>
          <w:left w:w="72" w:type="dxa"/>
          <w:right w:w="72" w:type="dxa"/>
        </w:tblCellMar>
        <w:tblLook w:val="0000" w:firstRow="0" w:lastRow="0" w:firstColumn="0" w:lastColumn="0" w:noHBand="0" w:noVBand="0"/>
      </w:tblPr>
      <w:tblGrid>
        <w:gridCol w:w="7332"/>
        <w:gridCol w:w="673"/>
        <w:gridCol w:w="673"/>
        <w:gridCol w:w="674"/>
      </w:tblGrid>
      <w:tr w:rsidR="002228B8" w14:paraId="7281648F" w14:textId="77777777" w:rsidTr="00DF4A0D">
        <w:trPr>
          <w:cantSplit/>
          <w:trHeight w:val="306"/>
        </w:trPr>
        <w:tc>
          <w:tcPr>
            <w:tcW w:w="7332" w:type="dxa"/>
            <w:tcBorders>
              <w:top w:val="nil"/>
              <w:left w:val="nil"/>
              <w:bottom w:val="nil"/>
              <w:right w:val="nil"/>
            </w:tcBorders>
            <w:vAlign w:val="bottom"/>
          </w:tcPr>
          <w:p w14:paraId="7504AA40"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2020" w:type="dxa"/>
            <w:gridSpan w:val="3"/>
            <w:tcBorders>
              <w:top w:val="nil"/>
              <w:left w:val="nil"/>
              <w:bottom w:val="nil"/>
              <w:right w:val="nil"/>
            </w:tcBorders>
            <w:vAlign w:val="bottom"/>
          </w:tcPr>
          <w:p w14:paraId="4F04496B"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At December 31,</w:t>
            </w:r>
          </w:p>
        </w:tc>
      </w:tr>
      <w:tr w:rsidR="002228B8" w14:paraId="3A3FA66D" w14:textId="77777777" w:rsidTr="00DF4A0D">
        <w:trPr>
          <w:cantSplit/>
          <w:trHeight w:val="306"/>
        </w:trPr>
        <w:tc>
          <w:tcPr>
            <w:tcW w:w="7332" w:type="dxa"/>
            <w:tcBorders>
              <w:top w:val="nil"/>
              <w:left w:val="nil"/>
              <w:bottom w:val="nil"/>
              <w:right w:val="nil"/>
            </w:tcBorders>
            <w:vAlign w:val="bottom"/>
          </w:tcPr>
          <w:p w14:paraId="68FBC838" w14:textId="5EF2CF13" w:rsidR="00E93D9C" w:rsidRPr="00571974" w:rsidRDefault="00545D1D" w:rsidP="00545D1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lang w:val="en-GB" w:eastAsia="en-GB" w:bidi="ar-SA"/>
              </w:rPr>
            </w:pPr>
            <w:r>
              <w:rPr>
                <w:b/>
                <w:bCs/>
                <w:sz w:val="18"/>
                <w:szCs w:val="18"/>
                <w:lang w:val="en-GB" w:eastAsia="en-GB" w:bidi="ar-SA"/>
              </w:rPr>
              <w:t xml:space="preserve">Year </w:t>
            </w:r>
            <w:r w:rsidR="003D4D89" w:rsidRPr="00571974">
              <w:rPr>
                <w:b/>
                <w:bCs/>
                <w:sz w:val="18"/>
                <w:szCs w:val="18"/>
                <w:lang w:val="en-GB" w:eastAsia="en-GB" w:bidi="ar-SA"/>
              </w:rPr>
              <w:t>end prices</w:t>
            </w:r>
          </w:p>
        </w:tc>
        <w:tc>
          <w:tcPr>
            <w:tcW w:w="673" w:type="dxa"/>
            <w:tcBorders>
              <w:top w:val="nil"/>
              <w:left w:val="nil"/>
              <w:bottom w:val="nil"/>
              <w:right w:val="nil"/>
            </w:tcBorders>
            <w:vAlign w:val="bottom"/>
          </w:tcPr>
          <w:p w14:paraId="1E3CF95E"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673" w:type="dxa"/>
            <w:tcBorders>
              <w:top w:val="nil"/>
              <w:left w:val="nil"/>
              <w:bottom w:val="nil"/>
              <w:right w:val="nil"/>
            </w:tcBorders>
            <w:vAlign w:val="bottom"/>
          </w:tcPr>
          <w:p w14:paraId="243749A4"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674" w:type="dxa"/>
            <w:tcBorders>
              <w:top w:val="nil"/>
              <w:left w:val="nil"/>
              <w:bottom w:val="nil"/>
              <w:right w:val="nil"/>
            </w:tcBorders>
            <w:vAlign w:val="bottom"/>
          </w:tcPr>
          <w:p w14:paraId="7810DEC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68CBFC3A" w14:textId="77777777" w:rsidTr="00DF4A0D">
        <w:trPr>
          <w:cantSplit/>
          <w:trHeight w:val="268"/>
        </w:trPr>
        <w:tc>
          <w:tcPr>
            <w:tcW w:w="7332" w:type="dxa"/>
            <w:tcBorders>
              <w:top w:val="nil"/>
              <w:left w:val="nil"/>
              <w:bottom w:val="nil"/>
              <w:right w:val="nil"/>
            </w:tcBorders>
            <w:shd w:val="clear" w:color="auto" w:fill="auto"/>
            <w:vAlign w:val="bottom"/>
          </w:tcPr>
          <w:p w14:paraId="36E08288"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Copper (U.S. cents/lb)</w:t>
            </w:r>
            <w:r w:rsidRPr="00571974">
              <w:rPr>
                <w:sz w:val="18"/>
                <w:szCs w:val="18"/>
                <w:vertAlign w:val="superscript"/>
                <w:lang w:val="en-GB" w:eastAsia="en-GB" w:bidi="ar-SA"/>
              </w:rPr>
              <w:t>(1)</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5DFC7A9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325</w:t>
            </w:r>
          </w:p>
        </w:tc>
        <w:tc>
          <w:tcPr>
            <w:tcW w:w="673" w:type="dxa"/>
            <w:tcBorders>
              <w:top w:val="nil"/>
              <w:left w:val="nil"/>
              <w:bottom w:val="nil"/>
              <w:right w:val="nil"/>
            </w:tcBorders>
            <w:shd w:val="clear" w:color="auto" w:fill="auto"/>
            <w:vAlign w:val="bottom"/>
          </w:tcPr>
          <w:p w14:paraId="39F6DA6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270</w:t>
            </w:r>
          </w:p>
        </w:tc>
        <w:tc>
          <w:tcPr>
            <w:tcW w:w="674" w:type="dxa"/>
            <w:tcBorders>
              <w:top w:val="nil"/>
              <w:left w:val="nil"/>
              <w:bottom w:val="nil"/>
              <w:right w:val="nil"/>
            </w:tcBorders>
            <w:shd w:val="clear" w:color="auto" w:fill="auto"/>
            <w:vAlign w:val="bottom"/>
          </w:tcPr>
          <w:p w14:paraId="4E247C9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279</w:t>
            </w:r>
          </w:p>
        </w:tc>
      </w:tr>
      <w:tr w:rsidR="002228B8" w14:paraId="20AECE96" w14:textId="77777777" w:rsidTr="00DF4A0D">
        <w:trPr>
          <w:cantSplit/>
          <w:trHeight w:val="268"/>
        </w:trPr>
        <w:tc>
          <w:tcPr>
            <w:tcW w:w="7332" w:type="dxa"/>
            <w:tcBorders>
              <w:top w:val="nil"/>
              <w:left w:val="nil"/>
              <w:bottom w:val="nil"/>
              <w:right w:val="nil"/>
            </w:tcBorders>
            <w:shd w:val="clear" w:color="auto" w:fill="auto"/>
            <w:vAlign w:val="bottom"/>
          </w:tcPr>
          <w:p w14:paraId="74981B54"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Platinum (US$/oz)</w:t>
            </w:r>
            <w:r w:rsidRPr="00571974">
              <w:rPr>
                <w:sz w:val="18"/>
                <w:szCs w:val="18"/>
                <w:vertAlign w:val="superscript"/>
                <w:lang w:val="en-GB" w:eastAsia="en-GB" w:bidi="ar-SA"/>
              </w:rPr>
              <w:t>(2)</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0A5D52B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925</w:t>
            </w:r>
          </w:p>
        </w:tc>
        <w:tc>
          <w:tcPr>
            <w:tcW w:w="673" w:type="dxa"/>
            <w:tcBorders>
              <w:top w:val="nil"/>
              <w:left w:val="nil"/>
              <w:bottom w:val="nil"/>
              <w:right w:val="nil"/>
            </w:tcBorders>
            <w:shd w:val="clear" w:color="auto" w:fill="auto"/>
            <w:vAlign w:val="bottom"/>
          </w:tcPr>
          <w:p w14:paraId="3939F67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794</w:t>
            </w:r>
          </w:p>
        </w:tc>
        <w:tc>
          <w:tcPr>
            <w:tcW w:w="674" w:type="dxa"/>
            <w:tcBorders>
              <w:top w:val="nil"/>
              <w:left w:val="nil"/>
              <w:bottom w:val="nil"/>
              <w:right w:val="nil"/>
            </w:tcBorders>
            <w:shd w:val="clear" w:color="auto" w:fill="auto"/>
            <w:vAlign w:val="bottom"/>
          </w:tcPr>
          <w:p w14:paraId="7FB011F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971</w:t>
            </w:r>
          </w:p>
        </w:tc>
      </w:tr>
      <w:tr w:rsidR="002228B8" w14:paraId="67A45491" w14:textId="77777777" w:rsidTr="00DF4A0D">
        <w:trPr>
          <w:cantSplit/>
          <w:trHeight w:val="268"/>
        </w:trPr>
        <w:tc>
          <w:tcPr>
            <w:tcW w:w="7332" w:type="dxa"/>
            <w:tcBorders>
              <w:top w:val="nil"/>
              <w:left w:val="nil"/>
              <w:bottom w:val="nil"/>
              <w:right w:val="nil"/>
            </w:tcBorders>
            <w:shd w:val="clear" w:color="auto" w:fill="auto"/>
            <w:vAlign w:val="bottom"/>
          </w:tcPr>
          <w:p w14:paraId="6D380278"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Palladium (US$/oz)</w:t>
            </w:r>
            <w:r w:rsidRPr="00571974">
              <w:rPr>
                <w:sz w:val="18"/>
                <w:szCs w:val="18"/>
                <w:vertAlign w:val="superscript"/>
                <w:lang w:val="en-GB" w:eastAsia="en-GB" w:bidi="ar-SA"/>
              </w:rPr>
              <w:t>(2)</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18C3955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1,057</w:t>
            </w:r>
          </w:p>
        </w:tc>
        <w:tc>
          <w:tcPr>
            <w:tcW w:w="673" w:type="dxa"/>
            <w:tcBorders>
              <w:top w:val="nil"/>
              <w:left w:val="nil"/>
              <w:bottom w:val="nil"/>
              <w:right w:val="nil"/>
            </w:tcBorders>
            <w:shd w:val="clear" w:color="auto" w:fill="auto"/>
            <w:vAlign w:val="bottom"/>
          </w:tcPr>
          <w:p w14:paraId="22457CE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1,263</w:t>
            </w:r>
          </w:p>
        </w:tc>
        <w:tc>
          <w:tcPr>
            <w:tcW w:w="674" w:type="dxa"/>
            <w:tcBorders>
              <w:top w:val="nil"/>
              <w:left w:val="nil"/>
              <w:bottom w:val="nil"/>
              <w:right w:val="nil"/>
            </w:tcBorders>
            <w:shd w:val="clear" w:color="auto" w:fill="auto"/>
            <w:vAlign w:val="bottom"/>
          </w:tcPr>
          <w:p w14:paraId="5ED68B2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1,920</w:t>
            </w:r>
          </w:p>
        </w:tc>
      </w:tr>
      <w:tr w:rsidR="002228B8" w14:paraId="6B74A4D9" w14:textId="77777777" w:rsidTr="00DF4A0D">
        <w:trPr>
          <w:cantSplit/>
          <w:trHeight w:val="249"/>
        </w:trPr>
        <w:tc>
          <w:tcPr>
            <w:tcW w:w="7332" w:type="dxa"/>
            <w:tcBorders>
              <w:top w:val="nil"/>
              <w:left w:val="nil"/>
              <w:bottom w:val="nil"/>
              <w:right w:val="nil"/>
            </w:tcBorders>
            <w:shd w:val="clear" w:color="auto" w:fill="auto"/>
            <w:vAlign w:val="bottom"/>
          </w:tcPr>
          <w:p w14:paraId="264D27E1"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Rhodium (US$/oz)</w:t>
            </w:r>
            <w:r w:rsidRPr="00571974">
              <w:rPr>
                <w:sz w:val="18"/>
                <w:szCs w:val="18"/>
                <w:vertAlign w:val="superscript"/>
                <w:lang w:val="en-GB" w:eastAsia="en-GB" w:bidi="ar-SA"/>
              </w:rPr>
              <w:t>(3)</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78FF971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1,700</w:t>
            </w:r>
          </w:p>
        </w:tc>
        <w:tc>
          <w:tcPr>
            <w:tcW w:w="673" w:type="dxa"/>
            <w:tcBorders>
              <w:top w:val="nil"/>
              <w:left w:val="nil"/>
              <w:bottom w:val="nil"/>
              <w:right w:val="nil"/>
            </w:tcBorders>
            <w:shd w:val="clear" w:color="auto" w:fill="auto"/>
            <w:vAlign w:val="bottom"/>
          </w:tcPr>
          <w:p w14:paraId="00550C1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2,445</w:t>
            </w:r>
          </w:p>
        </w:tc>
        <w:tc>
          <w:tcPr>
            <w:tcW w:w="674" w:type="dxa"/>
            <w:tcBorders>
              <w:top w:val="nil"/>
              <w:left w:val="nil"/>
              <w:bottom w:val="nil"/>
              <w:right w:val="nil"/>
            </w:tcBorders>
            <w:shd w:val="clear" w:color="auto" w:fill="auto"/>
            <w:vAlign w:val="bottom"/>
          </w:tcPr>
          <w:p w14:paraId="59BE0FE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6,050</w:t>
            </w:r>
          </w:p>
        </w:tc>
      </w:tr>
      <w:tr w:rsidR="002228B8" w14:paraId="145E2BD7" w14:textId="77777777" w:rsidTr="00DF4A0D">
        <w:trPr>
          <w:cantSplit/>
          <w:trHeight w:val="268"/>
        </w:trPr>
        <w:tc>
          <w:tcPr>
            <w:tcW w:w="7332" w:type="dxa"/>
            <w:tcBorders>
              <w:top w:val="nil"/>
              <w:left w:val="nil"/>
              <w:bottom w:val="nil"/>
              <w:right w:val="nil"/>
            </w:tcBorders>
            <w:shd w:val="clear" w:color="auto" w:fill="auto"/>
            <w:vAlign w:val="bottom"/>
          </w:tcPr>
          <w:p w14:paraId="74E50D31"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Iron ore (62% Fe CFR) (US$/tonne)</w:t>
            </w:r>
            <w:r w:rsidRPr="00571974">
              <w:rPr>
                <w:sz w:val="18"/>
                <w:szCs w:val="18"/>
                <w:vertAlign w:val="superscript"/>
                <w:lang w:val="en-GB" w:eastAsia="en-GB" w:bidi="ar-SA"/>
              </w:rPr>
              <w:t>(4)</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1238147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74</w:t>
            </w:r>
          </w:p>
        </w:tc>
        <w:tc>
          <w:tcPr>
            <w:tcW w:w="673" w:type="dxa"/>
            <w:tcBorders>
              <w:top w:val="nil"/>
              <w:left w:val="nil"/>
              <w:bottom w:val="nil"/>
              <w:right w:val="nil"/>
            </w:tcBorders>
            <w:shd w:val="clear" w:color="auto" w:fill="auto"/>
            <w:vAlign w:val="bottom"/>
          </w:tcPr>
          <w:p w14:paraId="0C755F2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73</w:t>
            </w:r>
          </w:p>
        </w:tc>
        <w:tc>
          <w:tcPr>
            <w:tcW w:w="674" w:type="dxa"/>
            <w:tcBorders>
              <w:top w:val="nil"/>
              <w:left w:val="nil"/>
              <w:bottom w:val="nil"/>
              <w:right w:val="nil"/>
            </w:tcBorders>
            <w:shd w:val="clear" w:color="auto" w:fill="auto"/>
            <w:vAlign w:val="bottom"/>
          </w:tcPr>
          <w:p w14:paraId="0DD08A8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w:t>
            </w:r>
          </w:p>
        </w:tc>
      </w:tr>
      <w:tr w:rsidR="002228B8" w14:paraId="5406AF91" w14:textId="77777777" w:rsidTr="00DF4A0D">
        <w:trPr>
          <w:cantSplit/>
          <w:trHeight w:val="268"/>
        </w:trPr>
        <w:tc>
          <w:tcPr>
            <w:tcW w:w="7332" w:type="dxa"/>
            <w:tcBorders>
              <w:top w:val="nil"/>
              <w:left w:val="nil"/>
              <w:bottom w:val="nil"/>
              <w:right w:val="nil"/>
            </w:tcBorders>
            <w:shd w:val="clear" w:color="auto" w:fill="auto"/>
            <w:vAlign w:val="bottom"/>
          </w:tcPr>
          <w:p w14:paraId="7BC49AB0"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Iron ore (66% Fe Concentrate CFR) (US$/tonne)</w:t>
            </w:r>
            <w:r w:rsidRPr="00571974">
              <w:rPr>
                <w:sz w:val="18"/>
                <w:szCs w:val="18"/>
                <w:vertAlign w:val="superscript"/>
                <w:lang w:val="en-GB" w:eastAsia="en-GB" w:bidi="ar-SA"/>
              </w:rPr>
              <w:t>(5)</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406F4BF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96</w:t>
            </w:r>
          </w:p>
        </w:tc>
        <w:tc>
          <w:tcPr>
            <w:tcW w:w="673" w:type="dxa"/>
            <w:tcBorders>
              <w:top w:val="nil"/>
              <w:left w:val="nil"/>
              <w:bottom w:val="nil"/>
              <w:right w:val="nil"/>
            </w:tcBorders>
            <w:shd w:val="clear" w:color="auto" w:fill="auto"/>
            <w:vAlign w:val="bottom"/>
          </w:tcPr>
          <w:p w14:paraId="08C34B6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91</w:t>
            </w:r>
          </w:p>
        </w:tc>
        <w:tc>
          <w:tcPr>
            <w:tcW w:w="674" w:type="dxa"/>
            <w:tcBorders>
              <w:top w:val="nil"/>
              <w:left w:val="nil"/>
              <w:bottom w:val="nil"/>
              <w:right w:val="nil"/>
            </w:tcBorders>
            <w:shd w:val="clear" w:color="auto" w:fill="auto"/>
            <w:vAlign w:val="bottom"/>
          </w:tcPr>
          <w:p w14:paraId="473193F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106</w:t>
            </w:r>
          </w:p>
        </w:tc>
      </w:tr>
      <w:tr w:rsidR="002228B8" w14:paraId="492DDE91" w14:textId="77777777" w:rsidTr="00DF4A0D">
        <w:trPr>
          <w:cantSplit/>
          <w:trHeight w:val="268"/>
        </w:trPr>
        <w:tc>
          <w:tcPr>
            <w:tcW w:w="7332" w:type="dxa"/>
            <w:tcBorders>
              <w:top w:val="nil"/>
              <w:left w:val="nil"/>
              <w:bottom w:val="nil"/>
              <w:right w:val="nil"/>
            </w:tcBorders>
            <w:shd w:val="clear" w:color="auto" w:fill="auto"/>
            <w:vAlign w:val="bottom"/>
          </w:tcPr>
          <w:p w14:paraId="1F8A2E09"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Hard coking coal (FOB Australia) (US$/tonne)</w:t>
            </w:r>
            <w:r w:rsidRPr="00571974">
              <w:rPr>
                <w:sz w:val="18"/>
                <w:szCs w:val="18"/>
                <w:vertAlign w:val="superscript"/>
                <w:lang w:val="en-GB" w:eastAsia="en-GB" w:bidi="ar-SA"/>
              </w:rPr>
              <w:t>(4)</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1314D96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262</w:t>
            </w:r>
          </w:p>
        </w:tc>
        <w:tc>
          <w:tcPr>
            <w:tcW w:w="673" w:type="dxa"/>
            <w:tcBorders>
              <w:top w:val="nil"/>
              <w:left w:val="nil"/>
              <w:bottom w:val="nil"/>
              <w:right w:val="nil"/>
            </w:tcBorders>
            <w:shd w:val="clear" w:color="auto" w:fill="auto"/>
            <w:vAlign w:val="bottom"/>
          </w:tcPr>
          <w:p w14:paraId="21E4040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220</w:t>
            </w:r>
          </w:p>
        </w:tc>
        <w:tc>
          <w:tcPr>
            <w:tcW w:w="674" w:type="dxa"/>
            <w:tcBorders>
              <w:top w:val="nil"/>
              <w:left w:val="nil"/>
              <w:bottom w:val="nil"/>
              <w:right w:val="nil"/>
            </w:tcBorders>
            <w:shd w:val="clear" w:color="auto" w:fill="auto"/>
            <w:vAlign w:val="bottom"/>
          </w:tcPr>
          <w:p w14:paraId="437A62D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140</w:t>
            </w:r>
          </w:p>
        </w:tc>
      </w:tr>
      <w:tr w:rsidR="002228B8" w14:paraId="05687DA5" w14:textId="77777777" w:rsidTr="00DF4A0D">
        <w:trPr>
          <w:cantSplit/>
          <w:trHeight w:val="268"/>
        </w:trPr>
        <w:tc>
          <w:tcPr>
            <w:tcW w:w="7332" w:type="dxa"/>
            <w:tcBorders>
              <w:top w:val="nil"/>
              <w:left w:val="nil"/>
              <w:bottom w:val="nil"/>
              <w:right w:val="nil"/>
            </w:tcBorders>
            <w:shd w:val="clear" w:color="auto" w:fill="auto"/>
            <w:vAlign w:val="bottom"/>
          </w:tcPr>
          <w:p w14:paraId="7FC03711"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PCI (FOB Australia)</w:t>
            </w:r>
            <w:r w:rsidRPr="00571974">
              <w:rPr>
                <w:sz w:val="18"/>
                <w:szCs w:val="18"/>
                <w:vertAlign w:val="superscript"/>
                <w:lang w:val="en-GB" w:eastAsia="en-GB" w:bidi="ar-SA"/>
              </w:rPr>
              <w:t>(4)</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0C0D719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147</w:t>
            </w:r>
          </w:p>
        </w:tc>
        <w:tc>
          <w:tcPr>
            <w:tcW w:w="673" w:type="dxa"/>
            <w:tcBorders>
              <w:top w:val="nil"/>
              <w:left w:val="nil"/>
              <w:bottom w:val="nil"/>
              <w:right w:val="nil"/>
            </w:tcBorders>
            <w:shd w:val="clear" w:color="auto" w:fill="auto"/>
            <w:vAlign w:val="bottom"/>
          </w:tcPr>
          <w:p w14:paraId="7ACAEB8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122</w:t>
            </w:r>
          </w:p>
        </w:tc>
        <w:tc>
          <w:tcPr>
            <w:tcW w:w="674" w:type="dxa"/>
            <w:tcBorders>
              <w:top w:val="nil"/>
              <w:left w:val="nil"/>
              <w:bottom w:val="nil"/>
              <w:right w:val="nil"/>
            </w:tcBorders>
            <w:shd w:val="clear" w:color="auto" w:fill="auto"/>
            <w:vAlign w:val="bottom"/>
          </w:tcPr>
          <w:p w14:paraId="55BB16D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w:t>
            </w:r>
          </w:p>
        </w:tc>
      </w:tr>
      <w:tr w:rsidR="002228B8" w14:paraId="1BB30F13" w14:textId="77777777" w:rsidTr="00DF4A0D">
        <w:trPr>
          <w:cantSplit/>
          <w:trHeight w:val="249"/>
        </w:trPr>
        <w:tc>
          <w:tcPr>
            <w:tcW w:w="7332" w:type="dxa"/>
            <w:tcBorders>
              <w:top w:val="nil"/>
              <w:left w:val="nil"/>
              <w:bottom w:val="nil"/>
              <w:right w:val="nil"/>
            </w:tcBorders>
            <w:shd w:val="clear" w:color="auto" w:fill="auto"/>
            <w:vAlign w:val="bottom"/>
          </w:tcPr>
          <w:p w14:paraId="14A8CB41"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Thermal coal (FOB South Africa) (US$/tonne)</w:t>
            </w:r>
            <w:r w:rsidRPr="00571974">
              <w:rPr>
                <w:sz w:val="18"/>
                <w:szCs w:val="18"/>
                <w:vertAlign w:val="superscript"/>
                <w:lang w:val="en-GB" w:eastAsia="en-GB" w:bidi="ar-SA"/>
              </w:rPr>
              <w:t>(6)</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2A8A4BD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95</w:t>
            </w:r>
          </w:p>
        </w:tc>
        <w:tc>
          <w:tcPr>
            <w:tcW w:w="673" w:type="dxa"/>
            <w:tcBorders>
              <w:top w:val="nil"/>
              <w:left w:val="nil"/>
              <w:bottom w:val="nil"/>
              <w:right w:val="nil"/>
            </w:tcBorders>
            <w:shd w:val="clear" w:color="auto" w:fill="auto"/>
            <w:vAlign w:val="bottom"/>
          </w:tcPr>
          <w:p w14:paraId="168B442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97</w:t>
            </w:r>
          </w:p>
        </w:tc>
        <w:tc>
          <w:tcPr>
            <w:tcW w:w="674" w:type="dxa"/>
            <w:tcBorders>
              <w:top w:val="nil"/>
              <w:left w:val="nil"/>
              <w:bottom w:val="nil"/>
              <w:right w:val="nil"/>
            </w:tcBorders>
            <w:shd w:val="clear" w:color="auto" w:fill="auto"/>
            <w:vAlign w:val="bottom"/>
          </w:tcPr>
          <w:p w14:paraId="77C3557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w:t>
            </w:r>
          </w:p>
        </w:tc>
      </w:tr>
      <w:tr w:rsidR="002228B8" w14:paraId="0C0B3AD4" w14:textId="77777777" w:rsidTr="00DF4A0D">
        <w:trPr>
          <w:cantSplit/>
          <w:trHeight w:val="268"/>
        </w:trPr>
        <w:tc>
          <w:tcPr>
            <w:tcW w:w="7332" w:type="dxa"/>
            <w:tcBorders>
              <w:top w:val="nil"/>
              <w:left w:val="nil"/>
              <w:bottom w:val="nil"/>
              <w:right w:val="nil"/>
            </w:tcBorders>
            <w:shd w:val="clear" w:color="auto" w:fill="auto"/>
            <w:vAlign w:val="bottom"/>
          </w:tcPr>
          <w:p w14:paraId="3F561927"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Thermal coal (FOB Australia) (US$/tonne)</w:t>
            </w:r>
            <w:r w:rsidRPr="00571974">
              <w:rPr>
                <w:sz w:val="18"/>
                <w:szCs w:val="18"/>
                <w:vertAlign w:val="superscript"/>
                <w:lang w:val="en-GB" w:eastAsia="en-GB" w:bidi="ar-SA"/>
              </w:rPr>
              <w:t>(7)</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650FD16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104</w:t>
            </w:r>
          </w:p>
        </w:tc>
        <w:tc>
          <w:tcPr>
            <w:tcW w:w="673" w:type="dxa"/>
            <w:tcBorders>
              <w:top w:val="nil"/>
              <w:left w:val="nil"/>
              <w:bottom w:val="nil"/>
              <w:right w:val="nil"/>
            </w:tcBorders>
            <w:shd w:val="clear" w:color="auto" w:fill="auto"/>
            <w:vAlign w:val="bottom"/>
          </w:tcPr>
          <w:p w14:paraId="2AE1F76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103</w:t>
            </w:r>
          </w:p>
        </w:tc>
        <w:tc>
          <w:tcPr>
            <w:tcW w:w="674" w:type="dxa"/>
            <w:tcBorders>
              <w:top w:val="nil"/>
              <w:left w:val="nil"/>
              <w:bottom w:val="nil"/>
              <w:right w:val="nil"/>
            </w:tcBorders>
            <w:shd w:val="clear" w:color="auto" w:fill="auto"/>
            <w:vAlign w:val="bottom"/>
          </w:tcPr>
          <w:p w14:paraId="39DDC63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66</w:t>
            </w:r>
          </w:p>
        </w:tc>
      </w:tr>
      <w:tr w:rsidR="002228B8" w14:paraId="75036294" w14:textId="77777777" w:rsidTr="00DF4A0D">
        <w:trPr>
          <w:cantSplit/>
          <w:trHeight w:val="268"/>
        </w:trPr>
        <w:tc>
          <w:tcPr>
            <w:tcW w:w="7332" w:type="dxa"/>
            <w:tcBorders>
              <w:top w:val="nil"/>
              <w:left w:val="nil"/>
              <w:bottom w:val="nil"/>
              <w:right w:val="nil"/>
            </w:tcBorders>
            <w:shd w:val="clear" w:color="auto" w:fill="auto"/>
            <w:vAlign w:val="bottom"/>
          </w:tcPr>
          <w:p w14:paraId="25DC859F"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Thermal coal (FOB Colombia) (US$/tonne)</w:t>
            </w:r>
            <w:r w:rsidRPr="00571974">
              <w:rPr>
                <w:sz w:val="18"/>
                <w:szCs w:val="18"/>
                <w:vertAlign w:val="superscript"/>
                <w:lang w:val="en-GB" w:eastAsia="en-GB" w:bidi="ar-SA"/>
              </w:rPr>
              <w:t>(6)</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17FEFDD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86</w:t>
            </w:r>
          </w:p>
        </w:tc>
        <w:tc>
          <w:tcPr>
            <w:tcW w:w="673" w:type="dxa"/>
            <w:tcBorders>
              <w:top w:val="nil"/>
              <w:left w:val="nil"/>
              <w:bottom w:val="nil"/>
              <w:right w:val="nil"/>
            </w:tcBorders>
            <w:shd w:val="clear" w:color="auto" w:fill="auto"/>
            <w:vAlign w:val="bottom"/>
          </w:tcPr>
          <w:p w14:paraId="2C5D6CE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79</w:t>
            </w:r>
          </w:p>
        </w:tc>
        <w:tc>
          <w:tcPr>
            <w:tcW w:w="674" w:type="dxa"/>
            <w:tcBorders>
              <w:top w:val="nil"/>
              <w:left w:val="nil"/>
              <w:bottom w:val="nil"/>
              <w:right w:val="nil"/>
            </w:tcBorders>
            <w:shd w:val="clear" w:color="auto" w:fill="auto"/>
            <w:vAlign w:val="bottom"/>
          </w:tcPr>
          <w:p w14:paraId="172802E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w:t>
            </w:r>
          </w:p>
        </w:tc>
      </w:tr>
      <w:tr w:rsidR="002228B8" w14:paraId="65702980" w14:textId="77777777" w:rsidTr="00DF4A0D">
        <w:trPr>
          <w:cantSplit/>
          <w:trHeight w:val="268"/>
        </w:trPr>
        <w:tc>
          <w:tcPr>
            <w:tcW w:w="7332" w:type="dxa"/>
            <w:tcBorders>
              <w:top w:val="nil"/>
              <w:left w:val="nil"/>
              <w:bottom w:val="nil"/>
              <w:right w:val="nil"/>
            </w:tcBorders>
            <w:shd w:val="clear" w:color="auto" w:fill="auto"/>
            <w:vAlign w:val="bottom"/>
          </w:tcPr>
          <w:p w14:paraId="1DE9B6BD" w14:textId="77777777" w:rsidR="00E93D9C" w:rsidRPr="00571974" w:rsidRDefault="003D4D89" w:rsidP="00DF4A0D">
            <w:pPr>
              <w:tabs>
                <w:tab w:val="right" w:leader="dot" w:pos="7597"/>
              </w:tabs>
              <w:suppressAutoHyphens/>
              <w:ind w:left="200" w:hanging="200"/>
              <w:rPr>
                <w:sz w:val="18"/>
                <w:szCs w:val="18"/>
                <w:lang w:val="en-GB" w:eastAsia="en-GB" w:bidi="ar-SA"/>
              </w:rPr>
            </w:pPr>
            <w:r w:rsidRPr="00571974">
              <w:rPr>
                <w:sz w:val="18"/>
                <w:szCs w:val="18"/>
                <w:lang w:val="en-GB" w:eastAsia="en-GB" w:bidi="ar-SA"/>
              </w:rPr>
              <w:t>Nickel (U.S. cents/lb)</w:t>
            </w:r>
            <w:r w:rsidRPr="00571974">
              <w:rPr>
                <w:sz w:val="18"/>
                <w:szCs w:val="18"/>
                <w:vertAlign w:val="superscript"/>
                <w:lang w:val="en-GB" w:eastAsia="en-GB" w:bidi="ar-SA"/>
              </w:rPr>
              <w:t>(1)</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2A14249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556</w:t>
            </w:r>
          </w:p>
        </w:tc>
        <w:tc>
          <w:tcPr>
            <w:tcW w:w="673" w:type="dxa"/>
            <w:tcBorders>
              <w:top w:val="nil"/>
              <w:left w:val="nil"/>
              <w:bottom w:val="nil"/>
              <w:right w:val="nil"/>
            </w:tcBorders>
            <w:shd w:val="clear" w:color="auto" w:fill="auto"/>
            <w:vAlign w:val="bottom"/>
          </w:tcPr>
          <w:p w14:paraId="61CC639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481</w:t>
            </w:r>
          </w:p>
        </w:tc>
        <w:tc>
          <w:tcPr>
            <w:tcW w:w="674" w:type="dxa"/>
            <w:tcBorders>
              <w:top w:val="nil"/>
              <w:left w:val="nil"/>
              <w:bottom w:val="nil"/>
              <w:right w:val="nil"/>
            </w:tcBorders>
            <w:shd w:val="clear" w:color="auto" w:fill="auto"/>
            <w:vAlign w:val="bottom"/>
          </w:tcPr>
          <w:p w14:paraId="79163EB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635</w:t>
            </w:r>
          </w:p>
        </w:tc>
      </w:tr>
      <w:tr w:rsidR="00545D1D" w14:paraId="48BBDBAC" w14:textId="77777777" w:rsidTr="00F53054">
        <w:trPr>
          <w:cantSplit/>
          <w:trHeight w:val="268"/>
        </w:trPr>
        <w:tc>
          <w:tcPr>
            <w:tcW w:w="7332" w:type="dxa"/>
            <w:tcBorders>
              <w:top w:val="nil"/>
              <w:left w:val="nil"/>
              <w:bottom w:val="nil"/>
              <w:right w:val="nil"/>
            </w:tcBorders>
            <w:shd w:val="clear" w:color="auto" w:fill="auto"/>
          </w:tcPr>
          <w:p w14:paraId="46302DF0" w14:textId="77777777" w:rsidR="00545D1D" w:rsidRPr="00571974" w:rsidRDefault="00545D1D" w:rsidP="00F53054">
            <w:pPr>
              <w:tabs>
                <w:tab w:val="right" w:leader="dot" w:pos="7597"/>
              </w:tabs>
              <w:suppressAutoHyphens/>
              <w:ind w:left="200" w:hanging="200"/>
              <w:rPr>
                <w:sz w:val="18"/>
                <w:szCs w:val="18"/>
                <w:lang w:val="en-GB" w:eastAsia="en-GB" w:bidi="ar-SA"/>
              </w:rPr>
            </w:pPr>
            <w:r>
              <w:rPr>
                <w:sz w:val="18"/>
                <w:szCs w:val="18"/>
                <w:lang w:val="en-GB" w:eastAsia="en-GB" w:bidi="ar-SA"/>
              </w:rPr>
              <w:t>Manganese ore (44% CIF China) (US$/dmtu)</w:t>
            </w:r>
            <w:r w:rsidRPr="00571974">
              <w:rPr>
                <w:sz w:val="18"/>
                <w:szCs w:val="18"/>
                <w:vertAlign w:val="superscript"/>
                <w:lang w:val="en-GB" w:eastAsia="en-GB" w:bidi="ar-SA"/>
              </w:rPr>
              <w:t>(5)</w:t>
            </w:r>
            <w:r w:rsidRPr="00571974">
              <w:rPr>
                <w:sz w:val="18"/>
                <w:szCs w:val="18"/>
                <w:lang w:val="en-GB" w:eastAsia="en-GB" w:bidi="ar-SA"/>
              </w:rPr>
              <w:tab/>
            </w:r>
          </w:p>
        </w:tc>
        <w:tc>
          <w:tcPr>
            <w:tcW w:w="673" w:type="dxa"/>
            <w:tcBorders>
              <w:top w:val="nil"/>
              <w:left w:val="nil"/>
              <w:bottom w:val="nil"/>
              <w:right w:val="nil"/>
            </w:tcBorders>
            <w:shd w:val="clear" w:color="auto" w:fill="auto"/>
            <w:vAlign w:val="bottom"/>
          </w:tcPr>
          <w:p w14:paraId="415F2648" w14:textId="77777777" w:rsidR="00545D1D" w:rsidRPr="00571974" w:rsidRDefault="00545D1D" w:rsidP="00F53054">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6.88</w:t>
            </w:r>
          </w:p>
        </w:tc>
        <w:tc>
          <w:tcPr>
            <w:tcW w:w="673" w:type="dxa"/>
            <w:tcBorders>
              <w:top w:val="nil"/>
              <w:left w:val="nil"/>
              <w:bottom w:val="nil"/>
              <w:right w:val="nil"/>
            </w:tcBorders>
            <w:shd w:val="clear" w:color="auto" w:fill="auto"/>
            <w:vAlign w:val="bottom"/>
          </w:tcPr>
          <w:p w14:paraId="7A4C66AE" w14:textId="77777777" w:rsidR="00545D1D" w:rsidRPr="00571974" w:rsidRDefault="00545D1D" w:rsidP="00F53054">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6.85</w:t>
            </w:r>
          </w:p>
        </w:tc>
        <w:tc>
          <w:tcPr>
            <w:tcW w:w="674" w:type="dxa"/>
            <w:tcBorders>
              <w:top w:val="nil"/>
              <w:left w:val="nil"/>
              <w:bottom w:val="nil"/>
              <w:right w:val="nil"/>
            </w:tcBorders>
            <w:shd w:val="clear" w:color="auto" w:fill="auto"/>
            <w:vAlign w:val="bottom"/>
          </w:tcPr>
          <w:p w14:paraId="600C08D6" w14:textId="77777777" w:rsidR="00545D1D" w:rsidRPr="00571974" w:rsidRDefault="00545D1D" w:rsidP="00F53054">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4.20</w:t>
            </w:r>
          </w:p>
        </w:tc>
      </w:tr>
    </w:tbl>
    <w:p w14:paraId="1AF4F0A3" w14:textId="77777777" w:rsidR="00E93D9C" w:rsidRPr="00571974" w:rsidRDefault="00836D74" w:rsidP="00E93D9C">
      <w:pPr>
        <w:rPr>
          <w:lang w:val="en-GB"/>
        </w:rPr>
      </w:pPr>
      <w:r>
        <w:rPr>
          <w:lang w:val="en-GB"/>
        </w:rPr>
        <w:pict w14:anchorId="5005D503">
          <v:rect id="_x0000_i1043" style="width:184.5pt;height:1pt" o:hrpct="250" o:hrstd="t" o:hrnoshade="t" o:hr="t" fillcolor="black" stroked="f"/>
        </w:pict>
      </w:r>
    </w:p>
    <w:p w14:paraId="41C06E96"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London Metal Exchange (LME).</w:t>
      </w:r>
    </w:p>
    <w:p w14:paraId="0E5F5460"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London Platinum and Palladium Market (LPPM).</w:t>
      </w:r>
    </w:p>
    <w:p w14:paraId="7A349F38"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Comdaq.</w:t>
      </w:r>
    </w:p>
    <w:p w14:paraId="4FCD17F6"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Platts.</w:t>
      </w:r>
    </w:p>
    <w:p w14:paraId="0A1D1282"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Metal Bulletin.</w:t>
      </w:r>
    </w:p>
    <w:p w14:paraId="185BCC69"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Argus/McCloskey.</w:t>
      </w:r>
    </w:p>
    <w:p w14:paraId="14BDA10D" w14:textId="77777777" w:rsidR="00E93D9C" w:rsidRPr="00571974" w:rsidRDefault="003D4D89" w:rsidP="003D4D89">
      <w:pPr>
        <w:pStyle w:val="ListParagraph"/>
        <w:widowControl/>
        <w:numPr>
          <w:ilvl w:val="0"/>
          <w:numId w:val="38"/>
        </w:numPr>
        <w:tabs>
          <w:tab w:val="left" w:pos="-720"/>
          <w:tab w:val="left" w:pos="0"/>
        </w:tabs>
        <w:spacing w:after="240"/>
        <w:ind w:left="284" w:hanging="284"/>
        <w:rPr>
          <w:sz w:val="16"/>
          <w:szCs w:val="18"/>
          <w:lang w:val="en-GB"/>
        </w:rPr>
      </w:pPr>
      <w:r w:rsidRPr="00571974">
        <w:rPr>
          <w:sz w:val="16"/>
          <w:szCs w:val="18"/>
          <w:lang w:val="en-GB"/>
        </w:rPr>
        <w:t>Source: globalCOAL.</w:t>
      </w:r>
    </w:p>
    <w:p w14:paraId="49D83F72" w14:textId="37976B18" w:rsidR="00E93D9C" w:rsidRPr="00571974" w:rsidRDefault="003D4D89" w:rsidP="00E93D9C">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 xml:space="preserve">s policy is generally not to hedge exposure to commodity prices. This is discussed further under </w:t>
      </w:r>
      <w:r w:rsidR="00A311D8">
        <w:rPr>
          <w:lang w:val="en-GB"/>
        </w:rPr>
        <w:t>“</w:t>
      </w:r>
      <w:r w:rsidRPr="00571974">
        <w:rPr>
          <w:lang w:val="en-GB"/>
        </w:rPr>
        <w:t>— Financial Risk Exposure and Management</w:t>
      </w:r>
      <w:r w:rsidR="00A311D8">
        <w:rPr>
          <w:lang w:val="en-GB"/>
        </w:rPr>
        <w:t>”</w:t>
      </w:r>
      <w:r w:rsidRPr="00571974">
        <w:rPr>
          <w:lang w:val="en-GB"/>
        </w:rPr>
        <w:t>.</w:t>
      </w:r>
      <w:r w:rsidR="00A06258">
        <w:rPr>
          <w:lang w:val="en-GB"/>
        </w:rPr>
        <w:t xml:space="preserve"> P</w:t>
      </w:r>
      <w:r w:rsidR="00A06258" w:rsidRPr="00571974">
        <w:rPr>
          <w:lang w:val="en-GB"/>
        </w:rPr>
        <w:t xml:space="preserve">lease </w:t>
      </w:r>
      <w:r w:rsidR="00A06258">
        <w:rPr>
          <w:lang w:val="en-GB"/>
        </w:rPr>
        <w:t xml:space="preserve">also </w:t>
      </w:r>
      <w:r w:rsidR="00A06258" w:rsidRPr="00571974">
        <w:rPr>
          <w:lang w:val="en-GB"/>
        </w:rPr>
        <w:t xml:space="preserve">see </w:t>
      </w:r>
      <w:r w:rsidR="00A311D8">
        <w:rPr>
          <w:lang w:val="en-GB"/>
        </w:rPr>
        <w:t>“</w:t>
      </w:r>
      <w:r w:rsidR="00A06258">
        <w:rPr>
          <w:lang w:val="en-GB"/>
        </w:rPr>
        <w:t>Risk Factors—The emerging</w:t>
      </w:r>
      <w:r w:rsidR="00A06258" w:rsidRPr="00F3734B">
        <w:t xml:space="preserve"> </w:t>
      </w:r>
      <w:r w:rsidR="00A06258" w:rsidRPr="00F3734B">
        <w:rPr>
          <w:lang w:val="en-GB"/>
        </w:rPr>
        <w:t>COVID-19 global pandemic has had a negative impact on worldwide economic activity and is likely to adversely affect our business</w:t>
      </w:r>
      <w:r w:rsidR="00A311D8">
        <w:rPr>
          <w:lang w:val="en-GB"/>
        </w:rPr>
        <w:t>”</w:t>
      </w:r>
      <w:r w:rsidR="002A43AA" w:rsidRPr="00F3734B">
        <w:rPr>
          <w:lang w:val="en-GB"/>
        </w:rPr>
        <w:t>.</w:t>
      </w:r>
    </w:p>
    <w:p w14:paraId="0806DC72" w14:textId="77777777" w:rsidR="00E93D9C" w:rsidRPr="00571974" w:rsidRDefault="003D4D89" w:rsidP="007B1404">
      <w:pPr>
        <w:pStyle w:val="Heading3"/>
        <w:rPr>
          <w:lang w:val="en-GB"/>
        </w:rPr>
      </w:pPr>
      <w:r w:rsidRPr="00571974">
        <w:rPr>
          <w:lang w:val="en-GB"/>
        </w:rPr>
        <w:t>Exchange Rates</w:t>
      </w:r>
    </w:p>
    <w:p w14:paraId="0A43C7B3" w14:textId="7226181D" w:rsidR="00E93D9C" w:rsidRPr="00571974" w:rsidRDefault="003D4D89" w:rsidP="00E93D9C">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s results are influenced by a variety of currencies (the most important of which are listed in the table below) owing to its geographical diversity and because we sell our products principally in U.S. dollars but incur most of our costs in local currencies.</w:t>
      </w:r>
    </w:p>
    <w:p w14:paraId="6550E00A" w14:textId="77777777" w:rsidR="00E93D9C" w:rsidRPr="00571974" w:rsidRDefault="003D4D89" w:rsidP="00932961">
      <w:pPr>
        <w:pStyle w:val="BodyText"/>
        <w:widowControl/>
        <w:autoSpaceDE/>
        <w:autoSpaceDN/>
        <w:adjustRightInd/>
        <w:ind w:firstLine="360"/>
        <w:rPr>
          <w:lang w:val="en-GB"/>
        </w:rPr>
      </w:pPr>
      <w:r w:rsidRPr="00571974">
        <w:rPr>
          <w:lang w:val="en-GB"/>
        </w:rPr>
        <w:t>The table below sets forth the average exchange rates for certain of our key currencies with respect to the U.S. dollar for the periods presented. The average exchange rate has been determined using the end of day Bloomberg rates averaged for the year.</w:t>
      </w:r>
    </w:p>
    <w:tbl>
      <w:tblPr>
        <w:tblW w:w="5001" w:type="pct"/>
        <w:tblLayout w:type="fixed"/>
        <w:tblCellMar>
          <w:left w:w="72" w:type="dxa"/>
          <w:right w:w="72" w:type="dxa"/>
        </w:tblCellMar>
        <w:tblLook w:val="0000" w:firstRow="0" w:lastRow="0" w:firstColumn="0" w:lastColumn="0" w:noHBand="0" w:noVBand="0"/>
      </w:tblPr>
      <w:tblGrid>
        <w:gridCol w:w="7494"/>
        <w:gridCol w:w="590"/>
        <w:gridCol w:w="625"/>
        <w:gridCol w:w="649"/>
      </w:tblGrid>
      <w:tr w:rsidR="002228B8" w14:paraId="2D95E275" w14:textId="77777777" w:rsidTr="00DF4A0D">
        <w:trPr>
          <w:cantSplit/>
        </w:trPr>
        <w:tc>
          <w:tcPr>
            <w:tcW w:w="4004" w:type="pct"/>
            <w:tcBorders>
              <w:top w:val="nil"/>
              <w:left w:val="nil"/>
              <w:bottom w:val="nil"/>
              <w:right w:val="nil"/>
            </w:tcBorders>
            <w:vAlign w:val="bottom"/>
          </w:tcPr>
          <w:p w14:paraId="6AAFBA72"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996" w:type="pct"/>
            <w:gridSpan w:val="3"/>
            <w:tcBorders>
              <w:top w:val="nil"/>
              <w:left w:val="nil"/>
              <w:bottom w:val="nil"/>
              <w:right w:val="nil"/>
            </w:tcBorders>
            <w:vAlign w:val="bottom"/>
          </w:tcPr>
          <w:p w14:paraId="729086F2"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4F243212" w14:textId="77777777" w:rsidTr="00DF4A0D">
        <w:trPr>
          <w:cantSplit/>
        </w:trPr>
        <w:tc>
          <w:tcPr>
            <w:tcW w:w="4004" w:type="pct"/>
            <w:tcBorders>
              <w:top w:val="nil"/>
              <w:left w:val="nil"/>
              <w:bottom w:val="nil"/>
              <w:right w:val="nil"/>
            </w:tcBorders>
            <w:vAlign w:val="bottom"/>
          </w:tcPr>
          <w:p w14:paraId="6A1D75BF"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315" w:type="pct"/>
            <w:tcBorders>
              <w:top w:val="nil"/>
              <w:left w:val="nil"/>
              <w:bottom w:val="nil"/>
              <w:right w:val="nil"/>
            </w:tcBorders>
            <w:vAlign w:val="bottom"/>
          </w:tcPr>
          <w:p w14:paraId="073B1906"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334" w:type="pct"/>
            <w:tcBorders>
              <w:top w:val="nil"/>
              <w:left w:val="nil"/>
              <w:bottom w:val="nil"/>
              <w:right w:val="nil"/>
            </w:tcBorders>
            <w:vAlign w:val="bottom"/>
          </w:tcPr>
          <w:p w14:paraId="013BBF98"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347" w:type="pct"/>
            <w:tcBorders>
              <w:top w:val="nil"/>
              <w:left w:val="nil"/>
              <w:bottom w:val="nil"/>
              <w:right w:val="nil"/>
            </w:tcBorders>
            <w:vAlign w:val="bottom"/>
          </w:tcPr>
          <w:p w14:paraId="6C31D779" w14:textId="292F0B77" w:rsidR="00E93D9C" w:rsidRPr="00571974" w:rsidRDefault="00654A76"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Pr>
                <w:b/>
                <w:bCs/>
                <w:sz w:val="18"/>
                <w:szCs w:val="18"/>
                <w:lang w:val="en-GB" w:eastAsia="en-GB" w:bidi="ar-SA"/>
              </w:rPr>
              <w:t>2019</w:t>
            </w:r>
          </w:p>
        </w:tc>
      </w:tr>
      <w:tr w:rsidR="002228B8" w14:paraId="62F93471" w14:textId="77777777" w:rsidTr="00DF4A0D">
        <w:trPr>
          <w:cantSplit/>
        </w:trPr>
        <w:tc>
          <w:tcPr>
            <w:tcW w:w="4004" w:type="pct"/>
            <w:tcBorders>
              <w:top w:val="nil"/>
              <w:left w:val="nil"/>
              <w:bottom w:val="nil"/>
              <w:right w:val="nil"/>
            </w:tcBorders>
          </w:tcPr>
          <w:p w14:paraId="3AA1BE52" w14:textId="23FEE286" w:rsidR="00E93D9C" w:rsidRPr="00571974" w:rsidRDefault="003D4D89" w:rsidP="00545D1D">
            <w:pPr>
              <w:keepNext/>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szCs w:val="18"/>
                <w:lang w:val="en-GB" w:eastAsia="en-GB" w:bidi="ar-SA"/>
              </w:rPr>
            </w:pPr>
            <w:r w:rsidRPr="00571974">
              <w:rPr>
                <w:b/>
                <w:bCs/>
                <w:sz w:val="18"/>
                <w:szCs w:val="18"/>
                <w:lang w:val="en-GB" w:eastAsia="en-GB" w:bidi="ar-SA"/>
              </w:rPr>
              <w:t xml:space="preserve">Average spot prices for the </w:t>
            </w:r>
            <w:r w:rsidR="00545D1D">
              <w:rPr>
                <w:b/>
                <w:bCs/>
                <w:sz w:val="18"/>
                <w:szCs w:val="18"/>
                <w:lang w:val="en-GB" w:eastAsia="en-GB" w:bidi="ar-SA"/>
              </w:rPr>
              <w:t>year</w:t>
            </w:r>
          </w:p>
        </w:tc>
        <w:tc>
          <w:tcPr>
            <w:tcW w:w="996" w:type="pct"/>
            <w:gridSpan w:val="3"/>
            <w:tcBorders>
              <w:top w:val="nil"/>
              <w:left w:val="nil"/>
              <w:bottom w:val="nil"/>
              <w:right w:val="nil"/>
            </w:tcBorders>
            <w:vAlign w:val="bottom"/>
          </w:tcPr>
          <w:p w14:paraId="6A0F2B3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(per U.S. dollar)</w:t>
            </w:r>
          </w:p>
        </w:tc>
      </w:tr>
      <w:tr w:rsidR="002228B8" w14:paraId="5E79AC49" w14:textId="77777777" w:rsidTr="00DF4A0D">
        <w:trPr>
          <w:cantSplit/>
        </w:trPr>
        <w:tc>
          <w:tcPr>
            <w:tcW w:w="4004" w:type="pct"/>
            <w:tcBorders>
              <w:top w:val="nil"/>
              <w:left w:val="nil"/>
              <w:bottom w:val="nil"/>
              <w:right w:val="nil"/>
            </w:tcBorders>
          </w:tcPr>
          <w:p w14:paraId="0D5DC8FE"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South African rand</w:t>
            </w:r>
            <w:r w:rsidRPr="00571974">
              <w:rPr>
                <w:sz w:val="18"/>
                <w:szCs w:val="18"/>
                <w:lang w:val="en-GB" w:eastAsia="en-GB" w:bidi="ar-SA"/>
              </w:rPr>
              <w:tab/>
            </w:r>
          </w:p>
        </w:tc>
        <w:tc>
          <w:tcPr>
            <w:tcW w:w="315" w:type="pct"/>
            <w:tcBorders>
              <w:top w:val="nil"/>
              <w:left w:val="nil"/>
              <w:bottom w:val="nil"/>
              <w:right w:val="nil"/>
            </w:tcBorders>
          </w:tcPr>
          <w:p w14:paraId="61F46800"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13.31</w:t>
            </w:r>
          </w:p>
        </w:tc>
        <w:tc>
          <w:tcPr>
            <w:tcW w:w="334" w:type="pct"/>
            <w:tcBorders>
              <w:top w:val="nil"/>
              <w:left w:val="nil"/>
              <w:bottom w:val="nil"/>
              <w:right w:val="nil"/>
            </w:tcBorders>
          </w:tcPr>
          <w:p w14:paraId="7846BCE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13.25</w:t>
            </w:r>
          </w:p>
        </w:tc>
        <w:tc>
          <w:tcPr>
            <w:tcW w:w="347" w:type="pct"/>
            <w:tcBorders>
              <w:top w:val="nil"/>
              <w:left w:val="nil"/>
              <w:bottom w:val="nil"/>
              <w:right w:val="nil"/>
            </w:tcBorders>
          </w:tcPr>
          <w:p w14:paraId="4CC93817"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14.45</w:t>
            </w:r>
          </w:p>
        </w:tc>
      </w:tr>
      <w:tr w:rsidR="002228B8" w14:paraId="6DF45314" w14:textId="77777777" w:rsidTr="00DF4A0D">
        <w:trPr>
          <w:cantSplit/>
        </w:trPr>
        <w:tc>
          <w:tcPr>
            <w:tcW w:w="4004" w:type="pct"/>
            <w:tcBorders>
              <w:top w:val="nil"/>
              <w:left w:val="nil"/>
              <w:bottom w:val="nil"/>
              <w:right w:val="nil"/>
            </w:tcBorders>
          </w:tcPr>
          <w:p w14:paraId="7CD355DE"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Brazilian real</w:t>
            </w:r>
            <w:r w:rsidRPr="00571974">
              <w:rPr>
                <w:sz w:val="18"/>
                <w:szCs w:val="18"/>
                <w:lang w:val="en-GB" w:eastAsia="en-GB" w:bidi="ar-SA"/>
              </w:rPr>
              <w:tab/>
            </w:r>
          </w:p>
        </w:tc>
        <w:tc>
          <w:tcPr>
            <w:tcW w:w="315" w:type="pct"/>
            <w:tcBorders>
              <w:top w:val="nil"/>
              <w:left w:val="nil"/>
              <w:bottom w:val="nil"/>
              <w:right w:val="nil"/>
            </w:tcBorders>
          </w:tcPr>
          <w:p w14:paraId="52920E5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3.19 </w:t>
            </w:r>
          </w:p>
        </w:tc>
        <w:tc>
          <w:tcPr>
            <w:tcW w:w="334" w:type="pct"/>
            <w:tcBorders>
              <w:top w:val="nil"/>
              <w:left w:val="nil"/>
              <w:bottom w:val="nil"/>
              <w:right w:val="nil"/>
            </w:tcBorders>
          </w:tcPr>
          <w:p w14:paraId="483C568D"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3.65</w:t>
            </w:r>
          </w:p>
        </w:tc>
        <w:tc>
          <w:tcPr>
            <w:tcW w:w="347" w:type="pct"/>
            <w:tcBorders>
              <w:top w:val="nil"/>
              <w:left w:val="nil"/>
              <w:bottom w:val="nil"/>
              <w:right w:val="nil"/>
            </w:tcBorders>
          </w:tcPr>
          <w:p w14:paraId="4DD1353D"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3.95</w:t>
            </w:r>
          </w:p>
        </w:tc>
      </w:tr>
      <w:tr w:rsidR="002228B8" w14:paraId="2A6AB314" w14:textId="77777777" w:rsidTr="00DF4A0D">
        <w:trPr>
          <w:cantSplit/>
        </w:trPr>
        <w:tc>
          <w:tcPr>
            <w:tcW w:w="4004" w:type="pct"/>
            <w:tcBorders>
              <w:top w:val="nil"/>
              <w:left w:val="nil"/>
              <w:bottom w:val="nil"/>
              <w:right w:val="nil"/>
            </w:tcBorders>
          </w:tcPr>
          <w:p w14:paraId="51241203"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British pound</w:t>
            </w:r>
            <w:r w:rsidRPr="00571974">
              <w:rPr>
                <w:sz w:val="18"/>
                <w:szCs w:val="18"/>
                <w:lang w:val="en-GB" w:eastAsia="en-GB" w:bidi="ar-SA"/>
              </w:rPr>
              <w:tab/>
            </w:r>
          </w:p>
        </w:tc>
        <w:tc>
          <w:tcPr>
            <w:tcW w:w="315" w:type="pct"/>
            <w:tcBorders>
              <w:top w:val="nil"/>
              <w:left w:val="nil"/>
              <w:bottom w:val="nil"/>
              <w:right w:val="nil"/>
            </w:tcBorders>
          </w:tcPr>
          <w:p w14:paraId="6FD3DEB8"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0.78 </w:t>
            </w:r>
          </w:p>
        </w:tc>
        <w:tc>
          <w:tcPr>
            <w:tcW w:w="334" w:type="pct"/>
            <w:tcBorders>
              <w:top w:val="nil"/>
              <w:left w:val="nil"/>
              <w:bottom w:val="nil"/>
              <w:right w:val="nil"/>
            </w:tcBorders>
          </w:tcPr>
          <w:p w14:paraId="2E142CA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0.75</w:t>
            </w:r>
          </w:p>
        </w:tc>
        <w:tc>
          <w:tcPr>
            <w:tcW w:w="347" w:type="pct"/>
            <w:tcBorders>
              <w:top w:val="nil"/>
              <w:left w:val="nil"/>
              <w:bottom w:val="nil"/>
              <w:right w:val="nil"/>
            </w:tcBorders>
          </w:tcPr>
          <w:p w14:paraId="5703088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0.78</w:t>
            </w:r>
          </w:p>
        </w:tc>
      </w:tr>
      <w:tr w:rsidR="002228B8" w14:paraId="66429B63" w14:textId="77777777" w:rsidTr="00DF4A0D">
        <w:trPr>
          <w:cantSplit/>
        </w:trPr>
        <w:tc>
          <w:tcPr>
            <w:tcW w:w="4004" w:type="pct"/>
            <w:tcBorders>
              <w:top w:val="nil"/>
              <w:left w:val="nil"/>
              <w:bottom w:val="nil"/>
              <w:right w:val="nil"/>
            </w:tcBorders>
          </w:tcPr>
          <w:p w14:paraId="5A64DB28"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Australian dollar</w:t>
            </w:r>
            <w:r w:rsidRPr="00571974">
              <w:rPr>
                <w:sz w:val="18"/>
                <w:szCs w:val="18"/>
                <w:lang w:val="en-GB" w:eastAsia="en-GB" w:bidi="ar-SA"/>
              </w:rPr>
              <w:tab/>
            </w:r>
          </w:p>
        </w:tc>
        <w:tc>
          <w:tcPr>
            <w:tcW w:w="315" w:type="pct"/>
            <w:tcBorders>
              <w:top w:val="nil"/>
              <w:left w:val="nil"/>
              <w:bottom w:val="nil"/>
              <w:right w:val="nil"/>
            </w:tcBorders>
          </w:tcPr>
          <w:p w14:paraId="6A388604"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1.30 </w:t>
            </w:r>
          </w:p>
        </w:tc>
        <w:tc>
          <w:tcPr>
            <w:tcW w:w="334" w:type="pct"/>
            <w:tcBorders>
              <w:top w:val="nil"/>
              <w:left w:val="nil"/>
              <w:bottom w:val="nil"/>
              <w:right w:val="nil"/>
            </w:tcBorders>
          </w:tcPr>
          <w:p w14:paraId="157A244B"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1.34</w:t>
            </w:r>
          </w:p>
        </w:tc>
        <w:tc>
          <w:tcPr>
            <w:tcW w:w="347" w:type="pct"/>
            <w:tcBorders>
              <w:top w:val="nil"/>
              <w:left w:val="nil"/>
              <w:bottom w:val="nil"/>
              <w:right w:val="nil"/>
            </w:tcBorders>
          </w:tcPr>
          <w:p w14:paraId="09CF06C0"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1.44</w:t>
            </w:r>
          </w:p>
        </w:tc>
      </w:tr>
      <w:tr w:rsidR="002228B8" w14:paraId="302E128F" w14:textId="77777777" w:rsidTr="00DF4A0D">
        <w:trPr>
          <w:cantSplit/>
        </w:trPr>
        <w:tc>
          <w:tcPr>
            <w:tcW w:w="4004" w:type="pct"/>
            <w:tcBorders>
              <w:top w:val="nil"/>
              <w:left w:val="nil"/>
              <w:bottom w:val="nil"/>
              <w:right w:val="nil"/>
            </w:tcBorders>
          </w:tcPr>
          <w:p w14:paraId="2450022D"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Euro</w:t>
            </w:r>
            <w:r w:rsidRPr="00571974">
              <w:rPr>
                <w:sz w:val="18"/>
                <w:szCs w:val="18"/>
                <w:lang w:val="en-GB" w:eastAsia="en-GB" w:bidi="ar-SA"/>
              </w:rPr>
              <w:tab/>
            </w:r>
          </w:p>
        </w:tc>
        <w:tc>
          <w:tcPr>
            <w:tcW w:w="315" w:type="pct"/>
            <w:tcBorders>
              <w:top w:val="nil"/>
              <w:left w:val="nil"/>
              <w:bottom w:val="nil"/>
              <w:right w:val="nil"/>
            </w:tcBorders>
          </w:tcPr>
          <w:p w14:paraId="2C7050B1"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0.89 </w:t>
            </w:r>
          </w:p>
        </w:tc>
        <w:tc>
          <w:tcPr>
            <w:tcW w:w="334" w:type="pct"/>
            <w:tcBorders>
              <w:top w:val="nil"/>
              <w:left w:val="nil"/>
              <w:bottom w:val="nil"/>
              <w:right w:val="nil"/>
            </w:tcBorders>
          </w:tcPr>
          <w:p w14:paraId="6BD44FB2"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0.85</w:t>
            </w:r>
          </w:p>
        </w:tc>
        <w:tc>
          <w:tcPr>
            <w:tcW w:w="347" w:type="pct"/>
            <w:tcBorders>
              <w:top w:val="nil"/>
              <w:left w:val="nil"/>
              <w:bottom w:val="nil"/>
              <w:right w:val="nil"/>
            </w:tcBorders>
          </w:tcPr>
          <w:p w14:paraId="4B023EB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0.89</w:t>
            </w:r>
          </w:p>
        </w:tc>
      </w:tr>
      <w:tr w:rsidR="002228B8" w14:paraId="5821AD73" w14:textId="77777777" w:rsidTr="00DF4A0D">
        <w:trPr>
          <w:cantSplit/>
        </w:trPr>
        <w:tc>
          <w:tcPr>
            <w:tcW w:w="4004" w:type="pct"/>
            <w:tcBorders>
              <w:top w:val="nil"/>
              <w:left w:val="nil"/>
              <w:bottom w:val="nil"/>
              <w:right w:val="nil"/>
            </w:tcBorders>
          </w:tcPr>
          <w:p w14:paraId="728AC460"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Chilean peso</w:t>
            </w:r>
            <w:r w:rsidRPr="00571974">
              <w:rPr>
                <w:sz w:val="18"/>
                <w:szCs w:val="18"/>
                <w:lang w:val="en-GB" w:eastAsia="en-GB" w:bidi="ar-SA"/>
              </w:rPr>
              <w:tab/>
            </w:r>
          </w:p>
        </w:tc>
        <w:tc>
          <w:tcPr>
            <w:tcW w:w="315" w:type="pct"/>
            <w:tcBorders>
              <w:top w:val="nil"/>
              <w:left w:val="nil"/>
              <w:bottom w:val="nil"/>
              <w:right w:val="nil"/>
            </w:tcBorders>
          </w:tcPr>
          <w:p w14:paraId="509C7B34"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649 </w:t>
            </w:r>
          </w:p>
        </w:tc>
        <w:tc>
          <w:tcPr>
            <w:tcW w:w="334" w:type="pct"/>
            <w:tcBorders>
              <w:top w:val="nil"/>
              <w:left w:val="nil"/>
              <w:bottom w:val="nil"/>
              <w:right w:val="nil"/>
            </w:tcBorders>
          </w:tcPr>
          <w:p w14:paraId="1E2F5C20"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642</w:t>
            </w:r>
          </w:p>
        </w:tc>
        <w:tc>
          <w:tcPr>
            <w:tcW w:w="347" w:type="pct"/>
            <w:tcBorders>
              <w:top w:val="nil"/>
              <w:left w:val="nil"/>
              <w:bottom w:val="nil"/>
              <w:right w:val="nil"/>
            </w:tcBorders>
          </w:tcPr>
          <w:p w14:paraId="19EDF020"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703</w:t>
            </w:r>
          </w:p>
        </w:tc>
      </w:tr>
      <w:tr w:rsidR="00654A76" w14:paraId="07C323CE" w14:textId="77777777" w:rsidTr="00DF4A0D">
        <w:trPr>
          <w:cantSplit/>
        </w:trPr>
        <w:tc>
          <w:tcPr>
            <w:tcW w:w="4004" w:type="pct"/>
            <w:tcBorders>
              <w:top w:val="nil"/>
              <w:left w:val="nil"/>
              <w:bottom w:val="nil"/>
              <w:right w:val="nil"/>
            </w:tcBorders>
          </w:tcPr>
          <w:p w14:paraId="7E847C08" w14:textId="36EF340B" w:rsidR="00654A76" w:rsidRPr="00571974" w:rsidRDefault="00654A76" w:rsidP="00DF4A0D">
            <w:pPr>
              <w:keepNext/>
              <w:tabs>
                <w:tab w:val="right" w:leader="dot" w:pos="8094"/>
              </w:tabs>
              <w:suppressAutoHyphens/>
              <w:ind w:left="200" w:hanging="200"/>
              <w:rPr>
                <w:sz w:val="18"/>
                <w:szCs w:val="18"/>
                <w:lang w:val="en-GB" w:eastAsia="en-GB" w:bidi="ar-SA"/>
              </w:rPr>
            </w:pPr>
            <w:r>
              <w:rPr>
                <w:sz w:val="18"/>
                <w:szCs w:val="18"/>
                <w:lang w:val="en-GB" w:eastAsia="en-GB" w:bidi="ar-SA"/>
              </w:rPr>
              <w:t>Peruvian Sol</w:t>
            </w:r>
            <w:r w:rsidR="00F2369E" w:rsidRPr="00571974">
              <w:rPr>
                <w:sz w:val="18"/>
                <w:szCs w:val="18"/>
                <w:lang w:val="en-GB" w:eastAsia="en-GB" w:bidi="ar-SA"/>
              </w:rPr>
              <w:tab/>
            </w:r>
          </w:p>
        </w:tc>
        <w:tc>
          <w:tcPr>
            <w:tcW w:w="315" w:type="pct"/>
            <w:tcBorders>
              <w:top w:val="nil"/>
              <w:left w:val="nil"/>
              <w:bottom w:val="nil"/>
              <w:right w:val="nil"/>
            </w:tcBorders>
          </w:tcPr>
          <w:p w14:paraId="3B97287B" w14:textId="165373DD" w:rsidR="00654A76" w:rsidRPr="00571974" w:rsidRDefault="00F2369E"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3.26</w:t>
            </w:r>
          </w:p>
        </w:tc>
        <w:tc>
          <w:tcPr>
            <w:tcW w:w="334" w:type="pct"/>
            <w:tcBorders>
              <w:top w:val="nil"/>
              <w:left w:val="nil"/>
              <w:bottom w:val="nil"/>
              <w:right w:val="nil"/>
            </w:tcBorders>
          </w:tcPr>
          <w:p w14:paraId="30F8CDFA" w14:textId="108273A0" w:rsidR="00654A76" w:rsidRPr="00571974" w:rsidRDefault="00256D12"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3.29</w:t>
            </w:r>
          </w:p>
        </w:tc>
        <w:tc>
          <w:tcPr>
            <w:tcW w:w="347" w:type="pct"/>
            <w:tcBorders>
              <w:top w:val="nil"/>
              <w:left w:val="nil"/>
              <w:bottom w:val="nil"/>
              <w:right w:val="nil"/>
            </w:tcBorders>
          </w:tcPr>
          <w:p w14:paraId="5402BABF" w14:textId="4E394858" w:rsidR="00654A76" w:rsidRPr="00571974" w:rsidRDefault="00654A76"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3.34</w:t>
            </w:r>
          </w:p>
        </w:tc>
      </w:tr>
      <w:tr w:rsidR="002228B8" w14:paraId="16046823" w14:textId="77777777" w:rsidTr="00DF4A0D">
        <w:trPr>
          <w:cantSplit/>
        </w:trPr>
        <w:tc>
          <w:tcPr>
            <w:tcW w:w="4004" w:type="pct"/>
            <w:tcBorders>
              <w:top w:val="nil"/>
              <w:left w:val="nil"/>
              <w:bottom w:val="nil"/>
              <w:right w:val="nil"/>
            </w:tcBorders>
          </w:tcPr>
          <w:p w14:paraId="1F080CF7"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Botswanan pula</w:t>
            </w:r>
            <w:r w:rsidRPr="00571974">
              <w:rPr>
                <w:sz w:val="18"/>
                <w:szCs w:val="18"/>
                <w:lang w:val="en-GB" w:eastAsia="en-GB" w:bidi="ar-SA"/>
              </w:rPr>
              <w:tab/>
            </w:r>
          </w:p>
        </w:tc>
        <w:tc>
          <w:tcPr>
            <w:tcW w:w="315" w:type="pct"/>
            <w:tcBorders>
              <w:top w:val="nil"/>
              <w:left w:val="nil"/>
              <w:bottom w:val="nil"/>
              <w:right w:val="nil"/>
            </w:tcBorders>
          </w:tcPr>
          <w:p w14:paraId="12E620B2"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10.34 </w:t>
            </w:r>
          </w:p>
        </w:tc>
        <w:tc>
          <w:tcPr>
            <w:tcW w:w="334" w:type="pct"/>
            <w:tcBorders>
              <w:top w:val="nil"/>
              <w:left w:val="nil"/>
              <w:bottom w:val="nil"/>
              <w:right w:val="nil"/>
            </w:tcBorders>
          </w:tcPr>
          <w:p w14:paraId="218112A6"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10.18</w:t>
            </w:r>
          </w:p>
        </w:tc>
        <w:tc>
          <w:tcPr>
            <w:tcW w:w="347" w:type="pct"/>
            <w:tcBorders>
              <w:top w:val="nil"/>
              <w:left w:val="nil"/>
              <w:bottom w:val="nil"/>
              <w:right w:val="nil"/>
            </w:tcBorders>
          </w:tcPr>
          <w:p w14:paraId="6FB536C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10.77</w:t>
            </w:r>
          </w:p>
        </w:tc>
      </w:tr>
      <w:tr w:rsidR="002228B8" w14:paraId="2AB0245E" w14:textId="77777777" w:rsidTr="00DF4A0D">
        <w:trPr>
          <w:cantSplit/>
        </w:trPr>
        <w:tc>
          <w:tcPr>
            <w:tcW w:w="4004" w:type="pct"/>
            <w:tcBorders>
              <w:top w:val="nil"/>
              <w:left w:val="nil"/>
              <w:bottom w:val="nil"/>
              <w:right w:val="nil"/>
            </w:tcBorders>
          </w:tcPr>
          <w:p w14:paraId="421BBE6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 w:val="right" w:leader="dot" w:pos="8094"/>
              </w:tabs>
              <w:suppressAutoHyphens/>
              <w:ind w:left="200" w:hanging="200"/>
              <w:rPr>
                <w:sz w:val="18"/>
                <w:szCs w:val="18"/>
                <w:lang w:val="en-GB" w:eastAsia="en-GB" w:bidi="ar-SA"/>
              </w:rPr>
            </w:pPr>
            <w:r w:rsidRPr="00571974">
              <w:rPr>
                <w:b/>
                <w:bCs/>
                <w:sz w:val="18"/>
                <w:szCs w:val="18"/>
                <w:lang w:val="en-GB" w:eastAsia="en-GB" w:bidi="ar-SA"/>
              </w:rPr>
              <w:t>Closing spot prices</w:t>
            </w:r>
          </w:p>
        </w:tc>
        <w:tc>
          <w:tcPr>
            <w:tcW w:w="315" w:type="pct"/>
            <w:tcBorders>
              <w:top w:val="nil"/>
              <w:left w:val="nil"/>
              <w:bottom w:val="nil"/>
              <w:right w:val="nil"/>
            </w:tcBorders>
            <w:vAlign w:val="bottom"/>
          </w:tcPr>
          <w:p w14:paraId="3D63B43B"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334" w:type="pct"/>
            <w:tcBorders>
              <w:top w:val="nil"/>
              <w:left w:val="nil"/>
              <w:bottom w:val="nil"/>
              <w:right w:val="nil"/>
            </w:tcBorders>
            <w:vAlign w:val="bottom"/>
          </w:tcPr>
          <w:p w14:paraId="3506143A"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347" w:type="pct"/>
            <w:tcBorders>
              <w:top w:val="nil"/>
              <w:left w:val="nil"/>
              <w:bottom w:val="nil"/>
              <w:right w:val="nil"/>
            </w:tcBorders>
            <w:vAlign w:val="bottom"/>
          </w:tcPr>
          <w:p w14:paraId="4542B1E9"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52251139" w14:textId="77777777" w:rsidTr="00DF4A0D">
        <w:trPr>
          <w:cantSplit/>
        </w:trPr>
        <w:tc>
          <w:tcPr>
            <w:tcW w:w="4004" w:type="pct"/>
            <w:tcBorders>
              <w:top w:val="nil"/>
              <w:left w:val="nil"/>
              <w:bottom w:val="nil"/>
              <w:right w:val="nil"/>
            </w:tcBorders>
          </w:tcPr>
          <w:p w14:paraId="426FF321"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South African rand</w:t>
            </w:r>
            <w:r w:rsidRPr="00571974">
              <w:rPr>
                <w:sz w:val="18"/>
                <w:szCs w:val="18"/>
                <w:lang w:val="en-GB" w:eastAsia="en-GB" w:bidi="ar-SA"/>
              </w:rPr>
              <w:tab/>
            </w:r>
          </w:p>
        </w:tc>
        <w:tc>
          <w:tcPr>
            <w:tcW w:w="315" w:type="pct"/>
            <w:tcBorders>
              <w:top w:val="nil"/>
              <w:left w:val="nil"/>
              <w:bottom w:val="nil"/>
              <w:right w:val="nil"/>
            </w:tcBorders>
          </w:tcPr>
          <w:p w14:paraId="5BCF0FA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12.31 </w:t>
            </w:r>
          </w:p>
        </w:tc>
        <w:tc>
          <w:tcPr>
            <w:tcW w:w="334" w:type="pct"/>
            <w:tcBorders>
              <w:top w:val="nil"/>
              <w:left w:val="nil"/>
              <w:bottom w:val="nil"/>
              <w:right w:val="nil"/>
            </w:tcBorders>
          </w:tcPr>
          <w:p w14:paraId="3199661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14.38</w:t>
            </w:r>
          </w:p>
        </w:tc>
        <w:tc>
          <w:tcPr>
            <w:tcW w:w="347" w:type="pct"/>
            <w:tcBorders>
              <w:top w:val="nil"/>
              <w:left w:val="nil"/>
              <w:bottom w:val="nil"/>
              <w:right w:val="nil"/>
            </w:tcBorders>
          </w:tcPr>
          <w:p w14:paraId="64EF79EB"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14.03</w:t>
            </w:r>
          </w:p>
        </w:tc>
      </w:tr>
      <w:tr w:rsidR="002228B8" w14:paraId="1B9EC83F" w14:textId="77777777" w:rsidTr="00DF4A0D">
        <w:trPr>
          <w:cantSplit/>
        </w:trPr>
        <w:tc>
          <w:tcPr>
            <w:tcW w:w="4004" w:type="pct"/>
            <w:tcBorders>
              <w:top w:val="nil"/>
              <w:left w:val="nil"/>
              <w:bottom w:val="nil"/>
              <w:right w:val="nil"/>
            </w:tcBorders>
          </w:tcPr>
          <w:p w14:paraId="7312A446"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Brazilian real</w:t>
            </w:r>
            <w:r w:rsidRPr="00571974">
              <w:rPr>
                <w:sz w:val="18"/>
                <w:szCs w:val="18"/>
                <w:lang w:val="en-GB" w:eastAsia="en-GB" w:bidi="ar-SA"/>
              </w:rPr>
              <w:tab/>
            </w:r>
          </w:p>
        </w:tc>
        <w:tc>
          <w:tcPr>
            <w:tcW w:w="315" w:type="pct"/>
            <w:tcBorders>
              <w:top w:val="nil"/>
              <w:left w:val="nil"/>
              <w:bottom w:val="nil"/>
              <w:right w:val="nil"/>
            </w:tcBorders>
          </w:tcPr>
          <w:p w14:paraId="2D351934"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3.31 </w:t>
            </w:r>
          </w:p>
        </w:tc>
        <w:tc>
          <w:tcPr>
            <w:tcW w:w="334" w:type="pct"/>
            <w:tcBorders>
              <w:top w:val="nil"/>
              <w:left w:val="nil"/>
              <w:bottom w:val="nil"/>
              <w:right w:val="nil"/>
            </w:tcBorders>
          </w:tcPr>
          <w:p w14:paraId="69149876"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3.88</w:t>
            </w:r>
          </w:p>
        </w:tc>
        <w:tc>
          <w:tcPr>
            <w:tcW w:w="347" w:type="pct"/>
            <w:tcBorders>
              <w:top w:val="nil"/>
              <w:left w:val="nil"/>
              <w:bottom w:val="nil"/>
              <w:right w:val="nil"/>
            </w:tcBorders>
          </w:tcPr>
          <w:p w14:paraId="5629C606"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4.02</w:t>
            </w:r>
          </w:p>
        </w:tc>
      </w:tr>
      <w:tr w:rsidR="002228B8" w14:paraId="7F4434E2" w14:textId="77777777" w:rsidTr="00DF4A0D">
        <w:trPr>
          <w:cantSplit/>
        </w:trPr>
        <w:tc>
          <w:tcPr>
            <w:tcW w:w="4004" w:type="pct"/>
            <w:tcBorders>
              <w:top w:val="nil"/>
              <w:left w:val="nil"/>
              <w:bottom w:val="nil"/>
              <w:right w:val="nil"/>
            </w:tcBorders>
          </w:tcPr>
          <w:p w14:paraId="3574DA3A"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British pound</w:t>
            </w:r>
            <w:r w:rsidRPr="00571974">
              <w:rPr>
                <w:sz w:val="18"/>
                <w:szCs w:val="18"/>
                <w:lang w:val="en-GB" w:eastAsia="en-GB" w:bidi="ar-SA"/>
              </w:rPr>
              <w:tab/>
            </w:r>
          </w:p>
        </w:tc>
        <w:tc>
          <w:tcPr>
            <w:tcW w:w="315" w:type="pct"/>
            <w:tcBorders>
              <w:top w:val="nil"/>
              <w:left w:val="nil"/>
              <w:bottom w:val="nil"/>
              <w:right w:val="nil"/>
            </w:tcBorders>
          </w:tcPr>
          <w:p w14:paraId="5EE4A588"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0.74 </w:t>
            </w:r>
          </w:p>
        </w:tc>
        <w:tc>
          <w:tcPr>
            <w:tcW w:w="334" w:type="pct"/>
            <w:tcBorders>
              <w:top w:val="nil"/>
              <w:left w:val="nil"/>
              <w:bottom w:val="nil"/>
              <w:right w:val="nil"/>
            </w:tcBorders>
          </w:tcPr>
          <w:p w14:paraId="04AF30AC"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0.78</w:t>
            </w:r>
          </w:p>
        </w:tc>
        <w:tc>
          <w:tcPr>
            <w:tcW w:w="347" w:type="pct"/>
            <w:tcBorders>
              <w:top w:val="nil"/>
              <w:left w:val="nil"/>
              <w:bottom w:val="nil"/>
              <w:right w:val="nil"/>
            </w:tcBorders>
          </w:tcPr>
          <w:p w14:paraId="4FEAD6ED"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0.76</w:t>
            </w:r>
          </w:p>
        </w:tc>
      </w:tr>
      <w:tr w:rsidR="002228B8" w14:paraId="3FA5D421" w14:textId="77777777" w:rsidTr="00DF4A0D">
        <w:trPr>
          <w:cantSplit/>
        </w:trPr>
        <w:tc>
          <w:tcPr>
            <w:tcW w:w="4004" w:type="pct"/>
            <w:tcBorders>
              <w:top w:val="nil"/>
              <w:left w:val="nil"/>
              <w:bottom w:val="nil"/>
              <w:right w:val="nil"/>
            </w:tcBorders>
          </w:tcPr>
          <w:p w14:paraId="76ADCCCA"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Australian dollar</w:t>
            </w:r>
            <w:r w:rsidRPr="00571974">
              <w:rPr>
                <w:sz w:val="18"/>
                <w:szCs w:val="18"/>
                <w:lang w:val="en-GB" w:eastAsia="en-GB" w:bidi="ar-SA"/>
              </w:rPr>
              <w:tab/>
            </w:r>
          </w:p>
        </w:tc>
        <w:tc>
          <w:tcPr>
            <w:tcW w:w="315" w:type="pct"/>
            <w:tcBorders>
              <w:top w:val="nil"/>
              <w:left w:val="nil"/>
              <w:bottom w:val="nil"/>
              <w:right w:val="nil"/>
            </w:tcBorders>
          </w:tcPr>
          <w:p w14:paraId="049669FB"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1.28 </w:t>
            </w:r>
          </w:p>
        </w:tc>
        <w:tc>
          <w:tcPr>
            <w:tcW w:w="334" w:type="pct"/>
            <w:tcBorders>
              <w:top w:val="nil"/>
              <w:left w:val="nil"/>
              <w:bottom w:val="nil"/>
              <w:right w:val="nil"/>
            </w:tcBorders>
          </w:tcPr>
          <w:p w14:paraId="196C7AC2"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1.42</w:t>
            </w:r>
          </w:p>
        </w:tc>
        <w:tc>
          <w:tcPr>
            <w:tcW w:w="347" w:type="pct"/>
            <w:tcBorders>
              <w:top w:val="nil"/>
              <w:left w:val="nil"/>
              <w:bottom w:val="nil"/>
              <w:right w:val="nil"/>
            </w:tcBorders>
          </w:tcPr>
          <w:p w14:paraId="71AE1D4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1.43</w:t>
            </w:r>
          </w:p>
        </w:tc>
      </w:tr>
      <w:tr w:rsidR="002228B8" w14:paraId="446FC169" w14:textId="77777777" w:rsidTr="00DF4A0D">
        <w:trPr>
          <w:cantSplit/>
        </w:trPr>
        <w:tc>
          <w:tcPr>
            <w:tcW w:w="4004" w:type="pct"/>
            <w:tcBorders>
              <w:top w:val="nil"/>
              <w:left w:val="nil"/>
              <w:bottom w:val="nil"/>
              <w:right w:val="nil"/>
            </w:tcBorders>
          </w:tcPr>
          <w:p w14:paraId="57C7DDC3"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Euro</w:t>
            </w:r>
            <w:r w:rsidRPr="00571974">
              <w:rPr>
                <w:sz w:val="18"/>
                <w:szCs w:val="18"/>
                <w:lang w:val="en-GB" w:eastAsia="en-GB" w:bidi="ar-SA"/>
              </w:rPr>
              <w:tab/>
            </w:r>
          </w:p>
        </w:tc>
        <w:tc>
          <w:tcPr>
            <w:tcW w:w="315" w:type="pct"/>
            <w:tcBorders>
              <w:top w:val="nil"/>
              <w:left w:val="nil"/>
              <w:bottom w:val="nil"/>
              <w:right w:val="nil"/>
            </w:tcBorders>
          </w:tcPr>
          <w:p w14:paraId="299371A2"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0.83 </w:t>
            </w:r>
          </w:p>
        </w:tc>
        <w:tc>
          <w:tcPr>
            <w:tcW w:w="334" w:type="pct"/>
            <w:tcBorders>
              <w:top w:val="nil"/>
              <w:left w:val="nil"/>
              <w:bottom w:val="nil"/>
              <w:right w:val="nil"/>
            </w:tcBorders>
          </w:tcPr>
          <w:p w14:paraId="187B2DF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0.87</w:t>
            </w:r>
          </w:p>
        </w:tc>
        <w:tc>
          <w:tcPr>
            <w:tcW w:w="347" w:type="pct"/>
            <w:tcBorders>
              <w:top w:val="nil"/>
              <w:left w:val="nil"/>
              <w:bottom w:val="nil"/>
              <w:right w:val="nil"/>
            </w:tcBorders>
          </w:tcPr>
          <w:p w14:paraId="48A0307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0.89</w:t>
            </w:r>
          </w:p>
        </w:tc>
      </w:tr>
      <w:tr w:rsidR="002228B8" w14:paraId="3CE8FF5C" w14:textId="77777777" w:rsidTr="00DF4A0D">
        <w:trPr>
          <w:cantSplit/>
        </w:trPr>
        <w:tc>
          <w:tcPr>
            <w:tcW w:w="4004" w:type="pct"/>
            <w:tcBorders>
              <w:top w:val="nil"/>
              <w:left w:val="nil"/>
              <w:bottom w:val="nil"/>
              <w:right w:val="nil"/>
            </w:tcBorders>
          </w:tcPr>
          <w:p w14:paraId="0E5BA8DF" w14:textId="77777777" w:rsidR="00E93D9C" w:rsidRPr="00571974" w:rsidRDefault="003D4D89" w:rsidP="00DF4A0D">
            <w:pPr>
              <w:keepNext/>
              <w:tabs>
                <w:tab w:val="right" w:leader="dot" w:pos="8094"/>
              </w:tabs>
              <w:suppressAutoHyphens/>
              <w:ind w:left="200" w:hanging="200"/>
              <w:rPr>
                <w:sz w:val="18"/>
                <w:szCs w:val="18"/>
                <w:lang w:val="en-GB" w:eastAsia="en-GB" w:bidi="ar-SA"/>
              </w:rPr>
            </w:pPr>
            <w:r w:rsidRPr="00571974">
              <w:rPr>
                <w:sz w:val="18"/>
                <w:szCs w:val="18"/>
                <w:lang w:val="en-GB" w:eastAsia="en-GB" w:bidi="ar-SA"/>
              </w:rPr>
              <w:t>Chilean peso</w:t>
            </w:r>
            <w:r w:rsidRPr="00571974">
              <w:rPr>
                <w:sz w:val="18"/>
                <w:szCs w:val="18"/>
                <w:lang w:val="en-GB" w:eastAsia="en-GB" w:bidi="ar-SA"/>
              </w:rPr>
              <w:tab/>
            </w:r>
          </w:p>
        </w:tc>
        <w:tc>
          <w:tcPr>
            <w:tcW w:w="315" w:type="pct"/>
            <w:tcBorders>
              <w:top w:val="nil"/>
              <w:left w:val="nil"/>
              <w:bottom w:val="nil"/>
              <w:right w:val="nil"/>
            </w:tcBorders>
          </w:tcPr>
          <w:p w14:paraId="6D6A30AD"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615 </w:t>
            </w:r>
          </w:p>
        </w:tc>
        <w:tc>
          <w:tcPr>
            <w:tcW w:w="334" w:type="pct"/>
            <w:tcBorders>
              <w:top w:val="nil"/>
              <w:left w:val="nil"/>
              <w:bottom w:val="nil"/>
              <w:right w:val="nil"/>
            </w:tcBorders>
          </w:tcPr>
          <w:p w14:paraId="1DDA497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694</w:t>
            </w:r>
          </w:p>
        </w:tc>
        <w:tc>
          <w:tcPr>
            <w:tcW w:w="347" w:type="pct"/>
            <w:tcBorders>
              <w:top w:val="nil"/>
              <w:left w:val="nil"/>
              <w:bottom w:val="nil"/>
              <w:right w:val="nil"/>
            </w:tcBorders>
          </w:tcPr>
          <w:p w14:paraId="5A424F4C"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752</w:t>
            </w:r>
          </w:p>
        </w:tc>
      </w:tr>
      <w:tr w:rsidR="00654A76" w14:paraId="6DA5941B" w14:textId="77777777" w:rsidTr="00DF4A0D">
        <w:trPr>
          <w:cantSplit/>
        </w:trPr>
        <w:tc>
          <w:tcPr>
            <w:tcW w:w="4004" w:type="pct"/>
            <w:tcBorders>
              <w:top w:val="nil"/>
              <w:left w:val="nil"/>
              <w:bottom w:val="nil"/>
              <w:right w:val="nil"/>
            </w:tcBorders>
          </w:tcPr>
          <w:p w14:paraId="2178BD85" w14:textId="1A726C34" w:rsidR="00654A76" w:rsidRPr="00571974" w:rsidRDefault="00654A76" w:rsidP="00DF4A0D">
            <w:pPr>
              <w:tabs>
                <w:tab w:val="right" w:leader="dot" w:pos="8094"/>
              </w:tabs>
              <w:suppressAutoHyphens/>
              <w:ind w:left="200" w:hanging="200"/>
              <w:rPr>
                <w:sz w:val="18"/>
                <w:szCs w:val="18"/>
                <w:lang w:val="en-GB" w:eastAsia="en-GB" w:bidi="ar-SA"/>
              </w:rPr>
            </w:pPr>
            <w:r>
              <w:rPr>
                <w:sz w:val="18"/>
                <w:szCs w:val="18"/>
                <w:lang w:val="en-GB" w:eastAsia="en-GB" w:bidi="ar-SA"/>
              </w:rPr>
              <w:t>Peruvian Sol</w:t>
            </w:r>
            <w:r w:rsidR="00F2369E" w:rsidRPr="00571974">
              <w:rPr>
                <w:sz w:val="18"/>
                <w:szCs w:val="18"/>
                <w:lang w:val="en-GB" w:eastAsia="en-GB" w:bidi="ar-SA"/>
              </w:rPr>
              <w:tab/>
            </w:r>
          </w:p>
        </w:tc>
        <w:tc>
          <w:tcPr>
            <w:tcW w:w="315" w:type="pct"/>
            <w:tcBorders>
              <w:top w:val="nil"/>
              <w:left w:val="nil"/>
              <w:bottom w:val="nil"/>
              <w:right w:val="nil"/>
            </w:tcBorders>
          </w:tcPr>
          <w:p w14:paraId="300B4EB1" w14:textId="38B3C4A6" w:rsidR="00654A76" w:rsidRPr="00571974" w:rsidRDefault="00F2369E"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3.24</w:t>
            </w:r>
          </w:p>
        </w:tc>
        <w:tc>
          <w:tcPr>
            <w:tcW w:w="334" w:type="pct"/>
            <w:tcBorders>
              <w:top w:val="nil"/>
              <w:left w:val="nil"/>
              <w:bottom w:val="nil"/>
              <w:right w:val="nil"/>
            </w:tcBorders>
          </w:tcPr>
          <w:p w14:paraId="3CD698B2" w14:textId="779D344D" w:rsidR="00654A76" w:rsidRPr="00571974" w:rsidRDefault="00256D12"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3.37</w:t>
            </w:r>
          </w:p>
        </w:tc>
        <w:tc>
          <w:tcPr>
            <w:tcW w:w="347" w:type="pct"/>
            <w:tcBorders>
              <w:top w:val="nil"/>
              <w:left w:val="nil"/>
              <w:bottom w:val="nil"/>
              <w:right w:val="nil"/>
            </w:tcBorders>
          </w:tcPr>
          <w:p w14:paraId="0FACA794" w14:textId="07AB8F42" w:rsidR="00654A76" w:rsidRPr="00571974" w:rsidRDefault="00256D12"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3.32</w:t>
            </w:r>
          </w:p>
        </w:tc>
      </w:tr>
      <w:tr w:rsidR="002228B8" w14:paraId="3A41E5B9" w14:textId="77777777" w:rsidTr="00DF4A0D">
        <w:trPr>
          <w:cantSplit/>
        </w:trPr>
        <w:tc>
          <w:tcPr>
            <w:tcW w:w="4004" w:type="pct"/>
            <w:tcBorders>
              <w:top w:val="nil"/>
              <w:left w:val="nil"/>
              <w:bottom w:val="nil"/>
              <w:right w:val="nil"/>
            </w:tcBorders>
          </w:tcPr>
          <w:p w14:paraId="519943B6" w14:textId="77777777" w:rsidR="00E93D9C" w:rsidRPr="00571974" w:rsidRDefault="003D4D89" w:rsidP="00DF4A0D">
            <w:pPr>
              <w:tabs>
                <w:tab w:val="right" w:leader="dot" w:pos="8094"/>
              </w:tabs>
              <w:suppressAutoHyphens/>
              <w:ind w:left="200" w:hanging="200"/>
              <w:rPr>
                <w:sz w:val="18"/>
                <w:szCs w:val="18"/>
                <w:lang w:val="en-GB" w:eastAsia="en-GB" w:bidi="ar-SA"/>
              </w:rPr>
            </w:pPr>
            <w:r w:rsidRPr="00571974">
              <w:rPr>
                <w:sz w:val="18"/>
                <w:szCs w:val="18"/>
                <w:lang w:val="en-GB" w:eastAsia="en-GB" w:bidi="ar-SA"/>
              </w:rPr>
              <w:t>Botswanan pula</w:t>
            </w:r>
            <w:r w:rsidRPr="00571974">
              <w:rPr>
                <w:sz w:val="18"/>
                <w:szCs w:val="18"/>
                <w:lang w:val="en-GB" w:eastAsia="en-GB" w:bidi="ar-SA"/>
              </w:rPr>
              <w:tab/>
            </w:r>
          </w:p>
        </w:tc>
        <w:tc>
          <w:tcPr>
            <w:tcW w:w="315" w:type="pct"/>
            <w:tcBorders>
              <w:top w:val="nil"/>
              <w:left w:val="nil"/>
              <w:bottom w:val="nil"/>
              <w:right w:val="nil"/>
            </w:tcBorders>
          </w:tcPr>
          <w:p w14:paraId="7FC78E6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 xml:space="preserve"> 9.85 </w:t>
            </w:r>
          </w:p>
        </w:tc>
        <w:tc>
          <w:tcPr>
            <w:tcW w:w="334" w:type="pct"/>
            <w:tcBorders>
              <w:top w:val="nil"/>
              <w:left w:val="nil"/>
              <w:bottom w:val="nil"/>
              <w:right w:val="nil"/>
            </w:tcBorders>
          </w:tcPr>
          <w:p w14:paraId="25AF1E3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10.71</w:t>
            </w:r>
          </w:p>
        </w:tc>
        <w:tc>
          <w:tcPr>
            <w:tcW w:w="347" w:type="pct"/>
            <w:tcBorders>
              <w:top w:val="nil"/>
              <w:left w:val="nil"/>
              <w:bottom w:val="nil"/>
              <w:right w:val="nil"/>
            </w:tcBorders>
          </w:tcPr>
          <w:p w14:paraId="4A264C17"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10.60</w:t>
            </w:r>
          </w:p>
        </w:tc>
      </w:tr>
    </w:tbl>
    <w:p w14:paraId="0D16BC1B" w14:textId="77777777" w:rsidR="00E93D9C" w:rsidRPr="00571974" w:rsidRDefault="00E93D9C" w:rsidP="00E93D9C">
      <w:pPr>
        <w:rPr>
          <w:lang w:val="en-GB"/>
        </w:rPr>
      </w:pPr>
    </w:p>
    <w:p w14:paraId="3C3B1FBE" w14:textId="77777777" w:rsidR="00E93D9C" w:rsidRPr="00571974" w:rsidRDefault="003D4D89" w:rsidP="00E93D9C">
      <w:pPr>
        <w:pStyle w:val="BodyText"/>
        <w:widowControl/>
        <w:autoSpaceDE/>
        <w:autoSpaceDN/>
        <w:adjustRightInd/>
        <w:ind w:firstLine="360"/>
        <w:rPr>
          <w:lang w:val="en-GB"/>
        </w:rPr>
      </w:pPr>
      <w:r w:rsidRPr="00571974">
        <w:rPr>
          <w:lang w:val="en-GB"/>
        </w:rPr>
        <w:t>Set forth below is the impact for 2019 underlying earnings of the Group of a 10% fluctuation in certain exchange rates. These sensitivities reflect movement of an individual exchange rate in isolation and are offered for illustrative purposes. In reality, the combination of movements in commodity prices, exchange rates and interest rates will result in a different outcome.</w:t>
      </w:r>
    </w:p>
    <w:tbl>
      <w:tblPr>
        <w:tblW w:w="5000" w:type="pct"/>
        <w:jc w:val="center"/>
        <w:tblCellMar>
          <w:left w:w="72" w:type="dxa"/>
          <w:right w:w="72" w:type="dxa"/>
        </w:tblCellMar>
        <w:tblLook w:val="0000" w:firstRow="0" w:lastRow="0" w:firstColumn="0" w:lastColumn="0" w:noHBand="0" w:noVBand="0"/>
      </w:tblPr>
      <w:tblGrid>
        <w:gridCol w:w="7977"/>
        <w:gridCol w:w="1379"/>
      </w:tblGrid>
      <w:tr w:rsidR="002228B8" w14:paraId="61B20361" w14:textId="77777777" w:rsidTr="00DF4A0D">
        <w:trPr>
          <w:cantSplit/>
          <w:jc w:val="center"/>
        </w:trPr>
        <w:tc>
          <w:tcPr>
            <w:tcW w:w="4263" w:type="pct"/>
            <w:tcBorders>
              <w:top w:val="nil"/>
              <w:left w:val="nil"/>
              <w:bottom w:val="nil"/>
              <w:right w:val="nil"/>
            </w:tcBorders>
            <w:vAlign w:val="bottom"/>
          </w:tcPr>
          <w:p w14:paraId="433D7DE3"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737" w:type="pct"/>
            <w:tcBorders>
              <w:top w:val="nil"/>
              <w:left w:val="nil"/>
              <w:bottom w:val="nil"/>
              <w:right w:val="nil"/>
            </w:tcBorders>
            <w:vAlign w:val="bottom"/>
          </w:tcPr>
          <w:p w14:paraId="29133A58"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 ended December 31, 2019</w:t>
            </w:r>
          </w:p>
        </w:tc>
      </w:tr>
      <w:tr w:rsidR="002228B8" w14:paraId="50D05C8A" w14:textId="77777777" w:rsidTr="00DF4A0D">
        <w:trPr>
          <w:cantSplit/>
          <w:jc w:val="center"/>
        </w:trPr>
        <w:tc>
          <w:tcPr>
            <w:tcW w:w="4263" w:type="pct"/>
            <w:tcBorders>
              <w:top w:val="nil"/>
              <w:left w:val="nil"/>
              <w:bottom w:val="nil"/>
              <w:right w:val="nil"/>
            </w:tcBorders>
            <w:vAlign w:val="bottom"/>
          </w:tcPr>
          <w:p w14:paraId="05389009"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737" w:type="pct"/>
            <w:tcBorders>
              <w:top w:val="nil"/>
              <w:left w:val="nil"/>
              <w:bottom w:val="nil"/>
              <w:right w:val="nil"/>
            </w:tcBorders>
            <w:vAlign w:val="bottom"/>
          </w:tcPr>
          <w:p w14:paraId="65FA5D0B"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10%</w:t>
            </w:r>
            <w:r w:rsidRPr="00571974">
              <w:rPr>
                <w:b/>
                <w:bCs/>
                <w:sz w:val="18"/>
                <w:szCs w:val="18"/>
                <w:lang w:val="en-GB" w:eastAsia="en-GB" w:bidi="ar-SA"/>
              </w:rPr>
              <w:br/>
              <w:t>sensitivity</w:t>
            </w:r>
          </w:p>
        </w:tc>
      </w:tr>
      <w:tr w:rsidR="002228B8" w14:paraId="16EE3D1C" w14:textId="77777777" w:rsidTr="00DF4A0D">
        <w:trPr>
          <w:cantSplit/>
          <w:jc w:val="center"/>
        </w:trPr>
        <w:tc>
          <w:tcPr>
            <w:tcW w:w="4263" w:type="pct"/>
            <w:tcBorders>
              <w:top w:val="nil"/>
              <w:left w:val="nil"/>
              <w:bottom w:val="nil"/>
              <w:right w:val="nil"/>
            </w:tcBorders>
            <w:vAlign w:val="bottom"/>
          </w:tcPr>
          <w:p w14:paraId="647B0966"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737" w:type="pct"/>
            <w:tcBorders>
              <w:top w:val="nil"/>
              <w:left w:val="nil"/>
              <w:bottom w:val="nil"/>
              <w:right w:val="nil"/>
            </w:tcBorders>
            <w:vAlign w:val="bottom"/>
          </w:tcPr>
          <w:p w14:paraId="5F24842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szCs w:val="18"/>
                <w:lang w:val="en-GB" w:eastAsia="en-GB" w:bidi="ar-SA"/>
              </w:rPr>
            </w:pPr>
            <w:r w:rsidRPr="00571974">
              <w:rPr>
                <w:b/>
                <w:bCs/>
                <w:i/>
                <w:iCs/>
                <w:sz w:val="18"/>
                <w:szCs w:val="18"/>
                <w:lang w:val="en-GB" w:eastAsia="en-GB" w:bidi="ar-SA"/>
              </w:rPr>
              <w:t>(US$m)</w:t>
            </w:r>
            <w:r w:rsidRPr="00571974">
              <w:rPr>
                <w:b/>
                <w:bCs/>
                <w:i/>
                <w:iCs/>
                <w:sz w:val="18"/>
                <w:szCs w:val="18"/>
                <w:vertAlign w:val="superscript"/>
                <w:lang w:val="en-GB" w:eastAsia="en-GB" w:bidi="ar-SA"/>
              </w:rPr>
              <w:t>(1)</w:t>
            </w:r>
          </w:p>
        </w:tc>
      </w:tr>
      <w:tr w:rsidR="002228B8" w14:paraId="1CD76DC5" w14:textId="77777777" w:rsidTr="00DF4A0D">
        <w:trPr>
          <w:cantSplit/>
          <w:jc w:val="center"/>
        </w:trPr>
        <w:tc>
          <w:tcPr>
            <w:tcW w:w="4263" w:type="pct"/>
            <w:tcBorders>
              <w:top w:val="nil"/>
              <w:left w:val="nil"/>
              <w:bottom w:val="nil"/>
              <w:right w:val="nil"/>
            </w:tcBorders>
          </w:tcPr>
          <w:p w14:paraId="4CAB2174" w14:textId="77777777" w:rsidR="00E93D9C" w:rsidRPr="00571974" w:rsidRDefault="003D4D89" w:rsidP="00DF4A0D">
            <w:pPr>
              <w:tabs>
                <w:tab w:val="right" w:leader="dot" w:pos="8580"/>
              </w:tabs>
              <w:suppressAutoHyphens/>
              <w:ind w:left="200" w:hanging="200"/>
              <w:rPr>
                <w:sz w:val="18"/>
                <w:szCs w:val="18"/>
                <w:lang w:val="en-GB" w:eastAsia="en-GB" w:bidi="ar-SA"/>
              </w:rPr>
            </w:pPr>
            <w:r w:rsidRPr="00571974">
              <w:rPr>
                <w:sz w:val="18"/>
                <w:szCs w:val="18"/>
                <w:lang w:val="en-GB" w:eastAsia="en-GB" w:bidi="ar-SA"/>
              </w:rPr>
              <w:t>South African rand/U.S. dollar</w:t>
            </w:r>
            <w:r w:rsidRPr="00571974">
              <w:rPr>
                <w:sz w:val="18"/>
                <w:szCs w:val="18"/>
                <w:vertAlign w:val="superscript"/>
                <w:lang w:val="en-GB" w:eastAsia="en-GB" w:bidi="ar-SA"/>
              </w:rPr>
              <w:t>(2)</w:t>
            </w:r>
            <w:r w:rsidRPr="00571974">
              <w:rPr>
                <w:sz w:val="18"/>
                <w:szCs w:val="18"/>
                <w:lang w:val="en-GB" w:eastAsia="en-GB" w:bidi="ar-SA"/>
              </w:rPr>
              <w:tab/>
            </w:r>
          </w:p>
        </w:tc>
        <w:tc>
          <w:tcPr>
            <w:tcW w:w="737" w:type="pct"/>
            <w:tcBorders>
              <w:top w:val="nil"/>
              <w:left w:val="nil"/>
              <w:bottom w:val="nil"/>
              <w:right w:val="nil"/>
            </w:tcBorders>
            <w:vAlign w:val="bottom"/>
          </w:tcPr>
          <w:p w14:paraId="5C2F4784" w14:textId="1E8C71A9"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w:t>
            </w:r>
            <w:r w:rsidR="004520D4">
              <w:rPr>
                <w:sz w:val="18"/>
                <w:lang w:val="en-GB" w:eastAsia="en-GB" w:bidi="ar-SA"/>
              </w:rPr>
              <w:t>318</w:t>
            </w:r>
          </w:p>
        </w:tc>
      </w:tr>
      <w:tr w:rsidR="002228B8" w14:paraId="0D920634" w14:textId="77777777" w:rsidTr="00DF4A0D">
        <w:trPr>
          <w:cantSplit/>
          <w:jc w:val="center"/>
        </w:trPr>
        <w:tc>
          <w:tcPr>
            <w:tcW w:w="4263" w:type="pct"/>
            <w:tcBorders>
              <w:top w:val="nil"/>
              <w:left w:val="nil"/>
              <w:bottom w:val="nil"/>
              <w:right w:val="nil"/>
            </w:tcBorders>
          </w:tcPr>
          <w:p w14:paraId="0F9AD7BD" w14:textId="77777777" w:rsidR="00E93D9C" w:rsidRPr="00571974" w:rsidRDefault="003D4D89" w:rsidP="00DF4A0D">
            <w:pPr>
              <w:tabs>
                <w:tab w:val="right" w:leader="dot" w:pos="8580"/>
              </w:tabs>
              <w:suppressAutoHyphens/>
              <w:ind w:left="200" w:hanging="200"/>
              <w:rPr>
                <w:sz w:val="18"/>
                <w:szCs w:val="18"/>
                <w:lang w:val="en-GB" w:eastAsia="en-GB" w:bidi="ar-SA"/>
              </w:rPr>
            </w:pPr>
            <w:r w:rsidRPr="00571974">
              <w:rPr>
                <w:sz w:val="18"/>
                <w:szCs w:val="18"/>
                <w:lang w:val="en-GB" w:eastAsia="en-GB" w:bidi="ar-SA"/>
              </w:rPr>
              <w:t>Australian dollar/U.S. dollar</w:t>
            </w:r>
            <w:r w:rsidRPr="00571974">
              <w:rPr>
                <w:sz w:val="18"/>
                <w:szCs w:val="18"/>
                <w:vertAlign w:val="superscript"/>
                <w:lang w:val="en-GB" w:eastAsia="en-GB" w:bidi="ar-SA"/>
              </w:rPr>
              <w:t>(2)</w:t>
            </w:r>
            <w:r w:rsidRPr="00571974">
              <w:rPr>
                <w:sz w:val="18"/>
                <w:szCs w:val="18"/>
                <w:lang w:val="en-GB" w:eastAsia="en-GB" w:bidi="ar-SA"/>
              </w:rPr>
              <w:tab/>
            </w:r>
          </w:p>
        </w:tc>
        <w:tc>
          <w:tcPr>
            <w:tcW w:w="737" w:type="pct"/>
            <w:tcBorders>
              <w:top w:val="nil"/>
              <w:left w:val="nil"/>
              <w:bottom w:val="nil"/>
              <w:right w:val="nil"/>
            </w:tcBorders>
            <w:vAlign w:val="bottom"/>
          </w:tcPr>
          <w:p w14:paraId="425337D7" w14:textId="0CF112F9"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w:t>
            </w:r>
            <w:r w:rsidR="004520D4">
              <w:rPr>
                <w:sz w:val="18"/>
                <w:lang w:val="en-GB" w:eastAsia="en-GB" w:bidi="ar-SA"/>
              </w:rPr>
              <w:t>147</w:t>
            </w:r>
          </w:p>
        </w:tc>
      </w:tr>
      <w:tr w:rsidR="002228B8" w14:paraId="0EC65A15" w14:textId="77777777" w:rsidTr="00DF4A0D">
        <w:trPr>
          <w:cantSplit/>
          <w:jc w:val="center"/>
        </w:trPr>
        <w:tc>
          <w:tcPr>
            <w:tcW w:w="4263" w:type="pct"/>
            <w:tcBorders>
              <w:top w:val="nil"/>
              <w:left w:val="nil"/>
              <w:bottom w:val="nil"/>
              <w:right w:val="nil"/>
            </w:tcBorders>
          </w:tcPr>
          <w:p w14:paraId="3604BD3A" w14:textId="77777777" w:rsidR="00E93D9C" w:rsidRPr="00571974" w:rsidRDefault="003D4D89" w:rsidP="00DF4A0D">
            <w:pPr>
              <w:tabs>
                <w:tab w:val="right" w:leader="dot" w:pos="8580"/>
              </w:tabs>
              <w:suppressAutoHyphens/>
              <w:ind w:left="200" w:hanging="200"/>
              <w:rPr>
                <w:sz w:val="18"/>
                <w:szCs w:val="18"/>
                <w:lang w:val="en-GB" w:eastAsia="en-GB" w:bidi="ar-SA"/>
              </w:rPr>
            </w:pPr>
            <w:r w:rsidRPr="00571974">
              <w:rPr>
                <w:sz w:val="18"/>
                <w:szCs w:val="18"/>
                <w:lang w:val="en-GB" w:eastAsia="en-GB" w:bidi="ar-SA"/>
              </w:rPr>
              <w:t>Chilean peso/U.S. dollar</w:t>
            </w:r>
            <w:r w:rsidRPr="00571974">
              <w:rPr>
                <w:sz w:val="18"/>
                <w:szCs w:val="18"/>
                <w:vertAlign w:val="superscript"/>
                <w:lang w:val="en-GB" w:eastAsia="en-GB" w:bidi="ar-SA"/>
              </w:rPr>
              <w:t>(2)</w:t>
            </w:r>
            <w:r w:rsidRPr="00571974">
              <w:rPr>
                <w:sz w:val="18"/>
                <w:szCs w:val="18"/>
                <w:lang w:val="en-GB" w:eastAsia="en-GB" w:bidi="ar-SA"/>
              </w:rPr>
              <w:tab/>
            </w:r>
          </w:p>
        </w:tc>
        <w:tc>
          <w:tcPr>
            <w:tcW w:w="737" w:type="pct"/>
            <w:tcBorders>
              <w:top w:val="nil"/>
              <w:left w:val="nil"/>
              <w:bottom w:val="nil"/>
              <w:right w:val="nil"/>
            </w:tcBorders>
            <w:vAlign w:val="bottom"/>
          </w:tcPr>
          <w:p w14:paraId="6EDC26B8" w14:textId="1771A53D"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w:t>
            </w:r>
            <w:r w:rsidR="004520D4">
              <w:rPr>
                <w:sz w:val="18"/>
                <w:lang w:val="en-GB" w:eastAsia="en-GB" w:bidi="ar-SA"/>
              </w:rPr>
              <w:t>30</w:t>
            </w:r>
          </w:p>
        </w:tc>
      </w:tr>
      <w:tr w:rsidR="002228B8" w14:paraId="529631C2" w14:textId="77777777" w:rsidTr="00DF4A0D">
        <w:trPr>
          <w:cantSplit/>
          <w:jc w:val="center"/>
        </w:trPr>
        <w:tc>
          <w:tcPr>
            <w:tcW w:w="4263" w:type="pct"/>
            <w:tcBorders>
              <w:top w:val="nil"/>
              <w:left w:val="nil"/>
              <w:bottom w:val="nil"/>
              <w:right w:val="nil"/>
            </w:tcBorders>
          </w:tcPr>
          <w:p w14:paraId="6A7A8735" w14:textId="77777777" w:rsidR="00E93D9C" w:rsidRPr="00571974" w:rsidRDefault="003D4D89" w:rsidP="00DF4A0D">
            <w:pPr>
              <w:tabs>
                <w:tab w:val="right" w:leader="dot" w:pos="8580"/>
              </w:tabs>
              <w:suppressAutoHyphens/>
              <w:ind w:left="200" w:hanging="200"/>
              <w:rPr>
                <w:sz w:val="18"/>
                <w:szCs w:val="18"/>
                <w:lang w:val="en-GB" w:eastAsia="en-GB" w:bidi="ar-SA"/>
              </w:rPr>
            </w:pPr>
            <w:r w:rsidRPr="00571974">
              <w:rPr>
                <w:sz w:val="18"/>
                <w:szCs w:val="18"/>
                <w:lang w:val="en-GB" w:eastAsia="en-GB" w:bidi="ar-SA"/>
              </w:rPr>
              <w:t>Brazilian real/U.S. dollar</w:t>
            </w:r>
            <w:r w:rsidRPr="00571974">
              <w:rPr>
                <w:sz w:val="18"/>
                <w:szCs w:val="18"/>
                <w:vertAlign w:val="superscript"/>
                <w:lang w:val="en-GB" w:eastAsia="en-GB" w:bidi="ar-SA"/>
              </w:rPr>
              <w:t>(2)</w:t>
            </w:r>
            <w:r w:rsidRPr="00571974">
              <w:rPr>
                <w:sz w:val="18"/>
                <w:szCs w:val="18"/>
                <w:lang w:val="en-GB" w:eastAsia="en-GB" w:bidi="ar-SA"/>
              </w:rPr>
              <w:tab/>
            </w:r>
          </w:p>
        </w:tc>
        <w:tc>
          <w:tcPr>
            <w:tcW w:w="737" w:type="pct"/>
            <w:tcBorders>
              <w:top w:val="nil"/>
              <w:left w:val="nil"/>
              <w:bottom w:val="nil"/>
              <w:right w:val="nil"/>
            </w:tcBorders>
            <w:vAlign w:val="bottom"/>
          </w:tcPr>
          <w:p w14:paraId="79A1E334" w14:textId="7DDCD346" w:rsidR="00E93D9C" w:rsidRPr="00571974" w:rsidRDefault="003D4D89">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w:t>
            </w:r>
            <w:r w:rsidR="004520D4">
              <w:rPr>
                <w:sz w:val="18"/>
                <w:lang w:val="en-GB" w:eastAsia="en-GB" w:bidi="ar-SA"/>
              </w:rPr>
              <w:t>60</w:t>
            </w:r>
          </w:p>
        </w:tc>
      </w:tr>
    </w:tbl>
    <w:p w14:paraId="66FFC0A8" w14:textId="77777777" w:rsidR="00E93D9C" w:rsidRPr="00571974" w:rsidRDefault="00836D74" w:rsidP="00E93D9C">
      <w:pPr>
        <w:rPr>
          <w:lang w:val="en-GB"/>
        </w:rPr>
      </w:pPr>
      <w:r>
        <w:rPr>
          <w:lang w:val="en-GB"/>
        </w:rPr>
        <w:pict w14:anchorId="0AC9A46B">
          <v:rect id="_x0000_i1044" style="width:184.5pt;height:1pt" o:hrpct="250" o:hrstd="t" o:hrnoshade="t" o:hr="t" fillcolor="black" stroked="f"/>
        </w:pict>
      </w:r>
    </w:p>
    <w:p w14:paraId="7C8EDD6C" w14:textId="77777777" w:rsidR="00E93D9C" w:rsidRPr="00571974" w:rsidRDefault="003D4D89" w:rsidP="00E93D9C">
      <w:pPr>
        <w:pStyle w:val="ListParagraph"/>
        <w:widowControl/>
        <w:numPr>
          <w:ilvl w:val="0"/>
          <w:numId w:val="11"/>
        </w:numPr>
        <w:tabs>
          <w:tab w:val="left" w:pos="-720"/>
          <w:tab w:val="left" w:pos="0"/>
        </w:tabs>
        <w:suppressAutoHyphens/>
        <w:spacing w:after="240"/>
        <w:ind w:left="284" w:hanging="284"/>
        <w:rPr>
          <w:sz w:val="16"/>
          <w:szCs w:val="18"/>
          <w:lang w:val="en-GB"/>
        </w:rPr>
      </w:pPr>
      <w:r w:rsidRPr="00571974">
        <w:rPr>
          <w:sz w:val="16"/>
          <w:szCs w:val="18"/>
          <w:lang w:val="en-GB"/>
        </w:rPr>
        <w:t>Excludes the effect of any hedging activities. Stated after tax at marginal rate.</w:t>
      </w:r>
    </w:p>
    <w:p w14:paraId="0FD163C2" w14:textId="77777777" w:rsidR="00E93D9C" w:rsidRPr="00571974" w:rsidRDefault="003D4D89" w:rsidP="00E93D9C">
      <w:pPr>
        <w:pStyle w:val="ListParagraph"/>
        <w:widowControl/>
        <w:numPr>
          <w:ilvl w:val="0"/>
          <w:numId w:val="11"/>
        </w:numPr>
        <w:tabs>
          <w:tab w:val="left" w:pos="-720"/>
          <w:tab w:val="left" w:pos="0"/>
        </w:tabs>
        <w:suppressAutoHyphens/>
        <w:spacing w:after="240"/>
        <w:ind w:left="284" w:hanging="284"/>
        <w:rPr>
          <w:sz w:val="16"/>
          <w:szCs w:val="18"/>
          <w:lang w:val="en-GB"/>
        </w:rPr>
      </w:pPr>
      <w:r w:rsidRPr="00571974">
        <w:rPr>
          <w:sz w:val="16"/>
          <w:szCs w:val="18"/>
          <w:lang w:val="en-GB"/>
        </w:rPr>
        <w:t>A strengthening of the South African rand, Australian dollar, Chilean peso and Brazilian real relative to the U.S. dollar reduces underlying earnings and vice versa.</w:t>
      </w:r>
    </w:p>
    <w:p w14:paraId="6EECD620" w14:textId="52902860" w:rsidR="00E93D9C" w:rsidRPr="00571974" w:rsidRDefault="003D4D89" w:rsidP="00932961">
      <w:pPr>
        <w:pStyle w:val="BodyText"/>
        <w:widowControl/>
        <w:autoSpaceDE/>
        <w:autoSpaceDN/>
        <w:adjustRightInd/>
        <w:ind w:firstLine="360"/>
        <w:rPr>
          <w:lang w:val="en-GB"/>
        </w:rPr>
      </w:pPr>
      <w:r w:rsidRPr="00571974">
        <w:rPr>
          <w:lang w:val="en-GB"/>
        </w:rPr>
        <w:t>In 2019</w:t>
      </w:r>
      <w:r w:rsidR="004D6637">
        <w:rPr>
          <w:lang w:val="en-GB"/>
        </w:rPr>
        <w:t>,</w:t>
      </w:r>
      <w:r w:rsidRPr="00571974">
        <w:rPr>
          <w:lang w:val="en-GB"/>
        </w:rPr>
        <w:t xml:space="preserve"> the impact of foreign exchange on </w:t>
      </w:r>
      <w:r w:rsidR="00545D1D">
        <w:rPr>
          <w:lang w:val="en-GB"/>
        </w:rPr>
        <w:t xml:space="preserve">Underlying </w:t>
      </w:r>
      <w:r w:rsidRPr="00571974">
        <w:rPr>
          <w:lang w:val="en-GB"/>
        </w:rPr>
        <w:t xml:space="preserve">EBITDA of US$0.8 billion was largely due to the weaker South African rand, Australian dollar and Brazilian real. In 2018 the impact of foreign exchange on </w:t>
      </w:r>
      <w:r w:rsidR="00545D1D">
        <w:rPr>
          <w:lang w:val="en-GB"/>
        </w:rPr>
        <w:t xml:space="preserve">Underlying </w:t>
      </w:r>
      <w:r w:rsidRPr="00571974">
        <w:rPr>
          <w:lang w:val="en-GB"/>
        </w:rPr>
        <w:t xml:space="preserve">EBITDA of </w:t>
      </w:r>
      <w:r w:rsidR="00D94C66">
        <w:rPr>
          <w:lang w:val="en-GB"/>
        </w:rPr>
        <w:t>US</w:t>
      </w:r>
      <w:r w:rsidRPr="00571974">
        <w:rPr>
          <w:lang w:val="en-GB"/>
        </w:rPr>
        <w:t>$0.2 billion was largely due to revaluations of monetary items on the balance sheet, resulting from the effect of weaker producer closing currency rates.</w:t>
      </w:r>
    </w:p>
    <w:p w14:paraId="0EDF82DD" w14:textId="77777777" w:rsidR="00E93D9C" w:rsidRPr="00571974" w:rsidRDefault="003D4D89" w:rsidP="007B1404">
      <w:pPr>
        <w:pStyle w:val="Heading3"/>
        <w:rPr>
          <w:lang w:val="en-GB"/>
        </w:rPr>
      </w:pPr>
      <w:r w:rsidRPr="00571974">
        <w:rPr>
          <w:lang w:val="en-GB"/>
        </w:rPr>
        <w:t>Input Costs and Effects of Inflation</w:t>
      </w:r>
    </w:p>
    <w:p w14:paraId="2FAC07DE" w14:textId="77777777" w:rsidR="00E93D9C" w:rsidRPr="00571974" w:rsidRDefault="003D4D89" w:rsidP="00E93D9C">
      <w:pPr>
        <w:pStyle w:val="BodyText"/>
        <w:widowControl/>
        <w:autoSpaceDE/>
        <w:autoSpaceDN/>
        <w:adjustRightInd/>
        <w:ind w:firstLine="360"/>
        <w:rPr>
          <w:lang w:val="en-GB"/>
        </w:rPr>
      </w:pPr>
      <w:r w:rsidRPr="00571974">
        <w:rPr>
          <w:lang w:val="en-GB"/>
        </w:rPr>
        <w:t>The mining industry continues to experience price inflation for costs of inputs used in production, which leads to higher production costs reported by many mining companies, including the Group which has experienced generally higher production costs across its operations.</w:t>
      </w:r>
    </w:p>
    <w:p w14:paraId="75B6903C" w14:textId="2BDEEC22" w:rsidR="00E93D9C" w:rsidRPr="00571974" w:rsidRDefault="003D4D89" w:rsidP="00E93D9C">
      <w:pPr>
        <w:pStyle w:val="BodyText"/>
        <w:widowControl/>
        <w:autoSpaceDE/>
        <w:autoSpaceDN/>
        <w:adjustRightInd/>
        <w:ind w:firstLine="360"/>
        <w:rPr>
          <w:lang w:val="en-GB"/>
        </w:rPr>
      </w:pPr>
      <w:r w:rsidRPr="00571974">
        <w:rPr>
          <w:lang w:val="en-GB"/>
        </w:rPr>
        <w:t>Commodity prices are determined principally by international markets and global supply and demand and the Group is unable to control the prices at which it sells the commodities it produces. Accordingly, in the event of significant inflation in input costs, particularly labor and power costs, without a concurrent devaluation of the local currency or an increase in commodity prices, there could be a material adverse effect on the Company</w:t>
      </w:r>
      <w:r w:rsidR="00A311D8">
        <w:rPr>
          <w:lang w:val="en-GB"/>
        </w:rPr>
        <w:t>’</w:t>
      </w:r>
      <w:r w:rsidRPr="00571974">
        <w:rPr>
          <w:lang w:val="en-GB"/>
        </w:rPr>
        <w:t>s results of operations and financial condition.</w:t>
      </w:r>
    </w:p>
    <w:p w14:paraId="77C83DA9" w14:textId="30BAAE29" w:rsidR="00EE7312" w:rsidRPr="00571974" w:rsidRDefault="003D4D89" w:rsidP="0047073C">
      <w:pPr>
        <w:pStyle w:val="BodyText"/>
        <w:widowControl/>
        <w:autoSpaceDE/>
        <w:autoSpaceDN/>
        <w:adjustRightInd/>
        <w:ind w:firstLine="360"/>
        <w:rPr>
          <w:lang w:val="en-GB"/>
        </w:rPr>
      </w:pPr>
      <w:r w:rsidRPr="00571974">
        <w:rPr>
          <w:lang w:val="en-GB"/>
        </w:rPr>
        <w:t>In 2019, the Group</w:t>
      </w:r>
      <w:r w:rsidR="00A311D8">
        <w:rPr>
          <w:lang w:val="en-GB"/>
        </w:rPr>
        <w:t>’</w:t>
      </w:r>
      <w:r w:rsidRPr="00571974">
        <w:rPr>
          <w:lang w:val="en-GB"/>
        </w:rPr>
        <w:t>s cost improvements caused unit cost reductions to more than outweigh the effects of above CPI inflationary pressure on the mining industry related largely to electricity prices and labor.</w:t>
      </w:r>
      <w:bookmarkEnd w:id="71"/>
    </w:p>
    <w:p w14:paraId="57F283F0" w14:textId="77777777" w:rsidR="00542FF4" w:rsidRPr="00571974" w:rsidRDefault="003D4D89" w:rsidP="007B1404">
      <w:pPr>
        <w:pStyle w:val="Heading3"/>
        <w:rPr>
          <w:lang w:val="en-GB"/>
        </w:rPr>
      </w:pPr>
      <w:r w:rsidRPr="00571974">
        <w:rPr>
          <w:lang w:val="en-GB"/>
        </w:rPr>
        <w:lastRenderedPageBreak/>
        <w:t>Divestments</w:t>
      </w:r>
    </w:p>
    <w:p w14:paraId="0DBC7EA9" w14:textId="77777777" w:rsidR="00542FF4" w:rsidRPr="00571974" w:rsidRDefault="003D4D89" w:rsidP="00542FF4">
      <w:pPr>
        <w:pStyle w:val="BodyText"/>
        <w:widowControl/>
        <w:autoSpaceDE/>
        <w:autoSpaceDN/>
        <w:adjustRightInd/>
        <w:ind w:firstLine="360"/>
        <w:rPr>
          <w:lang w:val="en-GB"/>
        </w:rPr>
      </w:pPr>
      <w:r w:rsidRPr="00571974">
        <w:rPr>
          <w:lang w:val="en-GB"/>
        </w:rPr>
        <w:t>We have undertaken a number of significant transactions since the beginning of 201</w:t>
      </w:r>
      <w:r w:rsidR="000A591F" w:rsidRPr="00571974">
        <w:rPr>
          <w:lang w:val="en-GB"/>
        </w:rPr>
        <w:t>5</w:t>
      </w:r>
      <w:r w:rsidRPr="00571974">
        <w:rPr>
          <w:lang w:val="en-GB"/>
        </w:rPr>
        <w:t xml:space="preserve">, including several that were entered into for the purpose of actively restructuring the Group in order to </w:t>
      </w:r>
      <w:r w:rsidR="00C30DCD" w:rsidRPr="00571974">
        <w:rPr>
          <w:lang w:val="en-GB"/>
        </w:rPr>
        <w:t xml:space="preserve">improve our portfolio and </w:t>
      </w:r>
      <w:r w:rsidRPr="00571974">
        <w:rPr>
          <w:lang w:val="en-GB"/>
        </w:rPr>
        <w:t xml:space="preserve">strengthen our financial position. </w:t>
      </w:r>
    </w:p>
    <w:p w14:paraId="1353BF29" w14:textId="44D1B727" w:rsidR="00542FF4" w:rsidRPr="00571974" w:rsidRDefault="003D4D89" w:rsidP="00542FF4">
      <w:pPr>
        <w:pStyle w:val="ListBullet"/>
        <w:numPr>
          <w:ilvl w:val="0"/>
          <w:numId w:val="0"/>
        </w:numPr>
        <w:ind w:firstLine="360"/>
        <w:rPr>
          <w:szCs w:val="22"/>
        </w:rPr>
      </w:pPr>
      <w:r w:rsidRPr="00571974">
        <w:t xml:space="preserve">The transformation of our portfolio is well advanced, moving from 68 assets in 2013 to </w:t>
      </w:r>
      <w:r w:rsidR="000E6C3C" w:rsidRPr="00571974">
        <w:t xml:space="preserve">34 </w:t>
      </w:r>
      <w:r w:rsidR="00F7022D" w:rsidRPr="00571974">
        <w:t xml:space="preserve">at the end of </w:t>
      </w:r>
      <w:r w:rsidR="000A591F" w:rsidRPr="00571974">
        <w:t xml:space="preserve">December </w:t>
      </w:r>
      <w:r w:rsidR="00F7022D" w:rsidRPr="00571974">
        <w:t>201</w:t>
      </w:r>
      <w:r w:rsidR="007F540C" w:rsidRPr="00571974">
        <w:t>9</w:t>
      </w:r>
      <w:r w:rsidRPr="00571974">
        <w:t xml:space="preserve">. We will continue to refine and upgrade our asset portfolio on an ongoing basis in order to ensure that our capital is deployed effectively to generate enhanced </w:t>
      </w:r>
      <w:r w:rsidR="00EE0DBF" w:rsidRPr="00571974">
        <w:t xml:space="preserve">and sustainable </w:t>
      </w:r>
      <w:r w:rsidRPr="00571974">
        <w:t xml:space="preserve">returns for our shareholders. </w:t>
      </w:r>
      <w:r w:rsidRPr="00571974">
        <w:rPr>
          <w:szCs w:val="22"/>
        </w:rPr>
        <w:t xml:space="preserve">For further discussion of major divestment transactions, see </w:t>
      </w:r>
      <w:r w:rsidR="00A311D8">
        <w:rPr>
          <w:szCs w:val="22"/>
        </w:rPr>
        <w:t>“</w:t>
      </w:r>
      <w:r w:rsidRPr="00571974">
        <w:rPr>
          <w:szCs w:val="22"/>
        </w:rPr>
        <w:t>Business Description—Strategy</w:t>
      </w:r>
      <w:r w:rsidR="00A311D8">
        <w:rPr>
          <w:szCs w:val="22"/>
        </w:rPr>
        <w:t>”</w:t>
      </w:r>
      <w:r w:rsidRPr="00571974">
        <w:rPr>
          <w:szCs w:val="22"/>
        </w:rPr>
        <w:t>. The table below summari</w:t>
      </w:r>
      <w:r w:rsidR="00F048DE" w:rsidRPr="00571974">
        <w:rPr>
          <w:szCs w:val="22"/>
        </w:rPr>
        <w:t>ze</w:t>
      </w:r>
      <w:r w:rsidRPr="00571974">
        <w:rPr>
          <w:szCs w:val="22"/>
        </w:rPr>
        <w:t>s the key divestments</w:t>
      </w:r>
      <w:r w:rsidR="007F540C" w:rsidRPr="00571974">
        <w:rPr>
          <w:szCs w:val="22"/>
        </w:rPr>
        <w:t xml:space="preserve"> since January 1, 2017</w:t>
      </w:r>
      <w:r w:rsidR="000E4543" w:rsidRPr="00571974">
        <w:rPr>
          <w:szCs w:val="22"/>
        </w:rPr>
        <w:t>.</w:t>
      </w:r>
    </w:p>
    <w:p w14:paraId="053FA204" w14:textId="77777777" w:rsidR="00207BD9" w:rsidRDefault="00207BD9">
      <w:r>
        <w:br w:type="page"/>
      </w:r>
    </w:p>
    <w:tbl>
      <w:tblPr>
        <w:tblW w:w="0" w:type="auto"/>
        <w:tblLook w:val="04A0" w:firstRow="1" w:lastRow="0" w:firstColumn="1" w:lastColumn="0" w:noHBand="0" w:noVBand="1"/>
      </w:tblPr>
      <w:tblGrid>
        <w:gridCol w:w="2362"/>
        <w:gridCol w:w="1738"/>
        <w:gridCol w:w="1799"/>
        <w:gridCol w:w="3457"/>
      </w:tblGrid>
      <w:tr w:rsidR="002228B8" w14:paraId="69DC8F93" w14:textId="77777777" w:rsidTr="003D4D89">
        <w:trPr>
          <w:tblHeader/>
        </w:trPr>
        <w:tc>
          <w:tcPr>
            <w:tcW w:w="2362" w:type="dxa"/>
            <w:shd w:val="clear" w:color="auto" w:fill="auto"/>
          </w:tcPr>
          <w:p w14:paraId="0ED9505B" w14:textId="387540B1" w:rsidR="00542FF4" w:rsidRPr="003D4D89" w:rsidRDefault="003D4D89" w:rsidP="003D4D89">
            <w:pPr>
              <w:pStyle w:val="ListBullet"/>
              <w:numPr>
                <w:ilvl w:val="0"/>
                <w:numId w:val="0"/>
              </w:numPr>
              <w:rPr>
                <w:rFonts w:eastAsia="Times New Roman" w:cs="Times New Roman"/>
                <w:b/>
                <w:bCs/>
                <w:sz w:val="18"/>
                <w:szCs w:val="18"/>
                <w:u w:val="single"/>
                <w:lang w:eastAsia="en-GB" w:bidi="ar-SA"/>
              </w:rPr>
            </w:pPr>
            <w:r w:rsidRPr="003D4D89">
              <w:rPr>
                <w:rFonts w:eastAsia="Times New Roman" w:cs="Times New Roman"/>
                <w:b/>
                <w:bCs/>
                <w:sz w:val="18"/>
                <w:szCs w:val="18"/>
                <w:u w:val="single"/>
                <w:lang w:eastAsia="en-GB" w:bidi="ar-SA"/>
              </w:rPr>
              <w:lastRenderedPageBreak/>
              <w:t>Operation</w:t>
            </w:r>
          </w:p>
        </w:tc>
        <w:tc>
          <w:tcPr>
            <w:tcW w:w="1738" w:type="dxa"/>
            <w:shd w:val="clear" w:color="auto" w:fill="auto"/>
          </w:tcPr>
          <w:p w14:paraId="41EC58F9" w14:textId="77777777" w:rsidR="00542FF4" w:rsidRPr="003D4D89" w:rsidRDefault="003D4D89" w:rsidP="003D4D89">
            <w:pPr>
              <w:pStyle w:val="ListBullet"/>
              <w:numPr>
                <w:ilvl w:val="0"/>
                <w:numId w:val="0"/>
              </w:numPr>
              <w:rPr>
                <w:rFonts w:eastAsia="Times New Roman" w:cs="Times New Roman"/>
                <w:b/>
                <w:bCs/>
                <w:sz w:val="18"/>
                <w:szCs w:val="18"/>
                <w:u w:val="single"/>
                <w:lang w:eastAsia="en-GB" w:bidi="ar-SA"/>
              </w:rPr>
            </w:pPr>
            <w:r w:rsidRPr="003D4D89">
              <w:rPr>
                <w:rFonts w:eastAsia="Times New Roman" w:cs="Times New Roman"/>
                <w:b/>
                <w:bCs/>
                <w:sz w:val="18"/>
                <w:szCs w:val="18"/>
                <w:u w:val="single"/>
                <w:lang w:eastAsia="en-GB" w:bidi="ar-SA"/>
              </w:rPr>
              <w:t>Segment</w:t>
            </w:r>
          </w:p>
        </w:tc>
        <w:tc>
          <w:tcPr>
            <w:tcW w:w="1799" w:type="dxa"/>
            <w:shd w:val="clear" w:color="auto" w:fill="auto"/>
          </w:tcPr>
          <w:p w14:paraId="231E1EDA" w14:textId="77777777" w:rsidR="00542FF4" w:rsidRPr="003D4D89" w:rsidRDefault="003D4D89" w:rsidP="003D4D89">
            <w:pPr>
              <w:pStyle w:val="ListBullet"/>
              <w:numPr>
                <w:ilvl w:val="0"/>
                <w:numId w:val="0"/>
              </w:numPr>
              <w:rPr>
                <w:rFonts w:eastAsia="Times New Roman" w:cs="Times New Roman"/>
                <w:b/>
                <w:bCs/>
                <w:sz w:val="18"/>
                <w:szCs w:val="18"/>
                <w:u w:val="single"/>
                <w:lang w:eastAsia="en-GB" w:bidi="ar-SA"/>
              </w:rPr>
            </w:pPr>
            <w:r w:rsidRPr="003D4D89">
              <w:rPr>
                <w:rFonts w:eastAsia="Times New Roman" w:cs="Times New Roman"/>
                <w:b/>
                <w:bCs/>
                <w:sz w:val="18"/>
                <w:szCs w:val="18"/>
                <w:u w:val="single"/>
                <w:lang w:eastAsia="en-GB" w:bidi="ar-SA"/>
              </w:rPr>
              <w:t>Date</w:t>
            </w:r>
          </w:p>
        </w:tc>
        <w:tc>
          <w:tcPr>
            <w:tcW w:w="3457" w:type="dxa"/>
            <w:shd w:val="clear" w:color="auto" w:fill="auto"/>
          </w:tcPr>
          <w:p w14:paraId="5592553B" w14:textId="77777777" w:rsidR="00542FF4" w:rsidRPr="003D4D89" w:rsidRDefault="003D4D89" w:rsidP="003D4D89">
            <w:pPr>
              <w:pStyle w:val="ListBullet"/>
              <w:numPr>
                <w:ilvl w:val="0"/>
                <w:numId w:val="0"/>
              </w:numPr>
              <w:rPr>
                <w:rFonts w:eastAsia="Times New Roman" w:cs="Times New Roman"/>
                <w:b/>
                <w:bCs/>
                <w:sz w:val="18"/>
                <w:szCs w:val="18"/>
                <w:u w:val="single"/>
                <w:lang w:eastAsia="en-GB" w:bidi="ar-SA"/>
              </w:rPr>
            </w:pPr>
            <w:r w:rsidRPr="003D4D89">
              <w:rPr>
                <w:rFonts w:eastAsia="Times New Roman" w:cs="Times New Roman"/>
                <w:b/>
                <w:bCs/>
                <w:sz w:val="18"/>
                <w:szCs w:val="18"/>
                <w:u w:val="single"/>
                <w:lang w:eastAsia="en-GB" w:bidi="ar-SA"/>
              </w:rPr>
              <w:t>Further information (including proceeds)</w:t>
            </w:r>
          </w:p>
        </w:tc>
      </w:tr>
      <w:tr w:rsidR="002228B8" w14:paraId="64F775EA" w14:textId="77777777" w:rsidTr="003D4D89">
        <w:tc>
          <w:tcPr>
            <w:tcW w:w="2362" w:type="dxa"/>
            <w:shd w:val="clear" w:color="auto" w:fill="auto"/>
          </w:tcPr>
          <w:p w14:paraId="4D7CDDC2" w14:textId="77777777" w:rsidR="007F540C" w:rsidRPr="00571974" w:rsidRDefault="003D4D89" w:rsidP="003D4D89">
            <w:pPr>
              <w:pStyle w:val="ListBullet"/>
              <w:numPr>
                <w:ilvl w:val="0"/>
                <w:numId w:val="0"/>
              </w:numPr>
              <w:rPr>
                <w:lang w:bidi="ar-SA"/>
              </w:rPr>
            </w:pPr>
            <w:r w:rsidRPr="00571974">
              <w:rPr>
                <w:lang w:bidi="ar-SA"/>
              </w:rPr>
              <w:t>Dartbrook</w:t>
            </w:r>
          </w:p>
          <w:p w14:paraId="4A542FC5" w14:textId="77777777" w:rsidR="007F540C" w:rsidRPr="00571974" w:rsidRDefault="007F540C" w:rsidP="003D4D89">
            <w:pPr>
              <w:pStyle w:val="ListBullet"/>
              <w:numPr>
                <w:ilvl w:val="0"/>
                <w:numId w:val="0"/>
              </w:numPr>
              <w:rPr>
                <w:lang w:bidi="ar-SA"/>
              </w:rPr>
            </w:pPr>
          </w:p>
        </w:tc>
        <w:tc>
          <w:tcPr>
            <w:tcW w:w="1738" w:type="dxa"/>
            <w:shd w:val="clear" w:color="auto" w:fill="auto"/>
          </w:tcPr>
          <w:p w14:paraId="1AB97FAC" w14:textId="77777777" w:rsidR="007F540C" w:rsidRPr="00571974" w:rsidRDefault="003D4D89" w:rsidP="003D4D89">
            <w:pPr>
              <w:pStyle w:val="ListBullet"/>
              <w:numPr>
                <w:ilvl w:val="0"/>
                <w:numId w:val="0"/>
              </w:numPr>
              <w:rPr>
                <w:lang w:bidi="ar-SA"/>
              </w:rPr>
            </w:pPr>
            <w:r w:rsidRPr="003D4D89">
              <w:rPr>
                <w:rFonts w:eastAsia="Calibri"/>
                <w:szCs w:val="18"/>
                <w:lang w:eastAsia="en-US" w:bidi="ar-SA"/>
              </w:rPr>
              <w:t>Coal</w:t>
            </w:r>
          </w:p>
        </w:tc>
        <w:tc>
          <w:tcPr>
            <w:tcW w:w="1799" w:type="dxa"/>
            <w:shd w:val="clear" w:color="auto" w:fill="auto"/>
          </w:tcPr>
          <w:p w14:paraId="59639A90" w14:textId="77777777" w:rsidR="007F540C" w:rsidRPr="00571974" w:rsidRDefault="003D4D89" w:rsidP="003D4D89">
            <w:pPr>
              <w:pStyle w:val="ListBullet"/>
              <w:numPr>
                <w:ilvl w:val="0"/>
                <w:numId w:val="0"/>
              </w:numPr>
              <w:rPr>
                <w:lang w:bidi="ar-SA"/>
              </w:rPr>
            </w:pPr>
            <w:r w:rsidRPr="00571974">
              <w:rPr>
                <w:lang w:bidi="ar-SA"/>
              </w:rPr>
              <w:t>May 29, 2017</w:t>
            </w:r>
          </w:p>
        </w:tc>
        <w:tc>
          <w:tcPr>
            <w:tcW w:w="3457" w:type="dxa"/>
            <w:shd w:val="clear" w:color="auto" w:fill="auto"/>
          </w:tcPr>
          <w:p w14:paraId="5D2D5F2D" w14:textId="77777777" w:rsidR="007F540C" w:rsidRPr="00571974" w:rsidRDefault="003D4D89" w:rsidP="003D4D89">
            <w:pPr>
              <w:pStyle w:val="ListBullet"/>
              <w:numPr>
                <w:ilvl w:val="0"/>
                <w:numId w:val="0"/>
              </w:numPr>
              <w:rPr>
                <w:lang w:bidi="ar-SA"/>
              </w:rPr>
            </w:pPr>
            <w:r w:rsidRPr="003D4D89">
              <w:rPr>
                <w:rFonts w:eastAsia="Calibri"/>
                <w:szCs w:val="18"/>
                <w:lang w:eastAsia="en-US" w:bidi="ar-SA"/>
              </w:rPr>
              <w:t>Business Description</w:t>
            </w:r>
            <w:r w:rsidRPr="00571974">
              <w:rPr>
                <w:lang w:bidi="ar-SA"/>
              </w:rPr>
              <w:t>—Coal—Significant Transactions and Restructuring—Disposal Dartbrook</w:t>
            </w:r>
          </w:p>
          <w:p w14:paraId="30A92B86" w14:textId="77777777" w:rsidR="007F540C" w:rsidRPr="003D4D89" w:rsidRDefault="007F540C" w:rsidP="003D4D89">
            <w:pPr>
              <w:pStyle w:val="ListBullet"/>
              <w:numPr>
                <w:ilvl w:val="0"/>
                <w:numId w:val="0"/>
              </w:numPr>
              <w:rPr>
                <w:rFonts w:eastAsia="Calibri"/>
                <w:szCs w:val="18"/>
                <w:lang w:eastAsia="en-US" w:bidi="ar-SA"/>
              </w:rPr>
            </w:pPr>
          </w:p>
        </w:tc>
      </w:tr>
      <w:tr w:rsidR="002228B8" w14:paraId="0209519C" w14:textId="77777777" w:rsidTr="003D4D89">
        <w:tc>
          <w:tcPr>
            <w:tcW w:w="2362" w:type="dxa"/>
            <w:shd w:val="clear" w:color="auto" w:fill="auto"/>
          </w:tcPr>
          <w:p w14:paraId="047381BB" w14:textId="77777777" w:rsidR="007F540C" w:rsidRPr="00571974" w:rsidRDefault="003D4D89" w:rsidP="003D4D89">
            <w:pPr>
              <w:pStyle w:val="ListBullet"/>
              <w:numPr>
                <w:ilvl w:val="0"/>
                <w:numId w:val="0"/>
              </w:numPr>
              <w:rPr>
                <w:lang w:bidi="ar-SA"/>
              </w:rPr>
            </w:pPr>
            <w:r w:rsidRPr="003D4D89">
              <w:rPr>
                <w:rFonts w:cs="Times New Roman"/>
                <w:szCs w:val="20"/>
                <w:lang w:bidi="ar-SA"/>
              </w:rPr>
              <w:t>Union Mine and MASA Chrome Company Proprietary Limited</w:t>
            </w:r>
          </w:p>
        </w:tc>
        <w:tc>
          <w:tcPr>
            <w:tcW w:w="1738" w:type="dxa"/>
            <w:shd w:val="clear" w:color="auto" w:fill="auto"/>
          </w:tcPr>
          <w:p w14:paraId="5E448FBD" w14:textId="77777777" w:rsidR="007F540C" w:rsidRPr="00571974" w:rsidRDefault="003D4D89" w:rsidP="003D4D89">
            <w:pPr>
              <w:pStyle w:val="ListBullet"/>
              <w:numPr>
                <w:ilvl w:val="0"/>
                <w:numId w:val="0"/>
              </w:numPr>
              <w:rPr>
                <w:lang w:bidi="ar-SA"/>
              </w:rPr>
            </w:pPr>
            <w:r w:rsidRPr="003D4D89">
              <w:rPr>
                <w:rFonts w:eastAsia="Calibri"/>
                <w:szCs w:val="18"/>
                <w:lang w:eastAsia="en-US" w:bidi="ar-SA"/>
              </w:rPr>
              <w:t>Platinum</w:t>
            </w:r>
          </w:p>
        </w:tc>
        <w:tc>
          <w:tcPr>
            <w:tcW w:w="1799" w:type="dxa"/>
            <w:shd w:val="clear" w:color="auto" w:fill="auto"/>
          </w:tcPr>
          <w:p w14:paraId="074B3755" w14:textId="77777777" w:rsidR="007F540C" w:rsidRPr="003D4D89" w:rsidRDefault="003D4D89" w:rsidP="003D4D89">
            <w:pPr>
              <w:pStyle w:val="ListBullet"/>
              <w:numPr>
                <w:ilvl w:val="0"/>
                <w:numId w:val="0"/>
              </w:numPr>
              <w:rPr>
                <w:bCs/>
                <w:iCs/>
                <w:lang w:bidi="ar-SA"/>
              </w:rPr>
            </w:pPr>
            <w:r w:rsidRPr="00571974">
              <w:rPr>
                <w:lang w:bidi="ar-SA"/>
              </w:rPr>
              <w:t>February 1, 2018</w:t>
            </w:r>
          </w:p>
        </w:tc>
        <w:tc>
          <w:tcPr>
            <w:tcW w:w="3457" w:type="dxa"/>
            <w:shd w:val="clear" w:color="auto" w:fill="auto"/>
          </w:tcPr>
          <w:p w14:paraId="6B965A0B" w14:textId="77777777" w:rsidR="007F540C" w:rsidRPr="003D4D89" w:rsidRDefault="003D4D89" w:rsidP="003D4D89">
            <w:pPr>
              <w:pStyle w:val="ListBullet"/>
              <w:numPr>
                <w:ilvl w:val="0"/>
                <w:numId w:val="0"/>
              </w:numPr>
              <w:rPr>
                <w:rFonts w:eastAsia="Calibri"/>
                <w:szCs w:val="18"/>
                <w:lang w:eastAsia="en-US" w:bidi="ar-SA"/>
              </w:rPr>
            </w:pPr>
            <w:r w:rsidRPr="003D4D89">
              <w:rPr>
                <w:rFonts w:eastAsia="Calibri"/>
                <w:szCs w:val="18"/>
                <w:lang w:eastAsia="en-US" w:bidi="ar-SA"/>
              </w:rPr>
              <w:t>Business Description</w:t>
            </w:r>
            <w:r w:rsidRPr="00571974">
              <w:rPr>
                <w:lang w:bidi="ar-SA"/>
              </w:rPr>
              <w:t>—Platinum—Significant Transactions and Restructuring— Disposal of Union Mine and MASA Chrome Company Proprietary Limited</w:t>
            </w:r>
          </w:p>
        </w:tc>
      </w:tr>
      <w:tr w:rsidR="002228B8" w14:paraId="645CE441" w14:textId="77777777" w:rsidTr="003D4D89">
        <w:tc>
          <w:tcPr>
            <w:tcW w:w="2362" w:type="dxa"/>
            <w:shd w:val="clear" w:color="auto" w:fill="auto"/>
          </w:tcPr>
          <w:p w14:paraId="3A8C79A8" w14:textId="77777777" w:rsidR="007F540C" w:rsidRPr="00571974" w:rsidRDefault="007F540C" w:rsidP="003D4D89">
            <w:pPr>
              <w:pStyle w:val="ListBullet"/>
              <w:numPr>
                <w:ilvl w:val="0"/>
                <w:numId w:val="0"/>
              </w:numPr>
              <w:rPr>
                <w:lang w:bidi="ar-SA"/>
              </w:rPr>
            </w:pPr>
          </w:p>
        </w:tc>
        <w:tc>
          <w:tcPr>
            <w:tcW w:w="1738" w:type="dxa"/>
            <w:shd w:val="clear" w:color="auto" w:fill="auto"/>
          </w:tcPr>
          <w:p w14:paraId="3A23ED6A" w14:textId="77777777" w:rsidR="007F540C" w:rsidRPr="00571974" w:rsidRDefault="007F540C" w:rsidP="003D4D89">
            <w:pPr>
              <w:pStyle w:val="ListBullet"/>
              <w:numPr>
                <w:ilvl w:val="0"/>
                <w:numId w:val="0"/>
              </w:numPr>
              <w:rPr>
                <w:lang w:bidi="ar-SA"/>
              </w:rPr>
            </w:pPr>
          </w:p>
        </w:tc>
        <w:tc>
          <w:tcPr>
            <w:tcW w:w="1799" w:type="dxa"/>
            <w:shd w:val="clear" w:color="auto" w:fill="auto"/>
          </w:tcPr>
          <w:p w14:paraId="0F57BBA6" w14:textId="77777777" w:rsidR="007F540C" w:rsidRPr="00571974" w:rsidRDefault="007F540C" w:rsidP="003D4D89">
            <w:pPr>
              <w:pStyle w:val="ListBullet"/>
              <w:numPr>
                <w:ilvl w:val="0"/>
                <w:numId w:val="0"/>
              </w:numPr>
              <w:rPr>
                <w:lang w:bidi="ar-SA"/>
              </w:rPr>
            </w:pPr>
          </w:p>
        </w:tc>
        <w:tc>
          <w:tcPr>
            <w:tcW w:w="3457" w:type="dxa"/>
            <w:shd w:val="clear" w:color="auto" w:fill="auto"/>
          </w:tcPr>
          <w:p w14:paraId="33C6955D" w14:textId="77777777" w:rsidR="007F540C" w:rsidRPr="003D4D89" w:rsidRDefault="007F540C" w:rsidP="003D4D89">
            <w:pPr>
              <w:pStyle w:val="ListBullet"/>
              <w:numPr>
                <w:ilvl w:val="0"/>
                <w:numId w:val="0"/>
              </w:numPr>
              <w:rPr>
                <w:rFonts w:eastAsia="Calibri"/>
                <w:szCs w:val="18"/>
                <w:lang w:eastAsia="en-US" w:bidi="ar-SA"/>
              </w:rPr>
            </w:pPr>
          </w:p>
        </w:tc>
      </w:tr>
      <w:tr w:rsidR="002228B8" w14:paraId="127A7416" w14:textId="77777777" w:rsidTr="003D4D89">
        <w:tc>
          <w:tcPr>
            <w:tcW w:w="2362" w:type="dxa"/>
            <w:shd w:val="clear" w:color="auto" w:fill="auto"/>
          </w:tcPr>
          <w:p w14:paraId="5AAD78CA" w14:textId="77777777" w:rsidR="007F540C" w:rsidRPr="00571974" w:rsidRDefault="003D4D89" w:rsidP="003D4D89">
            <w:pPr>
              <w:pStyle w:val="ListBullet"/>
              <w:numPr>
                <w:ilvl w:val="0"/>
                <w:numId w:val="0"/>
              </w:numPr>
              <w:rPr>
                <w:lang w:bidi="ar-SA"/>
              </w:rPr>
            </w:pPr>
            <w:r w:rsidRPr="003D4D89">
              <w:rPr>
                <w:rFonts w:cs="Times New Roman"/>
                <w:szCs w:val="20"/>
                <w:lang w:bidi="ar-SA"/>
              </w:rPr>
              <w:t>Drayton</w:t>
            </w:r>
          </w:p>
        </w:tc>
        <w:tc>
          <w:tcPr>
            <w:tcW w:w="1738" w:type="dxa"/>
            <w:shd w:val="clear" w:color="auto" w:fill="auto"/>
          </w:tcPr>
          <w:p w14:paraId="4BFFBBCB" w14:textId="77777777" w:rsidR="007F540C" w:rsidRPr="00571974" w:rsidRDefault="003D4D89" w:rsidP="003D4D89">
            <w:pPr>
              <w:pStyle w:val="ListBullet"/>
              <w:numPr>
                <w:ilvl w:val="0"/>
                <w:numId w:val="0"/>
              </w:numPr>
              <w:rPr>
                <w:lang w:bidi="ar-SA"/>
              </w:rPr>
            </w:pPr>
            <w:r w:rsidRPr="003D4D89">
              <w:rPr>
                <w:rFonts w:eastAsia="Calibri"/>
                <w:szCs w:val="18"/>
                <w:lang w:eastAsia="en-US" w:bidi="ar-SA"/>
              </w:rPr>
              <w:t>Coal</w:t>
            </w:r>
          </w:p>
        </w:tc>
        <w:tc>
          <w:tcPr>
            <w:tcW w:w="1799" w:type="dxa"/>
            <w:shd w:val="clear" w:color="auto" w:fill="auto"/>
          </w:tcPr>
          <w:p w14:paraId="2CD42F7E" w14:textId="77777777" w:rsidR="007F540C" w:rsidRPr="00571974" w:rsidRDefault="003D4D89" w:rsidP="003D4D89">
            <w:pPr>
              <w:pStyle w:val="ListBullet"/>
              <w:numPr>
                <w:ilvl w:val="0"/>
                <w:numId w:val="0"/>
              </w:numPr>
              <w:rPr>
                <w:lang w:bidi="ar-SA"/>
              </w:rPr>
            </w:pPr>
            <w:r w:rsidRPr="00571974">
              <w:rPr>
                <w:lang w:bidi="ar-SA"/>
              </w:rPr>
              <w:t>February 26, 2018</w:t>
            </w:r>
          </w:p>
        </w:tc>
        <w:tc>
          <w:tcPr>
            <w:tcW w:w="3457" w:type="dxa"/>
            <w:shd w:val="clear" w:color="auto" w:fill="auto"/>
          </w:tcPr>
          <w:p w14:paraId="632EB8F5" w14:textId="77777777" w:rsidR="007F540C" w:rsidRPr="00571974" w:rsidRDefault="003D4D89" w:rsidP="003D4D89">
            <w:pPr>
              <w:pStyle w:val="ListBullet"/>
              <w:numPr>
                <w:ilvl w:val="0"/>
                <w:numId w:val="0"/>
              </w:numPr>
              <w:rPr>
                <w:lang w:bidi="ar-SA"/>
              </w:rPr>
            </w:pPr>
            <w:r w:rsidRPr="003D4D89">
              <w:rPr>
                <w:rFonts w:eastAsia="Calibri"/>
                <w:szCs w:val="18"/>
                <w:lang w:eastAsia="en-US" w:bidi="ar-SA"/>
              </w:rPr>
              <w:t>Business Description</w:t>
            </w:r>
            <w:r w:rsidRPr="00571974">
              <w:rPr>
                <w:lang w:bidi="ar-SA"/>
              </w:rPr>
              <w:t>—Coal—Significant Transactions and Restructuring—Disposal of Drayton mine</w:t>
            </w:r>
          </w:p>
        </w:tc>
      </w:tr>
      <w:tr w:rsidR="002228B8" w14:paraId="28A3ACB6" w14:textId="77777777" w:rsidTr="003D4D89">
        <w:tc>
          <w:tcPr>
            <w:tcW w:w="2362" w:type="dxa"/>
            <w:shd w:val="clear" w:color="auto" w:fill="auto"/>
          </w:tcPr>
          <w:p w14:paraId="7EC424BD" w14:textId="77777777" w:rsidR="007F540C" w:rsidRPr="00571974" w:rsidRDefault="003D4D89" w:rsidP="003D4D89">
            <w:pPr>
              <w:pStyle w:val="ListBullet"/>
              <w:numPr>
                <w:ilvl w:val="0"/>
                <w:numId w:val="0"/>
              </w:numPr>
              <w:rPr>
                <w:lang w:bidi="ar-SA"/>
              </w:rPr>
            </w:pPr>
            <w:r w:rsidRPr="003D4D89">
              <w:rPr>
                <w:rFonts w:cs="Times New Roman"/>
                <w:szCs w:val="20"/>
                <w:lang w:bidi="ar-SA"/>
              </w:rPr>
              <w:t>Eskom-tied domestic coal operations</w:t>
            </w:r>
          </w:p>
        </w:tc>
        <w:tc>
          <w:tcPr>
            <w:tcW w:w="1738" w:type="dxa"/>
            <w:shd w:val="clear" w:color="auto" w:fill="auto"/>
          </w:tcPr>
          <w:p w14:paraId="45C26211" w14:textId="77777777" w:rsidR="007F540C" w:rsidRPr="00571974" w:rsidRDefault="003D4D89" w:rsidP="003D4D89">
            <w:pPr>
              <w:pStyle w:val="ListBullet"/>
              <w:numPr>
                <w:ilvl w:val="0"/>
                <w:numId w:val="0"/>
              </w:numPr>
              <w:rPr>
                <w:lang w:bidi="ar-SA"/>
              </w:rPr>
            </w:pPr>
            <w:r w:rsidRPr="003D4D89">
              <w:rPr>
                <w:rFonts w:eastAsia="Calibri"/>
                <w:szCs w:val="18"/>
                <w:lang w:eastAsia="en-US" w:bidi="ar-SA"/>
              </w:rPr>
              <w:t>Coal</w:t>
            </w:r>
          </w:p>
        </w:tc>
        <w:tc>
          <w:tcPr>
            <w:tcW w:w="1799" w:type="dxa"/>
            <w:shd w:val="clear" w:color="auto" w:fill="auto"/>
          </w:tcPr>
          <w:p w14:paraId="4D39064F" w14:textId="77777777" w:rsidR="007F540C" w:rsidRPr="00571974" w:rsidRDefault="003D4D89" w:rsidP="003D4D89">
            <w:pPr>
              <w:pStyle w:val="ListBullet"/>
              <w:numPr>
                <w:ilvl w:val="0"/>
                <w:numId w:val="0"/>
              </w:numPr>
              <w:rPr>
                <w:lang w:bidi="ar-SA"/>
              </w:rPr>
            </w:pPr>
            <w:r w:rsidRPr="00571974">
              <w:rPr>
                <w:lang w:bidi="ar-SA"/>
              </w:rPr>
              <w:t>March 1, 2018</w:t>
            </w:r>
          </w:p>
        </w:tc>
        <w:tc>
          <w:tcPr>
            <w:tcW w:w="3457" w:type="dxa"/>
            <w:shd w:val="clear" w:color="auto" w:fill="auto"/>
          </w:tcPr>
          <w:p w14:paraId="5D565628" w14:textId="54342F78" w:rsidR="00203CE1" w:rsidRPr="003D4D89" w:rsidRDefault="003D4D89" w:rsidP="003D4D89">
            <w:pPr>
              <w:pStyle w:val="ListBullet"/>
              <w:numPr>
                <w:ilvl w:val="0"/>
                <w:numId w:val="0"/>
              </w:numPr>
              <w:rPr>
                <w:rFonts w:eastAsia="Calibri"/>
                <w:szCs w:val="18"/>
                <w:lang w:eastAsia="en-US" w:bidi="ar-SA"/>
              </w:rPr>
            </w:pPr>
            <w:r w:rsidRPr="003D4D89">
              <w:rPr>
                <w:rFonts w:eastAsia="Calibri"/>
                <w:szCs w:val="18"/>
                <w:lang w:eastAsia="en-US" w:bidi="ar-SA"/>
              </w:rPr>
              <w:t>Business Description—Coal—Significant Transactions and Restructuring—Disposal of Eskom-tied domestic thermal coal operations</w:t>
            </w:r>
          </w:p>
          <w:p w14:paraId="52AF42D4" w14:textId="77777777" w:rsidR="007F540C" w:rsidRPr="003D4D89" w:rsidRDefault="007F540C" w:rsidP="003D4D89">
            <w:pPr>
              <w:pStyle w:val="ListBullet"/>
              <w:numPr>
                <w:ilvl w:val="0"/>
                <w:numId w:val="0"/>
              </w:numPr>
              <w:rPr>
                <w:rFonts w:eastAsia="Calibri"/>
                <w:szCs w:val="18"/>
                <w:lang w:eastAsia="en-US" w:bidi="ar-SA"/>
              </w:rPr>
            </w:pPr>
          </w:p>
        </w:tc>
      </w:tr>
      <w:tr w:rsidR="00203CE1" w:rsidRPr="00571974" w14:paraId="307844C7" w14:textId="77777777" w:rsidTr="008151C7">
        <w:tc>
          <w:tcPr>
            <w:tcW w:w="2362" w:type="dxa"/>
            <w:shd w:val="clear" w:color="auto" w:fill="auto"/>
          </w:tcPr>
          <w:p w14:paraId="5589F94E" w14:textId="77777777" w:rsidR="00203CE1" w:rsidRPr="00571974" w:rsidRDefault="00203CE1" w:rsidP="008151C7">
            <w:pPr>
              <w:pStyle w:val="ListBullet"/>
              <w:numPr>
                <w:ilvl w:val="0"/>
                <w:numId w:val="0"/>
              </w:numPr>
              <w:rPr>
                <w:lang w:bidi="ar-SA"/>
              </w:rPr>
            </w:pPr>
            <w:r w:rsidRPr="003D4D89">
              <w:rPr>
                <w:rFonts w:cs="Times New Roman"/>
                <w:szCs w:val="20"/>
                <w:lang w:bidi="ar-SA"/>
              </w:rPr>
              <w:t>Royal Bafokeng Platinum</w:t>
            </w:r>
          </w:p>
        </w:tc>
        <w:tc>
          <w:tcPr>
            <w:tcW w:w="1738" w:type="dxa"/>
            <w:shd w:val="clear" w:color="auto" w:fill="auto"/>
          </w:tcPr>
          <w:p w14:paraId="292E1701" w14:textId="77777777" w:rsidR="00203CE1" w:rsidRPr="003D4D89" w:rsidRDefault="00203CE1" w:rsidP="008151C7">
            <w:pPr>
              <w:pStyle w:val="ListBullet"/>
              <w:numPr>
                <w:ilvl w:val="0"/>
                <w:numId w:val="0"/>
              </w:numPr>
              <w:rPr>
                <w:rFonts w:eastAsia="Calibri"/>
                <w:szCs w:val="18"/>
                <w:lang w:eastAsia="en-US" w:bidi="ar-SA"/>
              </w:rPr>
            </w:pPr>
            <w:r w:rsidRPr="003D4D89">
              <w:rPr>
                <w:rFonts w:eastAsia="Calibri"/>
                <w:szCs w:val="18"/>
                <w:lang w:eastAsia="en-US" w:bidi="ar-SA"/>
              </w:rPr>
              <w:t>Platinum</w:t>
            </w:r>
          </w:p>
        </w:tc>
        <w:tc>
          <w:tcPr>
            <w:tcW w:w="1799" w:type="dxa"/>
            <w:shd w:val="clear" w:color="auto" w:fill="auto"/>
          </w:tcPr>
          <w:p w14:paraId="683549E4" w14:textId="77777777" w:rsidR="00203CE1" w:rsidRPr="00571974" w:rsidRDefault="00203CE1" w:rsidP="008151C7">
            <w:pPr>
              <w:pStyle w:val="ListBullet"/>
              <w:numPr>
                <w:ilvl w:val="0"/>
                <w:numId w:val="0"/>
              </w:numPr>
              <w:rPr>
                <w:lang w:bidi="ar-SA"/>
              </w:rPr>
            </w:pPr>
            <w:r>
              <w:rPr>
                <w:lang w:bidi="ar-SA"/>
              </w:rPr>
              <w:t>April 24</w:t>
            </w:r>
            <w:r w:rsidRPr="00571974">
              <w:rPr>
                <w:lang w:bidi="ar-SA"/>
              </w:rPr>
              <w:t>, 2018</w:t>
            </w:r>
          </w:p>
        </w:tc>
        <w:tc>
          <w:tcPr>
            <w:tcW w:w="3457" w:type="dxa"/>
            <w:shd w:val="clear" w:color="auto" w:fill="auto"/>
          </w:tcPr>
          <w:p w14:paraId="5F60A96F" w14:textId="77777777" w:rsidR="00203CE1" w:rsidRPr="003D4D89" w:rsidRDefault="00203CE1" w:rsidP="008151C7">
            <w:pPr>
              <w:widowControl/>
              <w:rPr>
                <w:rFonts w:eastAsia="Calibri" w:cs="Mangal"/>
                <w:szCs w:val="18"/>
                <w:lang w:val="en-GB" w:eastAsia="en-US" w:bidi="ar-SA"/>
              </w:rPr>
            </w:pPr>
            <w:r w:rsidRPr="003D4D89">
              <w:rPr>
                <w:rFonts w:eastAsia="Calibri" w:cs="Mangal"/>
                <w:szCs w:val="18"/>
                <w:lang w:val="en-GB" w:eastAsia="en-US" w:bidi="ar-SA"/>
              </w:rPr>
              <w:t>Business Description—Platinum—Significant Transactions and Restructuring— Disposal of 11% interest in Royal Bafokeng Platinum</w:t>
            </w:r>
          </w:p>
          <w:p w14:paraId="1A50FFF6" w14:textId="77777777" w:rsidR="00203CE1" w:rsidRPr="00571974" w:rsidRDefault="00203CE1" w:rsidP="008151C7">
            <w:pPr>
              <w:pStyle w:val="ListBullet"/>
              <w:numPr>
                <w:ilvl w:val="0"/>
                <w:numId w:val="0"/>
              </w:numPr>
              <w:rPr>
                <w:lang w:bidi="ar-SA"/>
              </w:rPr>
            </w:pPr>
          </w:p>
        </w:tc>
      </w:tr>
      <w:tr w:rsidR="00203CE1" w14:paraId="6174B67E" w14:textId="77777777" w:rsidTr="003D4D89">
        <w:tc>
          <w:tcPr>
            <w:tcW w:w="2362" w:type="dxa"/>
            <w:shd w:val="clear" w:color="auto" w:fill="auto"/>
          </w:tcPr>
          <w:p w14:paraId="6FC3C780" w14:textId="58BD4889" w:rsidR="00203CE1" w:rsidRPr="003D4D89" w:rsidRDefault="00203CE1" w:rsidP="00203CE1">
            <w:pPr>
              <w:pStyle w:val="ListBullet"/>
              <w:numPr>
                <w:ilvl w:val="0"/>
                <w:numId w:val="0"/>
              </w:numPr>
              <w:rPr>
                <w:rFonts w:cs="Times New Roman"/>
                <w:szCs w:val="20"/>
                <w:lang w:bidi="ar-SA"/>
              </w:rPr>
            </w:pPr>
            <w:r w:rsidRPr="003D4D89">
              <w:rPr>
                <w:rFonts w:cs="Times New Roman"/>
                <w:szCs w:val="20"/>
                <w:lang w:bidi="ar-SA"/>
              </w:rPr>
              <w:t xml:space="preserve">Bafokeng Rasimone </w:t>
            </w:r>
          </w:p>
        </w:tc>
        <w:tc>
          <w:tcPr>
            <w:tcW w:w="1738" w:type="dxa"/>
            <w:shd w:val="clear" w:color="auto" w:fill="auto"/>
          </w:tcPr>
          <w:p w14:paraId="44C95A02" w14:textId="709495D2" w:rsidR="00203CE1" w:rsidRPr="003D4D89" w:rsidRDefault="00203CE1" w:rsidP="00203CE1">
            <w:pPr>
              <w:pStyle w:val="ListBullet"/>
              <w:numPr>
                <w:ilvl w:val="0"/>
                <w:numId w:val="0"/>
              </w:numPr>
              <w:rPr>
                <w:rFonts w:eastAsia="Calibri"/>
                <w:szCs w:val="18"/>
                <w:lang w:eastAsia="en-US" w:bidi="ar-SA"/>
              </w:rPr>
            </w:pPr>
            <w:r w:rsidRPr="003D4D89">
              <w:rPr>
                <w:rFonts w:eastAsia="Calibri"/>
                <w:szCs w:val="18"/>
                <w:lang w:eastAsia="en-US" w:bidi="ar-SA"/>
              </w:rPr>
              <w:t>Platinum</w:t>
            </w:r>
          </w:p>
        </w:tc>
        <w:tc>
          <w:tcPr>
            <w:tcW w:w="1799" w:type="dxa"/>
            <w:shd w:val="clear" w:color="auto" w:fill="auto"/>
          </w:tcPr>
          <w:p w14:paraId="7B8ED6C4" w14:textId="55AC72D6" w:rsidR="00203CE1" w:rsidRPr="00571974" w:rsidRDefault="00203CE1" w:rsidP="00203CE1">
            <w:pPr>
              <w:pStyle w:val="ListBullet"/>
              <w:numPr>
                <w:ilvl w:val="0"/>
                <w:numId w:val="0"/>
              </w:numPr>
              <w:rPr>
                <w:lang w:bidi="ar-SA"/>
              </w:rPr>
            </w:pPr>
            <w:r>
              <w:rPr>
                <w:lang w:bidi="ar-SA"/>
              </w:rPr>
              <w:t>July 5</w:t>
            </w:r>
            <w:r w:rsidRPr="00571974">
              <w:rPr>
                <w:lang w:bidi="ar-SA"/>
              </w:rPr>
              <w:t>, 2018</w:t>
            </w:r>
          </w:p>
        </w:tc>
        <w:tc>
          <w:tcPr>
            <w:tcW w:w="3457" w:type="dxa"/>
            <w:shd w:val="clear" w:color="auto" w:fill="auto"/>
          </w:tcPr>
          <w:p w14:paraId="31D20774" w14:textId="41BB7E2C" w:rsidR="00203CE1" w:rsidRPr="003D4D89" w:rsidRDefault="00203CE1" w:rsidP="00203CE1">
            <w:pPr>
              <w:pStyle w:val="ListBullet"/>
              <w:numPr>
                <w:ilvl w:val="0"/>
                <w:numId w:val="0"/>
              </w:numPr>
              <w:rPr>
                <w:rFonts w:eastAsia="Calibri"/>
                <w:szCs w:val="18"/>
                <w:lang w:eastAsia="en-US" w:bidi="ar-SA"/>
              </w:rPr>
            </w:pPr>
            <w:r w:rsidRPr="003D4D89">
              <w:rPr>
                <w:rFonts w:eastAsia="Calibri"/>
                <w:szCs w:val="18"/>
                <w:lang w:eastAsia="en-US" w:bidi="ar-SA"/>
              </w:rPr>
              <w:t>Business Description</w:t>
            </w:r>
            <w:r w:rsidRPr="00571974">
              <w:rPr>
                <w:lang w:bidi="ar-SA"/>
              </w:rPr>
              <w:t xml:space="preserve">—Platinum—Significant Transactions and Restructuring—Bafokeng Rasimone </w:t>
            </w:r>
            <w:r>
              <w:rPr>
                <w:lang w:bidi="ar-SA"/>
              </w:rPr>
              <w:t>disposal</w:t>
            </w:r>
          </w:p>
        </w:tc>
      </w:tr>
      <w:tr w:rsidR="00203CE1" w14:paraId="12C96DD5" w14:textId="77777777" w:rsidTr="003D4D89">
        <w:tc>
          <w:tcPr>
            <w:tcW w:w="2362" w:type="dxa"/>
            <w:shd w:val="clear" w:color="auto" w:fill="auto"/>
          </w:tcPr>
          <w:p w14:paraId="2A2598F6" w14:textId="77777777" w:rsidR="00203CE1" w:rsidRPr="003D4D89" w:rsidRDefault="00203CE1" w:rsidP="00203CE1">
            <w:pPr>
              <w:pStyle w:val="ListBullet"/>
              <w:numPr>
                <w:ilvl w:val="0"/>
                <w:numId w:val="0"/>
              </w:numPr>
              <w:rPr>
                <w:rFonts w:cs="Times New Roman"/>
                <w:szCs w:val="20"/>
                <w:lang w:bidi="ar-SA"/>
              </w:rPr>
            </w:pPr>
            <w:r w:rsidRPr="003D4D89">
              <w:rPr>
                <w:rFonts w:cs="Times New Roman"/>
                <w:szCs w:val="20"/>
                <w:lang w:bidi="ar-SA"/>
              </w:rPr>
              <w:t>New Largo</w:t>
            </w:r>
          </w:p>
        </w:tc>
        <w:tc>
          <w:tcPr>
            <w:tcW w:w="1738" w:type="dxa"/>
            <w:shd w:val="clear" w:color="auto" w:fill="auto"/>
          </w:tcPr>
          <w:p w14:paraId="7F69DCD8" w14:textId="77777777" w:rsidR="00203CE1" w:rsidRPr="003D4D89" w:rsidRDefault="00203CE1" w:rsidP="00203CE1">
            <w:pPr>
              <w:pStyle w:val="ListBullet"/>
              <w:numPr>
                <w:ilvl w:val="0"/>
                <w:numId w:val="0"/>
              </w:numPr>
              <w:rPr>
                <w:rFonts w:eastAsia="Calibri"/>
                <w:szCs w:val="18"/>
                <w:lang w:eastAsia="en-US" w:bidi="ar-SA"/>
              </w:rPr>
            </w:pPr>
            <w:r w:rsidRPr="003D4D89">
              <w:rPr>
                <w:rFonts w:eastAsia="Calibri"/>
                <w:szCs w:val="18"/>
                <w:lang w:eastAsia="en-US" w:bidi="ar-SA"/>
              </w:rPr>
              <w:t>Coal</w:t>
            </w:r>
          </w:p>
        </w:tc>
        <w:tc>
          <w:tcPr>
            <w:tcW w:w="1799" w:type="dxa"/>
            <w:shd w:val="clear" w:color="auto" w:fill="auto"/>
          </w:tcPr>
          <w:p w14:paraId="1B4A559D" w14:textId="77777777" w:rsidR="00203CE1" w:rsidRPr="00571974" w:rsidRDefault="00203CE1" w:rsidP="00203CE1">
            <w:pPr>
              <w:pStyle w:val="ListBullet"/>
              <w:numPr>
                <w:ilvl w:val="0"/>
                <w:numId w:val="0"/>
              </w:numPr>
              <w:rPr>
                <w:lang w:bidi="ar-SA"/>
              </w:rPr>
            </w:pPr>
            <w:r w:rsidRPr="00571974">
              <w:rPr>
                <w:lang w:bidi="ar-SA"/>
              </w:rPr>
              <w:t>August 1, 2018</w:t>
            </w:r>
          </w:p>
        </w:tc>
        <w:tc>
          <w:tcPr>
            <w:tcW w:w="3457" w:type="dxa"/>
            <w:shd w:val="clear" w:color="auto" w:fill="auto"/>
          </w:tcPr>
          <w:p w14:paraId="0DC3275A" w14:textId="77777777" w:rsidR="00203CE1" w:rsidRPr="003D4D89" w:rsidRDefault="00203CE1" w:rsidP="00203CE1">
            <w:pPr>
              <w:pStyle w:val="ListBullet"/>
              <w:numPr>
                <w:ilvl w:val="0"/>
                <w:numId w:val="0"/>
              </w:numPr>
              <w:rPr>
                <w:rFonts w:eastAsia="Calibri"/>
                <w:szCs w:val="18"/>
                <w:lang w:eastAsia="en-US" w:bidi="ar-SA"/>
              </w:rPr>
            </w:pPr>
            <w:r w:rsidRPr="003D4D89">
              <w:rPr>
                <w:rFonts w:eastAsia="Calibri"/>
                <w:szCs w:val="18"/>
                <w:lang w:eastAsia="en-US" w:bidi="ar-SA"/>
              </w:rPr>
              <w:t>Business Description—Coal—Significant Transactions and Restructuring—Disposal New Largo</w:t>
            </w:r>
          </w:p>
        </w:tc>
      </w:tr>
      <w:tr w:rsidR="00203CE1" w14:paraId="3018C072" w14:textId="77777777" w:rsidTr="003D4D89">
        <w:tc>
          <w:tcPr>
            <w:tcW w:w="2362" w:type="dxa"/>
            <w:shd w:val="clear" w:color="auto" w:fill="auto"/>
          </w:tcPr>
          <w:p w14:paraId="54873874" w14:textId="77777777" w:rsidR="00203CE1" w:rsidRPr="00571974" w:rsidRDefault="00203CE1" w:rsidP="00203CE1">
            <w:pPr>
              <w:pStyle w:val="ListBullet"/>
              <w:numPr>
                <w:ilvl w:val="0"/>
                <w:numId w:val="0"/>
              </w:numPr>
              <w:rPr>
                <w:lang w:bidi="ar-SA"/>
              </w:rPr>
            </w:pPr>
            <w:r w:rsidRPr="003D4D89">
              <w:rPr>
                <w:rFonts w:cs="Times New Roman"/>
                <w:szCs w:val="20"/>
                <w:lang w:bidi="ar-SA"/>
              </w:rPr>
              <w:t>Thabazimbi Mine</w:t>
            </w:r>
          </w:p>
        </w:tc>
        <w:tc>
          <w:tcPr>
            <w:tcW w:w="1738" w:type="dxa"/>
            <w:shd w:val="clear" w:color="auto" w:fill="auto"/>
          </w:tcPr>
          <w:p w14:paraId="628D9D32" w14:textId="77777777" w:rsidR="00203CE1" w:rsidRPr="00571974" w:rsidRDefault="00203CE1" w:rsidP="00203CE1">
            <w:pPr>
              <w:pStyle w:val="ListBullet"/>
              <w:numPr>
                <w:ilvl w:val="0"/>
                <w:numId w:val="0"/>
              </w:numPr>
              <w:rPr>
                <w:lang w:bidi="ar-SA"/>
              </w:rPr>
            </w:pPr>
            <w:r w:rsidRPr="003D4D89">
              <w:rPr>
                <w:rFonts w:eastAsia="Calibri"/>
                <w:szCs w:val="18"/>
                <w:lang w:eastAsia="en-US" w:bidi="ar-SA"/>
              </w:rPr>
              <w:t>Iron Ore</w:t>
            </w:r>
          </w:p>
        </w:tc>
        <w:tc>
          <w:tcPr>
            <w:tcW w:w="1799" w:type="dxa"/>
            <w:shd w:val="clear" w:color="auto" w:fill="auto"/>
          </w:tcPr>
          <w:p w14:paraId="6DD465F2" w14:textId="77777777" w:rsidR="00203CE1" w:rsidRPr="00571974" w:rsidRDefault="00203CE1" w:rsidP="00203CE1">
            <w:pPr>
              <w:pStyle w:val="ListBullet"/>
              <w:numPr>
                <w:ilvl w:val="0"/>
                <w:numId w:val="0"/>
              </w:numPr>
              <w:rPr>
                <w:lang w:bidi="ar-SA"/>
              </w:rPr>
            </w:pPr>
            <w:r w:rsidRPr="00571974">
              <w:rPr>
                <w:lang w:bidi="ar-SA"/>
              </w:rPr>
              <w:t>November 1, 2018</w:t>
            </w:r>
          </w:p>
        </w:tc>
        <w:tc>
          <w:tcPr>
            <w:tcW w:w="3457" w:type="dxa"/>
            <w:shd w:val="clear" w:color="auto" w:fill="auto"/>
          </w:tcPr>
          <w:p w14:paraId="0857EC81" w14:textId="77777777" w:rsidR="00203CE1" w:rsidRPr="00571974" w:rsidRDefault="00203CE1" w:rsidP="00203CE1">
            <w:pPr>
              <w:pStyle w:val="ListBullet"/>
              <w:numPr>
                <w:ilvl w:val="0"/>
                <w:numId w:val="0"/>
              </w:numPr>
              <w:rPr>
                <w:lang w:bidi="ar-SA"/>
              </w:rPr>
            </w:pPr>
            <w:r w:rsidRPr="003D4D89">
              <w:rPr>
                <w:rFonts w:eastAsia="Calibri"/>
                <w:szCs w:val="18"/>
                <w:lang w:eastAsia="en-US" w:bidi="ar-SA"/>
              </w:rPr>
              <w:t>Business Description—Iron Ore—Significant Transactions and Restructuring—Disposal of Thabazimbi Mine</w:t>
            </w:r>
          </w:p>
        </w:tc>
      </w:tr>
      <w:tr w:rsidR="00203CE1" w14:paraId="69D60669" w14:textId="77777777" w:rsidTr="003D4D89">
        <w:tc>
          <w:tcPr>
            <w:tcW w:w="2362" w:type="dxa"/>
            <w:shd w:val="clear" w:color="auto" w:fill="auto"/>
          </w:tcPr>
          <w:p w14:paraId="409B9601" w14:textId="106AC999" w:rsidR="00203CE1" w:rsidRPr="00571974" w:rsidRDefault="00203CE1" w:rsidP="00203CE1">
            <w:pPr>
              <w:pStyle w:val="ListBullet"/>
              <w:numPr>
                <w:ilvl w:val="0"/>
                <w:numId w:val="0"/>
              </w:numPr>
              <w:rPr>
                <w:lang w:bidi="ar-SA"/>
              </w:rPr>
            </w:pPr>
          </w:p>
        </w:tc>
        <w:tc>
          <w:tcPr>
            <w:tcW w:w="1738" w:type="dxa"/>
            <w:shd w:val="clear" w:color="auto" w:fill="auto"/>
          </w:tcPr>
          <w:p w14:paraId="2BD66DDF" w14:textId="6BC4B75D" w:rsidR="00203CE1" w:rsidRPr="00571974" w:rsidRDefault="00203CE1" w:rsidP="00203CE1">
            <w:pPr>
              <w:pStyle w:val="ListBullet"/>
              <w:numPr>
                <w:ilvl w:val="0"/>
                <w:numId w:val="0"/>
              </w:numPr>
              <w:rPr>
                <w:lang w:bidi="ar-SA"/>
              </w:rPr>
            </w:pPr>
          </w:p>
        </w:tc>
        <w:tc>
          <w:tcPr>
            <w:tcW w:w="1799" w:type="dxa"/>
            <w:shd w:val="clear" w:color="auto" w:fill="auto"/>
          </w:tcPr>
          <w:p w14:paraId="5C41BEC1" w14:textId="74BB613E" w:rsidR="00203CE1" w:rsidRPr="00571974" w:rsidRDefault="00203CE1" w:rsidP="00203CE1">
            <w:pPr>
              <w:pStyle w:val="ListBullet"/>
              <w:numPr>
                <w:ilvl w:val="0"/>
                <w:numId w:val="0"/>
              </w:numPr>
              <w:rPr>
                <w:lang w:bidi="ar-SA"/>
              </w:rPr>
            </w:pPr>
          </w:p>
        </w:tc>
        <w:tc>
          <w:tcPr>
            <w:tcW w:w="3457" w:type="dxa"/>
            <w:shd w:val="clear" w:color="auto" w:fill="auto"/>
          </w:tcPr>
          <w:p w14:paraId="613FDB89" w14:textId="4C64FAF6" w:rsidR="00203CE1" w:rsidRPr="003D4D89" w:rsidRDefault="00203CE1" w:rsidP="00203CE1">
            <w:pPr>
              <w:pStyle w:val="ListBullet"/>
              <w:numPr>
                <w:ilvl w:val="0"/>
                <w:numId w:val="0"/>
              </w:numPr>
              <w:rPr>
                <w:rFonts w:eastAsia="Calibri"/>
                <w:szCs w:val="18"/>
                <w:lang w:eastAsia="en-US" w:bidi="ar-SA"/>
              </w:rPr>
            </w:pPr>
          </w:p>
        </w:tc>
      </w:tr>
      <w:tr w:rsidR="00203CE1" w14:paraId="0EDE742C" w14:textId="77777777" w:rsidTr="003D4D89">
        <w:tc>
          <w:tcPr>
            <w:tcW w:w="2362" w:type="dxa"/>
            <w:shd w:val="clear" w:color="auto" w:fill="auto"/>
          </w:tcPr>
          <w:p w14:paraId="52C0DCB6" w14:textId="58FC914C" w:rsidR="00203CE1" w:rsidRPr="00571974" w:rsidRDefault="00203CE1" w:rsidP="00203CE1">
            <w:pPr>
              <w:pStyle w:val="ListBullet"/>
              <w:numPr>
                <w:ilvl w:val="0"/>
                <w:numId w:val="0"/>
              </w:numPr>
              <w:rPr>
                <w:lang w:bidi="ar-SA"/>
              </w:rPr>
            </w:pPr>
          </w:p>
        </w:tc>
        <w:tc>
          <w:tcPr>
            <w:tcW w:w="1738" w:type="dxa"/>
            <w:shd w:val="clear" w:color="auto" w:fill="auto"/>
          </w:tcPr>
          <w:p w14:paraId="4BE0018A" w14:textId="6C5EF9F5" w:rsidR="00203CE1" w:rsidRPr="003D4D89" w:rsidRDefault="00203CE1" w:rsidP="00203CE1">
            <w:pPr>
              <w:pStyle w:val="ListBullet"/>
              <w:numPr>
                <w:ilvl w:val="0"/>
                <w:numId w:val="0"/>
              </w:numPr>
              <w:rPr>
                <w:rFonts w:eastAsia="Calibri"/>
                <w:szCs w:val="18"/>
                <w:lang w:eastAsia="en-US" w:bidi="ar-SA"/>
              </w:rPr>
            </w:pPr>
          </w:p>
        </w:tc>
        <w:tc>
          <w:tcPr>
            <w:tcW w:w="1799" w:type="dxa"/>
            <w:shd w:val="clear" w:color="auto" w:fill="auto"/>
          </w:tcPr>
          <w:p w14:paraId="6BA7F9A6" w14:textId="12A814AF" w:rsidR="00203CE1" w:rsidRPr="00571974" w:rsidRDefault="00203CE1" w:rsidP="00203CE1">
            <w:pPr>
              <w:pStyle w:val="ListBullet"/>
              <w:numPr>
                <w:ilvl w:val="0"/>
                <w:numId w:val="0"/>
              </w:numPr>
              <w:rPr>
                <w:lang w:bidi="ar-SA"/>
              </w:rPr>
            </w:pPr>
          </w:p>
        </w:tc>
        <w:tc>
          <w:tcPr>
            <w:tcW w:w="3457" w:type="dxa"/>
            <w:shd w:val="clear" w:color="auto" w:fill="auto"/>
          </w:tcPr>
          <w:p w14:paraId="67645359" w14:textId="77777777" w:rsidR="00203CE1" w:rsidRPr="00571974" w:rsidRDefault="00203CE1" w:rsidP="00203CE1">
            <w:pPr>
              <w:pStyle w:val="ListBullet"/>
              <w:numPr>
                <w:ilvl w:val="0"/>
                <w:numId w:val="0"/>
              </w:numPr>
              <w:rPr>
                <w:lang w:bidi="ar-SA"/>
              </w:rPr>
            </w:pPr>
          </w:p>
        </w:tc>
      </w:tr>
      <w:tr w:rsidR="00203CE1" w14:paraId="47B61D88" w14:textId="77777777" w:rsidTr="003D4D89">
        <w:tc>
          <w:tcPr>
            <w:tcW w:w="2362" w:type="dxa"/>
            <w:shd w:val="clear" w:color="auto" w:fill="auto"/>
          </w:tcPr>
          <w:p w14:paraId="071B729C" w14:textId="77777777" w:rsidR="00203CE1" w:rsidRPr="003D4D89" w:rsidRDefault="00203CE1" w:rsidP="00203CE1">
            <w:pPr>
              <w:pStyle w:val="ListBullet"/>
              <w:numPr>
                <w:ilvl w:val="0"/>
                <w:numId w:val="0"/>
              </w:numPr>
              <w:rPr>
                <w:rFonts w:cs="Times New Roman"/>
                <w:szCs w:val="20"/>
                <w:lang w:bidi="ar-SA"/>
              </w:rPr>
            </w:pPr>
          </w:p>
        </w:tc>
        <w:tc>
          <w:tcPr>
            <w:tcW w:w="1738" w:type="dxa"/>
            <w:shd w:val="clear" w:color="auto" w:fill="auto"/>
          </w:tcPr>
          <w:p w14:paraId="43088E1C" w14:textId="77777777" w:rsidR="00203CE1" w:rsidRPr="003D4D89" w:rsidRDefault="00203CE1" w:rsidP="00203CE1">
            <w:pPr>
              <w:pStyle w:val="ListBullet"/>
              <w:numPr>
                <w:ilvl w:val="0"/>
                <w:numId w:val="0"/>
              </w:numPr>
              <w:rPr>
                <w:rFonts w:eastAsia="Calibri"/>
                <w:szCs w:val="18"/>
                <w:lang w:eastAsia="en-US" w:bidi="ar-SA"/>
              </w:rPr>
            </w:pPr>
          </w:p>
        </w:tc>
        <w:tc>
          <w:tcPr>
            <w:tcW w:w="1799" w:type="dxa"/>
            <w:shd w:val="clear" w:color="auto" w:fill="auto"/>
          </w:tcPr>
          <w:p w14:paraId="3A408DEE" w14:textId="77777777" w:rsidR="00203CE1" w:rsidRPr="00571974" w:rsidRDefault="00203CE1" w:rsidP="00203CE1">
            <w:pPr>
              <w:pStyle w:val="ListBullet"/>
              <w:numPr>
                <w:ilvl w:val="0"/>
                <w:numId w:val="0"/>
              </w:numPr>
              <w:rPr>
                <w:lang w:bidi="ar-SA"/>
              </w:rPr>
            </w:pPr>
          </w:p>
        </w:tc>
        <w:tc>
          <w:tcPr>
            <w:tcW w:w="3457" w:type="dxa"/>
            <w:shd w:val="clear" w:color="auto" w:fill="auto"/>
          </w:tcPr>
          <w:p w14:paraId="5991C16B" w14:textId="77777777" w:rsidR="00203CE1" w:rsidRPr="00571974" w:rsidRDefault="00203CE1" w:rsidP="00203CE1">
            <w:pPr>
              <w:pStyle w:val="ListBullet"/>
              <w:numPr>
                <w:ilvl w:val="0"/>
                <w:numId w:val="0"/>
              </w:numPr>
              <w:rPr>
                <w:lang w:bidi="ar-SA"/>
              </w:rPr>
            </w:pPr>
          </w:p>
        </w:tc>
      </w:tr>
      <w:tr w:rsidR="00203CE1" w14:paraId="7B535D42" w14:textId="77777777" w:rsidTr="003D4D89">
        <w:tc>
          <w:tcPr>
            <w:tcW w:w="2362" w:type="dxa"/>
            <w:shd w:val="clear" w:color="auto" w:fill="auto"/>
          </w:tcPr>
          <w:p w14:paraId="3097C752" w14:textId="77777777" w:rsidR="00203CE1" w:rsidRPr="003D4D89" w:rsidRDefault="00203CE1" w:rsidP="00203CE1">
            <w:pPr>
              <w:pStyle w:val="ListBullet"/>
              <w:numPr>
                <w:ilvl w:val="0"/>
                <w:numId w:val="0"/>
              </w:numPr>
              <w:rPr>
                <w:rFonts w:cs="Times New Roman"/>
                <w:szCs w:val="20"/>
                <w:lang w:bidi="ar-SA"/>
              </w:rPr>
            </w:pPr>
          </w:p>
        </w:tc>
        <w:tc>
          <w:tcPr>
            <w:tcW w:w="1738" w:type="dxa"/>
            <w:shd w:val="clear" w:color="auto" w:fill="auto"/>
          </w:tcPr>
          <w:p w14:paraId="49C65142" w14:textId="77777777" w:rsidR="00203CE1" w:rsidRPr="003D4D89" w:rsidRDefault="00203CE1" w:rsidP="00203CE1">
            <w:pPr>
              <w:pStyle w:val="ListBullet"/>
              <w:numPr>
                <w:ilvl w:val="0"/>
                <w:numId w:val="0"/>
              </w:numPr>
              <w:rPr>
                <w:rFonts w:eastAsia="Calibri"/>
                <w:szCs w:val="18"/>
                <w:lang w:eastAsia="en-US" w:bidi="ar-SA"/>
              </w:rPr>
            </w:pPr>
          </w:p>
        </w:tc>
        <w:tc>
          <w:tcPr>
            <w:tcW w:w="1799" w:type="dxa"/>
            <w:shd w:val="clear" w:color="auto" w:fill="auto"/>
          </w:tcPr>
          <w:p w14:paraId="58281ADB" w14:textId="77777777" w:rsidR="00203CE1" w:rsidRPr="00571974" w:rsidRDefault="00203CE1" w:rsidP="00203CE1">
            <w:pPr>
              <w:pStyle w:val="ListBullet"/>
              <w:numPr>
                <w:ilvl w:val="0"/>
                <w:numId w:val="0"/>
              </w:numPr>
              <w:rPr>
                <w:lang w:bidi="ar-SA"/>
              </w:rPr>
            </w:pPr>
          </w:p>
        </w:tc>
        <w:tc>
          <w:tcPr>
            <w:tcW w:w="3457" w:type="dxa"/>
            <w:shd w:val="clear" w:color="auto" w:fill="auto"/>
          </w:tcPr>
          <w:p w14:paraId="159B2126" w14:textId="77777777" w:rsidR="00203CE1" w:rsidRPr="003D4D89" w:rsidRDefault="00203CE1" w:rsidP="00203CE1">
            <w:pPr>
              <w:pStyle w:val="ListBullet"/>
              <w:numPr>
                <w:ilvl w:val="0"/>
                <w:numId w:val="0"/>
              </w:numPr>
              <w:rPr>
                <w:rFonts w:eastAsia="Calibri"/>
                <w:szCs w:val="18"/>
                <w:lang w:eastAsia="en-US" w:bidi="ar-SA"/>
              </w:rPr>
            </w:pPr>
          </w:p>
        </w:tc>
      </w:tr>
      <w:tr w:rsidR="00203CE1" w14:paraId="7D5A2050" w14:textId="77777777" w:rsidTr="003D4D89">
        <w:trPr>
          <w:trHeight w:val="859"/>
        </w:trPr>
        <w:tc>
          <w:tcPr>
            <w:tcW w:w="2362" w:type="dxa"/>
            <w:shd w:val="clear" w:color="auto" w:fill="auto"/>
          </w:tcPr>
          <w:p w14:paraId="66682429" w14:textId="77777777" w:rsidR="00203CE1" w:rsidRPr="003D4D89" w:rsidRDefault="00203CE1" w:rsidP="00203CE1">
            <w:pPr>
              <w:pStyle w:val="ListBullet"/>
              <w:numPr>
                <w:ilvl w:val="0"/>
                <w:numId w:val="0"/>
              </w:numPr>
              <w:rPr>
                <w:rFonts w:cs="Times New Roman"/>
                <w:szCs w:val="20"/>
                <w:lang w:bidi="ar-SA"/>
              </w:rPr>
            </w:pPr>
          </w:p>
        </w:tc>
        <w:tc>
          <w:tcPr>
            <w:tcW w:w="1738" w:type="dxa"/>
            <w:shd w:val="clear" w:color="auto" w:fill="auto"/>
          </w:tcPr>
          <w:p w14:paraId="44402CF5" w14:textId="77777777" w:rsidR="00203CE1" w:rsidRPr="003D4D89" w:rsidRDefault="00203CE1" w:rsidP="00203CE1">
            <w:pPr>
              <w:pStyle w:val="ListBullet"/>
              <w:numPr>
                <w:ilvl w:val="0"/>
                <w:numId w:val="0"/>
              </w:numPr>
              <w:rPr>
                <w:rFonts w:eastAsia="Calibri"/>
                <w:szCs w:val="18"/>
                <w:lang w:eastAsia="en-US" w:bidi="ar-SA"/>
              </w:rPr>
            </w:pPr>
          </w:p>
        </w:tc>
        <w:tc>
          <w:tcPr>
            <w:tcW w:w="1799" w:type="dxa"/>
            <w:shd w:val="clear" w:color="auto" w:fill="auto"/>
          </w:tcPr>
          <w:p w14:paraId="6D099AB4" w14:textId="77777777" w:rsidR="00203CE1" w:rsidRPr="00571974" w:rsidRDefault="00203CE1" w:rsidP="00203CE1">
            <w:pPr>
              <w:pStyle w:val="ListBullet"/>
              <w:numPr>
                <w:ilvl w:val="0"/>
                <w:numId w:val="0"/>
              </w:numPr>
              <w:rPr>
                <w:lang w:bidi="ar-SA"/>
              </w:rPr>
            </w:pPr>
          </w:p>
        </w:tc>
        <w:tc>
          <w:tcPr>
            <w:tcW w:w="3457" w:type="dxa"/>
            <w:shd w:val="clear" w:color="auto" w:fill="auto"/>
          </w:tcPr>
          <w:p w14:paraId="2480D438" w14:textId="77777777" w:rsidR="00203CE1" w:rsidRPr="003D4D89" w:rsidRDefault="00203CE1" w:rsidP="00203CE1">
            <w:pPr>
              <w:pStyle w:val="ListBullet"/>
              <w:numPr>
                <w:ilvl w:val="0"/>
                <w:numId w:val="0"/>
              </w:numPr>
              <w:rPr>
                <w:rFonts w:eastAsia="Calibri"/>
                <w:szCs w:val="18"/>
                <w:lang w:eastAsia="en-US" w:bidi="ar-SA"/>
              </w:rPr>
            </w:pPr>
          </w:p>
        </w:tc>
      </w:tr>
    </w:tbl>
    <w:p w14:paraId="05969135" w14:textId="77777777" w:rsidR="00A14D96" w:rsidRPr="00571974" w:rsidRDefault="00A14D96" w:rsidP="00672ABA">
      <w:pPr>
        <w:rPr>
          <w:rFonts w:ascii="Times New Roman Bold" w:eastAsia="SimSun" w:hAnsi="Times New Roman Bold"/>
          <w:b/>
          <w:bCs/>
          <w:smallCaps/>
          <w:szCs w:val="26"/>
          <w:highlight w:val="yellow"/>
          <w:lang w:val="en-GB"/>
        </w:rPr>
      </w:pPr>
    </w:p>
    <w:p w14:paraId="7C4D4058" w14:textId="77777777" w:rsidR="009C00DD" w:rsidRPr="00571974" w:rsidRDefault="009C00DD" w:rsidP="00672ABA">
      <w:pPr>
        <w:rPr>
          <w:lang w:val="en-GB"/>
        </w:rPr>
      </w:pPr>
    </w:p>
    <w:bookmarkEnd w:id="69"/>
    <w:p w14:paraId="3AAA629C" w14:textId="77777777" w:rsidR="00B27F27" w:rsidRPr="00571974" w:rsidRDefault="00B27F27" w:rsidP="00821B83">
      <w:pPr>
        <w:pStyle w:val="BodyText"/>
        <w:widowControl/>
        <w:autoSpaceDE/>
        <w:autoSpaceDN/>
        <w:adjustRightInd/>
        <w:ind w:firstLine="360"/>
        <w:rPr>
          <w:b/>
          <w:bCs/>
          <w:i/>
          <w:iCs/>
          <w:lang w:val="en-GB"/>
        </w:rPr>
      </w:pPr>
    </w:p>
    <w:p w14:paraId="3595D137" w14:textId="77777777" w:rsidR="00821B83" w:rsidRPr="00571974" w:rsidRDefault="003D4D89">
      <w:pPr>
        <w:widowControl/>
        <w:autoSpaceDE/>
        <w:autoSpaceDN/>
        <w:adjustRightInd/>
        <w:rPr>
          <w:rFonts w:ascii="Times New Roman Bold" w:eastAsia="SimSun" w:hAnsi="Times New Roman Bold"/>
          <w:b/>
          <w:bCs/>
          <w:smallCaps/>
          <w:szCs w:val="26"/>
          <w:lang w:val="en-GB"/>
        </w:rPr>
      </w:pPr>
      <w:r w:rsidRPr="00571974">
        <w:rPr>
          <w:lang w:val="en-GB"/>
        </w:rPr>
        <w:br w:type="page"/>
      </w:r>
    </w:p>
    <w:p w14:paraId="4F87FCF4" w14:textId="61826BC1" w:rsidR="00DF4A0D" w:rsidRPr="00571974" w:rsidRDefault="003D4D89" w:rsidP="00DF4A0D">
      <w:pPr>
        <w:pStyle w:val="Heading2"/>
        <w:rPr>
          <w:rFonts w:ascii="Times New Roman" w:hAnsi="Times New Roman"/>
          <w:lang w:val="en-GB"/>
        </w:rPr>
      </w:pPr>
      <w:bookmarkStart w:id="72" w:name="_Hlk31706431"/>
      <w:bookmarkEnd w:id="70"/>
      <w:r w:rsidRPr="00571974">
        <w:rPr>
          <w:rFonts w:ascii="Times New Roman" w:hAnsi="Times New Roman"/>
          <w:lang w:val="en-GB"/>
        </w:rPr>
        <w:lastRenderedPageBreak/>
        <w:t>Results Of Operations for the Years Ended December 31, 201</w:t>
      </w:r>
      <w:r w:rsidR="001F3E6A">
        <w:rPr>
          <w:rFonts w:ascii="Times New Roman" w:hAnsi="Times New Roman"/>
          <w:lang w:val="en-GB"/>
        </w:rPr>
        <w:t>9</w:t>
      </w:r>
      <w:r w:rsidRPr="00571974">
        <w:rPr>
          <w:rFonts w:ascii="Times New Roman" w:hAnsi="Times New Roman"/>
          <w:lang w:val="en-GB"/>
        </w:rPr>
        <w:t>, 2018 and 201</w:t>
      </w:r>
      <w:r w:rsidR="001F3E6A">
        <w:rPr>
          <w:rFonts w:ascii="Times New Roman" w:hAnsi="Times New Roman"/>
          <w:lang w:val="en-GB"/>
        </w:rPr>
        <w:t>7</w:t>
      </w:r>
    </w:p>
    <w:p w14:paraId="2EFFEB8B" w14:textId="2875D15C" w:rsidR="00DF4A0D" w:rsidRPr="00571974" w:rsidRDefault="003D4D89" w:rsidP="00DF4A0D">
      <w:pPr>
        <w:pStyle w:val="BodyText"/>
        <w:widowControl/>
        <w:autoSpaceDE/>
        <w:autoSpaceDN/>
        <w:adjustRightInd/>
        <w:ind w:firstLine="360"/>
        <w:rPr>
          <w:lang w:val="en-GB"/>
        </w:rPr>
      </w:pPr>
      <w:r w:rsidRPr="00571974">
        <w:rPr>
          <w:lang w:val="en-GB"/>
        </w:rPr>
        <w:t>The table below summarizes the Group</w:t>
      </w:r>
      <w:r w:rsidR="00A311D8">
        <w:rPr>
          <w:lang w:val="en-GB"/>
        </w:rPr>
        <w:t>’</w:t>
      </w:r>
      <w:r w:rsidRPr="00571974">
        <w:rPr>
          <w:lang w:val="en-GB"/>
        </w:rPr>
        <w:t>s income statement and certain other measures for the periods indicated and should be read in conjunction with, and is qualified in its entirety by reference to, the Group 2019 Consolidated Financial Statements, the Group 2018 Consolidated Financial Statements and Group 2017 Consolidated Financial Statements and notes thereto, which are incorporated by reference into this document.</w:t>
      </w:r>
    </w:p>
    <w:tbl>
      <w:tblPr>
        <w:tblW w:w="5000" w:type="pct"/>
        <w:jc w:val="center"/>
        <w:tblCellMar>
          <w:left w:w="72" w:type="dxa"/>
          <w:right w:w="72" w:type="dxa"/>
        </w:tblCellMar>
        <w:tblLook w:val="0000" w:firstRow="0" w:lastRow="0" w:firstColumn="0" w:lastColumn="0" w:noHBand="0" w:noVBand="0"/>
      </w:tblPr>
      <w:tblGrid>
        <w:gridCol w:w="5585"/>
        <w:gridCol w:w="1329"/>
        <w:gridCol w:w="1329"/>
        <w:gridCol w:w="1113"/>
      </w:tblGrid>
      <w:tr w:rsidR="002228B8" w14:paraId="519D5089" w14:textId="77777777" w:rsidTr="00DF4A0D">
        <w:trPr>
          <w:cantSplit/>
          <w:jc w:val="center"/>
        </w:trPr>
        <w:tc>
          <w:tcPr>
            <w:tcW w:w="2985" w:type="pct"/>
            <w:tcBorders>
              <w:top w:val="nil"/>
              <w:left w:val="nil"/>
              <w:bottom w:val="nil"/>
              <w:right w:val="nil"/>
            </w:tcBorders>
            <w:vAlign w:val="bottom"/>
          </w:tcPr>
          <w:p w14:paraId="2AFBF13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710" w:type="pct"/>
            <w:tcBorders>
              <w:top w:val="nil"/>
              <w:left w:val="nil"/>
              <w:bottom w:val="nil"/>
              <w:right w:val="nil"/>
            </w:tcBorders>
            <w:vAlign w:val="bottom"/>
          </w:tcPr>
          <w:p w14:paraId="1E627E6A"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w:t>
            </w:r>
            <w:r w:rsidRPr="00571974">
              <w:rPr>
                <w:b/>
                <w:bCs/>
                <w:sz w:val="16"/>
                <w:szCs w:val="18"/>
                <w:lang w:val="en-GB" w:eastAsia="en-GB" w:bidi="ar-SA"/>
              </w:rPr>
              <w:br/>
              <w:t>December 31,</w:t>
            </w:r>
            <w:r w:rsidRPr="00571974">
              <w:rPr>
                <w:b/>
                <w:bCs/>
                <w:sz w:val="16"/>
                <w:szCs w:val="18"/>
                <w:lang w:val="en-GB" w:eastAsia="en-GB" w:bidi="ar-SA"/>
              </w:rPr>
              <w:br/>
              <w:t>2017</w:t>
            </w:r>
          </w:p>
        </w:tc>
        <w:tc>
          <w:tcPr>
            <w:tcW w:w="710" w:type="pct"/>
            <w:tcBorders>
              <w:top w:val="nil"/>
              <w:left w:val="nil"/>
              <w:bottom w:val="nil"/>
              <w:right w:val="nil"/>
            </w:tcBorders>
            <w:vAlign w:val="bottom"/>
          </w:tcPr>
          <w:p w14:paraId="4398666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w:t>
            </w:r>
            <w:r w:rsidRPr="00571974">
              <w:rPr>
                <w:b/>
                <w:bCs/>
                <w:sz w:val="16"/>
                <w:szCs w:val="18"/>
                <w:lang w:val="en-GB" w:eastAsia="en-GB" w:bidi="ar-SA"/>
              </w:rPr>
              <w:br/>
              <w:t>December 31,</w:t>
            </w:r>
            <w:r w:rsidRPr="00571974">
              <w:rPr>
                <w:b/>
                <w:bCs/>
                <w:sz w:val="16"/>
                <w:szCs w:val="18"/>
                <w:lang w:val="en-GB" w:eastAsia="en-GB" w:bidi="ar-SA"/>
              </w:rPr>
              <w:br/>
              <w:t>2018</w:t>
            </w:r>
          </w:p>
        </w:tc>
        <w:tc>
          <w:tcPr>
            <w:tcW w:w="595" w:type="pct"/>
            <w:tcBorders>
              <w:top w:val="nil"/>
              <w:left w:val="nil"/>
              <w:bottom w:val="nil"/>
              <w:right w:val="nil"/>
            </w:tcBorders>
            <w:vAlign w:val="bottom"/>
          </w:tcPr>
          <w:p w14:paraId="489D323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w:t>
            </w:r>
            <w:r w:rsidRPr="00571974">
              <w:rPr>
                <w:b/>
                <w:bCs/>
                <w:sz w:val="16"/>
                <w:szCs w:val="18"/>
                <w:lang w:val="en-GB" w:eastAsia="en-GB" w:bidi="ar-SA"/>
              </w:rPr>
              <w:br/>
              <w:t>December 31,</w:t>
            </w:r>
            <w:r w:rsidRPr="00571974">
              <w:rPr>
                <w:b/>
                <w:bCs/>
                <w:sz w:val="16"/>
                <w:szCs w:val="18"/>
                <w:lang w:val="en-GB" w:eastAsia="en-GB" w:bidi="ar-SA"/>
              </w:rPr>
              <w:br/>
              <w:t>2019</w:t>
            </w:r>
          </w:p>
        </w:tc>
      </w:tr>
      <w:tr w:rsidR="002228B8" w14:paraId="25C4814C" w14:textId="77777777" w:rsidTr="00DF4A0D">
        <w:trPr>
          <w:cantSplit/>
          <w:jc w:val="center"/>
        </w:trPr>
        <w:tc>
          <w:tcPr>
            <w:tcW w:w="2985" w:type="pct"/>
            <w:tcBorders>
              <w:top w:val="nil"/>
              <w:left w:val="nil"/>
              <w:bottom w:val="nil"/>
              <w:right w:val="nil"/>
            </w:tcBorders>
            <w:vAlign w:val="bottom"/>
          </w:tcPr>
          <w:p w14:paraId="1B2773B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2015" w:type="pct"/>
            <w:gridSpan w:val="3"/>
            <w:tcBorders>
              <w:top w:val="nil"/>
              <w:left w:val="nil"/>
              <w:bottom w:val="nil"/>
              <w:right w:val="nil"/>
            </w:tcBorders>
            <w:vAlign w:val="bottom"/>
          </w:tcPr>
          <w:p w14:paraId="538EBBB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6"/>
                <w:szCs w:val="18"/>
                <w:lang w:val="en-GB" w:eastAsia="en-GB" w:bidi="ar-SA"/>
              </w:rPr>
              <w:t>(US$m)</w:t>
            </w:r>
          </w:p>
        </w:tc>
      </w:tr>
      <w:tr w:rsidR="002228B8" w14:paraId="2E38F6F1" w14:textId="77777777" w:rsidTr="00DF4A0D">
        <w:trPr>
          <w:cantSplit/>
          <w:jc w:val="center"/>
        </w:trPr>
        <w:tc>
          <w:tcPr>
            <w:tcW w:w="2985" w:type="pct"/>
            <w:tcBorders>
              <w:top w:val="nil"/>
              <w:left w:val="nil"/>
              <w:bottom w:val="nil"/>
              <w:right w:val="nil"/>
            </w:tcBorders>
          </w:tcPr>
          <w:p w14:paraId="7EA1195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sz w:val="18"/>
                <w:lang w:val="en-GB" w:eastAsia="en-GB" w:bidi="ar-SA"/>
              </w:rPr>
              <w:t>Income statement</w:t>
            </w:r>
          </w:p>
        </w:tc>
        <w:tc>
          <w:tcPr>
            <w:tcW w:w="710" w:type="pct"/>
            <w:tcBorders>
              <w:top w:val="nil"/>
              <w:left w:val="nil"/>
              <w:bottom w:val="nil"/>
              <w:right w:val="nil"/>
            </w:tcBorders>
            <w:vAlign w:val="bottom"/>
          </w:tcPr>
          <w:p w14:paraId="0555616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710" w:type="pct"/>
            <w:tcBorders>
              <w:top w:val="nil"/>
              <w:left w:val="nil"/>
              <w:bottom w:val="nil"/>
              <w:right w:val="nil"/>
            </w:tcBorders>
            <w:vAlign w:val="bottom"/>
          </w:tcPr>
          <w:p w14:paraId="378603E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95" w:type="pct"/>
            <w:tcBorders>
              <w:top w:val="nil"/>
              <w:left w:val="nil"/>
              <w:bottom w:val="nil"/>
              <w:right w:val="nil"/>
            </w:tcBorders>
            <w:vAlign w:val="bottom"/>
          </w:tcPr>
          <w:p w14:paraId="2B4FC4AD"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6FDC38B1" w14:textId="77777777" w:rsidTr="00DF4A0D">
        <w:trPr>
          <w:cantSplit/>
          <w:jc w:val="center"/>
        </w:trPr>
        <w:tc>
          <w:tcPr>
            <w:tcW w:w="2985" w:type="pct"/>
            <w:tcBorders>
              <w:top w:val="nil"/>
              <w:left w:val="nil"/>
              <w:bottom w:val="nil"/>
              <w:right w:val="nil"/>
            </w:tcBorders>
          </w:tcPr>
          <w:p w14:paraId="5A664A13"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Revenue</w:t>
            </w:r>
            <w:r w:rsidRPr="00571974">
              <w:rPr>
                <w:sz w:val="18"/>
                <w:lang w:val="en-GB" w:eastAsia="en-GB" w:bidi="ar-SA"/>
              </w:rPr>
              <w:tab/>
            </w:r>
          </w:p>
        </w:tc>
        <w:tc>
          <w:tcPr>
            <w:tcW w:w="710" w:type="pct"/>
            <w:tcBorders>
              <w:top w:val="nil"/>
              <w:left w:val="nil"/>
              <w:bottom w:val="nil"/>
              <w:right w:val="nil"/>
            </w:tcBorders>
            <w:vAlign w:val="bottom"/>
          </w:tcPr>
          <w:p w14:paraId="2134A28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26,243</w:t>
            </w:r>
          </w:p>
        </w:tc>
        <w:tc>
          <w:tcPr>
            <w:tcW w:w="710" w:type="pct"/>
            <w:tcBorders>
              <w:top w:val="nil"/>
              <w:left w:val="nil"/>
              <w:bottom w:val="nil"/>
              <w:right w:val="nil"/>
            </w:tcBorders>
            <w:vAlign w:val="bottom"/>
          </w:tcPr>
          <w:p w14:paraId="7B4BF6E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27,610</w:t>
            </w:r>
          </w:p>
        </w:tc>
        <w:tc>
          <w:tcPr>
            <w:tcW w:w="595" w:type="pct"/>
            <w:tcBorders>
              <w:top w:val="nil"/>
              <w:left w:val="nil"/>
              <w:bottom w:val="nil"/>
              <w:right w:val="nil"/>
            </w:tcBorders>
            <w:vAlign w:val="bottom"/>
          </w:tcPr>
          <w:p w14:paraId="2C4BB7F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29,870</w:t>
            </w:r>
          </w:p>
        </w:tc>
      </w:tr>
      <w:tr w:rsidR="002228B8" w14:paraId="1F1C7784" w14:textId="77777777" w:rsidTr="00DF4A0D">
        <w:trPr>
          <w:cantSplit/>
          <w:jc w:val="center"/>
        </w:trPr>
        <w:tc>
          <w:tcPr>
            <w:tcW w:w="2985" w:type="pct"/>
            <w:tcBorders>
              <w:top w:val="nil"/>
              <w:left w:val="nil"/>
              <w:bottom w:val="nil"/>
              <w:right w:val="nil"/>
            </w:tcBorders>
          </w:tcPr>
          <w:p w14:paraId="6E77DB94" w14:textId="77777777" w:rsidR="00DF4A0D" w:rsidRPr="00571974" w:rsidRDefault="003D4D89" w:rsidP="00DF4A0D">
            <w:pPr>
              <w:tabs>
                <w:tab w:val="right" w:leader="dot" w:pos="5640"/>
              </w:tabs>
              <w:suppressAutoHyphens/>
              <w:spacing w:after="20"/>
              <w:ind w:left="400" w:hanging="200"/>
              <w:rPr>
                <w:sz w:val="18"/>
                <w:lang w:val="en-GB" w:eastAsia="en-GB" w:bidi="ar-SA"/>
              </w:rPr>
            </w:pPr>
            <w:r w:rsidRPr="00571974">
              <w:rPr>
                <w:sz w:val="18"/>
                <w:lang w:val="en-GB" w:eastAsia="en-GB" w:bidi="ar-SA"/>
              </w:rPr>
              <w:t>Total operating costs before special items and remeasurements</w:t>
            </w:r>
            <w:r w:rsidRPr="00571974">
              <w:rPr>
                <w:sz w:val="18"/>
                <w:lang w:val="en-GB" w:eastAsia="en-GB" w:bidi="ar-SA"/>
              </w:rPr>
              <w:tab/>
            </w:r>
          </w:p>
        </w:tc>
        <w:tc>
          <w:tcPr>
            <w:tcW w:w="710" w:type="pct"/>
            <w:tcBorders>
              <w:top w:val="nil"/>
              <w:left w:val="nil"/>
              <w:bottom w:val="nil"/>
              <w:right w:val="nil"/>
            </w:tcBorders>
            <w:vAlign w:val="bottom"/>
          </w:tcPr>
          <w:p w14:paraId="072FB19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(21,001)</w:t>
            </w:r>
          </w:p>
        </w:tc>
        <w:tc>
          <w:tcPr>
            <w:tcW w:w="710" w:type="pct"/>
            <w:tcBorders>
              <w:top w:val="nil"/>
              <w:left w:val="nil"/>
              <w:bottom w:val="nil"/>
              <w:right w:val="nil"/>
            </w:tcBorders>
            <w:vAlign w:val="bottom"/>
          </w:tcPr>
          <w:p w14:paraId="4BBC5B7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(22,379)</w:t>
            </w:r>
          </w:p>
        </w:tc>
        <w:tc>
          <w:tcPr>
            <w:tcW w:w="595" w:type="pct"/>
            <w:tcBorders>
              <w:top w:val="nil"/>
              <w:left w:val="nil"/>
              <w:bottom w:val="nil"/>
              <w:right w:val="nil"/>
            </w:tcBorders>
            <w:vAlign w:val="bottom"/>
          </w:tcPr>
          <w:p w14:paraId="140F041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(23,543)</w:t>
            </w:r>
          </w:p>
        </w:tc>
      </w:tr>
      <w:tr w:rsidR="002228B8" w14:paraId="48A1180C" w14:textId="77777777" w:rsidTr="00DF4A0D">
        <w:trPr>
          <w:cantSplit/>
          <w:jc w:val="center"/>
        </w:trPr>
        <w:tc>
          <w:tcPr>
            <w:tcW w:w="2985" w:type="pct"/>
            <w:tcBorders>
              <w:top w:val="nil"/>
              <w:left w:val="nil"/>
              <w:bottom w:val="nil"/>
              <w:right w:val="nil"/>
            </w:tcBorders>
          </w:tcPr>
          <w:p w14:paraId="2221CD49" w14:textId="636CAF97" w:rsidR="00DF4A0D" w:rsidRPr="00571974" w:rsidRDefault="00A97A71" w:rsidP="00DF4A0D">
            <w:pPr>
              <w:tabs>
                <w:tab w:val="right" w:leader="dot" w:pos="5640"/>
              </w:tabs>
              <w:suppressAutoHyphens/>
              <w:ind w:left="400" w:hanging="200"/>
              <w:rPr>
                <w:sz w:val="18"/>
                <w:lang w:val="en-GB" w:eastAsia="en-GB" w:bidi="ar-SA"/>
              </w:rPr>
            </w:pPr>
            <w:r>
              <w:rPr>
                <w:sz w:val="18"/>
                <w:lang w:val="en-GB" w:eastAsia="en-GB" w:bidi="ar-SA"/>
              </w:rPr>
              <w:t>Operating profit</w:t>
            </w:r>
            <w:r w:rsidR="003D4D89" w:rsidRPr="00571974">
              <w:rPr>
                <w:sz w:val="18"/>
                <w:lang w:val="en-GB" w:eastAsia="en-GB" w:bidi="ar-SA"/>
              </w:rPr>
              <w:t xml:space="preserve"> before special items and remeasurements</w:t>
            </w:r>
            <w:r w:rsidR="003D4D89" w:rsidRPr="00571974">
              <w:rPr>
                <w:sz w:val="18"/>
                <w:lang w:val="en-GB" w:eastAsia="en-GB" w:bidi="ar-SA"/>
              </w:rPr>
              <w:tab/>
            </w:r>
          </w:p>
        </w:tc>
        <w:tc>
          <w:tcPr>
            <w:tcW w:w="710" w:type="pct"/>
            <w:tcBorders>
              <w:top w:val="nil"/>
              <w:left w:val="nil"/>
              <w:bottom w:val="nil"/>
              <w:right w:val="nil"/>
            </w:tcBorders>
            <w:vAlign w:val="bottom"/>
          </w:tcPr>
          <w:p w14:paraId="05CD243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5,242</w:t>
            </w:r>
          </w:p>
        </w:tc>
        <w:tc>
          <w:tcPr>
            <w:tcW w:w="710" w:type="pct"/>
            <w:tcBorders>
              <w:top w:val="nil"/>
              <w:left w:val="nil"/>
              <w:bottom w:val="nil"/>
              <w:right w:val="nil"/>
            </w:tcBorders>
            <w:vAlign w:val="bottom"/>
          </w:tcPr>
          <w:p w14:paraId="29F227E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5,231</w:t>
            </w:r>
          </w:p>
        </w:tc>
        <w:tc>
          <w:tcPr>
            <w:tcW w:w="595" w:type="pct"/>
            <w:tcBorders>
              <w:top w:val="nil"/>
              <w:left w:val="nil"/>
              <w:bottom w:val="nil"/>
              <w:right w:val="nil"/>
            </w:tcBorders>
            <w:vAlign w:val="bottom"/>
          </w:tcPr>
          <w:p w14:paraId="49F1499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6,327</w:t>
            </w:r>
          </w:p>
        </w:tc>
      </w:tr>
      <w:tr w:rsidR="002228B8" w14:paraId="3D013542" w14:textId="77777777" w:rsidTr="00DF4A0D">
        <w:trPr>
          <w:cantSplit/>
          <w:jc w:val="center"/>
        </w:trPr>
        <w:tc>
          <w:tcPr>
            <w:tcW w:w="2985" w:type="pct"/>
            <w:tcBorders>
              <w:top w:val="nil"/>
              <w:left w:val="nil"/>
              <w:bottom w:val="nil"/>
              <w:right w:val="nil"/>
            </w:tcBorders>
          </w:tcPr>
          <w:p w14:paraId="6724574E"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Operating special items</w:t>
            </w:r>
            <w:r w:rsidRPr="00571974">
              <w:rPr>
                <w:sz w:val="18"/>
                <w:lang w:val="en-GB" w:eastAsia="en-GB" w:bidi="ar-SA"/>
              </w:rPr>
              <w:tab/>
            </w:r>
          </w:p>
        </w:tc>
        <w:tc>
          <w:tcPr>
            <w:tcW w:w="710" w:type="pct"/>
            <w:tcBorders>
              <w:top w:val="nil"/>
              <w:left w:val="nil"/>
              <w:bottom w:val="nil"/>
              <w:right w:val="nil"/>
            </w:tcBorders>
            <w:vAlign w:val="bottom"/>
          </w:tcPr>
          <w:p w14:paraId="7836281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382</w:t>
            </w:r>
          </w:p>
        </w:tc>
        <w:tc>
          <w:tcPr>
            <w:tcW w:w="710" w:type="pct"/>
            <w:tcBorders>
              <w:top w:val="nil"/>
              <w:left w:val="nil"/>
              <w:bottom w:val="nil"/>
              <w:right w:val="nil"/>
            </w:tcBorders>
            <w:vAlign w:val="bottom"/>
          </w:tcPr>
          <w:p w14:paraId="50AD1BF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963</w:t>
            </w:r>
          </w:p>
        </w:tc>
        <w:tc>
          <w:tcPr>
            <w:tcW w:w="595" w:type="pct"/>
            <w:tcBorders>
              <w:top w:val="nil"/>
              <w:left w:val="nil"/>
              <w:bottom w:val="nil"/>
              <w:right w:val="nil"/>
            </w:tcBorders>
            <w:vAlign w:val="bottom"/>
          </w:tcPr>
          <w:p w14:paraId="1C17180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(49)</w:t>
            </w:r>
          </w:p>
        </w:tc>
      </w:tr>
      <w:tr w:rsidR="002228B8" w14:paraId="24E3B3C7" w14:textId="77777777" w:rsidTr="00DF4A0D">
        <w:trPr>
          <w:cantSplit/>
          <w:jc w:val="center"/>
        </w:trPr>
        <w:tc>
          <w:tcPr>
            <w:tcW w:w="2985" w:type="pct"/>
            <w:tcBorders>
              <w:top w:val="nil"/>
              <w:left w:val="nil"/>
              <w:bottom w:val="nil"/>
              <w:right w:val="nil"/>
            </w:tcBorders>
          </w:tcPr>
          <w:p w14:paraId="7264FCB7" w14:textId="77777777" w:rsidR="00DF4A0D" w:rsidRPr="00571974" w:rsidRDefault="003D4D89" w:rsidP="00DF4A0D">
            <w:pPr>
              <w:tabs>
                <w:tab w:val="right" w:leader="dot" w:pos="5640"/>
              </w:tabs>
              <w:suppressAutoHyphens/>
              <w:spacing w:after="20"/>
              <w:ind w:left="400" w:hanging="200"/>
              <w:rPr>
                <w:sz w:val="18"/>
                <w:lang w:val="en-GB" w:eastAsia="en-GB" w:bidi="ar-SA"/>
              </w:rPr>
            </w:pPr>
            <w:r w:rsidRPr="00571974">
              <w:rPr>
                <w:sz w:val="18"/>
                <w:lang w:val="en-GB" w:eastAsia="en-GB" w:bidi="ar-SA"/>
              </w:rPr>
              <w:t>Operating remeasurements</w:t>
            </w:r>
            <w:r w:rsidRPr="00571974">
              <w:rPr>
                <w:sz w:val="18"/>
                <w:lang w:val="en-GB" w:eastAsia="en-GB" w:bidi="ar-SA"/>
              </w:rPr>
              <w:tab/>
            </w:r>
          </w:p>
        </w:tc>
        <w:tc>
          <w:tcPr>
            <w:tcW w:w="710" w:type="pct"/>
            <w:tcBorders>
              <w:top w:val="nil"/>
              <w:left w:val="nil"/>
              <w:bottom w:val="nil"/>
              <w:right w:val="nil"/>
            </w:tcBorders>
            <w:vAlign w:val="bottom"/>
          </w:tcPr>
          <w:p w14:paraId="273FED38"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(95)</w:t>
            </w:r>
          </w:p>
        </w:tc>
        <w:tc>
          <w:tcPr>
            <w:tcW w:w="710" w:type="pct"/>
            <w:tcBorders>
              <w:top w:val="nil"/>
              <w:left w:val="nil"/>
              <w:bottom w:val="nil"/>
              <w:right w:val="nil"/>
            </w:tcBorders>
            <w:vAlign w:val="bottom"/>
          </w:tcPr>
          <w:p w14:paraId="5A7C572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(125)</w:t>
            </w:r>
          </w:p>
        </w:tc>
        <w:tc>
          <w:tcPr>
            <w:tcW w:w="595" w:type="pct"/>
            <w:tcBorders>
              <w:top w:val="nil"/>
              <w:left w:val="nil"/>
              <w:bottom w:val="nil"/>
              <w:right w:val="nil"/>
            </w:tcBorders>
            <w:vAlign w:val="bottom"/>
          </w:tcPr>
          <w:p w14:paraId="6F2977B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(102)</w:t>
            </w:r>
          </w:p>
        </w:tc>
      </w:tr>
      <w:tr w:rsidR="002228B8" w14:paraId="4A2E8C80" w14:textId="77777777" w:rsidTr="00DF4A0D">
        <w:trPr>
          <w:cantSplit/>
          <w:jc w:val="center"/>
        </w:trPr>
        <w:tc>
          <w:tcPr>
            <w:tcW w:w="2985" w:type="pct"/>
            <w:tcBorders>
              <w:top w:val="nil"/>
              <w:left w:val="nil"/>
              <w:bottom w:val="nil"/>
              <w:right w:val="nil"/>
            </w:tcBorders>
          </w:tcPr>
          <w:p w14:paraId="4E74A798"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EBIT from subsidiaries and joint operations</w:t>
            </w:r>
            <w:r w:rsidRPr="00571974">
              <w:rPr>
                <w:sz w:val="18"/>
                <w:lang w:val="en-GB" w:eastAsia="en-GB" w:bidi="ar-SA"/>
              </w:rPr>
              <w:tab/>
            </w:r>
          </w:p>
        </w:tc>
        <w:tc>
          <w:tcPr>
            <w:tcW w:w="710" w:type="pct"/>
            <w:tcBorders>
              <w:top w:val="nil"/>
              <w:left w:val="nil"/>
              <w:bottom w:val="nil"/>
              <w:right w:val="nil"/>
            </w:tcBorders>
            <w:vAlign w:val="bottom"/>
          </w:tcPr>
          <w:p w14:paraId="6C4E44F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5,529</w:t>
            </w:r>
          </w:p>
        </w:tc>
        <w:tc>
          <w:tcPr>
            <w:tcW w:w="710" w:type="pct"/>
            <w:tcBorders>
              <w:top w:val="nil"/>
              <w:left w:val="nil"/>
              <w:bottom w:val="nil"/>
              <w:right w:val="nil"/>
            </w:tcBorders>
            <w:vAlign w:val="bottom"/>
          </w:tcPr>
          <w:p w14:paraId="11B7996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6,069</w:t>
            </w:r>
          </w:p>
        </w:tc>
        <w:tc>
          <w:tcPr>
            <w:tcW w:w="595" w:type="pct"/>
            <w:tcBorders>
              <w:top w:val="nil"/>
              <w:left w:val="nil"/>
              <w:bottom w:val="nil"/>
              <w:right w:val="nil"/>
            </w:tcBorders>
            <w:vAlign w:val="bottom"/>
          </w:tcPr>
          <w:p w14:paraId="4B850C1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6,176</w:t>
            </w:r>
          </w:p>
        </w:tc>
      </w:tr>
      <w:tr w:rsidR="002228B8" w14:paraId="4E47BB38" w14:textId="77777777" w:rsidTr="00DF4A0D">
        <w:trPr>
          <w:cantSplit/>
          <w:jc w:val="center"/>
        </w:trPr>
        <w:tc>
          <w:tcPr>
            <w:tcW w:w="2985" w:type="pct"/>
            <w:tcBorders>
              <w:top w:val="nil"/>
              <w:left w:val="nil"/>
              <w:bottom w:val="nil"/>
              <w:right w:val="nil"/>
            </w:tcBorders>
          </w:tcPr>
          <w:p w14:paraId="76D0EDC7"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Non-operating special items</w:t>
            </w:r>
            <w:r w:rsidRPr="00571974">
              <w:rPr>
                <w:sz w:val="18"/>
                <w:lang w:val="en-GB" w:eastAsia="en-GB" w:bidi="ar-SA"/>
              </w:rPr>
              <w:tab/>
            </w:r>
          </w:p>
        </w:tc>
        <w:tc>
          <w:tcPr>
            <w:tcW w:w="710" w:type="pct"/>
            <w:tcBorders>
              <w:top w:val="nil"/>
              <w:left w:val="nil"/>
              <w:bottom w:val="nil"/>
              <w:right w:val="nil"/>
            </w:tcBorders>
            <w:vAlign w:val="bottom"/>
          </w:tcPr>
          <w:p w14:paraId="483EDEF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w:t>
            </w:r>
          </w:p>
        </w:tc>
        <w:tc>
          <w:tcPr>
            <w:tcW w:w="710" w:type="pct"/>
            <w:tcBorders>
              <w:top w:val="nil"/>
              <w:left w:val="nil"/>
              <w:bottom w:val="nil"/>
              <w:right w:val="nil"/>
            </w:tcBorders>
            <w:vAlign w:val="bottom"/>
          </w:tcPr>
          <w:p w14:paraId="2EFD2E6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(94)</w:t>
            </w:r>
          </w:p>
        </w:tc>
        <w:tc>
          <w:tcPr>
            <w:tcW w:w="595" w:type="pct"/>
            <w:tcBorders>
              <w:top w:val="nil"/>
              <w:left w:val="nil"/>
              <w:bottom w:val="nil"/>
              <w:right w:val="nil"/>
            </w:tcBorders>
            <w:vAlign w:val="bottom"/>
          </w:tcPr>
          <w:p w14:paraId="41EA22D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7</w:t>
            </w:r>
          </w:p>
        </w:tc>
      </w:tr>
      <w:tr w:rsidR="002228B8" w14:paraId="4FDD1F0F" w14:textId="77777777" w:rsidTr="00DF4A0D">
        <w:trPr>
          <w:cantSplit/>
          <w:jc w:val="center"/>
        </w:trPr>
        <w:tc>
          <w:tcPr>
            <w:tcW w:w="2985" w:type="pct"/>
            <w:tcBorders>
              <w:top w:val="nil"/>
              <w:left w:val="nil"/>
              <w:bottom w:val="nil"/>
              <w:right w:val="nil"/>
            </w:tcBorders>
          </w:tcPr>
          <w:p w14:paraId="30E62BC3" w14:textId="77777777" w:rsidR="00DF4A0D" w:rsidRPr="00571974" w:rsidRDefault="003D4D89" w:rsidP="00DF4A0D">
            <w:pPr>
              <w:tabs>
                <w:tab w:val="right" w:leader="dot" w:pos="5640"/>
              </w:tabs>
              <w:suppressAutoHyphens/>
              <w:spacing w:after="20"/>
              <w:ind w:left="400" w:hanging="200"/>
              <w:rPr>
                <w:sz w:val="18"/>
                <w:lang w:val="en-GB" w:eastAsia="en-GB" w:bidi="ar-SA"/>
              </w:rPr>
            </w:pPr>
            <w:r w:rsidRPr="00571974">
              <w:rPr>
                <w:sz w:val="18"/>
                <w:lang w:val="en-GB" w:eastAsia="en-GB" w:bidi="ar-SA"/>
              </w:rPr>
              <w:t>Share of net income from associates and joint ventures</w:t>
            </w:r>
            <w:r w:rsidRPr="00571974">
              <w:rPr>
                <w:sz w:val="18"/>
                <w:vertAlign w:val="superscript"/>
                <w:lang w:val="en-GB" w:eastAsia="en-GB" w:bidi="ar-SA"/>
              </w:rPr>
              <w:t>(1)</w:t>
            </w:r>
            <w:r w:rsidRPr="00571974">
              <w:rPr>
                <w:sz w:val="18"/>
                <w:lang w:val="en-GB" w:eastAsia="en-GB" w:bidi="ar-SA"/>
              </w:rPr>
              <w:tab/>
            </w:r>
          </w:p>
        </w:tc>
        <w:tc>
          <w:tcPr>
            <w:tcW w:w="710" w:type="pct"/>
            <w:tcBorders>
              <w:top w:val="nil"/>
              <w:left w:val="nil"/>
              <w:bottom w:val="nil"/>
              <w:right w:val="nil"/>
            </w:tcBorders>
            <w:vAlign w:val="bottom"/>
          </w:tcPr>
          <w:p w14:paraId="0929983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567</w:t>
            </w:r>
          </w:p>
        </w:tc>
        <w:tc>
          <w:tcPr>
            <w:tcW w:w="710" w:type="pct"/>
            <w:tcBorders>
              <w:top w:val="nil"/>
              <w:left w:val="nil"/>
              <w:bottom w:val="nil"/>
              <w:right w:val="nil"/>
            </w:tcBorders>
            <w:vAlign w:val="bottom"/>
          </w:tcPr>
          <w:p w14:paraId="1BC0DDDB"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728</w:t>
            </w:r>
          </w:p>
        </w:tc>
        <w:tc>
          <w:tcPr>
            <w:tcW w:w="595" w:type="pct"/>
            <w:tcBorders>
              <w:top w:val="nil"/>
              <w:left w:val="nil"/>
              <w:bottom w:val="nil"/>
              <w:right w:val="nil"/>
            </w:tcBorders>
            <w:vAlign w:val="bottom"/>
          </w:tcPr>
          <w:p w14:paraId="510BE1AA"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389</w:t>
            </w:r>
          </w:p>
        </w:tc>
      </w:tr>
      <w:tr w:rsidR="002228B8" w14:paraId="37D7F386" w14:textId="77777777" w:rsidTr="00DF4A0D">
        <w:trPr>
          <w:cantSplit/>
          <w:jc w:val="center"/>
        </w:trPr>
        <w:tc>
          <w:tcPr>
            <w:tcW w:w="2985" w:type="pct"/>
            <w:tcBorders>
              <w:top w:val="nil"/>
              <w:left w:val="nil"/>
              <w:bottom w:val="nil"/>
              <w:right w:val="nil"/>
            </w:tcBorders>
          </w:tcPr>
          <w:p w14:paraId="70FD564B"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Total profit from operations and associates</w:t>
            </w:r>
            <w:r w:rsidRPr="00571974">
              <w:rPr>
                <w:sz w:val="18"/>
                <w:lang w:val="en-GB" w:eastAsia="en-GB" w:bidi="ar-SA"/>
              </w:rPr>
              <w:tab/>
            </w:r>
          </w:p>
        </w:tc>
        <w:tc>
          <w:tcPr>
            <w:tcW w:w="710" w:type="pct"/>
            <w:tcBorders>
              <w:top w:val="nil"/>
              <w:left w:val="nil"/>
              <w:bottom w:val="nil"/>
              <w:right w:val="nil"/>
            </w:tcBorders>
            <w:vAlign w:val="bottom"/>
          </w:tcPr>
          <w:p w14:paraId="41E45EE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6,091</w:t>
            </w:r>
          </w:p>
        </w:tc>
        <w:tc>
          <w:tcPr>
            <w:tcW w:w="710" w:type="pct"/>
            <w:tcBorders>
              <w:top w:val="nil"/>
              <w:left w:val="nil"/>
              <w:bottom w:val="nil"/>
              <w:right w:val="nil"/>
            </w:tcBorders>
            <w:vAlign w:val="bottom"/>
          </w:tcPr>
          <w:p w14:paraId="71198DD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6,703</w:t>
            </w:r>
          </w:p>
        </w:tc>
        <w:tc>
          <w:tcPr>
            <w:tcW w:w="595" w:type="pct"/>
            <w:tcBorders>
              <w:top w:val="nil"/>
              <w:left w:val="nil"/>
              <w:bottom w:val="nil"/>
              <w:right w:val="nil"/>
            </w:tcBorders>
            <w:vAlign w:val="bottom"/>
          </w:tcPr>
          <w:p w14:paraId="7C64889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6,572</w:t>
            </w:r>
          </w:p>
        </w:tc>
      </w:tr>
      <w:tr w:rsidR="002228B8" w14:paraId="46BAD975" w14:textId="77777777" w:rsidTr="00DF4A0D">
        <w:trPr>
          <w:cantSplit/>
          <w:jc w:val="center"/>
        </w:trPr>
        <w:tc>
          <w:tcPr>
            <w:tcW w:w="2985" w:type="pct"/>
            <w:tcBorders>
              <w:top w:val="nil"/>
              <w:left w:val="nil"/>
              <w:bottom w:val="nil"/>
              <w:right w:val="nil"/>
            </w:tcBorders>
          </w:tcPr>
          <w:p w14:paraId="72A63537"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Net finance costs before financing special items and remeasurements</w:t>
            </w:r>
            <w:r w:rsidRPr="00571974">
              <w:rPr>
                <w:sz w:val="18"/>
                <w:lang w:val="en-GB" w:eastAsia="en-GB" w:bidi="ar-SA"/>
              </w:rPr>
              <w:tab/>
            </w:r>
          </w:p>
        </w:tc>
        <w:tc>
          <w:tcPr>
            <w:tcW w:w="710" w:type="pct"/>
            <w:tcBorders>
              <w:top w:val="nil"/>
              <w:left w:val="nil"/>
              <w:bottom w:val="nil"/>
              <w:right w:val="nil"/>
            </w:tcBorders>
            <w:vAlign w:val="bottom"/>
          </w:tcPr>
          <w:p w14:paraId="6D54818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(473)</w:t>
            </w:r>
          </w:p>
        </w:tc>
        <w:tc>
          <w:tcPr>
            <w:tcW w:w="710" w:type="pct"/>
            <w:tcBorders>
              <w:top w:val="nil"/>
              <w:left w:val="nil"/>
              <w:bottom w:val="nil"/>
              <w:right w:val="nil"/>
            </w:tcBorders>
            <w:vAlign w:val="bottom"/>
          </w:tcPr>
          <w:p w14:paraId="5DF91BE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(380)</w:t>
            </w:r>
          </w:p>
        </w:tc>
        <w:tc>
          <w:tcPr>
            <w:tcW w:w="595" w:type="pct"/>
            <w:tcBorders>
              <w:top w:val="nil"/>
              <w:left w:val="nil"/>
              <w:bottom w:val="nil"/>
              <w:right w:val="nil"/>
            </w:tcBorders>
            <w:vAlign w:val="bottom"/>
          </w:tcPr>
          <w:p w14:paraId="38AFAE3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(420)</w:t>
            </w:r>
          </w:p>
        </w:tc>
      </w:tr>
      <w:tr w:rsidR="002228B8" w14:paraId="684956B7" w14:textId="77777777" w:rsidTr="00DF4A0D">
        <w:trPr>
          <w:cantSplit/>
          <w:jc w:val="center"/>
        </w:trPr>
        <w:tc>
          <w:tcPr>
            <w:tcW w:w="2985" w:type="pct"/>
            <w:tcBorders>
              <w:top w:val="nil"/>
              <w:left w:val="nil"/>
              <w:bottom w:val="nil"/>
              <w:right w:val="nil"/>
            </w:tcBorders>
          </w:tcPr>
          <w:p w14:paraId="09352BCF" w14:textId="77777777" w:rsidR="00DF4A0D" w:rsidRPr="00571974" w:rsidRDefault="003D4D89" w:rsidP="00DF4A0D">
            <w:pPr>
              <w:tabs>
                <w:tab w:val="right" w:leader="dot" w:pos="5640"/>
              </w:tabs>
              <w:suppressAutoHyphens/>
              <w:spacing w:after="20"/>
              <w:ind w:left="400" w:hanging="200"/>
              <w:rPr>
                <w:sz w:val="18"/>
                <w:lang w:val="en-GB" w:eastAsia="en-GB" w:bidi="ar-SA"/>
              </w:rPr>
            </w:pPr>
            <w:r w:rsidRPr="00571974">
              <w:rPr>
                <w:sz w:val="18"/>
                <w:lang w:val="en-GB" w:eastAsia="en-GB" w:bidi="ar-SA"/>
              </w:rPr>
              <w:t>Financing special items and remeasurements</w:t>
            </w:r>
            <w:r w:rsidRPr="00571974">
              <w:rPr>
                <w:sz w:val="18"/>
                <w:lang w:val="en-GB" w:eastAsia="en-GB" w:bidi="ar-SA"/>
              </w:rPr>
              <w:tab/>
            </w:r>
          </w:p>
        </w:tc>
        <w:tc>
          <w:tcPr>
            <w:tcW w:w="710" w:type="pct"/>
            <w:tcBorders>
              <w:top w:val="nil"/>
              <w:left w:val="nil"/>
              <w:bottom w:val="nil"/>
              <w:right w:val="nil"/>
            </w:tcBorders>
            <w:vAlign w:val="bottom"/>
          </w:tcPr>
          <w:p w14:paraId="57DE508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(113)</w:t>
            </w:r>
          </w:p>
        </w:tc>
        <w:tc>
          <w:tcPr>
            <w:tcW w:w="710" w:type="pct"/>
            <w:tcBorders>
              <w:top w:val="nil"/>
              <w:left w:val="nil"/>
              <w:bottom w:val="nil"/>
              <w:right w:val="nil"/>
            </w:tcBorders>
            <w:vAlign w:val="bottom"/>
          </w:tcPr>
          <w:p w14:paraId="06C545C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(134)</w:t>
            </w:r>
          </w:p>
        </w:tc>
        <w:tc>
          <w:tcPr>
            <w:tcW w:w="595" w:type="pct"/>
            <w:tcBorders>
              <w:top w:val="nil"/>
              <w:left w:val="nil"/>
              <w:bottom w:val="nil"/>
              <w:right w:val="nil"/>
            </w:tcBorders>
            <w:vAlign w:val="bottom"/>
          </w:tcPr>
          <w:p w14:paraId="5913D11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(6)</w:t>
            </w:r>
          </w:p>
        </w:tc>
      </w:tr>
      <w:tr w:rsidR="002228B8" w14:paraId="2E85996F" w14:textId="77777777" w:rsidTr="00DF4A0D">
        <w:trPr>
          <w:cantSplit/>
          <w:jc w:val="center"/>
        </w:trPr>
        <w:tc>
          <w:tcPr>
            <w:tcW w:w="2985" w:type="pct"/>
            <w:tcBorders>
              <w:top w:val="nil"/>
              <w:left w:val="nil"/>
              <w:bottom w:val="nil"/>
              <w:right w:val="nil"/>
            </w:tcBorders>
          </w:tcPr>
          <w:p w14:paraId="609091E1" w14:textId="77777777" w:rsidR="00DF4A0D" w:rsidRPr="00571974" w:rsidRDefault="003D4D89" w:rsidP="00DF4A0D">
            <w:pPr>
              <w:tabs>
                <w:tab w:val="right" w:leader="dot" w:pos="5640"/>
              </w:tabs>
              <w:suppressAutoHyphens/>
              <w:ind w:left="400" w:hanging="200"/>
              <w:rPr>
                <w:sz w:val="18"/>
                <w:lang w:val="en-GB" w:eastAsia="en-GB" w:bidi="ar-SA"/>
              </w:rPr>
            </w:pPr>
            <w:r w:rsidRPr="00571974">
              <w:rPr>
                <w:sz w:val="18"/>
                <w:lang w:val="en-GB" w:eastAsia="en-GB" w:bidi="ar-SA"/>
              </w:rPr>
              <w:t>Profit before tax</w:t>
            </w:r>
            <w:r w:rsidRPr="00571974">
              <w:rPr>
                <w:sz w:val="18"/>
                <w:lang w:val="en-GB" w:eastAsia="en-GB" w:bidi="ar-SA"/>
              </w:rPr>
              <w:tab/>
            </w:r>
          </w:p>
        </w:tc>
        <w:tc>
          <w:tcPr>
            <w:tcW w:w="710" w:type="pct"/>
            <w:tcBorders>
              <w:top w:val="nil"/>
              <w:left w:val="nil"/>
              <w:bottom w:val="nil"/>
              <w:right w:val="nil"/>
            </w:tcBorders>
            <w:vAlign w:val="bottom"/>
          </w:tcPr>
          <w:p w14:paraId="2539580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5,505</w:t>
            </w:r>
          </w:p>
        </w:tc>
        <w:tc>
          <w:tcPr>
            <w:tcW w:w="710" w:type="pct"/>
            <w:tcBorders>
              <w:top w:val="nil"/>
              <w:left w:val="nil"/>
              <w:bottom w:val="nil"/>
              <w:right w:val="nil"/>
            </w:tcBorders>
            <w:vAlign w:val="bottom"/>
          </w:tcPr>
          <w:p w14:paraId="23F3D97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6,189</w:t>
            </w:r>
          </w:p>
        </w:tc>
        <w:tc>
          <w:tcPr>
            <w:tcW w:w="595" w:type="pct"/>
            <w:tcBorders>
              <w:top w:val="nil"/>
              <w:left w:val="nil"/>
              <w:bottom w:val="nil"/>
              <w:right w:val="nil"/>
            </w:tcBorders>
            <w:vAlign w:val="bottom"/>
          </w:tcPr>
          <w:p w14:paraId="5CEA95E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6,146</w:t>
            </w:r>
          </w:p>
        </w:tc>
      </w:tr>
      <w:tr w:rsidR="002228B8" w14:paraId="2CAD32C4" w14:textId="77777777" w:rsidTr="00DF4A0D">
        <w:trPr>
          <w:cantSplit/>
          <w:jc w:val="center"/>
        </w:trPr>
        <w:tc>
          <w:tcPr>
            <w:tcW w:w="2985" w:type="pct"/>
            <w:tcBorders>
              <w:top w:val="nil"/>
              <w:left w:val="nil"/>
              <w:bottom w:val="nil"/>
              <w:right w:val="nil"/>
            </w:tcBorders>
          </w:tcPr>
          <w:p w14:paraId="565BFAFC" w14:textId="77777777" w:rsidR="00DF4A0D" w:rsidRPr="00571974" w:rsidRDefault="003D4D89" w:rsidP="00DF4A0D">
            <w:pPr>
              <w:tabs>
                <w:tab w:val="right" w:leader="dot" w:pos="5640"/>
              </w:tabs>
              <w:suppressAutoHyphens/>
              <w:spacing w:after="20"/>
              <w:ind w:left="400" w:hanging="200"/>
              <w:rPr>
                <w:sz w:val="18"/>
                <w:lang w:val="en-GB" w:eastAsia="en-GB" w:bidi="ar-SA"/>
              </w:rPr>
            </w:pPr>
            <w:r w:rsidRPr="00571974">
              <w:rPr>
                <w:sz w:val="18"/>
                <w:lang w:val="en-GB" w:eastAsia="en-GB" w:bidi="ar-SA"/>
              </w:rPr>
              <w:t>Income tax expense</w:t>
            </w:r>
            <w:r w:rsidRPr="00571974">
              <w:rPr>
                <w:sz w:val="18"/>
                <w:lang w:val="en-GB" w:eastAsia="en-GB" w:bidi="ar-SA"/>
              </w:rPr>
              <w:tab/>
            </w:r>
          </w:p>
        </w:tc>
        <w:tc>
          <w:tcPr>
            <w:tcW w:w="710" w:type="pct"/>
            <w:tcBorders>
              <w:top w:val="nil"/>
              <w:left w:val="nil"/>
              <w:bottom w:val="nil"/>
              <w:right w:val="nil"/>
            </w:tcBorders>
            <w:vAlign w:val="bottom"/>
          </w:tcPr>
          <w:p w14:paraId="21B8703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(1,446)</w:t>
            </w:r>
          </w:p>
        </w:tc>
        <w:tc>
          <w:tcPr>
            <w:tcW w:w="710" w:type="pct"/>
            <w:tcBorders>
              <w:top w:val="nil"/>
              <w:left w:val="nil"/>
              <w:bottom w:val="nil"/>
              <w:right w:val="nil"/>
            </w:tcBorders>
            <w:vAlign w:val="bottom"/>
          </w:tcPr>
          <w:p w14:paraId="3BB5993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(1,816)</w:t>
            </w:r>
          </w:p>
        </w:tc>
        <w:tc>
          <w:tcPr>
            <w:tcW w:w="595" w:type="pct"/>
            <w:tcBorders>
              <w:top w:val="nil"/>
              <w:left w:val="nil"/>
              <w:bottom w:val="nil"/>
              <w:right w:val="nil"/>
            </w:tcBorders>
            <w:vAlign w:val="bottom"/>
          </w:tcPr>
          <w:p w14:paraId="40C3A56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(1,564)</w:t>
            </w:r>
          </w:p>
        </w:tc>
      </w:tr>
      <w:tr w:rsidR="002228B8" w14:paraId="036D3977" w14:textId="77777777" w:rsidTr="00DF4A0D">
        <w:trPr>
          <w:cantSplit/>
          <w:jc w:val="center"/>
        </w:trPr>
        <w:tc>
          <w:tcPr>
            <w:tcW w:w="2985" w:type="pct"/>
            <w:tcBorders>
              <w:top w:val="nil"/>
              <w:left w:val="nil"/>
              <w:bottom w:val="nil"/>
              <w:right w:val="nil"/>
            </w:tcBorders>
          </w:tcPr>
          <w:p w14:paraId="0B815496" w14:textId="77777777" w:rsidR="00DF4A0D" w:rsidRPr="00571974" w:rsidRDefault="003D4D89" w:rsidP="00DF4A0D">
            <w:pPr>
              <w:tabs>
                <w:tab w:val="right" w:leader="dot" w:pos="5640"/>
              </w:tabs>
              <w:suppressAutoHyphens/>
              <w:spacing w:after="40"/>
              <w:ind w:left="400" w:hanging="200"/>
              <w:rPr>
                <w:sz w:val="18"/>
                <w:lang w:val="en-GB" w:eastAsia="en-GB" w:bidi="ar-SA"/>
              </w:rPr>
            </w:pPr>
            <w:r w:rsidRPr="00571974">
              <w:rPr>
                <w:sz w:val="18"/>
                <w:lang w:val="en-GB" w:eastAsia="en-GB" w:bidi="ar-SA"/>
              </w:rPr>
              <w:t>Profit for the financial year</w:t>
            </w:r>
            <w:r w:rsidRPr="00571974">
              <w:rPr>
                <w:sz w:val="18"/>
                <w:lang w:val="en-GB" w:eastAsia="en-GB" w:bidi="ar-SA"/>
              </w:rPr>
              <w:tab/>
            </w:r>
          </w:p>
        </w:tc>
        <w:tc>
          <w:tcPr>
            <w:tcW w:w="710" w:type="pct"/>
            <w:tcBorders>
              <w:top w:val="nil"/>
              <w:left w:val="nil"/>
              <w:bottom w:val="nil"/>
              <w:right w:val="nil"/>
            </w:tcBorders>
            <w:vAlign w:val="bottom"/>
          </w:tcPr>
          <w:p w14:paraId="7B96A7A0"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4,059</w:t>
            </w:r>
          </w:p>
        </w:tc>
        <w:tc>
          <w:tcPr>
            <w:tcW w:w="710" w:type="pct"/>
            <w:tcBorders>
              <w:top w:val="nil"/>
              <w:left w:val="nil"/>
              <w:bottom w:val="nil"/>
              <w:right w:val="nil"/>
            </w:tcBorders>
            <w:vAlign w:val="bottom"/>
          </w:tcPr>
          <w:p w14:paraId="5DA99A9C"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4,373</w:t>
            </w:r>
          </w:p>
        </w:tc>
        <w:tc>
          <w:tcPr>
            <w:tcW w:w="595" w:type="pct"/>
            <w:tcBorders>
              <w:top w:val="nil"/>
              <w:left w:val="nil"/>
              <w:bottom w:val="nil"/>
              <w:right w:val="nil"/>
            </w:tcBorders>
            <w:vAlign w:val="bottom"/>
          </w:tcPr>
          <w:p w14:paraId="4E9D4BAE"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4,582</w:t>
            </w:r>
          </w:p>
        </w:tc>
      </w:tr>
      <w:tr w:rsidR="002228B8" w14:paraId="131E1172" w14:textId="77777777" w:rsidTr="00DF4A0D">
        <w:trPr>
          <w:cantSplit/>
          <w:jc w:val="center"/>
        </w:trPr>
        <w:tc>
          <w:tcPr>
            <w:tcW w:w="2985" w:type="pct"/>
            <w:tcBorders>
              <w:top w:val="nil"/>
              <w:left w:val="nil"/>
              <w:bottom w:val="nil"/>
              <w:right w:val="nil"/>
            </w:tcBorders>
          </w:tcPr>
          <w:p w14:paraId="10424940" w14:textId="77777777" w:rsidR="00DF4A0D" w:rsidRPr="00571974" w:rsidRDefault="003D4D89" w:rsidP="00DF4A0D">
            <w:pPr>
              <w:tabs>
                <w:tab w:val="right" w:leader="dot" w:pos="5640"/>
              </w:tabs>
              <w:suppressAutoHyphens/>
              <w:spacing w:after="40"/>
              <w:ind w:left="200" w:hanging="200"/>
              <w:rPr>
                <w:sz w:val="18"/>
                <w:lang w:val="en-GB" w:eastAsia="en-GB" w:bidi="ar-SA"/>
              </w:rPr>
            </w:pPr>
            <w:r w:rsidRPr="00571974">
              <w:rPr>
                <w:sz w:val="18"/>
                <w:lang w:val="en-GB" w:eastAsia="en-GB" w:bidi="ar-SA"/>
              </w:rPr>
              <w:t>Underlying EBIT</w:t>
            </w:r>
            <w:r w:rsidRPr="00571974">
              <w:rPr>
                <w:sz w:val="18"/>
                <w:lang w:val="en-GB" w:eastAsia="en-GB" w:bidi="ar-SA"/>
              </w:rPr>
              <w:tab/>
            </w:r>
          </w:p>
        </w:tc>
        <w:tc>
          <w:tcPr>
            <w:tcW w:w="710" w:type="pct"/>
            <w:tcBorders>
              <w:top w:val="nil"/>
              <w:left w:val="nil"/>
              <w:bottom w:val="nil"/>
              <w:right w:val="nil"/>
            </w:tcBorders>
            <w:vAlign w:val="bottom"/>
          </w:tcPr>
          <w:p w14:paraId="5A00C682"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6,247</w:t>
            </w:r>
          </w:p>
        </w:tc>
        <w:tc>
          <w:tcPr>
            <w:tcW w:w="710" w:type="pct"/>
            <w:tcBorders>
              <w:top w:val="nil"/>
              <w:left w:val="nil"/>
              <w:bottom w:val="nil"/>
              <w:right w:val="nil"/>
            </w:tcBorders>
            <w:vAlign w:val="bottom"/>
          </w:tcPr>
          <w:p w14:paraId="6ACC5426"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6,377</w:t>
            </w:r>
          </w:p>
        </w:tc>
        <w:tc>
          <w:tcPr>
            <w:tcW w:w="595" w:type="pct"/>
            <w:tcBorders>
              <w:top w:val="nil"/>
              <w:left w:val="nil"/>
              <w:bottom w:val="nil"/>
              <w:right w:val="nil"/>
            </w:tcBorders>
            <w:vAlign w:val="bottom"/>
          </w:tcPr>
          <w:p w14:paraId="3BC5175D"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7,010</w:t>
            </w:r>
          </w:p>
        </w:tc>
      </w:tr>
      <w:tr w:rsidR="002228B8" w14:paraId="51A67514" w14:textId="77777777" w:rsidTr="00DF4A0D">
        <w:trPr>
          <w:cantSplit/>
          <w:jc w:val="center"/>
        </w:trPr>
        <w:tc>
          <w:tcPr>
            <w:tcW w:w="2985" w:type="pct"/>
            <w:tcBorders>
              <w:top w:val="nil"/>
              <w:left w:val="nil"/>
              <w:bottom w:val="nil"/>
              <w:right w:val="nil"/>
            </w:tcBorders>
          </w:tcPr>
          <w:p w14:paraId="039000E9" w14:textId="77777777" w:rsidR="00DF4A0D" w:rsidRPr="00571974" w:rsidRDefault="003D4D89" w:rsidP="00DF4A0D">
            <w:pPr>
              <w:tabs>
                <w:tab w:val="right" w:leader="dot" w:pos="5640"/>
              </w:tabs>
              <w:suppressAutoHyphens/>
              <w:spacing w:after="40"/>
              <w:ind w:left="200" w:hanging="200"/>
              <w:rPr>
                <w:sz w:val="18"/>
                <w:lang w:val="en-GB" w:eastAsia="en-GB" w:bidi="ar-SA"/>
              </w:rPr>
            </w:pPr>
            <w:r w:rsidRPr="00571974">
              <w:rPr>
                <w:sz w:val="18"/>
                <w:lang w:val="en-GB" w:eastAsia="en-GB" w:bidi="ar-SA"/>
              </w:rPr>
              <w:t>Underlying earnings</w:t>
            </w:r>
            <w:r w:rsidRPr="00571974">
              <w:rPr>
                <w:sz w:val="18"/>
                <w:lang w:val="en-GB" w:eastAsia="en-GB" w:bidi="ar-SA"/>
              </w:rPr>
              <w:tab/>
            </w:r>
          </w:p>
        </w:tc>
        <w:tc>
          <w:tcPr>
            <w:tcW w:w="710" w:type="pct"/>
            <w:tcBorders>
              <w:top w:val="nil"/>
              <w:left w:val="nil"/>
              <w:bottom w:val="nil"/>
              <w:right w:val="nil"/>
            </w:tcBorders>
            <w:vAlign w:val="bottom"/>
          </w:tcPr>
          <w:p w14:paraId="467F8A7D"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3,272</w:t>
            </w:r>
          </w:p>
        </w:tc>
        <w:tc>
          <w:tcPr>
            <w:tcW w:w="710" w:type="pct"/>
            <w:tcBorders>
              <w:top w:val="nil"/>
              <w:left w:val="nil"/>
              <w:bottom w:val="nil"/>
              <w:right w:val="nil"/>
            </w:tcBorders>
            <w:vAlign w:val="bottom"/>
          </w:tcPr>
          <w:p w14:paraId="25F0BED2"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3,237</w:t>
            </w:r>
          </w:p>
        </w:tc>
        <w:tc>
          <w:tcPr>
            <w:tcW w:w="595" w:type="pct"/>
            <w:tcBorders>
              <w:top w:val="nil"/>
              <w:left w:val="nil"/>
              <w:bottom w:val="nil"/>
              <w:right w:val="nil"/>
            </w:tcBorders>
            <w:vAlign w:val="bottom"/>
          </w:tcPr>
          <w:p w14:paraId="1FD536DD"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3,468</w:t>
            </w:r>
          </w:p>
        </w:tc>
      </w:tr>
      <w:tr w:rsidR="002228B8" w14:paraId="3C6B2EE4" w14:textId="77777777" w:rsidTr="00DF4A0D">
        <w:trPr>
          <w:cantSplit/>
          <w:jc w:val="center"/>
        </w:trPr>
        <w:tc>
          <w:tcPr>
            <w:tcW w:w="2985" w:type="pct"/>
            <w:tcBorders>
              <w:top w:val="nil"/>
              <w:left w:val="nil"/>
              <w:bottom w:val="nil"/>
              <w:right w:val="nil"/>
            </w:tcBorders>
          </w:tcPr>
          <w:p w14:paraId="79E6745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sz w:val="18"/>
                <w:lang w:val="en-GB" w:eastAsia="en-GB" w:bidi="ar-SA"/>
              </w:rPr>
              <w:t>Dividends per share (U.S. cents)</w:t>
            </w:r>
            <w:r w:rsidRPr="00571974">
              <w:rPr>
                <w:sz w:val="18"/>
                <w:vertAlign w:val="superscript"/>
                <w:lang w:val="en-GB" w:eastAsia="en-GB" w:bidi="ar-SA"/>
              </w:rPr>
              <w:t>(2)</w:t>
            </w:r>
          </w:p>
        </w:tc>
        <w:tc>
          <w:tcPr>
            <w:tcW w:w="710" w:type="pct"/>
            <w:tcBorders>
              <w:top w:val="nil"/>
              <w:left w:val="nil"/>
              <w:bottom w:val="nil"/>
              <w:right w:val="nil"/>
            </w:tcBorders>
            <w:vAlign w:val="bottom"/>
          </w:tcPr>
          <w:p w14:paraId="1909A23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710" w:type="pct"/>
            <w:tcBorders>
              <w:top w:val="nil"/>
              <w:left w:val="nil"/>
              <w:bottom w:val="nil"/>
              <w:right w:val="nil"/>
            </w:tcBorders>
            <w:vAlign w:val="bottom"/>
          </w:tcPr>
          <w:p w14:paraId="21A100CF"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95" w:type="pct"/>
            <w:tcBorders>
              <w:top w:val="nil"/>
              <w:left w:val="nil"/>
              <w:bottom w:val="nil"/>
              <w:right w:val="nil"/>
            </w:tcBorders>
            <w:vAlign w:val="bottom"/>
          </w:tcPr>
          <w:p w14:paraId="38A8BD19"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6449544B" w14:textId="77777777" w:rsidTr="00DF4A0D">
        <w:trPr>
          <w:cantSplit/>
          <w:jc w:val="center"/>
        </w:trPr>
        <w:tc>
          <w:tcPr>
            <w:tcW w:w="2985" w:type="pct"/>
            <w:tcBorders>
              <w:top w:val="nil"/>
              <w:left w:val="nil"/>
              <w:bottom w:val="nil"/>
              <w:right w:val="nil"/>
            </w:tcBorders>
          </w:tcPr>
          <w:p w14:paraId="76F2AD41" w14:textId="77777777" w:rsidR="00DF4A0D" w:rsidRPr="00571974" w:rsidRDefault="003D4D89" w:rsidP="00DF4A0D">
            <w:pPr>
              <w:tabs>
                <w:tab w:val="right" w:leader="dot" w:pos="5640"/>
              </w:tabs>
              <w:suppressAutoHyphens/>
              <w:ind w:left="200" w:hanging="200"/>
              <w:rPr>
                <w:sz w:val="18"/>
                <w:lang w:val="en-GB" w:eastAsia="en-GB" w:bidi="ar-SA"/>
              </w:rPr>
            </w:pPr>
            <w:r w:rsidRPr="00571974">
              <w:rPr>
                <w:sz w:val="18"/>
                <w:lang w:val="en-GB" w:eastAsia="en-GB" w:bidi="ar-SA"/>
              </w:rPr>
              <w:t>Ordinary</w:t>
            </w:r>
            <w:r w:rsidRPr="00571974">
              <w:rPr>
                <w:sz w:val="18"/>
                <w:lang w:val="en-GB" w:eastAsia="en-GB" w:bidi="ar-SA"/>
              </w:rPr>
              <w:tab/>
            </w:r>
          </w:p>
        </w:tc>
        <w:tc>
          <w:tcPr>
            <w:tcW w:w="710" w:type="pct"/>
            <w:tcBorders>
              <w:top w:val="nil"/>
              <w:left w:val="nil"/>
              <w:bottom w:val="nil"/>
              <w:right w:val="nil"/>
            </w:tcBorders>
            <w:vAlign w:val="bottom"/>
          </w:tcPr>
          <w:p w14:paraId="56ED7AF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102.0</w:t>
            </w:r>
          </w:p>
        </w:tc>
        <w:tc>
          <w:tcPr>
            <w:tcW w:w="710" w:type="pct"/>
            <w:tcBorders>
              <w:top w:val="nil"/>
              <w:left w:val="nil"/>
              <w:bottom w:val="nil"/>
              <w:right w:val="nil"/>
            </w:tcBorders>
            <w:vAlign w:val="bottom"/>
          </w:tcPr>
          <w:p w14:paraId="6F9251C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100.0</w:t>
            </w:r>
          </w:p>
        </w:tc>
        <w:tc>
          <w:tcPr>
            <w:tcW w:w="595" w:type="pct"/>
            <w:tcBorders>
              <w:top w:val="nil"/>
              <w:left w:val="nil"/>
              <w:bottom w:val="nil"/>
              <w:right w:val="nil"/>
            </w:tcBorders>
            <w:vAlign w:val="bottom"/>
          </w:tcPr>
          <w:p w14:paraId="5B58448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109.0</w:t>
            </w:r>
          </w:p>
        </w:tc>
      </w:tr>
      <w:tr w:rsidR="002228B8" w14:paraId="3184A5B4" w14:textId="77777777" w:rsidTr="00DF4A0D">
        <w:trPr>
          <w:cantSplit/>
          <w:jc w:val="center"/>
        </w:trPr>
        <w:tc>
          <w:tcPr>
            <w:tcW w:w="2985" w:type="pct"/>
            <w:tcBorders>
              <w:top w:val="nil"/>
              <w:left w:val="nil"/>
              <w:bottom w:val="nil"/>
              <w:right w:val="nil"/>
            </w:tcBorders>
          </w:tcPr>
          <w:p w14:paraId="6C33A10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lang w:val="en-GB" w:eastAsia="en-GB" w:bidi="ar-SA"/>
              </w:rPr>
            </w:pPr>
            <w:r w:rsidRPr="00571974">
              <w:rPr>
                <w:b/>
                <w:bCs/>
                <w:sz w:val="18"/>
                <w:lang w:val="en-GB" w:eastAsia="en-GB" w:bidi="ar-SA"/>
              </w:rPr>
              <w:t>Balance sheet</w:t>
            </w:r>
          </w:p>
        </w:tc>
        <w:tc>
          <w:tcPr>
            <w:tcW w:w="710" w:type="pct"/>
            <w:tcBorders>
              <w:top w:val="nil"/>
              <w:left w:val="nil"/>
              <w:bottom w:val="nil"/>
              <w:right w:val="nil"/>
            </w:tcBorders>
            <w:vAlign w:val="bottom"/>
          </w:tcPr>
          <w:p w14:paraId="13B4827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710" w:type="pct"/>
            <w:tcBorders>
              <w:top w:val="nil"/>
              <w:left w:val="nil"/>
              <w:bottom w:val="nil"/>
              <w:right w:val="nil"/>
            </w:tcBorders>
            <w:vAlign w:val="bottom"/>
          </w:tcPr>
          <w:p w14:paraId="0EFD3C97"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c>
          <w:tcPr>
            <w:tcW w:w="595" w:type="pct"/>
            <w:tcBorders>
              <w:top w:val="nil"/>
              <w:left w:val="nil"/>
              <w:bottom w:val="nil"/>
              <w:right w:val="nil"/>
            </w:tcBorders>
            <w:vAlign w:val="bottom"/>
          </w:tcPr>
          <w:p w14:paraId="240A12E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p>
        </w:tc>
      </w:tr>
      <w:tr w:rsidR="002228B8" w14:paraId="63BBE4E6" w14:textId="77777777" w:rsidTr="00DF4A0D">
        <w:trPr>
          <w:cantSplit/>
          <w:jc w:val="center"/>
        </w:trPr>
        <w:tc>
          <w:tcPr>
            <w:tcW w:w="2985" w:type="pct"/>
            <w:tcBorders>
              <w:top w:val="nil"/>
              <w:left w:val="nil"/>
              <w:bottom w:val="nil"/>
              <w:right w:val="nil"/>
            </w:tcBorders>
          </w:tcPr>
          <w:p w14:paraId="48D5A62F" w14:textId="77777777" w:rsidR="00DF4A0D" w:rsidRPr="00571974" w:rsidRDefault="003D4D89" w:rsidP="00DF4A0D">
            <w:pPr>
              <w:tabs>
                <w:tab w:val="right" w:leader="dot" w:pos="5640"/>
              </w:tabs>
              <w:suppressAutoHyphens/>
              <w:ind w:left="200" w:hanging="200"/>
              <w:rPr>
                <w:sz w:val="18"/>
                <w:lang w:val="en-GB" w:eastAsia="en-GB" w:bidi="ar-SA"/>
              </w:rPr>
            </w:pPr>
            <w:r w:rsidRPr="00571974">
              <w:rPr>
                <w:sz w:val="18"/>
                <w:lang w:val="en-GB" w:eastAsia="en-GB" w:bidi="ar-SA"/>
              </w:rPr>
              <w:t>Total assets</w:t>
            </w:r>
            <w:r w:rsidRPr="00571974">
              <w:rPr>
                <w:sz w:val="18"/>
                <w:lang w:val="en-GB" w:eastAsia="en-GB" w:bidi="ar-SA"/>
              </w:rPr>
              <w:tab/>
            </w:r>
          </w:p>
        </w:tc>
        <w:tc>
          <w:tcPr>
            <w:tcW w:w="710" w:type="pct"/>
            <w:tcBorders>
              <w:top w:val="nil"/>
              <w:left w:val="nil"/>
              <w:bottom w:val="nil"/>
              <w:right w:val="nil"/>
            </w:tcBorders>
            <w:vAlign w:val="bottom"/>
          </w:tcPr>
          <w:p w14:paraId="475530F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54,561</w:t>
            </w:r>
          </w:p>
        </w:tc>
        <w:tc>
          <w:tcPr>
            <w:tcW w:w="710" w:type="pct"/>
            <w:tcBorders>
              <w:top w:val="nil"/>
              <w:left w:val="nil"/>
              <w:bottom w:val="nil"/>
              <w:right w:val="nil"/>
            </w:tcBorders>
            <w:vAlign w:val="bottom"/>
          </w:tcPr>
          <w:p w14:paraId="2A44500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52,196</w:t>
            </w:r>
          </w:p>
        </w:tc>
        <w:tc>
          <w:tcPr>
            <w:tcW w:w="595" w:type="pct"/>
            <w:tcBorders>
              <w:top w:val="nil"/>
              <w:left w:val="nil"/>
              <w:bottom w:val="nil"/>
              <w:right w:val="nil"/>
            </w:tcBorders>
            <w:vAlign w:val="bottom"/>
          </w:tcPr>
          <w:p w14:paraId="19BF877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56,152</w:t>
            </w:r>
          </w:p>
        </w:tc>
      </w:tr>
      <w:tr w:rsidR="002228B8" w14:paraId="3D7FE2D8" w14:textId="77777777" w:rsidTr="00DF4A0D">
        <w:trPr>
          <w:cantSplit/>
          <w:jc w:val="center"/>
        </w:trPr>
        <w:tc>
          <w:tcPr>
            <w:tcW w:w="2985" w:type="pct"/>
            <w:tcBorders>
              <w:top w:val="nil"/>
              <w:left w:val="nil"/>
              <w:bottom w:val="nil"/>
              <w:right w:val="nil"/>
            </w:tcBorders>
          </w:tcPr>
          <w:p w14:paraId="3A492625" w14:textId="77777777" w:rsidR="00DF4A0D" w:rsidRPr="00571974" w:rsidRDefault="003D4D89" w:rsidP="00DF4A0D">
            <w:pPr>
              <w:tabs>
                <w:tab w:val="right" w:leader="dot" w:pos="5640"/>
              </w:tabs>
              <w:suppressAutoHyphens/>
              <w:ind w:left="200" w:hanging="200"/>
              <w:rPr>
                <w:sz w:val="18"/>
                <w:lang w:val="en-GB" w:eastAsia="en-GB" w:bidi="ar-SA"/>
              </w:rPr>
            </w:pPr>
            <w:r w:rsidRPr="00571974">
              <w:rPr>
                <w:sz w:val="18"/>
                <w:lang w:val="en-GB" w:eastAsia="en-GB" w:bidi="ar-SA"/>
              </w:rPr>
              <w:t>Net assets</w:t>
            </w:r>
            <w:r w:rsidRPr="00571974">
              <w:rPr>
                <w:sz w:val="18"/>
                <w:lang w:val="en-GB" w:eastAsia="en-GB" w:bidi="ar-SA"/>
              </w:rPr>
              <w:tab/>
            </w:r>
          </w:p>
        </w:tc>
        <w:tc>
          <w:tcPr>
            <w:tcW w:w="710" w:type="pct"/>
            <w:tcBorders>
              <w:top w:val="nil"/>
              <w:left w:val="nil"/>
              <w:bottom w:val="nil"/>
              <w:right w:val="nil"/>
            </w:tcBorders>
            <w:vAlign w:val="bottom"/>
          </w:tcPr>
          <w:p w14:paraId="2349241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28,882</w:t>
            </w:r>
          </w:p>
        </w:tc>
        <w:tc>
          <w:tcPr>
            <w:tcW w:w="710" w:type="pct"/>
            <w:tcBorders>
              <w:top w:val="nil"/>
              <w:left w:val="nil"/>
              <w:bottom w:val="nil"/>
              <w:right w:val="nil"/>
            </w:tcBorders>
            <w:vAlign w:val="bottom"/>
          </w:tcPr>
          <w:p w14:paraId="47F99D1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29,832</w:t>
            </w:r>
          </w:p>
        </w:tc>
        <w:tc>
          <w:tcPr>
            <w:tcW w:w="595" w:type="pct"/>
            <w:tcBorders>
              <w:top w:val="nil"/>
              <w:left w:val="nil"/>
              <w:bottom w:val="nil"/>
              <w:right w:val="nil"/>
            </w:tcBorders>
            <w:vAlign w:val="bottom"/>
          </w:tcPr>
          <w:p w14:paraId="4E0C009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31,385</w:t>
            </w:r>
          </w:p>
        </w:tc>
      </w:tr>
      <w:tr w:rsidR="002228B8" w14:paraId="0AFCF5A5" w14:textId="77777777" w:rsidTr="00DF4A0D">
        <w:trPr>
          <w:cantSplit/>
          <w:jc w:val="center"/>
        </w:trPr>
        <w:tc>
          <w:tcPr>
            <w:tcW w:w="2985" w:type="pct"/>
            <w:tcBorders>
              <w:top w:val="nil"/>
              <w:left w:val="nil"/>
              <w:bottom w:val="nil"/>
              <w:right w:val="nil"/>
            </w:tcBorders>
          </w:tcPr>
          <w:p w14:paraId="6E2E5C92" w14:textId="77777777" w:rsidR="00DF4A0D" w:rsidRPr="00571974" w:rsidRDefault="003D4D89" w:rsidP="00DF4A0D">
            <w:pPr>
              <w:tabs>
                <w:tab w:val="right" w:leader="dot" w:pos="5640"/>
              </w:tabs>
              <w:suppressAutoHyphens/>
              <w:ind w:left="200" w:hanging="200"/>
              <w:rPr>
                <w:sz w:val="18"/>
                <w:lang w:val="en-GB" w:eastAsia="en-GB" w:bidi="ar-SA"/>
              </w:rPr>
            </w:pPr>
            <w:r w:rsidRPr="00571974">
              <w:rPr>
                <w:sz w:val="18"/>
                <w:lang w:val="en-GB" w:eastAsia="en-GB" w:bidi="ar-SA"/>
              </w:rPr>
              <w:t>Total share capital</w:t>
            </w:r>
            <w:r w:rsidRPr="00571974">
              <w:rPr>
                <w:sz w:val="18"/>
                <w:lang w:val="en-GB" w:eastAsia="en-GB" w:bidi="ar-SA"/>
              </w:rPr>
              <w:tab/>
            </w:r>
          </w:p>
        </w:tc>
        <w:tc>
          <w:tcPr>
            <w:tcW w:w="710" w:type="pct"/>
            <w:tcBorders>
              <w:top w:val="nil"/>
              <w:left w:val="nil"/>
              <w:bottom w:val="nil"/>
              <w:right w:val="nil"/>
            </w:tcBorders>
            <w:vAlign w:val="bottom"/>
          </w:tcPr>
          <w:p w14:paraId="03A240A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5,130</w:t>
            </w:r>
          </w:p>
        </w:tc>
        <w:tc>
          <w:tcPr>
            <w:tcW w:w="710" w:type="pct"/>
            <w:tcBorders>
              <w:top w:val="nil"/>
              <w:left w:val="nil"/>
              <w:bottom w:val="nil"/>
              <w:right w:val="nil"/>
            </w:tcBorders>
            <w:vAlign w:val="bottom"/>
          </w:tcPr>
          <w:p w14:paraId="02972B0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5,130</w:t>
            </w:r>
          </w:p>
        </w:tc>
        <w:tc>
          <w:tcPr>
            <w:tcW w:w="595" w:type="pct"/>
            <w:tcBorders>
              <w:top w:val="nil"/>
              <w:left w:val="nil"/>
              <w:bottom w:val="nil"/>
              <w:right w:val="nil"/>
            </w:tcBorders>
            <w:vAlign w:val="bottom"/>
          </w:tcPr>
          <w:p w14:paraId="7C595AC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5,111</w:t>
            </w:r>
          </w:p>
        </w:tc>
      </w:tr>
      <w:tr w:rsidR="002228B8" w14:paraId="45D2CD96" w14:textId="77777777" w:rsidTr="00DF4A0D">
        <w:trPr>
          <w:cantSplit/>
          <w:jc w:val="center"/>
        </w:trPr>
        <w:tc>
          <w:tcPr>
            <w:tcW w:w="2985" w:type="pct"/>
            <w:tcBorders>
              <w:top w:val="nil"/>
              <w:left w:val="nil"/>
              <w:bottom w:val="nil"/>
              <w:right w:val="nil"/>
            </w:tcBorders>
          </w:tcPr>
          <w:p w14:paraId="25686188" w14:textId="77777777" w:rsidR="00DF4A0D" w:rsidRPr="00571974" w:rsidRDefault="003D4D89" w:rsidP="00DF4A0D">
            <w:pPr>
              <w:tabs>
                <w:tab w:val="right" w:leader="dot" w:pos="5640"/>
              </w:tabs>
              <w:suppressAutoHyphens/>
              <w:ind w:left="200" w:hanging="200"/>
              <w:rPr>
                <w:sz w:val="18"/>
                <w:lang w:val="en-GB" w:eastAsia="en-GB" w:bidi="ar-SA"/>
              </w:rPr>
            </w:pPr>
            <w:r w:rsidRPr="00571974">
              <w:rPr>
                <w:sz w:val="18"/>
                <w:lang w:val="en-GB" w:eastAsia="en-GB" w:bidi="ar-SA"/>
              </w:rPr>
              <w:t>Net debt</w:t>
            </w:r>
            <w:r w:rsidRPr="00571974">
              <w:rPr>
                <w:sz w:val="18"/>
                <w:lang w:val="en-GB" w:eastAsia="en-GB" w:bidi="ar-SA"/>
              </w:rPr>
              <w:tab/>
            </w:r>
          </w:p>
        </w:tc>
        <w:tc>
          <w:tcPr>
            <w:tcW w:w="710" w:type="pct"/>
            <w:tcBorders>
              <w:top w:val="nil"/>
              <w:left w:val="nil"/>
              <w:bottom w:val="nil"/>
              <w:right w:val="nil"/>
            </w:tcBorders>
            <w:vAlign w:val="bottom"/>
          </w:tcPr>
          <w:p w14:paraId="307266C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(4,501)</w:t>
            </w:r>
          </w:p>
        </w:tc>
        <w:tc>
          <w:tcPr>
            <w:tcW w:w="710" w:type="pct"/>
            <w:tcBorders>
              <w:top w:val="nil"/>
              <w:left w:val="nil"/>
              <w:bottom w:val="nil"/>
              <w:right w:val="nil"/>
            </w:tcBorders>
            <w:vAlign w:val="bottom"/>
          </w:tcPr>
          <w:p w14:paraId="2FDE18B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(2,848)</w:t>
            </w:r>
          </w:p>
        </w:tc>
        <w:tc>
          <w:tcPr>
            <w:tcW w:w="595" w:type="pct"/>
            <w:tcBorders>
              <w:top w:val="nil"/>
              <w:left w:val="nil"/>
              <w:bottom w:val="nil"/>
              <w:right w:val="nil"/>
            </w:tcBorders>
            <w:vAlign w:val="bottom"/>
          </w:tcPr>
          <w:p w14:paraId="766618D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(4,626)</w:t>
            </w:r>
          </w:p>
        </w:tc>
      </w:tr>
    </w:tbl>
    <w:p w14:paraId="4325CE3B" w14:textId="77777777" w:rsidR="00DF4A0D" w:rsidRPr="00571974" w:rsidRDefault="00836D74" w:rsidP="00DF4A0D">
      <w:pPr>
        <w:rPr>
          <w:sz w:val="16"/>
          <w:szCs w:val="18"/>
          <w:lang w:val="en-GB"/>
        </w:rPr>
      </w:pPr>
      <w:r>
        <w:rPr>
          <w:lang w:val="en-GB"/>
        </w:rPr>
        <w:pict w14:anchorId="74B5458E">
          <v:rect id="_x0000_i1045" style="width:184.5pt;height:1pt" o:hrpct="250" o:hrstd="t" o:hrnoshade="t" o:hr="t" fillcolor="black" stroked="f"/>
        </w:pict>
      </w:r>
    </w:p>
    <w:tbl>
      <w:tblPr>
        <w:tblW w:w="5000" w:type="pct"/>
        <w:jc w:val="center"/>
        <w:tblCellMar>
          <w:left w:w="72" w:type="dxa"/>
          <w:right w:w="72" w:type="dxa"/>
        </w:tblCellMar>
        <w:tblLook w:val="0000" w:firstRow="0" w:lastRow="0" w:firstColumn="0" w:lastColumn="0" w:noHBand="0" w:noVBand="0"/>
      </w:tblPr>
      <w:tblGrid>
        <w:gridCol w:w="346"/>
        <w:gridCol w:w="5239"/>
        <w:gridCol w:w="1329"/>
        <w:gridCol w:w="9"/>
        <w:gridCol w:w="1323"/>
        <w:gridCol w:w="1110"/>
      </w:tblGrid>
      <w:tr w:rsidR="002228B8" w14:paraId="7DD27C4C" w14:textId="77777777" w:rsidTr="00DF4A0D">
        <w:trPr>
          <w:cantSplit/>
          <w:jc w:val="center"/>
        </w:trPr>
        <w:tc>
          <w:tcPr>
            <w:tcW w:w="5000" w:type="pct"/>
            <w:gridSpan w:val="6"/>
            <w:tcBorders>
              <w:top w:val="nil"/>
              <w:left w:val="nil"/>
              <w:bottom w:val="nil"/>
              <w:right w:val="nil"/>
            </w:tcBorders>
          </w:tcPr>
          <w:p w14:paraId="1C658600" w14:textId="41332CAD" w:rsidR="00DF4A0D" w:rsidRPr="00571974" w:rsidRDefault="003D4D89" w:rsidP="003D4D89">
            <w:pPr>
              <w:pStyle w:val="ListParagraph"/>
              <w:widowControl/>
              <w:numPr>
                <w:ilvl w:val="0"/>
                <w:numId w:val="14"/>
              </w:numPr>
              <w:suppressAutoHyphens/>
              <w:ind w:left="284" w:hanging="284"/>
              <w:rPr>
                <w:sz w:val="16"/>
                <w:lang w:val="en-GB" w:eastAsia="en-GB" w:bidi="ar-SA"/>
              </w:rPr>
            </w:pPr>
            <w:r w:rsidRPr="00571974">
              <w:rPr>
                <w:sz w:val="16"/>
                <w:lang w:val="en-GB" w:eastAsia="en-GB" w:bidi="ar-SA"/>
              </w:rPr>
              <w:t>Associates</w:t>
            </w:r>
            <w:r w:rsidR="00A311D8">
              <w:rPr>
                <w:sz w:val="16"/>
                <w:lang w:val="en-GB" w:eastAsia="en-GB" w:bidi="ar-SA"/>
              </w:rPr>
              <w:t>’</w:t>
            </w:r>
            <w:r w:rsidRPr="00571974">
              <w:rPr>
                <w:sz w:val="16"/>
                <w:lang w:val="en-GB" w:eastAsia="en-GB" w:bidi="ar-SA"/>
              </w:rPr>
              <w:t xml:space="preserve"> EBIT is reconciled to </w:t>
            </w:r>
            <w:r w:rsidR="00A311D8">
              <w:rPr>
                <w:sz w:val="16"/>
                <w:lang w:val="en-GB" w:eastAsia="en-GB" w:bidi="ar-SA"/>
              </w:rPr>
              <w:t>“</w:t>
            </w:r>
            <w:r w:rsidRPr="00571974">
              <w:rPr>
                <w:sz w:val="16"/>
                <w:lang w:val="en-GB" w:eastAsia="en-GB" w:bidi="ar-SA"/>
              </w:rPr>
              <w:t>Share of net income from associates and joint ventures</w:t>
            </w:r>
            <w:r w:rsidR="00A311D8">
              <w:rPr>
                <w:sz w:val="16"/>
                <w:lang w:val="en-GB" w:eastAsia="en-GB" w:bidi="ar-SA"/>
              </w:rPr>
              <w:t>”</w:t>
            </w:r>
            <w:r w:rsidRPr="00571974">
              <w:rPr>
                <w:sz w:val="16"/>
                <w:lang w:val="en-GB" w:eastAsia="en-GB" w:bidi="ar-SA"/>
              </w:rPr>
              <w:t xml:space="preserve"> as follows:</w:t>
            </w:r>
          </w:p>
        </w:tc>
      </w:tr>
      <w:tr w:rsidR="002228B8" w14:paraId="52A35B74" w14:textId="77777777" w:rsidTr="00DF4A0D">
        <w:trPr>
          <w:cantSplit/>
          <w:jc w:val="center"/>
        </w:trPr>
        <w:tc>
          <w:tcPr>
            <w:tcW w:w="2985" w:type="pct"/>
            <w:gridSpan w:val="2"/>
            <w:tcBorders>
              <w:top w:val="nil"/>
              <w:left w:val="nil"/>
              <w:bottom w:val="nil"/>
              <w:right w:val="nil"/>
            </w:tcBorders>
          </w:tcPr>
          <w:p w14:paraId="0EF768B2"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 xml:space="preserve">         Revenue</w:t>
            </w:r>
            <w:r w:rsidRPr="00571974">
              <w:rPr>
                <w:sz w:val="16"/>
                <w:lang w:val="en-GB" w:eastAsia="en-GB" w:bidi="ar-SA"/>
              </w:rPr>
              <w:tab/>
            </w:r>
          </w:p>
        </w:tc>
        <w:tc>
          <w:tcPr>
            <w:tcW w:w="710" w:type="pct"/>
            <w:tcBorders>
              <w:top w:val="nil"/>
              <w:left w:val="nil"/>
              <w:bottom w:val="nil"/>
              <w:right w:val="nil"/>
            </w:tcBorders>
            <w:vAlign w:val="bottom"/>
          </w:tcPr>
          <w:p w14:paraId="44783C85" w14:textId="77777777" w:rsidR="00DF4A0D" w:rsidRPr="00571974" w:rsidRDefault="003D4D89" w:rsidP="00DF4A0D">
            <w:pPr>
              <w:tabs>
                <w:tab w:val="right" w:leader="dot" w:pos="5020"/>
              </w:tabs>
              <w:suppressAutoHyphens/>
              <w:jc w:val="right"/>
              <w:rPr>
                <w:sz w:val="16"/>
                <w:lang w:val="en-GB" w:eastAsia="en-GB" w:bidi="ar-SA"/>
              </w:rPr>
            </w:pPr>
            <w:r w:rsidRPr="00571974">
              <w:rPr>
                <w:sz w:val="16"/>
                <w:lang w:val="en-GB" w:eastAsia="en-GB" w:bidi="ar-SA"/>
              </w:rPr>
              <w:t>2,407</w:t>
            </w:r>
          </w:p>
        </w:tc>
        <w:tc>
          <w:tcPr>
            <w:tcW w:w="712" w:type="pct"/>
            <w:gridSpan w:val="2"/>
            <w:tcBorders>
              <w:top w:val="nil"/>
              <w:left w:val="nil"/>
              <w:bottom w:val="nil"/>
              <w:right w:val="nil"/>
            </w:tcBorders>
            <w:vAlign w:val="bottom"/>
          </w:tcPr>
          <w:p w14:paraId="53B69B93" w14:textId="77777777" w:rsidR="00DF4A0D" w:rsidRPr="00571974" w:rsidRDefault="003D4D89" w:rsidP="00DF4A0D">
            <w:pPr>
              <w:tabs>
                <w:tab w:val="right" w:leader="dot" w:pos="5020"/>
              </w:tabs>
              <w:suppressAutoHyphens/>
              <w:jc w:val="right"/>
              <w:rPr>
                <w:sz w:val="16"/>
                <w:lang w:val="en-GB" w:eastAsia="en-GB" w:bidi="ar-SA"/>
              </w:rPr>
            </w:pPr>
            <w:r w:rsidRPr="00571974">
              <w:rPr>
                <w:sz w:val="16"/>
                <w:lang w:val="en-GB" w:eastAsia="en-GB" w:bidi="ar-SA"/>
              </w:rPr>
              <w:t>2,586</w:t>
            </w:r>
          </w:p>
        </w:tc>
        <w:tc>
          <w:tcPr>
            <w:tcW w:w="593" w:type="pct"/>
            <w:tcBorders>
              <w:top w:val="nil"/>
              <w:left w:val="nil"/>
              <w:bottom w:val="nil"/>
              <w:right w:val="nil"/>
            </w:tcBorders>
            <w:vAlign w:val="bottom"/>
          </w:tcPr>
          <w:p w14:paraId="1F7B2767" w14:textId="77777777" w:rsidR="00DF4A0D" w:rsidRPr="00571974" w:rsidRDefault="003D4D89" w:rsidP="00DF4A0D">
            <w:pPr>
              <w:tabs>
                <w:tab w:val="right" w:leader="dot" w:pos="5020"/>
              </w:tabs>
              <w:suppressAutoHyphens/>
              <w:jc w:val="right"/>
              <w:rPr>
                <w:sz w:val="16"/>
                <w:lang w:val="en-GB" w:eastAsia="en-GB" w:bidi="ar-SA"/>
              </w:rPr>
            </w:pPr>
            <w:r w:rsidRPr="00571974">
              <w:rPr>
                <w:sz w:val="16"/>
                <w:lang w:val="en-GB" w:eastAsia="en-GB" w:bidi="ar-SA"/>
              </w:rPr>
              <w:t>1,955</w:t>
            </w:r>
          </w:p>
        </w:tc>
      </w:tr>
      <w:tr w:rsidR="002228B8" w14:paraId="12B28C14" w14:textId="77777777" w:rsidTr="00DF4A0D">
        <w:trPr>
          <w:cantSplit/>
          <w:jc w:val="center"/>
        </w:trPr>
        <w:tc>
          <w:tcPr>
            <w:tcW w:w="2985" w:type="pct"/>
            <w:gridSpan w:val="2"/>
            <w:tcBorders>
              <w:top w:val="nil"/>
              <w:left w:val="nil"/>
              <w:bottom w:val="nil"/>
              <w:right w:val="nil"/>
            </w:tcBorders>
          </w:tcPr>
          <w:p w14:paraId="5FF86474"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 xml:space="preserve">         Operating costs (before special items and remeasurements)</w:t>
            </w:r>
            <w:r w:rsidRPr="00571974">
              <w:rPr>
                <w:sz w:val="16"/>
                <w:lang w:val="en-GB" w:eastAsia="en-GB" w:bidi="ar-SA"/>
              </w:rPr>
              <w:tab/>
            </w:r>
          </w:p>
        </w:tc>
        <w:tc>
          <w:tcPr>
            <w:tcW w:w="710" w:type="pct"/>
            <w:tcBorders>
              <w:top w:val="nil"/>
              <w:left w:val="nil"/>
              <w:right w:val="nil"/>
            </w:tcBorders>
            <w:vAlign w:val="bottom"/>
          </w:tcPr>
          <w:p w14:paraId="5732A4E2" w14:textId="77777777" w:rsidR="00DF4A0D" w:rsidRPr="00571974" w:rsidRDefault="003D4D89" w:rsidP="00DF4A0D">
            <w:pPr>
              <w:pBdr>
                <w:bottom w:val="single" w:sz="4" w:space="0" w:color="auto"/>
              </w:pBdr>
              <w:tabs>
                <w:tab w:val="right" w:leader="dot" w:pos="5020"/>
              </w:tabs>
              <w:suppressAutoHyphens/>
              <w:jc w:val="right"/>
              <w:rPr>
                <w:sz w:val="16"/>
                <w:lang w:val="en-GB" w:eastAsia="en-GB" w:bidi="ar-SA"/>
              </w:rPr>
            </w:pPr>
            <w:r w:rsidRPr="00571974">
              <w:rPr>
                <w:sz w:val="16"/>
                <w:lang w:val="en-GB" w:eastAsia="en-GB" w:bidi="ar-SA"/>
              </w:rPr>
              <w:t>(1,402)</w:t>
            </w:r>
          </w:p>
        </w:tc>
        <w:tc>
          <w:tcPr>
            <w:tcW w:w="712" w:type="pct"/>
            <w:gridSpan w:val="2"/>
            <w:tcBorders>
              <w:top w:val="nil"/>
              <w:left w:val="nil"/>
              <w:right w:val="nil"/>
            </w:tcBorders>
            <w:vAlign w:val="bottom"/>
          </w:tcPr>
          <w:p w14:paraId="4CEC5DC6" w14:textId="77777777" w:rsidR="00DF4A0D" w:rsidRPr="00571974" w:rsidRDefault="003D4D89" w:rsidP="00DF4A0D">
            <w:pPr>
              <w:pBdr>
                <w:bottom w:val="single" w:sz="4" w:space="0" w:color="auto"/>
              </w:pBdr>
              <w:tabs>
                <w:tab w:val="right" w:leader="dot" w:pos="5020"/>
              </w:tabs>
              <w:suppressAutoHyphens/>
              <w:jc w:val="right"/>
              <w:rPr>
                <w:sz w:val="16"/>
                <w:lang w:val="en-GB" w:eastAsia="en-GB" w:bidi="ar-SA"/>
              </w:rPr>
            </w:pPr>
            <w:r w:rsidRPr="00571974">
              <w:rPr>
                <w:sz w:val="16"/>
                <w:lang w:val="en-GB" w:eastAsia="en-GB" w:bidi="ar-SA"/>
              </w:rPr>
              <w:t>(1,440)</w:t>
            </w:r>
          </w:p>
        </w:tc>
        <w:tc>
          <w:tcPr>
            <w:tcW w:w="593" w:type="pct"/>
            <w:tcBorders>
              <w:top w:val="nil"/>
              <w:left w:val="nil"/>
              <w:right w:val="nil"/>
            </w:tcBorders>
            <w:vAlign w:val="bottom"/>
          </w:tcPr>
          <w:p w14:paraId="22D64F72" w14:textId="77777777" w:rsidR="00DF4A0D" w:rsidRPr="00571974" w:rsidRDefault="003D4D89" w:rsidP="00DF4A0D">
            <w:pPr>
              <w:pBdr>
                <w:bottom w:val="single" w:sz="4" w:space="0" w:color="auto"/>
              </w:pBdr>
              <w:tabs>
                <w:tab w:val="right" w:leader="dot" w:pos="5020"/>
              </w:tabs>
              <w:suppressAutoHyphens/>
              <w:jc w:val="right"/>
              <w:rPr>
                <w:sz w:val="16"/>
                <w:lang w:val="en-GB" w:eastAsia="en-GB" w:bidi="ar-SA"/>
              </w:rPr>
            </w:pPr>
            <w:r w:rsidRPr="00571974">
              <w:rPr>
                <w:sz w:val="16"/>
                <w:lang w:val="en-GB" w:eastAsia="en-GB" w:bidi="ar-SA"/>
              </w:rPr>
              <w:t>(1,272)</w:t>
            </w:r>
          </w:p>
        </w:tc>
      </w:tr>
      <w:tr w:rsidR="002228B8" w14:paraId="6AE082DF" w14:textId="77777777" w:rsidTr="00DF4A0D">
        <w:trPr>
          <w:cantSplit/>
          <w:jc w:val="center"/>
        </w:trPr>
        <w:tc>
          <w:tcPr>
            <w:tcW w:w="185" w:type="pct"/>
            <w:tcBorders>
              <w:top w:val="nil"/>
              <w:left w:val="nil"/>
              <w:bottom w:val="nil"/>
              <w:right w:val="nil"/>
            </w:tcBorders>
          </w:tcPr>
          <w:p w14:paraId="66B48F9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p>
        </w:tc>
        <w:tc>
          <w:tcPr>
            <w:tcW w:w="2800" w:type="pct"/>
            <w:tcBorders>
              <w:top w:val="nil"/>
              <w:left w:val="nil"/>
              <w:bottom w:val="nil"/>
              <w:right w:val="nil"/>
            </w:tcBorders>
            <w:vAlign w:val="bottom"/>
          </w:tcPr>
          <w:p w14:paraId="37F47F46" w14:textId="2B092321" w:rsidR="00DF4A0D" w:rsidRPr="00571974" w:rsidRDefault="003D4D89" w:rsidP="00DF4A0D">
            <w:pPr>
              <w:tabs>
                <w:tab w:val="right" w:leader="dot" w:pos="5020"/>
              </w:tabs>
              <w:suppressAutoHyphens/>
              <w:rPr>
                <w:b/>
                <w:sz w:val="16"/>
                <w:lang w:val="en-GB" w:eastAsia="en-GB" w:bidi="ar-SA"/>
              </w:rPr>
            </w:pPr>
            <w:r w:rsidRPr="00571974">
              <w:rPr>
                <w:b/>
                <w:sz w:val="16"/>
                <w:lang w:val="en-GB" w:eastAsia="en-GB" w:bidi="ar-SA"/>
              </w:rPr>
              <w:t>Associates</w:t>
            </w:r>
            <w:r w:rsidR="00A311D8">
              <w:rPr>
                <w:b/>
                <w:sz w:val="16"/>
                <w:lang w:val="en-GB" w:eastAsia="en-GB" w:bidi="ar-SA"/>
              </w:rPr>
              <w:t>’</w:t>
            </w:r>
            <w:r w:rsidRPr="00571974">
              <w:rPr>
                <w:b/>
                <w:sz w:val="16"/>
                <w:lang w:val="en-GB" w:eastAsia="en-GB" w:bidi="ar-SA"/>
              </w:rPr>
              <w:t xml:space="preserve"> and joint ventures</w:t>
            </w:r>
            <w:r w:rsidR="00A311D8">
              <w:rPr>
                <w:b/>
                <w:sz w:val="16"/>
                <w:lang w:val="en-GB" w:eastAsia="en-GB" w:bidi="ar-SA"/>
              </w:rPr>
              <w:t>’</w:t>
            </w:r>
            <w:r w:rsidRPr="00571974">
              <w:rPr>
                <w:b/>
                <w:sz w:val="16"/>
                <w:lang w:val="en-GB" w:eastAsia="en-GB" w:bidi="ar-SA"/>
              </w:rPr>
              <w:t xml:space="preserve"> underlying EBIT</w:t>
            </w:r>
            <w:r w:rsidRPr="00571974">
              <w:rPr>
                <w:sz w:val="16"/>
                <w:lang w:val="en-GB" w:eastAsia="en-GB" w:bidi="ar-SA"/>
              </w:rPr>
              <w:tab/>
            </w:r>
          </w:p>
        </w:tc>
        <w:tc>
          <w:tcPr>
            <w:tcW w:w="715" w:type="pct"/>
            <w:gridSpan w:val="2"/>
            <w:tcBorders>
              <w:top w:val="nil"/>
              <w:left w:val="nil"/>
              <w:right w:val="nil"/>
            </w:tcBorders>
            <w:vAlign w:val="bottom"/>
          </w:tcPr>
          <w:p w14:paraId="39C372D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1,005</w:t>
            </w:r>
          </w:p>
        </w:tc>
        <w:tc>
          <w:tcPr>
            <w:tcW w:w="707" w:type="pct"/>
            <w:tcBorders>
              <w:top w:val="nil"/>
              <w:left w:val="nil"/>
              <w:right w:val="nil"/>
            </w:tcBorders>
            <w:vAlign w:val="bottom"/>
          </w:tcPr>
          <w:p w14:paraId="1A19E78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1,146</w:t>
            </w:r>
          </w:p>
        </w:tc>
        <w:tc>
          <w:tcPr>
            <w:tcW w:w="593" w:type="pct"/>
            <w:tcBorders>
              <w:top w:val="nil"/>
              <w:left w:val="nil"/>
              <w:right w:val="nil"/>
            </w:tcBorders>
            <w:vAlign w:val="bottom"/>
          </w:tcPr>
          <w:p w14:paraId="6ED48AD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683</w:t>
            </w:r>
          </w:p>
        </w:tc>
      </w:tr>
      <w:tr w:rsidR="002228B8" w14:paraId="35EAE773" w14:textId="77777777" w:rsidTr="00DF4A0D">
        <w:trPr>
          <w:cantSplit/>
          <w:jc w:val="center"/>
        </w:trPr>
        <w:tc>
          <w:tcPr>
            <w:tcW w:w="185" w:type="pct"/>
            <w:tcBorders>
              <w:top w:val="nil"/>
              <w:left w:val="nil"/>
              <w:bottom w:val="nil"/>
              <w:right w:val="nil"/>
            </w:tcBorders>
          </w:tcPr>
          <w:p w14:paraId="42099A9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p>
        </w:tc>
        <w:tc>
          <w:tcPr>
            <w:tcW w:w="2800" w:type="pct"/>
            <w:tcBorders>
              <w:top w:val="nil"/>
              <w:left w:val="nil"/>
              <w:bottom w:val="nil"/>
              <w:right w:val="nil"/>
            </w:tcBorders>
            <w:vAlign w:val="bottom"/>
          </w:tcPr>
          <w:p w14:paraId="057BD318"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 xml:space="preserve">Net finance costs </w:t>
            </w:r>
            <w:r w:rsidRPr="00571974">
              <w:rPr>
                <w:sz w:val="16"/>
                <w:lang w:val="en-GB" w:eastAsia="en-GB" w:bidi="ar-SA"/>
              </w:rPr>
              <w:tab/>
            </w:r>
          </w:p>
        </w:tc>
        <w:tc>
          <w:tcPr>
            <w:tcW w:w="715" w:type="pct"/>
            <w:gridSpan w:val="2"/>
            <w:tcBorders>
              <w:left w:val="nil"/>
              <w:bottom w:val="nil"/>
              <w:right w:val="nil"/>
            </w:tcBorders>
            <w:vAlign w:val="bottom"/>
          </w:tcPr>
          <w:p w14:paraId="7A5E037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(53)</w:t>
            </w:r>
          </w:p>
        </w:tc>
        <w:tc>
          <w:tcPr>
            <w:tcW w:w="707" w:type="pct"/>
            <w:tcBorders>
              <w:left w:val="nil"/>
              <w:bottom w:val="nil"/>
              <w:right w:val="nil"/>
            </w:tcBorders>
            <w:vAlign w:val="bottom"/>
          </w:tcPr>
          <w:p w14:paraId="03B75AC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(15)</w:t>
            </w:r>
          </w:p>
        </w:tc>
        <w:tc>
          <w:tcPr>
            <w:tcW w:w="593" w:type="pct"/>
            <w:tcBorders>
              <w:left w:val="nil"/>
              <w:bottom w:val="nil"/>
              <w:right w:val="nil"/>
            </w:tcBorders>
            <w:vAlign w:val="bottom"/>
          </w:tcPr>
          <w:p w14:paraId="2C222B7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w:t>
            </w:r>
          </w:p>
        </w:tc>
      </w:tr>
      <w:tr w:rsidR="002228B8" w14:paraId="6169CFA4" w14:textId="77777777" w:rsidTr="00DF4A0D">
        <w:trPr>
          <w:cantSplit/>
          <w:jc w:val="center"/>
        </w:trPr>
        <w:tc>
          <w:tcPr>
            <w:tcW w:w="185" w:type="pct"/>
            <w:tcBorders>
              <w:top w:val="nil"/>
              <w:left w:val="nil"/>
              <w:bottom w:val="nil"/>
              <w:right w:val="nil"/>
            </w:tcBorders>
          </w:tcPr>
          <w:p w14:paraId="0FBDF17C"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p>
        </w:tc>
        <w:tc>
          <w:tcPr>
            <w:tcW w:w="2800" w:type="pct"/>
            <w:tcBorders>
              <w:top w:val="nil"/>
              <w:left w:val="nil"/>
              <w:bottom w:val="nil"/>
              <w:right w:val="nil"/>
            </w:tcBorders>
            <w:vAlign w:val="bottom"/>
          </w:tcPr>
          <w:p w14:paraId="04E5D933"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 xml:space="preserve">Income tax expense </w:t>
            </w:r>
            <w:r w:rsidRPr="00571974">
              <w:rPr>
                <w:sz w:val="16"/>
                <w:lang w:val="en-GB" w:eastAsia="en-GB" w:bidi="ar-SA"/>
              </w:rPr>
              <w:tab/>
            </w:r>
          </w:p>
        </w:tc>
        <w:tc>
          <w:tcPr>
            <w:tcW w:w="715" w:type="pct"/>
            <w:gridSpan w:val="2"/>
            <w:tcBorders>
              <w:top w:val="nil"/>
              <w:left w:val="nil"/>
              <w:bottom w:val="nil"/>
              <w:right w:val="nil"/>
            </w:tcBorders>
            <w:vAlign w:val="bottom"/>
          </w:tcPr>
          <w:p w14:paraId="00CA210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(373)</w:t>
            </w:r>
          </w:p>
        </w:tc>
        <w:tc>
          <w:tcPr>
            <w:tcW w:w="707" w:type="pct"/>
            <w:tcBorders>
              <w:top w:val="nil"/>
              <w:left w:val="nil"/>
              <w:right w:val="nil"/>
            </w:tcBorders>
            <w:vAlign w:val="bottom"/>
          </w:tcPr>
          <w:p w14:paraId="656165B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(380)</w:t>
            </w:r>
          </w:p>
        </w:tc>
        <w:tc>
          <w:tcPr>
            <w:tcW w:w="593" w:type="pct"/>
            <w:tcBorders>
              <w:top w:val="nil"/>
              <w:left w:val="nil"/>
              <w:bottom w:val="nil"/>
              <w:right w:val="nil"/>
            </w:tcBorders>
            <w:vAlign w:val="bottom"/>
          </w:tcPr>
          <w:p w14:paraId="6488712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(258)</w:t>
            </w:r>
          </w:p>
        </w:tc>
      </w:tr>
      <w:tr w:rsidR="002228B8" w14:paraId="2A60F1BB" w14:textId="77777777" w:rsidTr="00DF4A0D">
        <w:trPr>
          <w:cantSplit/>
          <w:jc w:val="center"/>
        </w:trPr>
        <w:tc>
          <w:tcPr>
            <w:tcW w:w="185" w:type="pct"/>
            <w:tcBorders>
              <w:top w:val="nil"/>
              <w:left w:val="nil"/>
              <w:bottom w:val="nil"/>
              <w:right w:val="nil"/>
            </w:tcBorders>
          </w:tcPr>
          <w:p w14:paraId="334FA4B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left="400" w:hanging="200"/>
              <w:rPr>
                <w:sz w:val="16"/>
                <w:lang w:val="en-GB" w:eastAsia="en-GB" w:bidi="ar-SA"/>
              </w:rPr>
            </w:pPr>
          </w:p>
        </w:tc>
        <w:tc>
          <w:tcPr>
            <w:tcW w:w="2800" w:type="pct"/>
            <w:tcBorders>
              <w:top w:val="nil"/>
              <w:left w:val="nil"/>
              <w:bottom w:val="nil"/>
              <w:right w:val="nil"/>
            </w:tcBorders>
            <w:vAlign w:val="bottom"/>
          </w:tcPr>
          <w:p w14:paraId="116DD32D"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 xml:space="preserve">Non-controlling interests </w:t>
            </w:r>
            <w:r w:rsidRPr="00571974">
              <w:rPr>
                <w:sz w:val="16"/>
                <w:lang w:val="en-GB" w:eastAsia="en-GB" w:bidi="ar-SA"/>
              </w:rPr>
              <w:tab/>
            </w:r>
          </w:p>
        </w:tc>
        <w:tc>
          <w:tcPr>
            <w:tcW w:w="715" w:type="pct"/>
            <w:gridSpan w:val="2"/>
            <w:tcBorders>
              <w:top w:val="nil"/>
              <w:left w:val="nil"/>
              <w:bottom w:val="nil"/>
              <w:right w:val="nil"/>
            </w:tcBorders>
            <w:vAlign w:val="bottom"/>
          </w:tcPr>
          <w:p w14:paraId="3D4B13A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w:t>
            </w:r>
          </w:p>
        </w:tc>
        <w:tc>
          <w:tcPr>
            <w:tcW w:w="707" w:type="pct"/>
            <w:tcBorders>
              <w:top w:val="nil"/>
              <w:left w:val="nil"/>
              <w:bottom w:val="nil"/>
              <w:right w:val="nil"/>
            </w:tcBorders>
            <w:vAlign w:val="bottom"/>
          </w:tcPr>
          <w:p w14:paraId="043DD140"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(12)</w:t>
            </w:r>
          </w:p>
        </w:tc>
        <w:tc>
          <w:tcPr>
            <w:tcW w:w="593" w:type="pct"/>
            <w:tcBorders>
              <w:top w:val="nil"/>
              <w:left w:val="nil"/>
              <w:bottom w:val="nil"/>
              <w:right w:val="nil"/>
            </w:tcBorders>
            <w:vAlign w:val="bottom"/>
          </w:tcPr>
          <w:p w14:paraId="5291471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(5)</w:t>
            </w:r>
          </w:p>
        </w:tc>
      </w:tr>
      <w:tr w:rsidR="002228B8" w14:paraId="32999EE7" w14:textId="77777777" w:rsidTr="00DF4A0D">
        <w:trPr>
          <w:cantSplit/>
          <w:jc w:val="center"/>
        </w:trPr>
        <w:tc>
          <w:tcPr>
            <w:tcW w:w="185" w:type="pct"/>
            <w:tcBorders>
              <w:top w:val="nil"/>
              <w:left w:val="nil"/>
              <w:bottom w:val="nil"/>
              <w:right w:val="nil"/>
            </w:tcBorders>
          </w:tcPr>
          <w:p w14:paraId="64266B7F"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p>
        </w:tc>
        <w:tc>
          <w:tcPr>
            <w:tcW w:w="2800" w:type="pct"/>
            <w:tcBorders>
              <w:top w:val="nil"/>
              <w:left w:val="nil"/>
              <w:bottom w:val="nil"/>
              <w:right w:val="nil"/>
            </w:tcBorders>
            <w:vAlign w:val="bottom"/>
          </w:tcPr>
          <w:p w14:paraId="30F6DBCD" w14:textId="77777777" w:rsidR="00DF4A0D" w:rsidRPr="00571974" w:rsidRDefault="003D4D89" w:rsidP="00DF4A0D">
            <w:pPr>
              <w:tabs>
                <w:tab w:val="right" w:leader="dot" w:pos="5020"/>
              </w:tabs>
              <w:suppressAutoHyphens/>
              <w:rPr>
                <w:b/>
                <w:sz w:val="16"/>
                <w:lang w:val="en-GB" w:eastAsia="en-GB" w:bidi="ar-SA"/>
              </w:rPr>
            </w:pPr>
            <w:r w:rsidRPr="00571974">
              <w:rPr>
                <w:b/>
                <w:sz w:val="16"/>
                <w:lang w:val="en-GB" w:eastAsia="en-GB" w:bidi="ar-SA"/>
              </w:rPr>
              <w:t xml:space="preserve">Share of net income from associates and joint ventures (before special items and remeasurements) </w:t>
            </w:r>
            <w:r w:rsidRPr="00571974">
              <w:rPr>
                <w:sz w:val="16"/>
                <w:lang w:val="en-GB" w:eastAsia="en-GB" w:bidi="ar-SA"/>
              </w:rPr>
              <w:tab/>
            </w:r>
          </w:p>
        </w:tc>
        <w:tc>
          <w:tcPr>
            <w:tcW w:w="715" w:type="pct"/>
            <w:gridSpan w:val="2"/>
            <w:tcBorders>
              <w:top w:val="nil"/>
              <w:left w:val="nil"/>
              <w:bottom w:val="nil"/>
              <w:right w:val="nil"/>
            </w:tcBorders>
            <w:vAlign w:val="bottom"/>
          </w:tcPr>
          <w:p w14:paraId="095B1A3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577</w:t>
            </w:r>
          </w:p>
        </w:tc>
        <w:tc>
          <w:tcPr>
            <w:tcW w:w="707" w:type="pct"/>
            <w:tcBorders>
              <w:top w:val="nil"/>
              <w:left w:val="nil"/>
              <w:bottom w:val="nil"/>
              <w:right w:val="nil"/>
            </w:tcBorders>
            <w:vAlign w:val="bottom"/>
          </w:tcPr>
          <w:p w14:paraId="0708B80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739</w:t>
            </w:r>
          </w:p>
        </w:tc>
        <w:tc>
          <w:tcPr>
            <w:tcW w:w="593" w:type="pct"/>
            <w:tcBorders>
              <w:top w:val="nil"/>
              <w:left w:val="nil"/>
              <w:bottom w:val="nil"/>
              <w:right w:val="nil"/>
            </w:tcBorders>
            <w:vAlign w:val="bottom"/>
          </w:tcPr>
          <w:p w14:paraId="7488791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389</w:t>
            </w:r>
          </w:p>
        </w:tc>
      </w:tr>
      <w:tr w:rsidR="002228B8" w14:paraId="0FB03A3A" w14:textId="77777777" w:rsidTr="00DF4A0D">
        <w:trPr>
          <w:cantSplit/>
          <w:jc w:val="center"/>
        </w:trPr>
        <w:tc>
          <w:tcPr>
            <w:tcW w:w="185" w:type="pct"/>
            <w:tcBorders>
              <w:top w:val="nil"/>
              <w:left w:val="nil"/>
              <w:bottom w:val="nil"/>
              <w:right w:val="nil"/>
            </w:tcBorders>
          </w:tcPr>
          <w:p w14:paraId="4A71C50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left="400" w:hanging="200"/>
              <w:rPr>
                <w:sz w:val="16"/>
                <w:lang w:val="en-GB" w:eastAsia="en-GB" w:bidi="ar-SA"/>
              </w:rPr>
            </w:pPr>
          </w:p>
        </w:tc>
        <w:tc>
          <w:tcPr>
            <w:tcW w:w="2800" w:type="pct"/>
            <w:tcBorders>
              <w:top w:val="nil"/>
              <w:left w:val="nil"/>
              <w:bottom w:val="nil"/>
              <w:right w:val="nil"/>
            </w:tcBorders>
            <w:vAlign w:val="bottom"/>
          </w:tcPr>
          <w:p w14:paraId="09A097D4"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Special items and remeasurements</w:t>
            </w:r>
            <w:r w:rsidRPr="00571974">
              <w:rPr>
                <w:sz w:val="16"/>
                <w:lang w:val="en-GB" w:eastAsia="en-GB" w:bidi="ar-SA"/>
              </w:rPr>
              <w:tab/>
            </w:r>
          </w:p>
        </w:tc>
        <w:tc>
          <w:tcPr>
            <w:tcW w:w="715" w:type="pct"/>
            <w:gridSpan w:val="2"/>
            <w:tcBorders>
              <w:top w:val="nil"/>
              <w:left w:val="nil"/>
              <w:bottom w:val="nil"/>
              <w:right w:val="nil"/>
            </w:tcBorders>
            <w:vAlign w:val="bottom"/>
          </w:tcPr>
          <w:p w14:paraId="70ED644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(12)</w:t>
            </w:r>
          </w:p>
        </w:tc>
        <w:tc>
          <w:tcPr>
            <w:tcW w:w="707" w:type="pct"/>
            <w:tcBorders>
              <w:top w:val="nil"/>
              <w:left w:val="nil"/>
              <w:bottom w:val="nil"/>
              <w:right w:val="nil"/>
            </w:tcBorders>
            <w:vAlign w:val="bottom"/>
          </w:tcPr>
          <w:p w14:paraId="5E2CBD7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w:t>
            </w:r>
          </w:p>
        </w:tc>
        <w:tc>
          <w:tcPr>
            <w:tcW w:w="593" w:type="pct"/>
            <w:tcBorders>
              <w:top w:val="nil"/>
              <w:left w:val="nil"/>
              <w:bottom w:val="nil"/>
              <w:right w:val="nil"/>
            </w:tcBorders>
            <w:vAlign w:val="bottom"/>
          </w:tcPr>
          <w:p w14:paraId="756DC87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0</w:t>
            </w:r>
          </w:p>
        </w:tc>
      </w:tr>
      <w:tr w:rsidR="002228B8" w14:paraId="0C5A1380" w14:textId="77777777" w:rsidTr="00DF4A0D">
        <w:trPr>
          <w:cantSplit/>
          <w:jc w:val="center"/>
        </w:trPr>
        <w:tc>
          <w:tcPr>
            <w:tcW w:w="185" w:type="pct"/>
            <w:tcBorders>
              <w:top w:val="nil"/>
              <w:left w:val="nil"/>
              <w:bottom w:val="nil"/>
              <w:right w:val="nil"/>
            </w:tcBorders>
          </w:tcPr>
          <w:p w14:paraId="76B67126"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left="400" w:hanging="200"/>
              <w:rPr>
                <w:sz w:val="16"/>
                <w:lang w:val="en-GB" w:eastAsia="en-GB" w:bidi="ar-SA"/>
              </w:rPr>
            </w:pPr>
          </w:p>
        </w:tc>
        <w:tc>
          <w:tcPr>
            <w:tcW w:w="2800" w:type="pct"/>
            <w:tcBorders>
              <w:top w:val="nil"/>
              <w:left w:val="nil"/>
              <w:bottom w:val="nil"/>
              <w:right w:val="nil"/>
            </w:tcBorders>
            <w:vAlign w:val="bottom"/>
          </w:tcPr>
          <w:p w14:paraId="501FB3D8" w14:textId="77777777" w:rsidR="00DF4A0D" w:rsidRPr="00571974" w:rsidRDefault="003D4D89" w:rsidP="00DF4A0D">
            <w:pPr>
              <w:tabs>
                <w:tab w:val="right" w:leader="dot" w:pos="5020"/>
              </w:tabs>
              <w:suppressAutoHyphens/>
              <w:rPr>
                <w:sz w:val="16"/>
                <w:lang w:val="en-GB" w:eastAsia="en-GB" w:bidi="ar-SA"/>
              </w:rPr>
            </w:pPr>
            <w:r w:rsidRPr="00571974">
              <w:rPr>
                <w:sz w:val="16"/>
                <w:lang w:val="en-GB" w:eastAsia="en-GB" w:bidi="ar-SA"/>
              </w:rPr>
              <w:t>Special items and remeasurements tax</w:t>
            </w:r>
            <w:r w:rsidRPr="00571974">
              <w:rPr>
                <w:sz w:val="16"/>
                <w:lang w:val="en-GB" w:eastAsia="en-GB" w:bidi="ar-SA"/>
              </w:rPr>
              <w:tab/>
            </w:r>
          </w:p>
        </w:tc>
        <w:tc>
          <w:tcPr>
            <w:tcW w:w="715" w:type="pct"/>
            <w:gridSpan w:val="2"/>
            <w:tcBorders>
              <w:top w:val="nil"/>
              <w:left w:val="nil"/>
              <w:bottom w:val="nil"/>
              <w:right w:val="nil"/>
            </w:tcBorders>
            <w:vAlign w:val="bottom"/>
          </w:tcPr>
          <w:p w14:paraId="6B4334D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w:t>
            </w:r>
          </w:p>
        </w:tc>
        <w:tc>
          <w:tcPr>
            <w:tcW w:w="707" w:type="pct"/>
            <w:tcBorders>
              <w:top w:val="nil"/>
              <w:left w:val="nil"/>
              <w:bottom w:val="nil"/>
              <w:right w:val="nil"/>
            </w:tcBorders>
            <w:vAlign w:val="bottom"/>
          </w:tcPr>
          <w:p w14:paraId="0C4E1D7B"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(11)</w:t>
            </w:r>
          </w:p>
        </w:tc>
        <w:tc>
          <w:tcPr>
            <w:tcW w:w="593" w:type="pct"/>
            <w:tcBorders>
              <w:top w:val="nil"/>
              <w:left w:val="nil"/>
              <w:bottom w:val="nil"/>
              <w:right w:val="nil"/>
            </w:tcBorders>
            <w:vAlign w:val="bottom"/>
          </w:tcPr>
          <w:p w14:paraId="2BCDAC5C"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0</w:t>
            </w:r>
          </w:p>
        </w:tc>
      </w:tr>
      <w:tr w:rsidR="002228B8" w14:paraId="401BAD8A" w14:textId="77777777" w:rsidTr="00DF4A0D">
        <w:trPr>
          <w:cantSplit/>
          <w:jc w:val="center"/>
        </w:trPr>
        <w:tc>
          <w:tcPr>
            <w:tcW w:w="185" w:type="pct"/>
            <w:tcBorders>
              <w:top w:val="nil"/>
              <w:left w:val="nil"/>
              <w:bottom w:val="nil"/>
              <w:right w:val="nil"/>
            </w:tcBorders>
          </w:tcPr>
          <w:p w14:paraId="76AAD35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left="400" w:hanging="200"/>
              <w:rPr>
                <w:sz w:val="16"/>
                <w:lang w:val="en-GB" w:eastAsia="en-GB" w:bidi="ar-SA"/>
              </w:rPr>
            </w:pPr>
          </w:p>
        </w:tc>
        <w:tc>
          <w:tcPr>
            <w:tcW w:w="2800" w:type="pct"/>
            <w:tcBorders>
              <w:top w:val="nil"/>
              <w:left w:val="nil"/>
              <w:bottom w:val="nil"/>
              <w:right w:val="nil"/>
            </w:tcBorders>
            <w:vAlign w:val="bottom"/>
          </w:tcPr>
          <w:p w14:paraId="12799EA6" w14:textId="77777777" w:rsidR="00DF4A0D" w:rsidRPr="00571974" w:rsidRDefault="003D4D89" w:rsidP="00DF4A0D">
            <w:pPr>
              <w:tabs>
                <w:tab w:val="right" w:leader="dot" w:pos="5020"/>
              </w:tabs>
              <w:suppressAutoHyphens/>
              <w:rPr>
                <w:b/>
                <w:sz w:val="16"/>
                <w:lang w:val="en-GB" w:eastAsia="en-GB" w:bidi="ar-SA"/>
              </w:rPr>
            </w:pPr>
            <w:r w:rsidRPr="00571974">
              <w:rPr>
                <w:b/>
                <w:sz w:val="16"/>
                <w:lang w:val="en-GB" w:eastAsia="en-GB" w:bidi="ar-SA"/>
              </w:rPr>
              <w:t>Share of net (loss)/income from associates and joint ventures</w:t>
            </w:r>
            <w:r w:rsidRPr="00571974">
              <w:rPr>
                <w:sz w:val="16"/>
                <w:lang w:val="en-GB" w:eastAsia="en-GB" w:bidi="ar-SA"/>
              </w:rPr>
              <w:tab/>
            </w:r>
          </w:p>
        </w:tc>
        <w:tc>
          <w:tcPr>
            <w:tcW w:w="715" w:type="pct"/>
            <w:gridSpan w:val="2"/>
            <w:tcBorders>
              <w:top w:val="nil"/>
              <w:left w:val="nil"/>
              <w:bottom w:val="nil"/>
              <w:right w:val="nil"/>
            </w:tcBorders>
            <w:vAlign w:val="bottom"/>
          </w:tcPr>
          <w:p w14:paraId="5EC8001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567</w:t>
            </w:r>
          </w:p>
        </w:tc>
        <w:tc>
          <w:tcPr>
            <w:tcW w:w="707" w:type="pct"/>
            <w:tcBorders>
              <w:top w:val="nil"/>
              <w:left w:val="nil"/>
              <w:bottom w:val="nil"/>
              <w:right w:val="nil"/>
            </w:tcBorders>
            <w:vAlign w:val="bottom"/>
          </w:tcPr>
          <w:p w14:paraId="39B7B47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728</w:t>
            </w:r>
          </w:p>
        </w:tc>
        <w:tc>
          <w:tcPr>
            <w:tcW w:w="593" w:type="pct"/>
            <w:tcBorders>
              <w:top w:val="nil"/>
              <w:left w:val="nil"/>
              <w:bottom w:val="nil"/>
              <w:right w:val="nil"/>
            </w:tcBorders>
            <w:vAlign w:val="bottom"/>
          </w:tcPr>
          <w:p w14:paraId="579311B8"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389</w:t>
            </w:r>
          </w:p>
        </w:tc>
      </w:tr>
      <w:tr w:rsidR="002228B8" w14:paraId="476B074D" w14:textId="77777777" w:rsidTr="00DF4A0D">
        <w:trPr>
          <w:cantSplit/>
          <w:jc w:val="center"/>
        </w:trPr>
        <w:tc>
          <w:tcPr>
            <w:tcW w:w="5000" w:type="pct"/>
            <w:gridSpan w:val="6"/>
            <w:tcBorders>
              <w:top w:val="nil"/>
              <w:left w:val="nil"/>
              <w:bottom w:val="nil"/>
              <w:right w:val="nil"/>
            </w:tcBorders>
          </w:tcPr>
          <w:p w14:paraId="00DD5DFB" w14:textId="77777777" w:rsidR="00DF4A0D" w:rsidRPr="00571974" w:rsidRDefault="003D4D89" w:rsidP="003D4D89">
            <w:pPr>
              <w:pStyle w:val="ListParagraph"/>
              <w:widowControl/>
              <w:numPr>
                <w:ilvl w:val="0"/>
                <w:numId w:val="14"/>
              </w:numPr>
              <w:suppressAutoHyphens/>
              <w:ind w:left="284" w:hanging="284"/>
              <w:rPr>
                <w:sz w:val="16"/>
                <w:lang w:val="en-GB" w:eastAsia="en-GB" w:bidi="ar-SA"/>
              </w:rPr>
            </w:pPr>
            <w:r w:rsidRPr="00571974">
              <w:rPr>
                <w:sz w:val="16"/>
                <w:lang w:val="en-GB" w:eastAsia="en-GB" w:bidi="ar-SA"/>
              </w:rPr>
              <w:t>Interim and year-end dividends proposed in respect of the applicable year-ended December 31.</w:t>
            </w:r>
          </w:p>
        </w:tc>
      </w:tr>
    </w:tbl>
    <w:p w14:paraId="7003F9C0" w14:textId="77777777" w:rsidR="00DF4A0D" w:rsidRPr="00571974" w:rsidRDefault="00DF4A0D" w:rsidP="00DF4A0D">
      <w:pPr>
        <w:pStyle w:val="BodyText"/>
        <w:widowControl/>
        <w:autoSpaceDE/>
        <w:autoSpaceDN/>
        <w:adjustRightInd/>
        <w:spacing w:line="160" w:lineRule="exact"/>
        <w:ind w:firstLine="357"/>
        <w:rPr>
          <w:lang w:val="en-GB"/>
        </w:rPr>
      </w:pPr>
    </w:p>
    <w:p w14:paraId="63912BD1" w14:textId="77777777" w:rsidR="00DF4A0D" w:rsidRPr="00571974" w:rsidRDefault="003D4D89" w:rsidP="00EA3F32">
      <w:pPr>
        <w:pStyle w:val="Heading4"/>
      </w:pPr>
      <w:r w:rsidRPr="00571974">
        <w:t>Revenue</w:t>
      </w:r>
    </w:p>
    <w:p w14:paraId="534ACE83" w14:textId="77777777" w:rsidR="00DF4A0D" w:rsidRPr="00571974" w:rsidRDefault="003D4D89" w:rsidP="004D6637">
      <w:pPr>
        <w:pStyle w:val="BodyText"/>
        <w:widowControl/>
        <w:autoSpaceDE/>
        <w:autoSpaceDN/>
        <w:adjustRightInd/>
        <w:ind w:firstLine="360"/>
        <w:rPr>
          <w:lang w:val="en-GB"/>
        </w:rPr>
      </w:pPr>
      <w:r w:rsidRPr="00571974">
        <w:rPr>
          <w:lang w:val="en-GB"/>
        </w:rPr>
        <w:t xml:space="preserve">Revenue for 2019, 2018 and 2017 was US$29,870 million, US$27,610 million and US$26,243 million,  respectively.  The 8% increase in revenue from 2018 to 2019 was principally driven by increased prices across the Group, particularly in iron ore and PGMs. The 5% increase in revenue from 2017 to 2018 was principally driven by increased prices across the Group, particularly the PGM basket of metals, thermal and metallurgical coal and nickel. </w:t>
      </w:r>
    </w:p>
    <w:p w14:paraId="77E14C68" w14:textId="77777777" w:rsidR="00DF4A0D" w:rsidRPr="00571974" w:rsidRDefault="003D4D89" w:rsidP="00EA3F32">
      <w:pPr>
        <w:pStyle w:val="Heading4"/>
      </w:pPr>
      <w:r w:rsidRPr="00571974">
        <w:br w:type="page"/>
      </w:r>
      <w:r w:rsidRPr="00571974">
        <w:lastRenderedPageBreak/>
        <w:t>Total Operating Costs</w:t>
      </w:r>
    </w:p>
    <w:p w14:paraId="193D234D" w14:textId="5B9923F2" w:rsidR="00DF4A0D" w:rsidRPr="00571974" w:rsidRDefault="003D4D89" w:rsidP="00DF4A0D">
      <w:pPr>
        <w:pStyle w:val="BodyText"/>
        <w:widowControl/>
        <w:autoSpaceDE/>
        <w:autoSpaceDN/>
        <w:adjustRightInd/>
        <w:ind w:firstLine="360"/>
        <w:rPr>
          <w:lang w:val="en-GB"/>
        </w:rPr>
      </w:pPr>
      <w:r w:rsidRPr="00571974">
        <w:rPr>
          <w:lang w:val="en-GB"/>
        </w:rPr>
        <w:t xml:space="preserve">Total operating costs before operating special items and remeasurements for 2019, 2018 and 2017 were US$23,543 million, US$22,379 million and US$21,001 million, respectively. The 5% increase in operating costs from 2018 to 2019 was </w:t>
      </w:r>
      <w:r w:rsidR="004D6637">
        <w:rPr>
          <w:lang w:val="en-GB"/>
        </w:rPr>
        <w:t xml:space="preserve">principally </w:t>
      </w:r>
      <w:r w:rsidRPr="00571974">
        <w:rPr>
          <w:lang w:val="en-GB"/>
        </w:rPr>
        <w:t xml:space="preserve">driven by higher production volumes. The 7% increase in operating costs from 2017 to 2018 was </w:t>
      </w:r>
      <w:r w:rsidR="004D6637">
        <w:rPr>
          <w:lang w:val="en-GB"/>
        </w:rPr>
        <w:t xml:space="preserve">principally </w:t>
      </w:r>
      <w:r w:rsidRPr="00571974">
        <w:rPr>
          <w:lang w:val="en-GB"/>
        </w:rPr>
        <w:t xml:space="preserve">driven by increases in overall production volumes and input cost inflation and operational stoppages. Average exchange rates were relatively unchanged from 2017. </w:t>
      </w:r>
    </w:p>
    <w:p w14:paraId="597FFBA4" w14:textId="77777777" w:rsidR="00DF4A0D" w:rsidRPr="00571974" w:rsidRDefault="003D4D89" w:rsidP="00EA3F32">
      <w:pPr>
        <w:pStyle w:val="Heading4"/>
      </w:pPr>
      <w:r w:rsidRPr="00571974">
        <w:t>Operating Special Items and Remeasurements</w:t>
      </w:r>
    </w:p>
    <w:p w14:paraId="1DE5A509" w14:textId="3887C6C9" w:rsidR="00DF4A0D" w:rsidRPr="00571974" w:rsidRDefault="003D4D89" w:rsidP="00DF4A0D">
      <w:pPr>
        <w:pStyle w:val="BodyText"/>
        <w:widowControl/>
        <w:autoSpaceDE/>
        <w:autoSpaceDN/>
        <w:adjustRightInd/>
        <w:ind w:firstLine="360"/>
        <w:rPr>
          <w:lang w:val="en-GB"/>
        </w:rPr>
      </w:pPr>
      <w:r w:rsidRPr="00571974">
        <w:rPr>
          <w:lang w:val="en-GB"/>
        </w:rPr>
        <w:t xml:space="preserve">Operating special items </w:t>
      </w:r>
      <w:r w:rsidR="00632E1D">
        <w:rPr>
          <w:lang w:val="en-GB"/>
        </w:rPr>
        <w:t xml:space="preserve">(before tax and non-controlling interest) </w:t>
      </w:r>
      <w:r w:rsidRPr="00571974">
        <w:rPr>
          <w:lang w:val="en-GB"/>
        </w:rPr>
        <w:t>in 2019, 2018 and 2017 amounted to a US$49 million loss, US$963 million gain and a US$382 million</w:t>
      </w:r>
      <w:r w:rsidR="004D6637">
        <w:rPr>
          <w:lang w:val="en-GB"/>
        </w:rPr>
        <w:t xml:space="preserve"> gain</w:t>
      </w:r>
      <w:r w:rsidRPr="00571974">
        <w:rPr>
          <w:lang w:val="en-GB"/>
        </w:rPr>
        <w:t>, respectively, and operating remeasurements were losses of US$102 million, US$125 million and US$95 million, respectively.</w:t>
      </w:r>
    </w:p>
    <w:p w14:paraId="0DF917AD" w14:textId="20D12CE3" w:rsidR="00DF4A0D" w:rsidRPr="00571974" w:rsidRDefault="003D4D89" w:rsidP="00DF4A0D">
      <w:pPr>
        <w:pStyle w:val="BodyText"/>
        <w:ind w:firstLine="360"/>
        <w:rPr>
          <w:lang w:val="en-GB"/>
        </w:rPr>
      </w:pPr>
      <w:r w:rsidRPr="00571974">
        <w:rPr>
          <w:lang w:val="en-GB"/>
        </w:rPr>
        <w:t xml:space="preserve">The operating special items loss in 2019 of US$49 million principally consists of net impairment related credits of US$131 million (principally comprising the impairment reversals of Minas-Rio of </w:t>
      </w:r>
      <w:r w:rsidR="00F9505A">
        <w:rPr>
          <w:lang w:val="en-GB"/>
        </w:rPr>
        <w:t>US</w:t>
      </w:r>
      <w:r w:rsidRPr="00571974">
        <w:rPr>
          <w:lang w:val="en-GB"/>
        </w:rPr>
        <w:t xml:space="preserve">$1,033 million and the impairment charges of South African thermal coal of </w:t>
      </w:r>
      <w:r w:rsidR="00F9505A">
        <w:rPr>
          <w:lang w:val="en-GB"/>
        </w:rPr>
        <w:t>US</w:t>
      </w:r>
      <w:r w:rsidRPr="00571974">
        <w:rPr>
          <w:lang w:val="en-GB"/>
        </w:rPr>
        <w:t xml:space="preserve">$585 million, Cerrejón of </w:t>
      </w:r>
      <w:r w:rsidR="00F9505A">
        <w:rPr>
          <w:lang w:val="en-GB"/>
        </w:rPr>
        <w:t>US</w:t>
      </w:r>
      <w:r w:rsidRPr="00571974">
        <w:rPr>
          <w:lang w:val="en-GB"/>
        </w:rPr>
        <w:t xml:space="preserve">$334 million and Corporate assets of </w:t>
      </w:r>
      <w:r w:rsidR="00F9505A">
        <w:rPr>
          <w:lang w:val="en-GB"/>
        </w:rPr>
        <w:t>US</w:t>
      </w:r>
      <w:r w:rsidRPr="00571974">
        <w:rPr>
          <w:lang w:val="en-GB"/>
        </w:rPr>
        <w:t>$30 million</w:t>
      </w:r>
      <w:r w:rsidR="0057107C">
        <w:rPr>
          <w:lang w:val="en-GB"/>
        </w:rPr>
        <w:t>)</w:t>
      </w:r>
      <w:r w:rsidRPr="00571974">
        <w:rPr>
          <w:lang w:val="en-GB"/>
        </w:rPr>
        <w:t xml:space="preserve">, and a loss of US$180 million </w:t>
      </w:r>
      <w:r w:rsidR="004520D4">
        <w:rPr>
          <w:lang w:val="en-GB"/>
        </w:rPr>
        <w:t xml:space="preserve">principally </w:t>
      </w:r>
      <w:r w:rsidRPr="00571974">
        <w:rPr>
          <w:lang w:val="en-GB"/>
        </w:rPr>
        <w:t xml:space="preserve">relating to the cost of terminating a long-term power supply contract in Copper. </w:t>
      </w:r>
    </w:p>
    <w:p w14:paraId="280DED50" w14:textId="39D47BAE" w:rsidR="00DF4A0D" w:rsidRPr="00571974" w:rsidRDefault="003D4D89" w:rsidP="00DF4A0D">
      <w:pPr>
        <w:pStyle w:val="BodyText"/>
        <w:widowControl/>
        <w:autoSpaceDE/>
        <w:autoSpaceDN/>
        <w:adjustRightInd/>
        <w:ind w:firstLine="360"/>
        <w:rPr>
          <w:lang w:val="en-GB"/>
        </w:rPr>
      </w:pPr>
      <w:r w:rsidRPr="00571974">
        <w:rPr>
          <w:lang w:val="en-GB"/>
        </w:rPr>
        <w:t>The operating special items gain in 2018 of US$963 million principally consists of net impairment related credits of US$1,043 million (principally the impairment reversals of Moranbah</w:t>
      </w:r>
      <w:r w:rsidR="0057107C">
        <w:rPr>
          <w:lang w:val="en-GB"/>
        </w:rPr>
        <w:t xml:space="preserve"> North</w:t>
      </w:r>
      <w:r w:rsidRPr="00571974">
        <w:rPr>
          <w:lang w:val="en-GB"/>
        </w:rPr>
        <w:t>-Grosvenor and Capcoal operations by US$876 million and US$266 million respectively offset by the write-off of assets in De Beers</w:t>
      </w:r>
      <w:r w:rsidR="00A311D8">
        <w:rPr>
          <w:lang w:val="en-GB"/>
        </w:rPr>
        <w:t>’</w:t>
      </w:r>
      <w:r w:rsidRPr="00571974">
        <w:rPr>
          <w:lang w:val="en-GB"/>
        </w:rPr>
        <w:t xml:space="preserve"> South African operations that are no longer expected to generate future economic benefit of US$99 million) and a loss of US$80 million relating to the cost to the Group of the transfer of liabilities and liquidations of a South African pension scheme.  </w:t>
      </w:r>
    </w:p>
    <w:p w14:paraId="3955E902" w14:textId="5760366B" w:rsidR="00DF4A0D" w:rsidRPr="00571974" w:rsidRDefault="003D4D89" w:rsidP="00DF4A0D">
      <w:pPr>
        <w:pStyle w:val="BodyText"/>
        <w:widowControl/>
        <w:autoSpaceDE/>
        <w:autoSpaceDN/>
        <w:adjustRightInd/>
        <w:ind w:firstLine="360"/>
        <w:rPr>
          <w:lang w:val="en-GB"/>
        </w:rPr>
      </w:pPr>
      <w:r w:rsidRPr="00571974">
        <w:rPr>
          <w:lang w:val="en-GB"/>
        </w:rPr>
        <w:t>The operating special items gain in 2017 of US$382 million principally consists of net impairment related credits of US$442 million (principally the impairment reversals of Sishen and El Soldado operations by US$468 million and US$194 million respectively</w:t>
      </w:r>
      <w:r w:rsidR="00A97A71">
        <w:rPr>
          <w:lang w:val="en-GB"/>
        </w:rPr>
        <w:t>)</w:t>
      </w:r>
      <w:r w:rsidRPr="00571974">
        <w:rPr>
          <w:lang w:val="en-GB"/>
        </w:rPr>
        <w:t xml:space="preserve">, a restructuring costs credit of US$31 million relating to the release of previously recognized provisions relating to the closure of the Brisbane corporate office, following the decision to continue metallurgical coal operations in Australia, partially offset by an impairment of the investment in Bafokeng-Rasimone Platinum Mine (BRPM) of US$147 million, an impairment of other assets within the Coal segment of US$61 million (see </w:t>
      </w:r>
      <w:r w:rsidR="00A311D8">
        <w:rPr>
          <w:lang w:val="en-GB"/>
        </w:rPr>
        <w:t>“</w:t>
      </w:r>
      <w:r w:rsidRPr="00571974">
        <w:rPr>
          <w:lang w:val="en-GB"/>
        </w:rPr>
        <w:t>—Coal</w:t>
      </w:r>
      <w:r w:rsidR="00A311D8">
        <w:rPr>
          <w:lang w:val="en-GB"/>
        </w:rPr>
        <w:t>”</w:t>
      </w:r>
      <w:r w:rsidRPr="00571974">
        <w:rPr>
          <w:lang w:val="en-GB"/>
        </w:rPr>
        <w:t>)</w:t>
      </w:r>
      <w:r w:rsidR="00B76A8C">
        <w:rPr>
          <w:lang w:val="en-GB"/>
        </w:rPr>
        <w:t>.</w:t>
      </w:r>
      <w:r w:rsidRPr="00571974">
        <w:rPr>
          <w:lang w:val="en-GB"/>
        </w:rPr>
        <w:t xml:space="preserve"> </w:t>
      </w:r>
    </w:p>
    <w:p w14:paraId="2FD8CE7D" w14:textId="77777777" w:rsidR="00DF4A0D" w:rsidRPr="00571974" w:rsidRDefault="003D4D89" w:rsidP="00EA3F32">
      <w:pPr>
        <w:pStyle w:val="Heading4"/>
      </w:pPr>
      <w:r w:rsidRPr="00571974">
        <w:t>Non-Operating Special Items</w:t>
      </w:r>
    </w:p>
    <w:p w14:paraId="2B76664E" w14:textId="37C1DBE6" w:rsidR="00DF4A0D" w:rsidRPr="00571974" w:rsidRDefault="003D4D89" w:rsidP="00DF4A0D">
      <w:pPr>
        <w:pStyle w:val="BodyText"/>
        <w:widowControl/>
        <w:autoSpaceDE/>
        <w:autoSpaceDN/>
        <w:adjustRightInd/>
        <w:ind w:firstLine="360"/>
        <w:rPr>
          <w:lang w:val="en-GB"/>
        </w:rPr>
      </w:pPr>
      <w:r w:rsidRPr="00571974">
        <w:rPr>
          <w:lang w:val="en-GB"/>
        </w:rPr>
        <w:t xml:space="preserve">Non-operating special items </w:t>
      </w:r>
      <w:r w:rsidR="00632E1D">
        <w:rPr>
          <w:lang w:val="en-GB"/>
        </w:rPr>
        <w:t xml:space="preserve">(before tax and non-controlling interest) </w:t>
      </w:r>
      <w:r w:rsidRPr="00571974">
        <w:rPr>
          <w:lang w:val="en-GB"/>
        </w:rPr>
        <w:t>in 2019, 2018 and 2017 amounted to a US$7 million gain, US$94 million loss, and a US$5 million loss, respectively.</w:t>
      </w:r>
    </w:p>
    <w:p w14:paraId="783F9074" w14:textId="4BB3C881" w:rsidR="00DF4A0D" w:rsidRPr="00571974" w:rsidRDefault="003D4D89" w:rsidP="00865B26">
      <w:pPr>
        <w:pStyle w:val="BodyText"/>
        <w:widowControl/>
        <w:autoSpaceDE/>
        <w:autoSpaceDN/>
        <w:adjustRightInd/>
        <w:ind w:firstLine="360"/>
        <w:rPr>
          <w:lang w:val="en-GB"/>
        </w:rPr>
      </w:pPr>
      <w:r w:rsidRPr="00571974">
        <w:rPr>
          <w:lang w:val="en-GB"/>
        </w:rPr>
        <w:t>The 2019 non-operating special items include an impairment charge of US$59 million relating to the announced equali</w:t>
      </w:r>
      <w:r w:rsidR="00EA3F32">
        <w:rPr>
          <w:lang w:val="en-GB"/>
        </w:rPr>
        <w:t>z</w:t>
      </w:r>
      <w:r w:rsidRPr="00571974">
        <w:rPr>
          <w:lang w:val="en-GB"/>
        </w:rPr>
        <w:t>ation of ownership across the Group</w:t>
      </w:r>
      <w:r w:rsidR="00A311D8">
        <w:rPr>
          <w:lang w:val="en-GB"/>
        </w:rPr>
        <w:t>’</w:t>
      </w:r>
      <w:r w:rsidRPr="00571974">
        <w:rPr>
          <w:lang w:val="en-GB"/>
        </w:rPr>
        <w:t xml:space="preserve">s integrated metallurgical coal operations at Moranbah North and Grosvenor in Australia (Coal). On entering into an agreement for the sale of a 12% interest in the Grosvenor mine to the same consortium partners for cash proceeds of </w:t>
      </w:r>
      <w:r w:rsidR="00F9505A">
        <w:rPr>
          <w:lang w:val="en-GB"/>
        </w:rPr>
        <w:t>US</w:t>
      </w:r>
      <w:r w:rsidRPr="00571974">
        <w:rPr>
          <w:lang w:val="en-GB"/>
        </w:rPr>
        <w:t xml:space="preserve">$141 million, an impairment charge of </w:t>
      </w:r>
      <w:r w:rsidR="00F9505A">
        <w:rPr>
          <w:lang w:val="en-GB"/>
        </w:rPr>
        <w:t>US</w:t>
      </w:r>
      <w:r w:rsidRPr="00571974">
        <w:rPr>
          <w:lang w:val="en-GB"/>
        </w:rPr>
        <w:t>$59 million was recorded to bring the carrying amount of the related net assets into line with its fair value less costs to sell based on the fair value of the sales consideration. Non-operating special items further included adjustments relating to former operations in respect of disposals completed in prior periods of US$48 million</w:t>
      </w:r>
      <w:r w:rsidR="00A97A71">
        <w:rPr>
          <w:lang w:val="en-GB"/>
        </w:rPr>
        <w:t xml:space="preserve"> gain</w:t>
      </w:r>
      <w:r w:rsidR="001003BB">
        <w:rPr>
          <w:lang w:val="en-GB"/>
        </w:rPr>
        <w:t>,</w:t>
      </w:r>
      <w:r w:rsidR="00865B26">
        <w:rPr>
          <w:lang w:val="en-GB"/>
        </w:rPr>
        <w:t xml:space="preserve"> a</w:t>
      </w:r>
      <w:r w:rsidRPr="00571974">
        <w:rPr>
          <w:lang w:val="en-GB"/>
        </w:rPr>
        <w:t xml:space="preserve"> US$23 million gain on adjustments relating to business combinations in prior years and BEE transaction charges of US$13 million.</w:t>
      </w:r>
    </w:p>
    <w:p w14:paraId="3995B557" w14:textId="7EEE31EE" w:rsidR="00DF4A0D" w:rsidRPr="00571974" w:rsidRDefault="003D4D89" w:rsidP="00DF4A0D">
      <w:pPr>
        <w:pStyle w:val="BodyText"/>
        <w:widowControl/>
        <w:autoSpaceDE/>
        <w:autoSpaceDN/>
        <w:adjustRightInd/>
        <w:ind w:firstLine="360"/>
        <w:rPr>
          <w:lang w:val="en-GB"/>
        </w:rPr>
      </w:pPr>
      <w:r w:rsidRPr="00571974">
        <w:rPr>
          <w:lang w:val="en-GB"/>
        </w:rPr>
        <w:t>The 2018 non-operating special items include an impairment of US$85 million to the Group</w:t>
      </w:r>
      <w:r w:rsidR="00A311D8">
        <w:rPr>
          <w:lang w:val="en-GB"/>
        </w:rPr>
        <w:t>’</w:t>
      </w:r>
      <w:r w:rsidRPr="00571974">
        <w:rPr>
          <w:lang w:val="en-GB"/>
        </w:rPr>
        <w:t>s investment in Bafokeng-Rasimone Platinum Mine, bringing its carrying value into line with its fair value less costs of disposal following the agreement to sell the investment, and a loss on disposal of US$71 million on the disposal of the Group</w:t>
      </w:r>
      <w:r w:rsidR="00A311D8">
        <w:rPr>
          <w:lang w:val="en-GB"/>
        </w:rPr>
        <w:t>’</w:t>
      </w:r>
      <w:r w:rsidRPr="00571974">
        <w:rPr>
          <w:lang w:val="en-GB"/>
        </w:rPr>
        <w:t>s interest in the Union platinum mine and Masa Chrome Company Proprietary Limited (Platinum Group Metals), partially offset by a gain on disposal of US$84 million on the disposal of the Eskom-tied domestic coal operations in South Africa, and a gain on disposal of US$34 million on the disposal of the Group</w:t>
      </w:r>
      <w:r w:rsidR="00A311D8">
        <w:rPr>
          <w:lang w:val="en-GB"/>
        </w:rPr>
        <w:t>’</w:t>
      </w:r>
      <w:r w:rsidRPr="00571974">
        <w:rPr>
          <w:lang w:val="en-GB"/>
        </w:rPr>
        <w:t>s 88.17% interest in the Drayton mine (Coal). Non-operating special items further included adjustments relating to former operations in respect of disposals completed in prior periods of US$18 million and BEE transaction charges of US$36 million.</w:t>
      </w:r>
    </w:p>
    <w:p w14:paraId="3F5AA68B" w14:textId="3F26AB1A" w:rsidR="00DF4A0D" w:rsidRPr="00571974" w:rsidRDefault="003D4D89" w:rsidP="00DF4A0D">
      <w:pPr>
        <w:pStyle w:val="BodyText"/>
        <w:widowControl/>
        <w:autoSpaceDE/>
        <w:autoSpaceDN/>
        <w:adjustRightInd/>
        <w:ind w:firstLine="360"/>
        <w:rPr>
          <w:lang w:val="en-GB"/>
        </w:rPr>
      </w:pPr>
      <w:r w:rsidRPr="00571974">
        <w:rPr>
          <w:lang w:val="en-GB"/>
        </w:rPr>
        <w:t>The 2017 non-operating special items include an impairment of US$197 million to the Union Platinum mine, bringing its fair value into line with its fair value less costs of disposal following the agreement to sell the operation, partially offset by a gain on disposal of US$82 million on disposal of long-dated resources in Platinum, a gain of US$7</w:t>
      </w:r>
      <w:r w:rsidR="004520D4">
        <w:rPr>
          <w:lang w:val="en-GB"/>
        </w:rPr>
        <w:t>6</w:t>
      </w:r>
      <w:r w:rsidRPr="00571974">
        <w:rPr>
          <w:lang w:val="en-GB"/>
        </w:rPr>
        <w:t xml:space="preserve"> million on disposal of Dartbrook (Coal), and a gain of US$43 million on disposal of the group</w:t>
      </w:r>
      <w:r w:rsidR="00A311D8">
        <w:rPr>
          <w:lang w:val="en-GB"/>
        </w:rPr>
        <w:t>’</w:t>
      </w:r>
      <w:r w:rsidRPr="00571974">
        <w:rPr>
          <w:lang w:val="en-GB"/>
        </w:rPr>
        <w:t xml:space="preserve">s 11.18% interest in Dreamvision Investments 15 Proprietary Limited (equivalent to a 2.28% holding in Exxaro), which </w:t>
      </w:r>
      <w:r w:rsidRPr="00571974">
        <w:rPr>
          <w:lang w:val="en-GB"/>
        </w:rPr>
        <w:lastRenderedPageBreak/>
        <w:t>formed part of the unwinding of Exxaro Resources Limited</w:t>
      </w:r>
      <w:r w:rsidR="00A311D8">
        <w:rPr>
          <w:lang w:val="en-GB"/>
        </w:rPr>
        <w:t>’</w:t>
      </w:r>
      <w:r w:rsidRPr="00571974">
        <w:rPr>
          <w:lang w:val="en-GB"/>
        </w:rPr>
        <w:t>s original BEE transaction. Non-operating special items further included adjustments relating to business combinations amounting to a gain of US$59 million, principally in respect of the acquisition of the remaining 50% share in De Beers Jewellers, and adjustments relating to former operations amounting to a net charge of US$84 million, principally comprising a provision for settlement of class action claims.</w:t>
      </w:r>
    </w:p>
    <w:p w14:paraId="13B3F778" w14:textId="77777777" w:rsidR="00DF4A0D" w:rsidRPr="00571974" w:rsidRDefault="003D4D89" w:rsidP="00EA3F32">
      <w:pPr>
        <w:pStyle w:val="Heading4"/>
      </w:pPr>
      <w:r w:rsidRPr="00571974">
        <w:t>Share of Net Income from Associates and Joint Ventures</w:t>
      </w:r>
    </w:p>
    <w:p w14:paraId="7A296951" w14:textId="77777777" w:rsidR="00DF4A0D" w:rsidRPr="00571974" w:rsidRDefault="003D4D89" w:rsidP="00DF4A0D">
      <w:pPr>
        <w:pStyle w:val="BodyText"/>
        <w:widowControl/>
        <w:autoSpaceDE/>
        <w:autoSpaceDN/>
        <w:adjustRightInd/>
        <w:ind w:firstLine="360"/>
        <w:rPr>
          <w:lang w:val="en-GB"/>
        </w:rPr>
      </w:pPr>
      <w:r w:rsidRPr="00571974">
        <w:rPr>
          <w:lang w:val="en-GB"/>
        </w:rPr>
        <w:t>Our share of net income from associates and joint ventures in 2019, 2018 and 2017 was US$389 million, US$728 million and US$567 million, respectively.</w:t>
      </w:r>
    </w:p>
    <w:p w14:paraId="21BA4782" w14:textId="19578C1E" w:rsidR="00DF4A0D" w:rsidRPr="00571974" w:rsidRDefault="003D4D89" w:rsidP="00380546">
      <w:pPr>
        <w:pStyle w:val="BodyText"/>
        <w:widowControl/>
        <w:autoSpaceDE/>
        <w:autoSpaceDN/>
        <w:adjustRightInd/>
        <w:ind w:firstLine="360"/>
        <w:rPr>
          <w:lang w:val="en-GB"/>
        </w:rPr>
      </w:pPr>
      <w:r w:rsidRPr="00571974">
        <w:rPr>
          <w:lang w:val="en-GB"/>
        </w:rPr>
        <w:t>The US$339 million decrease from 2018 to 2019 was principally due to a US$3</w:t>
      </w:r>
      <w:r w:rsidR="00822D95">
        <w:rPr>
          <w:lang w:val="en-GB"/>
        </w:rPr>
        <w:t>55</w:t>
      </w:r>
      <w:r w:rsidRPr="00571974">
        <w:rPr>
          <w:lang w:val="en-GB"/>
        </w:rPr>
        <w:t xml:space="preserve"> million decrease in net income from </w:t>
      </w:r>
      <w:r w:rsidR="0053004A" w:rsidRPr="00571974">
        <w:rPr>
          <w:lang w:val="en-GB"/>
        </w:rPr>
        <w:t xml:space="preserve">Cerrejón </w:t>
      </w:r>
      <w:r w:rsidRPr="00571974">
        <w:rPr>
          <w:lang w:val="en-GB"/>
        </w:rPr>
        <w:t xml:space="preserve">(see </w:t>
      </w:r>
      <w:r w:rsidR="00A311D8">
        <w:rPr>
          <w:lang w:val="en-GB"/>
        </w:rPr>
        <w:t>“</w:t>
      </w:r>
      <w:r w:rsidR="00380546">
        <w:rPr>
          <w:lang w:val="en-GB"/>
        </w:rPr>
        <w:t>—</w:t>
      </w:r>
      <w:r w:rsidRPr="00571974">
        <w:rPr>
          <w:lang w:val="en-GB"/>
        </w:rPr>
        <w:t>Coal</w:t>
      </w:r>
      <w:r w:rsidR="00A311D8">
        <w:rPr>
          <w:lang w:val="en-GB"/>
        </w:rPr>
        <w:t>”</w:t>
      </w:r>
      <w:r w:rsidRPr="00571974">
        <w:rPr>
          <w:lang w:val="en-GB"/>
        </w:rPr>
        <w:t xml:space="preserve">) and Samancor Holdings (see </w:t>
      </w:r>
      <w:r w:rsidR="00A311D8">
        <w:rPr>
          <w:lang w:val="en-GB"/>
        </w:rPr>
        <w:t>“</w:t>
      </w:r>
      <w:r w:rsidR="00380546">
        <w:rPr>
          <w:lang w:val="en-GB"/>
        </w:rPr>
        <w:t>—</w:t>
      </w:r>
      <w:r w:rsidRPr="00571974">
        <w:rPr>
          <w:lang w:val="en-GB"/>
        </w:rPr>
        <w:t>Nickel and Manganese</w:t>
      </w:r>
      <w:r w:rsidR="00A311D8">
        <w:rPr>
          <w:lang w:val="en-GB"/>
        </w:rPr>
        <w:t>”</w:t>
      </w:r>
      <w:r w:rsidRPr="00571974">
        <w:rPr>
          <w:lang w:val="en-GB"/>
        </w:rPr>
        <w:t xml:space="preserve">), which in turn was driven by lower earnings: </w:t>
      </w:r>
      <w:r w:rsidR="00865B26">
        <w:rPr>
          <w:lang w:val="en-GB"/>
        </w:rPr>
        <w:t xml:space="preserve">a </w:t>
      </w:r>
      <w:r w:rsidRPr="00571974">
        <w:rPr>
          <w:lang w:val="en-GB"/>
        </w:rPr>
        <w:t>US$175 million and US$1</w:t>
      </w:r>
      <w:r w:rsidR="00822D95">
        <w:rPr>
          <w:lang w:val="en-GB"/>
        </w:rPr>
        <w:t>80</w:t>
      </w:r>
      <w:r w:rsidRPr="00571974">
        <w:rPr>
          <w:lang w:val="en-GB"/>
        </w:rPr>
        <w:t xml:space="preserve"> million decrease</w:t>
      </w:r>
      <w:r w:rsidR="00865B26">
        <w:rPr>
          <w:lang w:val="en-GB"/>
        </w:rPr>
        <w:t>,</w:t>
      </w:r>
      <w:r w:rsidRPr="00571974">
        <w:rPr>
          <w:lang w:val="en-GB"/>
        </w:rPr>
        <w:t xml:space="preserve"> respectively. </w:t>
      </w:r>
    </w:p>
    <w:p w14:paraId="0255FC1B" w14:textId="77777777" w:rsidR="00DF4A0D" w:rsidRPr="00571974" w:rsidRDefault="003D4D89" w:rsidP="00EA3F32">
      <w:pPr>
        <w:pStyle w:val="Heading4"/>
      </w:pPr>
      <w:r w:rsidRPr="00571974">
        <w:t>Net Finance Costs before Financing Special Items and Remeasurements</w:t>
      </w:r>
    </w:p>
    <w:p w14:paraId="37B53BED"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Net finance costs before financing special items and remeasurements in 2019, 2018 and 2017 were US$420 million, US$380 million and US$473 million, respectively. </w:t>
      </w:r>
    </w:p>
    <w:p w14:paraId="3EC8BBB5" w14:textId="1D04F0EE" w:rsidR="00DF4A0D" w:rsidRPr="00571974" w:rsidRDefault="003D4D89" w:rsidP="00DF4A0D">
      <w:pPr>
        <w:pStyle w:val="BodyText"/>
        <w:widowControl/>
        <w:autoSpaceDE/>
        <w:autoSpaceDN/>
        <w:adjustRightInd/>
        <w:ind w:firstLine="360"/>
        <w:rPr>
          <w:lang w:val="en-GB"/>
        </w:rPr>
      </w:pPr>
      <w:r w:rsidRPr="00571974">
        <w:rPr>
          <w:lang w:val="en-GB"/>
        </w:rPr>
        <w:t xml:space="preserve">The increase from 2018 to 2019 of US$40 million was principally driven by </w:t>
      </w:r>
      <w:r w:rsidR="00865B26">
        <w:rPr>
          <w:lang w:val="en-GB"/>
        </w:rPr>
        <w:t xml:space="preserve">the </w:t>
      </w:r>
      <w:r w:rsidRPr="00571974">
        <w:rPr>
          <w:lang w:val="en-GB"/>
        </w:rPr>
        <w:t xml:space="preserve">adoption of IFRS 16 </w:t>
      </w:r>
      <w:r w:rsidR="00A97A71">
        <w:rPr>
          <w:lang w:val="en-GB"/>
        </w:rPr>
        <w:t>resulting in</w:t>
      </w:r>
      <w:r w:rsidR="00A97A71" w:rsidRPr="00571974">
        <w:rPr>
          <w:lang w:val="en-GB"/>
        </w:rPr>
        <w:t xml:space="preserve"> </w:t>
      </w:r>
      <w:r w:rsidRPr="00571974">
        <w:rPr>
          <w:lang w:val="en-GB"/>
        </w:rPr>
        <w:t>interest expense on lease liabilities</w:t>
      </w:r>
      <w:r w:rsidR="00A97A71">
        <w:rPr>
          <w:lang w:val="en-GB"/>
        </w:rPr>
        <w:t xml:space="preserve"> being</w:t>
      </w:r>
      <w:r w:rsidRPr="00571974">
        <w:rPr>
          <w:lang w:val="en-GB"/>
        </w:rPr>
        <w:t xml:space="preserve"> recognized within interest and other finance expense in 2019.</w:t>
      </w:r>
    </w:p>
    <w:p w14:paraId="35D5D99C" w14:textId="77777777" w:rsidR="00DF4A0D" w:rsidRPr="00571974" w:rsidRDefault="003D4D89" w:rsidP="00EA3F32">
      <w:pPr>
        <w:pStyle w:val="Heading4"/>
      </w:pPr>
      <w:r w:rsidRPr="00571974">
        <w:t>Financing Special Items and Remeasurements</w:t>
      </w:r>
    </w:p>
    <w:p w14:paraId="6809FAC1" w14:textId="77777777" w:rsidR="00DF4A0D" w:rsidRPr="00571974" w:rsidRDefault="003D4D89" w:rsidP="00DF4A0D">
      <w:pPr>
        <w:pStyle w:val="BodyText"/>
        <w:widowControl/>
        <w:autoSpaceDE/>
        <w:autoSpaceDN/>
        <w:adjustRightInd/>
        <w:ind w:firstLine="360"/>
        <w:rPr>
          <w:lang w:val="en-GB"/>
        </w:rPr>
      </w:pPr>
      <w:r w:rsidRPr="00571974">
        <w:rPr>
          <w:lang w:val="en-GB"/>
        </w:rPr>
        <w:t>Financing special items and remeasurements in 2019, 2018 and 2017 were losses of US$6 million, US$134 million and US$113 million, respectively.</w:t>
      </w:r>
    </w:p>
    <w:p w14:paraId="61E5AA15" w14:textId="77777777" w:rsidR="00DF4A0D" w:rsidRPr="00571974" w:rsidRDefault="003D4D89" w:rsidP="00DF4A0D">
      <w:pPr>
        <w:pStyle w:val="BodyText"/>
        <w:widowControl/>
        <w:autoSpaceDE/>
        <w:autoSpaceDN/>
        <w:adjustRightInd/>
        <w:ind w:firstLine="360"/>
        <w:rPr>
          <w:lang w:val="en-GB"/>
        </w:rPr>
      </w:pPr>
      <w:r w:rsidRPr="00571974">
        <w:rPr>
          <w:lang w:val="en-GB"/>
        </w:rPr>
        <w:t>Financing special items and remeasurements in 2019 principally comprised a loss on derivatives hedging net debt.</w:t>
      </w:r>
    </w:p>
    <w:p w14:paraId="42BADE04" w14:textId="77777777" w:rsidR="00DF4A0D" w:rsidRPr="00571974" w:rsidRDefault="003D4D89" w:rsidP="00EA3F32">
      <w:pPr>
        <w:pStyle w:val="Heading4"/>
      </w:pPr>
      <w:r w:rsidRPr="00571974">
        <w:t>Income Tax Expense before Special Items and Remeasurements</w:t>
      </w:r>
    </w:p>
    <w:p w14:paraId="15E418FF"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Income tax expense before special items and remeasurements in 2019, 2018 and 2017 was US$1,760 million, US$1,490 million and US$1,324 million, respectively. Income tax expense is a function of profit before tax and the tax rates applicable in the various geographic locations in which the Group operates. </w:t>
      </w:r>
    </w:p>
    <w:p w14:paraId="6A9FA46F" w14:textId="242DBC2B" w:rsidR="00DF4A0D" w:rsidRPr="00571974" w:rsidRDefault="003D4D89" w:rsidP="00DF4A0D">
      <w:pPr>
        <w:pStyle w:val="BodyText"/>
        <w:widowControl/>
        <w:autoSpaceDE/>
        <w:autoSpaceDN/>
        <w:adjustRightInd/>
        <w:ind w:firstLine="360"/>
        <w:rPr>
          <w:lang w:val="en-GB"/>
        </w:rPr>
      </w:pPr>
      <w:r w:rsidRPr="00571974">
        <w:rPr>
          <w:lang w:val="en-GB"/>
        </w:rPr>
        <w:t>The effective rate of tax, before special items and remeasurements (including share of associates</w:t>
      </w:r>
      <w:r w:rsidR="00A311D8">
        <w:rPr>
          <w:lang w:val="en-GB"/>
        </w:rPr>
        <w:t>’</w:t>
      </w:r>
      <w:r w:rsidRPr="00571974">
        <w:rPr>
          <w:lang w:val="en-GB"/>
        </w:rPr>
        <w:t xml:space="preserve"> tax before special items and remeasurements) – i.e. the underlying effective tax rate, in 2019, 2018 and 2017 was 30.8%, 31.3% and 29.7%, respectively. </w:t>
      </w:r>
    </w:p>
    <w:p w14:paraId="09742034" w14:textId="7ED1A8E2" w:rsidR="00DF4A0D" w:rsidRPr="00571974" w:rsidRDefault="003D4D89" w:rsidP="00DF4A0D">
      <w:pPr>
        <w:pStyle w:val="BodyText"/>
        <w:widowControl/>
        <w:autoSpaceDE/>
        <w:autoSpaceDN/>
        <w:adjustRightInd/>
        <w:ind w:firstLine="360"/>
        <w:rPr>
          <w:lang w:val="en-GB"/>
        </w:rPr>
      </w:pPr>
      <w:r w:rsidRPr="00571974">
        <w:rPr>
          <w:lang w:val="en-GB"/>
        </w:rPr>
        <w:t>The decrease in the underlying effective tax rate from 2018 to 2019 was principally driven by the relative levels of profits arising in the Group</w:t>
      </w:r>
      <w:r w:rsidR="00A311D8">
        <w:rPr>
          <w:lang w:val="en-GB"/>
        </w:rPr>
        <w:t>’</w:t>
      </w:r>
      <w:r w:rsidRPr="00571974">
        <w:rPr>
          <w:lang w:val="en-GB"/>
        </w:rPr>
        <w:t>s operating jurisdictions. The increase in the underlying effective tax rate from 2017 to 2018 was principally driven by the relative levels of profits arising in the Group</w:t>
      </w:r>
      <w:r w:rsidR="00A311D8">
        <w:rPr>
          <w:lang w:val="en-GB"/>
        </w:rPr>
        <w:t>’</w:t>
      </w:r>
      <w:r w:rsidRPr="00571974">
        <w:rPr>
          <w:lang w:val="en-GB"/>
        </w:rPr>
        <w:t xml:space="preserve">s operating jurisdictions, principally offset by a release of a deferred tax liability balance in Chile. </w:t>
      </w:r>
    </w:p>
    <w:p w14:paraId="47041141" w14:textId="4D555250" w:rsidR="00DF4A0D" w:rsidRPr="00571974" w:rsidRDefault="003D4D89" w:rsidP="00DF4A0D">
      <w:pPr>
        <w:pStyle w:val="BodyText"/>
        <w:widowControl/>
        <w:autoSpaceDE/>
        <w:autoSpaceDN/>
        <w:adjustRightInd/>
        <w:ind w:firstLine="360"/>
        <w:rPr>
          <w:lang w:val="en-GB"/>
        </w:rPr>
      </w:pPr>
      <w:r w:rsidRPr="00571974">
        <w:rPr>
          <w:lang w:val="en-GB"/>
        </w:rPr>
        <w:t>Associates</w:t>
      </w:r>
      <w:r w:rsidR="00A311D8">
        <w:rPr>
          <w:lang w:val="en-GB"/>
        </w:rPr>
        <w:t>’</w:t>
      </w:r>
      <w:r w:rsidRPr="00571974">
        <w:rPr>
          <w:lang w:val="en-GB"/>
        </w:rPr>
        <w:t xml:space="preserve"> and joint ventures</w:t>
      </w:r>
      <w:r w:rsidR="00A311D8">
        <w:rPr>
          <w:lang w:val="en-GB"/>
        </w:rPr>
        <w:t>’</w:t>
      </w:r>
      <w:r w:rsidRPr="00571974">
        <w:rPr>
          <w:lang w:val="en-GB"/>
        </w:rPr>
        <w:t xml:space="preserve"> tax included within Net income from associates and joint ventures for the year ended December </w:t>
      </w:r>
      <w:r w:rsidR="00F9505A">
        <w:rPr>
          <w:lang w:val="en-GB"/>
        </w:rPr>
        <w:t xml:space="preserve">31, </w:t>
      </w:r>
      <w:r w:rsidRPr="00571974">
        <w:rPr>
          <w:lang w:val="en-GB"/>
        </w:rPr>
        <w:t>2019 is a charge of US$258 million (2018: charge of US$391 million). Excluding special items and remeasurements, this becomes a charge of US$258 million (2018: charge of US$380 million).</w:t>
      </w:r>
    </w:p>
    <w:p w14:paraId="0216C475" w14:textId="09ED4826" w:rsidR="00DF4A0D" w:rsidRPr="00571974" w:rsidRDefault="003D4D89" w:rsidP="00DF4A0D">
      <w:pPr>
        <w:pStyle w:val="BodyText"/>
        <w:widowControl/>
        <w:autoSpaceDE/>
        <w:autoSpaceDN/>
        <w:adjustRightInd/>
        <w:ind w:firstLine="360"/>
        <w:rPr>
          <w:lang w:val="en-GB"/>
        </w:rPr>
      </w:pPr>
      <w:r w:rsidRPr="00571974">
        <w:rPr>
          <w:lang w:val="en-GB"/>
        </w:rPr>
        <w:t>The table below summarizes the Group</w:t>
      </w:r>
      <w:r w:rsidR="00A311D8">
        <w:rPr>
          <w:lang w:val="en-GB"/>
        </w:rPr>
        <w:t>’</w:t>
      </w:r>
      <w:r w:rsidRPr="00571974">
        <w:rPr>
          <w:lang w:val="en-GB"/>
        </w:rPr>
        <w:t>s tax expense before special items and remeasurements for the periods indicated.</w:t>
      </w:r>
    </w:p>
    <w:tbl>
      <w:tblPr>
        <w:tblW w:w="5303" w:type="pct"/>
        <w:tblLayout w:type="fixed"/>
        <w:tblCellMar>
          <w:left w:w="72" w:type="dxa"/>
          <w:right w:w="72" w:type="dxa"/>
        </w:tblCellMar>
        <w:tblLook w:val="0000" w:firstRow="0" w:lastRow="0" w:firstColumn="0" w:lastColumn="0" w:noHBand="0" w:noVBand="0"/>
      </w:tblPr>
      <w:tblGrid>
        <w:gridCol w:w="1335"/>
        <w:gridCol w:w="897"/>
        <w:gridCol w:w="1044"/>
        <w:gridCol w:w="716"/>
        <w:gridCol w:w="131"/>
        <w:gridCol w:w="994"/>
        <w:gridCol w:w="988"/>
        <w:gridCol w:w="538"/>
        <w:gridCol w:w="310"/>
        <w:gridCol w:w="990"/>
        <w:gridCol w:w="1133"/>
        <w:gridCol w:w="222"/>
        <w:gridCol w:w="625"/>
      </w:tblGrid>
      <w:tr w:rsidR="00795969" w14:paraId="3DFE00D4" w14:textId="77777777" w:rsidTr="00795969">
        <w:trPr>
          <w:gridAfter w:val="1"/>
          <w:wAfter w:w="315" w:type="pct"/>
          <w:cantSplit/>
        </w:trPr>
        <w:tc>
          <w:tcPr>
            <w:tcW w:w="672" w:type="pct"/>
            <w:tcBorders>
              <w:top w:val="nil"/>
              <w:left w:val="nil"/>
              <w:bottom w:val="nil"/>
              <w:right w:val="nil"/>
            </w:tcBorders>
            <w:vAlign w:val="bottom"/>
          </w:tcPr>
          <w:p w14:paraId="3E7B67D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339" w:type="pct"/>
            <w:gridSpan w:val="3"/>
            <w:tcBorders>
              <w:top w:val="nil"/>
              <w:left w:val="nil"/>
              <w:bottom w:val="nil"/>
              <w:right w:val="nil"/>
            </w:tcBorders>
            <w:vAlign w:val="bottom"/>
          </w:tcPr>
          <w:p w14:paraId="1F4A6FF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vertAlign w:val="superscript"/>
                <w:lang w:val="en-GB" w:eastAsia="en-GB" w:bidi="ar-SA"/>
              </w:rPr>
            </w:pPr>
            <w:r w:rsidRPr="00571974">
              <w:rPr>
                <w:b/>
                <w:bCs/>
                <w:sz w:val="16"/>
                <w:szCs w:val="18"/>
                <w:lang w:val="en-GB" w:eastAsia="en-GB" w:bidi="ar-SA"/>
              </w:rPr>
              <w:t>Year-ended December 31, 2017</w:t>
            </w:r>
          </w:p>
        </w:tc>
        <w:tc>
          <w:tcPr>
            <w:tcW w:w="1336" w:type="pct"/>
            <w:gridSpan w:val="4"/>
            <w:tcBorders>
              <w:top w:val="nil"/>
              <w:left w:val="nil"/>
              <w:bottom w:val="nil"/>
              <w:right w:val="nil"/>
            </w:tcBorders>
            <w:vAlign w:val="bottom"/>
          </w:tcPr>
          <w:p w14:paraId="05B5C8D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 December 31, 2018</w:t>
            </w:r>
          </w:p>
        </w:tc>
        <w:tc>
          <w:tcPr>
            <w:tcW w:w="1338" w:type="pct"/>
            <w:gridSpan w:val="4"/>
            <w:tcBorders>
              <w:top w:val="nil"/>
              <w:left w:val="nil"/>
              <w:bottom w:val="nil"/>
              <w:right w:val="nil"/>
            </w:tcBorders>
            <w:vAlign w:val="bottom"/>
          </w:tcPr>
          <w:p w14:paraId="29E7D5B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 December 31, 2019</w:t>
            </w:r>
          </w:p>
        </w:tc>
      </w:tr>
      <w:tr w:rsidR="00795969" w14:paraId="691FA93B" w14:textId="77777777" w:rsidTr="007B1404">
        <w:trPr>
          <w:cantSplit/>
        </w:trPr>
        <w:tc>
          <w:tcPr>
            <w:tcW w:w="672" w:type="pct"/>
            <w:tcBorders>
              <w:top w:val="nil"/>
              <w:left w:val="nil"/>
              <w:bottom w:val="nil"/>
              <w:right w:val="nil"/>
            </w:tcBorders>
            <w:vAlign w:val="bottom"/>
          </w:tcPr>
          <w:p w14:paraId="5472A5D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52" w:type="pct"/>
            <w:tcBorders>
              <w:top w:val="nil"/>
              <w:left w:val="nil"/>
              <w:bottom w:val="nil"/>
              <w:right w:val="nil"/>
            </w:tcBorders>
            <w:vAlign w:val="bottom"/>
          </w:tcPr>
          <w:p w14:paraId="4D505D3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Before</w:t>
            </w:r>
            <w:r w:rsidRPr="00571974">
              <w:rPr>
                <w:b/>
                <w:bCs/>
                <w:sz w:val="16"/>
                <w:szCs w:val="18"/>
                <w:lang w:val="en-GB" w:eastAsia="en-GB" w:bidi="ar-SA"/>
              </w:rPr>
              <w:br/>
              <w:t>special items and</w:t>
            </w:r>
            <w:r w:rsidRPr="00571974">
              <w:rPr>
                <w:b/>
                <w:bCs/>
                <w:sz w:val="16"/>
                <w:szCs w:val="18"/>
                <w:lang w:val="en-GB" w:eastAsia="en-GB" w:bidi="ar-SA"/>
              </w:rPr>
              <w:br/>
              <w:t>remeasure-ments</w:t>
            </w:r>
          </w:p>
        </w:tc>
        <w:tc>
          <w:tcPr>
            <w:tcW w:w="526" w:type="pct"/>
            <w:tcBorders>
              <w:top w:val="nil"/>
              <w:left w:val="nil"/>
              <w:bottom w:val="nil"/>
              <w:right w:val="nil"/>
            </w:tcBorders>
            <w:vAlign w:val="bottom"/>
          </w:tcPr>
          <w:p w14:paraId="1F146DA8" w14:textId="24FC2532"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Associates</w:t>
            </w:r>
            <w:r w:rsidR="00A311D8">
              <w:rPr>
                <w:b/>
                <w:bCs/>
                <w:sz w:val="16"/>
                <w:szCs w:val="18"/>
                <w:lang w:val="en-GB" w:eastAsia="en-GB" w:bidi="ar-SA"/>
              </w:rPr>
              <w:t>’</w:t>
            </w:r>
            <w:r w:rsidR="00F9505A">
              <w:rPr>
                <w:b/>
                <w:bCs/>
                <w:sz w:val="16"/>
                <w:szCs w:val="18"/>
                <w:lang w:val="en-GB" w:eastAsia="en-GB" w:bidi="ar-SA"/>
              </w:rPr>
              <w:t xml:space="preserve"> </w:t>
            </w:r>
            <w:r w:rsidR="00F9505A" w:rsidRPr="00571974">
              <w:rPr>
                <w:b/>
                <w:bCs/>
                <w:sz w:val="16"/>
                <w:szCs w:val="18"/>
                <w:lang w:val="en-GB" w:eastAsia="en-GB" w:bidi="ar-SA"/>
              </w:rPr>
              <w:t>and joint ventures</w:t>
            </w:r>
            <w:r w:rsidR="00A311D8">
              <w:rPr>
                <w:b/>
                <w:bCs/>
                <w:sz w:val="16"/>
                <w:szCs w:val="18"/>
                <w:lang w:val="en-GB" w:eastAsia="en-GB" w:bidi="ar-SA"/>
              </w:rPr>
              <w:t>’</w:t>
            </w:r>
            <w:r w:rsidRPr="00571974">
              <w:rPr>
                <w:b/>
                <w:bCs/>
                <w:sz w:val="16"/>
                <w:szCs w:val="18"/>
                <w:lang w:val="en-GB" w:eastAsia="en-GB" w:bidi="ar-SA"/>
              </w:rPr>
              <w:br/>
              <w:t>tax and</w:t>
            </w:r>
            <w:r w:rsidRPr="00571974">
              <w:rPr>
                <w:b/>
                <w:bCs/>
                <w:sz w:val="16"/>
                <w:szCs w:val="18"/>
                <w:lang w:val="en-GB" w:eastAsia="en-GB" w:bidi="ar-SA"/>
              </w:rPr>
              <w:br/>
              <w:t>non-</w:t>
            </w:r>
            <w:r w:rsidRPr="00571974">
              <w:rPr>
                <w:b/>
                <w:bCs/>
                <w:sz w:val="16"/>
                <w:szCs w:val="18"/>
                <w:lang w:val="en-GB" w:eastAsia="en-GB" w:bidi="ar-SA"/>
              </w:rPr>
              <w:br/>
              <w:t>controlling</w:t>
            </w:r>
            <w:r w:rsidRPr="00571974">
              <w:rPr>
                <w:b/>
                <w:bCs/>
                <w:sz w:val="16"/>
                <w:szCs w:val="18"/>
                <w:lang w:val="en-GB" w:eastAsia="en-GB" w:bidi="ar-SA"/>
              </w:rPr>
              <w:br/>
              <w:t>interests</w:t>
            </w:r>
          </w:p>
        </w:tc>
        <w:tc>
          <w:tcPr>
            <w:tcW w:w="427" w:type="pct"/>
            <w:gridSpan w:val="2"/>
            <w:tcBorders>
              <w:top w:val="nil"/>
              <w:left w:val="nil"/>
              <w:bottom w:val="nil"/>
              <w:right w:val="nil"/>
            </w:tcBorders>
            <w:vAlign w:val="bottom"/>
          </w:tcPr>
          <w:p w14:paraId="6DBF90BB" w14:textId="10123370"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Including</w:t>
            </w:r>
            <w:r w:rsidRPr="00571974">
              <w:rPr>
                <w:b/>
                <w:bCs/>
                <w:sz w:val="16"/>
                <w:szCs w:val="18"/>
                <w:lang w:val="en-GB" w:eastAsia="en-GB" w:bidi="ar-SA"/>
              </w:rPr>
              <w:br/>
              <w:t>associates</w:t>
            </w:r>
            <w:r w:rsidR="00A97A71">
              <w:rPr>
                <w:b/>
                <w:bCs/>
                <w:sz w:val="16"/>
                <w:szCs w:val="18"/>
                <w:lang w:val="en-GB" w:eastAsia="en-GB" w:bidi="ar-SA"/>
              </w:rPr>
              <w:t xml:space="preserve"> before special items and remeasur</w:t>
            </w:r>
            <w:r w:rsidR="00C279A6">
              <w:rPr>
                <w:b/>
                <w:bCs/>
                <w:sz w:val="16"/>
                <w:szCs w:val="18"/>
                <w:lang w:val="en-GB" w:eastAsia="en-GB" w:bidi="ar-SA"/>
              </w:rPr>
              <w:t>e</w:t>
            </w:r>
            <w:r w:rsidR="00A97A71">
              <w:rPr>
                <w:b/>
                <w:bCs/>
                <w:sz w:val="16"/>
                <w:szCs w:val="18"/>
                <w:lang w:val="en-GB" w:eastAsia="en-GB" w:bidi="ar-SA"/>
              </w:rPr>
              <w:t>ments</w:t>
            </w:r>
          </w:p>
        </w:tc>
        <w:tc>
          <w:tcPr>
            <w:tcW w:w="501" w:type="pct"/>
            <w:tcBorders>
              <w:top w:val="nil"/>
              <w:left w:val="nil"/>
              <w:bottom w:val="nil"/>
              <w:right w:val="nil"/>
            </w:tcBorders>
            <w:vAlign w:val="bottom"/>
          </w:tcPr>
          <w:p w14:paraId="692059C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Before</w:t>
            </w:r>
            <w:r w:rsidRPr="00571974">
              <w:rPr>
                <w:b/>
                <w:bCs/>
                <w:sz w:val="16"/>
                <w:szCs w:val="18"/>
                <w:lang w:val="en-GB" w:eastAsia="en-GB" w:bidi="ar-SA"/>
              </w:rPr>
              <w:br/>
              <w:t>special items and</w:t>
            </w:r>
            <w:r w:rsidRPr="00571974">
              <w:rPr>
                <w:b/>
                <w:bCs/>
                <w:sz w:val="16"/>
                <w:szCs w:val="18"/>
                <w:lang w:val="en-GB" w:eastAsia="en-GB" w:bidi="ar-SA"/>
              </w:rPr>
              <w:br/>
              <w:t>remeasur</w:t>
            </w:r>
            <w:r w:rsidRPr="00571974">
              <w:rPr>
                <w:b/>
                <w:bCs/>
                <w:sz w:val="16"/>
                <w:szCs w:val="18"/>
                <w:lang w:val="en-GB" w:eastAsia="en-GB" w:bidi="ar-SA"/>
              </w:rPr>
              <w:noBreakHyphen/>
            </w:r>
            <w:r w:rsidRPr="00571974">
              <w:rPr>
                <w:b/>
                <w:bCs/>
                <w:sz w:val="16"/>
                <w:szCs w:val="18"/>
                <w:lang w:val="en-GB" w:eastAsia="en-GB" w:bidi="ar-SA"/>
              </w:rPr>
              <w:br/>
              <w:t>ements</w:t>
            </w:r>
          </w:p>
        </w:tc>
        <w:tc>
          <w:tcPr>
            <w:tcW w:w="498" w:type="pct"/>
            <w:tcBorders>
              <w:top w:val="nil"/>
              <w:left w:val="nil"/>
              <w:bottom w:val="nil"/>
              <w:right w:val="nil"/>
            </w:tcBorders>
            <w:vAlign w:val="bottom"/>
          </w:tcPr>
          <w:p w14:paraId="1922280D" w14:textId="6724AD1D"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Associates</w:t>
            </w:r>
            <w:r w:rsidR="00A311D8">
              <w:rPr>
                <w:b/>
                <w:bCs/>
                <w:sz w:val="16"/>
                <w:szCs w:val="18"/>
                <w:lang w:val="en-GB" w:eastAsia="en-GB" w:bidi="ar-SA"/>
              </w:rPr>
              <w:t>’</w:t>
            </w:r>
            <w:r w:rsidRPr="00571974">
              <w:rPr>
                <w:b/>
                <w:bCs/>
                <w:sz w:val="16"/>
                <w:szCs w:val="18"/>
                <w:lang w:val="en-GB" w:eastAsia="en-GB" w:bidi="ar-SA"/>
              </w:rPr>
              <w:t xml:space="preserve"> and joint ventures</w:t>
            </w:r>
            <w:r w:rsidR="00A311D8">
              <w:rPr>
                <w:b/>
                <w:bCs/>
                <w:sz w:val="16"/>
                <w:szCs w:val="18"/>
                <w:lang w:val="en-GB" w:eastAsia="en-GB" w:bidi="ar-SA"/>
              </w:rPr>
              <w:t>’</w:t>
            </w:r>
            <w:r w:rsidRPr="00571974">
              <w:rPr>
                <w:b/>
                <w:bCs/>
                <w:sz w:val="16"/>
                <w:szCs w:val="18"/>
                <w:lang w:val="en-GB" w:eastAsia="en-GB" w:bidi="ar-SA"/>
              </w:rPr>
              <w:br/>
              <w:t>tax and</w:t>
            </w:r>
            <w:r w:rsidRPr="00571974">
              <w:rPr>
                <w:b/>
                <w:bCs/>
                <w:sz w:val="16"/>
                <w:szCs w:val="18"/>
                <w:lang w:val="en-GB" w:eastAsia="en-GB" w:bidi="ar-SA"/>
              </w:rPr>
              <w:br/>
              <w:t>non-</w:t>
            </w:r>
            <w:r w:rsidRPr="00571974">
              <w:rPr>
                <w:b/>
                <w:bCs/>
                <w:sz w:val="16"/>
                <w:szCs w:val="18"/>
                <w:lang w:val="en-GB" w:eastAsia="en-GB" w:bidi="ar-SA"/>
              </w:rPr>
              <w:br/>
              <w:t>controlling</w:t>
            </w:r>
            <w:r w:rsidRPr="00571974">
              <w:rPr>
                <w:b/>
                <w:bCs/>
                <w:sz w:val="16"/>
                <w:szCs w:val="18"/>
                <w:lang w:val="en-GB" w:eastAsia="en-GB" w:bidi="ar-SA"/>
              </w:rPr>
              <w:br/>
              <w:t>interests</w:t>
            </w:r>
          </w:p>
        </w:tc>
        <w:tc>
          <w:tcPr>
            <w:tcW w:w="427" w:type="pct"/>
            <w:gridSpan w:val="2"/>
            <w:tcBorders>
              <w:top w:val="nil"/>
              <w:left w:val="nil"/>
              <w:bottom w:val="nil"/>
              <w:right w:val="nil"/>
            </w:tcBorders>
            <w:vAlign w:val="bottom"/>
          </w:tcPr>
          <w:p w14:paraId="4E6749FF" w14:textId="7516BC9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Including</w:t>
            </w:r>
            <w:r w:rsidRPr="00571974">
              <w:rPr>
                <w:b/>
                <w:bCs/>
                <w:sz w:val="16"/>
                <w:szCs w:val="18"/>
                <w:lang w:val="en-GB" w:eastAsia="en-GB" w:bidi="ar-SA"/>
              </w:rPr>
              <w:br/>
              <w:t>associates</w:t>
            </w:r>
            <w:r w:rsidR="00A97A71">
              <w:rPr>
                <w:b/>
                <w:bCs/>
                <w:sz w:val="16"/>
                <w:szCs w:val="18"/>
                <w:lang w:val="en-GB" w:eastAsia="en-GB" w:bidi="ar-SA"/>
              </w:rPr>
              <w:t xml:space="preserve"> before special items and remeasur</w:t>
            </w:r>
            <w:r w:rsidR="00C279A6">
              <w:rPr>
                <w:b/>
                <w:bCs/>
                <w:sz w:val="16"/>
                <w:szCs w:val="18"/>
                <w:lang w:val="en-GB" w:eastAsia="en-GB" w:bidi="ar-SA"/>
              </w:rPr>
              <w:t>e</w:t>
            </w:r>
            <w:r w:rsidR="00A97A71">
              <w:rPr>
                <w:b/>
                <w:bCs/>
                <w:sz w:val="16"/>
                <w:szCs w:val="18"/>
                <w:lang w:val="en-GB" w:eastAsia="en-GB" w:bidi="ar-SA"/>
              </w:rPr>
              <w:t>ments</w:t>
            </w:r>
          </w:p>
        </w:tc>
        <w:tc>
          <w:tcPr>
            <w:tcW w:w="499" w:type="pct"/>
            <w:tcBorders>
              <w:top w:val="nil"/>
              <w:left w:val="nil"/>
              <w:bottom w:val="nil"/>
              <w:right w:val="nil"/>
            </w:tcBorders>
            <w:vAlign w:val="bottom"/>
          </w:tcPr>
          <w:p w14:paraId="6B8E9C38"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Before</w:t>
            </w:r>
            <w:r w:rsidRPr="00571974">
              <w:rPr>
                <w:b/>
                <w:bCs/>
                <w:sz w:val="16"/>
                <w:szCs w:val="18"/>
                <w:lang w:val="en-GB" w:eastAsia="en-GB" w:bidi="ar-SA"/>
              </w:rPr>
              <w:br/>
              <w:t>special items and</w:t>
            </w:r>
            <w:r w:rsidRPr="00571974">
              <w:rPr>
                <w:b/>
                <w:bCs/>
                <w:sz w:val="16"/>
                <w:szCs w:val="18"/>
                <w:lang w:val="en-GB" w:eastAsia="en-GB" w:bidi="ar-SA"/>
              </w:rPr>
              <w:br/>
              <w:t>remeasure</w:t>
            </w:r>
            <w:r w:rsidRPr="00571974">
              <w:rPr>
                <w:b/>
                <w:bCs/>
                <w:sz w:val="16"/>
                <w:szCs w:val="18"/>
                <w:lang w:val="en-GB" w:eastAsia="en-GB" w:bidi="ar-SA"/>
              </w:rPr>
              <w:noBreakHyphen/>
            </w:r>
            <w:r w:rsidRPr="00571974">
              <w:rPr>
                <w:b/>
                <w:bCs/>
                <w:sz w:val="16"/>
                <w:szCs w:val="18"/>
                <w:lang w:val="en-GB" w:eastAsia="en-GB" w:bidi="ar-SA"/>
              </w:rPr>
              <w:br/>
              <w:t>ments</w:t>
            </w:r>
          </w:p>
        </w:tc>
        <w:tc>
          <w:tcPr>
            <w:tcW w:w="571" w:type="pct"/>
            <w:tcBorders>
              <w:top w:val="nil"/>
              <w:left w:val="nil"/>
              <w:bottom w:val="nil"/>
              <w:right w:val="nil"/>
            </w:tcBorders>
            <w:vAlign w:val="bottom"/>
          </w:tcPr>
          <w:p w14:paraId="590BEF5A" w14:textId="41E0B088"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Associates</w:t>
            </w:r>
            <w:r w:rsidR="00A311D8">
              <w:rPr>
                <w:b/>
                <w:bCs/>
                <w:sz w:val="16"/>
                <w:szCs w:val="18"/>
                <w:lang w:val="en-GB" w:eastAsia="en-GB" w:bidi="ar-SA"/>
              </w:rPr>
              <w:t>’</w:t>
            </w:r>
            <w:r w:rsidRPr="00571974">
              <w:rPr>
                <w:b/>
                <w:bCs/>
                <w:sz w:val="16"/>
                <w:szCs w:val="18"/>
                <w:lang w:val="en-GB" w:eastAsia="en-GB" w:bidi="ar-SA"/>
              </w:rPr>
              <w:t xml:space="preserve"> and joint ventures</w:t>
            </w:r>
            <w:r w:rsidR="00A311D8">
              <w:rPr>
                <w:b/>
                <w:bCs/>
                <w:sz w:val="16"/>
                <w:szCs w:val="18"/>
                <w:lang w:val="en-GB" w:eastAsia="en-GB" w:bidi="ar-SA"/>
              </w:rPr>
              <w:t>’</w:t>
            </w:r>
            <w:r w:rsidRPr="00571974">
              <w:rPr>
                <w:b/>
                <w:bCs/>
                <w:sz w:val="16"/>
                <w:szCs w:val="18"/>
                <w:lang w:val="en-GB" w:eastAsia="en-GB" w:bidi="ar-SA"/>
              </w:rPr>
              <w:br/>
              <w:t>tax and</w:t>
            </w:r>
            <w:r w:rsidRPr="00571974">
              <w:rPr>
                <w:b/>
                <w:bCs/>
                <w:sz w:val="16"/>
                <w:szCs w:val="18"/>
                <w:lang w:val="en-GB" w:eastAsia="en-GB" w:bidi="ar-SA"/>
              </w:rPr>
              <w:br/>
              <w:t>non-</w:t>
            </w:r>
            <w:r w:rsidRPr="00571974">
              <w:rPr>
                <w:b/>
                <w:bCs/>
                <w:sz w:val="16"/>
                <w:szCs w:val="18"/>
                <w:lang w:val="en-GB" w:eastAsia="en-GB" w:bidi="ar-SA"/>
              </w:rPr>
              <w:br/>
              <w:t>controlling</w:t>
            </w:r>
            <w:r w:rsidRPr="00571974">
              <w:rPr>
                <w:b/>
                <w:bCs/>
                <w:sz w:val="16"/>
                <w:szCs w:val="18"/>
                <w:lang w:val="en-GB" w:eastAsia="en-GB" w:bidi="ar-SA"/>
              </w:rPr>
              <w:br/>
              <w:t>interests</w:t>
            </w:r>
          </w:p>
        </w:tc>
        <w:tc>
          <w:tcPr>
            <w:tcW w:w="428" w:type="pct"/>
            <w:gridSpan w:val="2"/>
            <w:tcBorders>
              <w:top w:val="nil"/>
              <w:left w:val="nil"/>
              <w:bottom w:val="nil"/>
              <w:right w:val="nil"/>
            </w:tcBorders>
            <w:vAlign w:val="bottom"/>
          </w:tcPr>
          <w:p w14:paraId="39EA35D3" w14:textId="046454F4"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Including</w:t>
            </w:r>
            <w:r w:rsidRPr="00571974">
              <w:rPr>
                <w:b/>
                <w:bCs/>
                <w:sz w:val="16"/>
                <w:szCs w:val="18"/>
                <w:lang w:val="en-GB" w:eastAsia="en-GB" w:bidi="ar-SA"/>
              </w:rPr>
              <w:br/>
              <w:t>associates</w:t>
            </w:r>
            <w:r w:rsidR="00A97A71">
              <w:rPr>
                <w:b/>
                <w:bCs/>
                <w:sz w:val="16"/>
                <w:szCs w:val="18"/>
                <w:lang w:val="en-GB" w:eastAsia="en-GB" w:bidi="ar-SA"/>
              </w:rPr>
              <w:t xml:space="preserve"> before special items and remeasur</w:t>
            </w:r>
            <w:r w:rsidR="00C279A6">
              <w:rPr>
                <w:b/>
                <w:bCs/>
                <w:sz w:val="16"/>
                <w:szCs w:val="18"/>
                <w:lang w:val="en-GB" w:eastAsia="en-GB" w:bidi="ar-SA"/>
              </w:rPr>
              <w:t>e</w:t>
            </w:r>
            <w:r w:rsidR="00A97A71">
              <w:rPr>
                <w:b/>
                <w:bCs/>
                <w:sz w:val="16"/>
                <w:szCs w:val="18"/>
                <w:lang w:val="en-GB" w:eastAsia="en-GB" w:bidi="ar-SA"/>
              </w:rPr>
              <w:t>ments</w:t>
            </w:r>
          </w:p>
        </w:tc>
      </w:tr>
      <w:tr w:rsidR="002228B8" w14:paraId="2BE04F10" w14:textId="77777777" w:rsidTr="007B1404">
        <w:trPr>
          <w:gridAfter w:val="1"/>
          <w:wAfter w:w="315" w:type="pct"/>
          <w:cantSplit/>
        </w:trPr>
        <w:tc>
          <w:tcPr>
            <w:tcW w:w="672" w:type="pct"/>
            <w:tcBorders>
              <w:top w:val="nil"/>
              <w:left w:val="nil"/>
              <w:bottom w:val="nil"/>
              <w:right w:val="nil"/>
            </w:tcBorders>
            <w:vAlign w:val="bottom"/>
          </w:tcPr>
          <w:p w14:paraId="7EAC248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4013" w:type="pct"/>
            <w:gridSpan w:val="11"/>
            <w:tcBorders>
              <w:top w:val="nil"/>
              <w:left w:val="nil"/>
              <w:bottom w:val="nil"/>
              <w:right w:val="nil"/>
            </w:tcBorders>
            <w:vAlign w:val="bottom"/>
          </w:tcPr>
          <w:p w14:paraId="2D01748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6"/>
                <w:szCs w:val="18"/>
                <w:lang w:val="en-GB" w:eastAsia="en-GB" w:bidi="ar-SA"/>
              </w:rPr>
              <w:t>(US$m)</w:t>
            </w:r>
          </w:p>
        </w:tc>
      </w:tr>
      <w:tr w:rsidR="00795969" w14:paraId="70E1B7EC" w14:textId="77777777" w:rsidTr="007B1404">
        <w:trPr>
          <w:cantSplit/>
        </w:trPr>
        <w:tc>
          <w:tcPr>
            <w:tcW w:w="672" w:type="pct"/>
            <w:tcBorders>
              <w:top w:val="nil"/>
              <w:left w:val="nil"/>
              <w:bottom w:val="nil"/>
              <w:right w:val="nil"/>
            </w:tcBorders>
            <w:shd w:val="clear" w:color="auto" w:fill="auto"/>
          </w:tcPr>
          <w:p w14:paraId="5745E17E" w14:textId="77777777" w:rsidR="00DF4A0D" w:rsidRPr="00571974" w:rsidRDefault="003D4D89" w:rsidP="00DF4A0D">
            <w:pPr>
              <w:tabs>
                <w:tab w:val="right" w:leader="dot" w:pos="2480"/>
              </w:tabs>
              <w:suppressAutoHyphens/>
              <w:ind w:left="200" w:hanging="200"/>
              <w:rPr>
                <w:sz w:val="16"/>
                <w:lang w:val="en-GB" w:eastAsia="en-GB" w:bidi="ar-SA"/>
              </w:rPr>
            </w:pPr>
            <w:r w:rsidRPr="00571974">
              <w:rPr>
                <w:sz w:val="16"/>
                <w:lang w:val="en-GB" w:eastAsia="en-GB" w:bidi="ar-SA"/>
              </w:rPr>
              <w:t>Profit before tax</w:t>
            </w:r>
            <w:r w:rsidRPr="00571974">
              <w:rPr>
                <w:sz w:val="16"/>
                <w:lang w:val="en-GB" w:eastAsia="en-GB" w:bidi="ar-SA"/>
              </w:rPr>
              <w:tab/>
            </w:r>
          </w:p>
        </w:tc>
        <w:tc>
          <w:tcPr>
            <w:tcW w:w="452" w:type="pct"/>
            <w:tcBorders>
              <w:top w:val="nil"/>
              <w:left w:val="nil"/>
              <w:bottom w:val="nil"/>
              <w:right w:val="nil"/>
            </w:tcBorders>
            <w:shd w:val="clear" w:color="auto" w:fill="auto"/>
            <w:vAlign w:val="bottom"/>
          </w:tcPr>
          <w:p w14:paraId="2EE87FF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5,346</w:t>
            </w:r>
          </w:p>
        </w:tc>
        <w:tc>
          <w:tcPr>
            <w:tcW w:w="526" w:type="pct"/>
            <w:tcBorders>
              <w:top w:val="nil"/>
              <w:left w:val="nil"/>
              <w:bottom w:val="nil"/>
              <w:right w:val="nil"/>
            </w:tcBorders>
            <w:shd w:val="clear" w:color="auto" w:fill="auto"/>
            <w:vAlign w:val="bottom"/>
          </w:tcPr>
          <w:p w14:paraId="2881A40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375</w:t>
            </w:r>
          </w:p>
        </w:tc>
        <w:tc>
          <w:tcPr>
            <w:tcW w:w="427" w:type="pct"/>
            <w:gridSpan w:val="2"/>
            <w:tcBorders>
              <w:top w:val="nil"/>
              <w:left w:val="nil"/>
              <w:bottom w:val="nil"/>
              <w:right w:val="nil"/>
            </w:tcBorders>
            <w:shd w:val="clear" w:color="auto" w:fill="auto"/>
            <w:vAlign w:val="bottom"/>
          </w:tcPr>
          <w:p w14:paraId="107EB26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5,721</w:t>
            </w:r>
          </w:p>
        </w:tc>
        <w:tc>
          <w:tcPr>
            <w:tcW w:w="501" w:type="pct"/>
            <w:tcBorders>
              <w:top w:val="nil"/>
              <w:left w:val="nil"/>
              <w:bottom w:val="nil"/>
              <w:right w:val="nil"/>
            </w:tcBorders>
            <w:shd w:val="clear" w:color="auto" w:fill="auto"/>
            <w:vAlign w:val="bottom"/>
          </w:tcPr>
          <w:p w14:paraId="678FF28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5,590</w:t>
            </w:r>
          </w:p>
        </w:tc>
        <w:tc>
          <w:tcPr>
            <w:tcW w:w="498" w:type="pct"/>
            <w:tcBorders>
              <w:top w:val="nil"/>
              <w:left w:val="nil"/>
              <w:bottom w:val="nil"/>
              <w:right w:val="nil"/>
            </w:tcBorders>
            <w:shd w:val="clear" w:color="auto" w:fill="auto"/>
            <w:vAlign w:val="bottom"/>
          </w:tcPr>
          <w:p w14:paraId="1858640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392</w:t>
            </w:r>
          </w:p>
        </w:tc>
        <w:tc>
          <w:tcPr>
            <w:tcW w:w="427" w:type="pct"/>
            <w:gridSpan w:val="2"/>
            <w:tcBorders>
              <w:top w:val="nil"/>
              <w:left w:val="nil"/>
              <w:bottom w:val="nil"/>
              <w:right w:val="nil"/>
            </w:tcBorders>
            <w:shd w:val="clear" w:color="auto" w:fill="auto"/>
            <w:vAlign w:val="bottom"/>
          </w:tcPr>
          <w:p w14:paraId="1202873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5,982</w:t>
            </w:r>
          </w:p>
        </w:tc>
        <w:tc>
          <w:tcPr>
            <w:tcW w:w="499" w:type="pct"/>
            <w:tcBorders>
              <w:top w:val="nil"/>
              <w:left w:val="nil"/>
              <w:bottom w:val="nil"/>
              <w:right w:val="nil"/>
            </w:tcBorders>
            <w:shd w:val="clear" w:color="auto" w:fill="auto"/>
            <w:vAlign w:val="bottom"/>
          </w:tcPr>
          <w:p w14:paraId="0608EEB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6,296</w:t>
            </w:r>
          </w:p>
        </w:tc>
        <w:tc>
          <w:tcPr>
            <w:tcW w:w="571" w:type="pct"/>
            <w:tcBorders>
              <w:top w:val="nil"/>
              <w:left w:val="nil"/>
              <w:bottom w:val="nil"/>
              <w:right w:val="nil"/>
            </w:tcBorders>
            <w:shd w:val="clear" w:color="auto" w:fill="auto"/>
            <w:vAlign w:val="bottom"/>
          </w:tcPr>
          <w:p w14:paraId="1FBAB7C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263</w:t>
            </w:r>
          </w:p>
        </w:tc>
        <w:tc>
          <w:tcPr>
            <w:tcW w:w="428" w:type="pct"/>
            <w:gridSpan w:val="2"/>
            <w:tcBorders>
              <w:top w:val="nil"/>
              <w:left w:val="nil"/>
              <w:bottom w:val="nil"/>
              <w:right w:val="nil"/>
            </w:tcBorders>
            <w:shd w:val="clear" w:color="auto" w:fill="auto"/>
            <w:vAlign w:val="bottom"/>
          </w:tcPr>
          <w:p w14:paraId="59280F5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6,559</w:t>
            </w:r>
          </w:p>
        </w:tc>
      </w:tr>
      <w:tr w:rsidR="00795969" w14:paraId="32F50F03" w14:textId="77777777" w:rsidTr="007B1404">
        <w:trPr>
          <w:cantSplit/>
        </w:trPr>
        <w:tc>
          <w:tcPr>
            <w:tcW w:w="672" w:type="pct"/>
            <w:tcBorders>
              <w:top w:val="nil"/>
              <w:left w:val="nil"/>
              <w:bottom w:val="nil"/>
              <w:right w:val="nil"/>
            </w:tcBorders>
            <w:shd w:val="clear" w:color="auto" w:fill="auto"/>
          </w:tcPr>
          <w:p w14:paraId="1E59DCD6" w14:textId="77777777" w:rsidR="00DF4A0D" w:rsidRPr="00571974" w:rsidRDefault="003D4D89" w:rsidP="00DF4A0D">
            <w:pPr>
              <w:tabs>
                <w:tab w:val="right" w:leader="dot" w:pos="2480"/>
              </w:tabs>
              <w:suppressAutoHyphens/>
              <w:spacing w:after="20"/>
              <w:ind w:left="200" w:hanging="200"/>
              <w:rPr>
                <w:sz w:val="16"/>
                <w:lang w:val="en-GB" w:eastAsia="en-GB" w:bidi="ar-SA"/>
              </w:rPr>
            </w:pPr>
            <w:r w:rsidRPr="00571974">
              <w:rPr>
                <w:sz w:val="16"/>
                <w:lang w:val="en-GB" w:eastAsia="en-GB" w:bidi="ar-SA"/>
              </w:rPr>
              <w:t>Tax</w:t>
            </w:r>
            <w:r w:rsidRPr="00571974">
              <w:rPr>
                <w:sz w:val="16"/>
                <w:lang w:val="en-GB" w:eastAsia="en-GB" w:bidi="ar-SA"/>
              </w:rPr>
              <w:tab/>
            </w:r>
          </w:p>
        </w:tc>
        <w:tc>
          <w:tcPr>
            <w:tcW w:w="452" w:type="pct"/>
            <w:tcBorders>
              <w:top w:val="nil"/>
              <w:left w:val="nil"/>
              <w:bottom w:val="nil"/>
              <w:right w:val="nil"/>
            </w:tcBorders>
            <w:shd w:val="clear" w:color="auto" w:fill="auto"/>
            <w:vAlign w:val="bottom"/>
          </w:tcPr>
          <w:p w14:paraId="7879BA3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(1,324)</w:t>
            </w:r>
          </w:p>
        </w:tc>
        <w:tc>
          <w:tcPr>
            <w:tcW w:w="526" w:type="pct"/>
            <w:tcBorders>
              <w:top w:val="nil"/>
              <w:left w:val="nil"/>
              <w:bottom w:val="nil"/>
              <w:right w:val="nil"/>
            </w:tcBorders>
            <w:shd w:val="clear" w:color="auto" w:fill="auto"/>
            <w:vAlign w:val="bottom"/>
          </w:tcPr>
          <w:p w14:paraId="70E9737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(373)</w:t>
            </w:r>
          </w:p>
        </w:tc>
        <w:tc>
          <w:tcPr>
            <w:tcW w:w="427" w:type="pct"/>
            <w:gridSpan w:val="2"/>
            <w:tcBorders>
              <w:top w:val="nil"/>
              <w:left w:val="nil"/>
              <w:bottom w:val="nil"/>
              <w:right w:val="nil"/>
            </w:tcBorders>
            <w:shd w:val="clear" w:color="auto" w:fill="auto"/>
            <w:vAlign w:val="bottom"/>
          </w:tcPr>
          <w:p w14:paraId="4700ACD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(1,697)</w:t>
            </w:r>
          </w:p>
        </w:tc>
        <w:tc>
          <w:tcPr>
            <w:tcW w:w="501" w:type="pct"/>
            <w:tcBorders>
              <w:top w:val="nil"/>
              <w:left w:val="nil"/>
              <w:bottom w:val="nil"/>
              <w:right w:val="nil"/>
            </w:tcBorders>
            <w:shd w:val="clear" w:color="auto" w:fill="auto"/>
            <w:vAlign w:val="bottom"/>
          </w:tcPr>
          <w:p w14:paraId="7FF4C9D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(1,490)</w:t>
            </w:r>
          </w:p>
        </w:tc>
        <w:tc>
          <w:tcPr>
            <w:tcW w:w="498" w:type="pct"/>
            <w:tcBorders>
              <w:top w:val="nil"/>
              <w:left w:val="nil"/>
              <w:bottom w:val="nil"/>
              <w:right w:val="nil"/>
            </w:tcBorders>
            <w:shd w:val="clear" w:color="auto" w:fill="auto"/>
            <w:vAlign w:val="bottom"/>
          </w:tcPr>
          <w:p w14:paraId="6CF02D58"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(380)</w:t>
            </w:r>
          </w:p>
        </w:tc>
        <w:tc>
          <w:tcPr>
            <w:tcW w:w="427" w:type="pct"/>
            <w:gridSpan w:val="2"/>
            <w:tcBorders>
              <w:top w:val="nil"/>
              <w:left w:val="nil"/>
              <w:bottom w:val="nil"/>
              <w:right w:val="nil"/>
            </w:tcBorders>
            <w:shd w:val="clear" w:color="auto" w:fill="auto"/>
            <w:vAlign w:val="bottom"/>
          </w:tcPr>
          <w:p w14:paraId="55088D1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(1,870)</w:t>
            </w:r>
          </w:p>
        </w:tc>
        <w:tc>
          <w:tcPr>
            <w:tcW w:w="499" w:type="pct"/>
            <w:tcBorders>
              <w:top w:val="nil"/>
              <w:left w:val="nil"/>
              <w:bottom w:val="nil"/>
              <w:right w:val="nil"/>
            </w:tcBorders>
            <w:shd w:val="clear" w:color="auto" w:fill="auto"/>
            <w:vAlign w:val="bottom"/>
          </w:tcPr>
          <w:p w14:paraId="4418A802" w14:textId="619B9128" w:rsidR="00DF4A0D" w:rsidRPr="00571974" w:rsidRDefault="003D4D89" w:rsidP="00A97A71">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w:t>
            </w:r>
            <w:r w:rsidR="00A97A71">
              <w:rPr>
                <w:sz w:val="16"/>
                <w:lang w:val="en-GB" w:eastAsia="en-GB" w:bidi="ar-SA"/>
              </w:rPr>
              <w:t>1,760</w:t>
            </w:r>
            <w:r w:rsidRPr="00571974">
              <w:rPr>
                <w:sz w:val="16"/>
                <w:lang w:val="en-GB" w:eastAsia="en-GB" w:bidi="ar-SA"/>
              </w:rPr>
              <w:t>)</w:t>
            </w:r>
          </w:p>
        </w:tc>
        <w:tc>
          <w:tcPr>
            <w:tcW w:w="571" w:type="pct"/>
            <w:tcBorders>
              <w:top w:val="nil"/>
              <w:left w:val="nil"/>
              <w:bottom w:val="nil"/>
              <w:right w:val="nil"/>
            </w:tcBorders>
            <w:shd w:val="clear" w:color="auto" w:fill="auto"/>
            <w:vAlign w:val="bottom"/>
          </w:tcPr>
          <w:p w14:paraId="00F21E9C"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(258)</w:t>
            </w:r>
          </w:p>
        </w:tc>
        <w:tc>
          <w:tcPr>
            <w:tcW w:w="428" w:type="pct"/>
            <w:gridSpan w:val="2"/>
            <w:tcBorders>
              <w:top w:val="nil"/>
              <w:left w:val="nil"/>
              <w:bottom w:val="nil"/>
              <w:right w:val="nil"/>
            </w:tcBorders>
            <w:shd w:val="clear" w:color="auto" w:fill="auto"/>
            <w:vAlign w:val="bottom"/>
          </w:tcPr>
          <w:p w14:paraId="638CFDE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6"/>
                <w:lang w:val="en-GB" w:eastAsia="en-GB" w:bidi="ar-SA"/>
              </w:rPr>
            </w:pPr>
            <w:r w:rsidRPr="00571974">
              <w:rPr>
                <w:sz w:val="16"/>
                <w:lang w:val="en-GB" w:eastAsia="en-GB" w:bidi="ar-SA"/>
              </w:rPr>
              <w:t>(2,018)</w:t>
            </w:r>
          </w:p>
        </w:tc>
      </w:tr>
      <w:tr w:rsidR="00795969" w14:paraId="11C5BFDC" w14:textId="77777777" w:rsidTr="007B1404">
        <w:trPr>
          <w:cantSplit/>
        </w:trPr>
        <w:tc>
          <w:tcPr>
            <w:tcW w:w="672" w:type="pct"/>
            <w:tcBorders>
              <w:top w:val="nil"/>
              <w:left w:val="nil"/>
              <w:bottom w:val="nil"/>
              <w:right w:val="nil"/>
            </w:tcBorders>
            <w:shd w:val="clear" w:color="auto" w:fill="auto"/>
          </w:tcPr>
          <w:p w14:paraId="7E4DBCB4" w14:textId="77777777" w:rsidR="00DF4A0D" w:rsidRPr="00571974" w:rsidRDefault="003D4D89" w:rsidP="00DF4A0D">
            <w:pPr>
              <w:tabs>
                <w:tab w:val="right" w:leader="dot" w:pos="2480"/>
              </w:tabs>
              <w:suppressAutoHyphens/>
              <w:spacing w:after="40"/>
              <w:ind w:left="200" w:hanging="200"/>
              <w:rPr>
                <w:sz w:val="16"/>
                <w:lang w:val="en-GB" w:eastAsia="en-GB" w:bidi="ar-SA"/>
              </w:rPr>
            </w:pPr>
            <w:r w:rsidRPr="00571974">
              <w:rPr>
                <w:sz w:val="16"/>
                <w:lang w:val="en-GB" w:eastAsia="en-GB" w:bidi="ar-SA"/>
              </w:rPr>
              <w:t>Profit for the financial year</w:t>
            </w:r>
            <w:r w:rsidRPr="00571974">
              <w:rPr>
                <w:sz w:val="16"/>
                <w:lang w:val="en-GB" w:eastAsia="en-GB" w:bidi="ar-SA"/>
              </w:rPr>
              <w:tab/>
            </w:r>
          </w:p>
        </w:tc>
        <w:tc>
          <w:tcPr>
            <w:tcW w:w="452" w:type="pct"/>
            <w:tcBorders>
              <w:top w:val="nil"/>
              <w:left w:val="nil"/>
              <w:bottom w:val="nil"/>
              <w:right w:val="nil"/>
            </w:tcBorders>
            <w:shd w:val="clear" w:color="auto" w:fill="auto"/>
            <w:vAlign w:val="bottom"/>
          </w:tcPr>
          <w:p w14:paraId="074D44B3"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4,022</w:t>
            </w:r>
          </w:p>
        </w:tc>
        <w:tc>
          <w:tcPr>
            <w:tcW w:w="526" w:type="pct"/>
            <w:tcBorders>
              <w:top w:val="nil"/>
              <w:left w:val="nil"/>
              <w:bottom w:val="nil"/>
              <w:right w:val="nil"/>
            </w:tcBorders>
            <w:shd w:val="clear" w:color="auto" w:fill="auto"/>
            <w:vAlign w:val="bottom"/>
          </w:tcPr>
          <w:p w14:paraId="3A512B85"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2</w:t>
            </w:r>
          </w:p>
        </w:tc>
        <w:tc>
          <w:tcPr>
            <w:tcW w:w="427" w:type="pct"/>
            <w:gridSpan w:val="2"/>
            <w:tcBorders>
              <w:top w:val="nil"/>
              <w:left w:val="nil"/>
              <w:bottom w:val="nil"/>
              <w:right w:val="nil"/>
            </w:tcBorders>
            <w:shd w:val="clear" w:color="auto" w:fill="auto"/>
            <w:vAlign w:val="bottom"/>
          </w:tcPr>
          <w:p w14:paraId="56FF5266"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4,024</w:t>
            </w:r>
          </w:p>
        </w:tc>
        <w:tc>
          <w:tcPr>
            <w:tcW w:w="501" w:type="pct"/>
            <w:tcBorders>
              <w:top w:val="nil"/>
              <w:left w:val="nil"/>
              <w:bottom w:val="nil"/>
              <w:right w:val="nil"/>
            </w:tcBorders>
            <w:shd w:val="clear" w:color="auto" w:fill="auto"/>
            <w:vAlign w:val="bottom"/>
          </w:tcPr>
          <w:p w14:paraId="1C08FF07"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4,100</w:t>
            </w:r>
          </w:p>
        </w:tc>
        <w:tc>
          <w:tcPr>
            <w:tcW w:w="498" w:type="pct"/>
            <w:tcBorders>
              <w:top w:val="nil"/>
              <w:left w:val="nil"/>
              <w:bottom w:val="nil"/>
              <w:right w:val="nil"/>
            </w:tcBorders>
            <w:shd w:val="clear" w:color="auto" w:fill="auto"/>
            <w:vAlign w:val="bottom"/>
          </w:tcPr>
          <w:p w14:paraId="202C7F92"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12</w:t>
            </w:r>
          </w:p>
        </w:tc>
        <w:tc>
          <w:tcPr>
            <w:tcW w:w="427" w:type="pct"/>
            <w:gridSpan w:val="2"/>
            <w:tcBorders>
              <w:top w:val="nil"/>
              <w:left w:val="nil"/>
              <w:bottom w:val="nil"/>
              <w:right w:val="nil"/>
            </w:tcBorders>
            <w:shd w:val="clear" w:color="auto" w:fill="auto"/>
            <w:vAlign w:val="bottom"/>
          </w:tcPr>
          <w:p w14:paraId="6626B737"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4,112</w:t>
            </w:r>
          </w:p>
        </w:tc>
        <w:tc>
          <w:tcPr>
            <w:tcW w:w="499" w:type="pct"/>
            <w:tcBorders>
              <w:top w:val="nil"/>
              <w:left w:val="nil"/>
              <w:bottom w:val="nil"/>
              <w:right w:val="nil"/>
            </w:tcBorders>
            <w:shd w:val="clear" w:color="auto" w:fill="auto"/>
            <w:vAlign w:val="bottom"/>
          </w:tcPr>
          <w:p w14:paraId="764F9524" w14:textId="281C9C4D" w:rsidR="00DF4A0D" w:rsidRPr="00571974" w:rsidRDefault="00A97A71" w:rsidP="00A97A71">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Pr>
                <w:sz w:val="16"/>
                <w:lang w:val="en-GB" w:eastAsia="en-GB" w:bidi="ar-SA"/>
              </w:rPr>
              <w:t>4,536</w:t>
            </w:r>
          </w:p>
        </w:tc>
        <w:tc>
          <w:tcPr>
            <w:tcW w:w="571" w:type="pct"/>
            <w:tcBorders>
              <w:top w:val="nil"/>
              <w:left w:val="nil"/>
              <w:bottom w:val="nil"/>
              <w:right w:val="nil"/>
            </w:tcBorders>
            <w:shd w:val="clear" w:color="auto" w:fill="auto"/>
            <w:vAlign w:val="bottom"/>
          </w:tcPr>
          <w:p w14:paraId="66196FF3"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5</w:t>
            </w:r>
          </w:p>
        </w:tc>
        <w:tc>
          <w:tcPr>
            <w:tcW w:w="428" w:type="pct"/>
            <w:gridSpan w:val="2"/>
            <w:tcBorders>
              <w:top w:val="nil"/>
              <w:left w:val="nil"/>
              <w:bottom w:val="nil"/>
              <w:right w:val="nil"/>
            </w:tcBorders>
            <w:shd w:val="clear" w:color="auto" w:fill="auto"/>
            <w:vAlign w:val="bottom"/>
          </w:tcPr>
          <w:p w14:paraId="78E8B070"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6"/>
                <w:lang w:val="en-GB" w:eastAsia="en-GB" w:bidi="ar-SA"/>
              </w:rPr>
            </w:pPr>
            <w:r w:rsidRPr="00571974">
              <w:rPr>
                <w:sz w:val="16"/>
                <w:lang w:val="en-GB" w:eastAsia="en-GB" w:bidi="ar-SA"/>
              </w:rPr>
              <w:t>4,541</w:t>
            </w:r>
          </w:p>
        </w:tc>
      </w:tr>
      <w:tr w:rsidR="00795969" w14:paraId="053F02D0" w14:textId="77777777" w:rsidTr="007B1404">
        <w:trPr>
          <w:cantSplit/>
        </w:trPr>
        <w:tc>
          <w:tcPr>
            <w:tcW w:w="672" w:type="pct"/>
            <w:tcBorders>
              <w:top w:val="nil"/>
              <w:left w:val="nil"/>
              <w:bottom w:val="nil"/>
              <w:right w:val="nil"/>
            </w:tcBorders>
          </w:tcPr>
          <w:p w14:paraId="6A5E2878" w14:textId="77777777" w:rsidR="00DF4A0D" w:rsidRPr="00571974" w:rsidRDefault="003D4D89" w:rsidP="00DF4A0D">
            <w:pPr>
              <w:tabs>
                <w:tab w:val="right" w:leader="dot" w:pos="2480"/>
              </w:tabs>
              <w:suppressAutoHyphens/>
              <w:ind w:left="200" w:hanging="200"/>
              <w:rPr>
                <w:sz w:val="16"/>
                <w:lang w:val="en-GB" w:eastAsia="en-GB" w:bidi="ar-SA"/>
              </w:rPr>
            </w:pPr>
            <w:r w:rsidRPr="00571974">
              <w:rPr>
                <w:sz w:val="16"/>
                <w:lang w:val="en-GB" w:eastAsia="en-GB" w:bidi="ar-SA"/>
              </w:rPr>
              <w:lastRenderedPageBreak/>
              <w:t>Effective tax rate including associates</w:t>
            </w:r>
            <w:r w:rsidRPr="00571974">
              <w:rPr>
                <w:sz w:val="16"/>
                <w:lang w:val="en-GB" w:eastAsia="en-GB" w:bidi="ar-SA"/>
              </w:rPr>
              <w:tab/>
            </w:r>
          </w:p>
        </w:tc>
        <w:tc>
          <w:tcPr>
            <w:tcW w:w="452" w:type="pct"/>
            <w:tcBorders>
              <w:top w:val="nil"/>
              <w:left w:val="nil"/>
              <w:bottom w:val="nil"/>
              <w:right w:val="nil"/>
            </w:tcBorders>
            <w:vAlign w:val="bottom"/>
          </w:tcPr>
          <w:p w14:paraId="394383B9"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26" w:type="pct"/>
            <w:tcBorders>
              <w:top w:val="nil"/>
              <w:left w:val="nil"/>
              <w:bottom w:val="nil"/>
              <w:right w:val="nil"/>
            </w:tcBorders>
            <w:vAlign w:val="bottom"/>
          </w:tcPr>
          <w:p w14:paraId="6E211AE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427" w:type="pct"/>
            <w:gridSpan w:val="2"/>
            <w:tcBorders>
              <w:top w:val="nil"/>
              <w:left w:val="nil"/>
              <w:bottom w:val="nil"/>
              <w:right w:val="nil"/>
            </w:tcBorders>
            <w:vAlign w:val="bottom"/>
          </w:tcPr>
          <w:p w14:paraId="07123A2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29.7%</w:t>
            </w:r>
          </w:p>
        </w:tc>
        <w:tc>
          <w:tcPr>
            <w:tcW w:w="501" w:type="pct"/>
            <w:tcBorders>
              <w:top w:val="nil"/>
              <w:left w:val="nil"/>
              <w:bottom w:val="nil"/>
              <w:right w:val="nil"/>
            </w:tcBorders>
            <w:vAlign w:val="bottom"/>
          </w:tcPr>
          <w:p w14:paraId="614DDE6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498" w:type="pct"/>
            <w:tcBorders>
              <w:top w:val="nil"/>
              <w:left w:val="nil"/>
              <w:bottom w:val="nil"/>
              <w:right w:val="nil"/>
            </w:tcBorders>
            <w:vAlign w:val="bottom"/>
          </w:tcPr>
          <w:p w14:paraId="035924E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427" w:type="pct"/>
            <w:gridSpan w:val="2"/>
            <w:tcBorders>
              <w:top w:val="nil"/>
              <w:left w:val="nil"/>
              <w:bottom w:val="nil"/>
              <w:right w:val="nil"/>
            </w:tcBorders>
            <w:vAlign w:val="bottom"/>
          </w:tcPr>
          <w:p w14:paraId="0DE885F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31.3%</w:t>
            </w:r>
          </w:p>
        </w:tc>
        <w:tc>
          <w:tcPr>
            <w:tcW w:w="499" w:type="pct"/>
            <w:tcBorders>
              <w:top w:val="nil"/>
              <w:left w:val="nil"/>
              <w:bottom w:val="nil"/>
              <w:right w:val="nil"/>
            </w:tcBorders>
            <w:vAlign w:val="bottom"/>
          </w:tcPr>
          <w:p w14:paraId="2C67E704"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571" w:type="pct"/>
            <w:tcBorders>
              <w:top w:val="nil"/>
              <w:left w:val="nil"/>
              <w:bottom w:val="nil"/>
              <w:right w:val="nil"/>
            </w:tcBorders>
            <w:vAlign w:val="bottom"/>
          </w:tcPr>
          <w:p w14:paraId="2916443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p>
        </w:tc>
        <w:tc>
          <w:tcPr>
            <w:tcW w:w="428" w:type="pct"/>
            <w:gridSpan w:val="2"/>
            <w:tcBorders>
              <w:top w:val="nil"/>
              <w:left w:val="nil"/>
              <w:bottom w:val="nil"/>
              <w:right w:val="nil"/>
            </w:tcBorders>
            <w:vAlign w:val="bottom"/>
          </w:tcPr>
          <w:p w14:paraId="5643E1E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6"/>
                <w:lang w:val="en-GB" w:eastAsia="en-GB" w:bidi="ar-SA"/>
              </w:rPr>
            </w:pPr>
            <w:r w:rsidRPr="00571974">
              <w:rPr>
                <w:sz w:val="16"/>
                <w:lang w:val="en-GB" w:eastAsia="en-GB" w:bidi="ar-SA"/>
              </w:rPr>
              <w:t>30.8%</w:t>
            </w:r>
          </w:p>
        </w:tc>
      </w:tr>
    </w:tbl>
    <w:p w14:paraId="5D5BA480" w14:textId="77777777" w:rsidR="00DF4A0D" w:rsidRPr="00571974" w:rsidRDefault="00DF4A0D" w:rsidP="00DF4A0D">
      <w:pPr>
        <w:pStyle w:val="BodyText"/>
        <w:widowControl/>
        <w:autoSpaceDE/>
        <w:autoSpaceDN/>
        <w:adjustRightInd/>
        <w:ind w:firstLine="360"/>
        <w:rPr>
          <w:sz w:val="16"/>
          <w:szCs w:val="18"/>
          <w:lang w:val="en-GB"/>
        </w:rPr>
      </w:pPr>
    </w:p>
    <w:p w14:paraId="1FC2B285" w14:textId="77777777" w:rsidR="00DF4A0D" w:rsidRPr="00571974" w:rsidRDefault="003D4D89" w:rsidP="00EA3F32">
      <w:pPr>
        <w:pStyle w:val="Heading4"/>
      </w:pPr>
      <w:r w:rsidRPr="00571974">
        <w:t>Income Tax Expense – Special Items and Remeasurements</w:t>
      </w:r>
    </w:p>
    <w:p w14:paraId="0B476100" w14:textId="1D6CD202" w:rsidR="00DF4A0D" w:rsidRPr="00571974" w:rsidRDefault="003D4D89" w:rsidP="00DF4A0D">
      <w:pPr>
        <w:pStyle w:val="BodyText"/>
        <w:widowControl/>
        <w:autoSpaceDE/>
        <w:autoSpaceDN/>
        <w:adjustRightInd/>
        <w:ind w:firstLine="360"/>
        <w:rPr>
          <w:lang w:val="en-GB"/>
        </w:rPr>
      </w:pPr>
      <w:r w:rsidRPr="00571974">
        <w:rPr>
          <w:lang w:val="en-GB"/>
        </w:rPr>
        <w:t xml:space="preserve">For 2019, tax on special items and remeasurements includes a tax remeasurement charge of US$406 million </w:t>
      </w:r>
      <w:r w:rsidR="00A97A71">
        <w:rPr>
          <w:lang w:val="en-GB"/>
        </w:rPr>
        <w:t xml:space="preserve">and tax on specials credit of $602 million principally arising on Brazilian deferred tax assets </w:t>
      </w:r>
      <w:r w:rsidRPr="00571974">
        <w:rPr>
          <w:lang w:val="en-GB"/>
        </w:rPr>
        <w:t>(2018: charge of US$110 million). Of the total tax credit of US$196 million, there is a net current tax credit of US$56 million (2018: charge of US$16 million) and a net deferred tax credit of US$140 million (2018: charge of US$310 million).</w:t>
      </w:r>
    </w:p>
    <w:p w14:paraId="4C60F7D1" w14:textId="77777777" w:rsidR="00DF4A0D" w:rsidRPr="00571974" w:rsidRDefault="003D4D89" w:rsidP="00EA3F32">
      <w:pPr>
        <w:pStyle w:val="Heading4"/>
      </w:pPr>
      <w:r w:rsidRPr="00571974">
        <w:t>Profit for the Financial Year</w:t>
      </w:r>
    </w:p>
    <w:p w14:paraId="3F0FFD52" w14:textId="7BD95BC7" w:rsidR="00DF4A0D" w:rsidRPr="00571974" w:rsidRDefault="003D4D89" w:rsidP="00DF4A0D">
      <w:pPr>
        <w:pStyle w:val="BodyText"/>
        <w:widowControl/>
        <w:autoSpaceDE/>
        <w:autoSpaceDN/>
        <w:adjustRightInd/>
        <w:ind w:firstLine="360"/>
        <w:rPr>
          <w:lang w:val="en-GB"/>
        </w:rPr>
      </w:pPr>
      <w:r w:rsidRPr="00571974">
        <w:rPr>
          <w:lang w:val="en-GB"/>
        </w:rPr>
        <w:t>Profit for the financial years 2019, 2018 and 2017 was US$4,582 million, US$4,373 million and US$4,059 million, respectively. The year on year movements are explained by reference to the movements of the component parts which are discussed above.</w:t>
      </w:r>
    </w:p>
    <w:p w14:paraId="6375F7F2" w14:textId="77777777" w:rsidR="00DF4A0D" w:rsidRPr="00571974" w:rsidRDefault="003D4D89" w:rsidP="00DF4A0D">
      <w:pPr>
        <w:rPr>
          <w:lang w:val="en-GB"/>
        </w:rPr>
      </w:pPr>
      <w:r w:rsidRPr="00571974">
        <w:rPr>
          <w:lang w:val="en-GB"/>
        </w:rPr>
        <w:br w:type="page"/>
      </w:r>
    </w:p>
    <w:p w14:paraId="3FB5F1DB" w14:textId="5414C0BB" w:rsidR="00E93D9C" w:rsidRPr="00571974" w:rsidRDefault="003D4D89" w:rsidP="00E93D9C">
      <w:pPr>
        <w:pStyle w:val="Heading2"/>
        <w:rPr>
          <w:rFonts w:ascii="Times New Roman" w:hAnsi="Times New Roman"/>
          <w:lang w:val="en-GB"/>
        </w:rPr>
      </w:pPr>
      <w:bookmarkStart w:id="73" w:name="_Hlk31707269"/>
      <w:bookmarkEnd w:id="72"/>
      <w:r w:rsidRPr="00571974">
        <w:rPr>
          <w:rFonts w:ascii="Times New Roman" w:hAnsi="Times New Roman"/>
          <w:lang w:val="en-GB"/>
        </w:rPr>
        <w:lastRenderedPageBreak/>
        <w:t xml:space="preserve">Business Segment Discussion — Full-Year </w:t>
      </w:r>
      <w:r w:rsidR="00B76A8C">
        <w:rPr>
          <w:rFonts w:ascii="Times New Roman" w:hAnsi="Times New Roman"/>
          <w:lang w:val="en-GB"/>
        </w:rPr>
        <w:t xml:space="preserve">Ended </w:t>
      </w:r>
      <w:r w:rsidRPr="00571974">
        <w:rPr>
          <w:rFonts w:ascii="Times New Roman" w:hAnsi="Times New Roman"/>
          <w:lang w:val="en-GB"/>
        </w:rPr>
        <w:t>December 31, 2019, 2018 and 2017</w:t>
      </w:r>
    </w:p>
    <w:p w14:paraId="420C2A76" w14:textId="5005A467" w:rsidR="00E93D9C" w:rsidRPr="00571974" w:rsidRDefault="003D4D89" w:rsidP="00E93D9C">
      <w:pPr>
        <w:pStyle w:val="BodyText"/>
        <w:widowControl/>
        <w:autoSpaceDE/>
        <w:autoSpaceDN/>
        <w:adjustRightInd/>
        <w:ind w:firstLine="360"/>
        <w:rPr>
          <w:lang w:val="en-GB"/>
        </w:rPr>
      </w:pPr>
      <w:r w:rsidRPr="00571974">
        <w:rPr>
          <w:lang w:val="en-GB"/>
        </w:rPr>
        <w:t>In this section, Group revenue and underlying EBIT include the Group</w:t>
      </w:r>
      <w:r w:rsidR="00A311D8">
        <w:rPr>
          <w:lang w:val="en-GB"/>
        </w:rPr>
        <w:t>’</w:t>
      </w:r>
      <w:r w:rsidRPr="00571974">
        <w:rPr>
          <w:lang w:val="en-GB"/>
        </w:rPr>
        <w:t>s share of revenue and EBIT from associates and joint ventures and excludes special items and remeasurements, unless otherwise stated. Capital expenditure relates to cash expenditure on property, plant and equipment in the year presented.</w:t>
      </w:r>
    </w:p>
    <w:p w14:paraId="67C5CAC7" w14:textId="03BA6760" w:rsidR="00E93D9C" w:rsidRPr="00571974" w:rsidRDefault="003D4D89" w:rsidP="00E93D9C">
      <w:pPr>
        <w:pStyle w:val="BodyText"/>
        <w:widowControl/>
        <w:autoSpaceDE/>
        <w:autoSpaceDN/>
        <w:adjustRightInd/>
        <w:ind w:firstLine="360"/>
        <w:rPr>
          <w:lang w:val="en-GB"/>
        </w:rPr>
      </w:pPr>
      <w:r w:rsidRPr="00571974">
        <w:rPr>
          <w:lang w:val="en-GB"/>
        </w:rPr>
        <w:t>The table below sets forth the Group</w:t>
      </w:r>
      <w:r w:rsidR="00A311D8">
        <w:rPr>
          <w:lang w:val="en-GB"/>
        </w:rPr>
        <w:t>’</w:t>
      </w:r>
      <w:r w:rsidRPr="00571974">
        <w:rPr>
          <w:lang w:val="en-GB"/>
        </w:rPr>
        <w:t>s underlying EBIT by business segment for the years presented:</w:t>
      </w:r>
    </w:p>
    <w:tbl>
      <w:tblPr>
        <w:tblW w:w="5000" w:type="pct"/>
        <w:jc w:val="center"/>
        <w:tblCellMar>
          <w:left w:w="72" w:type="dxa"/>
          <w:right w:w="72" w:type="dxa"/>
        </w:tblCellMar>
        <w:tblLook w:val="0000" w:firstRow="0" w:lastRow="0" w:firstColumn="0" w:lastColumn="0" w:noHBand="0" w:noVBand="0"/>
      </w:tblPr>
      <w:tblGrid>
        <w:gridCol w:w="3882"/>
        <w:gridCol w:w="1237"/>
        <w:gridCol w:w="715"/>
        <w:gridCol w:w="1237"/>
        <w:gridCol w:w="601"/>
        <w:gridCol w:w="958"/>
        <w:gridCol w:w="726"/>
      </w:tblGrid>
      <w:tr w:rsidR="002228B8" w14:paraId="10C1DE0F" w14:textId="77777777" w:rsidTr="00DF4A0D">
        <w:trPr>
          <w:cantSplit/>
          <w:jc w:val="center"/>
        </w:trPr>
        <w:tc>
          <w:tcPr>
            <w:tcW w:w="2075" w:type="pct"/>
            <w:tcBorders>
              <w:top w:val="nil"/>
              <w:left w:val="nil"/>
              <w:bottom w:val="nil"/>
              <w:right w:val="nil"/>
            </w:tcBorders>
            <w:vAlign w:val="bottom"/>
          </w:tcPr>
          <w:p w14:paraId="2A01334C"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61" w:type="pct"/>
            <w:tcBorders>
              <w:top w:val="nil"/>
              <w:left w:val="nil"/>
              <w:bottom w:val="nil"/>
              <w:right w:val="nil"/>
            </w:tcBorders>
            <w:vAlign w:val="bottom"/>
          </w:tcPr>
          <w:p w14:paraId="0B19BFE2"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 2017</w:t>
            </w:r>
          </w:p>
        </w:tc>
        <w:tc>
          <w:tcPr>
            <w:tcW w:w="382" w:type="pct"/>
            <w:tcBorders>
              <w:top w:val="nil"/>
              <w:left w:val="nil"/>
              <w:bottom w:val="nil"/>
              <w:right w:val="nil"/>
            </w:tcBorders>
            <w:vAlign w:val="bottom"/>
          </w:tcPr>
          <w:p w14:paraId="75E2E956"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w:t>
            </w:r>
          </w:p>
        </w:tc>
        <w:tc>
          <w:tcPr>
            <w:tcW w:w="661" w:type="pct"/>
            <w:tcBorders>
              <w:top w:val="nil"/>
              <w:left w:val="nil"/>
              <w:bottom w:val="nil"/>
              <w:right w:val="nil"/>
            </w:tcBorders>
            <w:vAlign w:val="bottom"/>
          </w:tcPr>
          <w:p w14:paraId="1D1E76D7"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 2018</w:t>
            </w:r>
          </w:p>
        </w:tc>
        <w:tc>
          <w:tcPr>
            <w:tcW w:w="321" w:type="pct"/>
            <w:tcBorders>
              <w:top w:val="nil"/>
              <w:left w:val="nil"/>
              <w:bottom w:val="nil"/>
              <w:right w:val="nil"/>
            </w:tcBorders>
            <w:vAlign w:val="bottom"/>
          </w:tcPr>
          <w:p w14:paraId="34C1CD7A"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w:t>
            </w:r>
          </w:p>
        </w:tc>
        <w:tc>
          <w:tcPr>
            <w:tcW w:w="512" w:type="pct"/>
            <w:tcBorders>
              <w:top w:val="nil"/>
              <w:left w:val="nil"/>
              <w:bottom w:val="nil"/>
              <w:right w:val="nil"/>
            </w:tcBorders>
            <w:vAlign w:val="bottom"/>
          </w:tcPr>
          <w:p w14:paraId="09F4A414"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 2019</w:t>
            </w:r>
          </w:p>
        </w:tc>
        <w:tc>
          <w:tcPr>
            <w:tcW w:w="388" w:type="pct"/>
            <w:tcBorders>
              <w:top w:val="nil"/>
              <w:left w:val="nil"/>
              <w:bottom w:val="nil"/>
              <w:right w:val="nil"/>
            </w:tcBorders>
            <w:vAlign w:val="bottom"/>
          </w:tcPr>
          <w:p w14:paraId="0947562E"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w:t>
            </w:r>
          </w:p>
        </w:tc>
      </w:tr>
      <w:tr w:rsidR="002228B8" w14:paraId="3D28CFFA" w14:textId="77777777" w:rsidTr="00DF4A0D">
        <w:trPr>
          <w:cantSplit/>
          <w:jc w:val="center"/>
        </w:trPr>
        <w:tc>
          <w:tcPr>
            <w:tcW w:w="2075" w:type="pct"/>
            <w:tcBorders>
              <w:top w:val="nil"/>
              <w:left w:val="nil"/>
              <w:bottom w:val="nil"/>
              <w:right w:val="nil"/>
            </w:tcBorders>
            <w:vAlign w:val="bottom"/>
          </w:tcPr>
          <w:p w14:paraId="78709387"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2925" w:type="pct"/>
            <w:gridSpan w:val="6"/>
            <w:tcBorders>
              <w:top w:val="nil"/>
              <w:left w:val="nil"/>
              <w:bottom w:val="nil"/>
              <w:right w:val="nil"/>
            </w:tcBorders>
            <w:vAlign w:val="bottom"/>
          </w:tcPr>
          <w:p w14:paraId="11D8971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05FBBE33" w14:textId="77777777" w:rsidTr="00DF4A0D">
        <w:trPr>
          <w:cantSplit/>
          <w:jc w:val="center"/>
        </w:trPr>
        <w:tc>
          <w:tcPr>
            <w:tcW w:w="2075" w:type="pct"/>
            <w:tcBorders>
              <w:top w:val="nil"/>
              <w:left w:val="nil"/>
              <w:bottom w:val="nil"/>
              <w:right w:val="nil"/>
            </w:tcBorders>
          </w:tcPr>
          <w:p w14:paraId="61BF915F"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De Beers</w:t>
            </w:r>
            <w:r w:rsidRPr="00571974">
              <w:rPr>
                <w:sz w:val="18"/>
                <w:szCs w:val="18"/>
                <w:lang w:val="en-GB" w:eastAsia="en-GB" w:bidi="ar-SA"/>
              </w:rPr>
              <w:tab/>
            </w:r>
          </w:p>
        </w:tc>
        <w:tc>
          <w:tcPr>
            <w:tcW w:w="661" w:type="pct"/>
            <w:tcBorders>
              <w:top w:val="nil"/>
              <w:left w:val="nil"/>
              <w:bottom w:val="nil"/>
              <w:right w:val="nil"/>
            </w:tcBorders>
            <w:vAlign w:val="bottom"/>
          </w:tcPr>
          <w:p w14:paraId="0D38C46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873</w:t>
            </w:r>
          </w:p>
        </w:tc>
        <w:tc>
          <w:tcPr>
            <w:tcW w:w="382" w:type="pct"/>
            <w:tcBorders>
              <w:top w:val="nil"/>
              <w:left w:val="nil"/>
              <w:bottom w:val="nil"/>
              <w:right w:val="nil"/>
            </w:tcBorders>
            <w:vAlign w:val="bottom"/>
          </w:tcPr>
          <w:p w14:paraId="55D3638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14.0</w:t>
            </w:r>
          </w:p>
        </w:tc>
        <w:tc>
          <w:tcPr>
            <w:tcW w:w="661" w:type="pct"/>
            <w:tcBorders>
              <w:top w:val="nil"/>
              <w:left w:val="nil"/>
              <w:bottom w:val="nil"/>
              <w:right w:val="nil"/>
            </w:tcBorders>
            <w:vAlign w:val="bottom"/>
          </w:tcPr>
          <w:p w14:paraId="299F2B0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694</w:t>
            </w:r>
          </w:p>
        </w:tc>
        <w:tc>
          <w:tcPr>
            <w:tcW w:w="321" w:type="pct"/>
            <w:tcBorders>
              <w:top w:val="nil"/>
              <w:left w:val="nil"/>
              <w:bottom w:val="nil"/>
              <w:right w:val="nil"/>
            </w:tcBorders>
            <w:vAlign w:val="bottom"/>
          </w:tcPr>
          <w:p w14:paraId="5A41BF3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10.9</w:t>
            </w:r>
          </w:p>
        </w:tc>
        <w:tc>
          <w:tcPr>
            <w:tcW w:w="512" w:type="pct"/>
            <w:tcBorders>
              <w:top w:val="nil"/>
              <w:left w:val="nil"/>
              <w:bottom w:val="nil"/>
              <w:right w:val="nil"/>
            </w:tcBorders>
            <w:vAlign w:val="bottom"/>
          </w:tcPr>
          <w:p w14:paraId="2750C85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168</w:t>
            </w:r>
          </w:p>
        </w:tc>
        <w:tc>
          <w:tcPr>
            <w:tcW w:w="388" w:type="pct"/>
            <w:tcBorders>
              <w:top w:val="nil"/>
              <w:left w:val="nil"/>
              <w:bottom w:val="nil"/>
              <w:right w:val="nil"/>
            </w:tcBorders>
            <w:vAlign w:val="bottom"/>
          </w:tcPr>
          <w:p w14:paraId="6122900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w:t>
            </w:r>
          </w:p>
        </w:tc>
      </w:tr>
      <w:tr w:rsidR="002228B8" w14:paraId="1F8DD458" w14:textId="77777777" w:rsidTr="00DF4A0D">
        <w:trPr>
          <w:cantSplit/>
          <w:jc w:val="center"/>
        </w:trPr>
        <w:tc>
          <w:tcPr>
            <w:tcW w:w="2075" w:type="pct"/>
            <w:tcBorders>
              <w:top w:val="nil"/>
              <w:left w:val="nil"/>
              <w:bottom w:val="nil"/>
              <w:right w:val="nil"/>
            </w:tcBorders>
          </w:tcPr>
          <w:p w14:paraId="25BC6EB7"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Copper</w:t>
            </w:r>
            <w:r w:rsidRPr="00571974">
              <w:rPr>
                <w:sz w:val="18"/>
                <w:szCs w:val="18"/>
                <w:lang w:val="en-GB" w:eastAsia="en-GB" w:bidi="ar-SA"/>
              </w:rPr>
              <w:tab/>
            </w:r>
          </w:p>
        </w:tc>
        <w:tc>
          <w:tcPr>
            <w:tcW w:w="661" w:type="pct"/>
            <w:tcBorders>
              <w:top w:val="nil"/>
              <w:left w:val="nil"/>
              <w:bottom w:val="nil"/>
              <w:right w:val="nil"/>
            </w:tcBorders>
            <w:vAlign w:val="bottom"/>
          </w:tcPr>
          <w:p w14:paraId="48F0213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923</w:t>
            </w:r>
          </w:p>
        </w:tc>
        <w:tc>
          <w:tcPr>
            <w:tcW w:w="382" w:type="pct"/>
            <w:tcBorders>
              <w:top w:val="nil"/>
              <w:left w:val="nil"/>
              <w:bottom w:val="nil"/>
              <w:right w:val="nil"/>
            </w:tcBorders>
            <w:vAlign w:val="bottom"/>
          </w:tcPr>
          <w:p w14:paraId="3F36564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14.8</w:t>
            </w:r>
          </w:p>
        </w:tc>
        <w:tc>
          <w:tcPr>
            <w:tcW w:w="661" w:type="pct"/>
            <w:tcBorders>
              <w:top w:val="nil"/>
              <w:left w:val="nil"/>
              <w:bottom w:val="nil"/>
              <w:right w:val="nil"/>
            </w:tcBorders>
            <w:vAlign w:val="bottom"/>
          </w:tcPr>
          <w:p w14:paraId="2298B6D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1,234</w:t>
            </w:r>
          </w:p>
        </w:tc>
        <w:tc>
          <w:tcPr>
            <w:tcW w:w="321" w:type="pct"/>
            <w:tcBorders>
              <w:top w:val="nil"/>
              <w:left w:val="nil"/>
              <w:bottom w:val="nil"/>
              <w:right w:val="nil"/>
            </w:tcBorders>
            <w:vAlign w:val="bottom"/>
          </w:tcPr>
          <w:p w14:paraId="57AB0FC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19.4</w:t>
            </w:r>
          </w:p>
        </w:tc>
        <w:tc>
          <w:tcPr>
            <w:tcW w:w="512" w:type="pct"/>
            <w:tcBorders>
              <w:top w:val="nil"/>
              <w:left w:val="nil"/>
              <w:bottom w:val="nil"/>
              <w:right w:val="nil"/>
            </w:tcBorders>
            <w:vAlign w:val="bottom"/>
          </w:tcPr>
          <w:p w14:paraId="588A001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960</w:t>
            </w:r>
          </w:p>
        </w:tc>
        <w:tc>
          <w:tcPr>
            <w:tcW w:w="388" w:type="pct"/>
            <w:tcBorders>
              <w:top w:val="nil"/>
              <w:left w:val="nil"/>
              <w:bottom w:val="nil"/>
              <w:right w:val="nil"/>
            </w:tcBorders>
            <w:vAlign w:val="bottom"/>
          </w:tcPr>
          <w:p w14:paraId="413168C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13.7</w:t>
            </w:r>
          </w:p>
        </w:tc>
      </w:tr>
      <w:tr w:rsidR="002228B8" w14:paraId="4FC01238" w14:textId="77777777" w:rsidTr="00DF4A0D">
        <w:trPr>
          <w:cantSplit/>
          <w:jc w:val="center"/>
        </w:trPr>
        <w:tc>
          <w:tcPr>
            <w:tcW w:w="2075" w:type="pct"/>
            <w:tcBorders>
              <w:top w:val="nil"/>
              <w:left w:val="nil"/>
              <w:bottom w:val="nil"/>
              <w:right w:val="nil"/>
            </w:tcBorders>
          </w:tcPr>
          <w:p w14:paraId="1F17E7F9"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Platinum</w:t>
            </w:r>
            <w:r w:rsidRPr="00571974">
              <w:rPr>
                <w:sz w:val="18"/>
                <w:szCs w:val="18"/>
                <w:lang w:val="en-GB" w:eastAsia="en-GB" w:bidi="ar-SA"/>
              </w:rPr>
              <w:tab/>
            </w:r>
          </w:p>
        </w:tc>
        <w:tc>
          <w:tcPr>
            <w:tcW w:w="661" w:type="pct"/>
            <w:tcBorders>
              <w:top w:val="nil"/>
              <w:left w:val="nil"/>
              <w:bottom w:val="nil"/>
              <w:right w:val="nil"/>
            </w:tcBorders>
            <w:vAlign w:val="bottom"/>
          </w:tcPr>
          <w:p w14:paraId="732AF12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512</w:t>
            </w:r>
          </w:p>
        </w:tc>
        <w:tc>
          <w:tcPr>
            <w:tcW w:w="382" w:type="pct"/>
            <w:tcBorders>
              <w:top w:val="nil"/>
              <w:left w:val="nil"/>
              <w:bottom w:val="nil"/>
              <w:right w:val="nil"/>
            </w:tcBorders>
            <w:vAlign w:val="bottom"/>
          </w:tcPr>
          <w:p w14:paraId="5173549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8.2</w:t>
            </w:r>
          </w:p>
        </w:tc>
        <w:tc>
          <w:tcPr>
            <w:tcW w:w="661" w:type="pct"/>
            <w:tcBorders>
              <w:top w:val="nil"/>
              <w:left w:val="nil"/>
              <w:bottom w:val="nil"/>
              <w:right w:val="nil"/>
            </w:tcBorders>
            <w:vAlign w:val="bottom"/>
          </w:tcPr>
          <w:p w14:paraId="5082023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705</w:t>
            </w:r>
          </w:p>
        </w:tc>
        <w:tc>
          <w:tcPr>
            <w:tcW w:w="321" w:type="pct"/>
            <w:tcBorders>
              <w:top w:val="nil"/>
              <w:left w:val="nil"/>
              <w:bottom w:val="nil"/>
              <w:right w:val="nil"/>
            </w:tcBorders>
            <w:vAlign w:val="bottom"/>
          </w:tcPr>
          <w:p w14:paraId="269D045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11.1</w:t>
            </w:r>
          </w:p>
        </w:tc>
        <w:tc>
          <w:tcPr>
            <w:tcW w:w="512" w:type="pct"/>
            <w:tcBorders>
              <w:top w:val="nil"/>
              <w:left w:val="nil"/>
              <w:bottom w:val="nil"/>
              <w:right w:val="nil"/>
            </w:tcBorders>
            <w:vAlign w:val="bottom"/>
          </w:tcPr>
          <w:p w14:paraId="70BCC5E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1,672</w:t>
            </w:r>
          </w:p>
        </w:tc>
        <w:tc>
          <w:tcPr>
            <w:tcW w:w="388" w:type="pct"/>
            <w:tcBorders>
              <w:top w:val="nil"/>
              <w:left w:val="nil"/>
              <w:bottom w:val="nil"/>
              <w:right w:val="nil"/>
            </w:tcBorders>
            <w:vAlign w:val="bottom"/>
          </w:tcPr>
          <w:p w14:paraId="1500837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23.9</w:t>
            </w:r>
          </w:p>
        </w:tc>
      </w:tr>
      <w:tr w:rsidR="002228B8" w14:paraId="003AD9A7" w14:textId="77777777" w:rsidTr="00DF4A0D">
        <w:trPr>
          <w:cantSplit/>
          <w:jc w:val="center"/>
        </w:trPr>
        <w:tc>
          <w:tcPr>
            <w:tcW w:w="2075" w:type="pct"/>
            <w:tcBorders>
              <w:top w:val="nil"/>
              <w:left w:val="nil"/>
              <w:bottom w:val="nil"/>
              <w:right w:val="nil"/>
            </w:tcBorders>
          </w:tcPr>
          <w:p w14:paraId="1687CBB5"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Iron Ore</w:t>
            </w:r>
            <w:r w:rsidRPr="00571974">
              <w:rPr>
                <w:sz w:val="18"/>
                <w:szCs w:val="18"/>
                <w:lang w:val="en-GB" w:eastAsia="en-GB" w:bidi="ar-SA"/>
              </w:rPr>
              <w:tab/>
            </w:r>
          </w:p>
        </w:tc>
        <w:tc>
          <w:tcPr>
            <w:tcW w:w="661" w:type="pct"/>
            <w:tcBorders>
              <w:top w:val="nil"/>
              <w:left w:val="nil"/>
              <w:bottom w:val="nil"/>
              <w:right w:val="nil"/>
            </w:tcBorders>
            <w:vAlign w:val="bottom"/>
          </w:tcPr>
          <w:p w14:paraId="729E9EA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1,500</w:t>
            </w:r>
          </w:p>
        </w:tc>
        <w:tc>
          <w:tcPr>
            <w:tcW w:w="382" w:type="pct"/>
            <w:tcBorders>
              <w:top w:val="nil"/>
              <w:left w:val="nil"/>
              <w:bottom w:val="nil"/>
              <w:right w:val="nil"/>
            </w:tcBorders>
            <w:vAlign w:val="bottom"/>
          </w:tcPr>
          <w:p w14:paraId="4A39DDA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24.0</w:t>
            </w:r>
          </w:p>
        </w:tc>
        <w:tc>
          <w:tcPr>
            <w:tcW w:w="661" w:type="pct"/>
            <w:tcBorders>
              <w:top w:val="nil"/>
              <w:left w:val="nil"/>
              <w:bottom w:val="nil"/>
              <w:right w:val="nil"/>
            </w:tcBorders>
            <w:vAlign w:val="bottom"/>
          </w:tcPr>
          <w:p w14:paraId="28F8960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747</w:t>
            </w:r>
          </w:p>
        </w:tc>
        <w:tc>
          <w:tcPr>
            <w:tcW w:w="321" w:type="pct"/>
            <w:tcBorders>
              <w:top w:val="nil"/>
              <w:left w:val="nil"/>
              <w:bottom w:val="nil"/>
              <w:right w:val="nil"/>
            </w:tcBorders>
            <w:vAlign w:val="bottom"/>
          </w:tcPr>
          <w:p w14:paraId="63A1306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11.7</w:t>
            </w:r>
          </w:p>
        </w:tc>
        <w:tc>
          <w:tcPr>
            <w:tcW w:w="512" w:type="pct"/>
            <w:tcBorders>
              <w:top w:val="nil"/>
              <w:left w:val="nil"/>
              <w:bottom w:val="nil"/>
              <w:right w:val="nil"/>
            </w:tcBorders>
            <w:vAlign w:val="bottom"/>
          </w:tcPr>
          <w:p w14:paraId="39CB151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2,952</w:t>
            </w:r>
          </w:p>
        </w:tc>
        <w:tc>
          <w:tcPr>
            <w:tcW w:w="388" w:type="pct"/>
            <w:tcBorders>
              <w:top w:val="nil"/>
              <w:left w:val="nil"/>
              <w:bottom w:val="nil"/>
              <w:right w:val="nil"/>
            </w:tcBorders>
            <w:vAlign w:val="bottom"/>
          </w:tcPr>
          <w:p w14:paraId="3EF60C1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42.1</w:t>
            </w:r>
          </w:p>
        </w:tc>
      </w:tr>
      <w:tr w:rsidR="002228B8" w14:paraId="7CD95F1E" w14:textId="77777777" w:rsidTr="00DF4A0D">
        <w:trPr>
          <w:cantSplit/>
          <w:jc w:val="center"/>
        </w:trPr>
        <w:tc>
          <w:tcPr>
            <w:tcW w:w="2075" w:type="pct"/>
            <w:tcBorders>
              <w:top w:val="nil"/>
              <w:left w:val="nil"/>
              <w:bottom w:val="nil"/>
              <w:right w:val="nil"/>
            </w:tcBorders>
          </w:tcPr>
          <w:p w14:paraId="6CBC827A"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Coal</w:t>
            </w:r>
            <w:r w:rsidRPr="00571974">
              <w:rPr>
                <w:sz w:val="18"/>
                <w:szCs w:val="18"/>
                <w:lang w:val="en-GB" w:eastAsia="en-GB" w:bidi="ar-SA"/>
              </w:rPr>
              <w:tab/>
            </w:r>
          </w:p>
        </w:tc>
        <w:tc>
          <w:tcPr>
            <w:tcW w:w="661" w:type="pct"/>
            <w:tcBorders>
              <w:top w:val="nil"/>
              <w:left w:val="nil"/>
              <w:bottom w:val="nil"/>
              <w:right w:val="nil"/>
            </w:tcBorders>
            <w:vAlign w:val="bottom"/>
          </w:tcPr>
          <w:p w14:paraId="16E685F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2,274</w:t>
            </w:r>
          </w:p>
        </w:tc>
        <w:tc>
          <w:tcPr>
            <w:tcW w:w="382" w:type="pct"/>
            <w:tcBorders>
              <w:top w:val="nil"/>
              <w:left w:val="nil"/>
              <w:bottom w:val="nil"/>
              <w:right w:val="nil"/>
            </w:tcBorders>
            <w:vAlign w:val="bottom"/>
          </w:tcPr>
          <w:p w14:paraId="24AE68D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36.4</w:t>
            </w:r>
          </w:p>
        </w:tc>
        <w:tc>
          <w:tcPr>
            <w:tcW w:w="661" w:type="pct"/>
            <w:tcBorders>
              <w:top w:val="nil"/>
              <w:left w:val="nil"/>
              <w:bottom w:val="nil"/>
              <w:right w:val="nil"/>
            </w:tcBorders>
            <w:vAlign w:val="bottom"/>
          </w:tcPr>
          <w:p w14:paraId="51F9C41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2,538</w:t>
            </w:r>
          </w:p>
        </w:tc>
        <w:tc>
          <w:tcPr>
            <w:tcW w:w="321" w:type="pct"/>
            <w:tcBorders>
              <w:top w:val="nil"/>
              <w:left w:val="nil"/>
              <w:bottom w:val="nil"/>
              <w:right w:val="nil"/>
            </w:tcBorders>
            <w:vAlign w:val="bottom"/>
          </w:tcPr>
          <w:p w14:paraId="75E4B67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39.8</w:t>
            </w:r>
          </w:p>
        </w:tc>
        <w:tc>
          <w:tcPr>
            <w:tcW w:w="512" w:type="pct"/>
            <w:tcBorders>
              <w:top w:val="nil"/>
              <w:left w:val="nil"/>
              <w:bottom w:val="nil"/>
              <w:right w:val="nil"/>
            </w:tcBorders>
            <w:vAlign w:val="bottom"/>
          </w:tcPr>
          <w:p w14:paraId="6237F23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1,010</w:t>
            </w:r>
          </w:p>
        </w:tc>
        <w:tc>
          <w:tcPr>
            <w:tcW w:w="388" w:type="pct"/>
            <w:tcBorders>
              <w:top w:val="nil"/>
              <w:left w:val="nil"/>
              <w:bottom w:val="nil"/>
              <w:right w:val="nil"/>
            </w:tcBorders>
            <w:vAlign w:val="bottom"/>
          </w:tcPr>
          <w:p w14:paraId="1753972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14.4</w:t>
            </w:r>
          </w:p>
        </w:tc>
      </w:tr>
      <w:tr w:rsidR="002228B8" w14:paraId="1CC3FD7B" w14:textId="77777777" w:rsidTr="00DF4A0D">
        <w:trPr>
          <w:cantSplit/>
          <w:jc w:val="center"/>
        </w:trPr>
        <w:tc>
          <w:tcPr>
            <w:tcW w:w="2075" w:type="pct"/>
            <w:tcBorders>
              <w:top w:val="nil"/>
              <w:left w:val="nil"/>
              <w:bottom w:val="nil"/>
              <w:right w:val="nil"/>
            </w:tcBorders>
          </w:tcPr>
          <w:p w14:paraId="3A230074"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Nickel and Manganese</w:t>
            </w:r>
            <w:r w:rsidRPr="00571974">
              <w:rPr>
                <w:sz w:val="18"/>
                <w:szCs w:val="18"/>
                <w:lang w:val="en-GB" w:eastAsia="en-GB" w:bidi="ar-SA"/>
              </w:rPr>
              <w:tab/>
            </w:r>
          </w:p>
        </w:tc>
        <w:tc>
          <w:tcPr>
            <w:tcW w:w="661" w:type="pct"/>
            <w:tcBorders>
              <w:top w:val="nil"/>
              <w:left w:val="nil"/>
              <w:bottom w:val="nil"/>
              <w:right w:val="nil"/>
            </w:tcBorders>
            <w:vAlign w:val="bottom"/>
          </w:tcPr>
          <w:p w14:paraId="6BD5340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478</w:t>
            </w:r>
          </w:p>
        </w:tc>
        <w:tc>
          <w:tcPr>
            <w:tcW w:w="382" w:type="pct"/>
            <w:tcBorders>
              <w:top w:val="nil"/>
              <w:left w:val="nil"/>
              <w:bottom w:val="nil"/>
              <w:right w:val="nil"/>
            </w:tcBorders>
            <w:vAlign w:val="bottom"/>
          </w:tcPr>
          <w:p w14:paraId="6D3A2B9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7.6</w:t>
            </w:r>
          </w:p>
        </w:tc>
        <w:tc>
          <w:tcPr>
            <w:tcW w:w="661" w:type="pct"/>
            <w:tcBorders>
              <w:top w:val="nil"/>
              <w:left w:val="nil"/>
              <w:bottom w:val="nil"/>
              <w:right w:val="nil"/>
            </w:tcBorders>
            <w:vAlign w:val="bottom"/>
          </w:tcPr>
          <w:p w14:paraId="6BA61B8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685</w:t>
            </w:r>
          </w:p>
        </w:tc>
        <w:tc>
          <w:tcPr>
            <w:tcW w:w="321" w:type="pct"/>
            <w:tcBorders>
              <w:top w:val="nil"/>
              <w:left w:val="nil"/>
              <w:bottom w:val="nil"/>
              <w:right w:val="nil"/>
            </w:tcBorders>
            <w:vAlign w:val="bottom"/>
          </w:tcPr>
          <w:p w14:paraId="5E7B4A1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10.7</w:t>
            </w:r>
          </w:p>
        </w:tc>
        <w:tc>
          <w:tcPr>
            <w:tcW w:w="512" w:type="pct"/>
            <w:tcBorders>
              <w:top w:val="nil"/>
              <w:left w:val="nil"/>
              <w:bottom w:val="nil"/>
              <w:right w:val="nil"/>
            </w:tcBorders>
            <w:vAlign w:val="bottom"/>
          </w:tcPr>
          <w:p w14:paraId="3AD5F67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477</w:t>
            </w:r>
          </w:p>
        </w:tc>
        <w:tc>
          <w:tcPr>
            <w:tcW w:w="388" w:type="pct"/>
            <w:tcBorders>
              <w:top w:val="nil"/>
              <w:left w:val="nil"/>
              <w:bottom w:val="nil"/>
              <w:right w:val="nil"/>
            </w:tcBorders>
            <w:vAlign w:val="bottom"/>
          </w:tcPr>
          <w:p w14:paraId="3D5C660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6.8</w:t>
            </w:r>
          </w:p>
        </w:tc>
      </w:tr>
      <w:tr w:rsidR="002228B8" w14:paraId="0ACB06EE" w14:textId="77777777" w:rsidTr="00DF4A0D">
        <w:trPr>
          <w:cantSplit/>
          <w:jc w:val="center"/>
        </w:trPr>
        <w:tc>
          <w:tcPr>
            <w:tcW w:w="2075" w:type="pct"/>
            <w:tcBorders>
              <w:top w:val="nil"/>
              <w:left w:val="nil"/>
              <w:bottom w:val="nil"/>
              <w:right w:val="nil"/>
            </w:tcBorders>
          </w:tcPr>
          <w:p w14:paraId="25E01BB8" w14:textId="77777777" w:rsidR="00E93D9C" w:rsidRPr="00571974" w:rsidRDefault="003D4D89" w:rsidP="00DF4A0D">
            <w:pPr>
              <w:tabs>
                <w:tab w:val="right" w:leader="dot" w:pos="3740"/>
              </w:tabs>
              <w:suppressAutoHyphens/>
              <w:ind w:left="200" w:hanging="200"/>
              <w:rPr>
                <w:sz w:val="18"/>
                <w:szCs w:val="18"/>
                <w:lang w:val="en-GB" w:eastAsia="en-GB" w:bidi="ar-SA"/>
              </w:rPr>
            </w:pPr>
            <w:r w:rsidRPr="00571974">
              <w:rPr>
                <w:sz w:val="18"/>
                <w:szCs w:val="18"/>
                <w:lang w:val="en-GB" w:eastAsia="en-GB" w:bidi="ar-SA"/>
              </w:rPr>
              <w:t>Corporate and Other</w:t>
            </w:r>
            <w:r w:rsidRPr="00571974">
              <w:rPr>
                <w:sz w:val="18"/>
                <w:szCs w:val="18"/>
                <w:lang w:val="en-GB" w:eastAsia="en-GB" w:bidi="ar-SA"/>
              </w:rPr>
              <w:tab/>
            </w:r>
          </w:p>
        </w:tc>
        <w:tc>
          <w:tcPr>
            <w:tcW w:w="661" w:type="pct"/>
            <w:tcBorders>
              <w:top w:val="nil"/>
              <w:left w:val="nil"/>
              <w:bottom w:val="nil"/>
              <w:right w:val="nil"/>
            </w:tcBorders>
            <w:vAlign w:val="bottom"/>
          </w:tcPr>
          <w:p w14:paraId="219438F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(313)</w:t>
            </w:r>
          </w:p>
        </w:tc>
        <w:tc>
          <w:tcPr>
            <w:tcW w:w="382" w:type="pct"/>
            <w:tcBorders>
              <w:top w:val="nil"/>
              <w:left w:val="nil"/>
              <w:bottom w:val="nil"/>
              <w:right w:val="nil"/>
            </w:tcBorders>
            <w:vAlign w:val="bottom"/>
          </w:tcPr>
          <w:p w14:paraId="4E5AFEE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(5.0)</w:t>
            </w:r>
          </w:p>
        </w:tc>
        <w:tc>
          <w:tcPr>
            <w:tcW w:w="661" w:type="pct"/>
            <w:tcBorders>
              <w:top w:val="nil"/>
              <w:left w:val="nil"/>
              <w:bottom w:val="nil"/>
              <w:right w:val="nil"/>
            </w:tcBorders>
            <w:vAlign w:val="bottom"/>
          </w:tcPr>
          <w:p w14:paraId="13F1B83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(226)</w:t>
            </w:r>
          </w:p>
        </w:tc>
        <w:tc>
          <w:tcPr>
            <w:tcW w:w="321" w:type="pct"/>
            <w:tcBorders>
              <w:top w:val="nil"/>
              <w:left w:val="nil"/>
              <w:bottom w:val="nil"/>
              <w:right w:val="nil"/>
            </w:tcBorders>
            <w:vAlign w:val="bottom"/>
          </w:tcPr>
          <w:p w14:paraId="3B34D6B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w:t>
            </w:r>
          </w:p>
        </w:tc>
        <w:tc>
          <w:tcPr>
            <w:tcW w:w="512" w:type="pct"/>
            <w:tcBorders>
              <w:top w:val="nil"/>
              <w:left w:val="nil"/>
              <w:bottom w:val="nil"/>
              <w:right w:val="nil"/>
            </w:tcBorders>
            <w:vAlign w:val="bottom"/>
          </w:tcPr>
          <w:p w14:paraId="751E284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(229)</w:t>
            </w:r>
          </w:p>
        </w:tc>
        <w:tc>
          <w:tcPr>
            <w:tcW w:w="388" w:type="pct"/>
            <w:tcBorders>
              <w:top w:val="nil"/>
              <w:left w:val="nil"/>
              <w:bottom w:val="nil"/>
              <w:right w:val="nil"/>
            </w:tcBorders>
            <w:vAlign w:val="bottom"/>
          </w:tcPr>
          <w:p w14:paraId="20FC516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w:t>
            </w:r>
          </w:p>
        </w:tc>
      </w:tr>
    </w:tbl>
    <w:p w14:paraId="29D58246" w14:textId="77777777" w:rsidR="00E93D9C" w:rsidRPr="00571974" w:rsidRDefault="00836D74" w:rsidP="00E93D9C">
      <w:pPr>
        <w:rPr>
          <w:lang w:val="en-GB"/>
        </w:rPr>
      </w:pPr>
      <w:r>
        <w:rPr>
          <w:lang w:val="en-GB"/>
        </w:rPr>
        <w:pict w14:anchorId="693A4AA0">
          <v:rect id="_x0000_i1046" style="width:184.5pt;height:1pt" o:hrpct="250" o:hrstd="t" o:hrnoshade="t" o:hr="t" fillcolor="black" stroked="f"/>
        </w:pict>
      </w:r>
    </w:p>
    <w:p w14:paraId="7EF3788A" w14:textId="77777777" w:rsidR="00E93D9C" w:rsidRPr="00571974" w:rsidRDefault="00E93D9C" w:rsidP="00E93D9C">
      <w:pPr>
        <w:rPr>
          <w:sz w:val="16"/>
          <w:szCs w:val="18"/>
          <w:lang w:val="en-GB"/>
        </w:rPr>
      </w:pPr>
    </w:p>
    <w:p w14:paraId="5D64406A" w14:textId="77777777" w:rsidR="00E93D9C" w:rsidRPr="00571974" w:rsidRDefault="003D4D89" w:rsidP="007B1404">
      <w:pPr>
        <w:pStyle w:val="Heading3"/>
        <w:rPr>
          <w:lang w:val="en-GB"/>
        </w:rPr>
      </w:pPr>
      <w:r w:rsidRPr="00571974">
        <w:rPr>
          <w:lang w:val="en-GB"/>
        </w:rPr>
        <w:t>De Beers</w:t>
      </w:r>
    </w:p>
    <w:p w14:paraId="6A080D21" w14:textId="77777777" w:rsidR="00E93D9C" w:rsidRPr="00571974" w:rsidRDefault="003D4D89" w:rsidP="00E93D9C">
      <w:pPr>
        <w:pStyle w:val="BodyText"/>
        <w:widowControl/>
        <w:autoSpaceDE/>
        <w:autoSpaceDN/>
        <w:adjustRightInd/>
        <w:ind w:firstLine="360"/>
        <w:rPr>
          <w:lang w:val="en-GB"/>
        </w:rPr>
      </w:pPr>
      <w:r w:rsidRPr="00571974">
        <w:rPr>
          <w:lang w:val="en-GB"/>
        </w:rPr>
        <w:t>The following table summarizes the results of operations of De Beers for the years indicated:</w:t>
      </w:r>
    </w:p>
    <w:tbl>
      <w:tblPr>
        <w:tblW w:w="5000" w:type="pct"/>
        <w:jc w:val="center"/>
        <w:tblLayout w:type="fixed"/>
        <w:tblCellMar>
          <w:left w:w="72" w:type="dxa"/>
          <w:right w:w="72" w:type="dxa"/>
        </w:tblCellMar>
        <w:tblLook w:val="0000" w:firstRow="0" w:lastRow="0" w:firstColumn="0" w:lastColumn="0" w:noHBand="0" w:noVBand="0"/>
      </w:tblPr>
      <w:tblGrid>
        <w:gridCol w:w="6300"/>
        <w:gridCol w:w="1016"/>
        <w:gridCol w:w="1018"/>
        <w:gridCol w:w="1022"/>
      </w:tblGrid>
      <w:tr w:rsidR="002228B8" w14:paraId="319BDEC2" w14:textId="77777777" w:rsidTr="00DF4A0D">
        <w:trPr>
          <w:cantSplit/>
          <w:jc w:val="center"/>
        </w:trPr>
        <w:tc>
          <w:tcPr>
            <w:tcW w:w="3367" w:type="pct"/>
            <w:tcBorders>
              <w:top w:val="nil"/>
              <w:left w:val="nil"/>
              <w:bottom w:val="nil"/>
              <w:right w:val="nil"/>
            </w:tcBorders>
            <w:vAlign w:val="bottom"/>
          </w:tcPr>
          <w:p w14:paraId="51EC9709"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633" w:type="pct"/>
            <w:gridSpan w:val="3"/>
            <w:tcBorders>
              <w:top w:val="nil"/>
              <w:left w:val="nil"/>
              <w:bottom w:val="nil"/>
              <w:right w:val="nil"/>
            </w:tcBorders>
            <w:vAlign w:val="bottom"/>
          </w:tcPr>
          <w:p w14:paraId="7C6B0B42"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2D35A31D" w14:textId="77777777" w:rsidTr="00DF4A0D">
        <w:trPr>
          <w:cantSplit/>
          <w:jc w:val="center"/>
        </w:trPr>
        <w:tc>
          <w:tcPr>
            <w:tcW w:w="3367" w:type="pct"/>
            <w:tcBorders>
              <w:top w:val="nil"/>
              <w:left w:val="nil"/>
              <w:bottom w:val="nil"/>
              <w:right w:val="nil"/>
            </w:tcBorders>
            <w:vAlign w:val="bottom"/>
          </w:tcPr>
          <w:p w14:paraId="43BD9503"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543" w:type="pct"/>
            <w:tcBorders>
              <w:top w:val="nil"/>
              <w:left w:val="nil"/>
              <w:bottom w:val="nil"/>
              <w:right w:val="nil"/>
            </w:tcBorders>
            <w:vAlign w:val="bottom"/>
          </w:tcPr>
          <w:p w14:paraId="5B0A7A71"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544" w:type="pct"/>
            <w:tcBorders>
              <w:top w:val="nil"/>
              <w:left w:val="nil"/>
              <w:bottom w:val="nil"/>
              <w:right w:val="nil"/>
            </w:tcBorders>
            <w:vAlign w:val="bottom"/>
          </w:tcPr>
          <w:p w14:paraId="3C081F89"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546" w:type="pct"/>
            <w:tcBorders>
              <w:top w:val="nil"/>
              <w:left w:val="nil"/>
              <w:bottom w:val="nil"/>
              <w:right w:val="nil"/>
            </w:tcBorders>
            <w:vAlign w:val="bottom"/>
          </w:tcPr>
          <w:p w14:paraId="1EAEA67C"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18587E5C" w14:textId="77777777" w:rsidTr="00DF4A0D">
        <w:trPr>
          <w:cantSplit/>
          <w:jc w:val="center"/>
        </w:trPr>
        <w:tc>
          <w:tcPr>
            <w:tcW w:w="3367" w:type="pct"/>
            <w:tcBorders>
              <w:top w:val="nil"/>
              <w:left w:val="nil"/>
              <w:bottom w:val="nil"/>
              <w:right w:val="nil"/>
            </w:tcBorders>
            <w:vAlign w:val="bottom"/>
          </w:tcPr>
          <w:p w14:paraId="7DBF4E9F"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633" w:type="pct"/>
            <w:gridSpan w:val="3"/>
            <w:tcBorders>
              <w:top w:val="nil"/>
              <w:left w:val="nil"/>
              <w:bottom w:val="nil"/>
              <w:right w:val="nil"/>
            </w:tcBorders>
            <w:vAlign w:val="bottom"/>
          </w:tcPr>
          <w:p w14:paraId="2F3827B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67B28FA3" w14:textId="77777777" w:rsidTr="00DF4A0D">
        <w:trPr>
          <w:cantSplit/>
          <w:trHeight w:val="70"/>
          <w:jc w:val="center"/>
        </w:trPr>
        <w:tc>
          <w:tcPr>
            <w:tcW w:w="3367" w:type="pct"/>
            <w:tcBorders>
              <w:top w:val="nil"/>
              <w:left w:val="nil"/>
              <w:bottom w:val="nil"/>
              <w:right w:val="nil"/>
            </w:tcBorders>
            <w:shd w:val="clear" w:color="auto" w:fill="auto"/>
          </w:tcPr>
          <w:p w14:paraId="15F451F6" w14:textId="4AE84E44"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543" w:type="pct"/>
            <w:tcBorders>
              <w:top w:val="nil"/>
              <w:left w:val="nil"/>
              <w:bottom w:val="nil"/>
              <w:right w:val="nil"/>
            </w:tcBorders>
            <w:shd w:val="clear" w:color="auto" w:fill="auto"/>
            <w:vAlign w:val="bottom"/>
          </w:tcPr>
          <w:p w14:paraId="58F9093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5,841</w:t>
            </w:r>
          </w:p>
        </w:tc>
        <w:tc>
          <w:tcPr>
            <w:tcW w:w="544" w:type="pct"/>
            <w:tcBorders>
              <w:top w:val="nil"/>
              <w:left w:val="nil"/>
              <w:bottom w:val="nil"/>
              <w:right w:val="nil"/>
            </w:tcBorders>
            <w:shd w:val="clear" w:color="auto" w:fill="auto"/>
            <w:vAlign w:val="bottom"/>
          </w:tcPr>
          <w:p w14:paraId="64E4057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6,082</w:t>
            </w:r>
          </w:p>
        </w:tc>
        <w:tc>
          <w:tcPr>
            <w:tcW w:w="546" w:type="pct"/>
            <w:tcBorders>
              <w:top w:val="nil"/>
              <w:left w:val="nil"/>
              <w:bottom w:val="nil"/>
              <w:right w:val="nil"/>
            </w:tcBorders>
            <w:shd w:val="clear" w:color="auto" w:fill="auto"/>
            <w:vAlign w:val="bottom"/>
          </w:tcPr>
          <w:p w14:paraId="1AB332D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4,605</w:t>
            </w:r>
          </w:p>
        </w:tc>
      </w:tr>
      <w:tr w:rsidR="002228B8" w14:paraId="5813FA68" w14:textId="77777777" w:rsidTr="00DF4A0D">
        <w:trPr>
          <w:cantSplit/>
          <w:jc w:val="center"/>
        </w:trPr>
        <w:tc>
          <w:tcPr>
            <w:tcW w:w="3367" w:type="pct"/>
            <w:tcBorders>
              <w:top w:val="nil"/>
              <w:left w:val="nil"/>
              <w:bottom w:val="nil"/>
              <w:right w:val="nil"/>
            </w:tcBorders>
            <w:shd w:val="clear" w:color="auto" w:fill="auto"/>
          </w:tcPr>
          <w:p w14:paraId="483D5421"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543" w:type="pct"/>
            <w:tcBorders>
              <w:top w:val="nil"/>
              <w:left w:val="nil"/>
              <w:bottom w:val="nil"/>
              <w:right w:val="nil"/>
            </w:tcBorders>
            <w:shd w:val="clear" w:color="auto" w:fill="auto"/>
            <w:vAlign w:val="bottom"/>
          </w:tcPr>
          <w:p w14:paraId="73D14FC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873</w:t>
            </w:r>
          </w:p>
        </w:tc>
        <w:tc>
          <w:tcPr>
            <w:tcW w:w="544" w:type="pct"/>
            <w:tcBorders>
              <w:top w:val="nil"/>
              <w:left w:val="nil"/>
              <w:bottom w:val="nil"/>
              <w:right w:val="nil"/>
            </w:tcBorders>
            <w:shd w:val="clear" w:color="auto" w:fill="auto"/>
            <w:vAlign w:val="bottom"/>
          </w:tcPr>
          <w:p w14:paraId="3FED69D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694</w:t>
            </w:r>
          </w:p>
        </w:tc>
        <w:tc>
          <w:tcPr>
            <w:tcW w:w="546" w:type="pct"/>
            <w:tcBorders>
              <w:top w:val="nil"/>
              <w:left w:val="nil"/>
              <w:bottom w:val="nil"/>
              <w:right w:val="nil"/>
            </w:tcBorders>
            <w:shd w:val="clear" w:color="auto" w:fill="auto"/>
            <w:vAlign w:val="bottom"/>
          </w:tcPr>
          <w:p w14:paraId="1201548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168</w:t>
            </w:r>
          </w:p>
        </w:tc>
      </w:tr>
      <w:tr w:rsidR="002228B8" w14:paraId="2F74B31D" w14:textId="77777777" w:rsidTr="00DF4A0D">
        <w:trPr>
          <w:cantSplit/>
          <w:jc w:val="center"/>
        </w:trPr>
        <w:tc>
          <w:tcPr>
            <w:tcW w:w="3367" w:type="pct"/>
            <w:tcBorders>
              <w:top w:val="nil"/>
              <w:left w:val="nil"/>
              <w:bottom w:val="nil"/>
              <w:right w:val="nil"/>
            </w:tcBorders>
          </w:tcPr>
          <w:p w14:paraId="117A594D"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543" w:type="pct"/>
            <w:tcBorders>
              <w:top w:val="nil"/>
              <w:left w:val="nil"/>
              <w:bottom w:val="nil"/>
              <w:right w:val="nil"/>
            </w:tcBorders>
            <w:vAlign w:val="bottom"/>
          </w:tcPr>
          <w:p w14:paraId="1DC0999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1,435</w:t>
            </w:r>
          </w:p>
        </w:tc>
        <w:tc>
          <w:tcPr>
            <w:tcW w:w="544" w:type="pct"/>
            <w:tcBorders>
              <w:top w:val="nil"/>
              <w:left w:val="nil"/>
              <w:bottom w:val="nil"/>
              <w:right w:val="nil"/>
            </w:tcBorders>
            <w:vAlign w:val="bottom"/>
          </w:tcPr>
          <w:p w14:paraId="00D02B2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1,245</w:t>
            </w:r>
          </w:p>
        </w:tc>
        <w:tc>
          <w:tcPr>
            <w:tcW w:w="546" w:type="pct"/>
            <w:tcBorders>
              <w:top w:val="nil"/>
              <w:left w:val="nil"/>
              <w:bottom w:val="nil"/>
              <w:right w:val="nil"/>
            </w:tcBorders>
            <w:vAlign w:val="bottom"/>
          </w:tcPr>
          <w:p w14:paraId="4D14BBC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558</w:t>
            </w:r>
          </w:p>
        </w:tc>
      </w:tr>
      <w:tr w:rsidR="002228B8" w14:paraId="774FC4DE" w14:textId="77777777" w:rsidTr="00DF4A0D">
        <w:trPr>
          <w:cantSplit/>
          <w:jc w:val="center"/>
        </w:trPr>
        <w:tc>
          <w:tcPr>
            <w:tcW w:w="3367" w:type="pct"/>
            <w:tcBorders>
              <w:top w:val="nil"/>
              <w:left w:val="nil"/>
              <w:bottom w:val="nil"/>
              <w:right w:val="nil"/>
            </w:tcBorders>
            <w:shd w:val="clear" w:color="auto" w:fill="auto"/>
          </w:tcPr>
          <w:p w14:paraId="2B081B1B"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543" w:type="pct"/>
            <w:tcBorders>
              <w:top w:val="nil"/>
              <w:left w:val="nil"/>
              <w:bottom w:val="nil"/>
              <w:right w:val="nil"/>
            </w:tcBorders>
            <w:shd w:val="clear" w:color="auto" w:fill="auto"/>
            <w:vAlign w:val="bottom"/>
          </w:tcPr>
          <w:p w14:paraId="71049DC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9,294</w:t>
            </w:r>
          </w:p>
        </w:tc>
        <w:tc>
          <w:tcPr>
            <w:tcW w:w="544" w:type="pct"/>
            <w:tcBorders>
              <w:top w:val="nil"/>
              <w:left w:val="nil"/>
              <w:bottom w:val="nil"/>
              <w:right w:val="nil"/>
            </w:tcBorders>
            <w:shd w:val="clear" w:color="auto" w:fill="auto"/>
            <w:vAlign w:val="bottom"/>
          </w:tcPr>
          <w:p w14:paraId="59265D6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8,349</w:t>
            </w:r>
          </w:p>
        </w:tc>
        <w:tc>
          <w:tcPr>
            <w:tcW w:w="546" w:type="pct"/>
            <w:tcBorders>
              <w:top w:val="nil"/>
              <w:left w:val="nil"/>
              <w:bottom w:val="nil"/>
              <w:right w:val="nil"/>
            </w:tcBorders>
            <w:shd w:val="clear" w:color="auto" w:fill="auto"/>
            <w:vAlign w:val="bottom"/>
          </w:tcPr>
          <w:p w14:paraId="2FDAC8A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8,800</w:t>
            </w:r>
          </w:p>
        </w:tc>
      </w:tr>
      <w:tr w:rsidR="002228B8" w14:paraId="59D5B8D7" w14:textId="77777777" w:rsidTr="00DF4A0D">
        <w:trPr>
          <w:cantSplit/>
          <w:jc w:val="center"/>
        </w:trPr>
        <w:tc>
          <w:tcPr>
            <w:tcW w:w="3367" w:type="pct"/>
            <w:tcBorders>
              <w:top w:val="nil"/>
              <w:left w:val="nil"/>
              <w:bottom w:val="nil"/>
              <w:right w:val="nil"/>
            </w:tcBorders>
            <w:shd w:val="clear" w:color="auto" w:fill="auto"/>
          </w:tcPr>
          <w:p w14:paraId="4A406691"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r w:rsidRPr="00571974">
              <w:rPr>
                <w:sz w:val="18"/>
                <w:szCs w:val="18"/>
                <w:lang w:val="en-GB" w:eastAsia="en-GB" w:bidi="ar-SA"/>
              </w:rPr>
              <w:tab/>
            </w:r>
          </w:p>
        </w:tc>
        <w:tc>
          <w:tcPr>
            <w:tcW w:w="543" w:type="pct"/>
            <w:tcBorders>
              <w:top w:val="nil"/>
              <w:left w:val="nil"/>
              <w:bottom w:val="nil"/>
              <w:right w:val="nil"/>
            </w:tcBorders>
            <w:shd w:val="clear" w:color="auto" w:fill="auto"/>
            <w:vAlign w:val="bottom"/>
          </w:tcPr>
          <w:p w14:paraId="23ABB48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273</w:t>
            </w:r>
          </w:p>
        </w:tc>
        <w:tc>
          <w:tcPr>
            <w:tcW w:w="544" w:type="pct"/>
            <w:tcBorders>
              <w:top w:val="nil"/>
              <w:left w:val="nil"/>
              <w:bottom w:val="nil"/>
              <w:right w:val="nil"/>
            </w:tcBorders>
            <w:shd w:val="clear" w:color="auto" w:fill="auto"/>
            <w:vAlign w:val="bottom"/>
          </w:tcPr>
          <w:p w14:paraId="0D38549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417</w:t>
            </w:r>
          </w:p>
        </w:tc>
        <w:tc>
          <w:tcPr>
            <w:tcW w:w="546" w:type="pct"/>
            <w:tcBorders>
              <w:top w:val="nil"/>
              <w:left w:val="nil"/>
              <w:bottom w:val="nil"/>
              <w:right w:val="nil"/>
            </w:tcBorders>
            <w:shd w:val="clear" w:color="auto" w:fill="auto"/>
            <w:vAlign w:val="bottom"/>
          </w:tcPr>
          <w:p w14:paraId="4511E04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567</w:t>
            </w:r>
          </w:p>
        </w:tc>
      </w:tr>
      <w:tr w:rsidR="002228B8" w14:paraId="5DA39CB3" w14:textId="77777777" w:rsidTr="00DF4A0D">
        <w:trPr>
          <w:cantSplit/>
          <w:jc w:val="center"/>
        </w:trPr>
        <w:tc>
          <w:tcPr>
            <w:tcW w:w="3367" w:type="pct"/>
            <w:tcBorders>
              <w:top w:val="nil"/>
              <w:left w:val="nil"/>
              <w:bottom w:val="nil"/>
              <w:right w:val="nil"/>
            </w:tcBorders>
          </w:tcPr>
          <w:p w14:paraId="77210105"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EBIT</w:t>
            </w:r>
            <w:r w:rsidRPr="00571974">
              <w:rPr>
                <w:sz w:val="18"/>
                <w:szCs w:val="18"/>
                <w:lang w:val="en-GB" w:eastAsia="en-GB" w:bidi="ar-SA"/>
              </w:rPr>
              <w:tab/>
            </w:r>
          </w:p>
        </w:tc>
        <w:tc>
          <w:tcPr>
            <w:tcW w:w="543" w:type="pct"/>
            <w:tcBorders>
              <w:top w:val="nil"/>
              <w:left w:val="nil"/>
              <w:bottom w:val="nil"/>
              <w:right w:val="nil"/>
            </w:tcBorders>
            <w:vAlign w:val="bottom"/>
          </w:tcPr>
          <w:p w14:paraId="483112C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c>
          <w:tcPr>
            <w:tcW w:w="544" w:type="pct"/>
            <w:tcBorders>
              <w:top w:val="nil"/>
              <w:left w:val="nil"/>
              <w:bottom w:val="nil"/>
              <w:right w:val="nil"/>
            </w:tcBorders>
            <w:vAlign w:val="bottom"/>
          </w:tcPr>
          <w:p w14:paraId="1DA94C5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w:t>
            </w:r>
          </w:p>
        </w:tc>
        <w:tc>
          <w:tcPr>
            <w:tcW w:w="546" w:type="pct"/>
            <w:tcBorders>
              <w:top w:val="nil"/>
              <w:left w:val="nil"/>
              <w:bottom w:val="nil"/>
              <w:right w:val="nil"/>
            </w:tcBorders>
            <w:vAlign w:val="bottom"/>
          </w:tcPr>
          <w:p w14:paraId="02E31B8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w:t>
            </w:r>
          </w:p>
        </w:tc>
      </w:tr>
      <w:tr w:rsidR="002228B8" w14:paraId="7813CA5C" w14:textId="77777777" w:rsidTr="00DF4A0D">
        <w:trPr>
          <w:cantSplit/>
          <w:jc w:val="center"/>
        </w:trPr>
        <w:tc>
          <w:tcPr>
            <w:tcW w:w="3367" w:type="pct"/>
            <w:tcBorders>
              <w:top w:val="nil"/>
              <w:left w:val="nil"/>
              <w:bottom w:val="nil"/>
              <w:right w:val="nil"/>
            </w:tcBorders>
          </w:tcPr>
          <w:p w14:paraId="68BF61A2"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543" w:type="pct"/>
            <w:tcBorders>
              <w:top w:val="nil"/>
              <w:left w:val="nil"/>
              <w:bottom w:val="nil"/>
              <w:right w:val="nil"/>
            </w:tcBorders>
            <w:vAlign w:val="bottom"/>
          </w:tcPr>
          <w:p w14:paraId="1111763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w:t>
            </w:r>
          </w:p>
        </w:tc>
        <w:tc>
          <w:tcPr>
            <w:tcW w:w="544" w:type="pct"/>
            <w:tcBorders>
              <w:top w:val="nil"/>
              <w:left w:val="nil"/>
              <w:bottom w:val="nil"/>
              <w:right w:val="nil"/>
            </w:tcBorders>
            <w:vAlign w:val="bottom"/>
          </w:tcPr>
          <w:p w14:paraId="65F016A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26%</w:t>
            </w:r>
          </w:p>
        </w:tc>
        <w:tc>
          <w:tcPr>
            <w:tcW w:w="546" w:type="pct"/>
            <w:tcBorders>
              <w:top w:val="nil"/>
              <w:left w:val="nil"/>
              <w:bottom w:val="nil"/>
              <w:right w:val="nil"/>
            </w:tcBorders>
            <w:vAlign w:val="bottom"/>
          </w:tcPr>
          <w:p w14:paraId="46A30C1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w:t>
            </w:r>
          </w:p>
        </w:tc>
      </w:tr>
      <w:tr w:rsidR="002228B8" w14:paraId="77CF3108" w14:textId="77777777" w:rsidTr="00DF4A0D">
        <w:trPr>
          <w:cantSplit/>
          <w:jc w:val="center"/>
        </w:trPr>
        <w:tc>
          <w:tcPr>
            <w:tcW w:w="3367" w:type="pct"/>
            <w:tcBorders>
              <w:top w:val="nil"/>
              <w:left w:val="nil"/>
              <w:bottom w:val="nil"/>
              <w:right w:val="nil"/>
            </w:tcBorders>
          </w:tcPr>
          <w:p w14:paraId="2A471CDD"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Total production (thousand carats) – 100% basis</w:t>
            </w:r>
            <w:r w:rsidRPr="00571974">
              <w:rPr>
                <w:sz w:val="18"/>
                <w:szCs w:val="18"/>
                <w:vertAlign w:val="superscript"/>
                <w:lang w:val="en-GB" w:eastAsia="en-GB" w:bidi="ar-SA"/>
              </w:rPr>
              <w:t>(2)</w:t>
            </w:r>
            <w:r w:rsidRPr="00571974">
              <w:rPr>
                <w:sz w:val="18"/>
                <w:szCs w:val="18"/>
                <w:lang w:val="en-GB" w:eastAsia="en-GB" w:bidi="ar-SA"/>
              </w:rPr>
              <w:tab/>
            </w:r>
          </w:p>
        </w:tc>
        <w:tc>
          <w:tcPr>
            <w:tcW w:w="543" w:type="pct"/>
            <w:tcBorders>
              <w:top w:val="nil"/>
              <w:left w:val="nil"/>
              <w:bottom w:val="nil"/>
              <w:right w:val="nil"/>
            </w:tcBorders>
            <w:vAlign w:val="bottom"/>
          </w:tcPr>
          <w:p w14:paraId="052B246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33,454</w:t>
            </w:r>
          </w:p>
        </w:tc>
        <w:tc>
          <w:tcPr>
            <w:tcW w:w="544" w:type="pct"/>
            <w:tcBorders>
              <w:top w:val="nil"/>
              <w:left w:val="nil"/>
              <w:bottom w:val="nil"/>
              <w:right w:val="nil"/>
            </w:tcBorders>
            <w:vAlign w:val="bottom"/>
          </w:tcPr>
          <w:p w14:paraId="632130C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35,297</w:t>
            </w:r>
          </w:p>
        </w:tc>
        <w:tc>
          <w:tcPr>
            <w:tcW w:w="546" w:type="pct"/>
            <w:tcBorders>
              <w:top w:val="nil"/>
              <w:left w:val="nil"/>
              <w:bottom w:val="nil"/>
              <w:right w:val="nil"/>
            </w:tcBorders>
            <w:vAlign w:val="bottom"/>
          </w:tcPr>
          <w:p w14:paraId="0B59319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30,776</w:t>
            </w:r>
          </w:p>
        </w:tc>
      </w:tr>
    </w:tbl>
    <w:p w14:paraId="62990A4C" w14:textId="77777777" w:rsidR="00E93D9C" w:rsidRPr="00571974" w:rsidRDefault="00836D74" w:rsidP="00E93D9C">
      <w:pPr>
        <w:rPr>
          <w:lang w:val="en-GB"/>
        </w:rPr>
      </w:pPr>
      <w:r>
        <w:rPr>
          <w:lang w:val="en-GB"/>
        </w:rPr>
        <w:pict w14:anchorId="7C4DC7A5">
          <v:rect id="_x0000_i1047" style="width:184.5pt;height:1pt" o:hrpct="250" o:hrstd="t" o:hrnoshade="t" o:hr="t" fillcolor="black" stroked="f"/>
        </w:pict>
      </w:r>
    </w:p>
    <w:p w14:paraId="242CF255" w14:textId="77777777" w:rsidR="00E93D9C" w:rsidRPr="00571974" w:rsidRDefault="003D4D89" w:rsidP="003D4D89">
      <w:pPr>
        <w:pStyle w:val="ListParagraph"/>
        <w:numPr>
          <w:ilvl w:val="0"/>
          <w:numId w:val="31"/>
        </w:numPr>
        <w:rPr>
          <w:sz w:val="16"/>
          <w:szCs w:val="18"/>
          <w:lang w:val="en-GB"/>
        </w:rPr>
      </w:pPr>
      <w:r w:rsidRPr="00571974">
        <w:rPr>
          <w:sz w:val="16"/>
          <w:szCs w:val="18"/>
          <w:lang w:val="en-GB"/>
        </w:rPr>
        <w:t xml:space="preserve">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 </w:t>
      </w:r>
    </w:p>
    <w:p w14:paraId="6B596FDB" w14:textId="61D507B8" w:rsidR="00E93D9C" w:rsidRPr="00571974" w:rsidRDefault="003D4D89" w:rsidP="003D4D89">
      <w:pPr>
        <w:pStyle w:val="ListParagraph"/>
        <w:numPr>
          <w:ilvl w:val="0"/>
          <w:numId w:val="31"/>
        </w:numPr>
        <w:rPr>
          <w:sz w:val="16"/>
          <w:szCs w:val="18"/>
          <w:lang w:val="en-GB"/>
        </w:rPr>
      </w:pPr>
      <w:r w:rsidRPr="00571974">
        <w:rPr>
          <w:sz w:val="16"/>
          <w:szCs w:val="18"/>
          <w:lang w:val="en-GB"/>
        </w:rPr>
        <w:t>Except for Gahcho Kué, from which the Group</w:t>
      </w:r>
      <w:r w:rsidR="00A311D8">
        <w:rPr>
          <w:sz w:val="16"/>
          <w:szCs w:val="18"/>
          <w:lang w:val="en-GB"/>
        </w:rPr>
        <w:t>’</w:t>
      </w:r>
      <w:r w:rsidRPr="00571974">
        <w:rPr>
          <w:sz w:val="16"/>
          <w:szCs w:val="18"/>
          <w:lang w:val="en-GB"/>
        </w:rPr>
        <w:t>s 51% attributable share is included.</w:t>
      </w:r>
    </w:p>
    <w:p w14:paraId="6125219D" w14:textId="77777777" w:rsidR="00E93D9C" w:rsidRPr="00571974" w:rsidRDefault="00E93D9C" w:rsidP="00E93D9C">
      <w:pPr>
        <w:tabs>
          <w:tab w:val="left" w:pos="-720"/>
          <w:tab w:val="left" w:pos="0"/>
        </w:tabs>
        <w:suppressAutoHyphens/>
        <w:rPr>
          <w:sz w:val="16"/>
          <w:szCs w:val="18"/>
          <w:lang w:val="en-GB"/>
        </w:rPr>
      </w:pPr>
    </w:p>
    <w:p w14:paraId="68876404" w14:textId="49E3F3E2" w:rsidR="00E93D9C" w:rsidRPr="00571974" w:rsidRDefault="003D4D89" w:rsidP="00932961">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s share of underlying EBIT from De Beers in 2019, 2018 and 2017 was US$168</w:t>
      </w:r>
      <w:r w:rsidR="00B43AB4">
        <w:rPr>
          <w:lang w:val="en-GB"/>
        </w:rPr>
        <w:t xml:space="preserve"> million</w:t>
      </w:r>
      <w:r w:rsidRPr="00571974">
        <w:rPr>
          <w:lang w:val="en-GB"/>
        </w:rPr>
        <w:t xml:space="preserve">, US$694 million and US$873 million, respectively. </w:t>
      </w:r>
    </w:p>
    <w:p w14:paraId="2D14E172" w14:textId="6EC1E2BA" w:rsidR="00E93D9C" w:rsidRPr="00571974" w:rsidRDefault="003D4D89" w:rsidP="00E93D9C">
      <w:pPr>
        <w:pStyle w:val="BodyText"/>
        <w:widowControl/>
        <w:autoSpaceDE/>
        <w:autoSpaceDN/>
        <w:adjustRightInd/>
        <w:ind w:firstLine="360"/>
        <w:rPr>
          <w:lang w:val="en-GB"/>
        </w:rPr>
      </w:pPr>
      <w:r w:rsidRPr="00571974">
        <w:rPr>
          <w:lang w:val="en-GB"/>
        </w:rPr>
        <w:t>De Beers</w:t>
      </w:r>
      <w:r w:rsidR="00A311D8">
        <w:rPr>
          <w:lang w:val="en-GB"/>
        </w:rPr>
        <w:t>’</w:t>
      </w:r>
      <w:r w:rsidRPr="00571974">
        <w:rPr>
          <w:lang w:val="en-GB"/>
        </w:rPr>
        <w:t xml:space="preserve"> underlying EBIT in 2019 reduced by 76%, which was </w:t>
      </w:r>
      <w:r w:rsidR="00D37317">
        <w:rPr>
          <w:lang w:val="en-GB"/>
        </w:rPr>
        <w:t xml:space="preserve">principally </w:t>
      </w:r>
      <w:r w:rsidRPr="00571974">
        <w:rPr>
          <w:lang w:val="en-GB"/>
        </w:rPr>
        <w:t xml:space="preserve">driven </w:t>
      </w:r>
      <w:r w:rsidR="00726561">
        <w:rPr>
          <w:lang w:val="en-GB"/>
        </w:rPr>
        <w:t xml:space="preserve">by </w:t>
      </w:r>
      <w:r w:rsidR="00726561" w:rsidRPr="00726561">
        <w:rPr>
          <w:lang w:val="en-GB"/>
        </w:rPr>
        <w:t>midstream challenges as a result of the carry</w:t>
      </w:r>
      <w:r w:rsidR="0067587D">
        <w:rPr>
          <w:lang w:val="en-GB"/>
        </w:rPr>
        <w:t>-</w:t>
      </w:r>
      <w:r w:rsidR="00726561" w:rsidRPr="00726561">
        <w:rPr>
          <w:lang w:val="en-GB"/>
        </w:rPr>
        <w:t>over of higher polished inventories from 2018 and caution due to macro-economic uncertainty. This resulted in a decline in the price index, which in conjunction with a lower value sales mix in response to the weaker demand for higher value diamonds curtailed both mining and trading margins. Th</w:t>
      </w:r>
      <w:r w:rsidR="00574FF3">
        <w:rPr>
          <w:lang w:val="en-GB"/>
        </w:rPr>
        <w:t>e reduction in underlying EBIT</w:t>
      </w:r>
      <w:r w:rsidR="00726561" w:rsidRPr="00726561">
        <w:rPr>
          <w:lang w:val="en-GB"/>
        </w:rPr>
        <w:t xml:space="preserve"> was partially</w:t>
      </w:r>
      <w:r w:rsidR="0067587D">
        <w:rPr>
          <w:lang w:val="en-GB"/>
        </w:rPr>
        <w:t xml:space="preserve"> </w:t>
      </w:r>
      <w:r w:rsidRPr="00571974">
        <w:rPr>
          <w:lang w:val="en-GB"/>
        </w:rPr>
        <w:t>offset by improved efficiencies and cost savings. De Beers</w:t>
      </w:r>
      <w:r w:rsidR="00A311D8">
        <w:rPr>
          <w:lang w:val="en-GB"/>
        </w:rPr>
        <w:t>’</w:t>
      </w:r>
      <w:r w:rsidRPr="00571974">
        <w:rPr>
          <w:lang w:val="en-GB"/>
        </w:rPr>
        <w:t xml:space="preserve"> underlying EBIT in 2018 reduced by 21%, which was principally driven by incremental expenditure on a number of new initiatives, including the launch of Lightbox Jewelry (Lightbox™), Tracr™ and Gemfair™, as well as increasing expenditure in marketing, exploration and evaluation in Canada, and, increasing provisions in respect of closure obligations. Margins in the trading business were lower owing to volatile market conditions, and the margin at Element Six decreased as a result of a reduction in sales to the oil and gas industry. </w:t>
      </w:r>
    </w:p>
    <w:p w14:paraId="15198CC9" w14:textId="675F0286" w:rsidR="00E93D9C" w:rsidRPr="00571974" w:rsidRDefault="003D4D89" w:rsidP="001003BB">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s share of De Beers</w:t>
      </w:r>
      <w:r w:rsidR="00A311D8">
        <w:rPr>
          <w:lang w:val="en-GB"/>
        </w:rPr>
        <w:t>’</w:t>
      </w:r>
      <w:r w:rsidRPr="00571974">
        <w:rPr>
          <w:lang w:val="en-GB"/>
        </w:rPr>
        <w:t xml:space="preserve"> revenue was US$4,605 million, US$6,082 million and US$5,841million for 2019, 2018 and 2017 respectively. The 24% decrease from 2018 to 2019 was principally driven by</w:t>
      </w:r>
      <w:r w:rsidR="00D37317">
        <w:rPr>
          <w:lang w:val="en-GB"/>
        </w:rPr>
        <w:t xml:space="preserve"> </w:t>
      </w:r>
      <w:r w:rsidR="00726561" w:rsidRPr="00726561">
        <w:rPr>
          <w:lang w:val="en-GB"/>
        </w:rPr>
        <w:t>challenging trading conditions</w:t>
      </w:r>
      <w:r w:rsidRPr="00571974">
        <w:rPr>
          <w:lang w:val="en-GB"/>
        </w:rPr>
        <w:t xml:space="preserve">, with rough diamond sales decreasing by 26% to US$4.0 billion (2018: US$5.4 billion). During the year, the average rough price index declined by 6%, in response to the weaker demand for rough diamonds. Stronger demand for lower-value rough diamonds and a weaker </w:t>
      </w:r>
      <w:r w:rsidR="0057107C">
        <w:rPr>
          <w:lang w:val="en-GB"/>
        </w:rPr>
        <w:t>demand</w:t>
      </w:r>
      <w:r w:rsidRPr="00571974">
        <w:rPr>
          <w:lang w:val="en-GB"/>
        </w:rPr>
        <w:t xml:space="preserve"> for higher value diamonds, together with the reduction in the rough price index, resulted in a 20% reduction in average reali</w:t>
      </w:r>
      <w:r w:rsidR="00C22B9F">
        <w:rPr>
          <w:lang w:val="en-GB"/>
        </w:rPr>
        <w:t>z</w:t>
      </w:r>
      <w:r w:rsidRPr="00571974">
        <w:rPr>
          <w:lang w:val="en-GB"/>
        </w:rPr>
        <w:t xml:space="preserve">ed price to US$137/ct (2018: </w:t>
      </w:r>
      <w:r w:rsidRPr="00571974">
        <w:rPr>
          <w:lang w:val="en-GB"/>
        </w:rPr>
        <w:lastRenderedPageBreak/>
        <w:t>US$171/ct). Retail revenue also decreased, driven primarily by a decline in high value jewellery sales at De Beers Jewellers, due to global economic uncertainty and some very high value stone sales in 2018.</w:t>
      </w:r>
    </w:p>
    <w:p w14:paraId="103AC19B" w14:textId="2DB90C31" w:rsidR="00E93D9C" w:rsidRPr="00571974" w:rsidRDefault="003D4D89" w:rsidP="00932961">
      <w:pPr>
        <w:pStyle w:val="BodyText"/>
        <w:widowControl/>
        <w:autoSpaceDE/>
        <w:autoSpaceDN/>
        <w:adjustRightInd/>
        <w:ind w:firstLine="360"/>
        <w:rPr>
          <w:lang w:val="en-GB"/>
        </w:rPr>
      </w:pPr>
      <w:r w:rsidRPr="00571974">
        <w:rPr>
          <w:lang w:val="en-GB"/>
        </w:rPr>
        <w:t xml:space="preserve">The 4% increase from 2017 to 2018 was principally driven by rough diamond sales increasing by 4% to </w:t>
      </w:r>
      <w:r w:rsidR="00C22B9F">
        <w:rPr>
          <w:lang w:val="en-GB"/>
        </w:rPr>
        <w:t>US</w:t>
      </w:r>
      <w:r w:rsidRPr="00571974">
        <w:rPr>
          <w:lang w:val="en-GB"/>
        </w:rPr>
        <w:t xml:space="preserve">$5.4 billion (2017: </w:t>
      </w:r>
      <w:r w:rsidR="00C22B9F">
        <w:rPr>
          <w:lang w:val="en-GB"/>
        </w:rPr>
        <w:t>US</w:t>
      </w:r>
      <w:r w:rsidRPr="00571974">
        <w:rPr>
          <w:lang w:val="en-GB"/>
        </w:rPr>
        <w:t>$5.2 billion), due to improved consumer demand for diamond jewel</w:t>
      </w:r>
      <w:r w:rsidR="0053004A">
        <w:rPr>
          <w:lang w:val="en-GB"/>
        </w:rPr>
        <w:t>le</w:t>
      </w:r>
      <w:r w:rsidRPr="00571974">
        <w:rPr>
          <w:lang w:val="en-GB"/>
        </w:rPr>
        <w:t xml:space="preserve">ry and a 1% increase in the average rough diamond price index. The average realized price increased by 6% to </w:t>
      </w:r>
      <w:r w:rsidR="00C22B9F">
        <w:rPr>
          <w:lang w:val="en-GB"/>
        </w:rPr>
        <w:t>US</w:t>
      </w:r>
      <w:r w:rsidRPr="00571974">
        <w:rPr>
          <w:lang w:val="en-GB"/>
        </w:rPr>
        <w:t xml:space="preserve">$171/carat (2017: </w:t>
      </w:r>
      <w:r w:rsidR="00C22B9F">
        <w:rPr>
          <w:lang w:val="en-GB"/>
        </w:rPr>
        <w:t>US</w:t>
      </w:r>
      <w:r w:rsidRPr="00571974">
        <w:rPr>
          <w:lang w:val="en-GB"/>
        </w:rPr>
        <w:t xml:space="preserve">$162/carat), reflecting the lower proportion of lower value rough diamonds being sold in the second half, which resulted in a 2% decrease in consolidated sales volumes to 31.7 million carats (2017: 32.5 million carats). Other revenue also increased owing principally to improved </w:t>
      </w:r>
      <w:r w:rsidR="00A311D8">
        <w:rPr>
          <w:lang w:val="en-GB"/>
        </w:rPr>
        <w:t>‘</w:t>
      </w:r>
      <w:r w:rsidRPr="00571974">
        <w:rPr>
          <w:lang w:val="en-GB"/>
        </w:rPr>
        <w:t>high end</w:t>
      </w:r>
      <w:r w:rsidR="00A311D8">
        <w:rPr>
          <w:lang w:val="en-GB"/>
        </w:rPr>
        <w:t>’</w:t>
      </w:r>
      <w:r w:rsidRPr="00571974">
        <w:rPr>
          <w:lang w:val="en-GB"/>
        </w:rPr>
        <w:t xml:space="preserve"> </w:t>
      </w:r>
      <w:r w:rsidR="0053004A" w:rsidRPr="00571974">
        <w:rPr>
          <w:lang w:val="en-GB"/>
        </w:rPr>
        <w:t>jewellery</w:t>
      </w:r>
      <w:r w:rsidRPr="00571974">
        <w:rPr>
          <w:lang w:val="en-GB"/>
        </w:rPr>
        <w:t xml:space="preserve"> sales at De Beers Jewellers (consolidated for a full year in 2018, compared with nine months in 2017), partly offset by a 5% decrease in Element Six revenue due to a reduction in sales to the oil and gas sectors in 2018 (relative to a period of recovery in 2017). </w:t>
      </w:r>
    </w:p>
    <w:p w14:paraId="39220ED5" w14:textId="5CF0D6A2" w:rsidR="00E93D9C" w:rsidRPr="00571974" w:rsidRDefault="003D4D89" w:rsidP="00D37317">
      <w:pPr>
        <w:pStyle w:val="BodyText"/>
        <w:widowControl/>
        <w:autoSpaceDE/>
        <w:autoSpaceDN/>
        <w:adjustRightInd/>
        <w:ind w:firstLine="360"/>
        <w:rPr>
          <w:lang w:val="en-GB"/>
        </w:rPr>
      </w:pPr>
      <w:r w:rsidRPr="00571974">
        <w:rPr>
          <w:lang w:val="en-GB"/>
        </w:rPr>
        <w:t xml:space="preserve">Total De Beers rough diamond production on a 100% basis (with the exception of the Gahcho Kué joint venture, which is on an attributable 51% basis) was 30.8 million carats in 2019, 35.3 million carats in 2018 and 33.5 million carats in 2017. The 13% decrease from 2018 to 2019 was principally driven by a reduction in South </w:t>
      </w:r>
      <w:r w:rsidR="00D37317">
        <w:rPr>
          <w:lang w:val="en-GB"/>
        </w:rPr>
        <w:t>African production</w:t>
      </w:r>
      <w:r w:rsidR="00726561">
        <w:rPr>
          <w:lang w:val="en-GB"/>
        </w:rPr>
        <w:t xml:space="preserve"> </w:t>
      </w:r>
      <w:r w:rsidR="00726561" w:rsidRPr="00726561">
        <w:rPr>
          <w:lang w:val="en-GB"/>
        </w:rPr>
        <w:t>a result of the transition from open pit to underground</w:t>
      </w:r>
      <w:r w:rsidRPr="00571974">
        <w:rPr>
          <w:lang w:val="en-GB"/>
        </w:rPr>
        <w:t xml:space="preserve">. While trading conditions have improved somewhat since the third quarter of the year, production reduced in response to softer rough diamond demand conditions compared with 2018. The 6% increase from 2017 to 2018 was principally driven by higher plant utilization at Orapa, continued ramp-up of Gahcho Kué and higher grades at Victor. </w:t>
      </w:r>
    </w:p>
    <w:p w14:paraId="6A9FCBB5" w14:textId="77777777" w:rsidR="00E93D9C" w:rsidRPr="00571974" w:rsidRDefault="003D4D89" w:rsidP="00932961">
      <w:pPr>
        <w:pStyle w:val="BodyText"/>
        <w:widowControl/>
        <w:autoSpaceDE/>
        <w:autoSpaceDN/>
        <w:adjustRightInd/>
        <w:ind w:firstLine="360"/>
        <w:rPr>
          <w:lang w:val="en-GB"/>
        </w:rPr>
      </w:pPr>
      <w:r w:rsidRPr="00571974">
        <w:rPr>
          <w:lang w:val="en-GB"/>
        </w:rPr>
        <w:t>In 2019, Botswana (Debswana) production decreased by 4% to 23.3 million carats (2018: 24.1 million carats). In 2019, production at Jwaneng increased by 5% to 12.5 million carats (2018: 11.9 million carats) as throughput rose to partly offset a 12% decrease at Orapa to 10.8 million carats (2018: 12.2 million carats) owing to a delay in an infrastructure project and expected lower grades. In Namibia (Namdeb Holdings), production decreased by 15% to 1.7 million carats in 2019 (2018: 2.0 million carats). Production from the marine operation was 10% lower, principally due to routine planned vessel maintenance. Production at the land operations decreased by 29% to 0.4 million carats in 2019 (2018: 0.6 million carats) as a result of placing Elizabeth Bay onto care and maintenance in December 2018. In South Africa (DBCM), production decreased by 59% to 1.9 million carats (2018: 4.7 million carats), as the mining sequence in the final years of the Venetia open-pit requires higher volumes of waste to be mined so that the last remaining ore can be accessed. Production at Voorspoed ceased following the operation being placed onto care and maintenance in the final quarter of 2018. In Canada, production decreased by 13% to 3.9 million carats in 2019 (2018: 4.5 million carats) principally due Victor reaching end of life during the second quarter of 2019, resulting in a 55% decrease in output to 0.4 million carats (2018: 0.9 million carats). Gahcho Kué maintained output at 3.5 million carats (2018: 3.5 million carats), with a planned grade reduction offset by strong plant performance.</w:t>
      </w:r>
    </w:p>
    <w:p w14:paraId="0F56BFCA" w14:textId="6EB018FC" w:rsidR="00E93D9C" w:rsidRPr="00571974" w:rsidRDefault="003D4D89" w:rsidP="00932961">
      <w:pPr>
        <w:pStyle w:val="BodyText"/>
        <w:widowControl/>
        <w:autoSpaceDE/>
        <w:autoSpaceDN/>
        <w:adjustRightInd/>
        <w:ind w:firstLine="360"/>
        <w:rPr>
          <w:lang w:val="en-GB"/>
        </w:rPr>
      </w:pPr>
      <w:r w:rsidRPr="00571974">
        <w:rPr>
          <w:lang w:val="en-GB"/>
        </w:rPr>
        <w:t xml:space="preserve">In 2018, Botswana (Debswana) production increased by 6% to 24.1 million carats (2017: 22.7 million carats). In 2018, production at Jwaneng was flat, as the effect of processing lower grades was offset by a 12% increase in plant throughput. At Orapa, a 13% increase in output in 2018 was driven principally by higher plant utilization and the full effect of the successful restart of the Damtshaa operation. In Namibia (Namdeb Holdings), production increased by 11% to 2.0 million carats in 2018 (2017: 1.8 million carats). Production from the marine operation was 4% higher, driven by fewer in-port days for the Mafuta crawler vessel and the use of a technology-led approach for optimizing the performance of the drill fleet. Production at the land operations increased by 34% to 0.6 million carats in 2018 (2017: 0.4 million carats) as a result of access to consistently higher grades, despite placing Elizabeth Bay on care and maintenance in December 2018. In South Africa (DBCM), production decreased by 10% to 4.7 million carats (2017: 5.2 million carats), owing to a period of suspended production at Venetia following a fatal incident, as well as lower run-of-mine ore grades experienced as the mine approaches the end of the open pit. Output was also affected by the placing of Voorspoed onto care and maintenance in the fourth quarter. In Canada, production increased by 19% to 4.5 million carats in 2018 (2017: 3.8 million carats) principally due to the full year contribution from Gahcho Kué, which entered commercial production in March 2017, and higher grades at Victor. Victor </w:t>
      </w:r>
      <w:r w:rsidR="003349C7">
        <w:rPr>
          <w:lang w:val="en-GB"/>
        </w:rPr>
        <w:t>ceased</w:t>
      </w:r>
      <w:r w:rsidRPr="00571974">
        <w:rPr>
          <w:lang w:val="en-GB"/>
        </w:rPr>
        <w:t xml:space="preserve"> production in the first half of 2019</w:t>
      </w:r>
      <w:r w:rsidR="003349C7">
        <w:rPr>
          <w:lang w:val="en-GB"/>
        </w:rPr>
        <w:t>.</w:t>
      </w:r>
    </w:p>
    <w:p w14:paraId="0E08647B" w14:textId="77777777" w:rsidR="00E93D9C" w:rsidRPr="00571974" w:rsidRDefault="003D4D89" w:rsidP="007B1404">
      <w:pPr>
        <w:pStyle w:val="Heading3"/>
        <w:rPr>
          <w:lang w:val="en-GB"/>
        </w:rPr>
      </w:pPr>
      <w:r w:rsidRPr="00571974">
        <w:rPr>
          <w:lang w:val="en-GB"/>
        </w:rPr>
        <w:t>Copper</w:t>
      </w:r>
    </w:p>
    <w:p w14:paraId="730369B8" w14:textId="77777777" w:rsidR="00E93D9C" w:rsidRPr="00571974" w:rsidRDefault="003D4D89" w:rsidP="00E93D9C">
      <w:pPr>
        <w:pStyle w:val="BodyText"/>
        <w:widowControl/>
        <w:autoSpaceDE/>
        <w:autoSpaceDN/>
        <w:adjustRightInd/>
        <w:ind w:firstLine="360"/>
        <w:rPr>
          <w:lang w:val="en-GB"/>
        </w:rPr>
      </w:pPr>
      <w:r w:rsidRPr="00571974">
        <w:rPr>
          <w:lang w:val="en-GB"/>
        </w:rPr>
        <w:t>The following table summarizes the results of operations of the Copper business segment and average market price for copper for the years indicated:</w:t>
      </w:r>
    </w:p>
    <w:tbl>
      <w:tblPr>
        <w:tblW w:w="5025" w:type="pct"/>
        <w:jc w:val="center"/>
        <w:tblLayout w:type="fixed"/>
        <w:tblCellMar>
          <w:left w:w="72" w:type="dxa"/>
          <w:right w:w="72" w:type="dxa"/>
        </w:tblCellMar>
        <w:tblLook w:val="0000" w:firstRow="0" w:lastRow="0" w:firstColumn="0" w:lastColumn="0" w:noHBand="0" w:noVBand="0"/>
      </w:tblPr>
      <w:tblGrid>
        <w:gridCol w:w="7286"/>
        <w:gridCol w:w="923"/>
        <w:gridCol w:w="581"/>
        <w:gridCol w:w="613"/>
      </w:tblGrid>
      <w:tr w:rsidR="002228B8" w14:paraId="75DD90BD" w14:textId="77777777" w:rsidTr="00DF4A0D">
        <w:trPr>
          <w:cantSplit/>
          <w:jc w:val="center"/>
        </w:trPr>
        <w:tc>
          <w:tcPr>
            <w:tcW w:w="3874" w:type="pct"/>
            <w:tcBorders>
              <w:top w:val="nil"/>
              <w:left w:val="nil"/>
              <w:bottom w:val="nil"/>
              <w:right w:val="nil"/>
            </w:tcBorders>
            <w:vAlign w:val="bottom"/>
          </w:tcPr>
          <w:p w14:paraId="64FBAA08"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126" w:type="pct"/>
            <w:gridSpan w:val="3"/>
            <w:tcBorders>
              <w:top w:val="nil"/>
              <w:left w:val="nil"/>
              <w:bottom w:val="nil"/>
              <w:right w:val="nil"/>
            </w:tcBorders>
            <w:vAlign w:val="bottom"/>
          </w:tcPr>
          <w:p w14:paraId="25B6EE38"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713AFA0B" w14:textId="77777777" w:rsidTr="00DF4A0D">
        <w:trPr>
          <w:cantSplit/>
          <w:jc w:val="center"/>
        </w:trPr>
        <w:tc>
          <w:tcPr>
            <w:tcW w:w="3874" w:type="pct"/>
            <w:tcBorders>
              <w:top w:val="nil"/>
              <w:left w:val="nil"/>
              <w:bottom w:val="nil"/>
              <w:right w:val="nil"/>
            </w:tcBorders>
            <w:vAlign w:val="bottom"/>
          </w:tcPr>
          <w:p w14:paraId="50069DEB"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91" w:type="pct"/>
            <w:tcBorders>
              <w:top w:val="nil"/>
              <w:left w:val="nil"/>
              <w:bottom w:val="nil"/>
              <w:right w:val="nil"/>
            </w:tcBorders>
            <w:vAlign w:val="bottom"/>
          </w:tcPr>
          <w:p w14:paraId="28E51292"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309" w:type="pct"/>
            <w:tcBorders>
              <w:top w:val="nil"/>
              <w:left w:val="nil"/>
              <w:bottom w:val="nil"/>
              <w:right w:val="nil"/>
            </w:tcBorders>
            <w:vAlign w:val="bottom"/>
          </w:tcPr>
          <w:p w14:paraId="7706287A"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327" w:type="pct"/>
            <w:tcBorders>
              <w:top w:val="nil"/>
              <w:left w:val="nil"/>
              <w:bottom w:val="nil"/>
              <w:right w:val="nil"/>
            </w:tcBorders>
            <w:vAlign w:val="bottom"/>
          </w:tcPr>
          <w:p w14:paraId="424BCE6D"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6E99F7C8" w14:textId="77777777" w:rsidTr="00DF4A0D">
        <w:trPr>
          <w:cantSplit/>
          <w:jc w:val="center"/>
        </w:trPr>
        <w:tc>
          <w:tcPr>
            <w:tcW w:w="3874" w:type="pct"/>
            <w:tcBorders>
              <w:top w:val="nil"/>
              <w:left w:val="nil"/>
              <w:bottom w:val="nil"/>
              <w:right w:val="nil"/>
            </w:tcBorders>
            <w:vAlign w:val="bottom"/>
          </w:tcPr>
          <w:p w14:paraId="7E977F03"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126" w:type="pct"/>
            <w:gridSpan w:val="3"/>
            <w:tcBorders>
              <w:top w:val="nil"/>
              <w:left w:val="nil"/>
              <w:bottom w:val="nil"/>
              <w:right w:val="nil"/>
            </w:tcBorders>
            <w:vAlign w:val="bottom"/>
          </w:tcPr>
          <w:p w14:paraId="14F0A29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32AFA237" w14:textId="77777777" w:rsidTr="00DF4A0D">
        <w:trPr>
          <w:cantSplit/>
          <w:jc w:val="center"/>
        </w:trPr>
        <w:tc>
          <w:tcPr>
            <w:tcW w:w="3874" w:type="pct"/>
            <w:tcBorders>
              <w:top w:val="nil"/>
              <w:left w:val="nil"/>
              <w:bottom w:val="nil"/>
              <w:right w:val="nil"/>
            </w:tcBorders>
          </w:tcPr>
          <w:p w14:paraId="23C3A2B4" w14:textId="6668A702"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491" w:type="pct"/>
            <w:tcBorders>
              <w:top w:val="nil"/>
              <w:left w:val="nil"/>
              <w:bottom w:val="nil"/>
              <w:right w:val="nil"/>
            </w:tcBorders>
            <w:vAlign w:val="bottom"/>
          </w:tcPr>
          <w:p w14:paraId="23458E5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4,233</w:t>
            </w:r>
          </w:p>
        </w:tc>
        <w:tc>
          <w:tcPr>
            <w:tcW w:w="309" w:type="pct"/>
            <w:tcBorders>
              <w:top w:val="nil"/>
              <w:left w:val="nil"/>
              <w:bottom w:val="nil"/>
              <w:right w:val="nil"/>
            </w:tcBorders>
            <w:vAlign w:val="bottom"/>
          </w:tcPr>
          <w:p w14:paraId="3E73376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5,168</w:t>
            </w:r>
          </w:p>
        </w:tc>
        <w:tc>
          <w:tcPr>
            <w:tcW w:w="327" w:type="pct"/>
            <w:tcBorders>
              <w:top w:val="nil"/>
              <w:left w:val="nil"/>
              <w:bottom w:val="nil"/>
              <w:right w:val="nil"/>
            </w:tcBorders>
            <w:vAlign w:val="bottom"/>
          </w:tcPr>
          <w:p w14:paraId="6520B43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5,840</w:t>
            </w:r>
          </w:p>
        </w:tc>
      </w:tr>
      <w:tr w:rsidR="002228B8" w14:paraId="1007A9D4" w14:textId="77777777" w:rsidTr="00DF4A0D">
        <w:trPr>
          <w:cantSplit/>
          <w:jc w:val="center"/>
        </w:trPr>
        <w:tc>
          <w:tcPr>
            <w:tcW w:w="3874" w:type="pct"/>
            <w:tcBorders>
              <w:top w:val="nil"/>
              <w:left w:val="nil"/>
              <w:bottom w:val="nil"/>
              <w:right w:val="nil"/>
            </w:tcBorders>
          </w:tcPr>
          <w:p w14:paraId="16EEDCD8"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491" w:type="pct"/>
            <w:tcBorders>
              <w:top w:val="nil"/>
              <w:left w:val="nil"/>
              <w:bottom w:val="nil"/>
              <w:right w:val="nil"/>
            </w:tcBorders>
            <w:vAlign w:val="bottom"/>
          </w:tcPr>
          <w:p w14:paraId="649AFB2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923</w:t>
            </w:r>
          </w:p>
        </w:tc>
        <w:tc>
          <w:tcPr>
            <w:tcW w:w="309" w:type="pct"/>
            <w:tcBorders>
              <w:top w:val="nil"/>
              <w:left w:val="nil"/>
              <w:bottom w:val="nil"/>
              <w:right w:val="nil"/>
            </w:tcBorders>
            <w:vAlign w:val="bottom"/>
          </w:tcPr>
          <w:p w14:paraId="28A2A35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1,234</w:t>
            </w:r>
          </w:p>
        </w:tc>
        <w:tc>
          <w:tcPr>
            <w:tcW w:w="327" w:type="pct"/>
            <w:tcBorders>
              <w:top w:val="nil"/>
              <w:left w:val="nil"/>
              <w:bottom w:val="nil"/>
              <w:right w:val="nil"/>
            </w:tcBorders>
            <w:vAlign w:val="bottom"/>
          </w:tcPr>
          <w:p w14:paraId="02624BE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960</w:t>
            </w:r>
          </w:p>
        </w:tc>
      </w:tr>
      <w:tr w:rsidR="002228B8" w14:paraId="0001A181" w14:textId="77777777" w:rsidTr="00DF4A0D">
        <w:trPr>
          <w:cantSplit/>
          <w:jc w:val="center"/>
        </w:trPr>
        <w:tc>
          <w:tcPr>
            <w:tcW w:w="3874" w:type="pct"/>
            <w:tcBorders>
              <w:top w:val="nil"/>
              <w:left w:val="nil"/>
              <w:bottom w:val="nil"/>
              <w:right w:val="nil"/>
            </w:tcBorders>
          </w:tcPr>
          <w:p w14:paraId="110ADE9F"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491" w:type="pct"/>
            <w:tcBorders>
              <w:top w:val="nil"/>
              <w:left w:val="nil"/>
              <w:bottom w:val="nil"/>
              <w:right w:val="nil"/>
            </w:tcBorders>
            <w:vAlign w:val="bottom"/>
          </w:tcPr>
          <w:p w14:paraId="690B318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1,508</w:t>
            </w:r>
          </w:p>
        </w:tc>
        <w:tc>
          <w:tcPr>
            <w:tcW w:w="309" w:type="pct"/>
            <w:tcBorders>
              <w:top w:val="nil"/>
              <w:left w:val="nil"/>
              <w:bottom w:val="nil"/>
              <w:right w:val="nil"/>
            </w:tcBorders>
            <w:vAlign w:val="bottom"/>
          </w:tcPr>
          <w:p w14:paraId="6D77277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1,856</w:t>
            </w:r>
          </w:p>
        </w:tc>
        <w:tc>
          <w:tcPr>
            <w:tcW w:w="327" w:type="pct"/>
            <w:tcBorders>
              <w:top w:val="nil"/>
              <w:left w:val="nil"/>
              <w:bottom w:val="nil"/>
              <w:right w:val="nil"/>
            </w:tcBorders>
            <w:vAlign w:val="bottom"/>
          </w:tcPr>
          <w:p w14:paraId="0F31AE8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1,618</w:t>
            </w:r>
          </w:p>
        </w:tc>
      </w:tr>
      <w:tr w:rsidR="002228B8" w14:paraId="37D0E5DA" w14:textId="77777777" w:rsidTr="00DF4A0D">
        <w:trPr>
          <w:cantSplit/>
          <w:jc w:val="center"/>
        </w:trPr>
        <w:tc>
          <w:tcPr>
            <w:tcW w:w="3874" w:type="pct"/>
            <w:tcBorders>
              <w:top w:val="nil"/>
              <w:left w:val="nil"/>
              <w:bottom w:val="nil"/>
              <w:right w:val="nil"/>
            </w:tcBorders>
            <w:shd w:val="clear" w:color="auto" w:fill="auto"/>
          </w:tcPr>
          <w:p w14:paraId="599D7C45"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491" w:type="pct"/>
            <w:tcBorders>
              <w:top w:val="nil"/>
              <w:left w:val="nil"/>
              <w:bottom w:val="nil"/>
              <w:right w:val="nil"/>
            </w:tcBorders>
            <w:shd w:val="clear" w:color="auto" w:fill="auto"/>
            <w:vAlign w:val="bottom"/>
          </w:tcPr>
          <w:p w14:paraId="09B55BE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5,899</w:t>
            </w:r>
          </w:p>
        </w:tc>
        <w:tc>
          <w:tcPr>
            <w:tcW w:w="309" w:type="pct"/>
            <w:tcBorders>
              <w:top w:val="nil"/>
              <w:left w:val="nil"/>
              <w:bottom w:val="nil"/>
              <w:right w:val="nil"/>
            </w:tcBorders>
            <w:shd w:val="clear" w:color="auto" w:fill="auto"/>
            <w:vAlign w:val="bottom"/>
          </w:tcPr>
          <w:p w14:paraId="0D947A4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6,463</w:t>
            </w:r>
          </w:p>
        </w:tc>
        <w:tc>
          <w:tcPr>
            <w:tcW w:w="327" w:type="pct"/>
            <w:tcBorders>
              <w:top w:val="nil"/>
              <w:left w:val="nil"/>
              <w:bottom w:val="nil"/>
              <w:right w:val="nil"/>
            </w:tcBorders>
            <w:shd w:val="clear" w:color="auto" w:fill="auto"/>
            <w:vAlign w:val="bottom"/>
          </w:tcPr>
          <w:p w14:paraId="1423ADD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8,238</w:t>
            </w:r>
          </w:p>
        </w:tc>
      </w:tr>
      <w:tr w:rsidR="002228B8" w14:paraId="5DA16967" w14:textId="77777777" w:rsidTr="00DF4A0D">
        <w:trPr>
          <w:cantSplit/>
          <w:jc w:val="center"/>
        </w:trPr>
        <w:tc>
          <w:tcPr>
            <w:tcW w:w="3874" w:type="pct"/>
            <w:tcBorders>
              <w:top w:val="nil"/>
              <w:left w:val="nil"/>
              <w:bottom w:val="nil"/>
              <w:right w:val="nil"/>
            </w:tcBorders>
            <w:shd w:val="clear" w:color="auto" w:fill="auto"/>
          </w:tcPr>
          <w:p w14:paraId="640EA061"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r w:rsidRPr="00571974">
              <w:rPr>
                <w:sz w:val="18"/>
                <w:szCs w:val="18"/>
                <w:lang w:val="en-GB" w:eastAsia="en-GB" w:bidi="ar-SA"/>
              </w:rPr>
              <w:tab/>
            </w:r>
          </w:p>
        </w:tc>
        <w:tc>
          <w:tcPr>
            <w:tcW w:w="491" w:type="pct"/>
            <w:tcBorders>
              <w:top w:val="nil"/>
              <w:left w:val="nil"/>
              <w:bottom w:val="nil"/>
              <w:right w:val="nil"/>
            </w:tcBorders>
            <w:shd w:val="clear" w:color="auto" w:fill="auto"/>
            <w:vAlign w:val="bottom"/>
          </w:tcPr>
          <w:p w14:paraId="202B8E5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665</w:t>
            </w:r>
          </w:p>
        </w:tc>
        <w:tc>
          <w:tcPr>
            <w:tcW w:w="309" w:type="pct"/>
            <w:tcBorders>
              <w:top w:val="nil"/>
              <w:left w:val="nil"/>
              <w:bottom w:val="nil"/>
              <w:right w:val="nil"/>
            </w:tcBorders>
            <w:shd w:val="clear" w:color="auto" w:fill="auto"/>
            <w:vAlign w:val="bottom"/>
          </w:tcPr>
          <w:p w14:paraId="41FF948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703</w:t>
            </w:r>
          </w:p>
        </w:tc>
        <w:tc>
          <w:tcPr>
            <w:tcW w:w="327" w:type="pct"/>
            <w:tcBorders>
              <w:top w:val="nil"/>
              <w:left w:val="nil"/>
              <w:bottom w:val="nil"/>
              <w:right w:val="nil"/>
            </w:tcBorders>
            <w:shd w:val="clear" w:color="auto" w:fill="auto"/>
            <w:vAlign w:val="bottom"/>
          </w:tcPr>
          <w:p w14:paraId="04F2472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1,078</w:t>
            </w:r>
          </w:p>
        </w:tc>
      </w:tr>
      <w:tr w:rsidR="002228B8" w14:paraId="2463B9AE" w14:textId="77777777" w:rsidTr="00DF4A0D">
        <w:trPr>
          <w:cantSplit/>
          <w:jc w:val="center"/>
        </w:trPr>
        <w:tc>
          <w:tcPr>
            <w:tcW w:w="3874" w:type="pct"/>
            <w:tcBorders>
              <w:top w:val="nil"/>
              <w:left w:val="nil"/>
              <w:bottom w:val="nil"/>
              <w:right w:val="nil"/>
            </w:tcBorders>
          </w:tcPr>
          <w:p w14:paraId="14558F61"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Share of Group underlying EBIT</w:t>
            </w:r>
            <w:r w:rsidRPr="00571974">
              <w:rPr>
                <w:sz w:val="18"/>
                <w:szCs w:val="18"/>
                <w:lang w:val="en-GB" w:eastAsia="en-GB" w:bidi="ar-SA"/>
              </w:rPr>
              <w:tab/>
            </w:r>
          </w:p>
        </w:tc>
        <w:tc>
          <w:tcPr>
            <w:tcW w:w="491" w:type="pct"/>
            <w:tcBorders>
              <w:top w:val="nil"/>
              <w:left w:val="nil"/>
              <w:bottom w:val="nil"/>
              <w:right w:val="nil"/>
            </w:tcBorders>
            <w:vAlign w:val="bottom"/>
          </w:tcPr>
          <w:p w14:paraId="316A327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w:t>
            </w:r>
          </w:p>
        </w:tc>
        <w:tc>
          <w:tcPr>
            <w:tcW w:w="309" w:type="pct"/>
            <w:tcBorders>
              <w:top w:val="nil"/>
              <w:left w:val="nil"/>
              <w:bottom w:val="nil"/>
              <w:right w:val="nil"/>
            </w:tcBorders>
            <w:vAlign w:val="bottom"/>
          </w:tcPr>
          <w:p w14:paraId="521FAC5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w:t>
            </w:r>
          </w:p>
        </w:tc>
        <w:tc>
          <w:tcPr>
            <w:tcW w:w="327" w:type="pct"/>
            <w:tcBorders>
              <w:top w:val="nil"/>
              <w:left w:val="nil"/>
              <w:bottom w:val="nil"/>
              <w:right w:val="nil"/>
            </w:tcBorders>
            <w:vAlign w:val="bottom"/>
          </w:tcPr>
          <w:p w14:paraId="24246C8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r>
      <w:tr w:rsidR="002228B8" w14:paraId="5F2724C6" w14:textId="77777777" w:rsidTr="00DF4A0D">
        <w:trPr>
          <w:cantSplit/>
          <w:jc w:val="center"/>
        </w:trPr>
        <w:tc>
          <w:tcPr>
            <w:tcW w:w="3874" w:type="pct"/>
            <w:tcBorders>
              <w:top w:val="nil"/>
              <w:left w:val="nil"/>
              <w:bottom w:val="nil"/>
              <w:right w:val="nil"/>
            </w:tcBorders>
          </w:tcPr>
          <w:p w14:paraId="20D704C1"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491" w:type="pct"/>
            <w:tcBorders>
              <w:top w:val="nil"/>
              <w:left w:val="nil"/>
              <w:bottom w:val="nil"/>
              <w:right w:val="nil"/>
            </w:tcBorders>
            <w:vAlign w:val="bottom"/>
          </w:tcPr>
          <w:p w14:paraId="73DE30F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w:t>
            </w:r>
          </w:p>
        </w:tc>
        <w:tc>
          <w:tcPr>
            <w:tcW w:w="309" w:type="pct"/>
            <w:tcBorders>
              <w:top w:val="nil"/>
              <w:left w:val="nil"/>
              <w:bottom w:val="nil"/>
              <w:right w:val="nil"/>
            </w:tcBorders>
            <w:vAlign w:val="bottom"/>
          </w:tcPr>
          <w:p w14:paraId="2E0926D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20%</w:t>
            </w:r>
          </w:p>
        </w:tc>
        <w:tc>
          <w:tcPr>
            <w:tcW w:w="327" w:type="pct"/>
            <w:tcBorders>
              <w:top w:val="nil"/>
              <w:left w:val="nil"/>
              <w:bottom w:val="nil"/>
              <w:right w:val="nil"/>
            </w:tcBorders>
            <w:vAlign w:val="bottom"/>
          </w:tcPr>
          <w:p w14:paraId="30238EB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w:t>
            </w:r>
          </w:p>
        </w:tc>
      </w:tr>
      <w:tr w:rsidR="002228B8" w14:paraId="0A24DF9A" w14:textId="77777777" w:rsidTr="00DF4A0D">
        <w:trPr>
          <w:cantSplit/>
          <w:jc w:val="center"/>
        </w:trPr>
        <w:tc>
          <w:tcPr>
            <w:tcW w:w="3874" w:type="pct"/>
            <w:tcBorders>
              <w:top w:val="nil"/>
              <w:left w:val="nil"/>
              <w:bottom w:val="nil"/>
              <w:right w:val="nil"/>
            </w:tcBorders>
          </w:tcPr>
          <w:p w14:paraId="7BBAAA66"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Production (kilotonnes)</w:t>
            </w:r>
            <w:r w:rsidRPr="00571974">
              <w:rPr>
                <w:sz w:val="18"/>
                <w:szCs w:val="18"/>
                <w:vertAlign w:val="superscript"/>
                <w:lang w:val="en-GB" w:eastAsia="en-GB" w:bidi="ar-SA"/>
              </w:rPr>
              <w:t xml:space="preserve"> (2)</w:t>
            </w:r>
            <w:r w:rsidRPr="00571974">
              <w:rPr>
                <w:sz w:val="18"/>
                <w:szCs w:val="18"/>
                <w:lang w:val="en-GB" w:eastAsia="en-GB" w:bidi="ar-SA"/>
              </w:rPr>
              <w:tab/>
            </w:r>
          </w:p>
        </w:tc>
        <w:tc>
          <w:tcPr>
            <w:tcW w:w="491" w:type="pct"/>
            <w:tcBorders>
              <w:top w:val="nil"/>
              <w:left w:val="nil"/>
              <w:bottom w:val="nil"/>
              <w:right w:val="nil"/>
            </w:tcBorders>
            <w:vAlign w:val="bottom"/>
          </w:tcPr>
          <w:p w14:paraId="43280F8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579.3</w:t>
            </w:r>
          </w:p>
        </w:tc>
        <w:tc>
          <w:tcPr>
            <w:tcW w:w="309" w:type="pct"/>
            <w:tcBorders>
              <w:top w:val="nil"/>
              <w:left w:val="nil"/>
              <w:bottom w:val="nil"/>
              <w:right w:val="nil"/>
            </w:tcBorders>
            <w:vAlign w:val="bottom"/>
          </w:tcPr>
          <w:p w14:paraId="72E88D4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668.3</w:t>
            </w:r>
          </w:p>
        </w:tc>
        <w:tc>
          <w:tcPr>
            <w:tcW w:w="327" w:type="pct"/>
            <w:tcBorders>
              <w:top w:val="nil"/>
              <w:left w:val="nil"/>
              <w:bottom w:val="nil"/>
              <w:right w:val="nil"/>
            </w:tcBorders>
            <w:vAlign w:val="bottom"/>
          </w:tcPr>
          <w:p w14:paraId="5E80B17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638.0</w:t>
            </w:r>
          </w:p>
        </w:tc>
      </w:tr>
      <w:tr w:rsidR="002228B8" w14:paraId="59273938" w14:textId="77777777" w:rsidTr="00DF4A0D">
        <w:trPr>
          <w:cantSplit/>
          <w:jc w:val="center"/>
        </w:trPr>
        <w:tc>
          <w:tcPr>
            <w:tcW w:w="3874" w:type="pct"/>
            <w:tcBorders>
              <w:top w:val="nil"/>
              <w:left w:val="nil"/>
              <w:bottom w:val="nil"/>
              <w:right w:val="nil"/>
            </w:tcBorders>
          </w:tcPr>
          <w:p w14:paraId="43A2C15B"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Copper (U.S. cents/lb)</w:t>
            </w:r>
            <w:r w:rsidRPr="00571974">
              <w:rPr>
                <w:sz w:val="18"/>
                <w:szCs w:val="18"/>
                <w:vertAlign w:val="superscript"/>
                <w:lang w:val="en-GB" w:eastAsia="en-GB" w:bidi="ar-SA"/>
              </w:rPr>
              <w:t>(3)</w:t>
            </w:r>
            <w:r w:rsidRPr="00571974">
              <w:rPr>
                <w:sz w:val="18"/>
                <w:szCs w:val="18"/>
                <w:lang w:val="en-GB" w:eastAsia="en-GB" w:bidi="ar-SA"/>
              </w:rPr>
              <w:tab/>
            </w:r>
          </w:p>
        </w:tc>
        <w:tc>
          <w:tcPr>
            <w:tcW w:w="491" w:type="pct"/>
            <w:tcBorders>
              <w:top w:val="nil"/>
              <w:left w:val="nil"/>
              <w:bottom w:val="nil"/>
              <w:right w:val="nil"/>
            </w:tcBorders>
            <w:vAlign w:val="bottom"/>
          </w:tcPr>
          <w:p w14:paraId="55E0928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280</w:t>
            </w:r>
          </w:p>
        </w:tc>
        <w:tc>
          <w:tcPr>
            <w:tcW w:w="309" w:type="pct"/>
            <w:tcBorders>
              <w:top w:val="nil"/>
              <w:left w:val="nil"/>
              <w:bottom w:val="nil"/>
              <w:right w:val="nil"/>
            </w:tcBorders>
            <w:vAlign w:val="bottom"/>
          </w:tcPr>
          <w:p w14:paraId="23632AE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296</w:t>
            </w:r>
          </w:p>
        </w:tc>
        <w:tc>
          <w:tcPr>
            <w:tcW w:w="327" w:type="pct"/>
            <w:tcBorders>
              <w:top w:val="nil"/>
              <w:left w:val="nil"/>
              <w:bottom w:val="nil"/>
              <w:right w:val="nil"/>
            </w:tcBorders>
            <w:vAlign w:val="bottom"/>
          </w:tcPr>
          <w:p w14:paraId="2E71A72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272</w:t>
            </w:r>
          </w:p>
        </w:tc>
      </w:tr>
    </w:tbl>
    <w:p w14:paraId="50CB0B4F" w14:textId="77777777" w:rsidR="00E93D9C" w:rsidRPr="00571974" w:rsidRDefault="00836D74" w:rsidP="00E93D9C">
      <w:pPr>
        <w:rPr>
          <w:lang w:val="en-GB"/>
        </w:rPr>
      </w:pPr>
      <w:r>
        <w:rPr>
          <w:lang w:val="en-GB"/>
        </w:rPr>
        <w:pict w14:anchorId="4EF0F7E1">
          <v:rect id="_x0000_i1048" style="width:184.5pt;height:1pt" o:hrpct="250" o:hrstd="t" o:hrnoshade="t" o:hr="t" fillcolor="black" stroked="f"/>
        </w:pict>
      </w:r>
    </w:p>
    <w:p w14:paraId="24EF1751" w14:textId="2A67924B" w:rsidR="004520D4" w:rsidRPr="00301D48" w:rsidRDefault="004520D4" w:rsidP="004520D4">
      <w:pPr>
        <w:pStyle w:val="ListParagraph"/>
        <w:numPr>
          <w:ilvl w:val="0"/>
          <w:numId w:val="32"/>
        </w:numPr>
        <w:rPr>
          <w:sz w:val="16"/>
          <w:szCs w:val="18"/>
          <w:lang w:val="en-GB"/>
        </w:rPr>
      </w:pPr>
      <w:r w:rsidRPr="00301D48">
        <w:rPr>
          <w:sz w:val="16"/>
          <w:szCs w:val="18"/>
          <w:lang w:val="en-GB"/>
        </w:rPr>
        <w:t xml:space="preserve">Of the total capital expenditure </w:t>
      </w:r>
      <w:r w:rsidR="00406594">
        <w:rPr>
          <w:sz w:val="16"/>
          <w:szCs w:val="18"/>
          <w:lang w:val="en-GB"/>
        </w:rPr>
        <w:t xml:space="preserve">in FY2019 </w:t>
      </w:r>
      <w:r w:rsidRPr="00301D48">
        <w:rPr>
          <w:sz w:val="16"/>
          <w:szCs w:val="18"/>
          <w:lang w:val="en-GB"/>
        </w:rPr>
        <w:t>of US$1,078 million, US$494 million (2018: US$131 million), relates  to the Quellaveco project and is presented on an attributable basis after deducting direct funding from non-controlling interests. FY2019 capital expenditure in relation to the Quellaveco project on a 100% basis was US$1,338 million, of which US$515 million was funded by cash from the Mitsubishi syndication transaction in 2018. Of the remaining US$823 million, the Group and Mitsubishi funded their respective 60% and 40% shares via shareholder loans. FY2018 capital expenditure in relation to the Quellaveco project, on a 100% basis was US$505 million. US$187 million was spent prior to project approval on 26 July, 2018, of which Anglo American funded US$131 million and Mitsubishi funded US$56 million. A further US$318 million was spent post-approval, of which Anglo American</w:t>
      </w:r>
      <w:r w:rsidR="00A311D8">
        <w:rPr>
          <w:sz w:val="16"/>
          <w:szCs w:val="18"/>
          <w:lang w:val="en-GB"/>
        </w:rPr>
        <w:t>’</w:t>
      </w:r>
      <w:r w:rsidRPr="00301D48">
        <w:rPr>
          <w:sz w:val="16"/>
          <w:szCs w:val="18"/>
          <w:lang w:val="en-GB"/>
        </w:rPr>
        <w:t>s 60% share was funded from the Mitsubishi syndication transaction and hence is not included in the reported capital expenditure.</w:t>
      </w:r>
    </w:p>
    <w:p w14:paraId="2A596092" w14:textId="77777777" w:rsidR="00E93D9C" w:rsidRPr="00335D73" w:rsidRDefault="003D4D89">
      <w:pPr>
        <w:pStyle w:val="ListParagraph"/>
        <w:numPr>
          <w:ilvl w:val="0"/>
          <w:numId w:val="32"/>
        </w:numPr>
        <w:rPr>
          <w:sz w:val="16"/>
          <w:szCs w:val="18"/>
          <w:lang w:val="en-GB"/>
        </w:rPr>
      </w:pPr>
      <w:r w:rsidRPr="00335D73">
        <w:rPr>
          <w:sz w:val="16"/>
          <w:szCs w:val="18"/>
          <w:lang w:val="en-GB"/>
        </w:rPr>
        <w:t>Total Copper segment production represents 100% of production for all operations except Collahuasi which represents 44%.</w:t>
      </w:r>
    </w:p>
    <w:p w14:paraId="41DA94CF" w14:textId="1472ADA7" w:rsidR="00E93D9C" w:rsidRPr="00571974" w:rsidRDefault="003D4D89" w:rsidP="00DA283E">
      <w:pPr>
        <w:pStyle w:val="ListParagraph"/>
        <w:numPr>
          <w:ilvl w:val="0"/>
          <w:numId w:val="32"/>
        </w:numPr>
        <w:spacing w:after="240"/>
        <w:rPr>
          <w:sz w:val="16"/>
          <w:szCs w:val="18"/>
          <w:lang w:val="en-GB"/>
        </w:rPr>
      </w:pPr>
      <w:r w:rsidRPr="00571974">
        <w:rPr>
          <w:sz w:val="16"/>
          <w:szCs w:val="18"/>
          <w:lang w:val="en-GB"/>
        </w:rPr>
        <w:t>Average LME price.</w:t>
      </w:r>
    </w:p>
    <w:p w14:paraId="7D67C363" w14:textId="77777777" w:rsidR="00E93D9C" w:rsidRPr="00571974" w:rsidRDefault="003D4D89" w:rsidP="00E93D9C">
      <w:pPr>
        <w:pStyle w:val="BodyText"/>
        <w:widowControl/>
        <w:autoSpaceDE/>
        <w:autoSpaceDN/>
        <w:adjustRightInd/>
        <w:ind w:firstLine="360"/>
        <w:rPr>
          <w:lang w:val="en-GB"/>
        </w:rPr>
      </w:pPr>
      <w:r w:rsidRPr="00571974">
        <w:rPr>
          <w:lang w:val="en-GB"/>
        </w:rPr>
        <w:t>Copper business segment underlying EBIT in 2019, 2018 and 2017 was US$960 million, US$1,234 million and US$923 million, respectively.</w:t>
      </w:r>
    </w:p>
    <w:p w14:paraId="10BFA993" w14:textId="7522A704" w:rsidR="00E93D9C" w:rsidRPr="00571974" w:rsidRDefault="003D4D89" w:rsidP="00E93D9C">
      <w:pPr>
        <w:pStyle w:val="BodyText"/>
        <w:widowControl/>
        <w:autoSpaceDE/>
        <w:autoSpaceDN/>
        <w:adjustRightInd/>
        <w:ind w:firstLine="360"/>
        <w:rPr>
          <w:lang w:val="en-GB"/>
        </w:rPr>
      </w:pPr>
      <w:r w:rsidRPr="00571974">
        <w:rPr>
          <w:lang w:val="en-GB"/>
        </w:rPr>
        <w:t>Underlying EBIT in 2019 decreased by 22% primarily as a result of 5% lower production due to the ongoing severe drought conditions in Chile, mitigated to some extent by productivity improvements, including record copper in concentrate production at Collahuasi</w:t>
      </w:r>
      <w:r w:rsidR="00803E24" w:rsidRPr="00803E24">
        <w:rPr>
          <w:lang w:val="en-GB"/>
        </w:rPr>
        <w:t>, and a 6% reduction in unit costs</w:t>
      </w:r>
      <w:r w:rsidRPr="00571974">
        <w:rPr>
          <w:lang w:val="en-GB"/>
        </w:rPr>
        <w:t>.</w:t>
      </w:r>
    </w:p>
    <w:p w14:paraId="23D92294" w14:textId="77777777" w:rsidR="00E93D9C" w:rsidRPr="00571974" w:rsidRDefault="003D4D89" w:rsidP="00E93D9C">
      <w:pPr>
        <w:pStyle w:val="BodyText"/>
        <w:widowControl/>
        <w:autoSpaceDE/>
        <w:autoSpaceDN/>
        <w:adjustRightInd/>
        <w:ind w:firstLine="360"/>
        <w:rPr>
          <w:lang w:val="en-GB"/>
        </w:rPr>
      </w:pPr>
      <w:r w:rsidRPr="00571974">
        <w:rPr>
          <w:lang w:val="en-GB"/>
        </w:rPr>
        <w:t>Underlying EBIT in 2018 increased by 34% primarily as a result of 15% higher production owing to strong mine and plant performance and planned higher grades, as well as 9% lower unit costs, as a result of increased production and continued sustainable cost savings that fully offset the impact of inflation.</w:t>
      </w:r>
    </w:p>
    <w:p w14:paraId="5C1047C1" w14:textId="77777777" w:rsidR="00E93D9C" w:rsidRPr="00571974" w:rsidRDefault="003D4D89" w:rsidP="00932961">
      <w:pPr>
        <w:pStyle w:val="BodyText"/>
        <w:widowControl/>
        <w:autoSpaceDE/>
        <w:autoSpaceDN/>
        <w:adjustRightInd/>
        <w:ind w:firstLine="360"/>
        <w:rPr>
          <w:lang w:val="en-GB"/>
        </w:rPr>
      </w:pPr>
      <w:r w:rsidRPr="00571974">
        <w:rPr>
          <w:lang w:val="en-GB"/>
        </w:rPr>
        <w:t>Underlying EBIT in 2017 increased by 254% primarily as a result of a 27% increase in the average LME copper price, as well as a continued focus on cost-reduction initiatives.</w:t>
      </w:r>
    </w:p>
    <w:p w14:paraId="779D9598" w14:textId="4BF461FD" w:rsidR="00E93D9C" w:rsidRPr="00571974" w:rsidRDefault="003D4D89" w:rsidP="00932961">
      <w:pPr>
        <w:pStyle w:val="BodyText"/>
        <w:widowControl/>
        <w:autoSpaceDE/>
        <w:autoSpaceDN/>
        <w:adjustRightInd/>
        <w:ind w:firstLine="360"/>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 in 2019, 2018 and 2017 were US$5,840 million, US$5,168 million and US$4,233 million, respectively. Revenue increased by 13% from 2018 to 2019, principally driven by an increase in third-party sales. Revenue increased by 22% from 2017 to 2018, principally driven by 16% higher sales volumes in line with increased production, as well as 60% higher third-party sales. </w:t>
      </w:r>
    </w:p>
    <w:p w14:paraId="7380EA4B" w14:textId="2695F9DB" w:rsidR="00E93D9C" w:rsidRPr="00571974" w:rsidRDefault="003D4D89" w:rsidP="00E93D9C">
      <w:pPr>
        <w:pStyle w:val="BodyText"/>
        <w:widowControl/>
        <w:autoSpaceDE/>
        <w:autoSpaceDN/>
        <w:adjustRightInd/>
        <w:ind w:firstLine="360"/>
        <w:rPr>
          <w:lang w:val="en-GB"/>
        </w:rPr>
      </w:pPr>
      <w:r w:rsidRPr="00571974">
        <w:rPr>
          <w:lang w:val="en-GB"/>
        </w:rPr>
        <w:t xml:space="preserve">Sales of certain commodities are </w:t>
      </w:r>
      <w:r w:rsidR="00A311D8">
        <w:rPr>
          <w:lang w:val="en-GB"/>
        </w:rPr>
        <w:t>“</w:t>
      </w:r>
      <w:r w:rsidRPr="00571974">
        <w:rPr>
          <w:lang w:val="en-GB"/>
        </w:rPr>
        <w:t>provisionally priced</w:t>
      </w:r>
      <w:r w:rsidR="00A311D8">
        <w:rPr>
          <w:lang w:val="en-GB"/>
        </w:rPr>
        <w:t>”</w:t>
      </w:r>
      <w:r w:rsidRPr="00571974">
        <w:rPr>
          <w:lang w:val="en-GB"/>
        </w:rPr>
        <w:t xml:space="preserve"> such that the price is not settled until a predetermined future date usually based on the average market price over a period defined in the contract. Revenue on these sales is initially recognized at the current market price and then marked to market until final settlement using the forward price for the period equivalent to that outlined in the contract (mark to market adjustments are recorded in revenue). A gain to revenue of US$2 million (2018: loss to revenue of US$197 million; 2017: gain of US$182 million) reflecting an increase in the copper price at the end of the period.</w:t>
      </w:r>
    </w:p>
    <w:p w14:paraId="33A925AD" w14:textId="77777777" w:rsidR="00E93D9C" w:rsidRPr="00571974" w:rsidRDefault="003D4D89" w:rsidP="00932961">
      <w:pPr>
        <w:pStyle w:val="BodyText"/>
        <w:widowControl/>
        <w:autoSpaceDE/>
        <w:autoSpaceDN/>
        <w:adjustRightInd/>
        <w:ind w:firstLine="360"/>
        <w:rPr>
          <w:lang w:val="en-GB"/>
        </w:rPr>
      </w:pPr>
      <w:r w:rsidRPr="00571974">
        <w:rPr>
          <w:lang w:val="en-GB"/>
        </w:rPr>
        <w:t xml:space="preserve">At Los Bronces, production in 2019 decreased by 9% to 335,000 tonnes principally due to production losses owing to lower water availability due to unprecedented climate conditions. Production in 2018 increased by 20% to 369,500 tonnes principally due to strong mine and plant performance, as well as planned higher grades (2018: 0.76% vs 2017: 0.71%). </w:t>
      </w:r>
    </w:p>
    <w:p w14:paraId="7B171D02" w14:textId="72A21C13" w:rsidR="00E93D9C" w:rsidRPr="00571974" w:rsidRDefault="003D4D89" w:rsidP="00932961">
      <w:pPr>
        <w:pStyle w:val="BodyText"/>
        <w:widowControl/>
        <w:autoSpaceDE/>
        <w:autoSpaceDN/>
        <w:adjustRightInd/>
        <w:ind w:firstLine="360"/>
        <w:rPr>
          <w:lang w:val="en-GB"/>
        </w:rPr>
      </w:pPr>
      <w:r w:rsidRPr="00571974">
        <w:rPr>
          <w:lang w:val="en-GB"/>
        </w:rPr>
        <w:t>At Collahuasi, Anglo American</w:t>
      </w:r>
      <w:r w:rsidR="00A311D8">
        <w:rPr>
          <w:lang w:val="en-GB"/>
        </w:rPr>
        <w:t>’</w:t>
      </w:r>
      <w:r w:rsidRPr="00571974">
        <w:rPr>
          <w:lang w:val="en-GB"/>
        </w:rPr>
        <w:t xml:space="preserve">s attributable share of copper production was 248,800 tonnes in 2019, an increase of 1% principally due to planned lower grade (2019: 1.19% vs. 2018: 1.29%) fully compensated by a solid plant performance following the successful completion of planned three-month maintenance of Line 3 (responsible for 60% plant throughput) during the first half of the year. In 2018  copper production was 246,000 tonnes, an increase of 7% principally due to strong plant performance following the completion of planned major maintenance of Line 3 (responsible for 60% of plant throughput), the installation of 24 new flotation cells during the first half of the year and planned higher grades (2018: 1.29% vs. 2017: 1.25%). </w:t>
      </w:r>
    </w:p>
    <w:p w14:paraId="40C0DAA6" w14:textId="77777777" w:rsidR="00E93D9C" w:rsidRPr="00571974" w:rsidRDefault="003D4D89" w:rsidP="001003BB">
      <w:pPr>
        <w:pStyle w:val="BodyText"/>
        <w:widowControl/>
        <w:autoSpaceDE/>
        <w:autoSpaceDN/>
        <w:adjustRightInd/>
        <w:ind w:firstLine="360"/>
        <w:rPr>
          <w:lang w:val="en-GB"/>
        </w:rPr>
      </w:pPr>
      <w:r w:rsidRPr="00571974">
        <w:rPr>
          <w:lang w:val="en-GB"/>
        </w:rPr>
        <w:lastRenderedPageBreak/>
        <w:t xml:space="preserve">Production at El Soldado increased by 3% to 54,200 tonnes in 2019 due to higher planned grades (2019: 0.93% vs 2018: 0.85%). Production increased by 30% to 52,700 tonnes in 2018 (2017: 40,500 tonnes) owing largely to the temporary suspension of mine operations during the first half of 2017, which resulted in 6,000 tonnes of lost output in 2017, and planned higher ore grade (2018:0.85% vs. 2017: 0.69%).  </w:t>
      </w:r>
    </w:p>
    <w:p w14:paraId="4190F523" w14:textId="6230E9FE" w:rsidR="00E93D9C" w:rsidRPr="00571974" w:rsidRDefault="003D4D89" w:rsidP="007B1404">
      <w:pPr>
        <w:pStyle w:val="Heading3"/>
        <w:rPr>
          <w:lang w:val="en-GB"/>
        </w:rPr>
      </w:pPr>
      <w:r w:rsidRPr="00571974">
        <w:rPr>
          <w:lang w:val="en-GB"/>
        </w:rPr>
        <w:t>PGMs</w:t>
      </w:r>
    </w:p>
    <w:p w14:paraId="71190997" w14:textId="77777777" w:rsidR="00E93D9C" w:rsidRPr="00571974" w:rsidRDefault="003D4D89" w:rsidP="00E93D9C">
      <w:pPr>
        <w:pStyle w:val="BodyText"/>
        <w:widowControl/>
        <w:autoSpaceDE/>
        <w:autoSpaceDN/>
        <w:adjustRightInd/>
        <w:ind w:firstLine="360"/>
        <w:rPr>
          <w:lang w:val="en-GB"/>
        </w:rPr>
      </w:pPr>
      <w:r w:rsidRPr="00571974">
        <w:rPr>
          <w:lang w:val="en-GB"/>
        </w:rPr>
        <w:t>The following table summarizes the results of operations of the Platinum business segment and the average basket price of metal sold for the years indicated:</w:t>
      </w:r>
    </w:p>
    <w:tbl>
      <w:tblPr>
        <w:tblW w:w="5000" w:type="pct"/>
        <w:jc w:val="center"/>
        <w:tblLayout w:type="fixed"/>
        <w:tblCellMar>
          <w:left w:w="72" w:type="dxa"/>
          <w:right w:w="72" w:type="dxa"/>
        </w:tblCellMar>
        <w:tblLook w:val="0000" w:firstRow="0" w:lastRow="0" w:firstColumn="0" w:lastColumn="0" w:noHBand="0" w:noVBand="0"/>
      </w:tblPr>
      <w:tblGrid>
        <w:gridCol w:w="6472"/>
        <w:gridCol w:w="960"/>
        <w:gridCol w:w="962"/>
        <w:gridCol w:w="962"/>
      </w:tblGrid>
      <w:tr w:rsidR="002228B8" w14:paraId="212FD00F" w14:textId="77777777" w:rsidTr="00DF4A0D">
        <w:trPr>
          <w:cantSplit/>
          <w:jc w:val="center"/>
        </w:trPr>
        <w:tc>
          <w:tcPr>
            <w:tcW w:w="3459" w:type="pct"/>
            <w:tcBorders>
              <w:top w:val="nil"/>
              <w:left w:val="nil"/>
              <w:bottom w:val="nil"/>
              <w:right w:val="nil"/>
            </w:tcBorders>
            <w:vAlign w:val="bottom"/>
          </w:tcPr>
          <w:p w14:paraId="6891E9CD"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541" w:type="pct"/>
            <w:gridSpan w:val="3"/>
            <w:tcBorders>
              <w:top w:val="nil"/>
              <w:left w:val="nil"/>
              <w:bottom w:val="nil"/>
              <w:right w:val="nil"/>
            </w:tcBorders>
            <w:vAlign w:val="bottom"/>
          </w:tcPr>
          <w:p w14:paraId="40C358BB"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068B33F3" w14:textId="77777777" w:rsidTr="00DF4A0D">
        <w:trPr>
          <w:cantSplit/>
          <w:jc w:val="center"/>
        </w:trPr>
        <w:tc>
          <w:tcPr>
            <w:tcW w:w="3459" w:type="pct"/>
            <w:tcBorders>
              <w:top w:val="nil"/>
              <w:left w:val="nil"/>
              <w:bottom w:val="nil"/>
              <w:right w:val="nil"/>
            </w:tcBorders>
            <w:vAlign w:val="bottom"/>
          </w:tcPr>
          <w:p w14:paraId="424D85EC"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513" w:type="pct"/>
            <w:tcBorders>
              <w:top w:val="nil"/>
              <w:left w:val="nil"/>
              <w:bottom w:val="nil"/>
              <w:right w:val="nil"/>
            </w:tcBorders>
            <w:vAlign w:val="bottom"/>
          </w:tcPr>
          <w:p w14:paraId="33178A99"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514" w:type="pct"/>
            <w:tcBorders>
              <w:top w:val="nil"/>
              <w:left w:val="nil"/>
              <w:bottom w:val="nil"/>
              <w:right w:val="nil"/>
            </w:tcBorders>
            <w:vAlign w:val="bottom"/>
          </w:tcPr>
          <w:p w14:paraId="292CDD96"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514" w:type="pct"/>
            <w:tcBorders>
              <w:top w:val="nil"/>
              <w:left w:val="nil"/>
              <w:bottom w:val="nil"/>
              <w:right w:val="nil"/>
            </w:tcBorders>
            <w:vAlign w:val="bottom"/>
          </w:tcPr>
          <w:p w14:paraId="393D7A57"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5BA612C5" w14:textId="77777777" w:rsidTr="00DF4A0D">
        <w:trPr>
          <w:cantSplit/>
          <w:jc w:val="center"/>
        </w:trPr>
        <w:tc>
          <w:tcPr>
            <w:tcW w:w="3459" w:type="pct"/>
            <w:tcBorders>
              <w:top w:val="nil"/>
              <w:left w:val="nil"/>
              <w:bottom w:val="nil"/>
              <w:right w:val="nil"/>
            </w:tcBorders>
            <w:vAlign w:val="bottom"/>
          </w:tcPr>
          <w:p w14:paraId="2554AAAD"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541" w:type="pct"/>
            <w:gridSpan w:val="3"/>
            <w:tcBorders>
              <w:top w:val="nil"/>
              <w:left w:val="nil"/>
              <w:bottom w:val="nil"/>
              <w:right w:val="nil"/>
            </w:tcBorders>
            <w:vAlign w:val="bottom"/>
          </w:tcPr>
          <w:p w14:paraId="3C24679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7C0F9D29" w14:textId="77777777" w:rsidTr="00DF4A0D">
        <w:trPr>
          <w:cantSplit/>
          <w:jc w:val="center"/>
        </w:trPr>
        <w:tc>
          <w:tcPr>
            <w:tcW w:w="3459" w:type="pct"/>
            <w:tcBorders>
              <w:top w:val="nil"/>
              <w:left w:val="nil"/>
              <w:bottom w:val="nil"/>
              <w:right w:val="nil"/>
            </w:tcBorders>
          </w:tcPr>
          <w:p w14:paraId="0D2AFB64" w14:textId="44C7486B"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513" w:type="pct"/>
            <w:tcBorders>
              <w:top w:val="nil"/>
              <w:left w:val="nil"/>
              <w:bottom w:val="nil"/>
              <w:right w:val="nil"/>
            </w:tcBorders>
            <w:vAlign w:val="bottom"/>
          </w:tcPr>
          <w:p w14:paraId="44FAED6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5,078</w:t>
            </w:r>
          </w:p>
        </w:tc>
        <w:tc>
          <w:tcPr>
            <w:tcW w:w="514" w:type="pct"/>
            <w:tcBorders>
              <w:top w:val="nil"/>
              <w:left w:val="nil"/>
              <w:bottom w:val="nil"/>
              <w:right w:val="nil"/>
            </w:tcBorders>
            <w:vAlign w:val="bottom"/>
          </w:tcPr>
          <w:p w14:paraId="6972DD4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5,</w:t>
            </w:r>
            <w:r w:rsidRPr="00571974">
              <w:rPr>
                <w:sz w:val="18"/>
                <w:szCs w:val="18"/>
                <w:lang w:val="en-GB" w:eastAsia="en-GB" w:bidi="ar-SA"/>
              </w:rPr>
              <w:t>680</w:t>
            </w:r>
          </w:p>
        </w:tc>
        <w:tc>
          <w:tcPr>
            <w:tcW w:w="514" w:type="pct"/>
            <w:tcBorders>
              <w:top w:val="nil"/>
              <w:left w:val="nil"/>
              <w:bottom w:val="nil"/>
              <w:right w:val="nil"/>
            </w:tcBorders>
            <w:vAlign w:val="bottom"/>
          </w:tcPr>
          <w:p w14:paraId="76A03B4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6,866</w:t>
            </w:r>
          </w:p>
        </w:tc>
      </w:tr>
      <w:tr w:rsidR="002228B8" w14:paraId="6A635004" w14:textId="77777777" w:rsidTr="00DF4A0D">
        <w:trPr>
          <w:cantSplit/>
          <w:jc w:val="center"/>
        </w:trPr>
        <w:tc>
          <w:tcPr>
            <w:tcW w:w="3459" w:type="pct"/>
            <w:tcBorders>
              <w:top w:val="nil"/>
              <w:left w:val="nil"/>
              <w:bottom w:val="nil"/>
              <w:right w:val="nil"/>
            </w:tcBorders>
          </w:tcPr>
          <w:p w14:paraId="7E0D23E7"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513" w:type="pct"/>
            <w:tcBorders>
              <w:top w:val="nil"/>
              <w:left w:val="nil"/>
              <w:bottom w:val="nil"/>
              <w:right w:val="nil"/>
            </w:tcBorders>
            <w:vAlign w:val="bottom"/>
          </w:tcPr>
          <w:p w14:paraId="5927586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512</w:t>
            </w:r>
          </w:p>
        </w:tc>
        <w:tc>
          <w:tcPr>
            <w:tcW w:w="514" w:type="pct"/>
            <w:tcBorders>
              <w:top w:val="nil"/>
              <w:left w:val="nil"/>
              <w:bottom w:val="nil"/>
              <w:right w:val="nil"/>
            </w:tcBorders>
            <w:vAlign w:val="bottom"/>
          </w:tcPr>
          <w:p w14:paraId="5577D25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705</w:t>
            </w:r>
          </w:p>
        </w:tc>
        <w:tc>
          <w:tcPr>
            <w:tcW w:w="514" w:type="pct"/>
            <w:tcBorders>
              <w:top w:val="nil"/>
              <w:left w:val="nil"/>
              <w:bottom w:val="nil"/>
              <w:right w:val="nil"/>
            </w:tcBorders>
            <w:vAlign w:val="bottom"/>
          </w:tcPr>
          <w:p w14:paraId="70CC584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1,672</w:t>
            </w:r>
          </w:p>
        </w:tc>
      </w:tr>
      <w:tr w:rsidR="002228B8" w14:paraId="0A0B5831" w14:textId="77777777" w:rsidTr="00DF4A0D">
        <w:trPr>
          <w:cantSplit/>
          <w:jc w:val="center"/>
        </w:trPr>
        <w:tc>
          <w:tcPr>
            <w:tcW w:w="3459" w:type="pct"/>
            <w:tcBorders>
              <w:top w:val="nil"/>
              <w:left w:val="nil"/>
              <w:bottom w:val="nil"/>
              <w:right w:val="nil"/>
            </w:tcBorders>
          </w:tcPr>
          <w:p w14:paraId="7F019A84"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513" w:type="pct"/>
            <w:tcBorders>
              <w:top w:val="nil"/>
              <w:left w:val="nil"/>
              <w:bottom w:val="nil"/>
              <w:right w:val="nil"/>
            </w:tcBorders>
            <w:vAlign w:val="bottom"/>
          </w:tcPr>
          <w:p w14:paraId="7B91BDD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866</w:t>
            </w:r>
          </w:p>
        </w:tc>
        <w:tc>
          <w:tcPr>
            <w:tcW w:w="514" w:type="pct"/>
            <w:tcBorders>
              <w:top w:val="nil"/>
              <w:left w:val="nil"/>
              <w:bottom w:val="nil"/>
              <w:right w:val="nil"/>
            </w:tcBorders>
            <w:vAlign w:val="bottom"/>
          </w:tcPr>
          <w:p w14:paraId="212C3BD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1,062</w:t>
            </w:r>
          </w:p>
        </w:tc>
        <w:tc>
          <w:tcPr>
            <w:tcW w:w="514" w:type="pct"/>
            <w:tcBorders>
              <w:top w:val="nil"/>
              <w:left w:val="nil"/>
              <w:bottom w:val="nil"/>
              <w:right w:val="nil"/>
            </w:tcBorders>
            <w:vAlign w:val="bottom"/>
          </w:tcPr>
          <w:p w14:paraId="3901830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2,000</w:t>
            </w:r>
          </w:p>
        </w:tc>
      </w:tr>
      <w:tr w:rsidR="002228B8" w14:paraId="4E8753D4" w14:textId="77777777" w:rsidTr="00DF4A0D">
        <w:trPr>
          <w:cantSplit/>
          <w:jc w:val="center"/>
        </w:trPr>
        <w:tc>
          <w:tcPr>
            <w:tcW w:w="3459" w:type="pct"/>
            <w:tcBorders>
              <w:top w:val="nil"/>
              <w:left w:val="nil"/>
              <w:bottom w:val="nil"/>
              <w:right w:val="nil"/>
            </w:tcBorders>
            <w:shd w:val="clear" w:color="auto" w:fill="auto"/>
          </w:tcPr>
          <w:p w14:paraId="70430453"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513" w:type="pct"/>
            <w:tcBorders>
              <w:top w:val="nil"/>
              <w:left w:val="nil"/>
              <w:bottom w:val="nil"/>
              <w:right w:val="nil"/>
            </w:tcBorders>
            <w:shd w:val="clear" w:color="auto" w:fill="auto"/>
            <w:vAlign w:val="bottom"/>
          </w:tcPr>
          <w:p w14:paraId="5609CAA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4,510</w:t>
            </w:r>
          </w:p>
        </w:tc>
        <w:tc>
          <w:tcPr>
            <w:tcW w:w="514" w:type="pct"/>
            <w:tcBorders>
              <w:top w:val="nil"/>
              <w:left w:val="nil"/>
              <w:bottom w:val="nil"/>
              <w:right w:val="nil"/>
            </w:tcBorders>
            <w:shd w:val="clear" w:color="auto" w:fill="auto"/>
            <w:vAlign w:val="bottom"/>
          </w:tcPr>
          <w:p w14:paraId="50B0551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4,</w:t>
            </w:r>
            <w:r w:rsidRPr="00571974">
              <w:rPr>
                <w:sz w:val="18"/>
                <w:szCs w:val="18"/>
                <w:lang w:val="en-GB" w:eastAsia="en-GB" w:bidi="ar-SA"/>
              </w:rPr>
              <w:t>058</w:t>
            </w:r>
          </w:p>
        </w:tc>
        <w:tc>
          <w:tcPr>
            <w:tcW w:w="514" w:type="pct"/>
            <w:tcBorders>
              <w:top w:val="nil"/>
              <w:left w:val="nil"/>
              <w:bottom w:val="nil"/>
              <w:right w:val="nil"/>
            </w:tcBorders>
            <w:shd w:val="clear" w:color="auto" w:fill="auto"/>
            <w:vAlign w:val="bottom"/>
          </w:tcPr>
          <w:p w14:paraId="17BD26D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4,045</w:t>
            </w:r>
          </w:p>
        </w:tc>
      </w:tr>
      <w:tr w:rsidR="002228B8" w14:paraId="271B4500" w14:textId="77777777" w:rsidTr="00DF4A0D">
        <w:trPr>
          <w:cantSplit/>
          <w:jc w:val="center"/>
        </w:trPr>
        <w:tc>
          <w:tcPr>
            <w:tcW w:w="3459" w:type="pct"/>
            <w:tcBorders>
              <w:top w:val="nil"/>
              <w:left w:val="nil"/>
              <w:bottom w:val="nil"/>
              <w:right w:val="nil"/>
            </w:tcBorders>
            <w:shd w:val="clear" w:color="auto" w:fill="auto"/>
          </w:tcPr>
          <w:p w14:paraId="38A7CA6D"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r w:rsidRPr="00571974">
              <w:rPr>
                <w:sz w:val="18"/>
                <w:szCs w:val="18"/>
                <w:lang w:val="en-GB" w:eastAsia="en-GB" w:bidi="ar-SA"/>
              </w:rPr>
              <w:tab/>
            </w:r>
          </w:p>
        </w:tc>
        <w:tc>
          <w:tcPr>
            <w:tcW w:w="513" w:type="pct"/>
            <w:tcBorders>
              <w:top w:val="nil"/>
              <w:left w:val="nil"/>
              <w:bottom w:val="nil"/>
              <w:right w:val="nil"/>
            </w:tcBorders>
            <w:shd w:val="clear" w:color="auto" w:fill="auto"/>
            <w:vAlign w:val="bottom"/>
          </w:tcPr>
          <w:p w14:paraId="180D8C5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355</w:t>
            </w:r>
          </w:p>
        </w:tc>
        <w:tc>
          <w:tcPr>
            <w:tcW w:w="514" w:type="pct"/>
            <w:tcBorders>
              <w:top w:val="nil"/>
              <w:left w:val="nil"/>
              <w:bottom w:val="nil"/>
              <w:right w:val="nil"/>
            </w:tcBorders>
            <w:shd w:val="clear" w:color="auto" w:fill="auto"/>
            <w:vAlign w:val="bottom"/>
          </w:tcPr>
          <w:p w14:paraId="5ACDD02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496</w:t>
            </w:r>
          </w:p>
        </w:tc>
        <w:tc>
          <w:tcPr>
            <w:tcW w:w="514" w:type="pct"/>
            <w:tcBorders>
              <w:top w:val="nil"/>
              <w:left w:val="nil"/>
              <w:bottom w:val="nil"/>
              <w:right w:val="nil"/>
            </w:tcBorders>
            <w:shd w:val="clear" w:color="auto" w:fill="auto"/>
            <w:vAlign w:val="bottom"/>
          </w:tcPr>
          <w:p w14:paraId="24B74D4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569</w:t>
            </w:r>
          </w:p>
        </w:tc>
      </w:tr>
      <w:tr w:rsidR="002228B8" w14:paraId="288CB19C" w14:textId="77777777" w:rsidTr="00DF4A0D">
        <w:trPr>
          <w:cantSplit/>
          <w:jc w:val="center"/>
        </w:trPr>
        <w:tc>
          <w:tcPr>
            <w:tcW w:w="3459" w:type="pct"/>
            <w:tcBorders>
              <w:top w:val="nil"/>
              <w:left w:val="nil"/>
              <w:bottom w:val="nil"/>
              <w:right w:val="nil"/>
            </w:tcBorders>
          </w:tcPr>
          <w:p w14:paraId="5C32E60B"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EBIT</w:t>
            </w:r>
            <w:r w:rsidRPr="00571974">
              <w:rPr>
                <w:sz w:val="18"/>
                <w:szCs w:val="18"/>
                <w:lang w:val="en-GB" w:eastAsia="en-GB" w:bidi="ar-SA"/>
              </w:rPr>
              <w:tab/>
            </w:r>
          </w:p>
        </w:tc>
        <w:tc>
          <w:tcPr>
            <w:tcW w:w="513" w:type="pct"/>
            <w:tcBorders>
              <w:top w:val="nil"/>
              <w:left w:val="nil"/>
              <w:bottom w:val="nil"/>
              <w:right w:val="nil"/>
            </w:tcBorders>
            <w:vAlign w:val="bottom"/>
          </w:tcPr>
          <w:p w14:paraId="27B0140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w:t>
            </w:r>
          </w:p>
        </w:tc>
        <w:tc>
          <w:tcPr>
            <w:tcW w:w="514" w:type="pct"/>
            <w:tcBorders>
              <w:top w:val="nil"/>
              <w:left w:val="nil"/>
              <w:bottom w:val="nil"/>
              <w:right w:val="nil"/>
            </w:tcBorders>
            <w:vAlign w:val="bottom"/>
          </w:tcPr>
          <w:p w14:paraId="28FE31A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w:t>
            </w:r>
            <w:r w:rsidRPr="00571974">
              <w:rPr>
                <w:sz w:val="18"/>
                <w:lang w:val="en-GB" w:eastAsia="en-GB" w:bidi="ar-SA"/>
              </w:rPr>
              <w:t>%</w:t>
            </w:r>
          </w:p>
        </w:tc>
        <w:tc>
          <w:tcPr>
            <w:tcW w:w="514" w:type="pct"/>
            <w:tcBorders>
              <w:top w:val="nil"/>
              <w:left w:val="nil"/>
              <w:bottom w:val="nil"/>
              <w:right w:val="nil"/>
            </w:tcBorders>
            <w:vAlign w:val="bottom"/>
          </w:tcPr>
          <w:p w14:paraId="3AC4BCD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w:t>
            </w:r>
          </w:p>
        </w:tc>
      </w:tr>
      <w:tr w:rsidR="002228B8" w14:paraId="0EF4893C" w14:textId="77777777" w:rsidTr="00DF4A0D">
        <w:trPr>
          <w:cantSplit/>
          <w:jc w:val="center"/>
        </w:trPr>
        <w:tc>
          <w:tcPr>
            <w:tcW w:w="3459" w:type="pct"/>
            <w:tcBorders>
              <w:top w:val="nil"/>
              <w:left w:val="nil"/>
              <w:bottom w:val="nil"/>
              <w:right w:val="nil"/>
            </w:tcBorders>
          </w:tcPr>
          <w:p w14:paraId="38868809"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513" w:type="pct"/>
            <w:tcBorders>
              <w:top w:val="nil"/>
              <w:left w:val="nil"/>
              <w:bottom w:val="nil"/>
              <w:right w:val="nil"/>
            </w:tcBorders>
            <w:vAlign w:val="bottom"/>
          </w:tcPr>
          <w:p w14:paraId="1C1D9D5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c>
          <w:tcPr>
            <w:tcW w:w="514" w:type="pct"/>
            <w:tcBorders>
              <w:top w:val="nil"/>
              <w:left w:val="nil"/>
              <w:bottom w:val="nil"/>
              <w:right w:val="nil"/>
            </w:tcBorders>
            <w:vAlign w:val="bottom"/>
          </w:tcPr>
          <w:p w14:paraId="372A8EF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w:t>
            </w:r>
            <w:r w:rsidRPr="00571974">
              <w:rPr>
                <w:sz w:val="18"/>
                <w:lang w:val="en-GB" w:eastAsia="en-GB" w:bidi="ar-SA"/>
              </w:rPr>
              <w:t>%</w:t>
            </w:r>
          </w:p>
        </w:tc>
        <w:tc>
          <w:tcPr>
            <w:tcW w:w="514" w:type="pct"/>
            <w:tcBorders>
              <w:top w:val="nil"/>
              <w:left w:val="nil"/>
              <w:bottom w:val="nil"/>
              <w:right w:val="nil"/>
            </w:tcBorders>
            <w:vAlign w:val="bottom"/>
          </w:tcPr>
          <w:p w14:paraId="76BB6A9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w:t>
            </w:r>
          </w:p>
        </w:tc>
      </w:tr>
      <w:tr w:rsidR="002228B8" w14:paraId="50698DB5" w14:textId="77777777" w:rsidTr="00DF4A0D">
        <w:trPr>
          <w:cantSplit/>
          <w:jc w:val="center"/>
        </w:trPr>
        <w:tc>
          <w:tcPr>
            <w:tcW w:w="3459" w:type="pct"/>
            <w:tcBorders>
              <w:top w:val="nil"/>
              <w:left w:val="nil"/>
              <w:bottom w:val="nil"/>
              <w:right w:val="nil"/>
            </w:tcBorders>
          </w:tcPr>
          <w:p w14:paraId="564171C7"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Platinum refined production (thousands of ounces)</w:t>
            </w:r>
            <w:r w:rsidRPr="00571974">
              <w:rPr>
                <w:sz w:val="18"/>
                <w:szCs w:val="18"/>
                <w:lang w:val="en-GB" w:eastAsia="en-GB" w:bidi="ar-SA"/>
              </w:rPr>
              <w:tab/>
            </w:r>
          </w:p>
        </w:tc>
        <w:tc>
          <w:tcPr>
            <w:tcW w:w="513" w:type="pct"/>
            <w:tcBorders>
              <w:top w:val="nil"/>
              <w:left w:val="nil"/>
              <w:bottom w:val="nil"/>
              <w:right w:val="nil"/>
            </w:tcBorders>
          </w:tcPr>
          <w:p w14:paraId="27B6B4D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2,512</w:t>
            </w:r>
          </w:p>
        </w:tc>
        <w:tc>
          <w:tcPr>
            <w:tcW w:w="514" w:type="pct"/>
            <w:tcBorders>
              <w:top w:val="nil"/>
              <w:left w:val="nil"/>
              <w:bottom w:val="nil"/>
              <w:right w:val="nil"/>
            </w:tcBorders>
          </w:tcPr>
          <w:p w14:paraId="2745466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2,</w:t>
            </w:r>
            <w:r w:rsidRPr="00571974">
              <w:rPr>
                <w:sz w:val="18"/>
                <w:szCs w:val="18"/>
                <w:lang w:val="en-GB" w:eastAsia="en-GB" w:bidi="ar-SA"/>
              </w:rPr>
              <w:t>402</w:t>
            </w:r>
          </w:p>
        </w:tc>
        <w:tc>
          <w:tcPr>
            <w:tcW w:w="514" w:type="pct"/>
            <w:tcBorders>
              <w:top w:val="nil"/>
              <w:left w:val="nil"/>
              <w:bottom w:val="nil"/>
              <w:right w:val="nil"/>
            </w:tcBorders>
          </w:tcPr>
          <w:p w14:paraId="27AA6EC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2,211</w:t>
            </w:r>
          </w:p>
        </w:tc>
      </w:tr>
      <w:tr w:rsidR="002228B8" w14:paraId="1093223A" w14:textId="77777777" w:rsidTr="00DF4A0D">
        <w:trPr>
          <w:cantSplit/>
          <w:jc w:val="center"/>
        </w:trPr>
        <w:tc>
          <w:tcPr>
            <w:tcW w:w="3459" w:type="pct"/>
            <w:tcBorders>
              <w:top w:val="nil"/>
              <w:left w:val="nil"/>
              <w:bottom w:val="nil"/>
              <w:right w:val="nil"/>
            </w:tcBorders>
          </w:tcPr>
          <w:p w14:paraId="7C6E2D6B"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Palladium refined production (thousands of ounces)</w:t>
            </w:r>
            <w:r w:rsidRPr="00571974">
              <w:rPr>
                <w:sz w:val="18"/>
                <w:szCs w:val="18"/>
                <w:lang w:val="en-GB" w:eastAsia="en-GB" w:bidi="ar-SA"/>
              </w:rPr>
              <w:tab/>
            </w:r>
          </w:p>
        </w:tc>
        <w:tc>
          <w:tcPr>
            <w:tcW w:w="513" w:type="pct"/>
            <w:tcBorders>
              <w:top w:val="nil"/>
              <w:left w:val="nil"/>
              <w:bottom w:val="nil"/>
              <w:right w:val="nil"/>
            </w:tcBorders>
          </w:tcPr>
          <w:p w14:paraId="29D16BD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1,669</w:t>
            </w:r>
          </w:p>
        </w:tc>
        <w:tc>
          <w:tcPr>
            <w:tcW w:w="514" w:type="pct"/>
            <w:tcBorders>
              <w:top w:val="nil"/>
              <w:left w:val="nil"/>
              <w:bottom w:val="nil"/>
              <w:right w:val="nil"/>
            </w:tcBorders>
          </w:tcPr>
          <w:p w14:paraId="6221F3D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lang w:val="en-GB" w:eastAsia="en-GB" w:bidi="ar-SA"/>
              </w:rPr>
              <w:t>1,</w:t>
            </w:r>
            <w:r w:rsidRPr="00571974">
              <w:rPr>
                <w:sz w:val="18"/>
                <w:szCs w:val="18"/>
                <w:lang w:val="en-GB" w:eastAsia="en-GB" w:bidi="ar-SA"/>
              </w:rPr>
              <w:t>502</w:t>
            </w:r>
          </w:p>
        </w:tc>
        <w:tc>
          <w:tcPr>
            <w:tcW w:w="514" w:type="pct"/>
            <w:tcBorders>
              <w:top w:val="nil"/>
              <w:left w:val="nil"/>
              <w:bottom w:val="nil"/>
              <w:right w:val="nil"/>
            </w:tcBorders>
          </w:tcPr>
          <w:p w14:paraId="4B943A7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1,481</w:t>
            </w:r>
          </w:p>
        </w:tc>
      </w:tr>
      <w:tr w:rsidR="002228B8" w14:paraId="639742E7" w14:textId="77777777" w:rsidTr="00DF4A0D">
        <w:trPr>
          <w:cantSplit/>
          <w:jc w:val="center"/>
        </w:trPr>
        <w:tc>
          <w:tcPr>
            <w:tcW w:w="3459" w:type="pct"/>
            <w:tcBorders>
              <w:top w:val="nil"/>
              <w:left w:val="nil"/>
              <w:bottom w:val="nil"/>
              <w:right w:val="nil"/>
            </w:tcBorders>
          </w:tcPr>
          <w:p w14:paraId="7794B361"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Rhodium refined production (thousands of ounces)</w:t>
            </w:r>
            <w:r w:rsidRPr="00571974">
              <w:rPr>
                <w:sz w:val="18"/>
                <w:szCs w:val="18"/>
                <w:lang w:val="en-GB" w:eastAsia="en-GB" w:bidi="ar-SA"/>
              </w:rPr>
              <w:tab/>
            </w:r>
          </w:p>
        </w:tc>
        <w:tc>
          <w:tcPr>
            <w:tcW w:w="513" w:type="pct"/>
            <w:tcBorders>
              <w:top w:val="nil"/>
              <w:left w:val="nil"/>
              <w:bottom w:val="nil"/>
              <w:right w:val="nil"/>
            </w:tcBorders>
          </w:tcPr>
          <w:p w14:paraId="1EB285C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323</w:t>
            </w:r>
          </w:p>
        </w:tc>
        <w:tc>
          <w:tcPr>
            <w:tcW w:w="514" w:type="pct"/>
            <w:tcBorders>
              <w:top w:val="nil"/>
              <w:left w:val="nil"/>
              <w:bottom w:val="nil"/>
              <w:right w:val="nil"/>
            </w:tcBorders>
          </w:tcPr>
          <w:p w14:paraId="41C3E32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293</w:t>
            </w:r>
          </w:p>
        </w:tc>
        <w:tc>
          <w:tcPr>
            <w:tcW w:w="514" w:type="pct"/>
            <w:tcBorders>
              <w:top w:val="nil"/>
              <w:left w:val="nil"/>
              <w:bottom w:val="nil"/>
              <w:right w:val="nil"/>
            </w:tcBorders>
          </w:tcPr>
          <w:p w14:paraId="12EE85F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293</w:t>
            </w:r>
          </w:p>
        </w:tc>
      </w:tr>
      <w:tr w:rsidR="002228B8" w14:paraId="14082920" w14:textId="77777777" w:rsidTr="00DF4A0D">
        <w:trPr>
          <w:cantSplit/>
          <w:trHeight w:val="70"/>
          <w:jc w:val="center"/>
        </w:trPr>
        <w:tc>
          <w:tcPr>
            <w:tcW w:w="3459" w:type="pct"/>
            <w:tcBorders>
              <w:top w:val="nil"/>
              <w:left w:val="nil"/>
              <w:bottom w:val="nil"/>
              <w:right w:val="nil"/>
            </w:tcBorders>
          </w:tcPr>
          <w:p w14:paraId="3CEE8BC2"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Average basket price (US$/ounce)</w:t>
            </w:r>
            <w:r w:rsidRPr="00571974">
              <w:rPr>
                <w:sz w:val="18"/>
                <w:szCs w:val="18"/>
                <w:lang w:val="en-GB" w:eastAsia="en-GB" w:bidi="ar-SA"/>
              </w:rPr>
              <w:tab/>
            </w:r>
          </w:p>
        </w:tc>
        <w:tc>
          <w:tcPr>
            <w:tcW w:w="513" w:type="pct"/>
            <w:tcBorders>
              <w:top w:val="nil"/>
              <w:left w:val="nil"/>
              <w:bottom w:val="nil"/>
              <w:right w:val="nil"/>
            </w:tcBorders>
            <w:vAlign w:val="bottom"/>
          </w:tcPr>
          <w:p w14:paraId="2674644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1,966</w:t>
            </w:r>
          </w:p>
        </w:tc>
        <w:tc>
          <w:tcPr>
            <w:tcW w:w="514" w:type="pct"/>
            <w:tcBorders>
              <w:top w:val="nil"/>
              <w:left w:val="nil"/>
              <w:bottom w:val="nil"/>
              <w:right w:val="nil"/>
            </w:tcBorders>
            <w:vAlign w:val="bottom"/>
          </w:tcPr>
          <w:p w14:paraId="5A37A04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2,219</w:t>
            </w:r>
          </w:p>
        </w:tc>
        <w:tc>
          <w:tcPr>
            <w:tcW w:w="514" w:type="pct"/>
            <w:tcBorders>
              <w:top w:val="nil"/>
              <w:left w:val="nil"/>
              <w:bottom w:val="nil"/>
              <w:right w:val="nil"/>
            </w:tcBorders>
            <w:vAlign w:val="bottom"/>
          </w:tcPr>
          <w:p w14:paraId="230BBAC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2,819</w:t>
            </w:r>
          </w:p>
        </w:tc>
      </w:tr>
    </w:tbl>
    <w:p w14:paraId="181E6E25" w14:textId="77777777" w:rsidR="00E93D9C" w:rsidRPr="00571974" w:rsidRDefault="00836D74" w:rsidP="00E93D9C">
      <w:pPr>
        <w:rPr>
          <w:lang w:val="en-GB"/>
        </w:rPr>
      </w:pPr>
      <w:r>
        <w:rPr>
          <w:lang w:val="en-GB"/>
        </w:rPr>
        <w:pict w14:anchorId="0D626528">
          <v:rect id="_x0000_i1049" style="width:184.5pt;height:1pt" o:hrpct="250" o:hrstd="t" o:hrnoshade="t" o:hr="t" fillcolor="black" stroked="f"/>
        </w:pict>
      </w:r>
    </w:p>
    <w:p w14:paraId="627439C9" w14:textId="77777777" w:rsidR="00E93D9C" w:rsidRPr="00571974" w:rsidRDefault="003D4D89" w:rsidP="003D4D89">
      <w:pPr>
        <w:pStyle w:val="ListParagraph"/>
        <w:numPr>
          <w:ilvl w:val="0"/>
          <w:numId w:val="33"/>
        </w:numPr>
        <w:rPr>
          <w:sz w:val="16"/>
          <w:szCs w:val="18"/>
          <w:lang w:val="en-GB"/>
        </w:rPr>
      </w:pPr>
      <w:r w:rsidRPr="00571974">
        <w:rPr>
          <w:sz w:val="16"/>
          <w:szCs w:val="18"/>
          <w:lang w:val="en-GB"/>
        </w:rPr>
        <w:t xml:space="preserve">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 </w:t>
      </w:r>
    </w:p>
    <w:p w14:paraId="1FD9C4A4" w14:textId="77777777" w:rsidR="00E93D9C" w:rsidRPr="00571974" w:rsidRDefault="00E93D9C" w:rsidP="00E93D9C">
      <w:pPr>
        <w:pStyle w:val="ListParagraph"/>
        <w:ind w:left="360"/>
        <w:rPr>
          <w:sz w:val="16"/>
          <w:szCs w:val="18"/>
          <w:lang w:val="en-GB"/>
        </w:rPr>
      </w:pPr>
    </w:p>
    <w:p w14:paraId="00597B48" w14:textId="1844891C" w:rsidR="00E93D9C" w:rsidRPr="00571974" w:rsidRDefault="003D4D89" w:rsidP="00E93D9C">
      <w:pPr>
        <w:pStyle w:val="BodyText"/>
        <w:widowControl/>
        <w:autoSpaceDE/>
        <w:autoSpaceDN/>
        <w:adjustRightInd/>
        <w:ind w:firstLine="284"/>
        <w:rPr>
          <w:lang w:val="en-GB"/>
        </w:rPr>
      </w:pPr>
      <w:r w:rsidRPr="00571974">
        <w:rPr>
          <w:lang w:val="en-GB"/>
        </w:rPr>
        <w:t>PGMs</w:t>
      </w:r>
      <w:r w:rsidR="00A311D8">
        <w:rPr>
          <w:lang w:val="en-GB"/>
        </w:rPr>
        <w:t>’</w:t>
      </w:r>
      <w:r w:rsidRPr="00571974">
        <w:rPr>
          <w:lang w:val="en-GB"/>
        </w:rPr>
        <w:t xml:space="preserve"> business segment underlying EBIT in 2019, 2018 and 2017 was US$1,672 million, US$705 million and US$512 million, respectively. The 137% increase from 2018 to 2019 was largely a result of a 27% increase in the dollar basket price, driven primarily by palladium and rhodium. </w:t>
      </w:r>
    </w:p>
    <w:p w14:paraId="03DB3960" w14:textId="77777777" w:rsidR="00E93D9C" w:rsidRPr="00571974" w:rsidRDefault="003D4D89" w:rsidP="00E93D9C">
      <w:pPr>
        <w:pStyle w:val="BodyText"/>
        <w:widowControl/>
        <w:autoSpaceDE/>
        <w:autoSpaceDN/>
        <w:adjustRightInd/>
        <w:ind w:firstLine="284"/>
        <w:rPr>
          <w:lang w:val="en-GB"/>
        </w:rPr>
      </w:pPr>
      <w:r w:rsidRPr="00571974">
        <w:rPr>
          <w:szCs w:val="20"/>
          <w:lang w:val="en-GB"/>
        </w:rPr>
        <w:t xml:space="preserve">The 38% increase from 2017 to </w:t>
      </w:r>
      <w:r w:rsidRPr="00571974">
        <w:rPr>
          <w:lang w:val="en-GB"/>
        </w:rPr>
        <w:t xml:space="preserve">2018 </w:t>
      </w:r>
      <w:r w:rsidRPr="00571974">
        <w:rPr>
          <w:szCs w:val="20"/>
          <w:lang w:val="en-GB"/>
        </w:rPr>
        <w:t>was largely a result of a 13% increase in the average basket price. Strong prices for palladium, rhodium and the minor platinum group metals outweighed an 8% decline in the platinum price during 2018.</w:t>
      </w:r>
      <w:r w:rsidRPr="00571974">
        <w:rPr>
          <w:lang w:val="en-GB"/>
        </w:rPr>
        <w:t xml:space="preserve"> </w:t>
      </w:r>
    </w:p>
    <w:p w14:paraId="0C34BE8B" w14:textId="00C93E6F" w:rsidR="00E93D9C" w:rsidRPr="00571974" w:rsidRDefault="003D4D89" w:rsidP="00E93D9C">
      <w:pPr>
        <w:pStyle w:val="BodyText"/>
        <w:widowControl/>
        <w:autoSpaceDE/>
        <w:autoSpaceDN/>
        <w:adjustRightInd/>
        <w:ind w:firstLine="284"/>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 in 2019, 2018 and 2017 were US$6,866 million, US$5,680 million and US$5,078 million, respectively. The 21% increase from 2018 to 2019 was principally due to strong PGM prices as stated above. </w:t>
      </w:r>
      <w:r w:rsidRPr="00571974">
        <w:rPr>
          <w:szCs w:val="20"/>
          <w:lang w:val="en-GB"/>
        </w:rPr>
        <w:t>The 12% increase from 2017 to 2018 was principally due to a 13% improvement in the average basket price, despite a 3% decrease in volumes.</w:t>
      </w:r>
      <w:r w:rsidRPr="00571974">
        <w:rPr>
          <w:lang w:val="en-GB"/>
        </w:rPr>
        <w:t xml:space="preserve"> </w:t>
      </w:r>
    </w:p>
    <w:p w14:paraId="5E7E91DA" w14:textId="3F423B4A" w:rsidR="00E93D9C" w:rsidRPr="00571974" w:rsidRDefault="003D4D89" w:rsidP="00E93D9C">
      <w:pPr>
        <w:pStyle w:val="BodyText"/>
        <w:widowControl/>
        <w:autoSpaceDE/>
        <w:autoSpaceDN/>
        <w:adjustRightInd/>
        <w:ind w:firstLine="284"/>
        <w:rPr>
          <w:lang w:val="en-GB"/>
        </w:rPr>
      </w:pPr>
      <w:r w:rsidRPr="00571974">
        <w:rPr>
          <w:lang w:val="en-GB"/>
        </w:rPr>
        <w:t>The average dollar price realized for the basket of metals sold by PGMs in 2019, 2018 and 2017 was US$2,819, US$2,219 and US$1,966, per platinum ounce, respectively.</w:t>
      </w:r>
      <w:r w:rsidRPr="00571974">
        <w:rPr>
          <w:szCs w:val="20"/>
          <w:lang w:val="en-GB"/>
        </w:rPr>
        <w:t xml:space="preserve"> The increase of 27% from 2018 was due to a 50% increase in the average palladium price and a 77% increase in the average rhodium price, </w:t>
      </w:r>
      <w:r w:rsidR="009C566C">
        <w:rPr>
          <w:szCs w:val="20"/>
          <w:lang w:val="en-GB"/>
        </w:rPr>
        <w:t xml:space="preserve">principally </w:t>
      </w:r>
      <w:r w:rsidRPr="00571974">
        <w:rPr>
          <w:szCs w:val="20"/>
          <w:lang w:val="en-GB"/>
        </w:rPr>
        <w:t>driven by strong automotive resulting from t</w:t>
      </w:r>
      <w:r w:rsidR="009C566C">
        <w:rPr>
          <w:szCs w:val="20"/>
          <w:lang w:val="en-GB"/>
        </w:rPr>
        <w:t>ighter emissions regulations in</w:t>
      </w:r>
      <w:r w:rsidRPr="00571974">
        <w:rPr>
          <w:szCs w:val="20"/>
          <w:lang w:val="en-GB"/>
        </w:rPr>
        <w:t xml:space="preserve"> key markets. The 13% increase from</w:t>
      </w:r>
      <w:r w:rsidRPr="00571974">
        <w:rPr>
          <w:lang w:val="en-GB"/>
        </w:rPr>
        <w:t xml:space="preserve"> 2017</w:t>
      </w:r>
      <w:r w:rsidRPr="00571974">
        <w:rPr>
          <w:szCs w:val="20"/>
          <w:lang w:val="en-GB"/>
        </w:rPr>
        <w:t xml:space="preserve"> was during a year where the platinum price was driven lower, primarily by a decline in the diesel engine</w:t>
      </w:r>
      <w:r w:rsidR="00A311D8">
        <w:rPr>
          <w:szCs w:val="20"/>
          <w:lang w:val="en-GB"/>
        </w:rPr>
        <w:t>’</w:t>
      </w:r>
      <w:r w:rsidRPr="00571974">
        <w:rPr>
          <w:szCs w:val="20"/>
          <w:lang w:val="en-GB"/>
        </w:rPr>
        <w:t>s share of the European car sector. Despite disappointing global car sales, tighter global emissions regulation supported the prices of palladium and rhodium, with their average price for the year increasing by 17% and 101% respectively.</w:t>
      </w:r>
      <w:r w:rsidRPr="00571974">
        <w:rPr>
          <w:lang w:val="en-GB"/>
        </w:rPr>
        <w:t xml:space="preserve">  </w:t>
      </w:r>
    </w:p>
    <w:p w14:paraId="38AE4A6D" w14:textId="74BB5F93" w:rsidR="00E93D9C" w:rsidRPr="00571974" w:rsidRDefault="003D4D89" w:rsidP="00E93D9C">
      <w:pPr>
        <w:pStyle w:val="BodyText"/>
        <w:widowControl/>
        <w:autoSpaceDE/>
        <w:autoSpaceDN/>
        <w:adjustRightInd/>
        <w:ind w:firstLine="284"/>
        <w:rPr>
          <w:lang w:val="en-GB"/>
        </w:rPr>
      </w:pPr>
      <w:r w:rsidRPr="00571974">
        <w:rPr>
          <w:lang w:val="en-GB"/>
        </w:rPr>
        <w:t>The average market price for platinum in 2019, 2018 and 2017 was US$864, US$880 and US$950 per ounce, respectively. The average market price for palladium in 2019, 2018 and 2017 was US$1,539, US$1,029 and</w:t>
      </w:r>
      <w:r w:rsidR="00C22B9F">
        <w:rPr>
          <w:lang w:val="en-GB"/>
        </w:rPr>
        <w:t xml:space="preserve"> </w:t>
      </w:r>
      <w:r w:rsidRPr="00571974">
        <w:rPr>
          <w:lang w:val="en-GB"/>
        </w:rPr>
        <w:t>US$871 per ounce, respectively. The average market price for rhodium in 2019, 2018 and 2017 was US$3,914, US$2,214 and US$1,097 per ounce, respectively. The average market price for gold in 2019, 2018 and 2017 was US$1,3</w:t>
      </w:r>
      <w:r w:rsidR="00F0063A">
        <w:rPr>
          <w:lang w:val="en-GB"/>
        </w:rPr>
        <w:t>92</w:t>
      </w:r>
      <w:r w:rsidRPr="00571974">
        <w:rPr>
          <w:lang w:val="en-GB"/>
        </w:rPr>
        <w:t xml:space="preserve">, US$1,269 and US$1,258 per ounce, respectively. </w:t>
      </w:r>
    </w:p>
    <w:p w14:paraId="1169FAE3" w14:textId="534E771F" w:rsidR="00E93D9C" w:rsidRPr="00571974" w:rsidRDefault="003D4D89" w:rsidP="00E93D9C">
      <w:pPr>
        <w:pStyle w:val="BodyText"/>
        <w:widowControl/>
        <w:autoSpaceDE/>
        <w:autoSpaceDN/>
        <w:adjustRightInd/>
        <w:spacing w:before="240"/>
        <w:ind w:firstLine="284"/>
        <w:rPr>
          <w:lang w:val="en-GB"/>
        </w:rPr>
      </w:pPr>
      <w:r w:rsidRPr="00571974">
        <w:rPr>
          <w:lang w:val="en-GB"/>
        </w:rPr>
        <w:t xml:space="preserve">Total platinum production (metal in concentrate), including both own-mined production and purchase of concentrate, </w:t>
      </w:r>
      <w:r w:rsidRPr="00571974">
        <w:rPr>
          <w:szCs w:val="20"/>
          <w:lang w:val="en-GB"/>
        </w:rPr>
        <w:t xml:space="preserve">decreased by 15% to 2,050,600 ounces (2018: 2,484,700) due to the transition of a significant POC supplier onto a tolling agreement. </w:t>
      </w:r>
      <w:r w:rsidR="001C251D">
        <w:rPr>
          <w:szCs w:val="20"/>
          <w:lang w:val="en-GB"/>
        </w:rPr>
        <w:t xml:space="preserve">In 2018, </w:t>
      </w:r>
      <w:r w:rsidR="001C251D">
        <w:rPr>
          <w:lang w:val="en-GB"/>
        </w:rPr>
        <w:t>t</w:t>
      </w:r>
      <w:r w:rsidRPr="00571974">
        <w:rPr>
          <w:lang w:val="en-GB"/>
        </w:rPr>
        <w:t xml:space="preserve">otal platinum production (metal in concentrate), including both own-mined production and purchase of concentrate, </w:t>
      </w:r>
      <w:r w:rsidRPr="00571974">
        <w:rPr>
          <w:szCs w:val="20"/>
          <w:lang w:val="en-GB"/>
        </w:rPr>
        <w:t xml:space="preserve">increased by 4% to 2,484,700 ounces (2017: 2,397,400) due to record production levels at the Mogalakwena (achieved through mining a higher grade area and operational optimization), Unki and Kroondal mines. </w:t>
      </w:r>
    </w:p>
    <w:p w14:paraId="29CA8E4A" w14:textId="77777777" w:rsidR="00E93D9C" w:rsidRPr="00571974" w:rsidRDefault="003D4D89" w:rsidP="00E93D9C">
      <w:pPr>
        <w:pStyle w:val="BodyText"/>
        <w:widowControl/>
        <w:autoSpaceDE/>
        <w:autoSpaceDN/>
        <w:adjustRightInd/>
        <w:spacing w:before="240"/>
        <w:ind w:firstLine="284"/>
        <w:rPr>
          <w:szCs w:val="20"/>
          <w:lang w:val="en-GB"/>
        </w:rPr>
      </w:pPr>
      <w:r w:rsidRPr="00571974">
        <w:rPr>
          <w:lang w:val="en-GB"/>
        </w:rPr>
        <w:lastRenderedPageBreak/>
        <w:t xml:space="preserve">Refined platinum production </w:t>
      </w:r>
      <w:r w:rsidRPr="00571974">
        <w:rPr>
          <w:szCs w:val="20"/>
          <w:lang w:val="en-GB"/>
        </w:rPr>
        <w:t xml:space="preserve">decreased by 8% to 2,210,900 ounces in 2019 (2018: 2,402,400 ounces), while refined palladium output decreased by 1% to 1,480,500 ounces (2018: 1,501,800 ounces). The reduction was primarily attributable to the POC to tolling transition noted in the previous section. </w:t>
      </w:r>
      <w:r w:rsidRPr="00571974">
        <w:rPr>
          <w:lang w:val="en-GB"/>
        </w:rPr>
        <w:t xml:space="preserve">Refined platinum production </w:t>
      </w:r>
      <w:r w:rsidRPr="00571974">
        <w:rPr>
          <w:szCs w:val="20"/>
          <w:lang w:val="en-GB"/>
        </w:rPr>
        <w:t xml:space="preserve">decreased by 4% to 2,402,400 ounces in 2018 (2017: 2,511,900 ounces), while refined palladium output decreased by 10% to 1,501,800 ounces (2017: 1,668,500 ounces). The reduction was primarily attributable to the planned rebuild of Mortimer smelter in the second quarter of 2018, the partial rebuild at Polokwane smelter completing during the second half of the year, commissioning of the Unki smelter in the third quarter, and maintenance work on other processing assets. </w:t>
      </w:r>
    </w:p>
    <w:p w14:paraId="5AC16CB8" w14:textId="77777777" w:rsidR="00E93D9C" w:rsidRPr="00571974" w:rsidRDefault="003D4D89" w:rsidP="00E93D9C">
      <w:pPr>
        <w:pStyle w:val="BodyText"/>
        <w:widowControl/>
        <w:autoSpaceDE/>
        <w:autoSpaceDN/>
        <w:adjustRightInd/>
        <w:spacing w:before="240"/>
        <w:ind w:firstLine="284"/>
        <w:rPr>
          <w:lang w:val="en-GB"/>
        </w:rPr>
      </w:pPr>
      <w:r w:rsidRPr="00571974">
        <w:rPr>
          <w:lang w:val="en-GB"/>
        </w:rPr>
        <w:t xml:space="preserve">The platinum cash operating unit cost </w:t>
      </w:r>
      <w:r w:rsidRPr="00571974">
        <w:rPr>
          <w:szCs w:val="20"/>
          <w:lang w:val="en-GB"/>
        </w:rPr>
        <w:t xml:space="preserve">decreased by 1% in 2019 to US$1,543 per ounce (2018: </w:t>
      </w:r>
      <w:r w:rsidRPr="00571974">
        <w:rPr>
          <w:lang w:val="en-GB"/>
        </w:rPr>
        <w:t xml:space="preserve">US$1,561 per ounce) </w:t>
      </w:r>
      <w:r w:rsidRPr="00571974">
        <w:rPr>
          <w:szCs w:val="20"/>
          <w:lang w:val="en-GB"/>
        </w:rPr>
        <w:t>primarily due to</w:t>
      </w:r>
      <w:r w:rsidRPr="00571974">
        <w:rPr>
          <w:lang w:val="en-GB"/>
        </w:rPr>
        <w:t xml:space="preserve"> </w:t>
      </w:r>
      <w:r w:rsidRPr="00571974">
        <w:rPr>
          <w:szCs w:val="20"/>
          <w:lang w:val="en-GB"/>
        </w:rPr>
        <w:t xml:space="preserve">a weaker average ZAR rate. </w:t>
      </w:r>
      <w:r w:rsidRPr="00571974">
        <w:rPr>
          <w:lang w:val="en-GB"/>
        </w:rPr>
        <w:t xml:space="preserve">The platinum cash operating unit cost </w:t>
      </w:r>
      <w:r w:rsidRPr="00571974">
        <w:rPr>
          <w:szCs w:val="20"/>
          <w:lang w:val="en-GB"/>
        </w:rPr>
        <w:t xml:space="preserve">increased by 8% in 2018 to US$1,561 per ounce (2017: </w:t>
      </w:r>
      <w:r w:rsidRPr="00571974">
        <w:rPr>
          <w:lang w:val="en-GB"/>
        </w:rPr>
        <w:t xml:space="preserve">US$1,443 per ounce) </w:t>
      </w:r>
      <w:r w:rsidRPr="00571974">
        <w:rPr>
          <w:szCs w:val="20"/>
          <w:lang w:val="en-GB"/>
        </w:rPr>
        <w:t xml:space="preserve">primarily due to rising input cost inflation including labor, diesel, electricity and coal. Lower ore stockpile capitalization also contributed to a higher unit cost. </w:t>
      </w:r>
    </w:p>
    <w:p w14:paraId="4974C5C1" w14:textId="77777777" w:rsidR="00E93D9C" w:rsidRPr="00571974" w:rsidRDefault="003D4D89" w:rsidP="007B1404">
      <w:pPr>
        <w:pStyle w:val="Heading3"/>
        <w:rPr>
          <w:lang w:val="en-GB"/>
        </w:rPr>
      </w:pPr>
      <w:r w:rsidRPr="00571974">
        <w:rPr>
          <w:lang w:val="en-GB"/>
        </w:rPr>
        <w:t>Iron Ore</w:t>
      </w:r>
    </w:p>
    <w:p w14:paraId="1FD36112" w14:textId="1401C54A" w:rsidR="00E93D9C" w:rsidRPr="00571974" w:rsidRDefault="003D4D89" w:rsidP="00932961">
      <w:pPr>
        <w:pStyle w:val="BodyText"/>
        <w:widowControl/>
        <w:autoSpaceDE/>
        <w:autoSpaceDN/>
        <w:adjustRightInd/>
        <w:ind w:firstLine="426"/>
        <w:rPr>
          <w:lang w:val="en-GB"/>
        </w:rPr>
      </w:pPr>
      <w:r w:rsidRPr="00571974">
        <w:rPr>
          <w:lang w:val="en-GB"/>
        </w:rPr>
        <w:t>Following a reassessment of the Group</w:t>
      </w:r>
      <w:r w:rsidR="00A311D8">
        <w:rPr>
          <w:lang w:val="en-GB"/>
        </w:rPr>
        <w:t>’</w:t>
      </w:r>
      <w:r w:rsidRPr="00571974">
        <w:rPr>
          <w:lang w:val="en-GB"/>
        </w:rPr>
        <w:t xml:space="preserve">s reportable segments in </w:t>
      </w:r>
      <w:r w:rsidR="0009201B">
        <w:rPr>
          <w:lang w:val="en-GB"/>
        </w:rPr>
        <w:t>2018</w:t>
      </w:r>
      <w:r w:rsidRPr="00571974">
        <w:rPr>
          <w:lang w:val="en-GB"/>
        </w:rPr>
        <w:t>, the Group has presented the results of the Iron Ore businesses as the Iron Ore reportable segment. Manganese, which was previously reported with Iron Ore has been aggregated with Nickel as a single reportable segment. Comparative information has been restated to reflect this change.</w:t>
      </w:r>
    </w:p>
    <w:p w14:paraId="0B3FAEDB" w14:textId="77777777" w:rsidR="00E93D9C" w:rsidRPr="00571974" w:rsidRDefault="003D4D89" w:rsidP="00E93D9C">
      <w:pPr>
        <w:ind w:firstLine="284"/>
        <w:rPr>
          <w:lang w:val="en-GB"/>
        </w:rPr>
      </w:pPr>
      <w:r w:rsidRPr="00571974">
        <w:rPr>
          <w:lang w:val="en-GB"/>
        </w:rPr>
        <w:t>The following table summarizes the results of operations of the Iron Ore business segment and average market price for iron ore for the years indicated:</w:t>
      </w:r>
    </w:p>
    <w:tbl>
      <w:tblPr>
        <w:tblW w:w="9648" w:type="dxa"/>
        <w:jc w:val="center"/>
        <w:tblLayout w:type="fixed"/>
        <w:tblCellMar>
          <w:left w:w="72" w:type="dxa"/>
          <w:right w:w="72" w:type="dxa"/>
        </w:tblCellMar>
        <w:tblLook w:val="0000" w:firstRow="0" w:lastRow="0" w:firstColumn="0" w:lastColumn="0" w:noHBand="0" w:noVBand="0"/>
      </w:tblPr>
      <w:tblGrid>
        <w:gridCol w:w="7157"/>
        <w:gridCol w:w="830"/>
        <w:gridCol w:w="830"/>
        <w:gridCol w:w="831"/>
      </w:tblGrid>
      <w:tr w:rsidR="002228B8" w14:paraId="5B2C0AB7" w14:textId="77777777" w:rsidTr="00DF4A0D">
        <w:trPr>
          <w:cantSplit/>
          <w:jc w:val="center"/>
        </w:trPr>
        <w:tc>
          <w:tcPr>
            <w:tcW w:w="7157" w:type="dxa"/>
            <w:tcBorders>
              <w:top w:val="nil"/>
              <w:left w:val="nil"/>
              <w:bottom w:val="nil"/>
              <w:right w:val="nil"/>
            </w:tcBorders>
            <w:vAlign w:val="bottom"/>
          </w:tcPr>
          <w:p w14:paraId="2523CDB2"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2491" w:type="dxa"/>
            <w:gridSpan w:val="3"/>
            <w:tcBorders>
              <w:top w:val="nil"/>
              <w:left w:val="nil"/>
              <w:bottom w:val="nil"/>
              <w:right w:val="nil"/>
            </w:tcBorders>
            <w:vAlign w:val="bottom"/>
          </w:tcPr>
          <w:p w14:paraId="6996D9BD"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right="3"/>
              <w:jc w:val="center"/>
              <w:rPr>
                <w:b/>
                <w:bCs/>
                <w:sz w:val="18"/>
                <w:szCs w:val="18"/>
                <w:lang w:val="en-GB" w:eastAsia="en-GB" w:bidi="ar-SA"/>
              </w:rPr>
            </w:pPr>
            <w:r w:rsidRPr="00571974">
              <w:rPr>
                <w:b/>
                <w:bCs/>
                <w:sz w:val="18"/>
                <w:szCs w:val="18"/>
                <w:lang w:val="en-GB" w:eastAsia="en-GB" w:bidi="ar-SA"/>
              </w:rPr>
              <w:t>Year-ended December 31,</w:t>
            </w:r>
          </w:p>
        </w:tc>
      </w:tr>
      <w:tr w:rsidR="002228B8" w14:paraId="645594FF" w14:textId="77777777" w:rsidTr="00DF4A0D">
        <w:trPr>
          <w:cantSplit/>
          <w:jc w:val="center"/>
        </w:trPr>
        <w:tc>
          <w:tcPr>
            <w:tcW w:w="7157" w:type="dxa"/>
            <w:tcBorders>
              <w:top w:val="nil"/>
              <w:left w:val="nil"/>
              <w:bottom w:val="nil"/>
              <w:right w:val="nil"/>
            </w:tcBorders>
            <w:vAlign w:val="bottom"/>
          </w:tcPr>
          <w:p w14:paraId="43A3ED44"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830" w:type="dxa"/>
            <w:tcBorders>
              <w:top w:val="nil"/>
              <w:left w:val="nil"/>
              <w:bottom w:val="nil"/>
              <w:right w:val="nil"/>
            </w:tcBorders>
            <w:vAlign w:val="bottom"/>
          </w:tcPr>
          <w:p w14:paraId="02D21AEE"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right="3"/>
              <w:jc w:val="center"/>
              <w:rPr>
                <w:b/>
                <w:bCs/>
                <w:sz w:val="18"/>
                <w:szCs w:val="18"/>
                <w:lang w:val="en-GB" w:eastAsia="en-GB" w:bidi="ar-SA"/>
              </w:rPr>
            </w:pPr>
            <w:r w:rsidRPr="00571974">
              <w:rPr>
                <w:b/>
                <w:bCs/>
                <w:sz w:val="18"/>
                <w:szCs w:val="18"/>
                <w:lang w:val="en-GB" w:eastAsia="en-GB" w:bidi="ar-SA"/>
              </w:rPr>
              <w:t>2017</w:t>
            </w:r>
          </w:p>
        </w:tc>
        <w:tc>
          <w:tcPr>
            <w:tcW w:w="830" w:type="dxa"/>
            <w:tcBorders>
              <w:top w:val="nil"/>
              <w:left w:val="nil"/>
              <w:bottom w:val="nil"/>
              <w:right w:val="nil"/>
            </w:tcBorders>
            <w:vAlign w:val="bottom"/>
          </w:tcPr>
          <w:p w14:paraId="515FCC0A"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right="3"/>
              <w:jc w:val="center"/>
              <w:rPr>
                <w:b/>
                <w:bCs/>
                <w:sz w:val="18"/>
                <w:szCs w:val="18"/>
                <w:lang w:val="en-GB" w:eastAsia="en-GB" w:bidi="ar-SA"/>
              </w:rPr>
            </w:pPr>
            <w:r w:rsidRPr="00571974">
              <w:rPr>
                <w:b/>
                <w:bCs/>
                <w:sz w:val="18"/>
                <w:szCs w:val="18"/>
                <w:lang w:val="en-GB" w:eastAsia="en-GB" w:bidi="ar-SA"/>
              </w:rPr>
              <w:t>2018</w:t>
            </w:r>
          </w:p>
        </w:tc>
        <w:tc>
          <w:tcPr>
            <w:tcW w:w="831" w:type="dxa"/>
            <w:tcBorders>
              <w:top w:val="nil"/>
              <w:left w:val="nil"/>
              <w:bottom w:val="nil"/>
              <w:right w:val="nil"/>
            </w:tcBorders>
            <w:vAlign w:val="bottom"/>
          </w:tcPr>
          <w:p w14:paraId="63238296"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right="3"/>
              <w:jc w:val="center"/>
              <w:rPr>
                <w:b/>
                <w:bCs/>
                <w:sz w:val="18"/>
                <w:szCs w:val="18"/>
                <w:lang w:val="en-GB" w:eastAsia="en-GB" w:bidi="ar-SA"/>
              </w:rPr>
            </w:pPr>
            <w:r w:rsidRPr="00571974">
              <w:rPr>
                <w:b/>
                <w:bCs/>
                <w:sz w:val="18"/>
                <w:szCs w:val="18"/>
                <w:lang w:val="en-GB" w:eastAsia="en-GB" w:bidi="ar-SA"/>
              </w:rPr>
              <w:t>2019</w:t>
            </w:r>
          </w:p>
        </w:tc>
      </w:tr>
      <w:tr w:rsidR="002228B8" w14:paraId="14A24D4F" w14:textId="77777777" w:rsidTr="00DF4A0D">
        <w:trPr>
          <w:cantSplit/>
          <w:jc w:val="center"/>
        </w:trPr>
        <w:tc>
          <w:tcPr>
            <w:tcW w:w="7157" w:type="dxa"/>
            <w:tcBorders>
              <w:top w:val="nil"/>
              <w:left w:val="nil"/>
              <w:bottom w:val="nil"/>
              <w:right w:val="nil"/>
            </w:tcBorders>
            <w:vAlign w:val="bottom"/>
          </w:tcPr>
          <w:p w14:paraId="4241F90A"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2491" w:type="dxa"/>
            <w:gridSpan w:val="3"/>
            <w:tcBorders>
              <w:top w:val="nil"/>
              <w:left w:val="nil"/>
              <w:bottom w:val="nil"/>
              <w:right w:val="nil"/>
            </w:tcBorders>
            <w:vAlign w:val="bottom"/>
          </w:tcPr>
          <w:p w14:paraId="77FBDEE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ind w:right="3"/>
              <w:jc w:val="center"/>
              <w:rPr>
                <w:b/>
                <w:bCs/>
                <w:i/>
                <w:sz w:val="18"/>
                <w:szCs w:val="18"/>
                <w:lang w:val="en-GB" w:eastAsia="en-GB" w:bidi="ar-SA"/>
              </w:rPr>
            </w:pPr>
            <w:r w:rsidRPr="00571974">
              <w:rPr>
                <w:b/>
                <w:bCs/>
                <w:i/>
                <w:sz w:val="18"/>
                <w:szCs w:val="18"/>
                <w:lang w:val="en-GB" w:eastAsia="en-GB" w:bidi="ar-SA"/>
              </w:rPr>
              <w:t>(US$m unless otherwise stated)</w:t>
            </w:r>
          </w:p>
        </w:tc>
      </w:tr>
      <w:tr w:rsidR="002228B8" w14:paraId="7D6ABB41" w14:textId="77777777" w:rsidTr="00DF4A0D">
        <w:trPr>
          <w:cantSplit/>
          <w:jc w:val="center"/>
        </w:trPr>
        <w:tc>
          <w:tcPr>
            <w:tcW w:w="7157" w:type="dxa"/>
            <w:tcBorders>
              <w:top w:val="nil"/>
              <w:left w:val="nil"/>
              <w:bottom w:val="nil"/>
              <w:right w:val="nil"/>
            </w:tcBorders>
          </w:tcPr>
          <w:p w14:paraId="317C9502" w14:textId="1572717D"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830" w:type="dxa"/>
            <w:tcBorders>
              <w:top w:val="nil"/>
              <w:left w:val="nil"/>
              <w:bottom w:val="nil"/>
              <w:right w:val="nil"/>
            </w:tcBorders>
            <w:vAlign w:val="bottom"/>
          </w:tcPr>
          <w:p w14:paraId="136D483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4,891</w:t>
            </w:r>
          </w:p>
        </w:tc>
        <w:tc>
          <w:tcPr>
            <w:tcW w:w="830" w:type="dxa"/>
            <w:tcBorders>
              <w:top w:val="nil"/>
              <w:left w:val="nil"/>
              <w:bottom w:val="nil"/>
              <w:right w:val="nil"/>
            </w:tcBorders>
            <w:vAlign w:val="bottom"/>
          </w:tcPr>
          <w:p w14:paraId="6279362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3,768</w:t>
            </w:r>
          </w:p>
        </w:tc>
        <w:tc>
          <w:tcPr>
            <w:tcW w:w="831" w:type="dxa"/>
            <w:tcBorders>
              <w:top w:val="nil"/>
              <w:left w:val="nil"/>
              <w:bottom w:val="nil"/>
              <w:right w:val="nil"/>
            </w:tcBorders>
            <w:vAlign w:val="bottom"/>
          </w:tcPr>
          <w:p w14:paraId="5F2083B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6,758</w:t>
            </w:r>
          </w:p>
        </w:tc>
      </w:tr>
      <w:tr w:rsidR="002228B8" w14:paraId="2946AB18" w14:textId="77777777" w:rsidTr="00DF4A0D">
        <w:trPr>
          <w:cantSplit/>
          <w:jc w:val="center"/>
        </w:trPr>
        <w:tc>
          <w:tcPr>
            <w:tcW w:w="7157" w:type="dxa"/>
            <w:tcBorders>
              <w:top w:val="nil"/>
              <w:left w:val="nil"/>
              <w:bottom w:val="nil"/>
              <w:right w:val="nil"/>
            </w:tcBorders>
          </w:tcPr>
          <w:p w14:paraId="029EA567"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830" w:type="dxa"/>
            <w:tcBorders>
              <w:top w:val="nil"/>
              <w:left w:val="nil"/>
              <w:bottom w:val="nil"/>
              <w:right w:val="nil"/>
            </w:tcBorders>
            <w:vAlign w:val="bottom"/>
          </w:tcPr>
          <w:p w14:paraId="1B3C0C6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1,500</w:t>
            </w:r>
          </w:p>
        </w:tc>
        <w:tc>
          <w:tcPr>
            <w:tcW w:w="830" w:type="dxa"/>
            <w:tcBorders>
              <w:top w:val="nil"/>
              <w:left w:val="nil"/>
              <w:bottom w:val="nil"/>
              <w:right w:val="nil"/>
            </w:tcBorders>
            <w:vAlign w:val="bottom"/>
          </w:tcPr>
          <w:p w14:paraId="69B496C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747</w:t>
            </w:r>
          </w:p>
        </w:tc>
        <w:tc>
          <w:tcPr>
            <w:tcW w:w="831" w:type="dxa"/>
            <w:tcBorders>
              <w:top w:val="nil"/>
              <w:left w:val="nil"/>
              <w:bottom w:val="nil"/>
              <w:right w:val="nil"/>
            </w:tcBorders>
            <w:vAlign w:val="bottom"/>
          </w:tcPr>
          <w:p w14:paraId="5009F69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2,952</w:t>
            </w:r>
          </w:p>
        </w:tc>
      </w:tr>
      <w:tr w:rsidR="002228B8" w14:paraId="7AD22B13" w14:textId="77777777" w:rsidTr="00DF4A0D">
        <w:trPr>
          <w:cantSplit/>
          <w:jc w:val="center"/>
        </w:trPr>
        <w:tc>
          <w:tcPr>
            <w:tcW w:w="7157" w:type="dxa"/>
            <w:tcBorders>
              <w:top w:val="nil"/>
              <w:left w:val="nil"/>
              <w:bottom w:val="nil"/>
              <w:right w:val="nil"/>
            </w:tcBorders>
          </w:tcPr>
          <w:p w14:paraId="171E8B31" w14:textId="77777777" w:rsidR="00E93D9C" w:rsidRPr="00571974" w:rsidRDefault="003D4D89" w:rsidP="00DF4A0D">
            <w:pPr>
              <w:tabs>
                <w:tab w:val="right" w:leader="dot" w:pos="7540"/>
              </w:tabs>
              <w:suppressAutoHyphens/>
              <w:ind w:left="600" w:hanging="200"/>
              <w:rPr>
                <w:sz w:val="18"/>
                <w:szCs w:val="18"/>
                <w:lang w:val="en-GB" w:eastAsia="en-GB" w:bidi="ar-SA"/>
              </w:rPr>
            </w:pPr>
            <w:r w:rsidRPr="00571974">
              <w:rPr>
                <w:sz w:val="18"/>
                <w:szCs w:val="18"/>
                <w:lang w:val="en-GB" w:eastAsia="en-GB" w:bidi="ar-SA"/>
              </w:rPr>
              <w:t>Kumba</w:t>
            </w:r>
            <w:r w:rsidRPr="00571974">
              <w:rPr>
                <w:sz w:val="18"/>
                <w:szCs w:val="18"/>
                <w:lang w:val="en-GB" w:eastAsia="en-GB" w:bidi="ar-SA"/>
              </w:rPr>
              <w:tab/>
            </w:r>
          </w:p>
        </w:tc>
        <w:tc>
          <w:tcPr>
            <w:tcW w:w="830" w:type="dxa"/>
            <w:tcBorders>
              <w:top w:val="nil"/>
              <w:left w:val="nil"/>
              <w:bottom w:val="nil"/>
              <w:right w:val="nil"/>
            </w:tcBorders>
            <w:vAlign w:val="bottom"/>
          </w:tcPr>
          <w:p w14:paraId="09CE979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1,246</w:t>
            </w:r>
          </w:p>
        </w:tc>
        <w:tc>
          <w:tcPr>
            <w:tcW w:w="830" w:type="dxa"/>
            <w:tcBorders>
              <w:top w:val="nil"/>
              <w:left w:val="nil"/>
              <w:bottom w:val="nil"/>
              <w:right w:val="nil"/>
            </w:tcBorders>
            <w:vAlign w:val="bottom"/>
          </w:tcPr>
          <w:p w14:paraId="559B407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1,213</w:t>
            </w:r>
          </w:p>
        </w:tc>
        <w:tc>
          <w:tcPr>
            <w:tcW w:w="831" w:type="dxa"/>
            <w:tcBorders>
              <w:top w:val="nil"/>
              <w:left w:val="nil"/>
              <w:bottom w:val="nil"/>
              <w:right w:val="nil"/>
            </w:tcBorders>
            <w:vAlign w:val="bottom"/>
          </w:tcPr>
          <w:p w14:paraId="40042A2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1,984</w:t>
            </w:r>
          </w:p>
        </w:tc>
      </w:tr>
      <w:tr w:rsidR="002228B8" w14:paraId="6B780520" w14:textId="77777777" w:rsidTr="00DF4A0D">
        <w:trPr>
          <w:cantSplit/>
          <w:jc w:val="center"/>
        </w:trPr>
        <w:tc>
          <w:tcPr>
            <w:tcW w:w="7157" w:type="dxa"/>
            <w:tcBorders>
              <w:top w:val="nil"/>
              <w:left w:val="nil"/>
              <w:bottom w:val="nil"/>
              <w:right w:val="nil"/>
            </w:tcBorders>
          </w:tcPr>
          <w:p w14:paraId="6BCB8357" w14:textId="77777777" w:rsidR="00E93D9C" w:rsidRPr="00571974" w:rsidRDefault="003D4D89" w:rsidP="00DF4A0D">
            <w:pPr>
              <w:tabs>
                <w:tab w:val="right" w:leader="dot" w:pos="7540"/>
              </w:tabs>
              <w:suppressAutoHyphens/>
              <w:ind w:left="600" w:hanging="200"/>
              <w:rPr>
                <w:sz w:val="18"/>
                <w:szCs w:val="18"/>
                <w:lang w:val="en-GB" w:eastAsia="en-GB" w:bidi="ar-SA"/>
              </w:rPr>
            </w:pPr>
            <w:r w:rsidRPr="00571974">
              <w:rPr>
                <w:sz w:val="18"/>
                <w:szCs w:val="18"/>
                <w:lang w:val="en-GB" w:eastAsia="en-GB" w:bidi="ar-SA"/>
              </w:rPr>
              <w:t>Iron Ore Brazil</w:t>
            </w:r>
            <w:r w:rsidRPr="00571974">
              <w:rPr>
                <w:sz w:val="18"/>
                <w:szCs w:val="18"/>
                <w:lang w:val="en-GB" w:eastAsia="en-GB" w:bidi="ar-SA"/>
              </w:rPr>
              <w:tab/>
            </w:r>
          </w:p>
        </w:tc>
        <w:tc>
          <w:tcPr>
            <w:tcW w:w="830" w:type="dxa"/>
            <w:tcBorders>
              <w:top w:val="nil"/>
              <w:left w:val="nil"/>
              <w:bottom w:val="nil"/>
              <w:right w:val="nil"/>
            </w:tcBorders>
            <w:vAlign w:val="bottom"/>
          </w:tcPr>
          <w:p w14:paraId="797AA22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335</w:t>
            </w:r>
          </w:p>
        </w:tc>
        <w:tc>
          <w:tcPr>
            <w:tcW w:w="830" w:type="dxa"/>
            <w:tcBorders>
              <w:top w:val="nil"/>
              <w:left w:val="nil"/>
              <w:bottom w:val="nil"/>
              <w:right w:val="nil"/>
            </w:tcBorders>
            <w:vAlign w:val="bottom"/>
          </w:tcPr>
          <w:p w14:paraId="70ABB49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(371)</w:t>
            </w:r>
          </w:p>
        </w:tc>
        <w:tc>
          <w:tcPr>
            <w:tcW w:w="831" w:type="dxa"/>
            <w:tcBorders>
              <w:top w:val="nil"/>
              <w:left w:val="nil"/>
              <w:bottom w:val="nil"/>
              <w:right w:val="nil"/>
            </w:tcBorders>
            <w:vAlign w:val="bottom"/>
          </w:tcPr>
          <w:p w14:paraId="063CF46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1,089</w:t>
            </w:r>
          </w:p>
        </w:tc>
      </w:tr>
      <w:tr w:rsidR="002228B8" w14:paraId="7828D0D7" w14:textId="77777777" w:rsidTr="00DF4A0D">
        <w:trPr>
          <w:cantSplit/>
          <w:jc w:val="center"/>
        </w:trPr>
        <w:tc>
          <w:tcPr>
            <w:tcW w:w="7157" w:type="dxa"/>
            <w:tcBorders>
              <w:top w:val="nil"/>
              <w:left w:val="nil"/>
              <w:bottom w:val="nil"/>
              <w:right w:val="nil"/>
            </w:tcBorders>
          </w:tcPr>
          <w:p w14:paraId="76699F4C" w14:textId="77777777" w:rsidR="00E93D9C" w:rsidRPr="00571974" w:rsidRDefault="003D4D89" w:rsidP="00DF4A0D">
            <w:pPr>
              <w:tabs>
                <w:tab w:val="right" w:leader="dot" w:pos="7540"/>
              </w:tabs>
              <w:suppressAutoHyphens/>
              <w:ind w:left="600" w:hanging="200"/>
              <w:rPr>
                <w:sz w:val="18"/>
                <w:szCs w:val="18"/>
                <w:lang w:val="en-GB" w:eastAsia="en-GB" w:bidi="ar-SA"/>
              </w:rPr>
            </w:pPr>
            <w:r w:rsidRPr="00571974">
              <w:rPr>
                <w:sz w:val="18"/>
                <w:szCs w:val="18"/>
                <w:lang w:val="en-GB" w:eastAsia="en-GB" w:bidi="ar-SA"/>
              </w:rPr>
              <w:t>Projects and Corporate</w:t>
            </w:r>
            <w:r w:rsidRPr="00571974">
              <w:rPr>
                <w:sz w:val="18"/>
                <w:szCs w:val="18"/>
                <w:lang w:val="en-GB" w:eastAsia="en-GB" w:bidi="ar-SA"/>
              </w:rPr>
              <w:tab/>
            </w:r>
          </w:p>
        </w:tc>
        <w:tc>
          <w:tcPr>
            <w:tcW w:w="830" w:type="dxa"/>
            <w:tcBorders>
              <w:top w:val="nil"/>
              <w:left w:val="nil"/>
              <w:bottom w:val="nil"/>
              <w:right w:val="nil"/>
            </w:tcBorders>
            <w:vAlign w:val="bottom"/>
          </w:tcPr>
          <w:p w14:paraId="4D111E6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(81)</w:t>
            </w:r>
          </w:p>
        </w:tc>
        <w:tc>
          <w:tcPr>
            <w:tcW w:w="830" w:type="dxa"/>
            <w:tcBorders>
              <w:top w:val="nil"/>
              <w:left w:val="nil"/>
              <w:bottom w:val="nil"/>
              <w:right w:val="nil"/>
            </w:tcBorders>
            <w:vAlign w:val="bottom"/>
          </w:tcPr>
          <w:p w14:paraId="24C8D9C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(95)</w:t>
            </w:r>
          </w:p>
        </w:tc>
        <w:tc>
          <w:tcPr>
            <w:tcW w:w="831" w:type="dxa"/>
            <w:tcBorders>
              <w:top w:val="nil"/>
              <w:left w:val="nil"/>
              <w:bottom w:val="nil"/>
              <w:right w:val="nil"/>
            </w:tcBorders>
            <w:vAlign w:val="bottom"/>
          </w:tcPr>
          <w:p w14:paraId="4858224D" w14:textId="0BEB9DC7" w:rsidR="00E93D9C" w:rsidRPr="00571974" w:rsidRDefault="00B603E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Pr>
                <w:sz w:val="18"/>
                <w:szCs w:val="18"/>
                <w:lang w:val="en-GB" w:eastAsia="en-GB" w:bidi="ar-SA"/>
              </w:rPr>
              <w:t>(</w:t>
            </w:r>
            <w:r w:rsidR="003D4D89" w:rsidRPr="00571974">
              <w:rPr>
                <w:sz w:val="18"/>
                <w:szCs w:val="18"/>
                <w:lang w:val="en-GB" w:eastAsia="en-GB" w:bidi="ar-SA"/>
              </w:rPr>
              <w:t>121</w:t>
            </w:r>
            <w:r>
              <w:rPr>
                <w:sz w:val="18"/>
                <w:szCs w:val="18"/>
                <w:lang w:val="en-GB" w:eastAsia="en-GB" w:bidi="ar-SA"/>
              </w:rPr>
              <w:t>)</w:t>
            </w:r>
          </w:p>
        </w:tc>
      </w:tr>
      <w:tr w:rsidR="002228B8" w14:paraId="2F4ED0E1" w14:textId="77777777" w:rsidTr="00DF4A0D">
        <w:trPr>
          <w:cantSplit/>
          <w:jc w:val="center"/>
        </w:trPr>
        <w:tc>
          <w:tcPr>
            <w:tcW w:w="7157" w:type="dxa"/>
            <w:tcBorders>
              <w:top w:val="nil"/>
              <w:left w:val="nil"/>
              <w:bottom w:val="nil"/>
              <w:right w:val="nil"/>
            </w:tcBorders>
          </w:tcPr>
          <w:p w14:paraId="50E0C563"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830" w:type="dxa"/>
            <w:tcBorders>
              <w:top w:val="nil"/>
              <w:left w:val="nil"/>
              <w:bottom w:val="nil"/>
              <w:right w:val="nil"/>
            </w:tcBorders>
            <w:vAlign w:val="bottom"/>
          </w:tcPr>
          <w:p w14:paraId="5A01356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1,828</w:t>
            </w:r>
          </w:p>
        </w:tc>
        <w:tc>
          <w:tcPr>
            <w:tcW w:w="830" w:type="dxa"/>
            <w:tcBorders>
              <w:top w:val="nil"/>
              <w:left w:val="nil"/>
              <w:bottom w:val="nil"/>
              <w:right w:val="nil"/>
            </w:tcBorders>
            <w:vAlign w:val="bottom"/>
          </w:tcPr>
          <w:p w14:paraId="7B6B042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1,177</w:t>
            </w:r>
          </w:p>
        </w:tc>
        <w:tc>
          <w:tcPr>
            <w:tcW w:w="831" w:type="dxa"/>
            <w:tcBorders>
              <w:top w:val="nil"/>
              <w:left w:val="nil"/>
              <w:bottom w:val="nil"/>
              <w:right w:val="nil"/>
            </w:tcBorders>
            <w:vAlign w:val="bottom"/>
          </w:tcPr>
          <w:p w14:paraId="538BA53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3,407</w:t>
            </w:r>
          </w:p>
        </w:tc>
      </w:tr>
      <w:tr w:rsidR="002228B8" w14:paraId="50A49181" w14:textId="77777777" w:rsidTr="00DF4A0D">
        <w:trPr>
          <w:cantSplit/>
          <w:jc w:val="center"/>
        </w:trPr>
        <w:tc>
          <w:tcPr>
            <w:tcW w:w="7157" w:type="dxa"/>
            <w:tcBorders>
              <w:top w:val="nil"/>
              <w:left w:val="nil"/>
              <w:bottom w:val="nil"/>
              <w:right w:val="nil"/>
            </w:tcBorders>
            <w:shd w:val="clear" w:color="auto" w:fill="auto"/>
          </w:tcPr>
          <w:p w14:paraId="7DB018A8"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830" w:type="dxa"/>
            <w:tcBorders>
              <w:top w:val="nil"/>
              <w:left w:val="nil"/>
              <w:bottom w:val="nil"/>
              <w:right w:val="nil"/>
            </w:tcBorders>
            <w:shd w:val="clear" w:color="auto" w:fill="auto"/>
            <w:vAlign w:val="bottom"/>
          </w:tcPr>
          <w:p w14:paraId="67AEEBD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7,603</w:t>
            </w:r>
          </w:p>
        </w:tc>
        <w:tc>
          <w:tcPr>
            <w:tcW w:w="830" w:type="dxa"/>
            <w:tcBorders>
              <w:top w:val="nil"/>
              <w:left w:val="nil"/>
              <w:bottom w:val="nil"/>
              <w:right w:val="nil"/>
            </w:tcBorders>
            <w:shd w:val="clear" w:color="auto" w:fill="auto"/>
            <w:vAlign w:val="bottom"/>
          </w:tcPr>
          <w:p w14:paraId="3C99F52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6,929</w:t>
            </w:r>
          </w:p>
        </w:tc>
        <w:tc>
          <w:tcPr>
            <w:tcW w:w="831" w:type="dxa"/>
            <w:tcBorders>
              <w:top w:val="nil"/>
              <w:left w:val="nil"/>
              <w:bottom w:val="nil"/>
              <w:right w:val="nil"/>
            </w:tcBorders>
            <w:shd w:val="clear" w:color="auto" w:fill="auto"/>
            <w:vAlign w:val="bottom"/>
          </w:tcPr>
          <w:p w14:paraId="795F1B3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8,363</w:t>
            </w:r>
          </w:p>
        </w:tc>
      </w:tr>
      <w:tr w:rsidR="002228B8" w14:paraId="5BEF11A9" w14:textId="77777777" w:rsidTr="00DF4A0D">
        <w:trPr>
          <w:cantSplit/>
          <w:jc w:val="center"/>
        </w:trPr>
        <w:tc>
          <w:tcPr>
            <w:tcW w:w="7157" w:type="dxa"/>
            <w:tcBorders>
              <w:top w:val="nil"/>
              <w:left w:val="nil"/>
              <w:bottom w:val="nil"/>
              <w:right w:val="nil"/>
            </w:tcBorders>
            <w:shd w:val="clear" w:color="auto" w:fill="auto"/>
          </w:tcPr>
          <w:p w14:paraId="546EF16E"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r w:rsidRPr="00571974">
              <w:rPr>
                <w:sz w:val="18"/>
                <w:szCs w:val="18"/>
                <w:lang w:val="en-GB" w:eastAsia="en-GB" w:bidi="ar-SA"/>
              </w:rPr>
              <w:tab/>
            </w:r>
          </w:p>
        </w:tc>
        <w:tc>
          <w:tcPr>
            <w:tcW w:w="830" w:type="dxa"/>
            <w:tcBorders>
              <w:top w:val="nil"/>
              <w:left w:val="nil"/>
              <w:bottom w:val="nil"/>
              <w:right w:val="nil"/>
            </w:tcBorders>
            <w:shd w:val="clear" w:color="auto" w:fill="FFFFFF"/>
            <w:vAlign w:val="bottom"/>
          </w:tcPr>
          <w:p w14:paraId="3F30F48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252</w:t>
            </w:r>
          </w:p>
        </w:tc>
        <w:tc>
          <w:tcPr>
            <w:tcW w:w="830" w:type="dxa"/>
            <w:tcBorders>
              <w:top w:val="nil"/>
              <w:left w:val="nil"/>
              <w:bottom w:val="nil"/>
              <w:right w:val="nil"/>
            </w:tcBorders>
            <w:shd w:val="clear" w:color="auto" w:fill="auto"/>
            <w:vAlign w:val="bottom"/>
          </w:tcPr>
          <w:p w14:paraId="5422E57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415</w:t>
            </w:r>
          </w:p>
        </w:tc>
        <w:tc>
          <w:tcPr>
            <w:tcW w:w="831" w:type="dxa"/>
            <w:tcBorders>
              <w:top w:val="nil"/>
              <w:left w:val="nil"/>
              <w:bottom w:val="nil"/>
              <w:right w:val="nil"/>
            </w:tcBorders>
            <w:shd w:val="clear" w:color="auto" w:fill="auto"/>
            <w:vAlign w:val="bottom"/>
          </w:tcPr>
          <w:p w14:paraId="59CB00E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594</w:t>
            </w:r>
          </w:p>
        </w:tc>
      </w:tr>
      <w:tr w:rsidR="002228B8" w14:paraId="13B56733" w14:textId="77777777" w:rsidTr="00DF4A0D">
        <w:trPr>
          <w:cantSplit/>
          <w:jc w:val="center"/>
        </w:trPr>
        <w:tc>
          <w:tcPr>
            <w:tcW w:w="7157" w:type="dxa"/>
            <w:tcBorders>
              <w:top w:val="nil"/>
              <w:left w:val="nil"/>
              <w:bottom w:val="nil"/>
              <w:right w:val="nil"/>
            </w:tcBorders>
          </w:tcPr>
          <w:p w14:paraId="7D855582"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underlying EBIT</w:t>
            </w:r>
            <w:r w:rsidRPr="00571974">
              <w:rPr>
                <w:sz w:val="18"/>
                <w:szCs w:val="18"/>
                <w:lang w:val="en-GB" w:eastAsia="en-GB" w:bidi="ar-SA"/>
              </w:rPr>
              <w:tab/>
            </w:r>
          </w:p>
        </w:tc>
        <w:tc>
          <w:tcPr>
            <w:tcW w:w="830" w:type="dxa"/>
            <w:tcBorders>
              <w:top w:val="nil"/>
              <w:left w:val="nil"/>
              <w:bottom w:val="nil"/>
              <w:right w:val="nil"/>
            </w:tcBorders>
            <w:vAlign w:val="bottom"/>
          </w:tcPr>
          <w:p w14:paraId="7F2E699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24%</w:t>
            </w:r>
          </w:p>
        </w:tc>
        <w:tc>
          <w:tcPr>
            <w:tcW w:w="830" w:type="dxa"/>
            <w:tcBorders>
              <w:top w:val="nil"/>
              <w:left w:val="nil"/>
              <w:bottom w:val="nil"/>
              <w:right w:val="nil"/>
            </w:tcBorders>
            <w:vAlign w:val="bottom"/>
          </w:tcPr>
          <w:p w14:paraId="3296A2F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12%</w:t>
            </w:r>
          </w:p>
        </w:tc>
        <w:tc>
          <w:tcPr>
            <w:tcW w:w="831" w:type="dxa"/>
            <w:tcBorders>
              <w:top w:val="nil"/>
              <w:left w:val="nil"/>
              <w:bottom w:val="nil"/>
              <w:right w:val="nil"/>
            </w:tcBorders>
            <w:vAlign w:val="bottom"/>
          </w:tcPr>
          <w:p w14:paraId="57F601F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42%</w:t>
            </w:r>
          </w:p>
        </w:tc>
      </w:tr>
      <w:tr w:rsidR="002228B8" w14:paraId="02701F1A" w14:textId="77777777" w:rsidTr="00DF4A0D">
        <w:trPr>
          <w:cantSplit/>
          <w:jc w:val="center"/>
        </w:trPr>
        <w:tc>
          <w:tcPr>
            <w:tcW w:w="7157" w:type="dxa"/>
            <w:tcBorders>
              <w:top w:val="nil"/>
              <w:left w:val="nil"/>
              <w:bottom w:val="nil"/>
              <w:right w:val="nil"/>
            </w:tcBorders>
            <w:shd w:val="clear" w:color="auto" w:fill="auto"/>
          </w:tcPr>
          <w:p w14:paraId="3144D18A"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830" w:type="dxa"/>
            <w:tcBorders>
              <w:top w:val="nil"/>
              <w:left w:val="nil"/>
              <w:bottom w:val="nil"/>
              <w:right w:val="nil"/>
            </w:tcBorders>
            <w:shd w:val="clear" w:color="auto" w:fill="auto"/>
            <w:vAlign w:val="bottom"/>
          </w:tcPr>
          <w:p w14:paraId="382775F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23%</w:t>
            </w:r>
          </w:p>
        </w:tc>
        <w:tc>
          <w:tcPr>
            <w:tcW w:w="830" w:type="dxa"/>
            <w:tcBorders>
              <w:top w:val="nil"/>
              <w:left w:val="nil"/>
              <w:bottom w:val="nil"/>
              <w:right w:val="nil"/>
            </w:tcBorders>
            <w:shd w:val="clear" w:color="auto" w:fill="auto"/>
            <w:vAlign w:val="bottom"/>
          </w:tcPr>
          <w:p w14:paraId="5CE4A47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21%</w:t>
            </w:r>
          </w:p>
        </w:tc>
        <w:tc>
          <w:tcPr>
            <w:tcW w:w="831" w:type="dxa"/>
            <w:tcBorders>
              <w:top w:val="nil"/>
              <w:left w:val="nil"/>
              <w:bottom w:val="nil"/>
              <w:right w:val="nil"/>
            </w:tcBorders>
            <w:shd w:val="clear" w:color="auto" w:fill="auto"/>
            <w:vAlign w:val="bottom"/>
          </w:tcPr>
          <w:p w14:paraId="4A8599F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24%</w:t>
            </w:r>
          </w:p>
        </w:tc>
      </w:tr>
      <w:tr w:rsidR="002228B8" w14:paraId="564714D4" w14:textId="77777777" w:rsidTr="00DF4A0D">
        <w:trPr>
          <w:cantSplit/>
          <w:jc w:val="center"/>
        </w:trPr>
        <w:tc>
          <w:tcPr>
            <w:tcW w:w="7157" w:type="dxa"/>
            <w:tcBorders>
              <w:top w:val="nil"/>
              <w:left w:val="nil"/>
              <w:bottom w:val="nil"/>
              <w:right w:val="nil"/>
            </w:tcBorders>
          </w:tcPr>
          <w:p w14:paraId="2265ECC8"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Iron Ore Kumba production (Mt)</w:t>
            </w:r>
            <w:r w:rsidRPr="00571974">
              <w:rPr>
                <w:sz w:val="18"/>
                <w:szCs w:val="18"/>
                <w:lang w:val="en-GB" w:eastAsia="en-GB" w:bidi="ar-SA"/>
              </w:rPr>
              <w:tab/>
            </w:r>
          </w:p>
        </w:tc>
        <w:tc>
          <w:tcPr>
            <w:tcW w:w="830" w:type="dxa"/>
            <w:tcBorders>
              <w:top w:val="nil"/>
              <w:left w:val="nil"/>
              <w:bottom w:val="nil"/>
              <w:right w:val="nil"/>
            </w:tcBorders>
            <w:vAlign w:val="bottom"/>
          </w:tcPr>
          <w:p w14:paraId="3B39815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45.0</w:t>
            </w:r>
          </w:p>
        </w:tc>
        <w:tc>
          <w:tcPr>
            <w:tcW w:w="830" w:type="dxa"/>
            <w:tcBorders>
              <w:top w:val="nil"/>
              <w:left w:val="nil"/>
              <w:bottom w:val="nil"/>
              <w:right w:val="nil"/>
            </w:tcBorders>
            <w:vAlign w:val="bottom"/>
          </w:tcPr>
          <w:p w14:paraId="28229D9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43.1</w:t>
            </w:r>
          </w:p>
        </w:tc>
        <w:tc>
          <w:tcPr>
            <w:tcW w:w="831" w:type="dxa"/>
            <w:tcBorders>
              <w:top w:val="nil"/>
              <w:left w:val="nil"/>
              <w:bottom w:val="nil"/>
              <w:right w:val="nil"/>
            </w:tcBorders>
            <w:vAlign w:val="bottom"/>
          </w:tcPr>
          <w:p w14:paraId="5303DD2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42.4</w:t>
            </w:r>
          </w:p>
        </w:tc>
      </w:tr>
      <w:tr w:rsidR="002228B8" w14:paraId="5AD45729" w14:textId="77777777" w:rsidTr="00DF4A0D">
        <w:trPr>
          <w:cantSplit/>
          <w:jc w:val="center"/>
        </w:trPr>
        <w:tc>
          <w:tcPr>
            <w:tcW w:w="7157" w:type="dxa"/>
            <w:tcBorders>
              <w:top w:val="nil"/>
              <w:left w:val="nil"/>
              <w:bottom w:val="nil"/>
              <w:right w:val="nil"/>
            </w:tcBorders>
          </w:tcPr>
          <w:p w14:paraId="7FF6DAAF"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Iron Ore Brazil production (Mt)</w:t>
            </w:r>
            <w:r w:rsidRPr="00571974">
              <w:rPr>
                <w:sz w:val="18"/>
                <w:szCs w:val="18"/>
                <w:vertAlign w:val="superscript"/>
                <w:lang w:val="en-GB" w:eastAsia="en-GB" w:bidi="ar-SA"/>
              </w:rPr>
              <w:t xml:space="preserve"> (2)</w:t>
            </w:r>
            <w:r w:rsidRPr="00571974">
              <w:rPr>
                <w:sz w:val="18"/>
                <w:szCs w:val="18"/>
                <w:lang w:val="en-GB" w:eastAsia="en-GB" w:bidi="ar-SA"/>
              </w:rPr>
              <w:tab/>
            </w:r>
          </w:p>
        </w:tc>
        <w:tc>
          <w:tcPr>
            <w:tcW w:w="830" w:type="dxa"/>
            <w:tcBorders>
              <w:top w:val="nil"/>
              <w:left w:val="nil"/>
              <w:bottom w:val="nil"/>
              <w:right w:val="nil"/>
            </w:tcBorders>
            <w:vAlign w:val="bottom"/>
          </w:tcPr>
          <w:p w14:paraId="3C306B5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16.8</w:t>
            </w:r>
          </w:p>
        </w:tc>
        <w:tc>
          <w:tcPr>
            <w:tcW w:w="830" w:type="dxa"/>
            <w:tcBorders>
              <w:top w:val="nil"/>
              <w:left w:val="nil"/>
              <w:bottom w:val="nil"/>
              <w:right w:val="nil"/>
            </w:tcBorders>
            <w:vAlign w:val="bottom"/>
          </w:tcPr>
          <w:p w14:paraId="289243D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3.4</w:t>
            </w:r>
          </w:p>
        </w:tc>
        <w:tc>
          <w:tcPr>
            <w:tcW w:w="831" w:type="dxa"/>
            <w:tcBorders>
              <w:top w:val="nil"/>
              <w:left w:val="nil"/>
              <w:bottom w:val="nil"/>
              <w:right w:val="nil"/>
            </w:tcBorders>
            <w:vAlign w:val="bottom"/>
          </w:tcPr>
          <w:p w14:paraId="0E407BA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23.1</w:t>
            </w:r>
          </w:p>
        </w:tc>
      </w:tr>
      <w:tr w:rsidR="002228B8" w14:paraId="6D7FBEB6" w14:textId="77777777" w:rsidTr="00DF4A0D">
        <w:trPr>
          <w:cantSplit/>
          <w:jc w:val="center"/>
        </w:trPr>
        <w:tc>
          <w:tcPr>
            <w:tcW w:w="7157" w:type="dxa"/>
            <w:tcBorders>
              <w:top w:val="nil"/>
              <w:left w:val="nil"/>
              <w:bottom w:val="nil"/>
              <w:right w:val="nil"/>
            </w:tcBorders>
          </w:tcPr>
          <w:p w14:paraId="1F20A127"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Iron Ore (US$/t)</w:t>
            </w:r>
            <w:r w:rsidRPr="00571974">
              <w:rPr>
                <w:sz w:val="18"/>
                <w:szCs w:val="18"/>
                <w:vertAlign w:val="superscript"/>
                <w:lang w:val="en-GB" w:eastAsia="en-GB" w:bidi="ar-SA"/>
              </w:rPr>
              <w:t>(3)</w:t>
            </w:r>
            <w:r w:rsidRPr="00571974">
              <w:rPr>
                <w:sz w:val="18"/>
                <w:szCs w:val="18"/>
                <w:lang w:val="en-GB" w:eastAsia="en-GB" w:bidi="ar-SA"/>
              </w:rPr>
              <w:tab/>
            </w:r>
          </w:p>
        </w:tc>
        <w:tc>
          <w:tcPr>
            <w:tcW w:w="830" w:type="dxa"/>
            <w:tcBorders>
              <w:top w:val="nil"/>
              <w:left w:val="nil"/>
              <w:bottom w:val="nil"/>
              <w:right w:val="nil"/>
            </w:tcBorders>
            <w:vAlign w:val="bottom"/>
          </w:tcPr>
          <w:p w14:paraId="41D3262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71</w:t>
            </w:r>
          </w:p>
        </w:tc>
        <w:tc>
          <w:tcPr>
            <w:tcW w:w="830" w:type="dxa"/>
            <w:tcBorders>
              <w:top w:val="nil"/>
              <w:left w:val="nil"/>
              <w:bottom w:val="nil"/>
              <w:right w:val="nil"/>
            </w:tcBorders>
            <w:vAlign w:val="bottom"/>
          </w:tcPr>
          <w:p w14:paraId="5C6C00A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69</w:t>
            </w:r>
          </w:p>
        </w:tc>
        <w:tc>
          <w:tcPr>
            <w:tcW w:w="831" w:type="dxa"/>
            <w:tcBorders>
              <w:top w:val="nil"/>
              <w:left w:val="nil"/>
              <w:bottom w:val="nil"/>
              <w:right w:val="nil"/>
            </w:tcBorders>
            <w:vAlign w:val="bottom"/>
          </w:tcPr>
          <w:p w14:paraId="3662205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ind w:right="3"/>
              <w:jc w:val="right"/>
              <w:rPr>
                <w:sz w:val="18"/>
                <w:szCs w:val="18"/>
                <w:lang w:val="en-GB" w:eastAsia="en-GB" w:bidi="ar-SA"/>
              </w:rPr>
            </w:pPr>
            <w:r w:rsidRPr="00571974">
              <w:rPr>
                <w:sz w:val="18"/>
                <w:szCs w:val="18"/>
                <w:lang w:val="en-GB" w:eastAsia="en-GB" w:bidi="ar-SA"/>
              </w:rPr>
              <w:t>93</w:t>
            </w:r>
          </w:p>
        </w:tc>
      </w:tr>
    </w:tbl>
    <w:p w14:paraId="58C437CA" w14:textId="77777777" w:rsidR="00E93D9C" w:rsidRPr="00571974" w:rsidRDefault="00836D74" w:rsidP="00E93D9C">
      <w:pPr>
        <w:rPr>
          <w:lang w:val="en-GB"/>
        </w:rPr>
      </w:pPr>
      <w:r>
        <w:rPr>
          <w:lang w:val="en-GB"/>
        </w:rPr>
        <w:pict w14:anchorId="12CF7106">
          <v:rect id="_x0000_i1050" style="width:184.5pt;height:1pt" o:hrpct="250" o:hrstd="t" o:hrnoshade="t" o:hr="t" fillcolor="black" stroked="f"/>
        </w:pict>
      </w:r>
    </w:p>
    <w:p w14:paraId="7A9D1AF8" w14:textId="77777777" w:rsidR="00E93D9C" w:rsidRPr="00571974" w:rsidRDefault="003D4D89" w:rsidP="003D4D89">
      <w:pPr>
        <w:pStyle w:val="ListParagraph"/>
        <w:numPr>
          <w:ilvl w:val="0"/>
          <w:numId w:val="39"/>
        </w:numPr>
        <w:rPr>
          <w:sz w:val="16"/>
          <w:szCs w:val="18"/>
          <w:lang w:val="en-GB"/>
        </w:rPr>
      </w:pPr>
      <w:r w:rsidRPr="00571974">
        <w:rPr>
          <w:sz w:val="16"/>
          <w:szCs w:val="18"/>
          <w:lang w:val="en-GB"/>
        </w:rPr>
        <w:t xml:space="preserve">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 </w:t>
      </w:r>
    </w:p>
    <w:p w14:paraId="78208D15" w14:textId="77777777" w:rsidR="00E93D9C" w:rsidRPr="00571974" w:rsidRDefault="003D4D89" w:rsidP="003D4D89">
      <w:pPr>
        <w:pStyle w:val="ListParagraph"/>
        <w:numPr>
          <w:ilvl w:val="0"/>
          <w:numId w:val="39"/>
        </w:numPr>
        <w:rPr>
          <w:sz w:val="16"/>
          <w:szCs w:val="18"/>
          <w:lang w:val="en-GB"/>
        </w:rPr>
      </w:pPr>
      <w:r w:rsidRPr="00571974">
        <w:rPr>
          <w:sz w:val="16"/>
          <w:szCs w:val="18"/>
          <w:lang w:val="en-GB"/>
        </w:rPr>
        <w:t>Iron Ore Brazil production is Mt (wet basis)</w:t>
      </w:r>
    </w:p>
    <w:p w14:paraId="13D15B8A" w14:textId="77777777" w:rsidR="00E93D9C" w:rsidRPr="00571974" w:rsidRDefault="003D4D89" w:rsidP="003D4D89">
      <w:pPr>
        <w:pStyle w:val="ListParagraph"/>
        <w:numPr>
          <w:ilvl w:val="0"/>
          <w:numId w:val="39"/>
        </w:numPr>
        <w:rPr>
          <w:sz w:val="16"/>
          <w:szCs w:val="18"/>
          <w:lang w:val="en-GB"/>
        </w:rPr>
      </w:pPr>
      <w:r w:rsidRPr="00571974">
        <w:rPr>
          <w:sz w:val="16"/>
          <w:szCs w:val="18"/>
          <w:lang w:val="en-GB"/>
        </w:rPr>
        <w:t>Average iron ore market price for the year. Source: Platts (62% Fe, CFR). The Platts 62 Index is used for comparison purposes. Differing grades of iron ore product are priced using other indices.</w:t>
      </w:r>
    </w:p>
    <w:p w14:paraId="61B168D0" w14:textId="77777777" w:rsidR="00E93D9C" w:rsidRPr="00571974" w:rsidRDefault="00E93D9C" w:rsidP="00932961">
      <w:pPr>
        <w:pStyle w:val="BodyText"/>
        <w:widowControl/>
        <w:autoSpaceDE/>
        <w:autoSpaceDN/>
        <w:adjustRightInd/>
        <w:ind w:firstLine="426"/>
        <w:rPr>
          <w:lang w:val="en-GB"/>
        </w:rPr>
      </w:pPr>
    </w:p>
    <w:p w14:paraId="6E0EEFCB" w14:textId="32712031" w:rsidR="00E93D9C" w:rsidRPr="00571974" w:rsidRDefault="003D4D89" w:rsidP="00932961">
      <w:pPr>
        <w:pStyle w:val="BodyText"/>
        <w:widowControl/>
        <w:autoSpaceDE/>
        <w:autoSpaceDN/>
        <w:adjustRightInd/>
        <w:ind w:firstLine="426"/>
        <w:rPr>
          <w:lang w:val="en-GB"/>
        </w:rPr>
      </w:pPr>
      <w:r w:rsidRPr="00571974">
        <w:rPr>
          <w:lang w:val="en-GB"/>
        </w:rPr>
        <w:t>Iron Ore business segment</w:t>
      </w:r>
      <w:r w:rsidR="00A311D8">
        <w:rPr>
          <w:lang w:val="en-GB"/>
        </w:rPr>
        <w:t>’</w:t>
      </w:r>
      <w:r w:rsidRPr="00571974">
        <w:rPr>
          <w:lang w:val="en-GB"/>
        </w:rPr>
        <w:t>s underlying EBIT in 2019, 2018 and 2017 was US$2,952 million, US$747 million and US$1,500 million, respectively. The 295% increase from 2018 to 2019 was principally driven by high iron ore market prices alongside increased sales at Iron Ore Brazil (</w:t>
      </w:r>
      <w:r w:rsidR="00A311D8">
        <w:rPr>
          <w:lang w:val="en-GB"/>
        </w:rPr>
        <w:t>“</w:t>
      </w:r>
      <w:r w:rsidRPr="00571974">
        <w:rPr>
          <w:lang w:val="en-GB"/>
        </w:rPr>
        <w:t>IOB</w:t>
      </w:r>
      <w:r w:rsidR="00A311D8">
        <w:rPr>
          <w:lang w:val="en-GB"/>
        </w:rPr>
        <w:t>”</w:t>
      </w:r>
      <w:r w:rsidRPr="00571974">
        <w:rPr>
          <w:lang w:val="en-GB"/>
        </w:rPr>
        <w:t xml:space="preserve">). The 50% decrease from 2017 to 2018 was principally due the suspension of operations at IOB for nine months due to the pipeline incident, as well as reduced sales at Kumba due to logistical constraints through the year. </w:t>
      </w:r>
    </w:p>
    <w:p w14:paraId="4E121EBB" w14:textId="6A3FA24B" w:rsidR="00E93D9C" w:rsidRPr="00571974" w:rsidRDefault="003D4D89" w:rsidP="00932961">
      <w:pPr>
        <w:pStyle w:val="BodyText"/>
        <w:widowControl/>
        <w:autoSpaceDE/>
        <w:autoSpaceDN/>
        <w:adjustRightInd/>
        <w:ind w:firstLine="426"/>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 in 2019, 2018 and 2017 were US$6,758 million, US$3,768 million and US$4,891 million, respectively. The 79% increase in revenue from 2018 to 2019 was due to high iron ore prices and higher sales at IOB. The 23% decrease in revenue from 2017 to 2018 was due to the reduction in sales caused by the IOB suspension in operations and rail constraints at Kumba. </w:t>
      </w:r>
    </w:p>
    <w:p w14:paraId="2831B9A3" w14:textId="77777777" w:rsidR="00E93D9C" w:rsidRPr="00571974" w:rsidRDefault="003D4D89" w:rsidP="00EA3F32">
      <w:pPr>
        <w:pStyle w:val="Heading4"/>
      </w:pPr>
      <w:r w:rsidRPr="00571974">
        <w:t>Kumba</w:t>
      </w:r>
    </w:p>
    <w:p w14:paraId="16AB638E" w14:textId="77777777" w:rsidR="00E93D9C" w:rsidRPr="00571974" w:rsidRDefault="003D4D89" w:rsidP="00E93D9C">
      <w:pPr>
        <w:pStyle w:val="BodyText"/>
        <w:widowControl/>
        <w:autoSpaceDE/>
        <w:autoSpaceDN/>
        <w:adjustRightInd/>
        <w:ind w:firstLine="426"/>
        <w:rPr>
          <w:lang w:val="en-GB"/>
        </w:rPr>
      </w:pPr>
      <w:r w:rsidRPr="00571974">
        <w:rPr>
          <w:lang w:val="en-GB"/>
        </w:rPr>
        <w:t xml:space="preserve">Underlying EBIT in 2019, 2018 and 2017 was US$1,984 million, US$1,213 million and US$1,246 million, respectively. 2019 underlying EBIT was 64% higher in 2019 than in 2018 principally due to the higher Platts 62% Fe iron ore market price, partially offset by reduced export and domestic sales due to port disruptions and reduced </w:t>
      </w:r>
      <w:r w:rsidRPr="00571974">
        <w:rPr>
          <w:lang w:val="en-GB"/>
        </w:rPr>
        <w:lastRenderedPageBreak/>
        <w:t xml:space="preserve">domestic demand. 2018 underlying EBIT was 3% lower in 2018 than in 2017 principally due to a reduction in export sales due to logistical constraints and inflationary input cost pressures. This was slightly offset by a 1% increase in FOB realized price and a stronger South African rand. </w:t>
      </w:r>
    </w:p>
    <w:p w14:paraId="4817010C" w14:textId="4EA77E2D" w:rsidR="00E93D9C" w:rsidRPr="00571974" w:rsidRDefault="003D4D89" w:rsidP="00E93D9C">
      <w:pPr>
        <w:pStyle w:val="BodyText"/>
        <w:widowControl/>
        <w:autoSpaceDE/>
        <w:autoSpaceDN/>
        <w:adjustRightInd/>
        <w:ind w:firstLine="426"/>
        <w:rPr>
          <w:lang w:val="en-GB"/>
        </w:rPr>
      </w:pPr>
      <w:r w:rsidRPr="00571974">
        <w:rPr>
          <w:lang w:val="en-GB"/>
        </w:rPr>
        <w:t>Kumba</w:t>
      </w:r>
      <w:r w:rsidR="00A311D8">
        <w:rPr>
          <w:lang w:val="en-GB"/>
        </w:rPr>
        <w:t>’</w:t>
      </w:r>
      <w:r w:rsidRPr="00571974">
        <w:rPr>
          <w:lang w:val="en-GB"/>
        </w:rPr>
        <w:t xml:space="preserve">s iron ore production for 2019, 2018 and 2017 was 42.4Mt, 43.1 Mt and 45.0 Mt, respectively. The 2% decrease from 2018 to </w:t>
      </w:r>
      <w:r w:rsidR="00094105">
        <w:rPr>
          <w:lang w:val="en-GB"/>
        </w:rPr>
        <w:t>2019</w:t>
      </w:r>
      <w:r w:rsidRPr="00571974">
        <w:rPr>
          <w:lang w:val="en-GB"/>
        </w:rPr>
        <w:t xml:space="preserve"> was primarily driven by the infrastructure upgrade of the dense media separation plant at Kolomela. The 4% decrease from 2017 to 2018 was primarily due to the change in plan to increase the quality of ore produced and in turn optimize margins in response to logistical constraints in rail transportation. </w:t>
      </w:r>
    </w:p>
    <w:p w14:paraId="3590079F" w14:textId="77777777" w:rsidR="00E93D9C" w:rsidRPr="00571974" w:rsidRDefault="003D4D89" w:rsidP="00EA3F32">
      <w:pPr>
        <w:pStyle w:val="Heading4"/>
      </w:pPr>
      <w:r w:rsidRPr="00571974">
        <w:t>Iron Ore Brazil</w:t>
      </w:r>
    </w:p>
    <w:p w14:paraId="71812591" w14:textId="457DE6C8" w:rsidR="00E93D9C" w:rsidRPr="00571974" w:rsidRDefault="003D4D89" w:rsidP="00E93D9C">
      <w:pPr>
        <w:pStyle w:val="BodyText"/>
        <w:widowControl/>
        <w:autoSpaceDE/>
        <w:autoSpaceDN/>
        <w:adjustRightInd/>
        <w:ind w:firstLine="426"/>
        <w:rPr>
          <w:szCs w:val="20"/>
          <w:lang w:val="en-GB"/>
        </w:rPr>
      </w:pPr>
      <w:r w:rsidRPr="00571974">
        <w:rPr>
          <w:lang w:val="en-GB"/>
        </w:rPr>
        <w:t>Underlying EBIT in 2019</w:t>
      </w:r>
      <w:r w:rsidRPr="00571974">
        <w:rPr>
          <w:szCs w:val="20"/>
          <w:lang w:val="en-GB"/>
        </w:rPr>
        <w:t xml:space="preserve"> was US$</w:t>
      </w:r>
      <w:r w:rsidRPr="00571974">
        <w:rPr>
          <w:lang w:val="en-GB"/>
        </w:rPr>
        <w:t>1,089</w:t>
      </w:r>
      <w:r w:rsidRPr="00571974">
        <w:rPr>
          <w:szCs w:val="20"/>
          <w:lang w:val="en-GB"/>
        </w:rPr>
        <w:t xml:space="preserve"> million principally due to the</w:t>
      </w:r>
      <w:r w:rsidRPr="00571974">
        <w:rPr>
          <w:lang w:val="en-GB"/>
        </w:rPr>
        <w:t xml:space="preserve"> higher Metal Bulletin 66% iron ore market price as well as higher sales. Underlying EBIT in 2018</w:t>
      </w:r>
      <w:r w:rsidRPr="00571974">
        <w:rPr>
          <w:szCs w:val="20"/>
          <w:lang w:val="en-GB"/>
        </w:rPr>
        <w:t xml:space="preserve"> was US$(371) million principally due to the suspension of all operations between March and December 2018 following a second leak in the 529km pipeline.</w:t>
      </w:r>
      <w:r w:rsidRPr="00571974">
        <w:rPr>
          <w:lang w:val="en-GB"/>
        </w:rPr>
        <w:t xml:space="preserve"> Underlying EBIT in 2017 was US$</w:t>
      </w:r>
      <w:r w:rsidR="004520D4">
        <w:rPr>
          <w:lang w:val="en-GB"/>
        </w:rPr>
        <w:t>3</w:t>
      </w:r>
      <w:r w:rsidRPr="00571974">
        <w:rPr>
          <w:lang w:val="en-GB"/>
        </w:rPr>
        <w:t>35, following operating losses in 2016 of US$6 million. This reflected the operation</w:t>
      </w:r>
      <w:r w:rsidR="00A311D8">
        <w:rPr>
          <w:lang w:val="en-GB"/>
        </w:rPr>
        <w:t>’</w:t>
      </w:r>
      <w:r w:rsidRPr="00571974">
        <w:rPr>
          <w:lang w:val="en-GB"/>
        </w:rPr>
        <w:t>s continued ramp-up to its current operating capacity and the cessation of capitalization of operating results since January 2017.</w:t>
      </w:r>
    </w:p>
    <w:p w14:paraId="028B1E78" w14:textId="77777777" w:rsidR="00E93D9C" w:rsidRPr="00571974" w:rsidRDefault="003D4D89" w:rsidP="00932961">
      <w:pPr>
        <w:pStyle w:val="BodyText"/>
        <w:widowControl/>
        <w:autoSpaceDE/>
        <w:autoSpaceDN/>
        <w:adjustRightInd/>
        <w:ind w:firstLine="426"/>
        <w:rPr>
          <w:lang w:val="en-GB"/>
        </w:rPr>
      </w:pPr>
      <w:r w:rsidRPr="00571974">
        <w:rPr>
          <w:lang w:val="en-GB"/>
        </w:rPr>
        <w:t xml:space="preserve">IOB production for 2019, 2018 and 2017 was 23.1 Mt, 3.4 Mt and 16.8 Mt respectively. In 2019 production was </w:t>
      </w:r>
      <w:r w:rsidR="00D37317">
        <w:rPr>
          <w:lang w:val="en-GB"/>
        </w:rPr>
        <w:t xml:space="preserve">principally </w:t>
      </w:r>
      <w:r w:rsidRPr="00571974">
        <w:rPr>
          <w:lang w:val="en-GB"/>
        </w:rPr>
        <w:t>driven by the access to the Step 3 ore, after acquiring the mining license in December 2018. In 2018 production was suspended for nine months following the pipeline incident. The increase from 2016 to 2017 was driven by the continued ramp up of the operation. Full year production in 2017, at 16.8 Mt (wet basis), was within the market guidance of 16-18 Mt (wet basis), although the ramp-up schedule was affected as mining operations were restricted to the remaining Ore Reserves in the Step 2 license, which included lower-grade ore.</w:t>
      </w:r>
    </w:p>
    <w:p w14:paraId="2E1C9F90" w14:textId="6984FDCC" w:rsidR="00E93D9C" w:rsidRPr="00571974" w:rsidRDefault="003D4D89" w:rsidP="00932961">
      <w:pPr>
        <w:pStyle w:val="BodyText"/>
        <w:widowControl/>
        <w:autoSpaceDE/>
        <w:autoSpaceDN/>
        <w:adjustRightInd/>
        <w:ind w:firstLine="426"/>
        <w:rPr>
          <w:lang w:val="en-GB"/>
        </w:rPr>
      </w:pPr>
      <w:r w:rsidRPr="00571974">
        <w:rPr>
          <w:lang w:val="en-GB"/>
        </w:rPr>
        <w:t>Minas-Rio project capital expenditure is estimated at US$8.</w:t>
      </w:r>
      <w:r w:rsidR="00F93457">
        <w:rPr>
          <w:lang w:val="en-GB"/>
        </w:rPr>
        <w:t>2</w:t>
      </w:r>
      <w:r w:rsidRPr="00571974">
        <w:rPr>
          <w:lang w:val="en-GB"/>
        </w:rPr>
        <w:t xml:space="preserve"> billion</w:t>
      </w:r>
      <w:r w:rsidR="00F93457">
        <w:rPr>
          <w:lang w:val="en-GB"/>
        </w:rPr>
        <w:t>.</w:t>
      </w:r>
    </w:p>
    <w:p w14:paraId="1B22131C" w14:textId="435DE660" w:rsidR="00E93D9C" w:rsidRPr="001003BB" w:rsidRDefault="003D4D89" w:rsidP="001003BB">
      <w:pPr>
        <w:pStyle w:val="BodyText"/>
        <w:widowControl/>
        <w:autoSpaceDE/>
        <w:autoSpaceDN/>
        <w:adjustRightInd/>
        <w:ind w:firstLine="426"/>
        <w:rPr>
          <w:lang w:val="en-GB"/>
        </w:rPr>
      </w:pPr>
      <w:r w:rsidRPr="00571974">
        <w:rPr>
          <w:lang w:val="en-GB"/>
        </w:rPr>
        <w:t xml:space="preserve">The Minas-Rio iron ore project in Brazil was acquired in two separate transactions in 2007 and 2008. Prior to 2016, impairment charges </w:t>
      </w:r>
      <w:r w:rsidR="0053004A" w:rsidRPr="00571974">
        <w:rPr>
          <w:lang w:val="en-GB"/>
        </w:rPr>
        <w:t>totaling</w:t>
      </w:r>
      <w:r w:rsidRPr="00571974">
        <w:rPr>
          <w:lang w:val="en-GB"/>
        </w:rPr>
        <w:t xml:space="preserve"> US$11.3 billion (before tax) were recorded against the carrying value of Minas-Rio. The valuation was reassessed as at December 31, 2019 and the previous impairment has been partially reversed to a recoverable amount of </w:t>
      </w:r>
      <w:r w:rsidR="00C22B9F">
        <w:rPr>
          <w:lang w:val="en-GB"/>
        </w:rPr>
        <w:t>US</w:t>
      </w:r>
      <w:r w:rsidRPr="00571974">
        <w:rPr>
          <w:lang w:val="en-GB"/>
        </w:rPr>
        <w:t xml:space="preserve">$5.3 billion, resulting in a gain of </w:t>
      </w:r>
      <w:r w:rsidR="00C22B9F">
        <w:rPr>
          <w:lang w:val="en-GB"/>
        </w:rPr>
        <w:t>US</w:t>
      </w:r>
      <w:r w:rsidRPr="00571974">
        <w:rPr>
          <w:lang w:val="en-GB"/>
        </w:rPr>
        <w:t xml:space="preserve">$1.0 billion. The valuation remains sensitive to economic and operational factors that provide both upside and downside risk, including price and the scheduling of required permits and licenses. For example, a US$5/tonne change in the long-term price forecast for iron ore, with all other valuation assumptions remaining the same, would change the valuation by US$0.6 billion. </w:t>
      </w:r>
    </w:p>
    <w:p w14:paraId="0543E1B5" w14:textId="77777777" w:rsidR="00E93D9C" w:rsidRPr="00571974" w:rsidRDefault="003D4D89" w:rsidP="007B1404">
      <w:pPr>
        <w:pStyle w:val="Heading3"/>
        <w:rPr>
          <w:lang w:val="en-GB"/>
        </w:rPr>
      </w:pPr>
      <w:r w:rsidRPr="00571974">
        <w:rPr>
          <w:lang w:val="en-GB"/>
        </w:rPr>
        <w:t>Coal</w:t>
      </w:r>
    </w:p>
    <w:p w14:paraId="183689A4" w14:textId="77777777" w:rsidR="00E93D9C" w:rsidRPr="00571974" w:rsidRDefault="003D4D89" w:rsidP="00E93D9C">
      <w:pPr>
        <w:pStyle w:val="BodyText"/>
        <w:widowControl/>
        <w:autoSpaceDE/>
        <w:autoSpaceDN/>
        <w:adjustRightInd/>
        <w:ind w:firstLine="360"/>
        <w:rPr>
          <w:lang w:val="en-GB"/>
        </w:rPr>
      </w:pPr>
      <w:r w:rsidRPr="00571974">
        <w:rPr>
          <w:lang w:val="en-GB"/>
        </w:rPr>
        <w:t>The following table summarizes the results of operations of the Coal business segments and average realized price for metallurgical and thermal coal for the years indicated:</w:t>
      </w:r>
    </w:p>
    <w:tbl>
      <w:tblPr>
        <w:tblW w:w="5000" w:type="pct"/>
        <w:jc w:val="center"/>
        <w:tblLayout w:type="fixed"/>
        <w:tblCellMar>
          <w:left w:w="72" w:type="dxa"/>
          <w:right w:w="72" w:type="dxa"/>
        </w:tblCellMar>
        <w:tblLook w:val="0000" w:firstRow="0" w:lastRow="0" w:firstColumn="0" w:lastColumn="0" w:noHBand="0" w:noVBand="0"/>
      </w:tblPr>
      <w:tblGrid>
        <w:gridCol w:w="7191"/>
        <w:gridCol w:w="698"/>
        <w:gridCol w:w="698"/>
        <w:gridCol w:w="769"/>
      </w:tblGrid>
      <w:tr w:rsidR="002228B8" w14:paraId="725192FB" w14:textId="77777777" w:rsidTr="00DF4A0D">
        <w:trPr>
          <w:cantSplit/>
          <w:jc w:val="center"/>
        </w:trPr>
        <w:tc>
          <w:tcPr>
            <w:tcW w:w="3843" w:type="pct"/>
            <w:tcBorders>
              <w:top w:val="nil"/>
              <w:left w:val="nil"/>
              <w:bottom w:val="nil"/>
              <w:right w:val="nil"/>
            </w:tcBorders>
            <w:vAlign w:val="bottom"/>
          </w:tcPr>
          <w:p w14:paraId="7F4B047C"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157" w:type="pct"/>
            <w:gridSpan w:val="3"/>
            <w:tcBorders>
              <w:top w:val="nil"/>
              <w:left w:val="nil"/>
              <w:bottom w:val="nil"/>
              <w:right w:val="nil"/>
            </w:tcBorders>
            <w:vAlign w:val="bottom"/>
          </w:tcPr>
          <w:p w14:paraId="7BF7F3D1"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 xml:space="preserve">Year-ended December 31, </w:t>
            </w:r>
          </w:p>
        </w:tc>
      </w:tr>
      <w:tr w:rsidR="002228B8" w14:paraId="6DF4ADDF" w14:textId="77777777" w:rsidTr="00DF4A0D">
        <w:trPr>
          <w:cantSplit/>
          <w:jc w:val="center"/>
        </w:trPr>
        <w:tc>
          <w:tcPr>
            <w:tcW w:w="3843" w:type="pct"/>
            <w:tcBorders>
              <w:top w:val="nil"/>
              <w:left w:val="nil"/>
              <w:right w:val="nil"/>
            </w:tcBorders>
            <w:vAlign w:val="bottom"/>
          </w:tcPr>
          <w:p w14:paraId="3E80A357"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373" w:type="pct"/>
            <w:tcBorders>
              <w:top w:val="nil"/>
              <w:left w:val="nil"/>
              <w:bottom w:val="nil"/>
              <w:right w:val="nil"/>
            </w:tcBorders>
            <w:vAlign w:val="bottom"/>
          </w:tcPr>
          <w:p w14:paraId="680719B1"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373" w:type="pct"/>
            <w:tcBorders>
              <w:top w:val="nil"/>
              <w:left w:val="nil"/>
              <w:bottom w:val="nil"/>
              <w:right w:val="nil"/>
            </w:tcBorders>
            <w:vAlign w:val="bottom"/>
          </w:tcPr>
          <w:p w14:paraId="73719A60"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411" w:type="pct"/>
            <w:tcBorders>
              <w:top w:val="nil"/>
              <w:left w:val="nil"/>
              <w:bottom w:val="nil"/>
              <w:right w:val="nil"/>
            </w:tcBorders>
            <w:vAlign w:val="bottom"/>
          </w:tcPr>
          <w:p w14:paraId="683C5779"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63BDCBC7" w14:textId="77777777" w:rsidTr="00DF4A0D">
        <w:trPr>
          <w:cantSplit/>
          <w:jc w:val="center"/>
        </w:trPr>
        <w:tc>
          <w:tcPr>
            <w:tcW w:w="3843" w:type="pct"/>
            <w:vAlign w:val="bottom"/>
          </w:tcPr>
          <w:p w14:paraId="5EBF39F3"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157" w:type="pct"/>
            <w:gridSpan w:val="3"/>
            <w:tcBorders>
              <w:top w:val="nil"/>
              <w:left w:val="nil"/>
              <w:right w:val="nil"/>
            </w:tcBorders>
            <w:vAlign w:val="bottom"/>
          </w:tcPr>
          <w:p w14:paraId="691EF58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5E662D0F" w14:textId="77777777" w:rsidTr="00DF4A0D">
        <w:trPr>
          <w:cantSplit/>
          <w:jc w:val="center"/>
        </w:trPr>
        <w:tc>
          <w:tcPr>
            <w:tcW w:w="3843" w:type="pct"/>
            <w:shd w:val="clear" w:color="auto" w:fill="auto"/>
          </w:tcPr>
          <w:p w14:paraId="033F70AE" w14:textId="44CF1BD5"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373" w:type="pct"/>
            <w:shd w:val="clear" w:color="auto" w:fill="auto"/>
            <w:vAlign w:val="bottom"/>
          </w:tcPr>
          <w:p w14:paraId="33D27F7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7,211</w:t>
            </w:r>
          </w:p>
        </w:tc>
        <w:tc>
          <w:tcPr>
            <w:tcW w:w="373" w:type="pct"/>
            <w:shd w:val="clear" w:color="auto" w:fill="auto"/>
            <w:vAlign w:val="bottom"/>
          </w:tcPr>
          <w:p w14:paraId="2D70607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7,788</w:t>
            </w:r>
          </w:p>
        </w:tc>
        <w:tc>
          <w:tcPr>
            <w:tcW w:w="411" w:type="pct"/>
            <w:shd w:val="clear" w:color="auto" w:fill="auto"/>
            <w:vAlign w:val="bottom"/>
          </w:tcPr>
          <w:p w14:paraId="4B32294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6,137</w:t>
            </w:r>
          </w:p>
        </w:tc>
      </w:tr>
      <w:tr w:rsidR="002228B8" w14:paraId="69135EE0" w14:textId="77777777" w:rsidTr="00DF4A0D">
        <w:trPr>
          <w:cantSplit/>
          <w:jc w:val="center"/>
        </w:trPr>
        <w:tc>
          <w:tcPr>
            <w:tcW w:w="3843" w:type="pct"/>
            <w:shd w:val="clear" w:color="auto" w:fill="auto"/>
          </w:tcPr>
          <w:p w14:paraId="10DB6EFF"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373" w:type="pct"/>
            <w:shd w:val="clear" w:color="auto" w:fill="auto"/>
            <w:vAlign w:val="bottom"/>
          </w:tcPr>
          <w:p w14:paraId="4D3DD83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2,274</w:t>
            </w:r>
          </w:p>
        </w:tc>
        <w:tc>
          <w:tcPr>
            <w:tcW w:w="373" w:type="pct"/>
            <w:shd w:val="clear" w:color="auto" w:fill="auto"/>
            <w:vAlign w:val="bottom"/>
          </w:tcPr>
          <w:p w14:paraId="589DB7C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2,538</w:t>
            </w:r>
          </w:p>
        </w:tc>
        <w:tc>
          <w:tcPr>
            <w:tcW w:w="411" w:type="pct"/>
            <w:shd w:val="clear" w:color="auto" w:fill="auto"/>
            <w:vAlign w:val="bottom"/>
          </w:tcPr>
          <w:p w14:paraId="35A07E2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1,010</w:t>
            </w:r>
          </w:p>
        </w:tc>
      </w:tr>
      <w:tr w:rsidR="002228B8" w14:paraId="2607EDE4" w14:textId="77777777" w:rsidTr="00DF4A0D">
        <w:trPr>
          <w:cantSplit/>
          <w:jc w:val="center"/>
        </w:trPr>
        <w:tc>
          <w:tcPr>
            <w:tcW w:w="3843" w:type="pct"/>
            <w:shd w:val="clear" w:color="auto" w:fill="auto"/>
          </w:tcPr>
          <w:p w14:paraId="272B9BA2" w14:textId="77777777" w:rsidR="00E93D9C" w:rsidRPr="00571974" w:rsidRDefault="003D4D89" w:rsidP="00DF4A0D">
            <w:pPr>
              <w:pStyle w:val="ListParagraph"/>
              <w:widowControl/>
              <w:tabs>
                <w:tab w:val="right" w:leader="dot" w:pos="7860"/>
              </w:tabs>
              <w:suppressAutoHyphens/>
              <w:rPr>
                <w:sz w:val="18"/>
                <w:szCs w:val="18"/>
                <w:lang w:val="en-GB" w:eastAsia="en-GB" w:bidi="ar-SA"/>
              </w:rPr>
            </w:pPr>
            <w:r w:rsidRPr="00571974">
              <w:rPr>
                <w:sz w:val="18"/>
                <w:szCs w:val="18"/>
                <w:lang w:val="en-GB" w:eastAsia="en-GB" w:bidi="ar-SA"/>
              </w:rPr>
              <w:t>Metallurgical Coal</w:t>
            </w:r>
            <w:r w:rsidRPr="00571974">
              <w:rPr>
                <w:sz w:val="18"/>
                <w:szCs w:val="18"/>
                <w:lang w:val="en-GB" w:eastAsia="en-GB" w:bidi="ar-SA"/>
              </w:rPr>
              <w:tab/>
            </w:r>
          </w:p>
        </w:tc>
        <w:tc>
          <w:tcPr>
            <w:tcW w:w="373" w:type="pct"/>
            <w:shd w:val="clear" w:color="auto" w:fill="auto"/>
            <w:vAlign w:val="bottom"/>
          </w:tcPr>
          <w:p w14:paraId="4EFE4AA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1,594</w:t>
            </w:r>
          </w:p>
        </w:tc>
        <w:tc>
          <w:tcPr>
            <w:tcW w:w="373" w:type="pct"/>
            <w:shd w:val="clear" w:color="auto" w:fill="auto"/>
            <w:vAlign w:val="bottom"/>
          </w:tcPr>
          <w:p w14:paraId="0C83AAD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1,774</w:t>
            </w:r>
          </w:p>
        </w:tc>
        <w:tc>
          <w:tcPr>
            <w:tcW w:w="411" w:type="pct"/>
            <w:shd w:val="clear" w:color="auto" w:fill="auto"/>
            <w:vAlign w:val="bottom"/>
          </w:tcPr>
          <w:p w14:paraId="323E95D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1,148</w:t>
            </w:r>
          </w:p>
        </w:tc>
      </w:tr>
      <w:tr w:rsidR="002228B8" w14:paraId="0A94CA7D" w14:textId="77777777" w:rsidTr="00DF4A0D">
        <w:trPr>
          <w:cantSplit/>
          <w:jc w:val="center"/>
        </w:trPr>
        <w:tc>
          <w:tcPr>
            <w:tcW w:w="3843" w:type="pct"/>
            <w:shd w:val="clear" w:color="auto" w:fill="auto"/>
          </w:tcPr>
          <w:p w14:paraId="193E1CEC" w14:textId="77777777" w:rsidR="00E93D9C" w:rsidRPr="00571974" w:rsidRDefault="003D4D89" w:rsidP="00DF4A0D">
            <w:pPr>
              <w:pStyle w:val="ListParagraph"/>
              <w:widowControl/>
              <w:tabs>
                <w:tab w:val="right" w:leader="dot" w:pos="7860"/>
              </w:tabs>
              <w:suppressAutoHyphens/>
              <w:rPr>
                <w:sz w:val="18"/>
                <w:szCs w:val="18"/>
                <w:lang w:val="en-GB" w:eastAsia="en-GB" w:bidi="ar-SA"/>
              </w:rPr>
            </w:pPr>
            <w:r w:rsidRPr="00571974">
              <w:rPr>
                <w:sz w:val="18"/>
                <w:szCs w:val="18"/>
                <w:lang w:val="en-GB" w:eastAsia="en-GB" w:bidi="ar-SA"/>
              </w:rPr>
              <w:t>South Africa</w:t>
            </w:r>
            <w:r w:rsidRPr="00571974">
              <w:rPr>
                <w:sz w:val="18"/>
                <w:szCs w:val="18"/>
                <w:lang w:val="en-GB" w:eastAsia="en-GB" w:bidi="ar-SA"/>
              </w:rPr>
              <w:tab/>
            </w:r>
          </w:p>
        </w:tc>
        <w:tc>
          <w:tcPr>
            <w:tcW w:w="373" w:type="pct"/>
            <w:shd w:val="clear" w:color="auto" w:fill="auto"/>
            <w:vAlign w:val="bottom"/>
          </w:tcPr>
          <w:p w14:paraId="7EE83C1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466</w:t>
            </w:r>
          </w:p>
        </w:tc>
        <w:tc>
          <w:tcPr>
            <w:tcW w:w="373" w:type="pct"/>
            <w:shd w:val="clear" w:color="auto" w:fill="auto"/>
            <w:vAlign w:val="bottom"/>
          </w:tcPr>
          <w:p w14:paraId="2E55F43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566</w:t>
            </w:r>
          </w:p>
        </w:tc>
        <w:tc>
          <w:tcPr>
            <w:tcW w:w="411" w:type="pct"/>
            <w:shd w:val="clear" w:color="auto" w:fill="auto"/>
            <w:vAlign w:val="bottom"/>
          </w:tcPr>
          <w:p w14:paraId="328745F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w:t>
            </w:r>
          </w:p>
        </w:tc>
      </w:tr>
      <w:tr w:rsidR="002228B8" w14:paraId="112AFC72" w14:textId="77777777" w:rsidTr="00DF4A0D">
        <w:trPr>
          <w:cantSplit/>
          <w:jc w:val="center"/>
        </w:trPr>
        <w:tc>
          <w:tcPr>
            <w:tcW w:w="3843" w:type="pct"/>
            <w:shd w:val="clear" w:color="auto" w:fill="auto"/>
          </w:tcPr>
          <w:p w14:paraId="0928CD25" w14:textId="77777777" w:rsidR="00E93D9C" w:rsidRPr="00571974" w:rsidRDefault="003D4D89" w:rsidP="00DF4A0D">
            <w:pPr>
              <w:pStyle w:val="ListParagraph"/>
              <w:widowControl/>
              <w:tabs>
                <w:tab w:val="right" w:leader="dot" w:pos="7860"/>
              </w:tabs>
              <w:suppressAutoHyphens/>
              <w:rPr>
                <w:sz w:val="18"/>
                <w:szCs w:val="18"/>
                <w:lang w:val="en-GB" w:eastAsia="en-GB" w:bidi="ar-SA"/>
              </w:rPr>
            </w:pPr>
            <w:r w:rsidRPr="00571974">
              <w:rPr>
                <w:sz w:val="18"/>
                <w:szCs w:val="18"/>
                <w:lang w:val="en-GB" w:eastAsia="en-GB" w:bidi="ar-SA"/>
              </w:rPr>
              <w:t>Cerrejón</w:t>
            </w:r>
            <w:r w:rsidRPr="00571974">
              <w:rPr>
                <w:sz w:val="18"/>
                <w:szCs w:val="18"/>
                <w:lang w:val="en-GB" w:eastAsia="en-GB" w:bidi="ar-SA"/>
              </w:rPr>
              <w:tab/>
            </w:r>
          </w:p>
        </w:tc>
        <w:tc>
          <w:tcPr>
            <w:tcW w:w="373" w:type="pct"/>
            <w:shd w:val="clear" w:color="auto" w:fill="auto"/>
            <w:vAlign w:val="bottom"/>
          </w:tcPr>
          <w:p w14:paraId="7D52AC9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296</w:t>
            </w:r>
          </w:p>
        </w:tc>
        <w:tc>
          <w:tcPr>
            <w:tcW w:w="373" w:type="pct"/>
            <w:shd w:val="clear" w:color="auto" w:fill="auto"/>
            <w:vAlign w:val="bottom"/>
          </w:tcPr>
          <w:p w14:paraId="67B4779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295</w:t>
            </w:r>
          </w:p>
        </w:tc>
        <w:tc>
          <w:tcPr>
            <w:tcW w:w="411" w:type="pct"/>
            <w:shd w:val="clear" w:color="auto" w:fill="auto"/>
            <w:vAlign w:val="bottom"/>
          </w:tcPr>
          <w:p w14:paraId="115BFDF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w:t>
            </w:r>
          </w:p>
        </w:tc>
      </w:tr>
      <w:tr w:rsidR="002228B8" w14:paraId="0C3AEBE7" w14:textId="77777777" w:rsidTr="00DF4A0D">
        <w:trPr>
          <w:cantSplit/>
          <w:jc w:val="center"/>
        </w:trPr>
        <w:tc>
          <w:tcPr>
            <w:tcW w:w="3843" w:type="pct"/>
            <w:shd w:val="clear" w:color="auto" w:fill="auto"/>
          </w:tcPr>
          <w:p w14:paraId="392363BA" w14:textId="77777777" w:rsidR="00E93D9C" w:rsidRPr="00571974" w:rsidRDefault="003D4D89" w:rsidP="00DF4A0D">
            <w:pPr>
              <w:pStyle w:val="ListParagraph"/>
              <w:widowControl/>
              <w:tabs>
                <w:tab w:val="right" w:leader="dot" w:pos="7860"/>
              </w:tabs>
              <w:suppressAutoHyphens/>
              <w:rPr>
                <w:sz w:val="18"/>
                <w:szCs w:val="18"/>
                <w:lang w:val="en-GB" w:eastAsia="en-GB" w:bidi="ar-SA"/>
              </w:rPr>
            </w:pPr>
            <w:r w:rsidRPr="00571974">
              <w:rPr>
                <w:sz w:val="18"/>
                <w:szCs w:val="18"/>
                <w:lang w:val="en-GB" w:eastAsia="en-GB" w:bidi="ar-SA"/>
              </w:rPr>
              <w:t>Projects and Corporate</w:t>
            </w:r>
            <w:r w:rsidRPr="00571974">
              <w:rPr>
                <w:sz w:val="18"/>
                <w:szCs w:val="18"/>
                <w:lang w:val="en-GB" w:eastAsia="en-GB" w:bidi="ar-SA"/>
              </w:rPr>
              <w:tab/>
            </w:r>
          </w:p>
        </w:tc>
        <w:tc>
          <w:tcPr>
            <w:tcW w:w="373" w:type="pct"/>
            <w:shd w:val="clear" w:color="auto" w:fill="auto"/>
            <w:vAlign w:val="bottom"/>
          </w:tcPr>
          <w:p w14:paraId="1DB5A6E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(82)</w:t>
            </w:r>
          </w:p>
        </w:tc>
        <w:tc>
          <w:tcPr>
            <w:tcW w:w="373" w:type="pct"/>
            <w:shd w:val="clear" w:color="auto" w:fill="auto"/>
            <w:vAlign w:val="bottom"/>
          </w:tcPr>
          <w:p w14:paraId="5CD06E3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(97)</w:t>
            </w:r>
          </w:p>
        </w:tc>
        <w:tc>
          <w:tcPr>
            <w:tcW w:w="411" w:type="pct"/>
            <w:shd w:val="clear" w:color="auto" w:fill="auto"/>
            <w:vAlign w:val="bottom"/>
          </w:tcPr>
          <w:p w14:paraId="43220C3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(128)</w:t>
            </w:r>
          </w:p>
        </w:tc>
      </w:tr>
      <w:tr w:rsidR="002228B8" w14:paraId="5F980DF3" w14:textId="77777777" w:rsidTr="00DF4A0D">
        <w:trPr>
          <w:cantSplit/>
          <w:jc w:val="center"/>
        </w:trPr>
        <w:tc>
          <w:tcPr>
            <w:tcW w:w="3843" w:type="pct"/>
            <w:shd w:val="clear" w:color="auto" w:fill="auto"/>
          </w:tcPr>
          <w:p w14:paraId="4B78BB8F" w14:textId="77777777" w:rsidR="00E93D9C" w:rsidRPr="00571974" w:rsidRDefault="003D4D89" w:rsidP="00DF4A0D">
            <w:pPr>
              <w:tabs>
                <w:tab w:val="right" w:leader="dot" w:pos="7860"/>
              </w:tabs>
              <w:suppressAutoHyphens/>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373" w:type="pct"/>
            <w:shd w:val="clear" w:color="auto" w:fill="auto"/>
            <w:vAlign w:val="bottom"/>
          </w:tcPr>
          <w:p w14:paraId="71C0311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2,868</w:t>
            </w:r>
          </w:p>
        </w:tc>
        <w:tc>
          <w:tcPr>
            <w:tcW w:w="373" w:type="pct"/>
            <w:shd w:val="clear" w:color="auto" w:fill="auto"/>
            <w:vAlign w:val="bottom"/>
          </w:tcPr>
          <w:p w14:paraId="75283EE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3,196</w:t>
            </w:r>
          </w:p>
        </w:tc>
        <w:tc>
          <w:tcPr>
            <w:tcW w:w="411" w:type="pct"/>
            <w:shd w:val="clear" w:color="auto" w:fill="auto"/>
            <w:vAlign w:val="bottom"/>
          </w:tcPr>
          <w:p w14:paraId="240143F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1,832</w:t>
            </w:r>
          </w:p>
        </w:tc>
      </w:tr>
      <w:tr w:rsidR="002228B8" w14:paraId="2B5D340C" w14:textId="77777777" w:rsidTr="00DF4A0D">
        <w:trPr>
          <w:cantSplit/>
          <w:jc w:val="center"/>
        </w:trPr>
        <w:tc>
          <w:tcPr>
            <w:tcW w:w="3843" w:type="pct"/>
            <w:shd w:val="clear" w:color="auto" w:fill="auto"/>
          </w:tcPr>
          <w:p w14:paraId="675C1338"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373" w:type="pct"/>
            <w:shd w:val="clear" w:color="auto" w:fill="auto"/>
            <w:vAlign w:val="bottom"/>
          </w:tcPr>
          <w:p w14:paraId="525A336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3,384</w:t>
            </w:r>
          </w:p>
        </w:tc>
        <w:tc>
          <w:tcPr>
            <w:tcW w:w="373" w:type="pct"/>
            <w:shd w:val="clear" w:color="auto" w:fill="auto"/>
            <w:vAlign w:val="bottom"/>
          </w:tcPr>
          <w:p w14:paraId="6973752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4,131</w:t>
            </w:r>
          </w:p>
        </w:tc>
        <w:tc>
          <w:tcPr>
            <w:tcW w:w="411" w:type="pct"/>
            <w:shd w:val="clear" w:color="auto" w:fill="auto"/>
            <w:vAlign w:val="bottom"/>
          </w:tcPr>
          <w:p w14:paraId="0D63090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3,787</w:t>
            </w:r>
          </w:p>
        </w:tc>
      </w:tr>
      <w:tr w:rsidR="002228B8" w14:paraId="7B655C91" w14:textId="77777777" w:rsidTr="00DF4A0D">
        <w:trPr>
          <w:cantSplit/>
          <w:jc w:val="center"/>
        </w:trPr>
        <w:tc>
          <w:tcPr>
            <w:tcW w:w="3843" w:type="pct"/>
            <w:shd w:val="clear" w:color="auto" w:fill="auto"/>
          </w:tcPr>
          <w:p w14:paraId="31A26B2E"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r w:rsidRPr="00571974">
              <w:rPr>
                <w:sz w:val="18"/>
                <w:szCs w:val="18"/>
                <w:lang w:val="en-GB" w:eastAsia="en-GB" w:bidi="ar-SA"/>
              </w:rPr>
              <w:tab/>
            </w:r>
          </w:p>
        </w:tc>
        <w:tc>
          <w:tcPr>
            <w:tcW w:w="373" w:type="pct"/>
            <w:shd w:val="clear" w:color="auto" w:fill="auto"/>
            <w:vAlign w:val="bottom"/>
          </w:tcPr>
          <w:p w14:paraId="3EF68DB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568</w:t>
            </w:r>
          </w:p>
        </w:tc>
        <w:tc>
          <w:tcPr>
            <w:tcW w:w="373" w:type="pct"/>
            <w:shd w:val="clear" w:color="auto" w:fill="auto"/>
            <w:vAlign w:val="bottom"/>
          </w:tcPr>
          <w:p w14:paraId="13A8772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722</w:t>
            </w:r>
          </w:p>
        </w:tc>
        <w:tc>
          <w:tcPr>
            <w:tcW w:w="411" w:type="pct"/>
            <w:shd w:val="clear" w:color="auto" w:fill="auto"/>
            <w:vAlign w:val="bottom"/>
          </w:tcPr>
          <w:p w14:paraId="40F112A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934</w:t>
            </w:r>
          </w:p>
        </w:tc>
      </w:tr>
      <w:tr w:rsidR="002228B8" w14:paraId="4ECFB498" w14:textId="77777777" w:rsidTr="00DF4A0D">
        <w:trPr>
          <w:cantSplit/>
          <w:jc w:val="center"/>
        </w:trPr>
        <w:tc>
          <w:tcPr>
            <w:tcW w:w="3843" w:type="pct"/>
            <w:shd w:val="clear" w:color="auto" w:fill="auto"/>
          </w:tcPr>
          <w:p w14:paraId="7A9D26F3"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Share of underlying Group EBIT</w:t>
            </w:r>
            <w:r w:rsidRPr="00571974">
              <w:rPr>
                <w:sz w:val="18"/>
                <w:szCs w:val="18"/>
                <w:lang w:val="en-GB" w:eastAsia="en-GB" w:bidi="ar-SA"/>
              </w:rPr>
              <w:tab/>
            </w:r>
          </w:p>
        </w:tc>
        <w:tc>
          <w:tcPr>
            <w:tcW w:w="373" w:type="pct"/>
            <w:shd w:val="clear" w:color="auto" w:fill="auto"/>
            <w:vAlign w:val="bottom"/>
          </w:tcPr>
          <w:p w14:paraId="79EC374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36%</w:t>
            </w:r>
          </w:p>
        </w:tc>
        <w:tc>
          <w:tcPr>
            <w:tcW w:w="373" w:type="pct"/>
            <w:shd w:val="clear" w:color="auto" w:fill="auto"/>
            <w:vAlign w:val="bottom"/>
          </w:tcPr>
          <w:p w14:paraId="76119A7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40%</w:t>
            </w:r>
          </w:p>
        </w:tc>
        <w:tc>
          <w:tcPr>
            <w:tcW w:w="411" w:type="pct"/>
            <w:shd w:val="clear" w:color="auto" w:fill="auto"/>
            <w:vAlign w:val="bottom"/>
          </w:tcPr>
          <w:p w14:paraId="1C60F62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r>
      <w:tr w:rsidR="002228B8" w14:paraId="7BC16512" w14:textId="77777777" w:rsidTr="00DF4A0D">
        <w:trPr>
          <w:cantSplit/>
          <w:jc w:val="center"/>
        </w:trPr>
        <w:tc>
          <w:tcPr>
            <w:tcW w:w="3843" w:type="pct"/>
            <w:shd w:val="clear" w:color="auto" w:fill="auto"/>
          </w:tcPr>
          <w:p w14:paraId="11500C2E"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373" w:type="pct"/>
            <w:shd w:val="clear" w:color="auto" w:fill="auto"/>
            <w:vAlign w:val="bottom"/>
          </w:tcPr>
          <w:p w14:paraId="46EFF5D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w:t>
            </w:r>
          </w:p>
        </w:tc>
        <w:tc>
          <w:tcPr>
            <w:tcW w:w="373" w:type="pct"/>
            <w:shd w:val="clear" w:color="auto" w:fill="auto"/>
            <w:vAlign w:val="bottom"/>
          </w:tcPr>
          <w:p w14:paraId="7EB6E44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w:t>
            </w:r>
          </w:p>
        </w:tc>
        <w:tc>
          <w:tcPr>
            <w:tcW w:w="411" w:type="pct"/>
            <w:shd w:val="clear" w:color="auto" w:fill="auto"/>
            <w:vAlign w:val="bottom"/>
          </w:tcPr>
          <w:p w14:paraId="495FD02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w:t>
            </w:r>
          </w:p>
        </w:tc>
      </w:tr>
      <w:tr w:rsidR="002228B8" w14:paraId="1CA6797A" w14:textId="77777777" w:rsidTr="00DF4A0D">
        <w:trPr>
          <w:cantSplit/>
          <w:jc w:val="center"/>
        </w:trPr>
        <w:tc>
          <w:tcPr>
            <w:tcW w:w="3843" w:type="pct"/>
            <w:shd w:val="clear" w:color="auto" w:fill="auto"/>
          </w:tcPr>
          <w:p w14:paraId="454F5BE0"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Export metallurgical coal production (Mt)</w:t>
            </w:r>
            <w:r w:rsidRPr="00571974">
              <w:rPr>
                <w:sz w:val="18"/>
                <w:szCs w:val="18"/>
                <w:lang w:val="en-GB" w:eastAsia="en-GB" w:bidi="ar-SA"/>
              </w:rPr>
              <w:tab/>
            </w:r>
          </w:p>
        </w:tc>
        <w:tc>
          <w:tcPr>
            <w:tcW w:w="373" w:type="pct"/>
            <w:shd w:val="clear" w:color="auto" w:fill="auto"/>
            <w:vAlign w:val="bottom"/>
          </w:tcPr>
          <w:p w14:paraId="10846F6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19.7</w:t>
            </w:r>
          </w:p>
        </w:tc>
        <w:tc>
          <w:tcPr>
            <w:tcW w:w="373" w:type="pct"/>
            <w:shd w:val="clear" w:color="auto" w:fill="auto"/>
            <w:vAlign w:val="bottom"/>
          </w:tcPr>
          <w:p w14:paraId="43B3744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21.8</w:t>
            </w:r>
          </w:p>
        </w:tc>
        <w:tc>
          <w:tcPr>
            <w:tcW w:w="411" w:type="pct"/>
            <w:shd w:val="clear" w:color="auto" w:fill="auto"/>
            <w:vAlign w:val="bottom"/>
          </w:tcPr>
          <w:p w14:paraId="56808CC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22.9</w:t>
            </w:r>
          </w:p>
        </w:tc>
      </w:tr>
      <w:tr w:rsidR="002228B8" w14:paraId="0A57C622" w14:textId="77777777" w:rsidTr="00DF4A0D">
        <w:trPr>
          <w:cantSplit/>
          <w:jc w:val="center"/>
        </w:trPr>
        <w:tc>
          <w:tcPr>
            <w:tcW w:w="3843" w:type="pct"/>
            <w:shd w:val="clear" w:color="auto" w:fill="auto"/>
          </w:tcPr>
          <w:p w14:paraId="398F1177"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Australia thermal coal production (Mt)</w:t>
            </w:r>
            <w:r w:rsidRPr="00571974">
              <w:rPr>
                <w:sz w:val="18"/>
                <w:szCs w:val="18"/>
                <w:lang w:val="en-GB" w:eastAsia="en-GB" w:bidi="ar-SA"/>
              </w:rPr>
              <w:tab/>
            </w:r>
          </w:p>
        </w:tc>
        <w:tc>
          <w:tcPr>
            <w:tcW w:w="373" w:type="pct"/>
            <w:shd w:val="clear" w:color="auto" w:fill="auto"/>
            <w:vAlign w:val="bottom"/>
          </w:tcPr>
          <w:p w14:paraId="409DDB6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w:t>
            </w:r>
          </w:p>
        </w:tc>
        <w:tc>
          <w:tcPr>
            <w:tcW w:w="373" w:type="pct"/>
            <w:shd w:val="clear" w:color="auto" w:fill="auto"/>
            <w:vAlign w:val="bottom"/>
          </w:tcPr>
          <w:p w14:paraId="02F6916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c>
          <w:tcPr>
            <w:tcW w:w="411" w:type="pct"/>
            <w:shd w:val="clear" w:color="auto" w:fill="auto"/>
            <w:vAlign w:val="bottom"/>
          </w:tcPr>
          <w:p w14:paraId="4833E7F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r>
      <w:tr w:rsidR="002228B8" w14:paraId="0AE18DD9" w14:textId="77777777" w:rsidTr="00DF4A0D">
        <w:trPr>
          <w:cantSplit/>
          <w:jc w:val="center"/>
        </w:trPr>
        <w:tc>
          <w:tcPr>
            <w:tcW w:w="3843" w:type="pct"/>
            <w:shd w:val="clear" w:color="auto" w:fill="auto"/>
          </w:tcPr>
          <w:p w14:paraId="6458BC13"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 xml:space="preserve">RSA thermal coal export production (Mt) </w:t>
            </w:r>
            <w:r w:rsidRPr="00571974">
              <w:rPr>
                <w:sz w:val="18"/>
                <w:szCs w:val="18"/>
                <w:lang w:val="en-GB" w:eastAsia="en-GB" w:bidi="ar-SA"/>
              </w:rPr>
              <w:tab/>
            </w:r>
          </w:p>
        </w:tc>
        <w:tc>
          <w:tcPr>
            <w:tcW w:w="373" w:type="pct"/>
            <w:shd w:val="clear" w:color="auto" w:fill="auto"/>
            <w:vAlign w:val="bottom"/>
          </w:tcPr>
          <w:p w14:paraId="3B3407C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18.6</w:t>
            </w:r>
          </w:p>
        </w:tc>
        <w:tc>
          <w:tcPr>
            <w:tcW w:w="373" w:type="pct"/>
            <w:shd w:val="clear" w:color="auto" w:fill="auto"/>
            <w:vAlign w:val="bottom"/>
          </w:tcPr>
          <w:p w14:paraId="561C610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18.3</w:t>
            </w:r>
          </w:p>
        </w:tc>
        <w:tc>
          <w:tcPr>
            <w:tcW w:w="411" w:type="pct"/>
            <w:shd w:val="clear" w:color="auto" w:fill="auto"/>
            <w:vAlign w:val="bottom"/>
          </w:tcPr>
          <w:p w14:paraId="19C3E2D4" w14:textId="2E096882" w:rsidR="00E93D9C" w:rsidRPr="00571974" w:rsidRDefault="00436F28"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18.1</w:t>
            </w:r>
          </w:p>
        </w:tc>
      </w:tr>
      <w:tr w:rsidR="002228B8" w14:paraId="1EAAA733" w14:textId="77777777" w:rsidTr="00DF4A0D">
        <w:trPr>
          <w:cantSplit/>
          <w:jc w:val="center"/>
        </w:trPr>
        <w:tc>
          <w:tcPr>
            <w:tcW w:w="3843" w:type="pct"/>
            <w:shd w:val="clear" w:color="auto" w:fill="auto"/>
          </w:tcPr>
          <w:p w14:paraId="0A0B8578"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 xml:space="preserve">RSA thermal coal domestic (non-Eskom) production (Mt) </w:t>
            </w:r>
            <w:r w:rsidRPr="00571974">
              <w:rPr>
                <w:sz w:val="18"/>
                <w:szCs w:val="18"/>
                <w:lang w:val="en-GB" w:eastAsia="en-GB" w:bidi="ar-SA"/>
              </w:rPr>
              <w:tab/>
            </w:r>
          </w:p>
        </w:tc>
        <w:tc>
          <w:tcPr>
            <w:tcW w:w="373" w:type="pct"/>
            <w:shd w:val="clear" w:color="auto" w:fill="auto"/>
            <w:vAlign w:val="bottom"/>
          </w:tcPr>
          <w:p w14:paraId="770BF29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7.5</w:t>
            </w:r>
          </w:p>
        </w:tc>
        <w:tc>
          <w:tcPr>
            <w:tcW w:w="373" w:type="pct"/>
            <w:shd w:val="clear" w:color="auto" w:fill="auto"/>
            <w:vAlign w:val="bottom"/>
          </w:tcPr>
          <w:p w14:paraId="20661B7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10.9</w:t>
            </w:r>
          </w:p>
        </w:tc>
        <w:tc>
          <w:tcPr>
            <w:tcW w:w="411" w:type="pct"/>
            <w:shd w:val="clear" w:color="auto" w:fill="auto"/>
            <w:vAlign w:val="bottom"/>
          </w:tcPr>
          <w:p w14:paraId="083970D7" w14:textId="39FAFE32" w:rsidR="00E93D9C" w:rsidRPr="00571974" w:rsidRDefault="00436F28"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Pr>
                <w:sz w:val="18"/>
                <w:szCs w:val="18"/>
                <w:lang w:val="en-GB" w:eastAsia="en-GB" w:bidi="ar-SA"/>
              </w:rPr>
              <w:t>9.8</w:t>
            </w:r>
          </w:p>
        </w:tc>
      </w:tr>
      <w:tr w:rsidR="002228B8" w14:paraId="75BFEC97" w14:textId="77777777" w:rsidTr="00DF4A0D">
        <w:trPr>
          <w:cantSplit/>
          <w:jc w:val="center"/>
        </w:trPr>
        <w:tc>
          <w:tcPr>
            <w:tcW w:w="3843" w:type="pct"/>
            <w:shd w:val="clear" w:color="auto" w:fill="auto"/>
          </w:tcPr>
          <w:p w14:paraId="13DD00C2"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 xml:space="preserve">RSA Eskom production (Mt) </w:t>
            </w:r>
            <w:r w:rsidRPr="00571974">
              <w:rPr>
                <w:sz w:val="18"/>
                <w:szCs w:val="18"/>
                <w:lang w:val="en-GB" w:eastAsia="en-GB" w:bidi="ar-SA"/>
              </w:rPr>
              <w:tab/>
            </w:r>
          </w:p>
        </w:tc>
        <w:tc>
          <w:tcPr>
            <w:tcW w:w="373" w:type="pct"/>
            <w:shd w:val="clear" w:color="auto" w:fill="auto"/>
            <w:vAlign w:val="bottom"/>
          </w:tcPr>
          <w:p w14:paraId="2072D2E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23.9</w:t>
            </w:r>
          </w:p>
        </w:tc>
        <w:tc>
          <w:tcPr>
            <w:tcW w:w="373" w:type="pct"/>
            <w:shd w:val="clear" w:color="auto" w:fill="auto"/>
            <w:vAlign w:val="bottom"/>
          </w:tcPr>
          <w:p w14:paraId="70123CF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w:t>
            </w:r>
          </w:p>
        </w:tc>
        <w:tc>
          <w:tcPr>
            <w:tcW w:w="411" w:type="pct"/>
            <w:shd w:val="clear" w:color="auto" w:fill="auto"/>
            <w:vAlign w:val="bottom"/>
          </w:tcPr>
          <w:p w14:paraId="06B8AC8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r>
      <w:tr w:rsidR="002228B8" w14:paraId="194553DD" w14:textId="77777777" w:rsidTr="00DF4A0D">
        <w:trPr>
          <w:cantSplit/>
          <w:jc w:val="center"/>
        </w:trPr>
        <w:tc>
          <w:tcPr>
            <w:tcW w:w="3843" w:type="pct"/>
            <w:shd w:val="clear" w:color="auto" w:fill="auto"/>
          </w:tcPr>
          <w:p w14:paraId="5EE4617A"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 xml:space="preserve">Colombian export thermal production (Mt) </w:t>
            </w:r>
            <w:r w:rsidRPr="00571974">
              <w:rPr>
                <w:sz w:val="18"/>
                <w:szCs w:val="18"/>
                <w:lang w:val="en-GB" w:eastAsia="en-GB" w:bidi="ar-SA"/>
              </w:rPr>
              <w:tab/>
            </w:r>
          </w:p>
        </w:tc>
        <w:tc>
          <w:tcPr>
            <w:tcW w:w="373" w:type="pct"/>
            <w:shd w:val="clear" w:color="auto" w:fill="auto"/>
            <w:vAlign w:val="bottom"/>
          </w:tcPr>
          <w:p w14:paraId="7A7C72A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10.6</w:t>
            </w:r>
          </w:p>
        </w:tc>
        <w:tc>
          <w:tcPr>
            <w:tcW w:w="373" w:type="pct"/>
            <w:shd w:val="clear" w:color="auto" w:fill="auto"/>
            <w:vAlign w:val="bottom"/>
          </w:tcPr>
          <w:p w14:paraId="1346D7F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10.2</w:t>
            </w:r>
          </w:p>
        </w:tc>
        <w:tc>
          <w:tcPr>
            <w:tcW w:w="411" w:type="pct"/>
            <w:shd w:val="clear" w:color="auto" w:fill="auto"/>
            <w:vAlign w:val="bottom"/>
          </w:tcPr>
          <w:p w14:paraId="1FD714C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8.6</w:t>
            </w:r>
          </w:p>
        </w:tc>
      </w:tr>
      <w:tr w:rsidR="002228B8" w14:paraId="275118F5" w14:textId="77777777" w:rsidTr="00DF4A0D">
        <w:trPr>
          <w:cantSplit/>
          <w:jc w:val="center"/>
        </w:trPr>
        <w:tc>
          <w:tcPr>
            <w:tcW w:w="3843" w:type="pct"/>
            <w:shd w:val="clear" w:color="auto" w:fill="auto"/>
          </w:tcPr>
          <w:p w14:paraId="13AF0DE5"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Export metallurgical price (US$/t)</w:t>
            </w:r>
            <w:r w:rsidRPr="00571974">
              <w:rPr>
                <w:sz w:val="18"/>
                <w:szCs w:val="18"/>
                <w:vertAlign w:val="superscript"/>
                <w:lang w:val="en-GB" w:eastAsia="en-GB" w:bidi="ar-SA"/>
              </w:rPr>
              <w:t>(2)</w:t>
            </w:r>
            <w:r w:rsidRPr="00571974">
              <w:rPr>
                <w:sz w:val="18"/>
                <w:szCs w:val="18"/>
                <w:lang w:val="en-GB" w:eastAsia="en-GB" w:bidi="ar-SA"/>
              </w:rPr>
              <w:tab/>
            </w:r>
          </w:p>
        </w:tc>
        <w:tc>
          <w:tcPr>
            <w:tcW w:w="373" w:type="pct"/>
            <w:shd w:val="clear" w:color="auto" w:fill="auto"/>
            <w:vAlign w:val="bottom"/>
          </w:tcPr>
          <w:p w14:paraId="3DB4BE0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185</w:t>
            </w:r>
          </w:p>
        </w:tc>
        <w:tc>
          <w:tcPr>
            <w:tcW w:w="373" w:type="pct"/>
            <w:shd w:val="clear" w:color="auto" w:fill="auto"/>
            <w:vAlign w:val="bottom"/>
          </w:tcPr>
          <w:p w14:paraId="59EB7A2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190</w:t>
            </w:r>
          </w:p>
        </w:tc>
        <w:tc>
          <w:tcPr>
            <w:tcW w:w="411" w:type="pct"/>
            <w:shd w:val="clear" w:color="auto" w:fill="auto"/>
            <w:vAlign w:val="bottom"/>
          </w:tcPr>
          <w:p w14:paraId="39B9C89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165</w:t>
            </w:r>
          </w:p>
        </w:tc>
      </w:tr>
      <w:tr w:rsidR="002228B8" w14:paraId="4A4B1BB8" w14:textId="77777777" w:rsidTr="00DF4A0D">
        <w:trPr>
          <w:cantSplit/>
          <w:jc w:val="center"/>
        </w:trPr>
        <w:tc>
          <w:tcPr>
            <w:tcW w:w="3843" w:type="pct"/>
            <w:shd w:val="clear" w:color="auto" w:fill="auto"/>
          </w:tcPr>
          <w:p w14:paraId="6D372925"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Australian export thermal (US$/t)</w:t>
            </w:r>
            <w:r w:rsidRPr="00571974">
              <w:rPr>
                <w:sz w:val="18"/>
                <w:szCs w:val="18"/>
                <w:vertAlign w:val="superscript"/>
                <w:lang w:val="en-GB" w:eastAsia="en-GB" w:bidi="ar-SA"/>
              </w:rPr>
              <w:t>(2)</w:t>
            </w:r>
            <w:r w:rsidRPr="00571974">
              <w:rPr>
                <w:sz w:val="18"/>
                <w:szCs w:val="18"/>
                <w:lang w:val="en-GB" w:eastAsia="en-GB" w:bidi="ar-SA"/>
              </w:rPr>
              <w:tab/>
            </w:r>
          </w:p>
        </w:tc>
        <w:tc>
          <w:tcPr>
            <w:tcW w:w="373" w:type="pct"/>
            <w:shd w:val="clear" w:color="auto" w:fill="auto"/>
            <w:vAlign w:val="bottom"/>
          </w:tcPr>
          <w:p w14:paraId="78326ED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91</w:t>
            </w:r>
          </w:p>
        </w:tc>
        <w:tc>
          <w:tcPr>
            <w:tcW w:w="373" w:type="pct"/>
            <w:shd w:val="clear" w:color="auto" w:fill="auto"/>
            <w:vAlign w:val="bottom"/>
          </w:tcPr>
          <w:p w14:paraId="41D33EC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103</w:t>
            </w:r>
          </w:p>
        </w:tc>
        <w:tc>
          <w:tcPr>
            <w:tcW w:w="411" w:type="pct"/>
            <w:shd w:val="clear" w:color="auto" w:fill="auto"/>
            <w:vAlign w:val="bottom"/>
          </w:tcPr>
          <w:p w14:paraId="601CC1F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w:t>
            </w:r>
          </w:p>
        </w:tc>
      </w:tr>
      <w:tr w:rsidR="002228B8" w14:paraId="369AB620" w14:textId="77777777" w:rsidTr="00DF4A0D">
        <w:trPr>
          <w:cantSplit/>
          <w:jc w:val="center"/>
        </w:trPr>
        <w:tc>
          <w:tcPr>
            <w:tcW w:w="3843" w:type="pct"/>
            <w:shd w:val="clear" w:color="auto" w:fill="auto"/>
          </w:tcPr>
          <w:p w14:paraId="3E7331A5"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Australian domestic thermal (US$/t)</w:t>
            </w:r>
            <w:r w:rsidRPr="00571974">
              <w:rPr>
                <w:sz w:val="18"/>
                <w:szCs w:val="18"/>
                <w:vertAlign w:val="superscript"/>
                <w:lang w:val="en-GB" w:eastAsia="en-GB" w:bidi="ar-SA"/>
              </w:rPr>
              <w:t>(3)</w:t>
            </w:r>
            <w:r w:rsidRPr="00571974">
              <w:rPr>
                <w:sz w:val="18"/>
                <w:szCs w:val="18"/>
                <w:lang w:val="en-GB" w:eastAsia="en-GB" w:bidi="ar-SA"/>
              </w:rPr>
              <w:tab/>
            </w:r>
          </w:p>
        </w:tc>
        <w:tc>
          <w:tcPr>
            <w:tcW w:w="373" w:type="pct"/>
            <w:shd w:val="clear" w:color="auto" w:fill="auto"/>
            <w:vAlign w:val="bottom"/>
          </w:tcPr>
          <w:p w14:paraId="64444B9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373" w:type="pct"/>
            <w:shd w:val="clear" w:color="auto" w:fill="auto"/>
            <w:vAlign w:val="bottom"/>
          </w:tcPr>
          <w:p w14:paraId="2B142EE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411" w:type="pct"/>
            <w:shd w:val="clear" w:color="auto" w:fill="auto"/>
            <w:vAlign w:val="bottom"/>
          </w:tcPr>
          <w:p w14:paraId="405922D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r>
      <w:tr w:rsidR="002228B8" w14:paraId="1D90192A" w14:textId="77777777" w:rsidTr="00DF4A0D">
        <w:trPr>
          <w:cantSplit/>
          <w:jc w:val="center"/>
        </w:trPr>
        <w:tc>
          <w:tcPr>
            <w:tcW w:w="3843" w:type="pct"/>
            <w:shd w:val="clear" w:color="auto" w:fill="auto"/>
          </w:tcPr>
          <w:p w14:paraId="6849B48D"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lastRenderedPageBreak/>
              <w:t>South Africa export thermal coal price (US$/t)</w:t>
            </w:r>
            <w:r w:rsidRPr="00571974">
              <w:rPr>
                <w:sz w:val="18"/>
                <w:szCs w:val="18"/>
                <w:vertAlign w:val="superscript"/>
                <w:lang w:val="en-GB" w:eastAsia="en-GB" w:bidi="ar-SA"/>
              </w:rPr>
              <w:t>(2)</w:t>
            </w:r>
            <w:r w:rsidRPr="00571974">
              <w:rPr>
                <w:sz w:val="18"/>
                <w:szCs w:val="18"/>
                <w:lang w:val="en-GB" w:eastAsia="en-GB" w:bidi="ar-SA"/>
              </w:rPr>
              <w:t xml:space="preserve"> </w:t>
            </w:r>
            <w:r w:rsidRPr="00571974">
              <w:rPr>
                <w:sz w:val="18"/>
                <w:szCs w:val="18"/>
                <w:lang w:val="en-GB" w:eastAsia="en-GB" w:bidi="ar-SA"/>
              </w:rPr>
              <w:tab/>
            </w:r>
          </w:p>
        </w:tc>
        <w:tc>
          <w:tcPr>
            <w:tcW w:w="373" w:type="pct"/>
            <w:shd w:val="clear" w:color="auto" w:fill="auto"/>
            <w:vAlign w:val="bottom"/>
          </w:tcPr>
          <w:p w14:paraId="6EA077A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76</w:t>
            </w:r>
          </w:p>
        </w:tc>
        <w:tc>
          <w:tcPr>
            <w:tcW w:w="373" w:type="pct"/>
            <w:shd w:val="clear" w:color="auto" w:fill="auto"/>
            <w:vAlign w:val="bottom"/>
          </w:tcPr>
          <w:p w14:paraId="1D1A901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87</w:t>
            </w:r>
          </w:p>
        </w:tc>
        <w:tc>
          <w:tcPr>
            <w:tcW w:w="411" w:type="pct"/>
            <w:shd w:val="clear" w:color="auto" w:fill="auto"/>
            <w:vAlign w:val="bottom"/>
          </w:tcPr>
          <w:p w14:paraId="1F15ACB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61</w:t>
            </w:r>
          </w:p>
        </w:tc>
      </w:tr>
      <w:tr w:rsidR="002228B8" w14:paraId="7ADBFB7B" w14:textId="77777777" w:rsidTr="00DF4A0D">
        <w:trPr>
          <w:cantSplit/>
          <w:jc w:val="center"/>
        </w:trPr>
        <w:tc>
          <w:tcPr>
            <w:tcW w:w="3843" w:type="pct"/>
            <w:shd w:val="clear" w:color="auto" w:fill="auto"/>
          </w:tcPr>
          <w:p w14:paraId="3C221F93"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South Africa domestic thermal coal price (US$/t)</w:t>
            </w:r>
            <w:r w:rsidRPr="00571974">
              <w:rPr>
                <w:sz w:val="18"/>
                <w:szCs w:val="18"/>
                <w:vertAlign w:val="superscript"/>
                <w:lang w:val="en-GB" w:eastAsia="en-GB" w:bidi="ar-SA"/>
              </w:rPr>
              <w:t>(3)</w:t>
            </w:r>
            <w:r w:rsidRPr="00571974">
              <w:rPr>
                <w:sz w:val="18"/>
                <w:szCs w:val="18"/>
                <w:lang w:val="en-GB" w:eastAsia="en-GB" w:bidi="ar-SA"/>
              </w:rPr>
              <w:t xml:space="preserve"> </w:t>
            </w:r>
            <w:r w:rsidRPr="00571974">
              <w:rPr>
                <w:sz w:val="18"/>
                <w:szCs w:val="18"/>
                <w:lang w:val="en-GB" w:eastAsia="en-GB" w:bidi="ar-SA"/>
              </w:rPr>
              <w:tab/>
            </w:r>
          </w:p>
        </w:tc>
        <w:tc>
          <w:tcPr>
            <w:tcW w:w="373" w:type="pct"/>
            <w:shd w:val="clear" w:color="auto" w:fill="auto"/>
            <w:vAlign w:val="bottom"/>
          </w:tcPr>
          <w:p w14:paraId="0422108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w:t>
            </w:r>
          </w:p>
        </w:tc>
        <w:tc>
          <w:tcPr>
            <w:tcW w:w="373" w:type="pct"/>
            <w:shd w:val="clear" w:color="auto" w:fill="auto"/>
            <w:vAlign w:val="bottom"/>
          </w:tcPr>
          <w:p w14:paraId="29E13236"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w:t>
            </w:r>
          </w:p>
        </w:tc>
        <w:tc>
          <w:tcPr>
            <w:tcW w:w="411" w:type="pct"/>
            <w:shd w:val="clear" w:color="auto" w:fill="auto"/>
            <w:vAlign w:val="bottom"/>
          </w:tcPr>
          <w:p w14:paraId="3F4FFE4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w:t>
            </w:r>
          </w:p>
        </w:tc>
      </w:tr>
      <w:tr w:rsidR="002228B8" w14:paraId="6A35CA96" w14:textId="77777777" w:rsidTr="00DF4A0D">
        <w:trPr>
          <w:cantSplit/>
          <w:jc w:val="center"/>
        </w:trPr>
        <w:tc>
          <w:tcPr>
            <w:tcW w:w="3843" w:type="pct"/>
            <w:shd w:val="clear" w:color="auto" w:fill="auto"/>
          </w:tcPr>
          <w:p w14:paraId="644B9544" w14:textId="77777777" w:rsidR="00E93D9C" w:rsidRPr="00571974" w:rsidRDefault="003D4D89" w:rsidP="00DF4A0D">
            <w:pPr>
              <w:tabs>
                <w:tab w:val="right" w:leader="dot" w:pos="7860"/>
              </w:tabs>
              <w:suppressAutoHyphens/>
              <w:ind w:left="200" w:hanging="200"/>
              <w:rPr>
                <w:sz w:val="18"/>
                <w:szCs w:val="18"/>
                <w:lang w:val="en-GB" w:eastAsia="en-GB" w:bidi="ar-SA"/>
              </w:rPr>
            </w:pPr>
            <w:r w:rsidRPr="00571974">
              <w:rPr>
                <w:sz w:val="18"/>
                <w:szCs w:val="18"/>
                <w:lang w:val="en-GB" w:eastAsia="en-GB" w:bidi="ar-SA"/>
              </w:rPr>
              <w:t>Colombia export thermal coal price (US$/t)</w:t>
            </w:r>
            <w:r w:rsidRPr="00571974">
              <w:rPr>
                <w:sz w:val="18"/>
                <w:szCs w:val="18"/>
                <w:vertAlign w:val="superscript"/>
                <w:lang w:val="en-GB" w:eastAsia="en-GB" w:bidi="ar-SA"/>
              </w:rPr>
              <w:t>(2)</w:t>
            </w:r>
            <w:r w:rsidRPr="00571974">
              <w:rPr>
                <w:sz w:val="18"/>
                <w:szCs w:val="18"/>
                <w:lang w:val="en-GB" w:eastAsia="en-GB" w:bidi="ar-SA"/>
              </w:rPr>
              <w:tab/>
            </w:r>
          </w:p>
        </w:tc>
        <w:tc>
          <w:tcPr>
            <w:tcW w:w="373" w:type="pct"/>
            <w:shd w:val="clear" w:color="auto" w:fill="auto"/>
            <w:vAlign w:val="bottom"/>
          </w:tcPr>
          <w:p w14:paraId="42AA4E02"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75</w:t>
            </w:r>
          </w:p>
        </w:tc>
        <w:tc>
          <w:tcPr>
            <w:tcW w:w="373" w:type="pct"/>
            <w:shd w:val="clear" w:color="auto" w:fill="auto"/>
            <w:vAlign w:val="bottom"/>
          </w:tcPr>
          <w:p w14:paraId="1A7F89A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83</w:t>
            </w:r>
          </w:p>
        </w:tc>
        <w:tc>
          <w:tcPr>
            <w:tcW w:w="411" w:type="pct"/>
            <w:shd w:val="clear" w:color="auto" w:fill="auto"/>
            <w:vAlign w:val="bottom"/>
          </w:tcPr>
          <w:p w14:paraId="29D1A1B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w:t>
            </w:r>
          </w:p>
        </w:tc>
      </w:tr>
    </w:tbl>
    <w:p w14:paraId="2CA9C5EB" w14:textId="77777777" w:rsidR="00E93D9C" w:rsidRPr="00571974" w:rsidRDefault="00836D74" w:rsidP="00E93D9C">
      <w:pPr>
        <w:rPr>
          <w:lang w:val="en-GB"/>
        </w:rPr>
      </w:pPr>
      <w:r>
        <w:rPr>
          <w:lang w:val="en-GB"/>
        </w:rPr>
        <w:pict w14:anchorId="3B2F9D37">
          <v:rect id="_x0000_i1051" style="width:184.5pt;height:1pt" o:hrpct="250" o:hrstd="t" o:hrnoshade="t" o:hr="t" fillcolor="black" stroked="f"/>
        </w:pict>
      </w:r>
    </w:p>
    <w:p w14:paraId="081A91A8" w14:textId="77777777" w:rsidR="00E93D9C" w:rsidRPr="00571974" w:rsidRDefault="003D4D89" w:rsidP="003D4D89">
      <w:pPr>
        <w:pStyle w:val="ListParagraph"/>
        <w:numPr>
          <w:ilvl w:val="0"/>
          <w:numId w:val="34"/>
        </w:numPr>
        <w:rPr>
          <w:sz w:val="16"/>
          <w:szCs w:val="18"/>
          <w:lang w:val="en-GB"/>
        </w:rPr>
      </w:pPr>
      <w:r w:rsidRPr="00571974">
        <w:rPr>
          <w:sz w:val="16"/>
          <w:szCs w:val="18"/>
          <w:lang w:val="en-GB"/>
        </w:rPr>
        <w:t xml:space="preserve">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 </w:t>
      </w:r>
    </w:p>
    <w:p w14:paraId="7E527FDE" w14:textId="77777777" w:rsidR="00E93D9C" w:rsidRPr="00571974" w:rsidRDefault="003D4D89" w:rsidP="003D4D89">
      <w:pPr>
        <w:pStyle w:val="ListParagraph"/>
        <w:numPr>
          <w:ilvl w:val="0"/>
          <w:numId w:val="34"/>
        </w:numPr>
        <w:rPr>
          <w:sz w:val="16"/>
          <w:szCs w:val="18"/>
          <w:lang w:val="en-GB"/>
        </w:rPr>
      </w:pPr>
      <w:r w:rsidRPr="00571974">
        <w:rPr>
          <w:sz w:val="16"/>
          <w:szCs w:val="18"/>
          <w:lang w:val="en-GB"/>
        </w:rPr>
        <w:t>Weighted average realized FOB sales price.</w:t>
      </w:r>
    </w:p>
    <w:p w14:paraId="3E005D70" w14:textId="77777777" w:rsidR="00E93D9C" w:rsidRPr="00571974" w:rsidRDefault="003D4D89" w:rsidP="003D4D89">
      <w:pPr>
        <w:pStyle w:val="ListParagraph"/>
        <w:numPr>
          <w:ilvl w:val="0"/>
          <w:numId w:val="34"/>
        </w:numPr>
        <w:rPr>
          <w:sz w:val="16"/>
          <w:szCs w:val="18"/>
          <w:lang w:val="en-GB"/>
        </w:rPr>
      </w:pPr>
      <w:r w:rsidRPr="00571974">
        <w:rPr>
          <w:sz w:val="16"/>
          <w:szCs w:val="18"/>
          <w:lang w:val="en-GB"/>
        </w:rPr>
        <w:t>Weighted average realized sales price.</w:t>
      </w:r>
    </w:p>
    <w:p w14:paraId="2F0D59D8" w14:textId="77777777" w:rsidR="00E93D9C" w:rsidRPr="00571974" w:rsidRDefault="00E93D9C" w:rsidP="00E93D9C">
      <w:pPr>
        <w:pStyle w:val="ListParagraph"/>
        <w:ind w:left="360"/>
        <w:rPr>
          <w:sz w:val="16"/>
          <w:szCs w:val="18"/>
          <w:lang w:val="en-GB"/>
        </w:rPr>
      </w:pPr>
    </w:p>
    <w:p w14:paraId="2E3C8A3D" w14:textId="77777777" w:rsidR="00E93D9C" w:rsidRPr="00571974" w:rsidRDefault="003D4D89" w:rsidP="00EA3F32">
      <w:pPr>
        <w:pStyle w:val="Heading4"/>
      </w:pPr>
      <w:r w:rsidRPr="00571974">
        <w:t>Metallurgical Coal</w:t>
      </w:r>
    </w:p>
    <w:p w14:paraId="639006AC" w14:textId="338949DA" w:rsidR="00E93D9C" w:rsidRPr="00571974" w:rsidRDefault="003D4D89" w:rsidP="00E93D9C">
      <w:pPr>
        <w:pStyle w:val="BodyText"/>
        <w:widowControl/>
        <w:autoSpaceDE/>
        <w:autoSpaceDN/>
        <w:adjustRightInd/>
        <w:ind w:firstLine="360"/>
        <w:rPr>
          <w:lang w:val="en-GB"/>
        </w:rPr>
      </w:pPr>
      <w:r w:rsidRPr="00571974">
        <w:rPr>
          <w:lang w:val="en-GB"/>
        </w:rPr>
        <w:t>Metallurgical Coal</w:t>
      </w:r>
      <w:r w:rsidR="00A311D8">
        <w:rPr>
          <w:lang w:val="en-GB"/>
        </w:rPr>
        <w:t>’</w:t>
      </w:r>
      <w:r w:rsidRPr="00571974">
        <w:rPr>
          <w:lang w:val="en-GB"/>
        </w:rPr>
        <w:t>s</w:t>
      </w:r>
      <w:r w:rsidRPr="00571974">
        <w:rPr>
          <w:sz w:val="18"/>
          <w:szCs w:val="18"/>
          <w:lang w:val="en-GB"/>
        </w:rPr>
        <w:t xml:space="preserve"> </w:t>
      </w:r>
      <w:r w:rsidRPr="00571974">
        <w:rPr>
          <w:lang w:val="en-GB"/>
        </w:rPr>
        <w:t xml:space="preserve">underlying EBIT in 2019, 2018 and 2017 was US$1,148 million, US$1,774 million and US$1,594 million, respectively. </w:t>
      </w:r>
    </w:p>
    <w:p w14:paraId="275CDD63" w14:textId="6CF69C21" w:rsidR="00E93D9C" w:rsidRPr="00571974" w:rsidRDefault="003D4D89" w:rsidP="00A45DBD">
      <w:pPr>
        <w:pStyle w:val="BodyText"/>
        <w:autoSpaceDE/>
        <w:autoSpaceDN/>
        <w:adjustRightInd/>
        <w:ind w:firstLine="360"/>
        <w:rPr>
          <w:lang w:val="en-GB"/>
        </w:rPr>
      </w:pPr>
      <w:r w:rsidRPr="00571974">
        <w:rPr>
          <w:lang w:val="en-GB"/>
        </w:rPr>
        <w:t xml:space="preserve">In 2019, underlying EBIT decreased by 35% to US$1,148 million, largely due to a 13% reduction in realized price. In 2018, underlying EBIT increased by 11% to US$1,774 million, largely owing to an 11% increase in sales volumes, </w:t>
      </w:r>
      <w:r w:rsidR="0053004A" w:rsidRPr="00571974">
        <w:rPr>
          <w:lang w:val="en-GB"/>
        </w:rPr>
        <w:t>favorable</w:t>
      </w:r>
      <w:r w:rsidRPr="00571974">
        <w:rPr>
          <w:lang w:val="en-GB"/>
        </w:rPr>
        <w:t xml:space="preserve"> currency movements and a 3% improvement in the metallurgical coal realized price. </w:t>
      </w:r>
    </w:p>
    <w:p w14:paraId="30A5DDD5" w14:textId="027E0A0B" w:rsidR="00E93D9C" w:rsidRPr="00571974" w:rsidRDefault="003D4D89" w:rsidP="00A45DBD">
      <w:pPr>
        <w:pStyle w:val="BodyText"/>
        <w:widowControl/>
        <w:autoSpaceDE/>
        <w:autoSpaceDN/>
        <w:adjustRightInd/>
        <w:ind w:firstLine="360"/>
        <w:rPr>
          <w:lang w:val="en-GB"/>
        </w:rPr>
      </w:pPr>
      <w:r w:rsidRPr="00571974">
        <w:rPr>
          <w:lang w:val="en-GB"/>
        </w:rPr>
        <w:t>Total metallurgical coal production in 2019 increased 5%, due to a 1.0Mt increase at Grosvenor, operational improvements le</w:t>
      </w:r>
      <w:r w:rsidR="003349C7">
        <w:rPr>
          <w:lang w:val="en-GB"/>
        </w:rPr>
        <w:t>a</w:t>
      </w:r>
      <w:r w:rsidRPr="00571974">
        <w:rPr>
          <w:lang w:val="en-GB"/>
        </w:rPr>
        <w:t>d</w:t>
      </w:r>
      <w:r w:rsidR="003349C7">
        <w:rPr>
          <w:lang w:val="en-GB"/>
        </w:rPr>
        <w:t>ing</w:t>
      </w:r>
      <w:r w:rsidRPr="00571974">
        <w:rPr>
          <w:lang w:val="en-GB"/>
        </w:rPr>
        <w:t xml:space="preserve"> to a 10% increase in wash plant throughput</w:t>
      </w:r>
      <w:r w:rsidR="003349C7">
        <w:rPr>
          <w:lang w:val="en-GB"/>
        </w:rPr>
        <w:t xml:space="preserve"> at Moranbah North</w:t>
      </w:r>
      <w:r w:rsidRPr="00571974">
        <w:rPr>
          <w:lang w:val="en-GB"/>
        </w:rPr>
        <w:t xml:space="preserve">, and a strong performance at Dawson, due to productivity improvements that drove an increase in shovel and dragline performance, </w:t>
      </w:r>
      <w:r w:rsidR="00A45DBD">
        <w:rPr>
          <w:lang w:val="en-GB"/>
        </w:rPr>
        <w:t xml:space="preserve">partially </w:t>
      </w:r>
      <w:r w:rsidRPr="00571974">
        <w:rPr>
          <w:lang w:val="en-GB"/>
        </w:rPr>
        <w:t>offset by the impact of an extended longwall move at Moranbah</w:t>
      </w:r>
      <w:r w:rsidR="003349C7">
        <w:rPr>
          <w:lang w:val="en-GB"/>
        </w:rPr>
        <w:t xml:space="preserve"> North</w:t>
      </w:r>
      <w:r w:rsidRPr="00571974">
        <w:rPr>
          <w:lang w:val="en-GB"/>
        </w:rPr>
        <w:t xml:space="preserve">. Total metallurgical coal production in 2018 increased by 11%, driven </w:t>
      </w:r>
      <w:r w:rsidR="00A45DBD">
        <w:rPr>
          <w:lang w:val="en-GB"/>
        </w:rPr>
        <w:t xml:space="preserve">principally </w:t>
      </w:r>
      <w:r w:rsidRPr="00571974">
        <w:rPr>
          <w:lang w:val="en-GB"/>
        </w:rPr>
        <w:t>by sustained strong performance at Moranbah</w:t>
      </w:r>
      <w:r w:rsidR="003349C7">
        <w:rPr>
          <w:lang w:val="en-GB"/>
        </w:rPr>
        <w:t xml:space="preserve"> North</w:t>
      </w:r>
      <w:r w:rsidRPr="00571974">
        <w:rPr>
          <w:lang w:val="en-GB"/>
        </w:rPr>
        <w:t xml:space="preserve"> and increased output from Grosvenor, partly offset by a decline in production at Capcoal</w:t>
      </w:r>
      <w:r w:rsidR="00A311D8">
        <w:rPr>
          <w:lang w:val="en-GB"/>
        </w:rPr>
        <w:t>’</w:t>
      </w:r>
      <w:r w:rsidRPr="00571974">
        <w:rPr>
          <w:lang w:val="en-GB"/>
        </w:rPr>
        <w:t xml:space="preserve">s Grasstree as the operation moved to more challenging areas of the mine as it nears its end of life.  </w:t>
      </w:r>
    </w:p>
    <w:p w14:paraId="663BF710" w14:textId="0B9A85B0" w:rsidR="00E93D9C" w:rsidRPr="00571974" w:rsidRDefault="003D4D89" w:rsidP="00E93D9C">
      <w:pPr>
        <w:pStyle w:val="BodyText"/>
        <w:widowControl/>
        <w:autoSpaceDE/>
        <w:autoSpaceDN/>
        <w:adjustRightInd/>
        <w:ind w:firstLine="360"/>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 in 2019, 2018 and 2017 were US$3,756 million, US$4,231 million and US$3,675 million, respectively. </w:t>
      </w:r>
    </w:p>
    <w:p w14:paraId="258213FB" w14:textId="77777777" w:rsidR="00E93D9C" w:rsidRPr="00571974" w:rsidRDefault="003D4D89" w:rsidP="00E93D9C">
      <w:pPr>
        <w:pStyle w:val="BodyText"/>
        <w:widowControl/>
        <w:autoSpaceDE/>
        <w:autoSpaceDN/>
        <w:adjustRightInd/>
        <w:ind w:firstLine="360"/>
        <w:rPr>
          <w:lang w:val="en-GB"/>
        </w:rPr>
      </w:pPr>
      <w:r w:rsidRPr="00571974">
        <w:rPr>
          <w:lang w:val="en-GB"/>
        </w:rPr>
        <w:t xml:space="preserve">The 11% decrease from 2018 to 2019 follows the 13% reduction in realized price. The 15% increase from 2017 to 2018 follows increased production in 2018 as Metallurgical sales volumes increased by 11% to 22.0 Mt. The increase is also reflective of a 3% increase in the metallurgical coal realized price, with market prices supported by strong steelmaking margins globally and a number of supply disruptions in Australia. </w:t>
      </w:r>
    </w:p>
    <w:p w14:paraId="0A453EA2" w14:textId="1468AE34" w:rsidR="00E93D9C" w:rsidRPr="00571974" w:rsidRDefault="003D4D89" w:rsidP="00E93D9C">
      <w:pPr>
        <w:pStyle w:val="BodyText"/>
        <w:widowControl/>
        <w:autoSpaceDE/>
        <w:autoSpaceDN/>
        <w:adjustRightInd/>
        <w:ind w:firstLine="360"/>
        <w:rPr>
          <w:lang w:val="en-GB"/>
        </w:rPr>
      </w:pPr>
      <w:r w:rsidRPr="00571974">
        <w:rPr>
          <w:lang w:val="en-GB"/>
        </w:rPr>
        <w:t xml:space="preserve">Total production from the Australian mines increased by 9% from 2017 to 2018. Hard Coking Coal production increased by 11% driven principally by performance at Moranbah </w:t>
      </w:r>
      <w:r w:rsidR="003349C7">
        <w:rPr>
          <w:lang w:val="en-GB"/>
        </w:rPr>
        <w:t xml:space="preserve">North </w:t>
      </w:r>
      <w:r w:rsidRPr="00571974">
        <w:rPr>
          <w:lang w:val="en-GB"/>
        </w:rPr>
        <w:t>and Grosvenor (benchmark HCC producers), whilst Pulverized Coal Injection (</w:t>
      </w:r>
      <w:r w:rsidR="00A311D8">
        <w:rPr>
          <w:lang w:val="en-GB"/>
        </w:rPr>
        <w:t>“</w:t>
      </w:r>
      <w:r w:rsidRPr="00571974">
        <w:rPr>
          <w:lang w:val="en-GB"/>
        </w:rPr>
        <w:t>PCI</w:t>
      </w:r>
      <w:r w:rsidR="00A311D8">
        <w:rPr>
          <w:lang w:val="en-GB"/>
        </w:rPr>
        <w:t>”</w:t>
      </w:r>
      <w:r w:rsidRPr="00571974">
        <w:rPr>
          <w:lang w:val="en-GB"/>
        </w:rPr>
        <w:t xml:space="preserve">) production increased by 13% to 3.0 Mt following increases at Capcoal. Thermal coal production declined 14% to 1.4 Mt in 2018. </w:t>
      </w:r>
    </w:p>
    <w:p w14:paraId="1D80740B" w14:textId="77777777" w:rsidR="00E93D9C" w:rsidRPr="00571974" w:rsidRDefault="003D4D89" w:rsidP="00EA3F32">
      <w:pPr>
        <w:pStyle w:val="Heading4"/>
      </w:pPr>
      <w:r w:rsidRPr="00571974">
        <w:t>South Africa and Cerrejón</w:t>
      </w:r>
    </w:p>
    <w:p w14:paraId="63F07D65" w14:textId="31E5F9B2" w:rsidR="00E93D9C" w:rsidRPr="00571974" w:rsidRDefault="003D4D89" w:rsidP="00E93D9C">
      <w:pPr>
        <w:pStyle w:val="BodyText"/>
        <w:widowControl/>
        <w:autoSpaceDE/>
        <w:autoSpaceDN/>
        <w:adjustRightInd/>
        <w:ind w:firstLine="360"/>
        <w:rPr>
          <w:lang w:val="en-GB"/>
        </w:rPr>
      </w:pPr>
      <w:r w:rsidRPr="00571974">
        <w:rPr>
          <w:lang w:val="en-GB"/>
        </w:rPr>
        <w:t>Coal –South Africa and Cerrejón</w:t>
      </w:r>
      <w:r w:rsidR="00A311D8">
        <w:rPr>
          <w:lang w:val="en-GB"/>
        </w:rPr>
        <w:t>’</w:t>
      </w:r>
      <w:r w:rsidRPr="00571974">
        <w:rPr>
          <w:lang w:val="en-GB"/>
        </w:rPr>
        <w:t xml:space="preserve">s underlying EBIT in 2019, 2018 and 2017 was US$(10) million, US$861 million and US$762 million, respectively.  </w:t>
      </w:r>
    </w:p>
    <w:p w14:paraId="1C077CC3" w14:textId="77777777" w:rsidR="00E93D9C" w:rsidRPr="00571974" w:rsidRDefault="003D4D89" w:rsidP="00E93D9C">
      <w:pPr>
        <w:pStyle w:val="BodyText"/>
        <w:autoSpaceDE/>
        <w:autoSpaceDN/>
        <w:adjustRightInd/>
        <w:ind w:firstLine="360"/>
        <w:rPr>
          <w:lang w:val="en-GB"/>
        </w:rPr>
      </w:pPr>
      <w:r w:rsidRPr="00571974">
        <w:rPr>
          <w:lang w:val="en-GB"/>
        </w:rPr>
        <w:t xml:space="preserve">Underlying EBIT in South Africa decreased by 106% to US$(35) million in 2019 driven primarily by a 30% reduction in realized price. Underlying EBIT in South Africa increased by 21% to US$566 million in 2018, driven largely by a 14% increase in the realized export thermal coal price. This was </w:t>
      </w:r>
      <w:r w:rsidR="00A45DBD">
        <w:rPr>
          <w:lang w:val="en-GB"/>
        </w:rPr>
        <w:t xml:space="preserve">partially </w:t>
      </w:r>
      <w:r w:rsidRPr="00571974">
        <w:rPr>
          <w:lang w:val="en-GB"/>
        </w:rPr>
        <w:t xml:space="preserve">offset by lower volumes as export sales were 1% lower at 18.3 Mt in 2018. </w:t>
      </w:r>
    </w:p>
    <w:p w14:paraId="6649FBFC" w14:textId="77777777" w:rsidR="00E93D9C" w:rsidRPr="00571974" w:rsidRDefault="003D4D89" w:rsidP="00E93D9C">
      <w:pPr>
        <w:pStyle w:val="BodyText"/>
        <w:autoSpaceDE/>
        <w:autoSpaceDN/>
        <w:adjustRightInd/>
        <w:ind w:firstLine="360"/>
        <w:rPr>
          <w:lang w:val="en-GB"/>
        </w:rPr>
      </w:pPr>
      <w:r w:rsidRPr="00571974">
        <w:rPr>
          <w:lang w:val="en-GB"/>
        </w:rPr>
        <w:t>The sale of the Eskom-tied domestic thermal coal operations, comprising New Vaal, New Denmark, and Kriel collieries, as well as four closed collieries, to Seriti Resources was completed on March 1, 2018. Production from these assets, until the date of completion, was 2.8 Mt in 2018.</w:t>
      </w:r>
    </w:p>
    <w:p w14:paraId="3F54E6C3" w14:textId="0E5FFDEB" w:rsidR="00E93D9C" w:rsidRPr="00571974" w:rsidRDefault="003D4D89" w:rsidP="00E93D9C">
      <w:pPr>
        <w:pStyle w:val="BodyText"/>
        <w:widowControl/>
        <w:autoSpaceDE/>
        <w:autoSpaceDN/>
        <w:adjustRightInd/>
        <w:ind w:firstLine="360"/>
        <w:rPr>
          <w:lang w:val="en-GB"/>
        </w:rPr>
      </w:pPr>
      <w:r w:rsidRPr="00571974">
        <w:rPr>
          <w:lang w:val="en-GB"/>
        </w:rPr>
        <w:t xml:space="preserve">Underlying EBIT at Cerrejón decreased 91% from 2018 to 2019 to US$25 million (2018: US$295 million). The decrease was primarily due to a 33% reduction in realized price. Underlying EBIT at Cerrejón was in line with the prior year at US$295 million in 2018 (2017: US$296 million), with an 11% increase in prices offsetting lower volumes arising from permitting delays and weather impacts in the fourth quarter. </w:t>
      </w:r>
    </w:p>
    <w:p w14:paraId="3725961D" w14:textId="42BB08A9" w:rsidR="00E93D9C" w:rsidRPr="00571974" w:rsidRDefault="003D4D89" w:rsidP="00E93D9C">
      <w:pPr>
        <w:pStyle w:val="BodyText"/>
        <w:widowControl/>
        <w:autoSpaceDE/>
        <w:autoSpaceDN/>
        <w:adjustRightInd/>
        <w:ind w:firstLine="360"/>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 in 2019, 2018 and 2017 were US$2,381 million, US$3,557 million and US$3,535 million, respectively. </w:t>
      </w:r>
    </w:p>
    <w:p w14:paraId="37FCB71E" w14:textId="77777777" w:rsidR="00E93D9C" w:rsidRPr="00571974" w:rsidRDefault="003D4D89" w:rsidP="00E93D9C">
      <w:pPr>
        <w:pStyle w:val="BodyText"/>
        <w:autoSpaceDE/>
        <w:autoSpaceDN/>
        <w:adjustRightInd/>
        <w:ind w:firstLine="360"/>
        <w:rPr>
          <w:lang w:val="en-GB"/>
        </w:rPr>
      </w:pPr>
      <w:r w:rsidRPr="00571974">
        <w:rPr>
          <w:lang w:val="en-GB"/>
        </w:rPr>
        <w:t xml:space="preserve">Group revenue in 2019 was 33% lower than 2018, largely driven by reduction in realized prices at South Africa and Cerrejón. Group revenue in 2018 was largely in line with prior year as a slight decline in South Africa of 1% to US$2,719 million was offset by a 6% increase at Cerrejón to US$838 million. The average realized price for export thermal coal was 89% of the average market price due to timing and quality differences relative to the industry </w:t>
      </w:r>
      <w:r w:rsidRPr="00571974">
        <w:rPr>
          <w:lang w:val="en-GB"/>
        </w:rPr>
        <w:lastRenderedPageBreak/>
        <w:t xml:space="preserve">benchmark. The difference in the realized price compared with the market price, between 2017 and 2018, reflects a changing quality mix owing to a higher proportion of secondary products being sold into the export market. </w:t>
      </w:r>
    </w:p>
    <w:p w14:paraId="7509D8E8" w14:textId="1ECAE4DB" w:rsidR="00E93D9C" w:rsidRPr="00571974" w:rsidRDefault="003D4D89" w:rsidP="00A45DBD">
      <w:pPr>
        <w:pStyle w:val="BodyText"/>
        <w:autoSpaceDE/>
        <w:autoSpaceDN/>
        <w:adjustRightInd/>
        <w:ind w:firstLine="360"/>
        <w:rPr>
          <w:lang w:val="en-GB"/>
        </w:rPr>
      </w:pPr>
      <w:r w:rsidRPr="00571974">
        <w:rPr>
          <w:lang w:val="en-GB"/>
        </w:rPr>
        <w:t>Total South Africa attributable production in 2019</w:t>
      </w:r>
      <w:r w:rsidR="00A45DBD">
        <w:rPr>
          <w:lang w:val="en-GB"/>
        </w:rPr>
        <w:t xml:space="preserve"> </w:t>
      </w:r>
      <w:r w:rsidRPr="00571974">
        <w:rPr>
          <w:lang w:val="en-GB"/>
        </w:rPr>
        <w:t xml:space="preserve">decreased by 13% to 27.8 Mt, largely due to the sale of Eskom-tied domestic thermal coal operations in 2018 and mine sections reaching their end of life at Khwezela and Goedehoop. Attributable production in 2018 decreased to 32.1 Mt compared to 49.9 Mt in 2017, largely due to the sale of Eskom operations, which in turn was partly offset by the total production from the Export mines increasing by 12% to 24.6 Mt in 2018, driven by productivity-led growth from the underground operations. </w:t>
      </w:r>
    </w:p>
    <w:p w14:paraId="15D32269" w14:textId="77777777" w:rsidR="00E93D9C" w:rsidRPr="00571974" w:rsidRDefault="003D4D89" w:rsidP="00E93D9C">
      <w:pPr>
        <w:pStyle w:val="BodyText"/>
        <w:widowControl/>
        <w:autoSpaceDE/>
        <w:autoSpaceDN/>
        <w:adjustRightInd/>
        <w:ind w:firstLine="360"/>
        <w:rPr>
          <w:lang w:val="en-GB"/>
        </w:rPr>
      </w:pPr>
      <w:r w:rsidRPr="00571974">
        <w:rPr>
          <w:lang w:val="en-GB"/>
        </w:rPr>
        <w:t>Export sales from South Africa at 18.1 Mt in 2019 were 1% below 2018, impacted by lower production volumes.</w:t>
      </w:r>
    </w:p>
    <w:p w14:paraId="5FDBDFCC" w14:textId="77777777" w:rsidR="00E93D9C" w:rsidRPr="00571974" w:rsidRDefault="003D4D89" w:rsidP="00E93D9C">
      <w:pPr>
        <w:pStyle w:val="BodyText"/>
        <w:widowControl/>
        <w:autoSpaceDE/>
        <w:autoSpaceDN/>
        <w:adjustRightInd/>
        <w:ind w:firstLine="360"/>
        <w:rPr>
          <w:lang w:val="en-GB"/>
        </w:rPr>
      </w:pPr>
      <w:r w:rsidRPr="00571974">
        <w:rPr>
          <w:lang w:val="en-GB"/>
        </w:rPr>
        <w:t>Export sales from South Africa at 18.3 Mt in 2018 were 1% below 2017, impacted by lower production volumes.</w:t>
      </w:r>
    </w:p>
    <w:p w14:paraId="11258428" w14:textId="77777777" w:rsidR="00E93D9C" w:rsidRPr="00571974" w:rsidRDefault="003D4D89" w:rsidP="00E93D9C">
      <w:pPr>
        <w:pStyle w:val="BodyText"/>
        <w:widowControl/>
        <w:autoSpaceDE/>
        <w:autoSpaceDN/>
        <w:adjustRightInd/>
        <w:ind w:firstLine="360"/>
        <w:rPr>
          <w:lang w:val="en-GB"/>
        </w:rPr>
      </w:pPr>
      <w:r w:rsidRPr="00571974">
        <w:rPr>
          <w:lang w:val="en-GB"/>
        </w:rPr>
        <w:t>Export sales from South Africa at 18.6 Mt in 2017 were 2% below 2016, impacted by lower production volumes.</w:t>
      </w:r>
    </w:p>
    <w:p w14:paraId="674BAD59" w14:textId="1263C77E" w:rsidR="00E93D9C" w:rsidRPr="00571974" w:rsidRDefault="003D4D89" w:rsidP="001003BB">
      <w:pPr>
        <w:pStyle w:val="BodyText"/>
        <w:widowControl/>
        <w:autoSpaceDE/>
        <w:autoSpaceDN/>
        <w:adjustRightInd/>
        <w:ind w:firstLine="360"/>
        <w:rPr>
          <w:lang w:val="en-GB"/>
        </w:rPr>
      </w:pPr>
      <w:r w:rsidRPr="00571974">
        <w:rPr>
          <w:lang w:val="en-GB"/>
        </w:rPr>
        <w:t>Anglo American</w:t>
      </w:r>
      <w:r w:rsidR="00A311D8">
        <w:rPr>
          <w:lang w:val="en-GB"/>
        </w:rPr>
        <w:t>’</w:t>
      </w:r>
      <w:r w:rsidRPr="00571974">
        <w:rPr>
          <w:lang w:val="en-GB"/>
        </w:rPr>
        <w:t>s attributable output from its 33.3% shareholding in Cerrejón was 8.6 Mt in 2019</w:t>
      </w:r>
      <w:r w:rsidR="00A45DBD">
        <w:rPr>
          <w:lang w:val="en-GB"/>
        </w:rPr>
        <w:t>,</w:t>
      </w:r>
      <w:r w:rsidRPr="00571974">
        <w:rPr>
          <w:lang w:val="en-GB"/>
        </w:rPr>
        <w:t xml:space="preserve"> which was 16% below 2018 levels. Attributable output was 10.2 Mt in 2018 which was below the 10.6 Mt in 2017</w:t>
      </w:r>
      <w:r w:rsidR="00A45DBD">
        <w:rPr>
          <w:lang w:val="en-GB"/>
        </w:rPr>
        <w:t>,</w:t>
      </w:r>
      <w:r w:rsidRPr="00571974">
        <w:rPr>
          <w:lang w:val="en-GB"/>
        </w:rPr>
        <w:t xml:space="preserve"> principally due to permitting delays and weather impacts in the fourth quarter. </w:t>
      </w:r>
    </w:p>
    <w:p w14:paraId="5D461FB9" w14:textId="77777777" w:rsidR="00E93D9C" w:rsidRPr="00571974" w:rsidRDefault="003D4D89" w:rsidP="007B1404">
      <w:pPr>
        <w:pStyle w:val="Heading3"/>
        <w:rPr>
          <w:lang w:val="en-GB"/>
        </w:rPr>
      </w:pPr>
      <w:r w:rsidRPr="00571974">
        <w:rPr>
          <w:lang w:val="en-GB"/>
        </w:rPr>
        <w:t>Nickel and Manganese</w:t>
      </w:r>
    </w:p>
    <w:p w14:paraId="663BE7BA" w14:textId="3990C1AE" w:rsidR="00E93D9C" w:rsidRPr="00571974" w:rsidRDefault="003D4D89" w:rsidP="00DA283E">
      <w:pPr>
        <w:pStyle w:val="BodyText"/>
        <w:widowControl/>
        <w:autoSpaceDE/>
        <w:autoSpaceDN/>
        <w:adjustRightInd/>
        <w:ind w:firstLine="360"/>
        <w:rPr>
          <w:lang w:val="en-GB"/>
        </w:rPr>
      </w:pPr>
      <w:r w:rsidRPr="00571974">
        <w:rPr>
          <w:lang w:val="en-GB"/>
        </w:rPr>
        <w:t>Following a reassessment of the Group</w:t>
      </w:r>
      <w:r w:rsidR="00A311D8">
        <w:rPr>
          <w:lang w:val="en-GB"/>
        </w:rPr>
        <w:t>’</w:t>
      </w:r>
      <w:r w:rsidRPr="00571974">
        <w:rPr>
          <w:lang w:val="en-GB"/>
        </w:rPr>
        <w:t>s reportable segments</w:t>
      </w:r>
      <w:r w:rsidR="0009201B">
        <w:rPr>
          <w:lang w:val="en-GB"/>
        </w:rPr>
        <w:t xml:space="preserve"> in 2018</w:t>
      </w:r>
      <w:r w:rsidRPr="00571974">
        <w:rPr>
          <w:lang w:val="en-GB"/>
        </w:rPr>
        <w:t>, the Group has presented the results of the Iron Ore businesses as the Iron Ore reportable segment. Manganese, which was previously reported with Iron Ore has been aggregated with Nickel as a single reportable segment. Comparative information has been restated to reflect this change.</w:t>
      </w:r>
    </w:p>
    <w:p w14:paraId="5FB4167E" w14:textId="77777777" w:rsidR="00E93D9C" w:rsidRPr="00571974" w:rsidRDefault="003D4D89" w:rsidP="00E93D9C">
      <w:pPr>
        <w:pStyle w:val="BodyText"/>
        <w:widowControl/>
        <w:autoSpaceDE/>
        <w:autoSpaceDN/>
        <w:adjustRightInd/>
        <w:ind w:firstLine="360"/>
        <w:rPr>
          <w:lang w:val="en-GB"/>
        </w:rPr>
      </w:pPr>
      <w:r w:rsidRPr="00571974">
        <w:rPr>
          <w:lang w:val="en-GB"/>
        </w:rPr>
        <w:t>The following table summarizes the results of operations of the Nickel business segment and the average market price for nickel for the years indicated:</w:t>
      </w:r>
    </w:p>
    <w:tbl>
      <w:tblPr>
        <w:tblW w:w="5000" w:type="pct"/>
        <w:jc w:val="center"/>
        <w:tblLayout w:type="fixed"/>
        <w:tblCellMar>
          <w:left w:w="72" w:type="dxa"/>
          <w:right w:w="72" w:type="dxa"/>
        </w:tblCellMar>
        <w:tblLook w:val="0000" w:firstRow="0" w:lastRow="0" w:firstColumn="0" w:lastColumn="0" w:noHBand="0" w:noVBand="0"/>
      </w:tblPr>
      <w:tblGrid>
        <w:gridCol w:w="7069"/>
        <w:gridCol w:w="801"/>
        <w:gridCol w:w="777"/>
        <w:gridCol w:w="709"/>
      </w:tblGrid>
      <w:tr w:rsidR="002228B8" w14:paraId="3A5F9C09" w14:textId="77777777" w:rsidTr="00DF4A0D">
        <w:trPr>
          <w:cantSplit/>
          <w:jc w:val="center"/>
        </w:trPr>
        <w:tc>
          <w:tcPr>
            <w:tcW w:w="3778" w:type="pct"/>
            <w:tcBorders>
              <w:top w:val="nil"/>
              <w:left w:val="nil"/>
              <w:bottom w:val="nil"/>
              <w:right w:val="nil"/>
            </w:tcBorders>
            <w:vAlign w:val="bottom"/>
          </w:tcPr>
          <w:p w14:paraId="1ACFB9B1"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222" w:type="pct"/>
            <w:gridSpan w:val="3"/>
            <w:tcBorders>
              <w:top w:val="nil"/>
              <w:left w:val="nil"/>
              <w:bottom w:val="nil"/>
              <w:right w:val="nil"/>
            </w:tcBorders>
            <w:vAlign w:val="bottom"/>
          </w:tcPr>
          <w:p w14:paraId="2E136D94" w14:textId="77777777" w:rsidR="00E93D9C"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6789536B" w14:textId="77777777" w:rsidTr="00DF4A0D">
        <w:trPr>
          <w:cantSplit/>
          <w:jc w:val="center"/>
        </w:trPr>
        <w:tc>
          <w:tcPr>
            <w:tcW w:w="3778" w:type="pct"/>
            <w:tcBorders>
              <w:top w:val="nil"/>
              <w:left w:val="nil"/>
              <w:bottom w:val="nil"/>
              <w:right w:val="nil"/>
            </w:tcBorders>
            <w:vAlign w:val="bottom"/>
          </w:tcPr>
          <w:p w14:paraId="00F1D3E0"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28" w:type="pct"/>
            <w:tcBorders>
              <w:top w:val="nil"/>
              <w:left w:val="nil"/>
              <w:bottom w:val="nil"/>
              <w:right w:val="nil"/>
            </w:tcBorders>
            <w:vAlign w:val="bottom"/>
          </w:tcPr>
          <w:p w14:paraId="5859DA3E"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415" w:type="pct"/>
            <w:tcBorders>
              <w:top w:val="nil"/>
              <w:left w:val="nil"/>
              <w:bottom w:val="nil"/>
              <w:right w:val="nil"/>
            </w:tcBorders>
            <w:vAlign w:val="bottom"/>
          </w:tcPr>
          <w:p w14:paraId="0A165A43"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379" w:type="pct"/>
            <w:tcBorders>
              <w:top w:val="nil"/>
              <w:left w:val="nil"/>
              <w:bottom w:val="nil"/>
              <w:right w:val="nil"/>
            </w:tcBorders>
            <w:vAlign w:val="bottom"/>
          </w:tcPr>
          <w:p w14:paraId="16918433"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169283B2" w14:textId="77777777" w:rsidTr="00DF4A0D">
        <w:trPr>
          <w:cantSplit/>
          <w:jc w:val="center"/>
        </w:trPr>
        <w:tc>
          <w:tcPr>
            <w:tcW w:w="3778" w:type="pct"/>
            <w:tcBorders>
              <w:top w:val="nil"/>
              <w:left w:val="nil"/>
              <w:bottom w:val="nil"/>
              <w:right w:val="nil"/>
            </w:tcBorders>
            <w:vAlign w:val="bottom"/>
          </w:tcPr>
          <w:p w14:paraId="1A52273C" w14:textId="77777777" w:rsidR="00E93D9C" w:rsidRPr="00571974" w:rsidRDefault="00E93D9C"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222" w:type="pct"/>
            <w:gridSpan w:val="3"/>
            <w:tcBorders>
              <w:top w:val="nil"/>
              <w:left w:val="nil"/>
              <w:bottom w:val="nil"/>
              <w:right w:val="nil"/>
            </w:tcBorders>
            <w:vAlign w:val="bottom"/>
          </w:tcPr>
          <w:p w14:paraId="5CB7E9D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 unless otherwise stated)</w:t>
            </w:r>
          </w:p>
        </w:tc>
      </w:tr>
      <w:tr w:rsidR="002228B8" w14:paraId="5ACA4709" w14:textId="77777777" w:rsidTr="00DF4A0D">
        <w:trPr>
          <w:cantSplit/>
          <w:jc w:val="center"/>
        </w:trPr>
        <w:tc>
          <w:tcPr>
            <w:tcW w:w="3778" w:type="pct"/>
            <w:tcBorders>
              <w:top w:val="nil"/>
              <w:left w:val="nil"/>
              <w:bottom w:val="nil"/>
              <w:right w:val="nil"/>
            </w:tcBorders>
          </w:tcPr>
          <w:p w14:paraId="0DD30C0C" w14:textId="73813E7A"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428" w:type="pct"/>
            <w:tcBorders>
              <w:top w:val="nil"/>
              <w:left w:val="nil"/>
              <w:bottom w:val="nil"/>
              <w:right w:val="nil"/>
            </w:tcBorders>
            <w:vAlign w:val="bottom"/>
          </w:tcPr>
          <w:p w14:paraId="7481EDA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1,391</w:t>
            </w:r>
          </w:p>
        </w:tc>
        <w:tc>
          <w:tcPr>
            <w:tcW w:w="415" w:type="pct"/>
            <w:tcBorders>
              <w:top w:val="nil"/>
              <w:left w:val="nil"/>
              <w:bottom w:val="nil"/>
              <w:right w:val="nil"/>
            </w:tcBorders>
            <w:vAlign w:val="bottom"/>
          </w:tcPr>
          <w:p w14:paraId="378793A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1,707</w:t>
            </w:r>
          </w:p>
        </w:tc>
        <w:tc>
          <w:tcPr>
            <w:tcW w:w="379" w:type="pct"/>
            <w:tcBorders>
              <w:top w:val="nil"/>
              <w:left w:val="nil"/>
              <w:bottom w:val="nil"/>
              <w:right w:val="nil"/>
            </w:tcBorders>
            <w:vAlign w:val="bottom"/>
          </w:tcPr>
          <w:p w14:paraId="673797DF"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1,498</w:t>
            </w:r>
          </w:p>
        </w:tc>
      </w:tr>
      <w:tr w:rsidR="002228B8" w14:paraId="42F639E5" w14:textId="77777777" w:rsidTr="00DF4A0D">
        <w:trPr>
          <w:cantSplit/>
          <w:jc w:val="center"/>
        </w:trPr>
        <w:tc>
          <w:tcPr>
            <w:tcW w:w="3778" w:type="pct"/>
            <w:tcBorders>
              <w:top w:val="nil"/>
              <w:left w:val="nil"/>
              <w:bottom w:val="nil"/>
              <w:right w:val="nil"/>
            </w:tcBorders>
          </w:tcPr>
          <w:p w14:paraId="1D141C3B"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428" w:type="pct"/>
            <w:tcBorders>
              <w:top w:val="nil"/>
              <w:left w:val="nil"/>
              <w:bottom w:val="nil"/>
              <w:right w:val="nil"/>
            </w:tcBorders>
            <w:vAlign w:val="bottom"/>
          </w:tcPr>
          <w:p w14:paraId="278BD5D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478</w:t>
            </w:r>
          </w:p>
        </w:tc>
        <w:tc>
          <w:tcPr>
            <w:tcW w:w="415" w:type="pct"/>
            <w:tcBorders>
              <w:top w:val="nil"/>
              <w:left w:val="nil"/>
              <w:bottom w:val="nil"/>
              <w:right w:val="nil"/>
            </w:tcBorders>
            <w:vAlign w:val="bottom"/>
          </w:tcPr>
          <w:p w14:paraId="3A9804E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685</w:t>
            </w:r>
          </w:p>
        </w:tc>
        <w:tc>
          <w:tcPr>
            <w:tcW w:w="379" w:type="pct"/>
            <w:tcBorders>
              <w:top w:val="nil"/>
              <w:left w:val="nil"/>
              <w:bottom w:val="nil"/>
              <w:right w:val="nil"/>
            </w:tcBorders>
            <w:vAlign w:val="bottom"/>
          </w:tcPr>
          <w:p w14:paraId="750103A8"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477</w:t>
            </w:r>
          </w:p>
        </w:tc>
      </w:tr>
      <w:tr w:rsidR="002228B8" w14:paraId="51BDF6D5" w14:textId="77777777" w:rsidTr="00DF4A0D">
        <w:trPr>
          <w:cantSplit/>
          <w:jc w:val="center"/>
        </w:trPr>
        <w:tc>
          <w:tcPr>
            <w:tcW w:w="3778" w:type="pct"/>
            <w:tcBorders>
              <w:top w:val="nil"/>
              <w:left w:val="nil"/>
              <w:bottom w:val="nil"/>
              <w:right w:val="nil"/>
            </w:tcBorders>
          </w:tcPr>
          <w:p w14:paraId="7B17D563"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 xml:space="preserve">                      Nickel</w:t>
            </w:r>
            <w:r w:rsidRPr="00571974">
              <w:rPr>
                <w:sz w:val="18"/>
                <w:szCs w:val="18"/>
                <w:lang w:val="en-GB" w:eastAsia="en-GB" w:bidi="ar-SA"/>
              </w:rPr>
              <w:tab/>
            </w:r>
          </w:p>
        </w:tc>
        <w:tc>
          <w:tcPr>
            <w:tcW w:w="428" w:type="pct"/>
            <w:tcBorders>
              <w:top w:val="nil"/>
              <w:left w:val="nil"/>
              <w:bottom w:val="nil"/>
              <w:right w:val="nil"/>
            </w:tcBorders>
            <w:vAlign w:val="bottom"/>
          </w:tcPr>
          <w:p w14:paraId="5C6236F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w:t>
            </w:r>
          </w:p>
        </w:tc>
        <w:tc>
          <w:tcPr>
            <w:tcW w:w="415" w:type="pct"/>
            <w:tcBorders>
              <w:top w:val="nil"/>
              <w:left w:val="nil"/>
              <w:bottom w:val="nil"/>
              <w:right w:val="nil"/>
            </w:tcBorders>
            <w:vAlign w:val="bottom"/>
          </w:tcPr>
          <w:p w14:paraId="3EE29EA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75</w:t>
            </w:r>
          </w:p>
        </w:tc>
        <w:tc>
          <w:tcPr>
            <w:tcW w:w="379" w:type="pct"/>
            <w:tcBorders>
              <w:top w:val="nil"/>
              <w:left w:val="nil"/>
              <w:bottom w:val="nil"/>
              <w:right w:val="nil"/>
            </w:tcBorders>
            <w:vAlign w:val="bottom"/>
          </w:tcPr>
          <w:p w14:paraId="16EE5EF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89</w:t>
            </w:r>
          </w:p>
        </w:tc>
      </w:tr>
      <w:tr w:rsidR="002228B8" w14:paraId="6E7E771D" w14:textId="77777777" w:rsidTr="00DF4A0D">
        <w:trPr>
          <w:cantSplit/>
          <w:jc w:val="center"/>
        </w:trPr>
        <w:tc>
          <w:tcPr>
            <w:tcW w:w="3778" w:type="pct"/>
            <w:tcBorders>
              <w:top w:val="nil"/>
              <w:left w:val="nil"/>
              <w:bottom w:val="nil"/>
              <w:right w:val="nil"/>
            </w:tcBorders>
          </w:tcPr>
          <w:p w14:paraId="7FB31FB1"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 xml:space="preserve">                      Samancor</w:t>
            </w:r>
            <w:r w:rsidRPr="00571974">
              <w:rPr>
                <w:sz w:val="18"/>
                <w:szCs w:val="18"/>
                <w:lang w:val="en-GB" w:eastAsia="en-GB" w:bidi="ar-SA"/>
              </w:rPr>
              <w:tab/>
            </w:r>
          </w:p>
        </w:tc>
        <w:tc>
          <w:tcPr>
            <w:tcW w:w="428" w:type="pct"/>
            <w:tcBorders>
              <w:top w:val="nil"/>
              <w:left w:val="nil"/>
              <w:bottom w:val="nil"/>
              <w:right w:val="nil"/>
            </w:tcBorders>
            <w:vAlign w:val="bottom"/>
          </w:tcPr>
          <w:p w14:paraId="15D3D31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478</w:t>
            </w:r>
          </w:p>
        </w:tc>
        <w:tc>
          <w:tcPr>
            <w:tcW w:w="415" w:type="pct"/>
            <w:tcBorders>
              <w:top w:val="nil"/>
              <w:left w:val="nil"/>
              <w:bottom w:val="nil"/>
              <w:right w:val="nil"/>
            </w:tcBorders>
            <w:vAlign w:val="bottom"/>
          </w:tcPr>
          <w:p w14:paraId="7A561B0E"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610</w:t>
            </w:r>
          </w:p>
        </w:tc>
        <w:tc>
          <w:tcPr>
            <w:tcW w:w="379" w:type="pct"/>
            <w:tcBorders>
              <w:top w:val="nil"/>
              <w:left w:val="nil"/>
              <w:bottom w:val="nil"/>
              <w:right w:val="nil"/>
            </w:tcBorders>
            <w:vAlign w:val="bottom"/>
          </w:tcPr>
          <w:p w14:paraId="5458D20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388</w:t>
            </w:r>
          </w:p>
        </w:tc>
      </w:tr>
      <w:tr w:rsidR="002228B8" w14:paraId="18020FD2" w14:textId="77777777" w:rsidTr="00DF4A0D">
        <w:trPr>
          <w:cantSplit/>
          <w:jc w:val="center"/>
        </w:trPr>
        <w:tc>
          <w:tcPr>
            <w:tcW w:w="3778" w:type="pct"/>
            <w:tcBorders>
              <w:top w:val="nil"/>
              <w:left w:val="nil"/>
              <w:bottom w:val="nil"/>
              <w:right w:val="nil"/>
            </w:tcBorders>
          </w:tcPr>
          <w:p w14:paraId="04AC7732"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428" w:type="pct"/>
            <w:tcBorders>
              <w:top w:val="nil"/>
              <w:left w:val="nil"/>
              <w:bottom w:val="nil"/>
              <w:right w:val="nil"/>
            </w:tcBorders>
            <w:vAlign w:val="bottom"/>
          </w:tcPr>
          <w:p w14:paraId="67655CC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610</w:t>
            </w:r>
          </w:p>
        </w:tc>
        <w:tc>
          <w:tcPr>
            <w:tcW w:w="415" w:type="pct"/>
            <w:tcBorders>
              <w:top w:val="nil"/>
              <w:left w:val="nil"/>
              <w:bottom w:val="nil"/>
              <w:right w:val="nil"/>
            </w:tcBorders>
            <w:vAlign w:val="bottom"/>
          </w:tcPr>
          <w:p w14:paraId="36A43CA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844</w:t>
            </w:r>
          </w:p>
        </w:tc>
        <w:tc>
          <w:tcPr>
            <w:tcW w:w="379" w:type="pct"/>
            <w:tcBorders>
              <w:top w:val="nil"/>
              <w:left w:val="nil"/>
              <w:bottom w:val="nil"/>
              <w:right w:val="nil"/>
            </w:tcBorders>
            <w:vAlign w:val="bottom"/>
          </w:tcPr>
          <w:p w14:paraId="55B83CD1"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634</w:t>
            </w:r>
          </w:p>
        </w:tc>
      </w:tr>
      <w:tr w:rsidR="002228B8" w14:paraId="7C942A6C" w14:textId="77777777" w:rsidTr="00DF4A0D">
        <w:trPr>
          <w:cantSplit/>
          <w:jc w:val="center"/>
        </w:trPr>
        <w:tc>
          <w:tcPr>
            <w:tcW w:w="3778" w:type="pct"/>
            <w:tcBorders>
              <w:top w:val="nil"/>
              <w:left w:val="nil"/>
              <w:bottom w:val="nil"/>
              <w:right w:val="nil"/>
            </w:tcBorders>
            <w:shd w:val="clear" w:color="auto" w:fill="auto"/>
          </w:tcPr>
          <w:p w14:paraId="2225A25D"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428" w:type="pct"/>
            <w:tcBorders>
              <w:top w:val="nil"/>
              <w:left w:val="nil"/>
              <w:bottom w:val="nil"/>
              <w:right w:val="nil"/>
            </w:tcBorders>
            <w:shd w:val="clear" w:color="auto" w:fill="auto"/>
            <w:vAlign w:val="bottom"/>
          </w:tcPr>
          <w:p w14:paraId="18D290A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2,364</w:t>
            </w:r>
          </w:p>
        </w:tc>
        <w:tc>
          <w:tcPr>
            <w:tcW w:w="415" w:type="pct"/>
            <w:tcBorders>
              <w:top w:val="nil"/>
              <w:left w:val="nil"/>
              <w:bottom w:val="nil"/>
              <w:right w:val="nil"/>
            </w:tcBorders>
            <w:shd w:val="clear" w:color="auto" w:fill="auto"/>
            <w:vAlign w:val="bottom"/>
          </w:tcPr>
          <w:p w14:paraId="6104C384"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2,390</w:t>
            </w:r>
          </w:p>
        </w:tc>
        <w:tc>
          <w:tcPr>
            <w:tcW w:w="379" w:type="pct"/>
            <w:tcBorders>
              <w:top w:val="nil"/>
              <w:left w:val="nil"/>
              <w:bottom w:val="nil"/>
              <w:right w:val="nil"/>
            </w:tcBorders>
            <w:shd w:val="clear" w:color="auto" w:fill="auto"/>
            <w:vAlign w:val="bottom"/>
          </w:tcPr>
          <w:p w14:paraId="0ECD7F2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2,305</w:t>
            </w:r>
          </w:p>
        </w:tc>
      </w:tr>
      <w:tr w:rsidR="002228B8" w14:paraId="79FC319A" w14:textId="77777777" w:rsidTr="00DF4A0D">
        <w:trPr>
          <w:cantSplit/>
          <w:jc w:val="center"/>
        </w:trPr>
        <w:tc>
          <w:tcPr>
            <w:tcW w:w="3778" w:type="pct"/>
            <w:tcBorders>
              <w:top w:val="nil"/>
              <w:left w:val="nil"/>
              <w:bottom w:val="nil"/>
              <w:right w:val="nil"/>
            </w:tcBorders>
            <w:shd w:val="clear" w:color="auto" w:fill="auto"/>
          </w:tcPr>
          <w:p w14:paraId="5B2C6BF7"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(1)</w:t>
            </w:r>
            <w:r w:rsidRPr="00571974">
              <w:rPr>
                <w:sz w:val="18"/>
                <w:szCs w:val="18"/>
                <w:lang w:val="en-GB" w:eastAsia="en-GB" w:bidi="ar-SA"/>
              </w:rPr>
              <w:tab/>
            </w:r>
          </w:p>
        </w:tc>
        <w:tc>
          <w:tcPr>
            <w:tcW w:w="428" w:type="pct"/>
            <w:tcBorders>
              <w:top w:val="nil"/>
              <w:left w:val="nil"/>
              <w:bottom w:val="nil"/>
              <w:right w:val="nil"/>
            </w:tcBorders>
            <w:shd w:val="clear" w:color="auto" w:fill="auto"/>
            <w:vAlign w:val="bottom"/>
          </w:tcPr>
          <w:p w14:paraId="5236D0F3"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w:t>
            </w:r>
          </w:p>
        </w:tc>
        <w:tc>
          <w:tcPr>
            <w:tcW w:w="415" w:type="pct"/>
            <w:tcBorders>
              <w:top w:val="nil"/>
              <w:left w:val="nil"/>
              <w:bottom w:val="nil"/>
              <w:right w:val="nil"/>
            </w:tcBorders>
            <w:shd w:val="clear" w:color="auto" w:fill="auto"/>
            <w:vAlign w:val="bottom"/>
          </w:tcPr>
          <w:p w14:paraId="1BFADB8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w:t>
            </w:r>
          </w:p>
        </w:tc>
        <w:tc>
          <w:tcPr>
            <w:tcW w:w="379" w:type="pct"/>
            <w:tcBorders>
              <w:top w:val="nil"/>
              <w:left w:val="nil"/>
              <w:bottom w:val="nil"/>
              <w:right w:val="nil"/>
            </w:tcBorders>
            <w:shd w:val="clear" w:color="auto" w:fill="auto"/>
            <w:vAlign w:val="bottom"/>
          </w:tcPr>
          <w:p w14:paraId="01C4E7C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w:t>
            </w:r>
          </w:p>
        </w:tc>
      </w:tr>
      <w:tr w:rsidR="002228B8" w14:paraId="658CE380" w14:textId="77777777" w:rsidTr="00DF4A0D">
        <w:trPr>
          <w:cantSplit/>
          <w:jc w:val="center"/>
        </w:trPr>
        <w:tc>
          <w:tcPr>
            <w:tcW w:w="3778" w:type="pct"/>
            <w:tcBorders>
              <w:top w:val="nil"/>
              <w:left w:val="nil"/>
              <w:bottom w:val="nil"/>
              <w:right w:val="nil"/>
            </w:tcBorders>
          </w:tcPr>
          <w:p w14:paraId="5B07D443"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underlying EBIT</w:t>
            </w:r>
            <w:r w:rsidRPr="00571974">
              <w:rPr>
                <w:sz w:val="18"/>
                <w:szCs w:val="18"/>
                <w:lang w:val="en-GB" w:eastAsia="en-GB" w:bidi="ar-SA"/>
              </w:rPr>
              <w:tab/>
            </w:r>
          </w:p>
        </w:tc>
        <w:tc>
          <w:tcPr>
            <w:tcW w:w="428" w:type="pct"/>
            <w:tcBorders>
              <w:top w:val="nil"/>
              <w:left w:val="nil"/>
              <w:bottom w:val="nil"/>
              <w:right w:val="nil"/>
            </w:tcBorders>
            <w:vAlign w:val="bottom"/>
          </w:tcPr>
          <w:p w14:paraId="5666EDB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w:t>
            </w:r>
          </w:p>
        </w:tc>
        <w:tc>
          <w:tcPr>
            <w:tcW w:w="415" w:type="pct"/>
            <w:tcBorders>
              <w:top w:val="nil"/>
              <w:left w:val="nil"/>
              <w:bottom w:val="nil"/>
              <w:right w:val="nil"/>
            </w:tcBorders>
            <w:vAlign w:val="bottom"/>
          </w:tcPr>
          <w:p w14:paraId="45BAB4D0"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w:t>
            </w:r>
          </w:p>
        </w:tc>
        <w:tc>
          <w:tcPr>
            <w:tcW w:w="379" w:type="pct"/>
            <w:tcBorders>
              <w:top w:val="nil"/>
              <w:left w:val="nil"/>
              <w:bottom w:val="nil"/>
              <w:right w:val="nil"/>
            </w:tcBorders>
            <w:vAlign w:val="bottom"/>
          </w:tcPr>
          <w:p w14:paraId="26B76AE7"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w:t>
            </w:r>
          </w:p>
        </w:tc>
      </w:tr>
      <w:tr w:rsidR="002228B8" w14:paraId="6D820664" w14:textId="77777777" w:rsidTr="00DF4A0D">
        <w:trPr>
          <w:cantSplit/>
          <w:jc w:val="center"/>
        </w:trPr>
        <w:tc>
          <w:tcPr>
            <w:tcW w:w="3778" w:type="pct"/>
            <w:tcBorders>
              <w:top w:val="nil"/>
              <w:left w:val="nil"/>
              <w:bottom w:val="nil"/>
              <w:right w:val="nil"/>
            </w:tcBorders>
          </w:tcPr>
          <w:p w14:paraId="69009F8E"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428" w:type="pct"/>
            <w:tcBorders>
              <w:top w:val="nil"/>
              <w:left w:val="nil"/>
              <w:bottom w:val="nil"/>
              <w:right w:val="nil"/>
            </w:tcBorders>
            <w:vAlign w:val="bottom"/>
          </w:tcPr>
          <w:p w14:paraId="57F606AB"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w:t>
            </w:r>
          </w:p>
        </w:tc>
        <w:tc>
          <w:tcPr>
            <w:tcW w:w="415" w:type="pct"/>
            <w:tcBorders>
              <w:top w:val="nil"/>
              <w:left w:val="nil"/>
              <w:bottom w:val="nil"/>
              <w:right w:val="nil"/>
            </w:tcBorders>
            <w:vAlign w:val="bottom"/>
          </w:tcPr>
          <w:p w14:paraId="146AA02C"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w:t>
            </w:r>
          </w:p>
        </w:tc>
        <w:tc>
          <w:tcPr>
            <w:tcW w:w="379" w:type="pct"/>
            <w:tcBorders>
              <w:top w:val="nil"/>
              <w:left w:val="nil"/>
              <w:bottom w:val="nil"/>
              <w:right w:val="nil"/>
            </w:tcBorders>
            <w:vAlign w:val="bottom"/>
          </w:tcPr>
          <w:p w14:paraId="598F677D"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w:t>
            </w:r>
          </w:p>
        </w:tc>
      </w:tr>
      <w:tr w:rsidR="002228B8" w14:paraId="53269E95" w14:textId="77777777" w:rsidTr="00DF4A0D">
        <w:trPr>
          <w:cantSplit/>
          <w:jc w:val="center"/>
        </w:trPr>
        <w:tc>
          <w:tcPr>
            <w:tcW w:w="3778" w:type="pct"/>
            <w:tcBorders>
              <w:top w:val="nil"/>
              <w:left w:val="nil"/>
              <w:bottom w:val="nil"/>
              <w:right w:val="nil"/>
            </w:tcBorders>
          </w:tcPr>
          <w:p w14:paraId="303C1E52"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Attributable production (tonnes)</w:t>
            </w:r>
            <w:r w:rsidRPr="00571974">
              <w:rPr>
                <w:sz w:val="18"/>
                <w:szCs w:val="18"/>
                <w:lang w:val="en-GB" w:eastAsia="en-GB" w:bidi="ar-SA"/>
              </w:rPr>
              <w:tab/>
            </w:r>
          </w:p>
        </w:tc>
        <w:tc>
          <w:tcPr>
            <w:tcW w:w="428" w:type="pct"/>
            <w:tcBorders>
              <w:top w:val="nil"/>
              <w:left w:val="nil"/>
              <w:bottom w:val="nil"/>
              <w:right w:val="nil"/>
            </w:tcBorders>
            <w:vAlign w:val="bottom"/>
          </w:tcPr>
          <w:p w14:paraId="0D63EA2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43,800</w:t>
            </w:r>
          </w:p>
        </w:tc>
        <w:tc>
          <w:tcPr>
            <w:tcW w:w="415" w:type="pct"/>
            <w:tcBorders>
              <w:top w:val="nil"/>
              <w:left w:val="nil"/>
              <w:bottom w:val="nil"/>
              <w:right w:val="nil"/>
            </w:tcBorders>
            <w:vAlign w:val="bottom"/>
          </w:tcPr>
          <w:p w14:paraId="4D1AED7A"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42,300</w:t>
            </w:r>
          </w:p>
        </w:tc>
        <w:tc>
          <w:tcPr>
            <w:tcW w:w="379" w:type="pct"/>
            <w:tcBorders>
              <w:top w:val="nil"/>
              <w:left w:val="nil"/>
              <w:bottom w:val="nil"/>
              <w:right w:val="nil"/>
            </w:tcBorders>
            <w:vAlign w:val="bottom"/>
          </w:tcPr>
          <w:p w14:paraId="1D153F35"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42,600</w:t>
            </w:r>
          </w:p>
        </w:tc>
      </w:tr>
      <w:tr w:rsidR="002228B8" w14:paraId="21A4A798" w14:textId="77777777" w:rsidTr="00DF4A0D">
        <w:trPr>
          <w:cantSplit/>
          <w:jc w:val="center"/>
        </w:trPr>
        <w:tc>
          <w:tcPr>
            <w:tcW w:w="3778" w:type="pct"/>
            <w:tcBorders>
              <w:top w:val="nil"/>
              <w:left w:val="nil"/>
              <w:bottom w:val="nil"/>
              <w:right w:val="nil"/>
            </w:tcBorders>
          </w:tcPr>
          <w:p w14:paraId="0B9E9B2A" w14:textId="77777777" w:rsidR="00E93D9C" w:rsidRPr="00571974" w:rsidRDefault="003D4D89" w:rsidP="00DF4A0D">
            <w:pPr>
              <w:tabs>
                <w:tab w:val="right" w:leader="dot" w:pos="7540"/>
              </w:tabs>
              <w:suppressAutoHyphens/>
              <w:ind w:left="200" w:hanging="200"/>
              <w:rPr>
                <w:sz w:val="18"/>
                <w:szCs w:val="18"/>
                <w:lang w:val="en-GB" w:eastAsia="en-GB" w:bidi="ar-SA"/>
              </w:rPr>
            </w:pPr>
            <w:r w:rsidRPr="00571974">
              <w:rPr>
                <w:sz w:val="18"/>
                <w:szCs w:val="18"/>
                <w:lang w:val="en-GB" w:eastAsia="en-GB" w:bidi="ar-SA"/>
              </w:rPr>
              <w:t>Nickel price (U.S. cents/lb)</w:t>
            </w:r>
            <w:r w:rsidRPr="00571974">
              <w:rPr>
                <w:sz w:val="18"/>
                <w:szCs w:val="18"/>
                <w:vertAlign w:val="superscript"/>
                <w:lang w:val="en-GB" w:eastAsia="en-GB" w:bidi="ar-SA"/>
              </w:rPr>
              <w:t>(2)</w:t>
            </w:r>
            <w:r w:rsidRPr="00571974">
              <w:rPr>
                <w:sz w:val="18"/>
                <w:szCs w:val="18"/>
                <w:lang w:val="en-GB" w:eastAsia="en-GB" w:bidi="ar-SA"/>
              </w:rPr>
              <w:tab/>
            </w:r>
          </w:p>
        </w:tc>
        <w:tc>
          <w:tcPr>
            <w:tcW w:w="428" w:type="pct"/>
            <w:tcBorders>
              <w:top w:val="nil"/>
              <w:left w:val="nil"/>
              <w:bottom w:val="nil"/>
              <w:right w:val="nil"/>
            </w:tcBorders>
            <w:vAlign w:val="bottom"/>
          </w:tcPr>
          <w:p w14:paraId="5EB3565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472</w:t>
            </w:r>
          </w:p>
        </w:tc>
        <w:tc>
          <w:tcPr>
            <w:tcW w:w="415" w:type="pct"/>
            <w:tcBorders>
              <w:top w:val="nil"/>
              <w:left w:val="nil"/>
              <w:bottom w:val="nil"/>
              <w:right w:val="nil"/>
            </w:tcBorders>
            <w:vAlign w:val="bottom"/>
          </w:tcPr>
          <w:p w14:paraId="2104881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595</w:t>
            </w:r>
          </w:p>
        </w:tc>
        <w:tc>
          <w:tcPr>
            <w:tcW w:w="379" w:type="pct"/>
            <w:tcBorders>
              <w:top w:val="nil"/>
              <w:left w:val="nil"/>
              <w:bottom w:val="nil"/>
              <w:right w:val="nil"/>
            </w:tcBorders>
            <w:vAlign w:val="bottom"/>
          </w:tcPr>
          <w:p w14:paraId="45E5F2E9" w14:textId="77777777" w:rsidR="00E93D9C"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632</w:t>
            </w:r>
          </w:p>
        </w:tc>
      </w:tr>
    </w:tbl>
    <w:p w14:paraId="44BE289E" w14:textId="77777777" w:rsidR="00E93D9C" w:rsidRPr="00571974" w:rsidRDefault="00836D74" w:rsidP="00E93D9C">
      <w:pPr>
        <w:rPr>
          <w:lang w:val="en-GB"/>
        </w:rPr>
      </w:pPr>
      <w:r>
        <w:rPr>
          <w:lang w:val="en-GB"/>
        </w:rPr>
        <w:pict w14:anchorId="2CAF1D00">
          <v:rect id="_x0000_i1052" style="width:184.5pt;height:1pt" o:hrpct="250" o:hrstd="t" o:hrnoshade="t" o:hr="t" fillcolor="black" stroked="f"/>
        </w:pict>
      </w:r>
    </w:p>
    <w:p w14:paraId="4E290A4B" w14:textId="77777777" w:rsidR="00E93D9C" w:rsidRPr="00571974" w:rsidRDefault="003D4D89" w:rsidP="003D4D89">
      <w:pPr>
        <w:pStyle w:val="ListParagraph"/>
        <w:numPr>
          <w:ilvl w:val="0"/>
          <w:numId w:val="35"/>
        </w:numPr>
        <w:rPr>
          <w:sz w:val="16"/>
          <w:szCs w:val="18"/>
          <w:lang w:val="en-GB"/>
        </w:rPr>
      </w:pPr>
      <w:r w:rsidRPr="00571974">
        <w:rPr>
          <w:sz w:val="16"/>
          <w:szCs w:val="18"/>
          <w:lang w:val="en-GB"/>
        </w:rPr>
        <w:t>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w:t>
      </w:r>
    </w:p>
    <w:p w14:paraId="177CB15F" w14:textId="77777777" w:rsidR="00E93D9C" w:rsidRPr="00571974" w:rsidRDefault="003D4D89" w:rsidP="003D4D89">
      <w:pPr>
        <w:pStyle w:val="ListParagraph"/>
        <w:numPr>
          <w:ilvl w:val="0"/>
          <w:numId w:val="35"/>
        </w:numPr>
        <w:rPr>
          <w:sz w:val="16"/>
          <w:szCs w:val="18"/>
          <w:lang w:val="en-GB"/>
        </w:rPr>
      </w:pPr>
      <w:r w:rsidRPr="00571974">
        <w:rPr>
          <w:sz w:val="16"/>
          <w:szCs w:val="18"/>
          <w:lang w:val="en-GB"/>
        </w:rPr>
        <w:t>Average LME price.</w:t>
      </w:r>
    </w:p>
    <w:p w14:paraId="25AD3FFD" w14:textId="77777777" w:rsidR="00E93D9C" w:rsidRPr="00571974" w:rsidRDefault="00E93D9C" w:rsidP="00E93D9C">
      <w:pPr>
        <w:pStyle w:val="ListParagraph"/>
        <w:ind w:left="360"/>
        <w:rPr>
          <w:sz w:val="16"/>
          <w:szCs w:val="18"/>
          <w:lang w:val="en-GB"/>
        </w:rPr>
      </w:pPr>
    </w:p>
    <w:p w14:paraId="027C826A" w14:textId="452CD100" w:rsidR="00E93D9C" w:rsidRPr="00571974" w:rsidRDefault="003D4D89" w:rsidP="00DA283E">
      <w:pPr>
        <w:spacing w:after="120"/>
        <w:ind w:firstLine="288"/>
        <w:rPr>
          <w:lang w:val="en-GB"/>
        </w:rPr>
      </w:pPr>
      <w:r w:rsidRPr="00571974">
        <w:rPr>
          <w:lang w:val="en-GB"/>
        </w:rPr>
        <w:t>Nickel and Manganese business segment underlying EBIT in 2019, 2018 and 2017 was US$477 million, US$685 million and US$478 million, respectively. The 3</w:t>
      </w:r>
      <w:r w:rsidR="004520D4">
        <w:rPr>
          <w:lang w:val="en-GB"/>
        </w:rPr>
        <w:t>0</w:t>
      </w:r>
      <w:r w:rsidRPr="00571974">
        <w:rPr>
          <w:lang w:val="en-GB"/>
        </w:rPr>
        <w:t xml:space="preserve">% decrease from 2018 to 2019 was principally due to the lower manganese ore price and a decrease in attributable manganese alloy sales. The 43% increase from 2017 to 2018 was principally due to the increase in both the nickel and manganese ore prices as well as </w:t>
      </w:r>
      <w:r w:rsidR="0053004A" w:rsidRPr="00571974">
        <w:rPr>
          <w:lang w:val="en-GB"/>
        </w:rPr>
        <w:t>favorable</w:t>
      </w:r>
      <w:r w:rsidRPr="00571974">
        <w:rPr>
          <w:lang w:val="en-GB"/>
        </w:rPr>
        <w:t xml:space="preserve"> exchange rates and improved operational stability in nickel. </w:t>
      </w:r>
    </w:p>
    <w:p w14:paraId="0EA89CA8" w14:textId="5A7C19EF" w:rsidR="00E93D9C" w:rsidRPr="00571974" w:rsidRDefault="003D4D89" w:rsidP="00DA283E">
      <w:pPr>
        <w:spacing w:after="120"/>
        <w:ind w:firstLine="288"/>
        <w:rPr>
          <w:lang w:val="en-GB"/>
        </w:rPr>
      </w:pPr>
      <w:r w:rsidRPr="00571974">
        <w:rPr>
          <w:lang w:val="en-GB"/>
        </w:rPr>
        <w:t>Group Revenue (including attributable share of associates</w:t>
      </w:r>
      <w:r w:rsidR="00A311D8">
        <w:rPr>
          <w:lang w:val="en-GB"/>
        </w:rPr>
        <w:t>’</w:t>
      </w:r>
      <w:r w:rsidRPr="00571974">
        <w:rPr>
          <w:lang w:val="en-GB"/>
        </w:rPr>
        <w:t xml:space="preserve"> and joint ventures</w:t>
      </w:r>
      <w:r w:rsidR="00A311D8">
        <w:rPr>
          <w:lang w:val="en-GB"/>
        </w:rPr>
        <w:t>’</w:t>
      </w:r>
      <w:r w:rsidRPr="00571974">
        <w:rPr>
          <w:lang w:val="en-GB"/>
        </w:rPr>
        <w:t xml:space="preserve"> revenue) in 2019, 2018 and 2017 were US$1,498 million, US$1,707 million and US$1,391 million, respectively. The 12% decrease in revenue from 2018 to 2019 was primarily driven by lower manganese ore price and a decrease in attributable manganese alloy sales. The 23% increase in revenue from 2017 to 2018 was from an improvement of 24% in the nickel price and 23% in the manganese ore price. </w:t>
      </w:r>
    </w:p>
    <w:p w14:paraId="7BED03A6" w14:textId="77777777" w:rsidR="00E93D9C" w:rsidRPr="00571974" w:rsidRDefault="003D4D89" w:rsidP="00EA3F32">
      <w:pPr>
        <w:pStyle w:val="Heading4"/>
      </w:pPr>
      <w:r w:rsidRPr="00571974">
        <w:lastRenderedPageBreak/>
        <w:t>Nickel</w:t>
      </w:r>
    </w:p>
    <w:p w14:paraId="4EB1F99B" w14:textId="77777777" w:rsidR="00E93D9C" w:rsidRPr="00571974" w:rsidRDefault="003D4D89" w:rsidP="00E93D9C">
      <w:pPr>
        <w:spacing w:after="120"/>
        <w:ind w:firstLine="288"/>
        <w:rPr>
          <w:lang w:val="en-GB"/>
        </w:rPr>
      </w:pPr>
      <w:r w:rsidRPr="00571974">
        <w:rPr>
          <w:lang w:val="en-GB"/>
        </w:rPr>
        <w:t xml:space="preserve">Nickel production in 2019 of 42,600 tonnes was 1% above 2018, primarily due to improved operational stability. Nickel production in 2018 of 42,300 tonnes was 1% below 2017 principally due to a 40-day planned maintenance stoppage at Barro Alto in the first half of 2018. Barro Alto produced 33,500 tonnes (2017: 34,900 tonnes), while Codemin produced 8,800 tonnes in 2018 (2017: </w:t>
      </w:r>
      <w:r w:rsidRPr="00571974">
        <w:rPr>
          <w:lang w:val="en-GB"/>
        </w:rPr>
        <w:softHyphen/>
        <w:t xml:space="preserve">8,900 tonnes). </w:t>
      </w:r>
    </w:p>
    <w:p w14:paraId="1CC1845B" w14:textId="77777777" w:rsidR="00E93D9C" w:rsidRPr="00571974" w:rsidRDefault="003D4D89" w:rsidP="00EA3F32">
      <w:pPr>
        <w:pStyle w:val="Heading4"/>
      </w:pPr>
      <w:r w:rsidRPr="00571974">
        <w:t>Samancor</w:t>
      </w:r>
    </w:p>
    <w:p w14:paraId="46FF50C1" w14:textId="09F12086" w:rsidR="00E93D9C" w:rsidRPr="00571974" w:rsidRDefault="003D4D89" w:rsidP="00E93D9C">
      <w:pPr>
        <w:ind w:firstLine="284"/>
        <w:rPr>
          <w:lang w:val="en-GB"/>
        </w:rPr>
      </w:pPr>
      <w:r w:rsidRPr="00571974">
        <w:rPr>
          <w:lang w:val="en-GB"/>
        </w:rPr>
        <w:t xml:space="preserve">Underlying EBIT in 2019, 2018 and 2017 was US$388 million, US$610 million and US$478 million, respectively. The decrease of US$222 million in 2019 was driven </w:t>
      </w:r>
      <w:r w:rsidR="00A45DBD">
        <w:rPr>
          <w:lang w:val="en-GB"/>
        </w:rPr>
        <w:t xml:space="preserve">principally </w:t>
      </w:r>
      <w:r w:rsidRPr="00571974">
        <w:rPr>
          <w:lang w:val="en-GB"/>
        </w:rPr>
        <w:t xml:space="preserve">by lower manganese ore price and a decrease in attributable manganese alloy sales. An increase of US$132 million in 2018 was primarily driven by the 23% increase in average 2018 benchmark manganese ore price. The manganese ore production increased by 3% to 3.6 Mt in 2018 (2017: 3.5 Mt), production from the Australian operations increased by 10% in 2018 due to improved concentrator availability, the effect of more </w:t>
      </w:r>
      <w:r w:rsidR="0053004A" w:rsidRPr="00571974">
        <w:rPr>
          <w:lang w:val="en-GB"/>
        </w:rPr>
        <w:t>favorable</w:t>
      </w:r>
      <w:r w:rsidRPr="00571974">
        <w:rPr>
          <w:lang w:val="en-GB"/>
        </w:rPr>
        <w:t xml:space="preserve"> weather conditions </w:t>
      </w:r>
      <w:r w:rsidRPr="00571974">
        <w:rPr>
          <w:lang w:val="en-GB"/>
        </w:rPr>
        <w:softHyphen/>
        <w:t xml:space="preserve">and increased premium concentrate ore (PC02) production. Ore production from the South African operations decreased by 6% as an increase in higher quality premium material was more than offset by a decline in fine grained secondary products. The production of manganese alloys increased by </w:t>
      </w:r>
      <w:r w:rsidRPr="00571974">
        <w:rPr>
          <w:lang w:val="en-GB"/>
        </w:rPr>
        <w:softHyphen/>
        <w:t>5% in 2018 to 157,000 tonnes (2017: 149,000 tonnes), mainly</w:t>
      </w:r>
      <w:r w:rsidRPr="00571974">
        <w:rPr>
          <w:lang w:val="en-GB"/>
        </w:rPr>
        <w:softHyphen/>
        <w:t xml:space="preserve"> as </w:t>
      </w:r>
      <w:r w:rsidRPr="00571974">
        <w:rPr>
          <w:lang w:val="en-GB"/>
        </w:rPr>
        <w:softHyphen/>
        <w:t>a result of improved furnace stability at the Australian operations for the majority of the year. In South</w:t>
      </w:r>
      <w:r w:rsidRPr="00571974">
        <w:rPr>
          <w:lang w:val="en-GB"/>
        </w:rPr>
        <w:softHyphen/>
        <w:t xml:space="preserve"> Africa, manganese alloy production improved by 6%</w:t>
      </w:r>
      <w:r w:rsidRPr="00571974">
        <w:rPr>
          <w:lang w:val="en-GB"/>
        </w:rPr>
        <w:softHyphen/>
        <w:t xml:space="preserve"> in 2018 while continuing to utilize only one of the operation</w:t>
      </w:r>
      <w:r w:rsidR="00A311D8">
        <w:rPr>
          <w:lang w:val="en-GB"/>
        </w:rPr>
        <w:t>’</w:t>
      </w:r>
      <w:r w:rsidRPr="00571974">
        <w:rPr>
          <w:lang w:val="en-GB"/>
        </w:rPr>
        <w:t xml:space="preserve">s four furnaces. </w:t>
      </w:r>
    </w:p>
    <w:p w14:paraId="4BC9D0B5" w14:textId="77777777" w:rsidR="00E93D9C" w:rsidRPr="00571974" w:rsidRDefault="00E93D9C" w:rsidP="00E93D9C">
      <w:pPr>
        <w:rPr>
          <w:lang w:val="en-GB"/>
        </w:rPr>
      </w:pPr>
    </w:p>
    <w:p w14:paraId="18588C5E" w14:textId="77777777" w:rsidR="00E93D9C" w:rsidRPr="00571974" w:rsidRDefault="003D4D89" w:rsidP="007B1404">
      <w:pPr>
        <w:pStyle w:val="Heading3"/>
        <w:rPr>
          <w:lang w:val="en-GB"/>
        </w:rPr>
      </w:pPr>
      <w:r w:rsidRPr="00571974">
        <w:rPr>
          <w:lang w:val="en-GB"/>
        </w:rPr>
        <w:t>Corporate and Other</w:t>
      </w:r>
    </w:p>
    <w:p w14:paraId="180DB91C" w14:textId="77777777" w:rsidR="00E93D9C" w:rsidRPr="00571974" w:rsidRDefault="003D4D89" w:rsidP="00E93D9C">
      <w:pPr>
        <w:pStyle w:val="BodyText"/>
        <w:widowControl/>
        <w:autoSpaceDE/>
        <w:autoSpaceDN/>
        <w:adjustRightInd/>
        <w:ind w:firstLine="360"/>
        <w:jc w:val="both"/>
        <w:rPr>
          <w:lang w:val="en-GB"/>
        </w:rPr>
      </w:pPr>
      <w:r w:rsidRPr="00571974">
        <w:rPr>
          <w:lang w:val="en-GB"/>
        </w:rPr>
        <w:t>The following table summarizes the results of operations of the Corporate and Other business segment for the years indicated:</w:t>
      </w:r>
    </w:p>
    <w:tbl>
      <w:tblPr>
        <w:tblW w:w="4952" w:type="pct"/>
        <w:jc w:val="center"/>
        <w:tblLayout w:type="fixed"/>
        <w:tblCellMar>
          <w:left w:w="72" w:type="dxa"/>
          <w:right w:w="72" w:type="dxa"/>
        </w:tblCellMar>
        <w:tblLook w:val="0000" w:firstRow="0" w:lastRow="0" w:firstColumn="0" w:lastColumn="0" w:noHBand="0" w:noVBand="0"/>
      </w:tblPr>
      <w:tblGrid>
        <w:gridCol w:w="6735"/>
        <w:gridCol w:w="845"/>
        <w:gridCol w:w="845"/>
        <w:gridCol w:w="841"/>
      </w:tblGrid>
      <w:tr w:rsidR="002228B8" w14:paraId="5437EC72" w14:textId="77777777" w:rsidTr="00DF4A0D">
        <w:trPr>
          <w:cantSplit/>
          <w:jc w:val="center"/>
        </w:trPr>
        <w:tc>
          <w:tcPr>
            <w:tcW w:w="3634" w:type="pct"/>
            <w:tcBorders>
              <w:top w:val="nil"/>
              <w:left w:val="nil"/>
              <w:bottom w:val="nil"/>
              <w:right w:val="nil"/>
            </w:tcBorders>
            <w:vAlign w:val="bottom"/>
          </w:tcPr>
          <w:p w14:paraId="61831B2C"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both"/>
              <w:rPr>
                <w:b/>
                <w:bCs/>
                <w:sz w:val="18"/>
                <w:szCs w:val="18"/>
                <w:lang w:val="en-GB" w:eastAsia="en-GB" w:bidi="ar-SA"/>
              </w:rPr>
            </w:pPr>
          </w:p>
        </w:tc>
        <w:tc>
          <w:tcPr>
            <w:tcW w:w="1366" w:type="pct"/>
            <w:gridSpan w:val="3"/>
            <w:tcBorders>
              <w:top w:val="nil"/>
              <w:left w:val="nil"/>
              <w:bottom w:val="nil"/>
              <w:right w:val="nil"/>
            </w:tcBorders>
            <w:vAlign w:val="bottom"/>
          </w:tcPr>
          <w:p w14:paraId="7DB64311"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47101DB3" w14:textId="77777777" w:rsidTr="00DF4A0D">
        <w:trPr>
          <w:cantSplit/>
          <w:jc w:val="center"/>
        </w:trPr>
        <w:tc>
          <w:tcPr>
            <w:tcW w:w="3634" w:type="pct"/>
            <w:tcBorders>
              <w:top w:val="nil"/>
              <w:left w:val="nil"/>
              <w:bottom w:val="nil"/>
              <w:right w:val="nil"/>
            </w:tcBorders>
            <w:vAlign w:val="bottom"/>
          </w:tcPr>
          <w:p w14:paraId="0076A244"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both"/>
              <w:rPr>
                <w:b/>
                <w:bCs/>
                <w:sz w:val="18"/>
                <w:szCs w:val="18"/>
                <w:lang w:val="en-GB" w:eastAsia="en-GB" w:bidi="ar-SA"/>
              </w:rPr>
            </w:pPr>
          </w:p>
        </w:tc>
        <w:tc>
          <w:tcPr>
            <w:tcW w:w="456" w:type="pct"/>
            <w:tcBorders>
              <w:top w:val="nil"/>
              <w:left w:val="nil"/>
              <w:bottom w:val="nil"/>
              <w:right w:val="nil"/>
            </w:tcBorders>
            <w:vAlign w:val="bottom"/>
          </w:tcPr>
          <w:p w14:paraId="623BBDCD"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456" w:type="pct"/>
            <w:tcBorders>
              <w:top w:val="nil"/>
              <w:left w:val="nil"/>
              <w:bottom w:val="nil"/>
              <w:right w:val="nil"/>
            </w:tcBorders>
            <w:vAlign w:val="bottom"/>
          </w:tcPr>
          <w:p w14:paraId="28ED5D08"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455" w:type="pct"/>
            <w:tcBorders>
              <w:top w:val="nil"/>
              <w:left w:val="nil"/>
              <w:bottom w:val="nil"/>
              <w:right w:val="nil"/>
            </w:tcBorders>
            <w:vAlign w:val="bottom"/>
          </w:tcPr>
          <w:p w14:paraId="3516CF01" w14:textId="77777777" w:rsidR="00E93D9C"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52CCF16C" w14:textId="77777777" w:rsidTr="00DF4A0D">
        <w:trPr>
          <w:cantSplit/>
          <w:jc w:val="center"/>
        </w:trPr>
        <w:tc>
          <w:tcPr>
            <w:tcW w:w="3634" w:type="pct"/>
            <w:tcBorders>
              <w:top w:val="nil"/>
              <w:left w:val="nil"/>
              <w:bottom w:val="nil"/>
              <w:right w:val="nil"/>
            </w:tcBorders>
            <w:vAlign w:val="bottom"/>
          </w:tcPr>
          <w:p w14:paraId="505028AE" w14:textId="77777777" w:rsidR="00E93D9C" w:rsidRPr="00571974" w:rsidRDefault="00E93D9C"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both"/>
              <w:rPr>
                <w:b/>
                <w:bCs/>
                <w:sz w:val="18"/>
                <w:szCs w:val="18"/>
                <w:lang w:val="en-GB" w:eastAsia="en-GB" w:bidi="ar-SA"/>
              </w:rPr>
            </w:pPr>
          </w:p>
        </w:tc>
        <w:tc>
          <w:tcPr>
            <w:tcW w:w="1366" w:type="pct"/>
            <w:gridSpan w:val="3"/>
            <w:tcBorders>
              <w:top w:val="nil"/>
              <w:left w:val="nil"/>
              <w:bottom w:val="nil"/>
              <w:right w:val="nil"/>
            </w:tcBorders>
            <w:vAlign w:val="bottom"/>
          </w:tcPr>
          <w:p w14:paraId="2E356E15"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both"/>
              <w:rPr>
                <w:b/>
                <w:bCs/>
                <w:i/>
                <w:iCs/>
                <w:sz w:val="18"/>
                <w:szCs w:val="18"/>
                <w:lang w:val="en-GB" w:eastAsia="en-GB" w:bidi="ar-SA"/>
              </w:rPr>
            </w:pPr>
            <w:r w:rsidRPr="00571974">
              <w:rPr>
                <w:b/>
                <w:bCs/>
                <w:i/>
                <w:iCs/>
                <w:sz w:val="18"/>
                <w:szCs w:val="18"/>
                <w:lang w:val="en-GB" w:eastAsia="en-GB" w:bidi="ar-SA"/>
              </w:rPr>
              <w:t>(US$m unless otherwise stated)</w:t>
            </w:r>
          </w:p>
        </w:tc>
      </w:tr>
      <w:tr w:rsidR="002228B8" w14:paraId="135D3827" w14:textId="77777777" w:rsidTr="00DF4A0D">
        <w:trPr>
          <w:cantSplit/>
          <w:jc w:val="center"/>
        </w:trPr>
        <w:tc>
          <w:tcPr>
            <w:tcW w:w="3634" w:type="pct"/>
            <w:tcBorders>
              <w:top w:val="nil"/>
              <w:left w:val="nil"/>
              <w:bottom w:val="nil"/>
              <w:right w:val="nil"/>
            </w:tcBorders>
            <w:shd w:val="clear" w:color="auto" w:fill="auto"/>
          </w:tcPr>
          <w:p w14:paraId="1B569540" w14:textId="7D881C2A"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Group Revenue (including attributable share of associates</w:t>
            </w:r>
            <w:r w:rsidR="00A311D8">
              <w:rPr>
                <w:sz w:val="18"/>
                <w:szCs w:val="18"/>
                <w:lang w:val="en-GB" w:eastAsia="en-GB" w:bidi="ar-SA"/>
              </w:rPr>
              <w:t>’</w:t>
            </w:r>
            <w:r w:rsidRPr="00571974">
              <w:rPr>
                <w:sz w:val="18"/>
                <w:szCs w:val="18"/>
                <w:lang w:val="en-GB" w:eastAsia="en-GB" w:bidi="ar-SA"/>
              </w:rPr>
              <w:t xml:space="preserve"> and joint ventures</w:t>
            </w:r>
            <w:r w:rsidR="00A311D8">
              <w:rPr>
                <w:sz w:val="18"/>
                <w:szCs w:val="18"/>
                <w:lang w:val="en-GB" w:eastAsia="en-GB" w:bidi="ar-SA"/>
              </w:rPr>
              <w:t>’</w:t>
            </w:r>
            <w:r w:rsidRPr="00571974">
              <w:rPr>
                <w:sz w:val="18"/>
                <w:szCs w:val="18"/>
                <w:lang w:val="en-GB" w:eastAsia="en-GB" w:bidi="ar-SA"/>
              </w:rPr>
              <w:t xml:space="preserve"> revenue)</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63A889F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w:t>
            </w:r>
          </w:p>
        </w:tc>
        <w:tc>
          <w:tcPr>
            <w:tcW w:w="456" w:type="pct"/>
            <w:tcBorders>
              <w:top w:val="nil"/>
              <w:left w:val="nil"/>
              <w:bottom w:val="nil"/>
              <w:right w:val="nil"/>
            </w:tcBorders>
            <w:shd w:val="clear" w:color="auto" w:fill="auto"/>
            <w:vAlign w:val="bottom"/>
          </w:tcPr>
          <w:p w14:paraId="53C2DBF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w:t>
            </w:r>
          </w:p>
        </w:tc>
        <w:tc>
          <w:tcPr>
            <w:tcW w:w="455" w:type="pct"/>
            <w:tcBorders>
              <w:top w:val="nil"/>
              <w:left w:val="nil"/>
              <w:bottom w:val="nil"/>
              <w:right w:val="nil"/>
            </w:tcBorders>
            <w:shd w:val="clear" w:color="auto" w:fill="auto"/>
            <w:vAlign w:val="bottom"/>
          </w:tcPr>
          <w:p w14:paraId="757E8FBD"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121</w:t>
            </w:r>
          </w:p>
        </w:tc>
      </w:tr>
      <w:tr w:rsidR="002228B8" w14:paraId="7EAD0581" w14:textId="77777777" w:rsidTr="00DF4A0D">
        <w:trPr>
          <w:cantSplit/>
          <w:jc w:val="center"/>
        </w:trPr>
        <w:tc>
          <w:tcPr>
            <w:tcW w:w="3634" w:type="pct"/>
            <w:tcBorders>
              <w:top w:val="nil"/>
              <w:left w:val="nil"/>
              <w:bottom w:val="nil"/>
              <w:right w:val="nil"/>
            </w:tcBorders>
            <w:shd w:val="clear" w:color="auto" w:fill="auto"/>
          </w:tcPr>
          <w:p w14:paraId="7A3FF89F" w14:textId="77777777"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Underlying EBIT</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0331DE68"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(313)</w:t>
            </w:r>
          </w:p>
        </w:tc>
        <w:tc>
          <w:tcPr>
            <w:tcW w:w="456" w:type="pct"/>
            <w:tcBorders>
              <w:top w:val="nil"/>
              <w:left w:val="nil"/>
              <w:bottom w:val="nil"/>
              <w:right w:val="nil"/>
            </w:tcBorders>
            <w:shd w:val="clear" w:color="auto" w:fill="auto"/>
            <w:vAlign w:val="bottom"/>
          </w:tcPr>
          <w:p w14:paraId="2B2DEBF6"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(226)</w:t>
            </w:r>
          </w:p>
        </w:tc>
        <w:tc>
          <w:tcPr>
            <w:tcW w:w="455" w:type="pct"/>
            <w:tcBorders>
              <w:top w:val="nil"/>
              <w:left w:val="nil"/>
              <w:bottom w:val="nil"/>
              <w:right w:val="nil"/>
            </w:tcBorders>
            <w:shd w:val="clear" w:color="auto" w:fill="auto"/>
            <w:vAlign w:val="bottom"/>
          </w:tcPr>
          <w:p w14:paraId="1BC20E58"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(229)</w:t>
            </w:r>
          </w:p>
        </w:tc>
      </w:tr>
      <w:tr w:rsidR="002228B8" w14:paraId="33C6FFC2" w14:textId="77777777" w:rsidTr="00DF4A0D">
        <w:trPr>
          <w:cantSplit/>
          <w:jc w:val="center"/>
        </w:trPr>
        <w:tc>
          <w:tcPr>
            <w:tcW w:w="3634" w:type="pct"/>
            <w:tcBorders>
              <w:top w:val="nil"/>
              <w:left w:val="nil"/>
              <w:bottom w:val="nil"/>
              <w:right w:val="nil"/>
            </w:tcBorders>
            <w:shd w:val="clear" w:color="auto" w:fill="auto"/>
          </w:tcPr>
          <w:p w14:paraId="4EB92744" w14:textId="77777777" w:rsidR="00E93D9C" w:rsidRPr="00571974" w:rsidRDefault="003D4D89" w:rsidP="00DF4A0D">
            <w:pPr>
              <w:keepNext/>
              <w:tabs>
                <w:tab w:val="right" w:leader="dot" w:pos="7860"/>
              </w:tabs>
              <w:suppressAutoHyphens/>
              <w:ind w:left="400" w:hanging="200"/>
              <w:jc w:val="both"/>
              <w:rPr>
                <w:sz w:val="18"/>
                <w:szCs w:val="18"/>
                <w:lang w:val="en-GB" w:eastAsia="en-GB" w:bidi="ar-SA"/>
              </w:rPr>
            </w:pPr>
            <w:r w:rsidRPr="00571974">
              <w:rPr>
                <w:sz w:val="18"/>
                <w:szCs w:val="18"/>
                <w:lang w:val="en-GB" w:eastAsia="en-GB" w:bidi="ar-SA"/>
              </w:rPr>
              <w:t>Exploration</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302429DB"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(103)</w:t>
            </w:r>
          </w:p>
        </w:tc>
        <w:tc>
          <w:tcPr>
            <w:tcW w:w="456" w:type="pct"/>
            <w:tcBorders>
              <w:top w:val="nil"/>
              <w:left w:val="nil"/>
              <w:bottom w:val="nil"/>
              <w:right w:val="nil"/>
            </w:tcBorders>
            <w:shd w:val="clear" w:color="auto" w:fill="auto"/>
            <w:vAlign w:val="bottom"/>
          </w:tcPr>
          <w:p w14:paraId="76667B57"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(113)</w:t>
            </w:r>
          </w:p>
        </w:tc>
        <w:tc>
          <w:tcPr>
            <w:tcW w:w="455" w:type="pct"/>
            <w:tcBorders>
              <w:top w:val="nil"/>
              <w:left w:val="nil"/>
              <w:bottom w:val="nil"/>
              <w:right w:val="nil"/>
            </w:tcBorders>
            <w:shd w:val="clear" w:color="auto" w:fill="auto"/>
            <w:vAlign w:val="bottom"/>
          </w:tcPr>
          <w:p w14:paraId="5496AF11"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(128)</w:t>
            </w:r>
          </w:p>
        </w:tc>
      </w:tr>
      <w:tr w:rsidR="002228B8" w14:paraId="12615D2E" w14:textId="77777777" w:rsidTr="00DF4A0D">
        <w:trPr>
          <w:cantSplit/>
          <w:jc w:val="center"/>
        </w:trPr>
        <w:tc>
          <w:tcPr>
            <w:tcW w:w="3634" w:type="pct"/>
            <w:tcBorders>
              <w:top w:val="nil"/>
              <w:left w:val="nil"/>
              <w:bottom w:val="nil"/>
              <w:right w:val="nil"/>
            </w:tcBorders>
            <w:shd w:val="clear" w:color="auto" w:fill="auto"/>
          </w:tcPr>
          <w:p w14:paraId="744E947C" w14:textId="12C41D85" w:rsidR="00E93D9C" w:rsidRPr="00571974" w:rsidRDefault="003D4D89" w:rsidP="00DF4A0D">
            <w:pPr>
              <w:keepNext/>
              <w:tabs>
                <w:tab w:val="right" w:leader="dot" w:pos="7860"/>
              </w:tabs>
              <w:suppressAutoHyphens/>
              <w:ind w:left="400" w:hanging="200"/>
              <w:jc w:val="both"/>
              <w:rPr>
                <w:sz w:val="18"/>
                <w:szCs w:val="18"/>
                <w:lang w:val="en-GB" w:eastAsia="en-GB" w:bidi="ar-SA"/>
              </w:rPr>
            </w:pPr>
            <w:r w:rsidRPr="00571974">
              <w:rPr>
                <w:sz w:val="18"/>
                <w:szCs w:val="18"/>
                <w:lang w:val="en-GB" w:eastAsia="en-GB" w:bidi="ar-SA"/>
              </w:rPr>
              <w:t>Corporate activities and unallocated costs</w:t>
            </w:r>
            <w:r w:rsidRPr="00571974">
              <w:rPr>
                <w:sz w:val="18"/>
                <w:szCs w:val="18"/>
                <w:vertAlign w:val="superscript"/>
                <w:lang w:val="en-GB" w:eastAsia="en-GB" w:bidi="ar-SA"/>
              </w:rPr>
              <w:t>(</w:t>
            </w:r>
            <w:r w:rsidR="00E85762">
              <w:rPr>
                <w:sz w:val="18"/>
                <w:szCs w:val="18"/>
                <w:vertAlign w:val="superscript"/>
                <w:lang w:val="en-GB" w:eastAsia="en-GB" w:bidi="ar-SA"/>
              </w:rPr>
              <w:t>1</w:t>
            </w:r>
            <w:r w:rsidRPr="00571974">
              <w:rPr>
                <w:sz w:val="18"/>
                <w:szCs w:val="18"/>
                <w:vertAlign w:val="superscript"/>
                <w:lang w:val="en-GB" w:eastAsia="en-GB" w:bidi="ar-SA"/>
              </w:rPr>
              <w:t>)</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05A33F2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(210)</w:t>
            </w:r>
          </w:p>
        </w:tc>
        <w:tc>
          <w:tcPr>
            <w:tcW w:w="456" w:type="pct"/>
            <w:tcBorders>
              <w:top w:val="nil"/>
              <w:left w:val="nil"/>
              <w:bottom w:val="nil"/>
              <w:right w:val="nil"/>
            </w:tcBorders>
            <w:shd w:val="clear" w:color="auto" w:fill="auto"/>
            <w:vAlign w:val="bottom"/>
          </w:tcPr>
          <w:p w14:paraId="62BB6B00"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(113)</w:t>
            </w:r>
          </w:p>
        </w:tc>
        <w:tc>
          <w:tcPr>
            <w:tcW w:w="455" w:type="pct"/>
            <w:tcBorders>
              <w:top w:val="nil"/>
              <w:left w:val="nil"/>
              <w:bottom w:val="nil"/>
              <w:right w:val="nil"/>
            </w:tcBorders>
            <w:shd w:val="clear" w:color="auto" w:fill="auto"/>
            <w:vAlign w:val="bottom"/>
          </w:tcPr>
          <w:p w14:paraId="4B04CE0B"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(101)</w:t>
            </w:r>
          </w:p>
        </w:tc>
      </w:tr>
      <w:tr w:rsidR="002228B8" w14:paraId="411B30F4" w14:textId="77777777" w:rsidTr="00DF4A0D">
        <w:trPr>
          <w:cantSplit/>
          <w:jc w:val="center"/>
        </w:trPr>
        <w:tc>
          <w:tcPr>
            <w:tcW w:w="3634" w:type="pct"/>
            <w:tcBorders>
              <w:top w:val="nil"/>
              <w:left w:val="nil"/>
              <w:bottom w:val="nil"/>
              <w:right w:val="nil"/>
            </w:tcBorders>
            <w:shd w:val="clear" w:color="auto" w:fill="auto"/>
          </w:tcPr>
          <w:p w14:paraId="3C4077BE" w14:textId="77777777"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Underlying EBITDA</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103E792F"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(292)</w:t>
            </w:r>
          </w:p>
        </w:tc>
        <w:tc>
          <w:tcPr>
            <w:tcW w:w="456" w:type="pct"/>
            <w:tcBorders>
              <w:top w:val="nil"/>
              <w:left w:val="nil"/>
              <w:bottom w:val="nil"/>
              <w:right w:val="nil"/>
            </w:tcBorders>
            <w:shd w:val="clear" w:color="auto" w:fill="auto"/>
            <w:vAlign w:val="bottom"/>
          </w:tcPr>
          <w:p w14:paraId="47BBCCA7"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(219)</w:t>
            </w:r>
          </w:p>
        </w:tc>
        <w:tc>
          <w:tcPr>
            <w:tcW w:w="455" w:type="pct"/>
            <w:tcBorders>
              <w:top w:val="nil"/>
              <w:left w:val="nil"/>
              <w:bottom w:val="nil"/>
              <w:right w:val="nil"/>
            </w:tcBorders>
            <w:shd w:val="clear" w:color="auto" w:fill="auto"/>
            <w:vAlign w:val="bottom"/>
          </w:tcPr>
          <w:p w14:paraId="0AA6EE9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(43)</w:t>
            </w:r>
          </w:p>
        </w:tc>
      </w:tr>
      <w:tr w:rsidR="002228B8" w14:paraId="3DC1B436" w14:textId="77777777" w:rsidTr="00DF4A0D">
        <w:trPr>
          <w:cantSplit/>
          <w:jc w:val="center"/>
        </w:trPr>
        <w:tc>
          <w:tcPr>
            <w:tcW w:w="3634" w:type="pct"/>
            <w:tcBorders>
              <w:top w:val="nil"/>
              <w:left w:val="nil"/>
              <w:bottom w:val="nil"/>
              <w:right w:val="nil"/>
            </w:tcBorders>
            <w:shd w:val="clear" w:color="auto" w:fill="auto"/>
          </w:tcPr>
          <w:p w14:paraId="4B31D948" w14:textId="77777777"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Capital employed</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5269746D"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(241)</w:t>
            </w:r>
          </w:p>
        </w:tc>
        <w:tc>
          <w:tcPr>
            <w:tcW w:w="456" w:type="pct"/>
            <w:tcBorders>
              <w:top w:val="nil"/>
              <w:left w:val="nil"/>
              <w:bottom w:val="nil"/>
              <w:right w:val="nil"/>
            </w:tcBorders>
            <w:shd w:val="clear" w:color="auto" w:fill="auto"/>
            <w:vAlign w:val="bottom"/>
          </w:tcPr>
          <w:p w14:paraId="32A44833"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(51)</w:t>
            </w:r>
          </w:p>
        </w:tc>
        <w:tc>
          <w:tcPr>
            <w:tcW w:w="455" w:type="pct"/>
            <w:tcBorders>
              <w:top w:val="nil"/>
              <w:left w:val="nil"/>
              <w:bottom w:val="nil"/>
              <w:right w:val="nil"/>
            </w:tcBorders>
            <w:shd w:val="clear" w:color="auto" w:fill="auto"/>
            <w:vAlign w:val="bottom"/>
          </w:tcPr>
          <w:p w14:paraId="637294C2"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w:t>
            </w:r>
          </w:p>
        </w:tc>
      </w:tr>
      <w:tr w:rsidR="002228B8" w14:paraId="63FB4320" w14:textId="77777777" w:rsidTr="00DF4A0D">
        <w:trPr>
          <w:cantSplit/>
          <w:jc w:val="center"/>
        </w:trPr>
        <w:tc>
          <w:tcPr>
            <w:tcW w:w="3634" w:type="pct"/>
            <w:tcBorders>
              <w:top w:val="nil"/>
              <w:left w:val="nil"/>
              <w:bottom w:val="nil"/>
              <w:right w:val="nil"/>
            </w:tcBorders>
            <w:shd w:val="clear" w:color="auto" w:fill="auto"/>
          </w:tcPr>
          <w:p w14:paraId="4B2B5E5F" w14:textId="08AD3FA1"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Capital expenditure</w:t>
            </w:r>
            <w:r w:rsidRPr="00571974">
              <w:rPr>
                <w:sz w:val="18"/>
                <w:szCs w:val="18"/>
                <w:vertAlign w:val="superscript"/>
                <w:lang w:val="en-GB" w:eastAsia="en-GB" w:bidi="ar-SA"/>
              </w:rPr>
              <w:t>(</w:t>
            </w:r>
            <w:r w:rsidR="00E85762">
              <w:rPr>
                <w:sz w:val="18"/>
                <w:szCs w:val="18"/>
                <w:vertAlign w:val="superscript"/>
                <w:lang w:val="en-GB" w:eastAsia="en-GB" w:bidi="ar-SA"/>
              </w:rPr>
              <w:t>2</w:t>
            </w:r>
            <w:r w:rsidRPr="00571974">
              <w:rPr>
                <w:sz w:val="18"/>
                <w:szCs w:val="18"/>
                <w:vertAlign w:val="superscript"/>
                <w:lang w:val="en-GB" w:eastAsia="en-GB" w:bidi="ar-SA"/>
              </w:rPr>
              <w:t>)</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59D04BC9"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w:t>
            </w:r>
          </w:p>
        </w:tc>
        <w:tc>
          <w:tcPr>
            <w:tcW w:w="456" w:type="pct"/>
            <w:tcBorders>
              <w:top w:val="nil"/>
              <w:left w:val="nil"/>
              <w:bottom w:val="nil"/>
              <w:right w:val="nil"/>
            </w:tcBorders>
            <w:shd w:val="clear" w:color="auto" w:fill="auto"/>
            <w:vAlign w:val="bottom"/>
          </w:tcPr>
          <w:p w14:paraId="26F83FBA"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w:t>
            </w:r>
          </w:p>
        </w:tc>
        <w:tc>
          <w:tcPr>
            <w:tcW w:w="455" w:type="pct"/>
            <w:tcBorders>
              <w:top w:val="nil"/>
              <w:left w:val="nil"/>
              <w:bottom w:val="nil"/>
              <w:right w:val="nil"/>
            </w:tcBorders>
            <w:shd w:val="clear" w:color="auto" w:fill="auto"/>
            <w:vAlign w:val="bottom"/>
          </w:tcPr>
          <w:p w14:paraId="1CB19704"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w:t>
            </w:r>
          </w:p>
        </w:tc>
      </w:tr>
      <w:tr w:rsidR="002228B8" w14:paraId="18F79362" w14:textId="77777777" w:rsidTr="00DF4A0D">
        <w:trPr>
          <w:cantSplit/>
          <w:jc w:val="center"/>
        </w:trPr>
        <w:tc>
          <w:tcPr>
            <w:tcW w:w="3634" w:type="pct"/>
            <w:tcBorders>
              <w:top w:val="nil"/>
              <w:left w:val="nil"/>
              <w:bottom w:val="nil"/>
              <w:right w:val="nil"/>
            </w:tcBorders>
            <w:shd w:val="clear" w:color="auto" w:fill="auto"/>
          </w:tcPr>
          <w:p w14:paraId="394B1830" w14:textId="77777777"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Share of Group underlying EBIT</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10EBC30E"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(5.0)%</w:t>
            </w:r>
          </w:p>
        </w:tc>
        <w:tc>
          <w:tcPr>
            <w:tcW w:w="456" w:type="pct"/>
            <w:tcBorders>
              <w:top w:val="nil"/>
              <w:left w:val="nil"/>
              <w:bottom w:val="nil"/>
              <w:right w:val="nil"/>
            </w:tcBorders>
            <w:shd w:val="clear" w:color="auto" w:fill="auto"/>
            <w:vAlign w:val="bottom"/>
          </w:tcPr>
          <w:p w14:paraId="3FA6ACDA"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w:t>
            </w:r>
          </w:p>
        </w:tc>
        <w:tc>
          <w:tcPr>
            <w:tcW w:w="455" w:type="pct"/>
            <w:tcBorders>
              <w:top w:val="nil"/>
              <w:left w:val="nil"/>
              <w:bottom w:val="nil"/>
              <w:right w:val="nil"/>
            </w:tcBorders>
            <w:shd w:val="clear" w:color="auto" w:fill="auto"/>
            <w:vAlign w:val="bottom"/>
          </w:tcPr>
          <w:p w14:paraId="78420CF2"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w:t>
            </w:r>
          </w:p>
        </w:tc>
      </w:tr>
      <w:tr w:rsidR="002228B8" w14:paraId="394DA20E" w14:textId="77777777" w:rsidTr="00DF4A0D">
        <w:trPr>
          <w:cantSplit/>
          <w:jc w:val="center"/>
        </w:trPr>
        <w:tc>
          <w:tcPr>
            <w:tcW w:w="3634" w:type="pct"/>
            <w:tcBorders>
              <w:top w:val="nil"/>
              <w:left w:val="nil"/>
              <w:bottom w:val="nil"/>
              <w:right w:val="nil"/>
            </w:tcBorders>
            <w:shd w:val="clear" w:color="auto" w:fill="auto"/>
          </w:tcPr>
          <w:p w14:paraId="6CDDC6A1" w14:textId="77777777" w:rsidR="00E93D9C" w:rsidRPr="00571974" w:rsidRDefault="003D4D89" w:rsidP="00DF4A0D">
            <w:pPr>
              <w:keepNext/>
              <w:tabs>
                <w:tab w:val="right" w:leader="dot" w:pos="7860"/>
              </w:tabs>
              <w:suppressAutoHyphens/>
              <w:ind w:left="200" w:hanging="200"/>
              <w:jc w:val="both"/>
              <w:rPr>
                <w:sz w:val="18"/>
                <w:szCs w:val="18"/>
                <w:lang w:val="en-GB" w:eastAsia="en-GB" w:bidi="ar-SA"/>
              </w:rPr>
            </w:pPr>
            <w:r w:rsidRPr="00571974">
              <w:rPr>
                <w:sz w:val="18"/>
                <w:szCs w:val="18"/>
                <w:lang w:val="en-GB" w:eastAsia="en-GB" w:bidi="ar-SA"/>
              </w:rPr>
              <w:t>Share of Group capital employed</w:t>
            </w:r>
            <w:r w:rsidRPr="00571974">
              <w:rPr>
                <w:sz w:val="18"/>
                <w:szCs w:val="18"/>
                <w:lang w:val="en-GB" w:eastAsia="en-GB" w:bidi="ar-SA"/>
              </w:rPr>
              <w:tab/>
            </w:r>
          </w:p>
        </w:tc>
        <w:tc>
          <w:tcPr>
            <w:tcW w:w="456" w:type="pct"/>
            <w:tcBorders>
              <w:top w:val="nil"/>
              <w:left w:val="nil"/>
              <w:bottom w:val="nil"/>
              <w:right w:val="nil"/>
            </w:tcBorders>
            <w:shd w:val="clear" w:color="auto" w:fill="auto"/>
            <w:vAlign w:val="bottom"/>
          </w:tcPr>
          <w:p w14:paraId="1319F8E4"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(0.7)%</w:t>
            </w:r>
          </w:p>
        </w:tc>
        <w:tc>
          <w:tcPr>
            <w:tcW w:w="456" w:type="pct"/>
            <w:tcBorders>
              <w:top w:val="nil"/>
              <w:left w:val="nil"/>
              <w:bottom w:val="nil"/>
              <w:right w:val="nil"/>
            </w:tcBorders>
            <w:shd w:val="clear" w:color="auto" w:fill="auto"/>
            <w:vAlign w:val="bottom"/>
          </w:tcPr>
          <w:p w14:paraId="666DF39B"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(0.2)%</w:t>
            </w:r>
          </w:p>
        </w:tc>
        <w:tc>
          <w:tcPr>
            <w:tcW w:w="455" w:type="pct"/>
            <w:tcBorders>
              <w:top w:val="nil"/>
              <w:left w:val="nil"/>
              <w:bottom w:val="nil"/>
              <w:right w:val="nil"/>
            </w:tcBorders>
            <w:shd w:val="clear" w:color="auto" w:fill="auto"/>
            <w:vAlign w:val="bottom"/>
          </w:tcPr>
          <w:p w14:paraId="232764AA" w14:textId="77777777" w:rsidR="00E93D9C"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0.1%</w:t>
            </w:r>
          </w:p>
        </w:tc>
      </w:tr>
    </w:tbl>
    <w:p w14:paraId="724EB3D2" w14:textId="77777777" w:rsidR="00E93D9C" w:rsidRPr="00571974" w:rsidRDefault="00836D74" w:rsidP="00E93D9C">
      <w:pPr>
        <w:jc w:val="both"/>
        <w:rPr>
          <w:lang w:val="en-GB"/>
        </w:rPr>
      </w:pPr>
      <w:r>
        <w:rPr>
          <w:lang w:val="en-GB"/>
        </w:rPr>
        <w:pict w14:anchorId="54F8508E">
          <v:rect id="_x0000_i1053" style="width:184.5pt;height:1pt" o:hrpct="250" o:hrstd="t" o:hrnoshade="t" o:hr="t" fillcolor="black" stroked="f"/>
        </w:pict>
      </w:r>
    </w:p>
    <w:p w14:paraId="7AACDAA8" w14:textId="77777777" w:rsidR="00E93D9C" w:rsidRPr="00571974" w:rsidRDefault="003D4D89" w:rsidP="003D4D89">
      <w:pPr>
        <w:pStyle w:val="ListParagraph"/>
        <w:numPr>
          <w:ilvl w:val="0"/>
          <w:numId w:val="36"/>
        </w:numPr>
        <w:rPr>
          <w:sz w:val="16"/>
          <w:szCs w:val="18"/>
          <w:lang w:val="en-GB"/>
        </w:rPr>
      </w:pPr>
      <w:r w:rsidRPr="00571974">
        <w:rPr>
          <w:sz w:val="16"/>
          <w:szCs w:val="18"/>
          <w:lang w:val="en-GB"/>
        </w:rPr>
        <w:t>Corporate activities and unallocated cost includes other mining and industrial which has been disclosed separately in prior years.</w:t>
      </w:r>
    </w:p>
    <w:p w14:paraId="544D502C" w14:textId="77777777" w:rsidR="00E93D9C" w:rsidRPr="00571974" w:rsidRDefault="003D4D89" w:rsidP="003D4D89">
      <w:pPr>
        <w:pStyle w:val="ListParagraph"/>
        <w:numPr>
          <w:ilvl w:val="0"/>
          <w:numId w:val="36"/>
        </w:numPr>
        <w:rPr>
          <w:sz w:val="16"/>
          <w:szCs w:val="18"/>
          <w:lang w:val="en-GB"/>
        </w:rPr>
      </w:pPr>
      <w:r w:rsidRPr="00571974">
        <w:rPr>
          <w:sz w:val="16"/>
          <w:szCs w:val="18"/>
          <w:lang w:val="en-GB"/>
        </w:rPr>
        <w:t>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w:t>
      </w:r>
    </w:p>
    <w:p w14:paraId="35098C9D" w14:textId="77777777" w:rsidR="00E93D9C" w:rsidRPr="00571974" w:rsidRDefault="00E93D9C" w:rsidP="00E93D9C">
      <w:pPr>
        <w:pStyle w:val="ListParagraph"/>
        <w:ind w:left="360"/>
        <w:rPr>
          <w:sz w:val="16"/>
          <w:szCs w:val="18"/>
          <w:lang w:val="en-GB"/>
        </w:rPr>
      </w:pPr>
    </w:p>
    <w:p w14:paraId="4A643AB3" w14:textId="77777777" w:rsidR="00E93D9C" w:rsidRPr="00571974" w:rsidRDefault="003D4D89" w:rsidP="00E93D9C">
      <w:pPr>
        <w:pStyle w:val="BodyText"/>
        <w:widowControl/>
        <w:autoSpaceDE/>
        <w:autoSpaceDN/>
        <w:adjustRightInd/>
        <w:ind w:firstLine="360"/>
        <w:rPr>
          <w:b/>
          <w:lang w:val="en-GB"/>
        </w:rPr>
      </w:pPr>
      <w:r w:rsidRPr="00571974">
        <w:rPr>
          <w:b/>
          <w:lang w:val="en-GB"/>
        </w:rPr>
        <w:t>Corporate activities and unallocated costs</w:t>
      </w:r>
    </w:p>
    <w:p w14:paraId="022CD2CD" w14:textId="3E21B346" w:rsidR="00E93D9C" w:rsidRPr="00571974" w:rsidRDefault="003D4D89" w:rsidP="009C566C">
      <w:pPr>
        <w:pStyle w:val="BodyText"/>
        <w:widowControl/>
        <w:autoSpaceDE/>
        <w:autoSpaceDN/>
        <w:adjustRightInd/>
        <w:ind w:firstLine="360"/>
        <w:rPr>
          <w:lang w:val="en-GB"/>
        </w:rPr>
      </w:pPr>
      <w:r w:rsidRPr="00571974">
        <w:rPr>
          <w:lang w:val="en-GB"/>
        </w:rPr>
        <w:t xml:space="preserve">Underlying EBIT in 2019, 2018 and 2017 was US$(101) million, US$(113) million and US$(210) million, respectively. </w:t>
      </w:r>
      <w:r w:rsidR="00A45DBD">
        <w:rPr>
          <w:lang w:val="en-GB"/>
        </w:rPr>
        <w:t>The</w:t>
      </w:r>
      <w:r w:rsidRPr="00571974">
        <w:rPr>
          <w:lang w:val="en-GB"/>
        </w:rPr>
        <w:t xml:space="preserve"> decrease in the underlying EBIT loss of US$97 million in 2018 was primarily driven by a </w:t>
      </w:r>
      <w:r w:rsidRPr="00571974">
        <w:rPr>
          <w:lang w:val="en-GB"/>
        </w:rPr>
        <w:softHyphen/>
        <w:t>gain recognized in the Group</w:t>
      </w:r>
      <w:r w:rsidR="00A311D8">
        <w:rPr>
          <w:lang w:val="en-GB"/>
        </w:rPr>
        <w:t>’</w:t>
      </w:r>
      <w:r w:rsidRPr="00571974">
        <w:rPr>
          <w:lang w:val="en-GB"/>
        </w:rPr>
        <w:t>s self-insurance entity, reflecting lower net claims and settlements during 2018, as</w:t>
      </w:r>
      <w:r w:rsidRPr="00571974">
        <w:rPr>
          <w:lang w:val="en-GB"/>
        </w:rPr>
        <w:softHyphen/>
        <w:t xml:space="preserve"> well as higher premium income. </w:t>
      </w:r>
    </w:p>
    <w:p w14:paraId="0C9FB9EC" w14:textId="77777777" w:rsidR="00E93D9C" w:rsidRPr="00571974" w:rsidRDefault="003D4D89" w:rsidP="001003BB">
      <w:pPr>
        <w:pStyle w:val="BodyText"/>
        <w:keepNext/>
        <w:widowControl/>
        <w:autoSpaceDE/>
        <w:autoSpaceDN/>
        <w:adjustRightInd/>
        <w:ind w:firstLine="360"/>
        <w:rPr>
          <w:b/>
          <w:lang w:val="en-GB"/>
        </w:rPr>
      </w:pPr>
      <w:r w:rsidRPr="00571974">
        <w:rPr>
          <w:b/>
          <w:lang w:val="en-GB"/>
        </w:rPr>
        <w:t>Exploration</w:t>
      </w:r>
    </w:p>
    <w:p w14:paraId="66AC5618" w14:textId="77777777" w:rsidR="00E93D9C" w:rsidRPr="00571974" w:rsidRDefault="003D4D89" w:rsidP="00A45DBD">
      <w:pPr>
        <w:pStyle w:val="BodyText"/>
        <w:ind w:firstLine="360"/>
        <w:rPr>
          <w:lang w:val="en-GB"/>
        </w:rPr>
      </w:pPr>
      <w:r w:rsidRPr="00571974">
        <w:rPr>
          <w:lang w:val="en-GB"/>
        </w:rPr>
        <w:t>Exploration expenditure for 2019, 2018 and 2017 was US$128 million, US$113 million and US$103 million, respectively. The increase from 2018 to 2019 reflects the increased exploration activities across most product groups, in particular, nickel, iron ore and metallurgical coal. The 10% increase from 2017 to 2018 reflects increased exploration activities across most commodities in 2018, but predominantly in diamonds.</w:t>
      </w:r>
    </w:p>
    <w:p w14:paraId="7C6FD2DD" w14:textId="77777777" w:rsidR="00E93D9C" w:rsidRPr="00571974" w:rsidRDefault="003D4D89" w:rsidP="00E93D9C">
      <w:pPr>
        <w:pStyle w:val="BodyText"/>
        <w:widowControl/>
        <w:autoSpaceDE/>
        <w:autoSpaceDN/>
        <w:adjustRightInd/>
        <w:ind w:firstLine="360"/>
        <w:rPr>
          <w:b/>
          <w:lang w:val="en-GB"/>
        </w:rPr>
      </w:pPr>
      <w:r w:rsidRPr="00571974">
        <w:rPr>
          <w:b/>
          <w:lang w:val="en-GB"/>
        </w:rPr>
        <w:t>Liquidity and Capital Resources</w:t>
      </w:r>
    </w:p>
    <w:p w14:paraId="68F95860" w14:textId="77777777" w:rsidR="00E93D9C" w:rsidRPr="00571974" w:rsidRDefault="003D4D89" w:rsidP="00E93D9C">
      <w:pPr>
        <w:pStyle w:val="BodyText"/>
        <w:widowControl/>
        <w:autoSpaceDE/>
        <w:autoSpaceDN/>
        <w:adjustRightInd/>
        <w:ind w:firstLine="360"/>
        <w:rPr>
          <w:lang w:val="en-GB"/>
        </w:rPr>
      </w:pPr>
      <w:r w:rsidRPr="00571974">
        <w:rPr>
          <w:lang w:val="en-GB"/>
        </w:rPr>
        <w:t xml:space="preserve">Anglo American focuses on ensuring that there are sufficient committed loan facilities (including refinancing, where necessary) in order to meet near-term cash requirements, after taking into account cash flows from operations and our holding of cash and cash equivalents, as well as any existing restrictions on distributions. We believe that </w:t>
      </w:r>
      <w:r w:rsidRPr="00571974">
        <w:rPr>
          <w:lang w:val="en-GB"/>
        </w:rPr>
        <w:lastRenderedPageBreak/>
        <w:t>these facilities (including refinancing, where necessary) and cash generation will be sufficient to cover our anticipated near-term cash requirements.</w:t>
      </w:r>
    </w:p>
    <w:p w14:paraId="40C050E3" w14:textId="04453996" w:rsidR="00E93D9C" w:rsidRPr="00571974" w:rsidRDefault="003D4D89" w:rsidP="00E93D9C">
      <w:pPr>
        <w:pStyle w:val="BodyText"/>
        <w:widowControl/>
        <w:autoSpaceDE/>
        <w:autoSpaceDN/>
        <w:adjustRightInd/>
        <w:ind w:firstLine="360"/>
        <w:rPr>
          <w:lang w:val="en-GB"/>
        </w:rPr>
      </w:pPr>
      <w:r w:rsidRPr="00571974">
        <w:rPr>
          <w:lang w:val="en-GB"/>
        </w:rPr>
        <w:t xml:space="preserve">For more information on our borrowing arrangements and liquidity sources, see </w:t>
      </w:r>
      <w:r w:rsidR="00A311D8">
        <w:rPr>
          <w:lang w:val="en-GB"/>
        </w:rPr>
        <w:t>“</w:t>
      </w:r>
      <w:r w:rsidRPr="00571974">
        <w:rPr>
          <w:lang w:val="en-GB"/>
        </w:rPr>
        <w:t>—Cash Flow—Funding Sources</w:t>
      </w:r>
      <w:r w:rsidR="00A311D8">
        <w:rPr>
          <w:lang w:val="en-GB"/>
        </w:rPr>
        <w:t>”</w:t>
      </w:r>
      <w:r w:rsidRPr="00571974">
        <w:rPr>
          <w:lang w:val="en-GB"/>
        </w:rPr>
        <w:t xml:space="preserve"> below, Notes</w:t>
      </w:r>
      <w:r w:rsidR="00B65C44">
        <w:rPr>
          <w:lang w:val="en-GB"/>
        </w:rPr>
        <w:t xml:space="preserve"> </w:t>
      </w:r>
      <w:r w:rsidRPr="00571974">
        <w:rPr>
          <w:lang w:val="en-GB"/>
        </w:rPr>
        <w:t>20 and 21 to the Group 2019 Consolidated Financial Statements, incorporated by reference herein.</w:t>
      </w:r>
    </w:p>
    <w:p w14:paraId="2CEBF187" w14:textId="77777777" w:rsidR="00E93D9C" w:rsidRPr="00571974" w:rsidRDefault="003D4D89" w:rsidP="00E93D9C">
      <w:pPr>
        <w:pStyle w:val="BodyText"/>
        <w:widowControl/>
        <w:autoSpaceDE/>
        <w:autoSpaceDN/>
        <w:adjustRightInd/>
        <w:ind w:firstLine="360"/>
        <w:rPr>
          <w:lang w:val="en-GB"/>
        </w:rPr>
      </w:pPr>
      <w:r w:rsidRPr="00571974">
        <w:rPr>
          <w:lang w:val="en-GB"/>
        </w:rPr>
        <w:t>We operate in some countries (principally South Africa) in which the existence of exchange controls may restrict the use of certain cash balances. The restrictions are not expected to have a material effect on our ability to meet our ongoing obligations. In light of the multinational nature of our business, cash is held in a number of countries and currencies. The majority of our cash is held in U.S. dollars, South African rand, Brazilian real and Australian dollars.</w:t>
      </w:r>
    </w:p>
    <w:p w14:paraId="729D9272" w14:textId="77777777" w:rsidR="00DF4A0D" w:rsidRPr="00571974" w:rsidRDefault="003D4D89" w:rsidP="00DF4A0D">
      <w:pPr>
        <w:pStyle w:val="Heading2"/>
        <w:rPr>
          <w:rFonts w:ascii="Times New Roman" w:hAnsi="Times New Roman"/>
          <w:lang w:val="en-GB"/>
        </w:rPr>
      </w:pPr>
      <w:bookmarkStart w:id="74" w:name="_Hlk31706653"/>
      <w:bookmarkStart w:id="75" w:name="_Hlk506832080"/>
      <w:bookmarkEnd w:id="73"/>
      <w:r w:rsidRPr="00571974">
        <w:rPr>
          <w:rFonts w:ascii="Times New Roman" w:hAnsi="Times New Roman"/>
          <w:lang w:val="en-GB"/>
        </w:rPr>
        <w:t>Cash Flow</w:t>
      </w:r>
    </w:p>
    <w:p w14:paraId="2208076B" w14:textId="77777777" w:rsidR="00DF4A0D" w:rsidRPr="00571974" w:rsidRDefault="003D4D89" w:rsidP="00DF4A0D">
      <w:pPr>
        <w:pStyle w:val="BodyText"/>
        <w:widowControl/>
        <w:autoSpaceDE/>
        <w:autoSpaceDN/>
        <w:adjustRightInd/>
        <w:ind w:firstLine="360"/>
        <w:rPr>
          <w:lang w:val="en-GB"/>
        </w:rPr>
      </w:pPr>
      <w:r w:rsidRPr="00571974">
        <w:rPr>
          <w:lang w:val="en-GB"/>
        </w:rPr>
        <w:t>The table below summarizes our consolidated cash flow statement for the periods indicated:</w:t>
      </w:r>
    </w:p>
    <w:tbl>
      <w:tblPr>
        <w:tblW w:w="5081" w:type="pct"/>
        <w:tblInd w:w="-72" w:type="dxa"/>
        <w:tblLayout w:type="fixed"/>
        <w:tblCellMar>
          <w:left w:w="72" w:type="dxa"/>
          <w:right w:w="72" w:type="dxa"/>
        </w:tblCellMar>
        <w:tblLook w:val="0000" w:firstRow="0" w:lastRow="0" w:firstColumn="0" w:lastColumn="0" w:noHBand="0" w:noVBand="0"/>
      </w:tblPr>
      <w:tblGrid>
        <w:gridCol w:w="63"/>
        <w:gridCol w:w="7057"/>
        <w:gridCol w:w="880"/>
        <w:gridCol w:w="738"/>
        <w:gridCol w:w="770"/>
      </w:tblGrid>
      <w:tr w:rsidR="002228B8" w14:paraId="26FA1832" w14:textId="77777777" w:rsidTr="00DF4A0D">
        <w:trPr>
          <w:cantSplit/>
        </w:trPr>
        <w:tc>
          <w:tcPr>
            <w:tcW w:w="3744" w:type="pct"/>
            <w:gridSpan w:val="2"/>
            <w:tcBorders>
              <w:top w:val="nil"/>
              <w:left w:val="nil"/>
              <w:bottom w:val="nil"/>
              <w:right w:val="nil"/>
            </w:tcBorders>
            <w:vAlign w:val="bottom"/>
          </w:tcPr>
          <w:p w14:paraId="29114BD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256" w:type="pct"/>
            <w:gridSpan w:val="3"/>
            <w:tcBorders>
              <w:top w:val="nil"/>
              <w:left w:val="nil"/>
              <w:bottom w:val="nil"/>
              <w:right w:val="nil"/>
            </w:tcBorders>
            <w:vAlign w:val="bottom"/>
          </w:tcPr>
          <w:p w14:paraId="17976B3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128C0619" w14:textId="77777777" w:rsidTr="00DF4A0D">
        <w:trPr>
          <w:cantSplit/>
        </w:trPr>
        <w:tc>
          <w:tcPr>
            <w:tcW w:w="3744" w:type="pct"/>
            <w:gridSpan w:val="2"/>
            <w:tcBorders>
              <w:top w:val="nil"/>
              <w:left w:val="nil"/>
              <w:bottom w:val="nil"/>
              <w:right w:val="nil"/>
            </w:tcBorders>
            <w:vAlign w:val="bottom"/>
          </w:tcPr>
          <w:p w14:paraId="637EF48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63" w:type="pct"/>
            <w:tcBorders>
              <w:top w:val="nil"/>
              <w:left w:val="nil"/>
              <w:bottom w:val="nil"/>
              <w:right w:val="nil"/>
            </w:tcBorders>
            <w:vAlign w:val="bottom"/>
          </w:tcPr>
          <w:p w14:paraId="1876D780"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388" w:type="pct"/>
            <w:tcBorders>
              <w:top w:val="nil"/>
              <w:left w:val="nil"/>
              <w:bottom w:val="nil"/>
              <w:right w:val="nil"/>
            </w:tcBorders>
            <w:vAlign w:val="bottom"/>
          </w:tcPr>
          <w:p w14:paraId="22360CCA"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405" w:type="pct"/>
            <w:tcBorders>
              <w:top w:val="nil"/>
              <w:left w:val="nil"/>
              <w:bottom w:val="nil"/>
              <w:right w:val="nil"/>
            </w:tcBorders>
            <w:vAlign w:val="bottom"/>
          </w:tcPr>
          <w:p w14:paraId="0E95593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4753E5B5" w14:textId="77777777" w:rsidTr="00DF4A0D">
        <w:trPr>
          <w:cantSplit/>
        </w:trPr>
        <w:tc>
          <w:tcPr>
            <w:tcW w:w="3744" w:type="pct"/>
            <w:gridSpan w:val="2"/>
            <w:tcBorders>
              <w:top w:val="nil"/>
              <w:left w:val="nil"/>
              <w:bottom w:val="nil"/>
              <w:right w:val="nil"/>
            </w:tcBorders>
            <w:vAlign w:val="bottom"/>
          </w:tcPr>
          <w:p w14:paraId="20D2974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256" w:type="pct"/>
            <w:gridSpan w:val="3"/>
            <w:tcBorders>
              <w:top w:val="nil"/>
              <w:left w:val="nil"/>
              <w:bottom w:val="nil"/>
              <w:right w:val="nil"/>
            </w:tcBorders>
            <w:vAlign w:val="bottom"/>
          </w:tcPr>
          <w:p w14:paraId="4A01EFA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4BF22190" w14:textId="77777777" w:rsidTr="00DF4A0D">
        <w:trPr>
          <w:cantSplit/>
        </w:trPr>
        <w:tc>
          <w:tcPr>
            <w:tcW w:w="3744" w:type="pct"/>
            <w:gridSpan w:val="2"/>
            <w:tcBorders>
              <w:top w:val="nil"/>
              <w:left w:val="nil"/>
              <w:bottom w:val="nil"/>
              <w:right w:val="nil"/>
            </w:tcBorders>
            <w:vAlign w:val="bottom"/>
          </w:tcPr>
          <w:p w14:paraId="78A03D3F" w14:textId="77777777" w:rsidR="00DF4A0D" w:rsidRPr="00571974" w:rsidRDefault="003D4D89" w:rsidP="00B10BAF">
            <w:pPr>
              <w:tabs>
                <w:tab w:val="right" w:leader="dot" w:pos="6946"/>
              </w:tabs>
              <w:suppressAutoHyphens/>
              <w:ind w:left="200" w:hanging="200"/>
              <w:rPr>
                <w:sz w:val="18"/>
                <w:szCs w:val="18"/>
                <w:lang w:val="en-GB" w:eastAsia="en-GB" w:bidi="ar-SA"/>
              </w:rPr>
            </w:pPr>
            <w:r w:rsidRPr="00571974">
              <w:rPr>
                <w:sz w:val="18"/>
                <w:szCs w:val="18"/>
                <w:lang w:val="en-GB" w:eastAsia="en-GB" w:bidi="ar-SA"/>
              </w:rPr>
              <w:t>Cash flows from operations</w:t>
            </w:r>
            <w:r w:rsidRPr="00571974">
              <w:rPr>
                <w:sz w:val="18"/>
                <w:szCs w:val="18"/>
                <w:lang w:val="en-GB" w:eastAsia="en-GB" w:bidi="ar-SA"/>
              </w:rPr>
              <w:tab/>
            </w:r>
          </w:p>
        </w:tc>
        <w:tc>
          <w:tcPr>
            <w:tcW w:w="463" w:type="pct"/>
            <w:tcBorders>
              <w:top w:val="nil"/>
              <w:left w:val="nil"/>
              <w:bottom w:val="nil"/>
              <w:right w:val="nil"/>
            </w:tcBorders>
            <w:vAlign w:val="bottom"/>
          </w:tcPr>
          <w:p w14:paraId="365A9AB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8,375</w:t>
            </w:r>
          </w:p>
        </w:tc>
        <w:tc>
          <w:tcPr>
            <w:tcW w:w="388" w:type="pct"/>
            <w:tcBorders>
              <w:top w:val="nil"/>
              <w:left w:val="nil"/>
              <w:bottom w:val="nil"/>
              <w:right w:val="nil"/>
            </w:tcBorders>
            <w:vAlign w:val="bottom"/>
          </w:tcPr>
          <w:p w14:paraId="4CED351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7,782</w:t>
            </w:r>
          </w:p>
        </w:tc>
        <w:tc>
          <w:tcPr>
            <w:tcW w:w="405" w:type="pct"/>
            <w:tcBorders>
              <w:top w:val="nil"/>
              <w:left w:val="nil"/>
              <w:bottom w:val="nil"/>
              <w:right w:val="nil"/>
            </w:tcBorders>
            <w:vAlign w:val="bottom"/>
          </w:tcPr>
          <w:p w14:paraId="4319B2E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9,260</w:t>
            </w:r>
          </w:p>
        </w:tc>
      </w:tr>
      <w:tr w:rsidR="002228B8" w14:paraId="77FEF031" w14:textId="77777777" w:rsidTr="00DF4A0D">
        <w:trPr>
          <w:cantSplit/>
        </w:trPr>
        <w:tc>
          <w:tcPr>
            <w:tcW w:w="3744" w:type="pct"/>
            <w:gridSpan w:val="2"/>
            <w:tcBorders>
              <w:top w:val="nil"/>
              <w:left w:val="nil"/>
              <w:bottom w:val="nil"/>
              <w:right w:val="nil"/>
            </w:tcBorders>
            <w:vAlign w:val="bottom"/>
          </w:tcPr>
          <w:p w14:paraId="22FE67A2" w14:textId="77777777" w:rsidR="00DF4A0D" w:rsidRPr="00571974" w:rsidRDefault="003D4D89" w:rsidP="00B10BAF">
            <w:pPr>
              <w:tabs>
                <w:tab w:val="right" w:leader="dot" w:pos="6946"/>
              </w:tabs>
              <w:suppressAutoHyphens/>
              <w:ind w:left="200" w:hanging="200"/>
              <w:rPr>
                <w:sz w:val="18"/>
                <w:szCs w:val="18"/>
                <w:lang w:val="en-GB" w:eastAsia="en-GB" w:bidi="ar-SA"/>
              </w:rPr>
            </w:pPr>
            <w:r w:rsidRPr="00571974">
              <w:rPr>
                <w:sz w:val="18"/>
                <w:szCs w:val="18"/>
                <w:lang w:val="en-GB" w:eastAsia="en-GB" w:bidi="ar-SA"/>
              </w:rPr>
              <w:t>Dividends from associates and joint ventures</w:t>
            </w:r>
            <w:r w:rsidRPr="00571974">
              <w:rPr>
                <w:sz w:val="18"/>
                <w:szCs w:val="18"/>
                <w:lang w:val="en-GB" w:eastAsia="en-GB" w:bidi="ar-SA"/>
              </w:rPr>
              <w:tab/>
            </w:r>
          </w:p>
        </w:tc>
        <w:tc>
          <w:tcPr>
            <w:tcW w:w="463" w:type="pct"/>
            <w:tcBorders>
              <w:top w:val="nil"/>
              <w:left w:val="nil"/>
              <w:bottom w:val="nil"/>
              <w:right w:val="nil"/>
            </w:tcBorders>
            <w:vAlign w:val="bottom"/>
          </w:tcPr>
          <w:p w14:paraId="14DA6EE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506</w:t>
            </w:r>
          </w:p>
        </w:tc>
        <w:tc>
          <w:tcPr>
            <w:tcW w:w="388" w:type="pct"/>
            <w:tcBorders>
              <w:top w:val="nil"/>
              <w:left w:val="nil"/>
              <w:bottom w:val="nil"/>
              <w:right w:val="nil"/>
            </w:tcBorders>
            <w:vAlign w:val="bottom"/>
          </w:tcPr>
          <w:p w14:paraId="1ADE08A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737</w:t>
            </w:r>
          </w:p>
        </w:tc>
        <w:tc>
          <w:tcPr>
            <w:tcW w:w="405" w:type="pct"/>
            <w:tcBorders>
              <w:top w:val="nil"/>
              <w:left w:val="nil"/>
              <w:bottom w:val="nil"/>
              <w:right w:val="nil"/>
            </w:tcBorders>
            <w:vAlign w:val="bottom"/>
          </w:tcPr>
          <w:p w14:paraId="52FE11D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520</w:t>
            </w:r>
          </w:p>
        </w:tc>
      </w:tr>
      <w:tr w:rsidR="002228B8" w14:paraId="68DC5451" w14:textId="77777777" w:rsidTr="00DF4A0D">
        <w:trPr>
          <w:cantSplit/>
        </w:trPr>
        <w:tc>
          <w:tcPr>
            <w:tcW w:w="3744" w:type="pct"/>
            <w:gridSpan w:val="2"/>
            <w:tcBorders>
              <w:top w:val="nil"/>
              <w:left w:val="nil"/>
              <w:bottom w:val="nil"/>
              <w:right w:val="nil"/>
            </w:tcBorders>
            <w:vAlign w:val="bottom"/>
          </w:tcPr>
          <w:p w14:paraId="0A518383" w14:textId="77777777" w:rsidR="00DF4A0D" w:rsidRPr="00571974" w:rsidRDefault="003D4D89" w:rsidP="00B10BAF">
            <w:pPr>
              <w:tabs>
                <w:tab w:val="right" w:leader="dot" w:pos="6946"/>
              </w:tabs>
              <w:suppressAutoHyphens/>
              <w:ind w:left="200" w:hanging="200"/>
              <w:rPr>
                <w:sz w:val="18"/>
                <w:szCs w:val="18"/>
                <w:lang w:val="en-GB" w:eastAsia="en-GB" w:bidi="ar-SA"/>
              </w:rPr>
            </w:pPr>
            <w:r w:rsidRPr="00571974">
              <w:rPr>
                <w:sz w:val="18"/>
                <w:szCs w:val="18"/>
                <w:lang w:val="en-GB" w:eastAsia="en-GB" w:bidi="ar-SA"/>
              </w:rPr>
              <w:t>Dividends from financial asset investments</w:t>
            </w:r>
            <w:r w:rsidRPr="00571974">
              <w:rPr>
                <w:sz w:val="18"/>
                <w:szCs w:val="18"/>
                <w:lang w:val="en-GB" w:eastAsia="en-GB" w:bidi="ar-SA"/>
              </w:rPr>
              <w:tab/>
            </w:r>
          </w:p>
        </w:tc>
        <w:tc>
          <w:tcPr>
            <w:tcW w:w="463" w:type="pct"/>
            <w:tcBorders>
              <w:top w:val="nil"/>
              <w:left w:val="nil"/>
              <w:bottom w:val="nil"/>
              <w:right w:val="nil"/>
            </w:tcBorders>
            <w:vAlign w:val="bottom"/>
          </w:tcPr>
          <w:p w14:paraId="742EE7D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w:t>
            </w:r>
          </w:p>
        </w:tc>
        <w:tc>
          <w:tcPr>
            <w:tcW w:w="388" w:type="pct"/>
            <w:tcBorders>
              <w:top w:val="nil"/>
              <w:left w:val="nil"/>
              <w:bottom w:val="nil"/>
              <w:right w:val="nil"/>
            </w:tcBorders>
            <w:vAlign w:val="bottom"/>
          </w:tcPr>
          <w:p w14:paraId="4682211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w:t>
            </w:r>
          </w:p>
        </w:tc>
        <w:tc>
          <w:tcPr>
            <w:tcW w:w="405" w:type="pct"/>
            <w:tcBorders>
              <w:top w:val="nil"/>
              <w:left w:val="nil"/>
              <w:bottom w:val="nil"/>
              <w:right w:val="nil"/>
            </w:tcBorders>
            <w:vAlign w:val="bottom"/>
          </w:tcPr>
          <w:p w14:paraId="093C497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r>
      <w:tr w:rsidR="002228B8" w14:paraId="597BCEE5" w14:textId="77777777" w:rsidTr="00DF4A0D">
        <w:trPr>
          <w:cantSplit/>
          <w:trHeight w:val="68"/>
        </w:trPr>
        <w:tc>
          <w:tcPr>
            <w:tcW w:w="3744" w:type="pct"/>
            <w:gridSpan w:val="2"/>
            <w:tcBorders>
              <w:top w:val="nil"/>
              <w:left w:val="nil"/>
              <w:bottom w:val="nil"/>
              <w:right w:val="nil"/>
            </w:tcBorders>
            <w:vAlign w:val="bottom"/>
          </w:tcPr>
          <w:p w14:paraId="679B96B1" w14:textId="77777777" w:rsidR="00DF4A0D" w:rsidRPr="00571974" w:rsidRDefault="003D4D89" w:rsidP="00B10BAF">
            <w:pPr>
              <w:tabs>
                <w:tab w:val="right" w:leader="dot" w:pos="6946"/>
              </w:tabs>
              <w:suppressAutoHyphens/>
              <w:ind w:left="200" w:hanging="200"/>
              <w:rPr>
                <w:sz w:val="18"/>
                <w:szCs w:val="18"/>
                <w:lang w:val="en-GB" w:eastAsia="en-GB" w:bidi="ar-SA"/>
              </w:rPr>
            </w:pPr>
            <w:r w:rsidRPr="00571974">
              <w:rPr>
                <w:sz w:val="18"/>
                <w:szCs w:val="18"/>
                <w:lang w:val="en-GB" w:eastAsia="en-GB" w:bidi="ar-SA"/>
              </w:rPr>
              <w:t>Income tax paid</w:t>
            </w:r>
            <w:r w:rsidRPr="00571974">
              <w:rPr>
                <w:sz w:val="18"/>
                <w:szCs w:val="18"/>
                <w:lang w:val="en-GB" w:eastAsia="en-GB" w:bidi="ar-SA"/>
              </w:rPr>
              <w:tab/>
            </w:r>
          </w:p>
        </w:tc>
        <w:tc>
          <w:tcPr>
            <w:tcW w:w="463" w:type="pct"/>
            <w:tcBorders>
              <w:top w:val="nil"/>
              <w:left w:val="nil"/>
              <w:bottom w:val="nil"/>
              <w:right w:val="nil"/>
            </w:tcBorders>
            <w:vAlign w:val="bottom"/>
          </w:tcPr>
          <w:p w14:paraId="56F0FA6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(843)</w:t>
            </w:r>
          </w:p>
        </w:tc>
        <w:tc>
          <w:tcPr>
            <w:tcW w:w="388" w:type="pct"/>
            <w:tcBorders>
              <w:top w:val="nil"/>
              <w:left w:val="nil"/>
              <w:bottom w:val="nil"/>
              <w:right w:val="nil"/>
            </w:tcBorders>
            <w:vAlign w:val="bottom"/>
          </w:tcPr>
          <w:p w14:paraId="75C28BF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(1,393)</w:t>
            </w:r>
          </w:p>
        </w:tc>
        <w:tc>
          <w:tcPr>
            <w:tcW w:w="405" w:type="pct"/>
            <w:tcBorders>
              <w:top w:val="nil"/>
              <w:left w:val="nil"/>
              <w:bottom w:val="nil"/>
              <w:right w:val="nil"/>
            </w:tcBorders>
            <w:vAlign w:val="bottom"/>
          </w:tcPr>
          <w:p w14:paraId="43817BEB"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(2,116)</w:t>
            </w:r>
          </w:p>
        </w:tc>
      </w:tr>
      <w:tr w:rsidR="002228B8" w14:paraId="4D5A328D" w14:textId="77777777" w:rsidTr="00DF4A0D">
        <w:trPr>
          <w:cantSplit/>
        </w:trPr>
        <w:tc>
          <w:tcPr>
            <w:tcW w:w="3744" w:type="pct"/>
            <w:gridSpan w:val="2"/>
            <w:tcBorders>
              <w:top w:val="nil"/>
              <w:left w:val="nil"/>
              <w:bottom w:val="nil"/>
              <w:right w:val="nil"/>
            </w:tcBorders>
            <w:vAlign w:val="bottom"/>
          </w:tcPr>
          <w:p w14:paraId="7DBD0FF0" w14:textId="77777777" w:rsidR="00DF4A0D" w:rsidRPr="00571974" w:rsidRDefault="003D4D89" w:rsidP="00B10BAF">
            <w:pPr>
              <w:tabs>
                <w:tab w:val="right" w:leader="dot" w:pos="6946"/>
              </w:tabs>
              <w:suppressAutoHyphens/>
              <w:ind w:left="200" w:hanging="200"/>
              <w:rPr>
                <w:sz w:val="18"/>
                <w:szCs w:val="18"/>
                <w:lang w:val="en-GB" w:eastAsia="en-GB" w:bidi="ar-SA"/>
              </w:rPr>
            </w:pPr>
            <w:r w:rsidRPr="00571974">
              <w:rPr>
                <w:sz w:val="18"/>
                <w:szCs w:val="18"/>
                <w:lang w:val="en-GB" w:eastAsia="en-GB" w:bidi="ar-SA"/>
              </w:rPr>
              <w:t>Net cash inflows from operating activities</w:t>
            </w:r>
            <w:r w:rsidRPr="00571974">
              <w:rPr>
                <w:sz w:val="18"/>
                <w:szCs w:val="18"/>
                <w:lang w:val="en-GB" w:eastAsia="en-GB" w:bidi="ar-SA"/>
              </w:rPr>
              <w:tab/>
            </w:r>
          </w:p>
        </w:tc>
        <w:tc>
          <w:tcPr>
            <w:tcW w:w="463" w:type="pct"/>
            <w:tcBorders>
              <w:top w:val="nil"/>
              <w:left w:val="nil"/>
              <w:bottom w:val="nil"/>
              <w:right w:val="nil"/>
            </w:tcBorders>
            <w:vAlign w:val="bottom"/>
          </w:tcPr>
          <w:p w14:paraId="591967D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8,049</w:t>
            </w:r>
          </w:p>
        </w:tc>
        <w:tc>
          <w:tcPr>
            <w:tcW w:w="388" w:type="pct"/>
            <w:tcBorders>
              <w:top w:val="nil"/>
              <w:left w:val="nil"/>
              <w:bottom w:val="nil"/>
              <w:right w:val="nil"/>
            </w:tcBorders>
            <w:vAlign w:val="bottom"/>
          </w:tcPr>
          <w:p w14:paraId="3EB1947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7,127</w:t>
            </w:r>
          </w:p>
        </w:tc>
        <w:tc>
          <w:tcPr>
            <w:tcW w:w="405" w:type="pct"/>
            <w:tcBorders>
              <w:top w:val="nil"/>
              <w:left w:val="nil"/>
              <w:bottom w:val="nil"/>
              <w:right w:val="nil"/>
            </w:tcBorders>
            <w:vAlign w:val="bottom"/>
          </w:tcPr>
          <w:p w14:paraId="3D99B8F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7,664</w:t>
            </w:r>
          </w:p>
        </w:tc>
      </w:tr>
      <w:tr w:rsidR="002228B8" w14:paraId="10483531" w14:textId="77777777" w:rsidTr="00DF4A0D">
        <w:trPr>
          <w:cantSplit/>
        </w:trPr>
        <w:tc>
          <w:tcPr>
            <w:tcW w:w="3744" w:type="pct"/>
            <w:gridSpan w:val="2"/>
            <w:tcBorders>
              <w:top w:val="nil"/>
              <w:left w:val="nil"/>
              <w:bottom w:val="nil"/>
              <w:right w:val="nil"/>
            </w:tcBorders>
            <w:vAlign w:val="bottom"/>
          </w:tcPr>
          <w:p w14:paraId="18521C00" w14:textId="77777777" w:rsidR="00DF4A0D" w:rsidRPr="00571974" w:rsidRDefault="003D4D89" w:rsidP="00B10BAF">
            <w:pPr>
              <w:tabs>
                <w:tab w:val="right" w:leader="dot" w:pos="6946"/>
              </w:tabs>
              <w:suppressAutoHyphens/>
              <w:ind w:left="200" w:hanging="200"/>
              <w:rPr>
                <w:sz w:val="18"/>
                <w:szCs w:val="18"/>
                <w:lang w:val="en-GB" w:eastAsia="en-GB" w:bidi="ar-SA"/>
              </w:rPr>
            </w:pPr>
            <w:r w:rsidRPr="00571974">
              <w:rPr>
                <w:sz w:val="18"/>
                <w:szCs w:val="18"/>
                <w:lang w:val="en-GB" w:eastAsia="en-GB" w:bidi="ar-SA"/>
              </w:rPr>
              <w:t>Net cash used in investing activities</w:t>
            </w:r>
            <w:r w:rsidRPr="00571974">
              <w:rPr>
                <w:sz w:val="18"/>
                <w:szCs w:val="18"/>
                <w:lang w:val="en-GB" w:eastAsia="en-GB" w:bidi="ar-SA"/>
              </w:rPr>
              <w:tab/>
            </w:r>
          </w:p>
        </w:tc>
        <w:tc>
          <w:tcPr>
            <w:tcW w:w="463" w:type="pct"/>
            <w:tcBorders>
              <w:top w:val="nil"/>
              <w:left w:val="nil"/>
              <w:bottom w:val="nil"/>
              <w:right w:val="nil"/>
            </w:tcBorders>
            <w:vAlign w:val="bottom"/>
          </w:tcPr>
          <w:p w14:paraId="2108D82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(1,947)</w:t>
            </w:r>
          </w:p>
        </w:tc>
        <w:tc>
          <w:tcPr>
            <w:tcW w:w="388" w:type="pct"/>
            <w:tcBorders>
              <w:top w:val="nil"/>
              <w:left w:val="nil"/>
              <w:bottom w:val="nil"/>
              <w:right w:val="nil"/>
            </w:tcBorders>
            <w:vAlign w:val="bottom"/>
          </w:tcPr>
          <w:p w14:paraId="6B5869A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(3,098)</w:t>
            </w:r>
          </w:p>
        </w:tc>
        <w:tc>
          <w:tcPr>
            <w:tcW w:w="405" w:type="pct"/>
            <w:tcBorders>
              <w:top w:val="nil"/>
              <w:left w:val="nil"/>
              <w:bottom w:val="nil"/>
              <w:right w:val="nil"/>
            </w:tcBorders>
            <w:vAlign w:val="bottom"/>
          </w:tcPr>
          <w:p w14:paraId="39DA8C6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(4,716)</w:t>
            </w:r>
          </w:p>
        </w:tc>
      </w:tr>
      <w:tr w:rsidR="002228B8" w14:paraId="1D6E8ADF" w14:textId="77777777" w:rsidTr="00DF4A0D">
        <w:trPr>
          <w:cantSplit/>
        </w:trPr>
        <w:tc>
          <w:tcPr>
            <w:tcW w:w="3744" w:type="pct"/>
            <w:gridSpan w:val="2"/>
            <w:tcBorders>
              <w:top w:val="nil"/>
              <w:left w:val="nil"/>
              <w:bottom w:val="nil"/>
              <w:right w:val="nil"/>
            </w:tcBorders>
            <w:vAlign w:val="bottom"/>
          </w:tcPr>
          <w:p w14:paraId="3D2D4502" w14:textId="77777777" w:rsidR="00DF4A0D" w:rsidRPr="00571974" w:rsidRDefault="003D4D89" w:rsidP="00B10BAF">
            <w:pPr>
              <w:tabs>
                <w:tab w:val="right" w:leader="dot" w:pos="6946"/>
              </w:tabs>
              <w:suppressAutoHyphens/>
              <w:spacing w:after="20"/>
              <w:ind w:left="200" w:hanging="200"/>
              <w:rPr>
                <w:sz w:val="18"/>
                <w:szCs w:val="18"/>
                <w:lang w:val="en-GB" w:eastAsia="en-GB" w:bidi="ar-SA"/>
              </w:rPr>
            </w:pPr>
            <w:r w:rsidRPr="00571974">
              <w:rPr>
                <w:sz w:val="18"/>
                <w:szCs w:val="18"/>
                <w:lang w:val="en-GB" w:eastAsia="en-GB" w:bidi="ar-SA"/>
              </w:rPr>
              <w:t>Net cash used in financing activities</w:t>
            </w:r>
            <w:r w:rsidRPr="00571974">
              <w:rPr>
                <w:sz w:val="18"/>
                <w:szCs w:val="18"/>
                <w:lang w:val="en-GB" w:eastAsia="en-GB" w:bidi="ar-SA"/>
              </w:rPr>
              <w:tab/>
            </w:r>
          </w:p>
        </w:tc>
        <w:tc>
          <w:tcPr>
            <w:tcW w:w="463" w:type="pct"/>
            <w:tcBorders>
              <w:top w:val="nil"/>
              <w:left w:val="nil"/>
              <w:bottom w:val="nil"/>
              <w:right w:val="nil"/>
            </w:tcBorders>
            <w:vAlign w:val="bottom"/>
          </w:tcPr>
          <w:p w14:paraId="0CBD3E0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(4,553)</w:t>
            </w:r>
          </w:p>
        </w:tc>
        <w:tc>
          <w:tcPr>
            <w:tcW w:w="388" w:type="pct"/>
            <w:tcBorders>
              <w:top w:val="nil"/>
              <w:left w:val="nil"/>
              <w:bottom w:val="nil"/>
              <w:right w:val="nil"/>
            </w:tcBorders>
            <w:vAlign w:val="bottom"/>
          </w:tcPr>
          <w:p w14:paraId="5300BC3A"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(4,977)</w:t>
            </w:r>
          </w:p>
        </w:tc>
        <w:tc>
          <w:tcPr>
            <w:tcW w:w="405" w:type="pct"/>
            <w:tcBorders>
              <w:top w:val="nil"/>
              <w:left w:val="nil"/>
              <w:bottom w:val="nil"/>
              <w:right w:val="nil"/>
            </w:tcBorders>
            <w:vAlign w:val="bottom"/>
          </w:tcPr>
          <w:p w14:paraId="5E41CD5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(3,116)</w:t>
            </w:r>
          </w:p>
        </w:tc>
      </w:tr>
      <w:tr w:rsidR="002228B8" w14:paraId="278B413B" w14:textId="77777777" w:rsidTr="00DF4A0D">
        <w:trPr>
          <w:cantSplit/>
        </w:trPr>
        <w:tc>
          <w:tcPr>
            <w:tcW w:w="3744" w:type="pct"/>
            <w:gridSpan w:val="2"/>
            <w:tcBorders>
              <w:top w:val="nil"/>
              <w:left w:val="nil"/>
              <w:bottom w:val="nil"/>
              <w:right w:val="nil"/>
            </w:tcBorders>
            <w:vAlign w:val="bottom"/>
          </w:tcPr>
          <w:p w14:paraId="34D25CD0" w14:textId="77777777" w:rsidR="00DF4A0D" w:rsidRPr="00571974" w:rsidRDefault="003D4D89" w:rsidP="00B10BAF">
            <w:pPr>
              <w:tabs>
                <w:tab w:val="right" w:leader="dot" w:pos="6946"/>
              </w:tabs>
              <w:suppressAutoHyphens/>
              <w:spacing w:after="40"/>
              <w:ind w:left="200" w:hanging="200"/>
              <w:rPr>
                <w:sz w:val="18"/>
                <w:szCs w:val="18"/>
                <w:lang w:val="en-GB" w:eastAsia="en-GB" w:bidi="ar-SA"/>
              </w:rPr>
            </w:pPr>
            <w:r w:rsidRPr="00571974">
              <w:rPr>
                <w:sz w:val="18"/>
                <w:szCs w:val="18"/>
                <w:lang w:val="en-GB" w:eastAsia="en-GB" w:bidi="ar-SA"/>
              </w:rPr>
              <w:t>Net increase/(decrease) in cash and cash equivalents</w:t>
            </w:r>
            <w:r w:rsidRPr="00571974">
              <w:rPr>
                <w:sz w:val="18"/>
                <w:szCs w:val="18"/>
                <w:lang w:val="en-GB" w:eastAsia="en-GB" w:bidi="ar-SA"/>
              </w:rPr>
              <w:tab/>
            </w:r>
          </w:p>
        </w:tc>
        <w:tc>
          <w:tcPr>
            <w:tcW w:w="463" w:type="pct"/>
            <w:tcBorders>
              <w:top w:val="nil"/>
              <w:left w:val="nil"/>
              <w:bottom w:val="nil"/>
              <w:right w:val="nil"/>
            </w:tcBorders>
            <w:vAlign w:val="bottom"/>
          </w:tcPr>
          <w:p w14:paraId="053F5C33"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1,549</w:t>
            </w:r>
          </w:p>
        </w:tc>
        <w:tc>
          <w:tcPr>
            <w:tcW w:w="388" w:type="pct"/>
            <w:tcBorders>
              <w:top w:val="nil"/>
              <w:left w:val="nil"/>
              <w:bottom w:val="nil"/>
              <w:right w:val="nil"/>
            </w:tcBorders>
            <w:vAlign w:val="bottom"/>
          </w:tcPr>
          <w:p w14:paraId="6AC0D2B0"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(948)</w:t>
            </w:r>
          </w:p>
        </w:tc>
        <w:tc>
          <w:tcPr>
            <w:tcW w:w="405" w:type="pct"/>
            <w:tcBorders>
              <w:top w:val="nil"/>
              <w:left w:val="nil"/>
              <w:bottom w:val="nil"/>
              <w:right w:val="nil"/>
            </w:tcBorders>
            <w:vAlign w:val="bottom"/>
          </w:tcPr>
          <w:p w14:paraId="025F92B1"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(168)</w:t>
            </w:r>
          </w:p>
        </w:tc>
      </w:tr>
      <w:tr w:rsidR="002228B8" w14:paraId="2E413AAB" w14:textId="77777777" w:rsidTr="00DF4A0D">
        <w:trPr>
          <w:cantSplit/>
        </w:trPr>
        <w:tc>
          <w:tcPr>
            <w:tcW w:w="3744" w:type="pct"/>
            <w:gridSpan w:val="2"/>
            <w:tcBorders>
              <w:top w:val="nil"/>
              <w:left w:val="nil"/>
              <w:bottom w:val="nil"/>
              <w:right w:val="nil"/>
            </w:tcBorders>
            <w:vAlign w:val="bottom"/>
          </w:tcPr>
          <w:p w14:paraId="24523F5E" w14:textId="28437FA6" w:rsidR="00DF4A0D" w:rsidRPr="00571974" w:rsidRDefault="003D4D89" w:rsidP="00B10BAF">
            <w:pPr>
              <w:tabs>
                <w:tab w:val="right" w:leader="dot" w:pos="6946"/>
              </w:tabs>
              <w:suppressAutoHyphens/>
              <w:spacing w:after="40"/>
              <w:ind w:left="200" w:hanging="200"/>
              <w:rPr>
                <w:sz w:val="18"/>
                <w:szCs w:val="18"/>
                <w:lang w:val="en-GB" w:eastAsia="en-GB" w:bidi="ar-SA"/>
              </w:rPr>
            </w:pPr>
            <w:r w:rsidRPr="00571974">
              <w:rPr>
                <w:sz w:val="18"/>
                <w:szCs w:val="18"/>
                <w:lang w:val="en-GB" w:eastAsia="en-GB" w:bidi="ar-SA"/>
              </w:rPr>
              <w:t>Attributable free cash flow</w:t>
            </w:r>
            <w:r w:rsidRPr="00571974">
              <w:rPr>
                <w:sz w:val="18"/>
                <w:szCs w:val="18"/>
                <w:vertAlign w:val="superscript"/>
                <w:lang w:val="en-GB" w:eastAsia="en-GB" w:bidi="ar-SA"/>
              </w:rPr>
              <w:t>(1)</w:t>
            </w:r>
            <w:r w:rsidR="0064727B" w:rsidRPr="00571974">
              <w:rPr>
                <w:sz w:val="18"/>
                <w:szCs w:val="18"/>
                <w:lang w:val="en-GB" w:eastAsia="en-GB" w:bidi="ar-SA"/>
              </w:rPr>
              <w:tab/>
            </w:r>
          </w:p>
        </w:tc>
        <w:tc>
          <w:tcPr>
            <w:tcW w:w="463" w:type="pct"/>
            <w:tcBorders>
              <w:top w:val="nil"/>
              <w:left w:val="nil"/>
              <w:bottom w:val="nil"/>
              <w:right w:val="nil"/>
            </w:tcBorders>
            <w:vAlign w:val="bottom"/>
          </w:tcPr>
          <w:p w14:paraId="0255B5D8" w14:textId="77777777" w:rsidR="00DF4A0D" w:rsidRPr="00571974" w:rsidRDefault="003D4D89" w:rsidP="00DF4A0D">
            <w:pPr>
              <w:jc w:val="right"/>
              <w:rPr>
                <w:sz w:val="18"/>
                <w:szCs w:val="18"/>
                <w:lang w:val="en-GB" w:eastAsia="en-GB" w:bidi="ar-SA"/>
              </w:rPr>
            </w:pPr>
            <w:r w:rsidRPr="00571974">
              <w:rPr>
                <w:sz w:val="18"/>
                <w:szCs w:val="18"/>
                <w:lang w:val="en-GB" w:eastAsia="en-GB" w:bidi="ar-SA"/>
              </w:rPr>
              <w:t>4,943</w:t>
            </w:r>
          </w:p>
        </w:tc>
        <w:tc>
          <w:tcPr>
            <w:tcW w:w="388" w:type="pct"/>
            <w:tcBorders>
              <w:top w:val="nil"/>
              <w:left w:val="nil"/>
              <w:bottom w:val="nil"/>
              <w:right w:val="nil"/>
            </w:tcBorders>
            <w:vAlign w:val="bottom"/>
          </w:tcPr>
          <w:p w14:paraId="2D2DD7E4" w14:textId="77777777" w:rsidR="00DF4A0D" w:rsidRPr="00571974" w:rsidRDefault="003D4D89" w:rsidP="00DF4A0D">
            <w:pPr>
              <w:jc w:val="right"/>
              <w:rPr>
                <w:sz w:val="18"/>
                <w:szCs w:val="18"/>
                <w:lang w:val="en-GB" w:eastAsia="en-GB" w:bidi="ar-SA"/>
              </w:rPr>
            </w:pPr>
            <w:r w:rsidRPr="00571974">
              <w:rPr>
                <w:sz w:val="18"/>
                <w:szCs w:val="18"/>
                <w:lang w:val="en-GB" w:eastAsia="en-GB" w:bidi="ar-SA"/>
              </w:rPr>
              <w:t>3,157</w:t>
            </w:r>
          </w:p>
        </w:tc>
        <w:tc>
          <w:tcPr>
            <w:tcW w:w="405" w:type="pct"/>
            <w:tcBorders>
              <w:top w:val="nil"/>
              <w:left w:val="nil"/>
              <w:bottom w:val="nil"/>
              <w:right w:val="nil"/>
            </w:tcBorders>
            <w:vAlign w:val="bottom"/>
          </w:tcPr>
          <w:p w14:paraId="52C0170D" w14:textId="77777777" w:rsidR="00DF4A0D" w:rsidRPr="00571974" w:rsidRDefault="003D4D89" w:rsidP="00DF4A0D">
            <w:pPr>
              <w:jc w:val="right"/>
              <w:rPr>
                <w:sz w:val="18"/>
                <w:szCs w:val="18"/>
                <w:lang w:val="en-GB" w:eastAsia="en-GB" w:bidi="ar-SA"/>
              </w:rPr>
            </w:pPr>
            <w:r w:rsidRPr="00571974">
              <w:rPr>
                <w:sz w:val="18"/>
                <w:szCs w:val="18"/>
                <w:lang w:val="en-GB" w:eastAsia="en-GB" w:bidi="ar-SA"/>
              </w:rPr>
              <w:t>2,342</w:t>
            </w:r>
          </w:p>
        </w:tc>
      </w:tr>
      <w:tr w:rsidR="002228B8" w14:paraId="490F651E" w14:textId="77777777" w:rsidTr="00DF4A0D">
        <w:trPr>
          <w:gridBefore w:val="1"/>
          <w:wBefore w:w="63" w:type="dxa"/>
          <w:cantSplit/>
          <w:trHeight w:val="113"/>
        </w:trPr>
        <w:tc>
          <w:tcPr>
            <w:tcW w:w="3711" w:type="pct"/>
            <w:tcBorders>
              <w:top w:val="nil"/>
              <w:left w:val="nil"/>
              <w:bottom w:val="nil"/>
              <w:right w:val="nil"/>
            </w:tcBorders>
            <w:vAlign w:val="bottom"/>
          </w:tcPr>
          <w:p w14:paraId="1774900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256" w:type="pct"/>
            <w:gridSpan w:val="3"/>
            <w:tcBorders>
              <w:top w:val="nil"/>
              <w:left w:val="nil"/>
              <w:bottom w:val="nil"/>
              <w:right w:val="nil"/>
            </w:tcBorders>
            <w:vAlign w:val="bottom"/>
          </w:tcPr>
          <w:p w14:paraId="6DC5670E" w14:textId="77777777" w:rsidR="00DF4A0D" w:rsidRPr="00571974" w:rsidRDefault="00DF4A0D"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r>
    </w:tbl>
    <w:p w14:paraId="6EA7126D" w14:textId="77777777" w:rsidR="00DF4A0D" w:rsidRPr="00571974" w:rsidRDefault="00836D74" w:rsidP="00DF4A0D">
      <w:pPr>
        <w:rPr>
          <w:lang w:val="en-GB"/>
        </w:rPr>
      </w:pPr>
      <w:r>
        <w:rPr>
          <w:lang w:val="en-GB"/>
        </w:rPr>
        <w:pict w14:anchorId="55374355">
          <v:rect id="_x0000_i1054" style="width:184.5pt;height:1pt" o:hrpct="250" o:hrstd="t" o:hrnoshade="t" o:hr="t" fillcolor="black" stroked="f"/>
        </w:pict>
      </w:r>
    </w:p>
    <w:p w14:paraId="1A7ADA55" w14:textId="27F76F5F" w:rsidR="00DF4A0D" w:rsidRPr="00571974" w:rsidRDefault="003D4D89" w:rsidP="003D4D89">
      <w:pPr>
        <w:pStyle w:val="ListParagraph"/>
        <w:widowControl/>
        <w:numPr>
          <w:ilvl w:val="0"/>
          <w:numId w:val="28"/>
        </w:numPr>
        <w:tabs>
          <w:tab w:val="left" w:pos="-720"/>
          <w:tab w:val="left" w:pos="0"/>
        </w:tabs>
        <w:suppressAutoHyphens/>
        <w:spacing w:after="240"/>
        <w:ind w:left="426"/>
        <w:rPr>
          <w:sz w:val="16"/>
          <w:szCs w:val="18"/>
          <w:lang w:val="en-GB"/>
        </w:rPr>
      </w:pPr>
      <w:r w:rsidRPr="00571974">
        <w:rPr>
          <w:sz w:val="16"/>
          <w:szCs w:val="18"/>
          <w:lang w:val="en-GB"/>
        </w:rPr>
        <w:t xml:space="preserve">Definition is set out in the </w:t>
      </w:r>
      <w:r w:rsidR="00A311D8">
        <w:rPr>
          <w:sz w:val="16"/>
          <w:szCs w:val="18"/>
          <w:lang w:val="en-GB"/>
        </w:rPr>
        <w:t>“</w:t>
      </w:r>
      <w:r w:rsidRPr="00571974">
        <w:rPr>
          <w:sz w:val="16"/>
          <w:szCs w:val="18"/>
          <w:lang w:val="en-GB"/>
        </w:rPr>
        <w:t>Non-IFRS financial measures</w:t>
      </w:r>
      <w:r w:rsidR="00A311D8">
        <w:rPr>
          <w:sz w:val="16"/>
          <w:szCs w:val="18"/>
          <w:lang w:val="en-GB"/>
        </w:rPr>
        <w:t>”</w:t>
      </w:r>
      <w:r w:rsidRPr="00571974">
        <w:rPr>
          <w:sz w:val="16"/>
          <w:szCs w:val="18"/>
          <w:lang w:val="en-GB"/>
        </w:rPr>
        <w:t xml:space="preserve"> section. A reconciliation to </w:t>
      </w:r>
      <w:r w:rsidR="00A311D8">
        <w:rPr>
          <w:sz w:val="16"/>
          <w:szCs w:val="18"/>
          <w:lang w:val="en-GB"/>
        </w:rPr>
        <w:t>“</w:t>
      </w:r>
      <w:r w:rsidRPr="00571974">
        <w:rPr>
          <w:sz w:val="16"/>
          <w:szCs w:val="18"/>
          <w:lang w:val="en-GB"/>
        </w:rPr>
        <w:t>cash flows from operations</w:t>
      </w:r>
      <w:r w:rsidR="00A311D8">
        <w:rPr>
          <w:sz w:val="16"/>
          <w:szCs w:val="18"/>
          <w:lang w:val="en-GB"/>
        </w:rPr>
        <w:t>”</w:t>
      </w:r>
      <w:r w:rsidRPr="00571974">
        <w:rPr>
          <w:sz w:val="16"/>
          <w:szCs w:val="18"/>
          <w:lang w:val="en-GB"/>
        </w:rPr>
        <w:t>, the closest equivalent IFRS measure, is provided with respect to 2019, 2018 and 2017 in the table below:</w:t>
      </w:r>
    </w:p>
    <w:tbl>
      <w:tblPr>
        <w:tblW w:w="4809" w:type="pct"/>
        <w:tblInd w:w="450" w:type="dxa"/>
        <w:tblLayout w:type="fixed"/>
        <w:tblCellMar>
          <w:left w:w="72" w:type="dxa"/>
          <w:right w:w="72" w:type="dxa"/>
        </w:tblCellMar>
        <w:tblLook w:val="0000" w:firstRow="0" w:lastRow="0" w:firstColumn="0" w:lastColumn="0" w:noHBand="0" w:noVBand="0"/>
      </w:tblPr>
      <w:tblGrid>
        <w:gridCol w:w="76"/>
        <w:gridCol w:w="6542"/>
        <w:gridCol w:w="851"/>
        <w:gridCol w:w="765"/>
        <w:gridCol w:w="765"/>
      </w:tblGrid>
      <w:tr w:rsidR="002228B8" w14:paraId="572CB7BB" w14:textId="77777777" w:rsidTr="00DF4A0D">
        <w:trPr>
          <w:cantSplit/>
        </w:trPr>
        <w:tc>
          <w:tcPr>
            <w:tcW w:w="3677" w:type="pct"/>
            <w:gridSpan w:val="2"/>
            <w:tcBorders>
              <w:top w:val="nil"/>
              <w:left w:val="nil"/>
              <w:bottom w:val="nil"/>
              <w:right w:val="nil"/>
            </w:tcBorders>
            <w:vAlign w:val="bottom"/>
          </w:tcPr>
          <w:p w14:paraId="7616B6BB"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323" w:type="pct"/>
            <w:gridSpan w:val="3"/>
            <w:tcBorders>
              <w:top w:val="nil"/>
              <w:left w:val="nil"/>
              <w:bottom w:val="nil"/>
              <w:right w:val="nil"/>
            </w:tcBorders>
            <w:vAlign w:val="bottom"/>
          </w:tcPr>
          <w:p w14:paraId="606D2B8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17D9D4C5" w14:textId="77777777" w:rsidTr="00DF4A0D">
        <w:trPr>
          <w:cantSplit/>
        </w:trPr>
        <w:tc>
          <w:tcPr>
            <w:tcW w:w="3677" w:type="pct"/>
            <w:gridSpan w:val="2"/>
            <w:tcBorders>
              <w:top w:val="nil"/>
              <w:left w:val="nil"/>
              <w:bottom w:val="nil"/>
              <w:right w:val="nil"/>
            </w:tcBorders>
            <w:vAlign w:val="bottom"/>
          </w:tcPr>
          <w:p w14:paraId="69917645"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73" w:type="pct"/>
            <w:tcBorders>
              <w:top w:val="nil"/>
              <w:left w:val="nil"/>
              <w:bottom w:val="nil"/>
              <w:right w:val="nil"/>
            </w:tcBorders>
            <w:vAlign w:val="bottom"/>
          </w:tcPr>
          <w:p w14:paraId="0C73202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425" w:type="pct"/>
            <w:tcBorders>
              <w:top w:val="nil"/>
              <w:left w:val="nil"/>
              <w:bottom w:val="nil"/>
              <w:right w:val="nil"/>
            </w:tcBorders>
            <w:vAlign w:val="bottom"/>
          </w:tcPr>
          <w:p w14:paraId="37A4CE3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425" w:type="pct"/>
            <w:tcBorders>
              <w:top w:val="nil"/>
              <w:left w:val="nil"/>
              <w:bottom w:val="nil"/>
              <w:right w:val="nil"/>
            </w:tcBorders>
            <w:vAlign w:val="bottom"/>
          </w:tcPr>
          <w:p w14:paraId="4887ABE2"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1258A06E" w14:textId="77777777" w:rsidTr="00DF4A0D">
        <w:trPr>
          <w:cantSplit/>
        </w:trPr>
        <w:tc>
          <w:tcPr>
            <w:tcW w:w="3677" w:type="pct"/>
            <w:gridSpan w:val="2"/>
            <w:tcBorders>
              <w:top w:val="nil"/>
              <w:left w:val="nil"/>
              <w:bottom w:val="nil"/>
              <w:right w:val="nil"/>
            </w:tcBorders>
            <w:vAlign w:val="bottom"/>
          </w:tcPr>
          <w:p w14:paraId="1AC450F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323" w:type="pct"/>
            <w:gridSpan w:val="3"/>
            <w:tcBorders>
              <w:top w:val="nil"/>
              <w:left w:val="nil"/>
              <w:bottom w:val="nil"/>
              <w:right w:val="nil"/>
            </w:tcBorders>
            <w:vAlign w:val="bottom"/>
          </w:tcPr>
          <w:p w14:paraId="78633E4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44D6F881" w14:textId="77777777" w:rsidTr="00DF4A0D">
        <w:trPr>
          <w:cantSplit/>
        </w:trPr>
        <w:tc>
          <w:tcPr>
            <w:tcW w:w="3677" w:type="pct"/>
            <w:gridSpan w:val="2"/>
            <w:tcBorders>
              <w:top w:val="nil"/>
              <w:left w:val="nil"/>
              <w:bottom w:val="nil"/>
              <w:right w:val="nil"/>
            </w:tcBorders>
            <w:vAlign w:val="bottom"/>
          </w:tcPr>
          <w:p w14:paraId="6D0F5AD3" w14:textId="77777777" w:rsidR="00DF4A0D" w:rsidRPr="00571974" w:rsidRDefault="003D4D89" w:rsidP="00DF4A0D">
            <w:pPr>
              <w:tabs>
                <w:tab w:val="right" w:leader="dot" w:pos="6703"/>
              </w:tabs>
              <w:suppressAutoHyphens/>
              <w:ind w:left="200" w:hanging="200"/>
              <w:rPr>
                <w:b/>
                <w:sz w:val="18"/>
                <w:szCs w:val="18"/>
                <w:lang w:val="en-GB" w:eastAsia="en-GB" w:bidi="ar-SA"/>
              </w:rPr>
            </w:pPr>
            <w:r w:rsidRPr="00571974">
              <w:rPr>
                <w:b/>
                <w:sz w:val="18"/>
                <w:szCs w:val="18"/>
                <w:lang w:val="en-GB" w:eastAsia="en-GB" w:bidi="ar-SA"/>
              </w:rPr>
              <w:t>Cash flows from operations</w:t>
            </w:r>
            <w:r w:rsidRPr="00571974">
              <w:rPr>
                <w:b/>
                <w:sz w:val="18"/>
                <w:szCs w:val="18"/>
                <w:lang w:val="en-GB" w:eastAsia="en-GB" w:bidi="ar-SA"/>
              </w:rPr>
              <w:tab/>
            </w:r>
          </w:p>
        </w:tc>
        <w:tc>
          <w:tcPr>
            <w:tcW w:w="473" w:type="pct"/>
            <w:tcBorders>
              <w:top w:val="nil"/>
              <w:left w:val="nil"/>
              <w:bottom w:val="nil"/>
              <w:right w:val="nil"/>
            </w:tcBorders>
            <w:vAlign w:val="bottom"/>
          </w:tcPr>
          <w:p w14:paraId="011C39B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8,375</w:t>
            </w:r>
          </w:p>
        </w:tc>
        <w:tc>
          <w:tcPr>
            <w:tcW w:w="425" w:type="pct"/>
            <w:tcBorders>
              <w:top w:val="nil"/>
              <w:left w:val="nil"/>
              <w:bottom w:val="nil"/>
              <w:right w:val="nil"/>
            </w:tcBorders>
            <w:vAlign w:val="bottom"/>
          </w:tcPr>
          <w:p w14:paraId="32DE7B5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7,782</w:t>
            </w:r>
          </w:p>
        </w:tc>
        <w:tc>
          <w:tcPr>
            <w:tcW w:w="425" w:type="pct"/>
            <w:tcBorders>
              <w:top w:val="nil"/>
              <w:left w:val="nil"/>
              <w:bottom w:val="nil"/>
              <w:right w:val="nil"/>
            </w:tcBorders>
            <w:vAlign w:val="bottom"/>
          </w:tcPr>
          <w:p w14:paraId="1C2EA75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9,260</w:t>
            </w:r>
          </w:p>
        </w:tc>
      </w:tr>
      <w:tr w:rsidR="002228B8" w14:paraId="7BDE5681" w14:textId="77777777" w:rsidTr="00DF4A0D">
        <w:trPr>
          <w:cantSplit/>
        </w:trPr>
        <w:tc>
          <w:tcPr>
            <w:tcW w:w="3677" w:type="pct"/>
            <w:gridSpan w:val="2"/>
            <w:tcBorders>
              <w:top w:val="nil"/>
              <w:left w:val="nil"/>
              <w:bottom w:val="nil"/>
              <w:right w:val="nil"/>
            </w:tcBorders>
            <w:vAlign w:val="bottom"/>
          </w:tcPr>
          <w:p w14:paraId="06085607" w14:textId="77777777" w:rsidR="00DF4A0D" w:rsidRPr="00571974" w:rsidRDefault="003D4D89" w:rsidP="00DF4A0D">
            <w:pPr>
              <w:tabs>
                <w:tab w:val="right" w:leader="dot" w:pos="6703"/>
              </w:tabs>
              <w:suppressAutoHyphens/>
              <w:ind w:left="200" w:hanging="200"/>
              <w:rPr>
                <w:sz w:val="18"/>
                <w:szCs w:val="18"/>
                <w:lang w:val="en-GB" w:eastAsia="en-GB" w:bidi="ar-SA"/>
              </w:rPr>
            </w:pPr>
            <w:r w:rsidRPr="00571974">
              <w:rPr>
                <w:sz w:val="18"/>
                <w:szCs w:val="18"/>
                <w:lang w:val="en-GB" w:eastAsia="en-GB" w:bidi="ar-SA"/>
              </w:rPr>
              <w:t>Capital expenditures</w:t>
            </w:r>
            <w:r w:rsidRPr="00571974">
              <w:rPr>
                <w:sz w:val="18"/>
                <w:szCs w:val="18"/>
                <w:lang w:val="en-GB" w:eastAsia="en-GB" w:bidi="ar-SA"/>
              </w:rPr>
              <w:tab/>
            </w:r>
          </w:p>
        </w:tc>
        <w:tc>
          <w:tcPr>
            <w:tcW w:w="473" w:type="pct"/>
            <w:tcBorders>
              <w:top w:val="nil"/>
              <w:left w:val="nil"/>
              <w:bottom w:val="nil"/>
              <w:right w:val="nil"/>
            </w:tcBorders>
            <w:vAlign w:val="bottom"/>
          </w:tcPr>
          <w:p w14:paraId="08D90E9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(2,150)</w:t>
            </w:r>
          </w:p>
        </w:tc>
        <w:tc>
          <w:tcPr>
            <w:tcW w:w="425" w:type="pct"/>
            <w:tcBorders>
              <w:top w:val="nil"/>
              <w:left w:val="nil"/>
              <w:bottom w:val="nil"/>
              <w:right w:val="nil"/>
            </w:tcBorders>
            <w:vAlign w:val="bottom"/>
          </w:tcPr>
          <w:p w14:paraId="0A111AE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(2,818)</w:t>
            </w:r>
          </w:p>
        </w:tc>
        <w:tc>
          <w:tcPr>
            <w:tcW w:w="425" w:type="pct"/>
            <w:tcBorders>
              <w:top w:val="nil"/>
              <w:left w:val="nil"/>
              <w:bottom w:val="nil"/>
              <w:right w:val="nil"/>
            </w:tcBorders>
            <w:vAlign w:val="bottom"/>
          </w:tcPr>
          <w:p w14:paraId="4D4219A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(3,840)</w:t>
            </w:r>
          </w:p>
        </w:tc>
      </w:tr>
      <w:tr w:rsidR="002228B8" w14:paraId="07C61EE5" w14:textId="77777777" w:rsidTr="00DF4A0D">
        <w:trPr>
          <w:cantSplit/>
        </w:trPr>
        <w:tc>
          <w:tcPr>
            <w:tcW w:w="3677" w:type="pct"/>
            <w:gridSpan w:val="2"/>
            <w:tcBorders>
              <w:top w:val="nil"/>
              <w:left w:val="nil"/>
              <w:bottom w:val="nil"/>
              <w:right w:val="nil"/>
            </w:tcBorders>
            <w:vAlign w:val="bottom"/>
          </w:tcPr>
          <w:p w14:paraId="1BA9A055" w14:textId="26CD2296" w:rsidR="00DF4A0D" w:rsidRPr="00571974" w:rsidRDefault="003D4D89" w:rsidP="00C279A6">
            <w:pPr>
              <w:tabs>
                <w:tab w:val="right" w:leader="dot" w:pos="6703"/>
              </w:tabs>
              <w:suppressAutoHyphens/>
              <w:ind w:left="200" w:hanging="200"/>
              <w:rPr>
                <w:sz w:val="18"/>
                <w:szCs w:val="18"/>
                <w:lang w:val="en-GB" w:eastAsia="en-GB" w:bidi="ar-SA"/>
              </w:rPr>
            </w:pPr>
            <w:r w:rsidRPr="00571974">
              <w:rPr>
                <w:sz w:val="18"/>
                <w:szCs w:val="18"/>
                <w:lang w:val="en-GB" w:eastAsia="en-GB" w:bidi="ar-SA"/>
              </w:rPr>
              <w:t>Capital repayment of lease obligations</w:t>
            </w:r>
            <w:r w:rsidR="00C279A6" w:rsidRPr="00571974">
              <w:rPr>
                <w:sz w:val="18"/>
                <w:szCs w:val="18"/>
                <w:lang w:val="en-GB" w:eastAsia="en-GB" w:bidi="ar-SA"/>
              </w:rPr>
              <w:tab/>
            </w:r>
          </w:p>
        </w:tc>
        <w:tc>
          <w:tcPr>
            <w:tcW w:w="473" w:type="pct"/>
            <w:tcBorders>
              <w:top w:val="nil"/>
              <w:left w:val="nil"/>
              <w:bottom w:val="nil"/>
              <w:right w:val="nil"/>
            </w:tcBorders>
            <w:vAlign w:val="bottom"/>
          </w:tcPr>
          <w:p w14:paraId="55788DF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425" w:type="pct"/>
            <w:tcBorders>
              <w:top w:val="nil"/>
              <w:left w:val="nil"/>
              <w:bottom w:val="nil"/>
              <w:right w:val="nil"/>
            </w:tcBorders>
            <w:vAlign w:val="bottom"/>
          </w:tcPr>
          <w:p w14:paraId="0CEAC8D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425" w:type="pct"/>
            <w:tcBorders>
              <w:top w:val="nil"/>
              <w:left w:val="nil"/>
              <w:bottom w:val="nil"/>
              <w:right w:val="nil"/>
            </w:tcBorders>
            <w:vAlign w:val="bottom"/>
          </w:tcPr>
          <w:p w14:paraId="2628D6D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(272)</w:t>
            </w:r>
          </w:p>
        </w:tc>
      </w:tr>
      <w:tr w:rsidR="002228B8" w14:paraId="11B09C21" w14:textId="77777777" w:rsidTr="00DF4A0D">
        <w:trPr>
          <w:cantSplit/>
        </w:trPr>
        <w:tc>
          <w:tcPr>
            <w:tcW w:w="3677" w:type="pct"/>
            <w:gridSpan w:val="2"/>
            <w:tcBorders>
              <w:top w:val="nil"/>
              <w:left w:val="nil"/>
              <w:bottom w:val="nil"/>
              <w:right w:val="nil"/>
            </w:tcBorders>
            <w:vAlign w:val="bottom"/>
          </w:tcPr>
          <w:p w14:paraId="569BDA2F" w14:textId="77777777" w:rsidR="00DF4A0D" w:rsidRPr="00571974" w:rsidRDefault="003D4D89" w:rsidP="00DF4A0D">
            <w:pPr>
              <w:tabs>
                <w:tab w:val="right" w:leader="dot" w:pos="6703"/>
              </w:tabs>
              <w:suppressAutoHyphens/>
              <w:ind w:left="200" w:hanging="200"/>
              <w:rPr>
                <w:sz w:val="18"/>
                <w:szCs w:val="18"/>
                <w:lang w:val="en-GB" w:eastAsia="en-GB" w:bidi="ar-SA"/>
              </w:rPr>
            </w:pPr>
            <w:r w:rsidRPr="00571974">
              <w:rPr>
                <w:sz w:val="18"/>
                <w:szCs w:val="18"/>
                <w:lang w:val="en-GB" w:eastAsia="en-GB" w:bidi="ar-SA"/>
              </w:rPr>
              <w:t>Cash tax paid</w:t>
            </w:r>
            <w:r w:rsidRPr="00571974">
              <w:rPr>
                <w:sz w:val="18"/>
                <w:szCs w:val="18"/>
                <w:lang w:val="en-GB" w:eastAsia="en-GB" w:bidi="ar-SA"/>
              </w:rPr>
              <w:tab/>
            </w:r>
          </w:p>
        </w:tc>
        <w:tc>
          <w:tcPr>
            <w:tcW w:w="473" w:type="pct"/>
            <w:tcBorders>
              <w:top w:val="nil"/>
              <w:left w:val="nil"/>
              <w:right w:val="nil"/>
            </w:tcBorders>
            <w:vAlign w:val="bottom"/>
          </w:tcPr>
          <w:p w14:paraId="340E103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(843)</w:t>
            </w:r>
          </w:p>
        </w:tc>
        <w:tc>
          <w:tcPr>
            <w:tcW w:w="425" w:type="pct"/>
            <w:tcBorders>
              <w:top w:val="nil"/>
              <w:left w:val="nil"/>
              <w:right w:val="nil"/>
            </w:tcBorders>
            <w:vAlign w:val="bottom"/>
          </w:tcPr>
          <w:p w14:paraId="1A920C3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(1,393)</w:t>
            </w:r>
          </w:p>
        </w:tc>
        <w:tc>
          <w:tcPr>
            <w:tcW w:w="425" w:type="pct"/>
            <w:tcBorders>
              <w:top w:val="nil"/>
              <w:left w:val="nil"/>
              <w:right w:val="nil"/>
            </w:tcBorders>
            <w:vAlign w:val="bottom"/>
          </w:tcPr>
          <w:p w14:paraId="6FEA7C5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(2,116)</w:t>
            </w:r>
          </w:p>
        </w:tc>
      </w:tr>
      <w:tr w:rsidR="002228B8" w14:paraId="69EB90F3" w14:textId="77777777" w:rsidTr="00DF4A0D">
        <w:trPr>
          <w:cantSplit/>
        </w:trPr>
        <w:tc>
          <w:tcPr>
            <w:tcW w:w="3677" w:type="pct"/>
            <w:gridSpan w:val="2"/>
            <w:tcBorders>
              <w:top w:val="nil"/>
              <w:left w:val="nil"/>
              <w:bottom w:val="nil"/>
              <w:right w:val="nil"/>
            </w:tcBorders>
            <w:vAlign w:val="bottom"/>
          </w:tcPr>
          <w:p w14:paraId="3F6249F9" w14:textId="3A8F973D" w:rsidR="00DF4A0D" w:rsidRPr="00571974" w:rsidRDefault="003D4D89" w:rsidP="00DF4A0D">
            <w:pPr>
              <w:tabs>
                <w:tab w:val="right" w:leader="dot" w:pos="6703"/>
              </w:tabs>
              <w:suppressAutoHyphens/>
              <w:ind w:left="200" w:hanging="200"/>
              <w:rPr>
                <w:sz w:val="18"/>
                <w:szCs w:val="18"/>
                <w:lang w:val="en-GB" w:eastAsia="en-GB" w:bidi="ar-SA"/>
              </w:rPr>
            </w:pPr>
            <w:r w:rsidRPr="00571974">
              <w:rPr>
                <w:sz w:val="18"/>
                <w:szCs w:val="18"/>
                <w:lang w:val="en-GB" w:eastAsia="en-GB" w:bidi="ar-SA"/>
              </w:rPr>
              <w:t>Dividends from associates, joint ventures and financial asset investments</w:t>
            </w:r>
            <w:r w:rsidR="00B10BAF" w:rsidRPr="00571974">
              <w:rPr>
                <w:sz w:val="18"/>
                <w:szCs w:val="18"/>
                <w:lang w:val="en-GB" w:eastAsia="en-GB" w:bidi="ar-SA"/>
              </w:rPr>
              <w:tab/>
            </w:r>
          </w:p>
        </w:tc>
        <w:tc>
          <w:tcPr>
            <w:tcW w:w="473" w:type="pct"/>
            <w:tcBorders>
              <w:left w:val="nil"/>
              <w:bottom w:val="nil"/>
              <w:right w:val="nil"/>
            </w:tcBorders>
            <w:vAlign w:val="bottom"/>
          </w:tcPr>
          <w:p w14:paraId="38BCA0D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517</w:t>
            </w:r>
          </w:p>
        </w:tc>
        <w:tc>
          <w:tcPr>
            <w:tcW w:w="425" w:type="pct"/>
            <w:tcBorders>
              <w:left w:val="nil"/>
              <w:bottom w:val="nil"/>
              <w:right w:val="nil"/>
            </w:tcBorders>
            <w:vAlign w:val="bottom"/>
          </w:tcPr>
          <w:p w14:paraId="3773013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738</w:t>
            </w:r>
          </w:p>
        </w:tc>
        <w:tc>
          <w:tcPr>
            <w:tcW w:w="425" w:type="pct"/>
            <w:tcBorders>
              <w:left w:val="nil"/>
              <w:bottom w:val="nil"/>
              <w:right w:val="nil"/>
            </w:tcBorders>
            <w:vAlign w:val="bottom"/>
          </w:tcPr>
          <w:p w14:paraId="520376A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520</w:t>
            </w:r>
          </w:p>
        </w:tc>
      </w:tr>
      <w:tr w:rsidR="002228B8" w14:paraId="17FFE43E" w14:textId="77777777" w:rsidTr="00DF4A0D">
        <w:trPr>
          <w:cantSplit/>
        </w:trPr>
        <w:tc>
          <w:tcPr>
            <w:tcW w:w="3677" w:type="pct"/>
            <w:gridSpan w:val="2"/>
            <w:tcBorders>
              <w:top w:val="nil"/>
              <w:left w:val="nil"/>
              <w:bottom w:val="nil"/>
              <w:right w:val="nil"/>
            </w:tcBorders>
            <w:vAlign w:val="bottom"/>
          </w:tcPr>
          <w:p w14:paraId="0D24A188" w14:textId="77777777" w:rsidR="00DF4A0D" w:rsidRPr="00571974" w:rsidRDefault="003D4D89" w:rsidP="00DF4A0D">
            <w:pPr>
              <w:tabs>
                <w:tab w:val="right" w:leader="dot" w:pos="6703"/>
              </w:tabs>
              <w:suppressAutoHyphens/>
              <w:ind w:left="200" w:hanging="200"/>
              <w:rPr>
                <w:sz w:val="18"/>
                <w:szCs w:val="18"/>
                <w:lang w:val="en-GB" w:eastAsia="en-GB" w:bidi="ar-SA"/>
              </w:rPr>
            </w:pPr>
            <w:r w:rsidRPr="00571974">
              <w:rPr>
                <w:sz w:val="18"/>
                <w:szCs w:val="18"/>
                <w:lang w:val="en-GB" w:eastAsia="en-GB" w:bidi="ar-SA"/>
              </w:rPr>
              <w:t>Net interest</w:t>
            </w:r>
            <w:r w:rsidRPr="00571974">
              <w:rPr>
                <w:sz w:val="18"/>
                <w:szCs w:val="18"/>
                <w:vertAlign w:val="superscript"/>
                <w:lang w:val="en-GB" w:eastAsia="en-GB" w:bidi="ar-SA"/>
              </w:rPr>
              <w:t>(1)</w:t>
            </w:r>
            <w:r w:rsidRPr="00571974">
              <w:rPr>
                <w:sz w:val="18"/>
                <w:szCs w:val="18"/>
                <w:lang w:val="en-GB" w:eastAsia="en-GB" w:bidi="ar-SA"/>
              </w:rPr>
              <w:tab/>
            </w:r>
          </w:p>
        </w:tc>
        <w:tc>
          <w:tcPr>
            <w:tcW w:w="473" w:type="pct"/>
            <w:tcBorders>
              <w:left w:val="nil"/>
              <w:right w:val="nil"/>
            </w:tcBorders>
            <w:vAlign w:val="bottom"/>
          </w:tcPr>
          <w:p w14:paraId="51559D6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(355)</w:t>
            </w:r>
          </w:p>
        </w:tc>
        <w:tc>
          <w:tcPr>
            <w:tcW w:w="425" w:type="pct"/>
            <w:tcBorders>
              <w:left w:val="nil"/>
              <w:bottom w:val="nil"/>
              <w:right w:val="nil"/>
            </w:tcBorders>
            <w:vAlign w:val="bottom"/>
          </w:tcPr>
          <w:p w14:paraId="5C8508D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(315)</w:t>
            </w:r>
          </w:p>
        </w:tc>
        <w:tc>
          <w:tcPr>
            <w:tcW w:w="425" w:type="pct"/>
            <w:tcBorders>
              <w:left w:val="nil"/>
              <w:bottom w:val="nil"/>
              <w:right w:val="nil"/>
            </w:tcBorders>
            <w:vAlign w:val="bottom"/>
          </w:tcPr>
          <w:p w14:paraId="76B1A47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(334)</w:t>
            </w:r>
          </w:p>
        </w:tc>
      </w:tr>
      <w:tr w:rsidR="002228B8" w14:paraId="12A81F2A" w14:textId="77777777" w:rsidTr="00DF4A0D">
        <w:trPr>
          <w:cantSplit/>
        </w:trPr>
        <w:tc>
          <w:tcPr>
            <w:tcW w:w="3677" w:type="pct"/>
            <w:gridSpan w:val="2"/>
            <w:tcBorders>
              <w:top w:val="nil"/>
              <w:left w:val="nil"/>
              <w:bottom w:val="nil"/>
              <w:right w:val="nil"/>
            </w:tcBorders>
            <w:vAlign w:val="bottom"/>
          </w:tcPr>
          <w:p w14:paraId="4EE3E52E" w14:textId="77777777" w:rsidR="00DF4A0D" w:rsidRPr="00571974" w:rsidRDefault="003D4D89" w:rsidP="00DF4A0D">
            <w:pPr>
              <w:tabs>
                <w:tab w:val="right" w:leader="dot" w:pos="6703"/>
              </w:tabs>
              <w:suppressAutoHyphens/>
              <w:ind w:left="200" w:hanging="200"/>
              <w:rPr>
                <w:sz w:val="18"/>
                <w:szCs w:val="18"/>
                <w:lang w:val="en-GB" w:eastAsia="en-GB" w:bidi="ar-SA"/>
              </w:rPr>
            </w:pPr>
            <w:r w:rsidRPr="00571974">
              <w:rPr>
                <w:sz w:val="18"/>
                <w:szCs w:val="18"/>
                <w:lang w:val="en-GB" w:eastAsia="en-GB" w:bidi="ar-SA"/>
              </w:rPr>
              <w:t>Dividends paid to non-controlling interests</w:t>
            </w:r>
            <w:r w:rsidRPr="00571974">
              <w:rPr>
                <w:sz w:val="18"/>
                <w:szCs w:val="18"/>
                <w:lang w:val="en-GB" w:eastAsia="en-GB" w:bidi="ar-SA"/>
              </w:rPr>
              <w:tab/>
            </w:r>
          </w:p>
        </w:tc>
        <w:tc>
          <w:tcPr>
            <w:tcW w:w="473" w:type="pct"/>
            <w:tcBorders>
              <w:left w:val="nil"/>
              <w:bottom w:val="single" w:sz="4" w:space="0" w:color="auto"/>
              <w:right w:val="nil"/>
            </w:tcBorders>
            <w:vAlign w:val="bottom"/>
          </w:tcPr>
          <w:p w14:paraId="17DBFA9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(601)</w:t>
            </w:r>
          </w:p>
        </w:tc>
        <w:tc>
          <w:tcPr>
            <w:tcW w:w="425" w:type="pct"/>
            <w:tcBorders>
              <w:left w:val="nil"/>
              <w:bottom w:val="single" w:sz="4" w:space="0" w:color="auto"/>
              <w:right w:val="nil"/>
            </w:tcBorders>
            <w:vAlign w:val="bottom"/>
          </w:tcPr>
          <w:p w14:paraId="6D2852E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(837)</w:t>
            </w:r>
          </w:p>
        </w:tc>
        <w:tc>
          <w:tcPr>
            <w:tcW w:w="425" w:type="pct"/>
            <w:tcBorders>
              <w:left w:val="nil"/>
              <w:bottom w:val="single" w:sz="4" w:space="0" w:color="auto"/>
              <w:right w:val="nil"/>
            </w:tcBorders>
            <w:vAlign w:val="bottom"/>
          </w:tcPr>
          <w:p w14:paraId="3F00898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(894)</w:t>
            </w:r>
          </w:p>
        </w:tc>
      </w:tr>
      <w:tr w:rsidR="002228B8" w14:paraId="59D85861" w14:textId="77777777" w:rsidTr="00DF4A0D">
        <w:trPr>
          <w:cantSplit/>
        </w:trPr>
        <w:tc>
          <w:tcPr>
            <w:tcW w:w="3677" w:type="pct"/>
            <w:gridSpan w:val="2"/>
            <w:tcBorders>
              <w:top w:val="nil"/>
              <w:left w:val="nil"/>
              <w:bottom w:val="nil"/>
              <w:right w:val="nil"/>
            </w:tcBorders>
            <w:vAlign w:val="bottom"/>
          </w:tcPr>
          <w:p w14:paraId="56C0470D" w14:textId="77777777" w:rsidR="00DF4A0D" w:rsidRPr="00571974" w:rsidRDefault="003D4D89" w:rsidP="00DF4A0D">
            <w:pPr>
              <w:tabs>
                <w:tab w:val="right" w:leader="dot" w:pos="6703"/>
              </w:tabs>
              <w:suppressAutoHyphens/>
              <w:ind w:left="200" w:hanging="200"/>
              <w:rPr>
                <w:b/>
                <w:sz w:val="18"/>
                <w:szCs w:val="18"/>
                <w:lang w:val="en-GB" w:eastAsia="en-GB" w:bidi="ar-SA"/>
              </w:rPr>
            </w:pPr>
            <w:r w:rsidRPr="00571974">
              <w:rPr>
                <w:b/>
                <w:sz w:val="18"/>
                <w:szCs w:val="18"/>
                <w:lang w:val="en-GB" w:eastAsia="en-GB" w:bidi="ar-SA"/>
              </w:rPr>
              <w:t>Attributable free cash flow</w:t>
            </w:r>
            <w:r w:rsidRPr="00571974">
              <w:rPr>
                <w:sz w:val="18"/>
                <w:szCs w:val="18"/>
                <w:lang w:val="en-GB" w:eastAsia="en-GB" w:bidi="ar-SA"/>
              </w:rPr>
              <w:tab/>
            </w:r>
          </w:p>
        </w:tc>
        <w:tc>
          <w:tcPr>
            <w:tcW w:w="473" w:type="pct"/>
            <w:tcBorders>
              <w:top w:val="single" w:sz="4" w:space="0" w:color="auto"/>
              <w:left w:val="nil"/>
              <w:bottom w:val="single" w:sz="4" w:space="0" w:color="auto"/>
              <w:right w:val="nil"/>
            </w:tcBorders>
            <w:vAlign w:val="bottom"/>
          </w:tcPr>
          <w:p w14:paraId="2972B1CA" w14:textId="77777777" w:rsidR="00DF4A0D" w:rsidRPr="00571974" w:rsidRDefault="003D4D89" w:rsidP="00DF4A0D">
            <w:pPr>
              <w:jc w:val="right"/>
              <w:rPr>
                <w:b/>
                <w:sz w:val="18"/>
                <w:szCs w:val="18"/>
                <w:lang w:val="en-GB" w:eastAsia="en-GB" w:bidi="ar-SA"/>
              </w:rPr>
            </w:pPr>
            <w:r w:rsidRPr="00571974">
              <w:rPr>
                <w:b/>
                <w:sz w:val="18"/>
                <w:szCs w:val="18"/>
                <w:lang w:val="en-GB" w:eastAsia="en-GB" w:bidi="ar-SA"/>
              </w:rPr>
              <w:t>4,943</w:t>
            </w:r>
          </w:p>
        </w:tc>
        <w:tc>
          <w:tcPr>
            <w:tcW w:w="425" w:type="pct"/>
            <w:tcBorders>
              <w:top w:val="single" w:sz="4" w:space="0" w:color="auto"/>
              <w:left w:val="nil"/>
              <w:bottom w:val="single" w:sz="4" w:space="0" w:color="auto"/>
              <w:right w:val="nil"/>
            </w:tcBorders>
            <w:vAlign w:val="bottom"/>
          </w:tcPr>
          <w:p w14:paraId="301B53B9" w14:textId="77777777" w:rsidR="00DF4A0D" w:rsidRPr="00571974" w:rsidRDefault="003D4D89" w:rsidP="00DF4A0D">
            <w:pPr>
              <w:jc w:val="right"/>
              <w:rPr>
                <w:b/>
                <w:sz w:val="18"/>
                <w:szCs w:val="18"/>
                <w:lang w:val="en-GB" w:eastAsia="en-GB" w:bidi="ar-SA"/>
              </w:rPr>
            </w:pPr>
            <w:r w:rsidRPr="00571974">
              <w:rPr>
                <w:b/>
                <w:sz w:val="18"/>
                <w:szCs w:val="18"/>
                <w:lang w:val="en-GB" w:eastAsia="en-GB" w:bidi="ar-SA"/>
              </w:rPr>
              <w:t>3,157</w:t>
            </w:r>
          </w:p>
        </w:tc>
        <w:tc>
          <w:tcPr>
            <w:tcW w:w="425" w:type="pct"/>
            <w:tcBorders>
              <w:top w:val="single" w:sz="4" w:space="0" w:color="auto"/>
              <w:left w:val="nil"/>
              <w:bottom w:val="single" w:sz="4" w:space="0" w:color="auto"/>
              <w:right w:val="nil"/>
            </w:tcBorders>
            <w:vAlign w:val="bottom"/>
          </w:tcPr>
          <w:p w14:paraId="2367A2AC" w14:textId="77777777" w:rsidR="00DF4A0D" w:rsidRPr="00571974" w:rsidRDefault="003D4D89" w:rsidP="00DF4A0D">
            <w:pPr>
              <w:jc w:val="right"/>
              <w:rPr>
                <w:b/>
                <w:sz w:val="18"/>
                <w:szCs w:val="18"/>
                <w:lang w:val="en-GB" w:eastAsia="en-GB" w:bidi="ar-SA"/>
              </w:rPr>
            </w:pPr>
            <w:r w:rsidRPr="00571974">
              <w:rPr>
                <w:b/>
                <w:sz w:val="18"/>
                <w:szCs w:val="18"/>
                <w:lang w:val="en-GB" w:eastAsia="en-GB" w:bidi="ar-SA"/>
              </w:rPr>
              <w:t>2,324</w:t>
            </w:r>
          </w:p>
        </w:tc>
      </w:tr>
      <w:tr w:rsidR="002228B8" w14:paraId="1F12A31A" w14:textId="77777777" w:rsidTr="00DF4A0D">
        <w:trPr>
          <w:gridBefore w:val="1"/>
          <w:wBefore w:w="76" w:type="dxa"/>
          <w:cantSplit/>
        </w:trPr>
        <w:tc>
          <w:tcPr>
            <w:tcW w:w="3635" w:type="pct"/>
            <w:tcBorders>
              <w:top w:val="nil"/>
              <w:left w:val="nil"/>
              <w:bottom w:val="nil"/>
              <w:right w:val="nil"/>
            </w:tcBorders>
          </w:tcPr>
          <w:p w14:paraId="5BC36E68" w14:textId="77777777" w:rsidR="00DF4A0D" w:rsidRPr="00571974" w:rsidRDefault="00DF4A0D" w:rsidP="00DF4A0D">
            <w:pPr>
              <w:tabs>
                <w:tab w:val="right" w:leader="dot" w:pos="6703"/>
              </w:tabs>
              <w:suppressAutoHyphens/>
              <w:spacing w:after="40"/>
              <w:ind w:left="200" w:hanging="200"/>
              <w:rPr>
                <w:b/>
                <w:sz w:val="16"/>
                <w:szCs w:val="16"/>
                <w:lang w:val="en-GB" w:eastAsia="en-GB" w:bidi="ar-SA"/>
              </w:rPr>
            </w:pPr>
          </w:p>
        </w:tc>
        <w:tc>
          <w:tcPr>
            <w:tcW w:w="473" w:type="pct"/>
            <w:tcBorders>
              <w:top w:val="single" w:sz="4" w:space="0" w:color="auto"/>
              <w:left w:val="nil"/>
              <w:bottom w:val="nil"/>
              <w:right w:val="nil"/>
            </w:tcBorders>
            <w:vAlign w:val="bottom"/>
          </w:tcPr>
          <w:p w14:paraId="736F7E92" w14:textId="77777777" w:rsidR="00DF4A0D" w:rsidRPr="00571974" w:rsidRDefault="00DF4A0D" w:rsidP="00DF4A0D">
            <w:pPr>
              <w:rPr>
                <w:b/>
                <w:sz w:val="16"/>
                <w:szCs w:val="16"/>
                <w:lang w:val="en-GB" w:eastAsia="en-GB" w:bidi="ar-SA"/>
              </w:rPr>
            </w:pPr>
          </w:p>
        </w:tc>
        <w:tc>
          <w:tcPr>
            <w:tcW w:w="425" w:type="pct"/>
            <w:tcBorders>
              <w:top w:val="single" w:sz="4" w:space="0" w:color="auto"/>
              <w:left w:val="nil"/>
              <w:bottom w:val="nil"/>
              <w:right w:val="nil"/>
            </w:tcBorders>
            <w:vAlign w:val="bottom"/>
          </w:tcPr>
          <w:p w14:paraId="17578B5F" w14:textId="77777777" w:rsidR="00DF4A0D" w:rsidRPr="00571974" w:rsidRDefault="00DF4A0D" w:rsidP="00DF4A0D">
            <w:pPr>
              <w:rPr>
                <w:b/>
                <w:sz w:val="16"/>
                <w:szCs w:val="16"/>
                <w:lang w:val="en-GB" w:eastAsia="en-GB" w:bidi="ar-SA"/>
              </w:rPr>
            </w:pPr>
          </w:p>
        </w:tc>
        <w:tc>
          <w:tcPr>
            <w:tcW w:w="425" w:type="pct"/>
            <w:tcBorders>
              <w:top w:val="single" w:sz="4" w:space="0" w:color="auto"/>
              <w:left w:val="nil"/>
              <w:bottom w:val="nil"/>
              <w:right w:val="nil"/>
            </w:tcBorders>
            <w:vAlign w:val="bottom"/>
          </w:tcPr>
          <w:p w14:paraId="148A7762" w14:textId="77777777" w:rsidR="00DF4A0D" w:rsidRPr="00571974" w:rsidRDefault="00DF4A0D" w:rsidP="00DF4A0D">
            <w:pPr>
              <w:rPr>
                <w:b/>
                <w:sz w:val="16"/>
                <w:szCs w:val="16"/>
                <w:lang w:val="en-GB" w:eastAsia="en-GB" w:bidi="ar-SA"/>
              </w:rPr>
            </w:pPr>
          </w:p>
        </w:tc>
      </w:tr>
    </w:tbl>
    <w:p w14:paraId="2907CE46" w14:textId="19C767F0" w:rsidR="00DF4A0D" w:rsidRPr="00571974" w:rsidRDefault="003D4D89" w:rsidP="003D4D89">
      <w:pPr>
        <w:pStyle w:val="BlockText"/>
        <w:numPr>
          <w:ilvl w:val="0"/>
          <w:numId w:val="43"/>
        </w:numPr>
        <w:rPr>
          <w:rFonts w:ascii="Times New Roman" w:hAnsi="Times New Roman"/>
          <w:sz w:val="16"/>
          <w:szCs w:val="16"/>
          <w:lang w:val="en-GB"/>
        </w:rPr>
      </w:pPr>
      <w:r w:rsidRPr="00571974">
        <w:rPr>
          <w:rFonts w:ascii="Times New Roman" w:hAnsi="Times New Roman"/>
          <w:sz w:val="16"/>
          <w:szCs w:val="16"/>
          <w:lang w:val="en-GB"/>
        </w:rPr>
        <w:t xml:space="preserve">Includes cash outflows of US$124 million for the year ended December 31, 2019 (2018: outflows of </w:t>
      </w:r>
      <w:r w:rsidR="00956F99">
        <w:rPr>
          <w:rFonts w:ascii="Times New Roman" w:hAnsi="Times New Roman"/>
          <w:sz w:val="16"/>
          <w:szCs w:val="16"/>
          <w:lang w:val="en-GB"/>
        </w:rPr>
        <w:t>U</w:t>
      </w:r>
      <w:r w:rsidRPr="00571974">
        <w:rPr>
          <w:rFonts w:ascii="Times New Roman" w:hAnsi="Times New Roman"/>
          <w:sz w:val="16"/>
          <w:szCs w:val="16"/>
          <w:lang w:val="en-GB"/>
        </w:rPr>
        <w:t xml:space="preserve">S$41 million) relating to interest payments on derivative hedging net debt, which are included in cash flows from derivatives related to financing activities. </w:t>
      </w:r>
    </w:p>
    <w:p w14:paraId="147EEF94"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Net cash inflows from operating activities in 2019, 2018 and 2017 were US$7,664 million, US$7,127 million and US$8,049 million, respectively. The 8% increase from 2018 to 2019 was principally due to increased operating profits, excluding impairment and impairment reversals, and </w:t>
      </w:r>
      <w:r w:rsidR="002D4BED">
        <w:rPr>
          <w:lang w:val="en-GB"/>
        </w:rPr>
        <w:t xml:space="preserve">the </w:t>
      </w:r>
      <w:r w:rsidRPr="00571974">
        <w:rPr>
          <w:lang w:val="en-GB"/>
        </w:rPr>
        <w:t>reclassification</w:t>
      </w:r>
      <w:r w:rsidR="002D4BED">
        <w:rPr>
          <w:lang w:val="en-GB"/>
        </w:rPr>
        <w:t>, under IFRS 16,</w:t>
      </w:r>
      <w:r w:rsidRPr="00571974">
        <w:rPr>
          <w:lang w:val="en-GB"/>
        </w:rPr>
        <w:t xml:space="preserve"> of the majority of lease payments from cash outflows from operating activities to cash outflows from financing activities. </w:t>
      </w:r>
      <w:r w:rsidRPr="00571974">
        <w:rPr>
          <w:szCs w:val="20"/>
          <w:lang w:val="en-GB"/>
        </w:rPr>
        <w:t>The 11% decrease from 2017 to 2018 was principally due to lower working capital movements.</w:t>
      </w:r>
      <w:r w:rsidRPr="00571974">
        <w:rPr>
          <w:lang w:val="en-GB"/>
        </w:rPr>
        <w:t xml:space="preserve"> </w:t>
      </w:r>
    </w:p>
    <w:p w14:paraId="64B9C6BF"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Net cash used in investing activities in 2019, 2018 and 2017 was US$4,716 million, US$3,098 million and US$1,947 million, respectively. </w:t>
      </w:r>
      <w:r w:rsidRPr="00571974">
        <w:rPr>
          <w:szCs w:val="20"/>
          <w:lang w:val="en-GB"/>
        </w:rPr>
        <w:t>The 52% increase from 2018 to 2019 was principally due to increased capital expenditure. The 59% increase from 2017 to 2018 was</w:t>
      </w:r>
      <w:r w:rsidR="002D4BED">
        <w:rPr>
          <w:szCs w:val="20"/>
          <w:lang w:val="en-GB"/>
        </w:rPr>
        <w:t>, likewise,</w:t>
      </w:r>
      <w:r w:rsidRPr="00571974">
        <w:rPr>
          <w:szCs w:val="20"/>
          <w:lang w:val="en-GB"/>
        </w:rPr>
        <w:t xml:space="preserve"> principally due to increased capital expenditure. </w:t>
      </w:r>
    </w:p>
    <w:p w14:paraId="460A8040" w14:textId="1D0D51CA" w:rsidR="00DF4A0D" w:rsidRPr="00571974" w:rsidRDefault="003D4D89" w:rsidP="00DF4A0D">
      <w:pPr>
        <w:pStyle w:val="BodyText"/>
        <w:widowControl/>
        <w:autoSpaceDE/>
        <w:autoSpaceDN/>
        <w:adjustRightInd/>
        <w:ind w:firstLine="360"/>
        <w:rPr>
          <w:lang w:val="en-GB"/>
        </w:rPr>
      </w:pPr>
      <w:r w:rsidRPr="00571974">
        <w:rPr>
          <w:lang w:val="en-GB"/>
        </w:rPr>
        <w:t>Net cash used in financing activities in 2019, 2018 and 2017 was US$(3,116) million, US$(4,977) million and US$(</w:t>
      </w:r>
      <w:r w:rsidR="004520D4">
        <w:rPr>
          <w:lang w:val="en-GB"/>
        </w:rPr>
        <w:t>4</w:t>
      </w:r>
      <w:r w:rsidRPr="00571974">
        <w:rPr>
          <w:lang w:val="en-GB"/>
        </w:rPr>
        <w:t xml:space="preserve">,553) million, respectively. The decrease in cash used between 2018 and 2019 of US$1,816 million reflects lower repayments of bonds and borrowings of US$2,926 million, increased proceeds received from the issue of bonds of US$311 million and increased proceeds from other borrowings of US$591 million. These were partially </w:t>
      </w:r>
      <w:r w:rsidRPr="00571974">
        <w:rPr>
          <w:lang w:val="en-GB"/>
        </w:rPr>
        <w:lastRenderedPageBreak/>
        <w:t>offset by the non-recurrence of one-off proceeds received in 2018 from the issue of shares to Mitsubishi in respect of the Quellaveco transaction of US$85</w:t>
      </w:r>
      <w:r w:rsidR="00A501B3">
        <w:rPr>
          <w:lang w:val="en-GB"/>
        </w:rPr>
        <w:t>1</w:t>
      </w:r>
      <w:r w:rsidRPr="00571974">
        <w:rPr>
          <w:lang w:val="en-GB"/>
        </w:rPr>
        <w:t xml:space="preserve"> million, the buyback of US$777 million of ordinary shares under the Group</w:t>
      </w:r>
      <w:r w:rsidR="00A311D8">
        <w:rPr>
          <w:lang w:val="en-GB"/>
        </w:rPr>
        <w:t>’</w:t>
      </w:r>
      <w:r w:rsidRPr="00571974">
        <w:rPr>
          <w:lang w:val="en-GB"/>
        </w:rPr>
        <w:t xml:space="preserve">s share buyback programme </w:t>
      </w:r>
      <w:r w:rsidR="00946385">
        <w:rPr>
          <w:lang w:val="en-GB"/>
        </w:rPr>
        <w:t xml:space="preserve">completed on March 2, 2020 </w:t>
      </w:r>
      <w:r w:rsidRPr="00571974">
        <w:rPr>
          <w:lang w:val="en-GB"/>
        </w:rPr>
        <w:t xml:space="preserve">and increased dividends paid to shareholders and non-controlling interests of US$188 million. </w:t>
      </w:r>
      <w:r w:rsidR="00A97A71">
        <w:rPr>
          <w:lang w:val="en-GB"/>
        </w:rPr>
        <w:t>T</w:t>
      </w:r>
      <w:r w:rsidR="00A97A71" w:rsidRPr="00C279A6">
        <w:rPr>
          <w:lang w:val="en-GB"/>
        </w:rPr>
        <w:t>he majority of lease payments were reclassified from cash outflows from operating activities to cash outflows from financing activities.</w:t>
      </w:r>
    </w:p>
    <w:p w14:paraId="1BE7028D" w14:textId="40C7413E" w:rsidR="00DF4A0D" w:rsidRPr="00571974" w:rsidRDefault="003D4D89" w:rsidP="00DF4A0D">
      <w:pPr>
        <w:pStyle w:val="BodyText"/>
        <w:widowControl/>
        <w:autoSpaceDE/>
        <w:autoSpaceDN/>
        <w:adjustRightInd/>
        <w:ind w:firstLine="360"/>
        <w:rPr>
          <w:lang w:val="en-GB"/>
        </w:rPr>
      </w:pPr>
      <w:r w:rsidRPr="00571974">
        <w:rPr>
          <w:szCs w:val="20"/>
          <w:lang w:val="en-GB"/>
        </w:rPr>
        <w:t xml:space="preserve">The increase in cash flows used between 2017 and 2018 of US$424 million was principally due to higher dividends paid to Group shareholders and non-controlling interests and lower proceeds from the issuance of bonds offset by an inflow of US$851 million related to the cash subscription of US$851 million made by Mitsubishi in Quellaveco together with funding received from Mitsubishi prior to August 2018; this inflow is being used to fund capital expenditure at the project, with US$0.5 billion remaining at December 31, 2018. </w:t>
      </w:r>
    </w:p>
    <w:p w14:paraId="085992E6" w14:textId="77777777" w:rsidR="00DF4A0D" w:rsidRPr="00571974" w:rsidRDefault="003D4D89" w:rsidP="007B1404">
      <w:pPr>
        <w:pStyle w:val="Heading3"/>
        <w:rPr>
          <w:lang w:val="en-GB"/>
        </w:rPr>
      </w:pPr>
      <w:r w:rsidRPr="00571974">
        <w:rPr>
          <w:lang w:val="en-GB"/>
        </w:rPr>
        <w:t>Capital Expenditure</w:t>
      </w:r>
    </w:p>
    <w:p w14:paraId="6F653374"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Capital expenditure is defined as cash expenditure on property, plant and equipment, including related derivatives, and is presented net of proceeds from disposal of property, plant and equipment and includes direct funding for capital expenditure from non-controlling interests in order to match more closely the way in which it is managed. </w:t>
      </w:r>
    </w:p>
    <w:p w14:paraId="1873E84C" w14:textId="77777777" w:rsidR="00DF4A0D" w:rsidRPr="00571974" w:rsidRDefault="003D4D89" w:rsidP="00DF4A0D">
      <w:pPr>
        <w:pStyle w:val="BodyText"/>
        <w:widowControl/>
        <w:autoSpaceDE/>
        <w:autoSpaceDN/>
        <w:adjustRightInd/>
        <w:ind w:firstLine="360"/>
        <w:rPr>
          <w:lang w:val="en-GB"/>
        </w:rPr>
      </w:pPr>
      <w:r w:rsidRPr="00571974">
        <w:rPr>
          <w:lang w:val="en-GB"/>
        </w:rPr>
        <w:t>The following table summarizes capital expenditure by business segment for the periods indicated:</w:t>
      </w:r>
    </w:p>
    <w:tbl>
      <w:tblPr>
        <w:tblW w:w="5030" w:type="pct"/>
        <w:tblLayout w:type="fixed"/>
        <w:tblCellMar>
          <w:left w:w="72" w:type="dxa"/>
          <w:right w:w="72" w:type="dxa"/>
        </w:tblCellMar>
        <w:tblLook w:val="0000" w:firstRow="0" w:lastRow="0" w:firstColumn="0" w:lastColumn="0" w:noHBand="0" w:noVBand="0"/>
      </w:tblPr>
      <w:tblGrid>
        <w:gridCol w:w="7430"/>
        <w:gridCol w:w="693"/>
        <w:gridCol w:w="638"/>
        <w:gridCol w:w="651"/>
      </w:tblGrid>
      <w:tr w:rsidR="002228B8" w14:paraId="125F9160" w14:textId="77777777" w:rsidTr="00DF4A0D">
        <w:trPr>
          <w:cantSplit/>
        </w:trPr>
        <w:tc>
          <w:tcPr>
            <w:tcW w:w="3947" w:type="pct"/>
            <w:tcBorders>
              <w:top w:val="nil"/>
              <w:left w:val="nil"/>
              <w:bottom w:val="nil"/>
              <w:right w:val="nil"/>
            </w:tcBorders>
            <w:vAlign w:val="bottom"/>
          </w:tcPr>
          <w:p w14:paraId="31A36887"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053" w:type="pct"/>
            <w:gridSpan w:val="3"/>
            <w:tcBorders>
              <w:top w:val="nil"/>
              <w:left w:val="nil"/>
              <w:bottom w:val="nil"/>
              <w:right w:val="nil"/>
            </w:tcBorders>
            <w:vAlign w:val="bottom"/>
          </w:tcPr>
          <w:p w14:paraId="64EDD05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Year-ended December 31,</w:t>
            </w:r>
          </w:p>
        </w:tc>
      </w:tr>
      <w:tr w:rsidR="002228B8" w14:paraId="47AC4A69" w14:textId="77777777" w:rsidTr="00DF4A0D">
        <w:trPr>
          <w:cantSplit/>
        </w:trPr>
        <w:tc>
          <w:tcPr>
            <w:tcW w:w="3947" w:type="pct"/>
            <w:tcBorders>
              <w:top w:val="nil"/>
              <w:left w:val="nil"/>
              <w:bottom w:val="nil"/>
              <w:right w:val="nil"/>
            </w:tcBorders>
            <w:vAlign w:val="bottom"/>
          </w:tcPr>
          <w:p w14:paraId="7758C093"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368" w:type="pct"/>
            <w:tcBorders>
              <w:top w:val="nil"/>
              <w:left w:val="nil"/>
              <w:bottom w:val="nil"/>
              <w:right w:val="nil"/>
            </w:tcBorders>
            <w:vAlign w:val="bottom"/>
          </w:tcPr>
          <w:p w14:paraId="22E0CA28"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339" w:type="pct"/>
            <w:tcBorders>
              <w:top w:val="nil"/>
              <w:left w:val="nil"/>
              <w:bottom w:val="nil"/>
              <w:right w:val="nil"/>
            </w:tcBorders>
          </w:tcPr>
          <w:p w14:paraId="24B812A9"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346" w:type="pct"/>
            <w:tcBorders>
              <w:top w:val="nil"/>
              <w:left w:val="nil"/>
              <w:bottom w:val="nil"/>
              <w:right w:val="nil"/>
            </w:tcBorders>
          </w:tcPr>
          <w:p w14:paraId="44B0A4BA"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2019</w:t>
            </w:r>
          </w:p>
        </w:tc>
      </w:tr>
      <w:tr w:rsidR="002228B8" w14:paraId="0EA33E8B" w14:textId="77777777" w:rsidTr="00DF4A0D">
        <w:trPr>
          <w:cantSplit/>
        </w:trPr>
        <w:tc>
          <w:tcPr>
            <w:tcW w:w="3947" w:type="pct"/>
            <w:tcBorders>
              <w:top w:val="nil"/>
              <w:left w:val="nil"/>
              <w:bottom w:val="nil"/>
              <w:right w:val="nil"/>
            </w:tcBorders>
            <w:vAlign w:val="bottom"/>
          </w:tcPr>
          <w:p w14:paraId="37AF8BF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053" w:type="pct"/>
            <w:gridSpan w:val="3"/>
            <w:tcBorders>
              <w:top w:val="nil"/>
              <w:left w:val="nil"/>
              <w:bottom w:val="nil"/>
              <w:right w:val="nil"/>
            </w:tcBorders>
            <w:vAlign w:val="bottom"/>
          </w:tcPr>
          <w:p w14:paraId="649A4DB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34B5238C" w14:textId="77777777" w:rsidTr="00DF4A0D">
        <w:trPr>
          <w:cantSplit/>
        </w:trPr>
        <w:tc>
          <w:tcPr>
            <w:tcW w:w="3947" w:type="pct"/>
            <w:tcBorders>
              <w:top w:val="nil"/>
              <w:left w:val="nil"/>
              <w:bottom w:val="nil"/>
              <w:right w:val="nil"/>
            </w:tcBorders>
            <w:shd w:val="clear" w:color="auto" w:fill="auto"/>
          </w:tcPr>
          <w:p w14:paraId="27A319AA"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De Beers</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371C46F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273</w:t>
            </w:r>
          </w:p>
        </w:tc>
        <w:tc>
          <w:tcPr>
            <w:tcW w:w="339" w:type="pct"/>
            <w:tcBorders>
              <w:top w:val="nil"/>
              <w:left w:val="nil"/>
              <w:bottom w:val="nil"/>
              <w:right w:val="nil"/>
            </w:tcBorders>
            <w:shd w:val="clear" w:color="auto" w:fill="auto"/>
            <w:vAlign w:val="bottom"/>
          </w:tcPr>
          <w:p w14:paraId="52DAE15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417</w:t>
            </w:r>
          </w:p>
        </w:tc>
        <w:tc>
          <w:tcPr>
            <w:tcW w:w="346" w:type="pct"/>
            <w:tcBorders>
              <w:top w:val="nil"/>
              <w:left w:val="nil"/>
              <w:bottom w:val="nil"/>
              <w:right w:val="nil"/>
            </w:tcBorders>
            <w:shd w:val="clear" w:color="auto" w:fill="auto"/>
            <w:vAlign w:val="bottom"/>
          </w:tcPr>
          <w:p w14:paraId="3202E91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567</w:t>
            </w:r>
          </w:p>
        </w:tc>
      </w:tr>
      <w:tr w:rsidR="002228B8" w14:paraId="386B996C" w14:textId="77777777" w:rsidTr="00DF4A0D">
        <w:trPr>
          <w:cantSplit/>
        </w:trPr>
        <w:tc>
          <w:tcPr>
            <w:tcW w:w="3947" w:type="pct"/>
            <w:tcBorders>
              <w:top w:val="nil"/>
              <w:left w:val="nil"/>
              <w:bottom w:val="nil"/>
              <w:right w:val="nil"/>
            </w:tcBorders>
            <w:shd w:val="clear" w:color="auto" w:fill="auto"/>
          </w:tcPr>
          <w:p w14:paraId="242185EE"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Copper</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351BCDA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665</w:t>
            </w:r>
          </w:p>
        </w:tc>
        <w:tc>
          <w:tcPr>
            <w:tcW w:w="339" w:type="pct"/>
            <w:tcBorders>
              <w:top w:val="nil"/>
              <w:left w:val="nil"/>
              <w:bottom w:val="nil"/>
              <w:right w:val="nil"/>
            </w:tcBorders>
            <w:shd w:val="clear" w:color="auto" w:fill="auto"/>
            <w:vAlign w:val="bottom"/>
          </w:tcPr>
          <w:p w14:paraId="06AD89D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703</w:t>
            </w:r>
          </w:p>
        </w:tc>
        <w:tc>
          <w:tcPr>
            <w:tcW w:w="346" w:type="pct"/>
            <w:tcBorders>
              <w:top w:val="nil"/>
              <w:left w:val="nil"/>
              <w:bottom w:val="nil"/>
              <w:right w:val="nil"/>
            </w:tcBorders>
            <w:shd w:val="clear" w:color="auto" w:fill="auto"/>
            <w:vAlign w:val="bottom"/>
          </w:tcPr>
          <w:p w14:paraId="4A8DAE7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1,078</w:t>
            </w:r>
          </w:p>
        </w:tc>
      </w:tr>
      <w:tr w:rsidR="002228B8" w14:paraId="16465279" w14:textId="77777777" w:rsidTr="00DF4A0D">
        <w:trPr>
          <w:cantSplit/>
        </w:trPr>
        <w:tc>
          <w:tcPr>
            <w:tcW w:w="3947" w:type="pct"/>
            <w:tcBorders>
              <w:top w:val="nil"/>
              <w:left w:val="nil"/>
              <w:bottom w:val="nil"/>
              <w:right w:val="nil"/>
            </w:tcBorders>
            <w:shd w:val="clear" w:color="auto" w:fill="auto"/>
          </w:tcPr>
          <w:p w14:paraId="12E99DED"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Platinum</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275C50D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355</w:t>
            </w:r>
          </w:p>
        </w:tc>
        <w:tc>
          <w:tcPr>
            <w:tcW w:w="339" w:type="pct"/>
            <w:tcBorders>
              <w:top w:val="nil"/>
              <w:left w:val="nil"/>
              <w:bottom w:val="nil"/>
              <w:right w:val="nil"/>
            </w:tcBorders>
            <w:shd w:val="clear" w:color="auto" w:fill="auto"/>
            <w:vAlign w:val="bottom"/>
          </w:tcPr>
          <w:p w14:paraId="1B95DD0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496</w:t>
            </w:r>
          </w:p>
        </w:tc>
        <w:tc>
          <w:tcPr>
            <w:tcW w:w="346" w:type="pct"/>
            <w:tcBorders>
              <w:top w:val="nil"/>
              <w:left w:val="nil"/>
              <w:bottom w:val="nil"/>
              <w:right w:val="nil"/>
            </w:tcBorders>
            <w:shd w:val="clear" w:color="auto" w:fill="auto"/>
            <w:vAlign w:val="bottom"/>
          </w:tcPr>
          <w:p w14:paraId="5F4C899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569</w:t>
            </w:r>
          </w:p>
        </w:tc>
      </w:tr>
      <w:tr w:rsidR="002228B8" w14:paraId="6C653313" w14:textId="77777777" w:rsidTr="00DF4A0D">
        <w:trPr>
          <w:cantSplit/>
        </w:trPr>
        <w:tc>
          <w:tcPr>
            <w:tcW w:w="3947" w:type="pct"/>
            <w:tcBorders>
              <w:top w:val="nil"/>
              <w:left w:val="nil"/>
              <w:bottom w:val="nil"/>
              <w:right w:val="nil"/>
            </w:tcBorders>
            <w:shd w:val="clear" w:color="auto" w:fill="auto"/>
          </w:tcPr>
          <w:p w14:paraId="22D6BAC9"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Iron Ore</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22C867C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252</w:t>
            </w:r>
          </w:p>
        </w:tc>
        <w:tc>
          <w:tcPr>
            <w:tcW w:w="339" w:type="pct"/>
            <w:tcBorders>
              <w:top w:val="nil"/>
              <w:left w:val="nil"/>
              <w:bottom w:val="nil"/>
              <w:right w:val="nil"/>
            </w:tcBorders>
            <w:shd w:val="clear" w:color="auto" w:fill="auto"/>
            <w:vAlign w:val="bottom"/>
          </w:tcPr>
          <w:p w14:paraId="7D42A81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415</w:t>
            </w:r>
          </w:p>
        </w:tc>
        <w:tc>
          <w:tcPr>
            <w:tcW w:w="346" w:type="pct"/>
            <w:tcBorders>
              <w:top w:val="nil"/>
              <w:left w:val="nil"/>
              <w:bottom w:val="nil"/>
              <w:right w:val="nil"/>
            </w:tcBorders>
            <w:shd w:val="clear" w:color="auto" w:fill="auto"/>
            <w:vAlign w:val="bottom"/>
          </w:tcPr>
          <w:p w14:paraId="01386AC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594</w:t>
            </w:r>
          </w:p>
        </w:tc>
      </w:tr>
      <w:tr w:rsidR="002228B8" w14:paraId="2A035DCB" w14:textId="77777777" w:rsidTr="00DF4A0D">
        <w:trPr>
          <w:cantSplit/>
        </w:trPr>
        <w:tc>
          <w:tcPr>
            <w:tcW w:w="3947" w:type="pct"/>
            <w:tcBorders>
              <w:top w:val="nil"/>
              <w:left w:val="nil"/>
              <w:bottom w:val="nil"/>
              <w:right w:val="nil"/>
            </w:tcBorders>
            <w:shd w:val="clear" w:color="auto" w:fill="auto"/>
          </w:tcPr>
          <w:p w14:paraId="0165577E"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Coal</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27DA37E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568</w:t>
            </w:r>
          </w:p>
        </w:tc>
        <w:tc>
          <w:tcPr>
            <w:tcW w:w="339" w:type="pct"/>
            <w:tcBorders>
              <w:top w:val="nil"/>
              <w:left w:val="nil"/>
              <w:bottom w:val="nil"/>
              <w:right w:val="nil"/>
            </w:tcBorders>
            <w:shd w:val="clear" w:color="auto" w:fill="auto"/>
            <w:vAlign w:val="bottom"/>
          </w:tcPr>
          <w:p w14:paraId="799F0BB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722</w:t>
            </w:r>
          </w:p>
        </w:tc>
        <w:tc>
          <w:tcPr>
            <w:tcW w:w="346" w:type="pct"/>
            <w:tcBorders>
              <w:top w:val="nil"/>
              <w:left w:val="nil"/>
              <w:bottom w:val="nil"/>
              <w:right w:val="nil"/>
            </w:tcBorders>
            <w:shd w:val="clear" w:color="auto" w:fill="auto"/>
            <w:vAlign w:val="bottom"/>
          </w:tcPr>
          <w:p w14:paraId="6591EB7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934</w:t>
            </w:r>
          </w:p>
        </w:tc>
      </w:tr>
      <w:tr w:rsidR="002228B8" w14:paraId="0BC74820" w14:textId="77777777" w:rsidTr="00DF4A0D">
        <w:trPr>
          <w:cantSplit/>
        </w:trPr>
        <w:tc>
          <w:tcPr>
            <w:tcW w:w="3947" w:type="pct"/>
            <w:tcBorders>
              <w:top w:val="nil"/>
              <w:left w:val="nil"/>
              <w:bottom w:val="nil"/>
              <w:right w:val="nil"/>
            </w:tcBorders>
            <w:shd w:val="clear" w:color="auto" w:fill="auto"/>
          </w:tcPr>
          <w:p w14:paraId="5E32109B"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Nickel and Manganese</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41B3FEA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28</w:t>
            </w:r>
          </w:p>
        </w:tc>
        <w:tc>
          <w:tcPr>
            <w:tcW w:w="339" w:type="pct"/>
            <w:tcBorders>
              <w:top w:val="nil"/>
              <w:left w:val="nil"/>
              <w:bottom w:val="nil"/>
              <w:right w:val="nil"/>
            </w:tcBorders>
            <w:shd w:val="clear" w:color="auto" w:fill="auto"/>
            <w:vAlign w:val="bottom"/>
          </w:tcPr>
          <w:p w14:paraId="313DE9B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w:t>
            </w:r>
          </w:p>
        </w:tc>
        <w:tc>
          <w:tcPr>
            <w:tcW w:w="346" w:type="pct"/>
            <w:tcBorders>
              <w:top w:val="nil"/>
              <w:left w:val="nil"/>
              <w:bottom w:val="nil"/>
              <w:right w:val="nil"/>
            </w:tcBorders>
            <w:shd w:val="clear" w:color="auto" w:fill="auto"/>
            <w:vAlign w:val="bottom"/>
          </w:tcPr>
          <w:p w14:paraId="2F3B2A0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42</w:t>
            </w:r>
          </w:p>
        </w:tc>
      </w:tr>
      <w:tr w:rsidR="002228B8" w14:paraId="245914C2" w14:textId="77777777" w:rsidTr="00DF4A0D">
        <w:trPr>
          <w:cantSplit/>
        </w:trPr>
        <w:tc>
          <w:tcPr>
            <w:tcW w:w="3947" w:type="pct"/>
            <w:tcBorders>
              <w:top w:val="nil"/>
              <w:left w:val="nil"/>
              <w:bottom w:val="nil"/>
              <w:right w:val="nil"/>
            </w:tcBorders>
            <w:shd w:val="clear" w:color="auto" w:fill="auto"/>
          </w:tcPr>
          <w:p w14:paraId="7726AC58" w14:textId="77777777" w:rsidR="00DF4A0D" w:rsidRPr="00571974" w:rsidRDefault="003D4D89" w:rsidP="00B10BAF">
            <w:pPr>
              <w:tabs>
                <w:tab w:val="right" w:leader="dot" w:pos="7293"/>
              </w:tabs>
              <w:suppressAutoHyphens/>
              <w:ind w:left="200" w:hanging="200"/>
              <w:rPr>
                <w:sz w:val="18"/>
                <w:szCs w:val="18"/>
                <w:lang w:val="en-GB" w:eastAsia="en-GB" w:bidi="ar-SA"/>
              </w:rPr>
            </w:pPr>
            <w:r w:rsidRPr="00571974">
              <w:rPr>
                <w:sz w:val="18"/>
                <w:szCs w:val="18"/>
                <w:lang w:val="en-GB" w:eastAsia="en-GB" w:bidi="ar-SA"/>
              </w:rPr>
              <w:t>Corporate and Other</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21AE9911" w14:textId="77777777" w:rsidR="00DF4A0D"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w:t>
            </w:r>
          </w:p>
        </w:tc>
        <w:tc>
          <w:tcPr>
            <w:tcW w:w="339" w:type="pct"/>
            <w:tcBorders>
              <w:top w:val="nil"/>
              <w:left w:val="nil"/>
              <w:bottom w:val="nil"/>
              <w:right w:val="nil"/>
            </w:tcBorders>
            <w:shd w:val="clear" w:color="auto" w:fill="auto"/>
            <w:vAlign w:val="bottom"/>
          </w:tcPr>
          <w:p w14:paraId="4232E6A2" w14:textId="77777777" w:rsidR="00DF4A0D"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w:t>
            </w:r>
          </w:p>
        </w:tc>
        <w:tc>
          <w:tcPr>
            <w:tcW w:w="346" w:type="pct"/>
            <w:tcBorders>
              <w:top w:val="nil"/>
              <w:left w:val="nil"/>
              <w:bottom w:val="nil"/>
              <w:right w:val="nil"/>
            </w:tcBorders>
            <w:shd w:val="clear" w:color="auto" w:fill="auto"/>
            <w:vAlign w:val="bottom"/>
          </w:tcPr>
          <w:p w14:paraId="35C6BD4D" w14:textId="77777777" w:rsidR="00DF4A0D" w:rsidRPr="00571974" w:rsidRDefault="003D4D89" w:rsidP="00DF4A0D">
            <w:pPr>
              <w:pBdr>
                <w:bottom w:val="sing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56</w:t>
            </w:r>
          </w:p>
        </w:tc>
      </w:tr>
      <w:tr w:rsidR="002228B8" w14:paraId="68ED45A6" w14:textId="77777777" w:rsidTr="00DF4A0D">
        <w:trPr>
          <w:cantSplit/>
        </w:trPr>
        <w:tc>
          <w:tcPr>
            <w:tcW w:w="3947" w:type="pct"/>
            <w:tcBorders>
              <w:top w:val="nil"/>
              <w:left w:val="nil"/>
              <w:bottom w:val="nil"/>
              <w:right w:val="nil"/>
            </w:tcBorders>
            <w:shd w:val="clear" w:color="auto" w:fill="auto"/>
          </w:tcPr>
          <w:p w14:paraId="087E0B88" w14:textId="77777777" w:rsidR="00DF4A0D" w:rsidRPr="00571974" w:rsidRDefault="003D4D89" w:rsidP="00B10BAF">
            <w:pPr>
              <w:tabs>
                <w:tab w:val="right" w:leader="dot" w:pos="7293"/>
              </w:tabs>
              <w:suppressAutoHyphens/>
              <w:spacing w:after="20"/>
              <w:ind w:left="200" w:hanging="200"/>
              <w:rPr>
                <w:sz w:val="18"/>
                <w:szCs w:val="18"/>
                <w:lang w:val="en-GB" w:eastAsia="en-GB" w:bidi="ar-SA"/>
              </w:rPr>
            </w:pPr>
            <w:r w:rsidRPr="00571974">
              <w:rPr>
                <w:sz w:val="18"/>
                <w:szCs w:val="18"/>
                <w:lang w:val="en-GB" w:eastAsia="en-GB" w:bidi="ar-SA"/>
              </w:rPr>
              <w:t>Capital expenditure on property, plant and equipment</w:t>
            </w:r>
            <w:r w:rsidRPr="00571974">
              <w:rPr>
                <w:sz w:val="18"/>
                <w:szCs w:val="18"/>
                <w:lang w:val="en-GB" w:eastAsia="en-GB" w:bidi="ar-SA"/>
              </w:rPr>
              <w:tab/>
            </w:r>
          </w:p>
        </w:tc>
        <w:tc>
          <w:tcPr>
            <w:tcW w:w="368" w:type="pct"/>
            <w:tcBorders>
              <w:top w:val="nil"/>
              <w:left w:val="nil"/>
              <w:bottom w:val="nil"/>
              <w:right w:val="nil"/>
            </w:tcBorders>
            <w:shd w:val="clear" w:color="auto" w:fill="auto"/>
            <w:vAlign w:val="bottom"/>
          </w:tcPr>
          <w:p w14:paraId="668D0498" w14:textId="77777777" w:rsidR="00DF4A0D"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2,150</w:t>
            </w:r>
          </w:p>
        </w:tc>
        <w:tc>
          <w:tcPr>
            <w:tcW w:w="339" w:type="pct"/>
            <w:tcBorders>
              <w:top w:val="nil"/>
              <w:left w:val="nil"/>
              <w:bottom w:val="nil"/>
              <w:right w:val="nil"/>
            </w:tcBorders>
            <w:shd w:val="clear" w:color="auto" w:fill="auto"/>
            <w:vAlign w:val="bottom"/>
          </w:tcPr>
          <w:p w14:paraId="4AF63128" w14:textId="77777777" w:rsidR="00DF4A0D"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2,818</w:t>
            </w:r>
          </w:p>
        </w:tc>
        <w:tc>
          <w:tcPr>
            <w:tcW w:w="346" w:type="pct"/>
            <w:tcBorders>
              <w:top w:val="nil"/>
              <w:left w:val="nil"/>
              <w:bottom w:val="nil"/>
              <w:right w:val="nil"/>
            </w:tcBorders>
            <w:shd w:val="clear" w:color="auto" w:fill="auto"/>
            <w:vAlign w:val="bottom"/>
          </w:tcPr>
          <w:p w14:paraId="61C8A19F" w14:textId="77777777" w:rsidR="00DF4A0D" w:rsidRPr="00571974" w:rsidRDefault="003D4D89" w:rsidP="00DF4A0D">
            <w:pPr>
              <w:pBdr>
                <w:bottom w:val="double" w:sz="4" w:space="1"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3,840</w:t>
            </w:r>
          </w:p>
        </w:tc>
      </w:tr>
    </w:tbl>
    <w:p w14:paraId="7195D8EE" w14:textId="77777777" w:rsidR="00DF4A0D" w:rsidRPr="00571974" w:rsidRDefault="00836D74" w:rsidP="00DF4A0D">
      <w:pPr>
        <w:rPr>
          <w:lang w:val="en-GB"/>
        </w:rPr>
      </w:pPr>
      <w:r>
        <w:rPr>
          <w:lang w:val="en-GB"/>
        </w:rPr>
        <w:pict w14:anchorId="441EF55C">
          <v:rect id="_x0000_i1055" style="width:184.5pt;height:1pt" o:hrpct="250" o:hrstd="t" o:hrnoshade="t" o:hr="t" fillcolor="black" stroked="f"/>
        </w:pict>
      </w:r>
    </w:p>
    <w:p w14:paraId="1CB00452" w14:textId="77777777" w:rsidR="00DF4A0D" w:rsidRPr="00571974" w:rsidRDefault="00DF4A0D" w:rsidP="00DF4A0D">
      <w:pPr>
        <w:pStyle w:val="ListParagraph"/>
        <w:rPr>
          <w:sz w:val="16"/>
          <w:szCs w:val="18"/>
          <w:lang w:val="en-GB"/>
        </w:rPr>
      </w:pPr>
    </w:p>
    <w:p w14:paraId="27A279F5" w14:textId="77777777" w:rsidR="00DF4A0D" w:rsidRPr="00571974" w:rsidRDefault="003D4D89" w:rsidP="002D4BED">
      <w:pPr>
        <w:pStyle w:val="BodyText"/>
        <w:widowControl/>
        <w:autoSpaceDE/>
        <w:autoSpaceDN/>
        <w:adjustRightInd/>
        <w:ind w:firstLine="360"/>
        <w:rPr>
          <w:lang w:val="en-GB"/>
        </w:rPr>
      </w:pPr>
      <w:r w:rsidRPr="00571974">
        <w:rPr>
          <w:lang w:val="en-GB"/>
        </w:rPr>
        <w:t>Capital expenditure for 2019, 2018 and 2017 was US$3,840 million, US$2,818 million and</w:t>
      </w:r>
      <w:r w:rsidR="0053004A">
        <w:rPr>
          <w:lang w:val="en-GB"/>
        </w:rPr>
        <w:t xml:space="preserve"> </w:t>
      </w:r>
      <w:r w:rsidRPr="00571974">
        <w:rPr>
          <w:lang w:val="en-GB"/>
        </w:rPr>
        <w:t>US$2,150 million, respectively. Capital expenditure in 2019 increased primarily due to higher sustaining capital driven by increased stripping and development expenditure at Kumba and De Beers</w:t>
      </w:r>
      <w:r w:rsidR="002D4BED">
        <w:rPr>
          <w:lang w:val="en-GB"/>
        </w:rPr>
        <w:t>,</w:t>
      </w:r>
      <w:r w:rsidRPr="00571974">
        <w:rPr>
          <w:lang w:val="en-GB"/>
        </w:rPr>
        <w:t xml:space="preserve"> a life-extension investment in </w:t>
      </w:r>
      <w:r w:rsidR="002D4BED">
        <w:rPr>
          <w:lang w:val="en-GB"/>
        </w:rPr>
        <w:t xml:space="preserve">the </w:t>
      </w:r>
      <w:r w:rsidRPr="00571974">
        <w:rPr>
          <w:lang w:val="en-GB"/>
        </w:rPr>
        <w:t>Kwezela coal mine in South Africa, and</w:t>
      </w:r>
      <w:r w:rsidR="002D4BED">
        <w:rPr>
          <w:lang w:val="en-GB"/>
        </w:rPr>
        <w:t xml:space="preserve"> an</w:t>
      </w:r>
      <w:r w:rsidRPr="00571974">
        <w:rPr>
          <w:lang w:val="en-GB"/>
        </w:rPr>
        <w:t xml:space="preserve"> increase in growth capital expenditure, largely due to </w:t>
      </w:r>
      <w:r w:rsidR="002D4BED">
        <w:rPr>
          <w:lang w:val="en-GB"/>
        </w:rPr>
        <w:t xml:space="preserve">the </w:t>
      </w:r>
      <w:r w:rsidRPr="00571974">
        <w:rPr>
          <w:lang w:val="en-GB"/>
        </w:rPr>
        <w:t xml:space="preserve">Quellaveco expenditure. </w:t>
      </w:r>
      <w:r w:rsidR="002D4BED">
        <w:rPr>
          <w:lang w:val="en-GB"/>
        </w:rPr>
        <w:t xml:space="preserve">The capital expenditure level in 2019 continued to </w:t>
      </w:r>
      <w:r w:rsidRPr="00571974">
        <w:rPr>
          <w:lang w:val="en-GB"/>
        </w:rPr>
        <w:t xml:space="preserve">underpin the planning and execution of all projects. Capital expenditure in 2018 increased primarily due to higher sustaining capital which was driven by stronger local currencies, planned additional stay-in-business expenditure and increased capitalized development and stripping expenditure. </w:t>
      </w:r>
    </w:p>
    <w:p w14:paraId="1F2D8060" w14:textId="4413C3A1" w:rsidR="001003BB" w:rsidRPr="00571974" w:rsidRDefault="003D4D89" w:rsidP="001003BB">
      <w:pPr>
        <w:pStyle w:val="BodyText"/>
        <w:widowControl/>
        <w:autoSpaceDE/>
        <w:autoSpaceDN/>
        <w:adjustRightInd/>
        <w:ind w:firstLine="360"/>
        <w:rPr>
          <w:lang w:val="en-GB"/>
        </w:rPr>
      </w:pPr>
      <w:r w:rsidRPr="00571974">
        <w:rPr>
          <w:lang w:val="en-GB"/>
        </w:rPr>
        <w:t>For a description of the Group</w:t>
      </w:r>
      <w:r w:rsidR="00A311D8">
        <w:rPr>
          <w:lang w:val="en-GB"/>
        </w:rPr>
        <w:t>’</w:t>
      </w:r>
      <w:r w:rsidRPr="00571974">
        <w:rPr>
          <w:lang w:val="en-GB"/>
        </w:rPr>
        <w:t xml:space="preserve">s project pipeline, see </w:t>
      </w:r>
      <w:r w:rsidR="00A311D8">
        <w:rPr>
          <w:lang w:val="en-GB"/>
        </w:rPr>
        <w:t>“</w:t>
      </w:r>
      <w:r w:rsidRPr="00571974">
        <w:rPr>
          <w:lang w:val="en-GB"/>
        </w:rPr>
        <w:t>Business Description—Strategy</w:t>
      </w:r>
      <w:r w:rsidR="00A311D8">
        <w:rPr>
          <w:lang w:val="en-GB"/>
        </w:rPr>
        <w:t>”</w:t>
      </w:r>
      <w:r w:rsidRPr="00571974">
        <w:rPr>
          <w:lang w:val="en-GB"/>
        </w:rPr>
        <w:t>.</w:t>
      </w:r>
    </w:p>
    <w:p w14:paraId="2FA2AA95" w14:textId="77777777" w:rsidR="00DF4A0D" w:rsidRPr="00571974" w:rsidRDefault="003D4D89" w:rsidP="007B1404">
      <w:pPr>
        <w:pStyle w:val="Heading3"/>
        <w:rPr>
          <w:lang w:val="en-GB"/>
        </w:rPr>
      </w:pPr>
      <w:r w:rsidRPr="00571974">
        <w:rPr>
          <w:lang w:val="en-GB"/>
        </w:rPr>
        <w:t>Net Debt</w:t>
      </w:r>
    </w:p>
    <w:p w14:paraId="0E76E974" w14:textId="77777777" w:rsidR="00DF4A0D" w:rsidRDefault="003D4D89" w:rsidP="00DF4A0D">
      <w:pPr>
        <w:pStyle w:val="BodyText"/>
        <w:widowControl/>
        <w:autoSpaceDE/>
        <w:autoSpaceDN/>
        <w:adjustRightInd/>
        <w:ind w:firstLine="360"/>
        <w:rPr>
          <w:lang w:val="en-GB"/>
        </w:rPr>
      </w:pPr>
      <w:r w:rsidRPr="00571974">
        <w:rPr>
          <w:lang w:val="en-GB"/>
        </w:rPr>
        <w:t>Net debt, including the impact of related hedges, as of December 31, 2019, 2018 and 2017 was US$4,626 million, US$2,848 million and US$4,501 million, respectively. Net debt was made up of the following:</w:t>
      </w:r>
    </w:p>
    <w:p w14:paraId="02E6BA05" w14:textId="77777777" w:rsidR="001003BB" w:rsidRPr="00571974" w:rsidRDefault="001003BB" w:rsidP="00DF4A0D">
      <w:pPr>
        <w:pStyle w:val="BodyText"/>
        <w:widowControl/>
        <w:autoSpaceDE/>
        <w:autoSpaceDN/>
        <w:adjustRightInd/>
        <w:ind w:firstLine="360"/>
        <w:rPr>
          <w:lang w:val="en-GB"/>
        </w:rPr>
      </w:pPr>
    </w:p>
    <w:tbl>
      <w:tblPr>
        <w:tblW w:w="5044" w:type="pct"/>
        <w:tblLayout w:type="fixed"/>
        <w:tblCellMar>
          <w:left w:w="72" w:type="dxa"/>
          <w:right w:w="72" w:type="dxa"/>
        </w:tblCellMar>
        <w:tblLook w:val="0000" w:firstRow="0" w:lastRow="0" w:firstColumn="0" w:lastColumn="0" w:noHBand="0" w:noVBand="0"/>
      </w:tblPr>
      <w:tblGrid>
        <w:gridCol w:w="6919"/>
        <w:gridCol w:w="929"/>
        <w:gridCol w:w="795"/>
        <w:gridCol w:w="795"/>
      </w:tblGrid>
      <w:tr w:rsidR="002228B8" w14:paraId="4451E611" w14:textId="77777777" w:rsidTr="00DF4A0D">
        <w:trPr>
          <w:cantSplit/>
        </w:trPr>
        <w:tc>
          <w:tcPr>
            <w:tcW w:w="3666" w:type="pct"/>
            <w:tcBorders>
              <w:top w:val="nil"/>
              <w:left w:val="nil"/>
              <w:bottom w:val="nil"/>
              <w:right w:val="nil"/>
            </w:tcBorders>
            <w:vAlign w:val="bottom"/>
          </w:tcPr>
          <w:p w14:paraId="687B121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1334" w:type="pct"/>
            <w:gridSpan w:val="3"/>
            <w:tcBorders>
              <w:top w:val="nil"/>
              <w:left w:val="nil"/>
              <w:bottom w:val="nil"/>
              <w:right w:val="nil"/>
            </w:tcBorders>
            <w:vAlign w:val="bottom"/>
          </w:tcPr>
          <w:p w14:paraId="547269CE" w14:textId="77777777" w:rsidR="00DF4A0D" w:rsidRPr="00571974" w:rsidRDefault="003D4D89" w:rsidP="001003BB">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As of December 31,</w:t>
            </w:r>
          </w:p>
        </w:tc>
      </w:tr>
      <w:tr w:rsidR="002228B8" w14:paraId="01447FB1" w14:textId="77777777" w:rsidTr="00DF4A0D">
        <w:trPr>
          <w:cantSplit/>
        </w:trPr>
        <w:tc>
          <w:tcPr>
            <w:tcW w:w="3666" w:type="pct"/>
            <w:tcBorders>
              <w:top w:val="nil"/>
              <w:left w:val="nil"/>
              <w:bottom w:val="nil"/>
              <w:right w:val="nil"/>
            </w:tcBorders>
            <w:vAlign w:val="bottom"/>
          </w:tcPr>
          <w:p w14:paraId="14F3F90A"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492" w:type="pct"/>
            <w:tcBorders>
              <w:top w:val="nil"/>
              <w:left w:val="nil"/>
              <w:bottom w:val="nil"/>
              <w:right w:val="nil"/>
            </w:tcBorders>
            <w:vAlign w:val="bottom"/>
          </w:tcPr>
          <w:p w14:paraId="6EA5A675" w14:textId="77777777" w:rsidR="00DF4A0D" w:rsidRPr="00571974" w:rsidRDefault="003D4D89" w:rsidP="001003BB">
            <w:pPr>
              <w:keepLines/>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2017</w:t>
            </w:r>
          </w:p>
        </w:tc>
        <w:tc>
          <w:tcPr>
            <w:tcW w:w="421" w:type="pct"/>
            <w:tcBorders>
              <w:top w:val="nil"/>
              <w:left w:val="nil"/>
              <w:bottom w:val="nil"/>
              <w:right w:val="nil"/>
            </w:tcBorders>
            <w:vAlign w:val="bottom"/>
          </w:tcPr>
          <w:p w14:paraId="63EFCEB0"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2018</w:t>
            </w:r>
          </w:p>
        </w:tc>
        <w:tc>
          <w:tcPr>
            <w:tcW w:w="421" w:type="pct"/>
            <w:tcBorders>
              <w:top w:val="nil"/>
              <w:left w:val="nil"/>
              <w:bottom w:val="nil"/>
              <w:right w:val="nil"/>
            </w:tcBorders>
            <w:vAlign w:val="bottom"/>
          </w:tcPr>
          <w:p w14:paraId="01D91D45" w14:textId="411B17BB" w:rsidR="00DF4A0D" w:rsidRPr="00571974" w:rsidRDefault="00D34D56"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Pr>
                <w:b/>
                <w:bCs/>
                <w:sz w:val="18"/>
                <w:szCs w:val="18"/>
                <w:lang w:val="en-GB" w:eastAsia="en-GB" w:bidi="ar-SA"/>
              </w:rPr>
              <w:t>2019</w:t>
            </w:r>
          </w:p>
        </w:tc>
      </w:tr>
      <w:tr w:rsidR="002228B8" w14:paraId="28CCEE69" w14:textId="77777777" w:rsidTr="00DF4A0D">
        <w:trPr>
          <w:cantSplit/>
        </w:trPr>
        <w:tc>
          <w:tcPr>
            <w:tcW w:w="3666" w:type="pct"/>
            <w:tcBorders>
              <w:top w:val="nil"/>
              <w:left w:val="nil"/>
              <w:bottom w:val="nil"/>
              <w:right w:val="nil"/>
            </w:tcBorders>
            <w:vAlign w:val="bottom"/>
          </w:tcPr>
          <w:p w14:paraId="3BE34F71"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1334" w:type="pct"/>
            <w:gridSpan w:val="3"/>
            <w:tcBorders>
              <w:top w:val="nil"/>
              <w:left w:val="nil"/>
              <w:bottom w:val="nil"/>
              <w:right w:val="nil"/>
            </w:tcBorders>
            <w:vAlign w:val="bottom"/>
          </w:tcPr>
          <w:p w14:paraId="1A6B7DF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2E51F099" w14:textId="77777777" w:rsidTr="00DF4A0D">
        <w:trPr>
          <w:cantSplit/>
        </w:trPr>
        <w:tc>
          <w:tcPr>
            <w:tcW w:w="3666" w:type="pct"/>
            <w:tcBorders>
              <w:top w:val="nil"/>
              <w:left w:val="nil"/>
              <w:bottom w:val="nil"/>
              <w:right w:val="nil"/>
            </w:tcBorders>
          </w:tcPr>
          <w:p w14:paraId="58E2FF05" w14:textId="77777777" w:rsidR="00DF4A0D" w:rsidRPr="00571974" w:rsidRDefault="003D4D89" w:rsidP="00DF4A0D">
            <w:pPr>
              <w:tabs>
                <w:tab w:val="right" w:leader="dot" w:pos="7392"/>
              </w:tabs>
              <w:suppressAutoHyphens/>
              <w:ind w:left="200" w:hanging="200"/>
              <w:rPr>
                <w:sz w:val="18"/>
                <w:szCs w:val="18"/>
                <w:lang w:val="en-GB" w:eastAsia="en-GB" w:bidi="ar-SA"/>
              </w:rPr>
            </w:pPr>
            <w:r w:rsidRPr="00571974">
              <w:rPr>
                <w:sz w:val="18"/>
                <w:szCs w:val="18"/>
                <w:lang w:val="en-GB" w:eastAsia="en-GB" w:bidi="ar-SA"/>
              </w:rPr>
              <w:t>Cash and cash equivalents</w:t>
            </w:r>
            <w:r w:rsidRPr="00571974">
              <w:rPr>
                <w:sz w:val="18"/>
                <w:szCs w:val="18"/>
                <w:lang w:val="en-GB" w:eastAsia="en-GB" w:bidi="ar-SA"/>
              </w:rPr>
              <w:tab/>
            </w:r>
          </w:p>
        </w:tc>
        <w:tc>
          <w:tcPr>
            <w:tcW w:w="492" w:type="pct"/>
            <w:tcBorders>
              <w:top w:val="nil"/>
              <w:left w:val="nil"/>
              <w:bottom w:val="nil"/>
              <w:right w:val="nil"/>
            </w:tcBorders>
            <w:vAlign w:val="bottom"/>
          </w:tcPr>
          <w:p w14:paraId="175E4A9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7,792</w:t>
            </w:r>
          </w:p>
        </w:tc>
        <w:tc>
          <w:tcPr>
            <w:tcW w:w="421" w:type="pct"/>
            <w:tcBorders>
              <w:top w:val="nil"/>
              <w:left w:val="nil"/>
              <w:bottom w:val="nil"/>
              <w:right w:val="nil"/>
            </w:tcBorders>
            <w:vAlign w:val="bottom"/>
          </w:tcPr>
          <w:p w14:paraId="176072A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6,548</w:t>
            </w:r>
          </w:p>
        </w:tc>
        <w:tc>
          <w:tcPr>
            <w:tcW w:w="421" w:type="pct"/>
            <w:tcBorders>
              <w:top w:val="nil"/>
              <w:left w:val="nil"/>
              <w:bottom w:val="nil"/>
              <w:right w:val="nil"/>
            </w:tcBorders>
            <w:vAlign w:val="bottom"/>
          </w:tcPr>
          <w:p w14:paraId="6A1B247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6,335</w:t>
            </w:r>
          </w:p>
        </w:tc>
      </w:tr>
      <w:tr w:rsidR="002228B8" w14:paraId="4563A07A" w14:textId="77777777" w:rsidTr="00DF4A0D">
        <w:trPr>
          <w:cantSplit/>
        </w:trPr>
        <w:tc>
          <w:tcPr>
            <w:tcW w:w="3666" w:type="pct"/>
            <w:tcBorders>
              <w:top w:val="nil"/>
              <w:left w:val="nil"/>
              <w:bottom w:val="nil"/>
              <w:right w:val="nil"/>
            </w:tcBorders>
          </w:tcPr>
          <w:p w14:paraId="1887E67D" w14:textId="77777777" w:rsidR="00DF4A0D" w:rsidRPr="00571974" w:rsidRDefault="003D4D89" w:rsidP="00DF4A0D">
            <w:pPr>
              <w:tabs>
                <w:tab w:val="right" w:leader="dot" w:pos="7392"/>
              </w:tabs>
              <w:suppressAutoHyphens/>
              <w:ind w:left="200" w:hanging="200"/>
              <w:rPr>
                <w:sz w:val="18"/>
                <w:szCs w:val="18"/>
                <w:lang w:val="en-GB" w:eastAsia="en-GB" w:bidi="ar-SA"/>
              </w:rPr>
            </w:pPr>
            <w:r w:rsidRPr="00571974">
              <w:rPr>
                <w:sz w:val="18"/>
                <w:szCs w:val="18"/>
                <w:lang w:val="en-GB" w:eastAsia="en-GB" w:bidi="ar-SA"/>
              </w:rPr>
              <w:t>Short-term borrowings</w:t>
            </w:r>
            <w:r w:rsidRPr="00571974">
              <w:rPr>
                <w:sz w:val="18"/>
                <w:szCs w:val="18"/>
                <w:lang w:val="en-GB" w:eastAsia="en-GB" w:bidi="ar-SA"/>
              </w:rPr>
              <w:tab/>
            </w:r>
          </w:p>
        </w:tc>
        <w:tc>
          <w:tcPr>
            <w:tcW w:w="492" w:type="pct"/>
            <w:tcBorders>
              <w:top w:val="nil"/>
              <w:left w:val="nil"/>
              <w:bottom w:val="nil"/>
              <w:right w:val="nil"/>
            </w:tcBorders>
            <w:vAlign w:val="bottom"/>
          </w:tcPr>
          <w:p w14:paraId="30A2192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(1,324)</w:t>
            </w:r>
          </w:p>
        </w:tc>
        <w:tc>
          <w:tcPr>
            <w:tcW w:w="421" w:type="pct"/>
            <w:tcBorders>
              <w:top w:val="nil"/>
              <w:left w:val="nil"/>
              <w:bottom w:val="nil"/>
              <w:right w:val="nil"/>
            </w:tcBorders>
            <w:vAlign w:val="bottom"/>
          </w:tcPr>
          <w:p w14:paraId="55AB116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(581)</w:t>
            </w:r>
          </w:p>
        </w:tc>
        <w:tc>
          <w:tcPr>
            <w:tcW w:w="421" w:type="pct"/>
            <w:tcBorders>
              <w:top w:val="nil"/>
              <w:left w:val="nil"/>
              <w:bottom w:val="nil"/>
              <w:right w:val="nil"/>
            </w:tcBorders>
            <w:vAlign w:val="bottom"/>
          </w:tcPr>
          <w:p w14:paraId="1EC6A2E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(978)</w:t>
            </w:r>
          </w:p>
        </w:tc>
      </w:tr>
      <w:tr w:rsidR="002228B8" w14:paraId="7A0980B5" w14:textId="77777777" w:rsidTr="00DF4A0D">
        <w:trPr>
          <w:cantSplit/>
        </w:trPr>
        <w:tc>
          <w:tcPr>
            <w:tcW w:w="3666" w:type="pct"/>
            <w:tcBorders>
              <w:top w:val="nil"/>
              <w:left w:val="nil"/>
              <w:bottom w:val="nil"/>
              <w:right w:val="nil"/>
            </w:tcBorders>
          </w:tcPr>
          <w:p w14:paraId="1A104323" w14:textId="77777777" w:rsidR="00DF4A0D" w:rsidRPr="00571974" w:rsidRDefault="003D4D89" w:rsidP="00DF4A0D">
            <w:pPr>
              <w:tabs>
                <w:tab w:val="right" w:leader="dot" w:pos="7392"/>
              </w:tabs>
              <w:suppressAutoHyphens/>
              <w:spacing w:after="20"/>
              <w:ind w:left="200" w:hanging="200"/>
              <w:rPr>
                <w:sz w:val="18"/>
                <w:szCs w:val="18"/>
                <w:lang w:val="en-GB" w:eastAsia="en-GB" w:bidi="ar-SA"/>
              </w:rPr>
            </w:pPr>
            <w:r w:rsidRPr="00571974">
              <w:rPr>
                <w:sz w:val="18"/>
                <w:szCs w:val="18"/>
                <w:lang w:val="en-GB" w:eastAsia="en-GB" w:bidi="ar-SA"/>
              </w:rPr>
              <w:t>Medium and long-term borrowings</w:t>
            </w:r>
            <w:r w:rsidRPr="00571974">
              <w:rPr>
                <w:sz w:val="18"/>
                <w:szCs w:val="18"/>
                <w:lang w:val="en-GB" w:eastAsia="en-GB" w:bidi="ar-SA"/>
              </w:rPr>
              <w:tab/>
            </w:r>
          </w:p>
        </w:tc>
        <w:tc>
          <w:tcPr>
            <w:tcW w:w="492" w:type="pct"/>
            <w:tcBorders>
              <w:top w:val="nil"/>
              <w:left w:val="nil"/>
              <w:bottom w:val="nil"/>
              <w:right w:val="nil"/>
            </w:tcBorders>
            <w:vAlign w:val="bottom"/>
          </w:tcPr>
          <w:p w14:paraId="7CEC4EE2"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(10,620)</w:t>
            </w:r>
          </w:p>
        </w:tc>
        <w:tc>
          <w:tcPr>
            <w:tcW w:w="421" w:type="pct"/>
            <w:tcBorders>
              <w:top w:val="nil"/>
              <w:left w:val="nil"/>
              <w:bottom w:val="nil"/>
              <w:right w:val="nil"/>
            </w:tcBorders>
            <w:vAlign w:val="bottom"/>
          </w:tcPr>
          <w:p w14:paraId="109B24A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(8,371)</w:t>
            </w:r>
          </w:p>
        </w:tc>
        <w:tc>
          <w:tcPr>
            <w:tcW w:w="421" w:type="pct"/>
            <w:tcBorders>
              <w:top w:val="nil"/>
              <w:left w:val="nil"/>
              <w:bottom w:val="nil"/>
              <w:right w:val="nil"/>
            </w:tcBorders>
            <w:vAlign w:val="bottom"/>
          </w:tcPr>
          <w:p w14:paraId="2AD9A130"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(9,744)</w:t>
            </w:r>
          </w:p>
        </w:tc>
      </w:tr>
      <w:tr w:rsidR="002228B8" w14:paraId="72792D62" w14:textId="77777777" w:rsidTr="00DF4A0D">
        <w:trPr>
          <w:cantSplit/>
        </w:trPr>
        <w:tc>
          <w:tcPr>
            <w:tcW w:w="3666" w:type="pct"/>
            <w:tcBorders>
              <w:top w:val="nil"/>
              <w:left w:val="nil"/>
              <w:bottom w:val="nil"/>
              <w:right w:val="nil"/>
            </w:tcBorders>
          </w:tcPr>
          <w:p w14:paraId="599B8A87" w14:textId="77777777" w:rsidR="00DF4A0D" w:rsidRPr="00571974" w:rsidRDefault="003D4D89" w:rsidP="00DF4A0D">
            <w:pPr>
              <w:tabs>
                <w:tab w:val="right" w:leader="dot" w:pos="7392"/>
              </w:tabs>
              <w:suppressAutoHyphens/>
              <w:spacing w:after="40"/>
              <w:ind w:left="200" w:hanging="200"/>
              <w:rPr>
                <w:sz w:val="18"/>
                <w:szCs w:val="18"/>
                <w:lang w:val="en-GB" w:eastAsia="en-GB" w:bidi="ar-SA"/>
              </w:rPr>
            </w:pPr>
            <w:r w:rsidRPr="00571974">
              <w:rPr>
                <w:sz w:val="18"/>
                <w:szCs w:val="18"/>
                <w:lang w:val="en-GB" w:eastAsia="en-GB" w:bidi="ar-SA"/>
              </w:rPr>
              <w:t>Net debt, excluding the impact of hedges</w:t>
            </w:r>
            <w:r w:rsidRPr="00571974">
              <w:rPr>
                <w:sz w:val="18"/>
                <w:szCs w:val="18"/>
                <w:lang w:val="en-GB" w:eastAsia="en-GB" w:bidi="ar-SA"/>
              </w:rPr>
              <w:tab/>
            </w:r>
          </w:p>
        </w:tc>
        <w:tc>
          <w:tcPr>
            <w:tcW w:w="492" w:type="pct"/>
            <w:tcBorders>
              <w:top w:val="nil"/>
              <w:left w:val="nil"/>
              <w:bottom w:val="nil"/>
              <w:right w:val="nil"/>
            </w:tcBorders>
            <w:vAlign w:val="bottom"/>
          </w:tcPr>
          <w:p w14:paraId="3F1E30BD"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(4,152)</w:t>
            </w:r>
          </w:p>
        </w:tc>
        <w:tc>
          <w:tcPr>
            <w:tcW w:w="421" w:type="pct"/>
            <w:tcBorders>
              <w:top w:val="nil"/>
              <w:left w:val="nil"/>
              <w:bottom w:val="nil"/>
              <w:right w:val="nil"/>
            </w:tcBorders>
            <w:vAlign w:val="bottom"/>
          </w:tcPr>
          <w:p w14:paraId="04409862"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(2,404)</w:t>
            </w:r>
          </w:p>
        </w:tc>
        <w:tc>
          <w:tcPr>
            <w:tcW w:w="421" w:type="pct"/>
            <w:tcBorders>
              <w:top w:val="nil"/>
              <w:left w:val="nil"/>
              <w:bottom w:val="nil"/>
              <w:right w:val="nil"/>
            </w:tcBorders>
            <w:vAlign w:val="bottom"/>
          </w:tcPr>
          <w:p w14:paraId="3D229349"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(4,387)</w:t>
            </w:r>
          </w:p>
        </w:tc>
      </w:tr>
      <w:tr w:rsidR="002228B8" w14:paraId="4676AD56" w14:textId="77777777" w:rsidTr="00DF4A0D">
        <w:trPr>
          <w:cantSplit/>
        </w:trPr>
        <w:tc>
          <w:tcPr>
            <w:tcW w:w="3666" w:type="pct"/>
            <w:tcBorders>
              <w:top w:val="nil"/>
              <w:left w:val="nil"/>
              <w:bottom w:val="nil"/>
              <w:right w:val="nil"/>
            </w:tcBorders>
          </w:tcPr>
          <w:p w14:paraId="2DCF0EF3" w14:textId="77777777" w:rsidR="00DF4A0D" w:rsidRPr="00571974" w:rsidRDefault="003D4D89" w:rsidP="00DF4A0D">
            <w:pPr>
              <w:tabs>
                <w:tab w:val="right" w:leader="dot" w:pos="7392"/>
              </w:tabs>
              <w:suppressAutoHyphens/>
              <w:spacing w:after="40"/>
              <w:ind w:left="200" w:hanging="200"/>
              <w:rPr>
                <w:sz w:val="18"/>
                <w:szCs w:val="18"/>
                <w:lang w:val="en-GB" w:eastAsia="en-GB" w:bidi="ar-SA"/>
              </w:rPr>
            </w:pPr>
            <w:r w:rsidRPr="00571974">
              <w:rPr>
                <w:sz w:val="18"/>
                <w:szCs w:val="18"/>
                <w:lang w:val="en-GB" w:eastAsia="en-GB" w:bidi="ar-SA"/>
              </w:rPr>
              <w:t>Hedges</w:t>
            </w:r>
            <w:r w:rsidRPr="00571974">
              <w:rPr>
                <w:sz w:val="18"/>
                <w:szCs w:val="18"/>
                <w:lang w:val="en-GB" w:eastAsia="en-GB" w:bidi="ar-SA"/>
              </w:rPr>
              <w:tab/>
            </w:r>
          </w:p>
        </w:tc>
        <w:tc>
          <w:tcPr>
            <w:tcW w:w="492" w:type="pct"/>
            <w:tcBorders>
              <w:top w:val="nil"/>
              <w:left w:val="nil"/>
              <w:bottom w:val="nil"/>
              <w:right w:val="nil"/>
            </w:tcBorders>
            <w:vAlign w:val="bottom"/>
          </w:tcPr>
          <w:p w14:paraId="7B7D4DFA"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(349)</w:t>
            </w:r>
          </w:p>
        </w:tc>
        <w:tc>
          <w:tcPr>
            <w:tcW w:w="421" w:type="pct"/>
            <w:tcBorders>
              <w:top w:val="nil"/>
              <w:left w:val="nil"/>
              <w:bottom w:val="nil"/>
              <w:right w:val="nil"/>
            </w:tcBorders>
            <w:vAlign w:val="bottom"/>
          </w:tcPr>
          <w:p w14:paraId="11255786"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(444)</w:t>
            </w:r>
          </w:p>
        </w:tc>
        <w:tc>
          <w:tcPr>
            <w:tcW w:w="421" w:type="pct"/>
            <w:tcBorders>
              <w:top w:val="nil"/>
              <w:left w:val="nil"/>
              <w:bottom w:val="nil"/>
              <w:right w:val="nil"/>
            </w:tcBorders>
            <w:vAlign w:val="bottom"/>
          </w:tcPr>
          <w:p w14:paraId="609B7224"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(239)</w:t>
            </w:r>
          </w:p>
        </w:tc>
      </w:tr>
      <w:tr w:rsidR="002228B8" w14:paraId="678E560B" w14:textId="77777777" w:rsidTr="00DF4A0D">
        <w:trPr>
          <w:cantSplit/>
        </w:trPr>
        <w:tc>
          <w:tcPr>
            <w:tcW w:w="3666" w:type="pct"/>
            <w:tcBorders>
              <w:top w:val="nil"/>
              <w:left w:val="nil"/>
              <w:bottom w:val="nil"/>
              <w:right w:val="nil"/>
            </w:tcBorders>
          </w:tcPr>
          <w:p w14:paraId="51E4A969" w14:textId="77777777" w:rsidR="00DF4A0D" w:rsidRPr="00571974" w:rsidRDefault="003D4D89" w:rsidP="00DF4A0D">
            <w:pPr>
              <w:tabs>
                <w:tab w:val="right" w:leader="dot" w:pos="7392"/>
              </w:tabs>
              <w:suppressAutoHyphens/>
              <w:spacing w:after="40"/>
              <w:ind w:left="200" w:hanging="200"/>
              <w:rPr>
                <w:sz w:val="18"/>
                <w:szCs w:val="18"/>
                <w:lang w:val="en-GB" w:eastAsia="en-GB" w:bidi="ar-SA"/>
              </w:rPr>
            </w:pPr>
            <w:r w:rsidRPr="00571974">
              <w:rPr>
                <w:sz w:val="18"/>
                <w:szCs w:val="18"/>
                <w:lang w:val="en-GB" w:eastAsia="en-GB" w:bidi="ar-SA"/>
              </w:rPr>
              <w:t>Net debt, including the impact of related hedges</w:t>
            </w:r>
            <w:r w:rsidRPr="00571974">
              <w:rPr>
                <w:sz w:val="18"/>
                <w:szCs w:val="18"/>
                <w:lang w:val="en-GB" w:eastAsia="en-GB" w:bidi="ar-SA"/>
              </w:rPr>
              <w:tab/>
            </w:r>
          </w:p>
        </w:tc>
        <w:tc>
          <w:tcPr>
            <w:tcW w:w="492" w:type="pct"/>
            <w:tcBorders>
              <w:top w:val="nil"/>
              <w:left w:val="nil"/>
              <w:bottom w:val="nil"/>
              <w:right w:val="nil"/>
            </w:tcBorders>
            <w:vAlign w:val="bottom"/>
          </w:tcPr>
          <w:p w14:paraId="4C4413EF"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(4,501)</w:t>
            </w:r>
          </w:p>
        </w:tc>
        <w:tc>
          <w:tcPr>
            <w:tcW w:w="421" w:type="pct"/>
            <w:tcBorders>
              <w:top w:val="nil"/>
              <w:left w:val="nil"/>
              <w:bottom w:val="nil"/>
              <w:right w:val="nil"/>
            </w:tcBorders>
            <w:vAlign w:val="bottom"/>
          </w:tcPr>
          <w:p w14:paraId="6ABD9C27"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(2,848)</w:t>
            </w:r>
          </w:p>
        </w:tc>
        <w:tc>
          <w:tcPr>
            <w:tcW w:w="421" w:type="pct"/>
            <w:tcBorders>
              <w:top w:val="nil"/>
              <w:left w:val="nil"/>
              <w:bottom w:val="nil"/>
              <w:right w:val="nil"/>
            </w:tcBorders>
            <w:vAlign w:val="bottom"/>
          </w:tcPr>
          <w:p w14:paraId="071C6654"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(4,626)</w:t>
            </w:r>
          </w:p>
        </w:tc>
      </w:tr>
    </w:tbl>
    <w:p w14:paraId="5A87C04E" w14:textId="77777777" w:rsidR="00DF4A0D" w:rsidRPr="00571974" w:rsidRDefault="00DF4A0D" w:rsidP="00DF4A0D">
      <w:pPr>
        <w:rPr>
          <w:lang w:val="en-GB"/>
        </w:rPr>
      </w:pPr>
    </w:p>
    <w:p w14:paraId="24E96826" w14:textId="77777777" w:rsidR="00DF4A0D" w:rsidRPr="00571974" w:rsidRDefault="003D4D89" w:rsidP="00DF4A0D">
      <w:pPr>
        <w:pStyle w:val="BodyText"/>
        <w:widowControl/>
        <w:autoSpaceDE/>
        <w:autoSpaceDN/>
        <w:adjustRightInd/>
        <w:ind w:firstLine="360"/>
        <w:rPr>
          <w:szCs w:val="20"/>
          <w:lang w:val="en-GB"/>
        </w:rPr>
      </w:pPr>
      <w:r w:rsidRPr="00571974">
        <w:rPr>
          <w:lang w:val="en-GB"/>
        </w:rPr>
        <w:lastRenderedPageBreak/>
        <w:t xml:space="preserve">Net debt movements are principally a function of cash flows from operating, investing and financing activities. </w:t>
      </w:r>
      <w:r w:rsidRPr="00571974">
        <w:rPr>
          <w:szCs w:val="20"/>
          <w:lang w:val="en-GB"/>
        </w:rPr>
        <w:t>In addition, non-cash items including fair value adjustments and exchange rate movements and hedges of debt also influence our net debt level.</w:t>
      </w:r>
    </w:p>
    <w:p w14:paraId="294D3E4A" w14:textId="06637F98" w:rsidR="00DF4A0D" w:rsidRPr="0053004A" w:rsidRDefault="003D4D89" w:rsidP="0053004A">
      <w:pPr>
        <w:pStyle w:val="BodyText"/>
        <w:widowControl/>
        <w:autoSpaceDE/>
        <w:autoSpaceDN/>
        <w:adjustRightInd/>
        <w:ind w:firstLine="360"/>
        <w:rPr>
          <w:lang w:val="en-GB"/>
        </w:rPr>
      </w:pPr>
      <w:r w:rsidRPr="0053004A">
        <w:rPr>
          <w:lang w:val="en-GB"/>
        </w:rPr>
        <w:t xml:space="preserve">Net debt as of December 31, 2019 increased by US$1,778 million from US$2,848 million as of December 31, 2018 to US$4,626 million primarily driven by US$0.5 billion of additional debt arising on adoption of IFRS 16 on 1 January 2019, the purchase of US$0.8 billion of ordinary shares under the share buyback scheme </w:t>
      </w:r>
      <w:r w:rsidR="00946385">
        <w:rPr>
          <w:lang w:val="en-GB"/>
        </w:rPr>
        <w:t>completed on March 2, 2020</w:t>
      </w:r>
      <w:r w:rsidRPr="0053004A">
        <w:rPr>
          <w:lang w:val="en-GB"/>
        </w:rPr>
        <w:t xml:space="preserve">, and incorporation of Mitsubishi debt for the development of Quellaveco offsetting attributable free cash flow of US$2.3 billion. </w:t>
      </w:r>
    </w:p>
    <w:p w14:paraId="135B7779" w14:textId="77777777" w:rsidR="00DF4A0D" w:rsidRPr="0053004A" w:rsidRDefault="003D4D89" w:rsidP="0053004A">
      <w:pPr>
        <w:pStyle w:val="BodyText"/>
        <w:widowControl/>
        <w:autoSpaceDE/>
        <w:autoSpaceDN/>
        <w:adjustRightInd/>
        <w:ind w:firstLine="360"/>
        <w:rPr>
          <w:lang w:val="en-GB"/>
        </w:rPr>
      </w:pPr>
      <w:r w:rsidRPr="0053004A">
        <w:rPr>
          <w:lang w:val="en-GB"/>
        </w:rPr>
        <w:t>Net debt as of December 31, 2018 decreased by US$1,653 million, from US$4,501 million as of December 31, 2017 to US$2,848 million principally due to free cash flow generation, partly offset by the payment of dividends to Group shareholders in May and September 2018.</w:t>
      </w:r>
      <w:r w:rsidR="0053004A" w:rsidRPr="0053004A">
        <w:rPr>
          <w:lang w:val="en-GB"/>
        </w:rPr>
        <w:t xml:space="preserve"> </w:t>
      </w:r>
      <w:r w:rsidRPr="0053004A">
        <w:rPr>
          <w:lang w:val="en-GB"/>
        </w:rPr>
        <w:t>In March 2019, the Group issued €500 million 1.625% and £300 million 3.375% senior notes due 2026 and 2029 respectively under its EMTN program</w:t>
      </w:r>
      <w:r w:rsidR="0053004A" w:rsidRPr="0053004A">
        <w:rPr>
          <w:lang w:val="en-GB"/>
        </w:rPr>
        <w:t>me</w:t>
      </w:r>
      <w:r w:rsidRPr="0053004A">
        <w:rPr>
          <w:lang w:val="en-GB"/>
        </w:rPr>
        <w:t xml:space="preserve">. </w:t>
      </w:r>
    </w:p>
    <w:p w14:paraId="37032796" w14:textId="77777777" w:rsidR="00DF4A0D" w:rsidRPr="0053004A" w:rsidRDefault="003D4D89" w:rsidP="0053004A">
      <w:pPr>
        <w:pStyle w:val="BodyText"/>
        <w:widowControl/>
        <w:autoSpaceDE/>
        <w:autoSpaceDN/>
        <w:adjustRightInd/>
        <w:ind w:firstLine="360"/>
        <w:rPr>
          <w:lang w:val="en-GB"/>
        </w:rPr>
      </w:pPr>
      <w:r w:rsidRPr="0053004A">
        <w:rPr>
          <w:lang w:val="en-GB"/>
        </w:rPr>
        <w:t xml:space="preserve">In March 2018, the Group issued US$650 million 4.5% senior notes due 2028 through accessing the U.S. bond markets. Between March and May 2018, the Group completed a number of bond buyback transactions consisting of Euro and U.S. dollar denominated bonds with maturities from April 2019 to April 2021. The Group used US$2.24 billion of cash to retire US$2.14 billion of contractual repayment obligations (including derivatives hedging the bonds). </w:t>
      </w:r>
    </w:p>
    <w:p w14:paraId="0F127C0A" w14:textId="77777777" w:rsidR="00DF4A0D" w:rsidRPr="00571974" w:rsidRDefault="003D4D89" w:rsidP="0053004A">
      <w:pPr>
        <w:pStyle w:val="BodyText"/>
        <w:widowControl/>
        <w:autoSpaceDE/>
        <w:autoSpaceDN/>
        <w:adjustRightInd/>
        <w:ind w:firstLine="360"/>
        <w:rPr>
          <w:lang w:val="en-GB"/>
        </w:rPr>
      </w:pPr>
      <w:r w:rsidRPr="00571974">
        <w:rPr>
          <w:lang w:val="en-GB"/>
        </w:rPr>
        <w:t>In September 2017, the Group completed a bond buyback transaction consisting of Euro and U.S. dollar denominated bonds with maturities from September 2018 to November 2020. The Group used US$1.93 billion of cash to retire US$1.86 billion of contractual repayment obligations (including derivatives hedging the bonds). In September 2017, the Group issued US$650 million 3.625% senior notes due 2024 and US$650 million 4.000% senior notes due 2027 through accessing the U.S. bond markets. The Group also issued €600 million 1.625% senior notes due 2025 under its EMTN program</w:t>
      </w:r>
      <w:r w:rsidR="0053004A">
        <w:rPr>
          <w:lang w:val="en-GB"/>
        </w:rPr>
        <w:t xml:space="preserve">me </w:t>
      </w:r>
      <w:r w:rsidRPr="00571974">
        <w:rPr>
          <w:lang w:val="en-GB"/>
        </w:rPr>
        <w:t>.</w:t>
      </w:r>
    </w:p>
    <w:p w14:paraId="532D373E" w14:textId="77777777" w:rsidR="00DF4A0D" w:rsidRPr="00571974" w:rsidRDefault="003D4D89" w:rsidP="00DF4A0D">
      <w:pPr>
        <w:pStyle w:val="BodyText"/>
        <w:widowControl/>
        <w:autoSpaceDE/>
        <w:autoSpaceDN/>
        <w:adjustRightInd/>
        <w:ind w:firstLine="360"/>
        <w:rPr>
          <w:lang w:val="en-GB"/>
        </w:rPr>
      </w:pPr>
      <w:r w:rsidRPr="00571974">
        <w:rPr>
          <w:lang w:val="en-GB"/>
        </w:rPr>
        <w:t>In March 2017 the Group completed a bond buyback transaction consisting of Euro and British pound denominated bonds with maturities from April 2018 to June 2019. The Group used US$1.27 billion of cash to retire US$1.25 billion of contractual repayment obligations (including derivatives hedging the bonds). In April 2017 the Group issued US$300 million 3.750% senior notes due 2022 and US$700 million 4.750% senior notes due 2027.</w:t>
      </w:r>
    </w:p>
    <w:p w14:paraId="08AD146D" w14:textId="77777777" w:rsidR="00DF4A0D" w:rsidRPr="00571974" w:rsidRDefault="003D4D89" w:rsidP="00DF4A0D">
      <w:pPr>
        <w:pStyle w:val="BodyText"/>
        <w:widowControl/>
        <w:autoSpaceDE/>
        <w:autoSpaceDN/>
        <w:adjustRightInd/>
        <w:ind w:firstLine="360"/>
        <w:rPr>
          <w:lang w:val="en-GB"/>
        </w:rPr>
      </w:pPr>
      <w:r w:rsidRPr="00571974">
        <w:rPr>
          <w:lang w:val="en-GB"/>
        </w:rPr>
        <w:t>Non-wholly owned subsidiaries, where possible, will maintain their own financing and funding requirements. In most cases, the financing is non-recourse to Anglo American. In addition, certain projects are financed by means of limited recourse project finance, if appropriate.</w:t>
      </w:r>
    </w:p>
    <w:p w14:paraId="72F55756" w14:textId="77777777" w:rsidR="00DF4A0D" w:rsidRPr="00571974" w:rsidRDefault="003D4D89" w:rsidP="007B1404">
      <w:pPr>
        <w:pStyle w:val="Heading3"/>
        <w:rPr>
          <w:lang w:val="en-GB"/>
        </w:rPr>
      </w:pPr>
      <w:bookmarkStart w:id="76" w:name="_Hlk31706678"/>
      <w:bookmarkEnd w:id="74"/>
      <w:bookmarkEnd w:id="75"/>
      <w:r w:rsidRPr="00571974">
        <w:rPr>
          <w:lang w:val="en-GB"/>
        </w:rPr>
        <w:t>Funding Sources</w:t>
      </w:r>
    </w:p>
    <w:p w14:paraId="492471DB" w14:textId="77777777" w:rsidR="00DF4A0D" w:rsidRPr="00571974" w:rsidRDefault="003D4D89" w:rsidP="00DF4A0D">
      <w:pPr>
        <w:pStyle w:val="BodyText"/>
        <w:keepNext/>
        <w:widowControl/>
        <w:autoSpaceDE/>
        <w:autoSpaceDN/>
        <w:adjustRightInd/>
        <w:ind w:firstLine="360"/>
        <w:rPr>
          <w:lang w:val="en-GB"/>
        </w:rPr>
      </w:pPr>
      <w:r w:rsidRPr="00571974">
        <w:rPr>
          <w:lang w:val="en-GB"/>
        </w:rPr>
        <w:t>The maturity profile of our debt obligations as of December 31, 2019 is set forth below:</w:t>
      </w:r>
    </w:p>
    <w:tbl>
      <w:tblPr>
        <w:tblW w:w="5000" w:type="pct"/>
        <w:jc w:val="center"/>
        <w:tblCellMar>
          <w:left w:w="72" w:type="dxa"/>
          <w:right w:w="72" w:type="dxa"/>
        </w:tblCellMar>
        <w:tblLook w:val="0000" w:firstRow="0" w:lastRow="0" w:firstColumn="0" w:lastColumn="0" w:noHBand="0" w:noVBand="0"/>
      </w:tblPr>
      <w:tblGrid>
        <w:gridCol w:w="3435"/>
        <w:gridCol w:w="1184"/>
        <w:gridCol w:w="1184"/>
        <w:gridCol w:w="1185"/>
        <w:gridCol w:w="1185"/>
        <w:gridCol w:w="1183"/>
      </w:tblGrid>
      <w:tr w:rsidR="002228B8" w14:paraId="50BEFFD4" w14:textId="77777777" w:rsidTr="00DF4A0D">
        <w:trPr>
          <w:cantSplit/>
          <w:jc w:val="center"/>
        </w:trPr>
        <w:tc>
          <w:tcPr>
            <w:tcW w:w="1826" w:type="pct"/>
            <w:tcBorders>
              <w:top w:val="nil"/>
              <w:left w:val="nil"/>
              <w:bottom w:val="nil"/>
              <w:right w:val="nil"/>
            </w:tcBorders>
            <w:vAlign w:val="bottom"/>
          </w:tcPr>
          <w:p w14:paraId="1630C2E4"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35" w:type="pct"/>
            <w:tcBorders>
              <w:top w:val="nil"/>
              <w:left w:val="nil"/>
              <w:bottom w:val="nil"/>
              <w:right w:val="nil"/>
            </w:tcBorders>
            <w:vAlign w:val="bottom"/>
          </w:tcPr>
          <w:p w14:paraId="67B1609E"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Within</w:t>
            </w:r>
            <w:r w:rsidRPr="00571974">
              <w:rPr>
                <w:b/>
                <w:bCs/>
                <w:sz w:val="18"/>
                <w:szCs w:val="18"/>
                <w:lang w:val="en-GB" w:eastAsia="en-GB" w:bidi="ar-SA"/>
              </w:rPr>
              <w:br/>
              <w:t>1 year or on</w:t>
            </w:r>
            <w:r w:rsidRPr="00571974">
              <w:rPr>
                <w:b/>
                <w:bCs/>
                <w:sz w:val="18"/>
                <w:szCs w:val="18"/>
                <w:lang w:val="en-GB" w:eastAsia="en-GB" w:bidi="ar-SA"/>
              </w:rPr>
              <w:br/>
              <w:t>demand</w:t>
            </w:r>
          </w:p>
        </w:tc>
        <w:tc>
          <w:tcPr>
            <w:tcW w:w="635" w:type="pct"/>
            <w:tcBorders>
              <w:top w:val="nil"/>
              <w:left w:val="nil"/>
              <w:bottom w:val="nil"/>
              <w:right w:val="nil"/>
            </w:tcBorders>
            <w:vAlign w:val="bottom"/>
          </w:tcPr>
          <w:p w14:paraId="1AD48BA8"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Between</w:t>
            </w:r>
            <w:r w:rsidRPr="00571974">
              <w:rPr>
                <w:b/>
                <w:bCs/>
                <w:sz w:val="18"/>
                <w:szCs w:val="18"/>
                <w:lang w:val="en-GB" w:eastAsia="en-GB" w:bidi="ar-SA"/>
              </w:rPr>
              <w:br/>
              <w:t>1 year and</w:t>
            </w:r>
            <w:r w:rsidRPr="00571974">
              <w:rPr>
                <w:b/>
                <w:bCs/>
                <w:sz w:val="18"/>
                <w:szCs w:val="18"/>
                <w:lang w:val="en-GB" w:eastAsia="en-GB" w:bidi="ar-SA"/>
              </w:rPr>
              <w:br/>
              <w:t>2 years</w:t>
            </w:r>
          </w:p>
        </w:tc>
        <w:tc>
          <w:tcPr>
            <w:tcW w:w="635" w:type="pct"/>
            <w:tcBorders>
              <w:top w:val="nil"/>
              <w:left w:val="nil"/>
              <w:bottom w:val="nil"/>
              <w:right w:val="nil"/>
            </w:tcBorders>
            <w:vAlign w:val="bottom"/>
          </w:tcPr>
          <w:p w14:paraId="66FE61FA"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Between</w:t>
            </w:r>
            <w:r w:rsidRPr="00571974">
              <w:rPr>
                <w:b/>
                <w:bCs/>
                <w:sz w:val="18"/>
                <w:szCs w:val="18"/>
                <w:lang w:val="en-GB" w:eastAsia="en-GB" w:bidi="ar-SA"/>
              </w:rPr>
              <w:br/>
              <w:t>2 years and</w:t>
            </w:r>
            <w:r w:rsidRPr="00571974">
              <w:rPr>
                <w:b/>
                <w:bCs/>
                <w:sz w:val="18"/>
                <w:szCs w:val="18"/>
                <w:lang w:val="en-GB" w:eastAsia="en-GB" w:bidi="ar-SA"/>
              </w:rPr>
              <w:br/>
              <w:t>5 years</w:t>
            </w:r>
          </w:p>
        </w:tc>
        <w:tc>
          <w:tcPr>
            <w:tcW w:w="635" w:type="pct"/>
            <w:tcBorders>
              <w:top w:val="nil"/>
              <w:left w:val="nil"/>
              <w:bottom w:val="nil"/>
              <w:right w:val="nil"/>
            </w:tcBorders>
            <w:vAlign w:val="bottom"/>
          </w:tcPr>
          <w:p w14:paraId="4801ABA1"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After</w:t>
            </w:r>
            <w:r w:rsidRPr="00571974">
              <w:rPr>
                <w:b/>
                <w:bCs/>
                <w:sz w:val="18"/>
                <w:szCs w:val="18"/>
                <w:lang w:val="en-GB" w:eastAsia="en-GB" w:bidi="ar-SA"/>
              </w:rPr>
              <w:br/>
              <w:t>5 years</w:t>
            </w:r>
          </w:p>
        </w:tc>
        <w:tc>
          <w:tcPr>
            <w:tcW w:w="635" w:type="pct"/>
            <w:tcBorders>
              <w:top w:val="nil"/>
              <w:left w:val="nil"/>
              <w:bottom w:val="nil"/>
              <w:right w:val="nil"/>
            </w:tcBorders>
            <w:vAlign w:val="bottom"/>
          </w:tcPr>
          <w:p w14:paraId="03222A57"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Total</w:t>
            </w:r>
          </w:p>
        </w:tc>
      </w:tr>
      <w:tr w:rsidR="002228B8" w14:paraId="7FED3955" w14:textId="77777777" w:rsidTr="00DF4A0D">
        <w:trPr>
          <w:cantSplit/>
          <w:jc w:val="center"/>
        </w:trPr>
        <w:tc>
          <w:tcPr>
            <w:tcW w:w="1826" w:type="pct"/>
            <w:tcBorders>
              <w:top w:val="nil"/>
              <w:left w:val="nil"/>
              <w:bottom w:val="nil"/>
              <w:right w:val="nil"/>
            </w:tcBorders>
            <w:vAlign w:val="bottom"/>
          </w:tcPr>
          <w:p w14:paraId="4A695902"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3174" w:type="pct"/>
            <w:gridSpan w:val="5"/>
            <w:tcBorders>
              <w:top w:val="nil"/>
              <w:left w:val="nil"/>
              <w:bottom w:val="nil"/>
              <w:right w:val="nil"/>
            </w:tcBorders>
            <w:vAlign w:val="bottom"/>
          </w:tcPr>
          <w:p w14:paraId="46888F46"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7DFBE771" w14:textId="77777777" w:rsidTr="00DF4A0D">
        <w:trPr>
          <w:cantSplit/>
          <w:jc w:val="center"/>
        </w:trPr>
        <w:tc>
          <w:tcPr>
            <w:tcW w:w="1826" w:type="pct"/>
            <w:tcBorders>
              <w:top w:val="nil"/>
              <w:left w:val="nil"/>
              <w:bottom w:val="nil"/>
              <w:right w:val="nil"/>
            </w:tcBorders>
            <w:shd w:val="clear" w:color="auto" w:fill="auto"/>
          </w:tcPr>
          <w:p w14:paraId="4ABD67F7"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szCs w:val="18"/>
                <w:lang w:val="en-GB" w:eastAsia="en-GB" w:bidi="ar-SA"/>
              </w:rPr>
            </w:pPr>
            <w:r w:rsidRPr="00571974">
              <w:rPr>
                <w:b/>
                <w:bCs/>
                <w:sz w:val="18"/>
                <w:szCs w:val="18"/>
                <w:lang w:val="en-GB" w:eastAsia="en-GB" w:bidi="ar-SA"/>
              </w:rPr>
              <w:t>Secured</w:t>
            </w:r>
          </w:p>
        </w:tc>
        <w:tc>
          <w:tcPr>
            <w:tcW w:w="635" w:type="pct"/>
            <w:tcBorders>
              <w:top w:val="nil"/>
              <w:left w:val="nil"/>
              <w:bottom w:val="nil"/>
              <w:right w:val="nil"/>
            </w:tcBorders>
            <w:shd w:val="clear" w:color="auto" w:fill="auto"/>
            <w:vAlign w:val="bottom"/>
          </w:tcPr>
          <w:p w14:paraId="5F4A52C2"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4155C91F"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131192A4"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24335208"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5FDEB613"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51F6DD99" w14:textId="77777777" w:rsidTr="00DF4A0D">
        <w:trPr>
          <w:cantSplit/>
          <w:jc w:val="center"/>
        </w:trPr>
        <w:tc>
          <w:tcPr>
            <w:tcW w:w="1826" w:type="pct"/>
            <w:tcBorders>
              <w:top w:val="nil"/>
              <w:left w:val="nil"/>
              <w:bottom w:val="nil"/>
              <w:right w:val="nil"/>
            </w:tcBorders>
            <w:shd w:val="clear" w:color="auto" w:fill="auto"/>
          </w:tcPr>
          <w:p w14:paraId="43EAD382"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Bank loans and overdrafts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22C10D00"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26</w:t>
            </w:r>
          </w:p>
        </w:tc>
        <w:tc>
          <w:tcPr>
            <w:tcW w:w="635" w:type="pct"/>
            <w:tcBorders>
              <w:top w:val="nil"/>
              <w:left w:val="nil"/>
              <w:bottom w:val="nil"/>
              <w:right w:val="nil"/>
            </w:tcBorders>
            <w:shd w:val="clear" w:color="auto" w:fill="auto"/>
            <w:vAlign w:val="bottom"/>
          </w:tcPr>
          <w:p w14:paraId="631C8C9E"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w:t>
            </w:r>
          </w:p>
        </w:tc>
        <w:tc>
          <w:tcPr>
            <w:tcW w:w="635" w:type="pct"/>
            <w:tcBorders>
              <w:top w:val="nil"/>
              <w:left w:val="nil"/>
              <w:bottom w:val="nil"/>
              <w:right w:val="nil"/>
            </w:tcBorders>
            <w:shd w:val="clear" w:color="auto" w:fill="auto"/>
            <w:vAlign w:val="bottom"/>
          </w:tcPr>
          <w:p w14:paraId="594B7E83"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w:t>
            </w:r>
          </w:p>
        </w:tc>
        <w:tc>
          <w:tcPr>
            <w:tcW w:w="635" w:type="pct"/>
            <w:tcBorders>
              <w:top w:val="nil"/>
              <w:left w:val="nil"/>
              <w:bottom w:val="nil"/>
              <w:right w:val="nil"/>
            </w:tcBorders>
            <w:shd w:val="clear" w:color="auto" w:fill="auto"/>
            <w:vAlign w:val="bottom"/>
          </w:tcPr>
          <w:p w14:paraId="40413DC2"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21EB10F9"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41</w:t>
            </w:r>
          </w:p>
        </w:tc>
      </w:tr>
      <w:tr w:rsidR="002228B8" w14:paraId="4FFC7417" w14:textId="77777777" w:rsidTr="00DF4A0D">
        <w:trPr>
          <w:cantSplit/>
          <w:jc w:val="center"/>
        </w:trPr>
        <w:tc>
          <w:tcPr>
            <w:tcW w:w="1826" w:type="pct"/>
            <w:tcBorders>
              <w:top w:val="nil"/>
              <w:left w:val="nil"/>
              <w:bottom w:val="nil"/>
              <w:right w:val="nil"/>
            </w:tcBorders>
            <w:shd w:val="clear" w:color="auto" w:fill="auto"/>
          </w:tcPr>
          <w:p w14:paraId="06A018D1" w14:textId="371ECA48" w:rsidR="00DF4A0D" w:rsidRPr="00571974" w:rsidRDefault="003D4D89" w:rsidP="00DA283E">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Leases</w:t>
            </w:r>
            <w:r w:rsidR="00B65C44"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46E4C26C"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209</w:t>
            </w:r>
          </w:p>
        </w:tc>
        <w:tc>
          <w:tcPr>
            <w:tcW w:w="635" w:type="pct"/>
            <w:tcBorders>
              <w:top w:val="nil"/>
              <w:left w:val="nil"/>
              <w:bottom w:val="nil"/>
              <w:right w:val="nil"/>
            </w:tcBorders>
            <w:shd w:val="clear" w:color="auto" w:fill="auto"/>
            <w:vAlign w:val="bottom"/>
          </w:tcPr>
          <w:p w14:paraId="5103816D"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88</w:t>
            </w:r>
          </w:p>
        </w:tc>
        <w:tc>
          <w:tcPr>
            <w:tcW w:w="635" w:type="pct"/>
            <w:tcBorders>
              <w:top w:val="nil"/>
              <w:left w:val="nil"/>
              <w:bottom w:val="nil"/>
              <w:right w:val="nil"/>
            </w:tcBorders>
            <w:shd w:val="clear" w:color="auto" w:fill="auto"/>
            <w:vAlign w:val="bottom"/>
          </w:tcPr>
          <w:p w14:paraId="0E89046C"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103</w:t>
            </w:r>
          </w:p>
        </w:tc>
        <w:tc>
          <w:tcPr>
            <w:tcW w:w="635" w:type="pct"/>
            <w:tcBorders>
              <w:top w:val="nil"/>
              <w:left w:val="nil"/>
              <w:bottom w:val="nil"/>
              <w:right w:val="nil"/>
            </w:tcBorders>
            <w:shd w:val="clear" w:color="auto" w:fill="auto"/>
            <w:vAlign w:val="bottom"/>
          </w:tcPr>
          <w:p w14:paraId="397B6433"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154</w:t>
            </w:r>
          </w:p>
        </w:tc>
        <w:tc>
          <w:tcPr>
            <w:tcW w:w="635" w:type="pct"/>
            <w:tcBorders>
              <w:top w:val="nil"/>
              <w:left w:val="nil"/>
              <w:bottom w:val="nil"/>
              <w:right w:val="nil"/>
            </w:tcBorders>
            <w:shd w:val="clear" w:color="auto" w:fill="auto"/>
            <w:vAlign w:val="bottom"/>
          </w:tcPr>
          <w:p w14:paraId="4DBFBE83"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554</w:t>
            </w:r>
          </w:p>
        </w:tc>
      </w:tr>
      <w:tr w:rsidR="002228B8" w14:paraId="79B1811D" w14:textId="77777777" w:rsidTr="00DF4A0D">
        <w:trPr>
          <w:cantSplit/>
          <w:jc w:val="center"/>
        </w:trPr>
        <w:tc>
          <w:tcPr>
            <w:tcW w:w="1826" w:type="pct"/>
            <w:tcBorders>
              <w:top w:val="nil"/>
              <w:left w:val="nil"/>
              <w:bottom w:val="nil"/>
              <w:right w:val="nil"/>
            </w:tcBorders>
            <w:shd w:val="clear" w:color="auto" w:fill="auto"/>
          </w:tcPr>
          <w:p w14:paraId="22FE81A8" w14:textId="77777777" w:rsidR="00DF4A0D" w:rsidRPr="00571974" w:rsidRDefault="003D4D89" w:rsidP="00DF4A0D">
            <w:pPr>
              <w:keepNext/>
              <w:tabs>
                <w:tab w:val="right" w:leader="dot" w:pos="3580"/>
              </w:tabs>
              <w:suppressAutoHyphens/>
              <w:spacing w:after="20"/>
              <w:ind w:left="200" w:hanging="200"/>
              <w:rPr>
                <w:sz w:val="18"/>
                <w:szCs w:val="18"/>
                <w:lang w:val="en-GB" w:eastAsia="en-GB" w:bidi="ar-SA"/>
              </w:rPr>
            </w:pPr>
            <w:r w:rsidRPr="00571974">
              <w:rPr>
                <w:sz w:val="18"/>
                <w:szCs w:val="18"/>
                <w:lang w:val="en-GB" w:eastAsia="en-GB" w:bidi="ar-SA"/>
              </w:rPr>
              <w:t xml:space="preserve">Other loans </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18C0C1B5"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12</w:t>
            </w:r>
          </w:p>
        </w:tc>
        <w:tc>
          <w:tcPr>
            <w:tcW w:w="635" w:type="pct"/>
            <w:tcBorders>
              <w:top w:val="nil"/>
              <w:left w:val="nil"/>
              <w:bottom w:val="nil"/>
              <w:right w:val="nil"/>
            </w:tcBorders>
            <w:shd w:val="clear" w:color="auto" w:fill="auto"/>
            <w:vAlign w:val="bottom"/>
          </w:tcPr>
          <w:p w14:paraId="35D3EEA8"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12</w:t>
            </w:r>
          </w:p>
        </w:tc>
        <w:tc>
          <w:tcPr>
            <w:tcW w:w="635" w:type="pct"/>
            <w:tcBorders>
              <w:top w:val="nil"/>
              <w:left w:val="nil"/>
              <w:bottom w:val="nil"/>
              <w:right w:val="nil"/>
            </w:tcBorders>
            <w:shd w:val="clear" w:color="auto" w:fill="auto"/>
            <w:vAlign w:val="bottom"/>
          </w:tcPr>
          <w:p w14:paraId="1E777BD3"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36</w:t>
            </w:r>
          </w:p>
        </w:tc>
        <w:tc>
          <w:tcPr>
            <w:tcW w:w="635" w:type="pct"/>
            <w:tcBorders>
              <w:top w:val="nil"/>
              <w:left w:val="nil"/>
              <w:bottom w:val="nil"/>
              <w:right w:val="nil"/>
            </w:tcBorders>
            <w:shd w:val="clear" w:color="auto" w:fill="auto"/>
            <w:vAlign w:val="bottom"/>
          </w:tcPr>
          <w:p w14:paraId="68D60A7E"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60</w:t>
            </w:r>
          </w:p>
        </w:tc>
        <w:tc>
          <w:tcPr>
            <w:tcW w:w="635" w:type="pct"/>
            <w:tcBorders>
              <w:top w:val="nil"/>
              <w:left w:val="nil"/>
              <w:bottom w:val="nil"/>
              <w:right w:val="nil"/>
            </w:tcBorders>
            <w:shd w:val="clear" w:color="auto" w:fill="auto"/>
            <w:vAlign w:val="bottom"/>
          </w:tcPr>
          <w:p w14:paraId="765D707E"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120</w:t>
            </w:r>
          </w:p>
        </w:tc>
      </w:tr>
      <w:tr w:rsidR="002228B8" w14:paraId="5C9C7E52" w14:textId="77777777" w:rsidTr="00DF4A0D">
        <w:trPr>
          <w:cantSplit/>
          <w:jc w:val="center"/>
        </w:trPr>
        <w:tc>
          <w:tcPr>
            <w:tcW w:w="1826" w:type="pct"/>
            <w:tcBorders>
              <w:top w:val="nil"/>
              <w:left w:val="nil"/>
              <w:bottom w:val="nil"/>
              <w:right w:val="nil"/>
            </w:tcBorders>
            <w:shd w:val="clear" w:color="auto" w:fill="auto"/>
          </w:tcPr>
          <w:p w14:paraId="29B332BE" w14:textId="77777777" w:rsidR="00DF4A0D" w:rsidRPr="00571974" w:rsidRDefault="003D4D89" w:rsidP="00DF4A0D">
            <w:pPr>
              <w:keepNext/>
              <w:tabs>
                <w:tab w:val="right" w:leader="dot" w:pos="3580"/>
              </w:tabs>
              <w:suppressAutoHyphens/>
              <w:ind w:left="400" w:hanging="200"/>
              <w:rPr>
                <w:sz w:val="18"/>
                <w:szCs w:val="18"/>
                <w:lang w:val="en-GB" w:eastAsia="en-GB" w:bidi="ar-SA"/>
              </w:rPr>
            </w:pPr>
            <w:r w:rsidRPr="00571974">
              <w:rPr>
                <w:sz w:val="18"/>
                <w:szCs w:val="18"/>
                <w:lang w:val="en-GB" w:eastAsia="en-GB" w:bidi="ar-SA"/>
              </w:rPr>
              <w:t>Total secured loans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5AAE6A94"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247</w:t>
            </w:r>
          </w:p>
        </w:tc>
        <w:tc>
          <w:tcPr>
            <w:tcW w:w="635" w:type="pct"/>
            <w:tcBorders>
              <w:top w:val="nil"/>
              <w:left w:val="nil"/>
              <w:bottom w:val="nil"/>
              <w:right w:val="nil"/>
            </w:tcBorders>
            <w:shd w:val="clear" w:color="auto" w:fill="auto"/>
            <w:vAlign w:val="bottom"/>
          </w:tcPr>
          <w:p w14:paraId="703B9B83"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112</w:t>
            </w:r>
          </w:p>
        </w:tc>
        <w:tc>
          <w:tcPr>
            <w:tcW w:w="635" w:type="pct"/>
            <w:tcBorders>
              <w:top w:val="nil"/>
              <w:left w:val="nil"/>
              <w:bottom w:val="nil"/>
              <w:right w:val="nil"/>
            </w:tcBorders>
            <w:shd w:val="clear" w:color="auto" w:fill="auto"/>
            <w:vAlign w:val="bottom"/>
          </w:tcPr>
          <w:p w14:paraId="39C9D212"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142</w:t>
            </w:r>
          </w:p>
        </w:tc>
        <w:tc>
          <w:tcPr>
            <w:tcW w:w="635" w:type="pct"/>
            <w:tcBorders>
              <w:top w:val="nil"/>
              <w:left w:val="nil"/>
              <w:bottom w:val="nil"/>
              <w:right w:val="nil"/>
            </w:tcBorders>
            <w:shd w:val="clear" w:color="auto" w:fill="auto"/>
            <w:vAlign w:val="bottom"/>
          </w:tcPr>
          <w:p w14:paraId="0E8CE285"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214</w:t>
            </w:r>
          </w:p>
        </w:tc>
        <w:tc>
          <w:tcPr>
            <w:tcW w:w="635" w:type="pct"/>
            <w:tcBorders>
              <w:top w:val="nil"/>
              <w:left w:val="nil"/>
              <w:bottom w:val="nil"/>
              <w:right w:val="nil"/>
            </w:tcBorders>
            <w:shd w:val="clear" w:color="auto" w:fill="auto"/>
            <w:vAlign w:val="bottom"/>
          </w:tcPr>
          <w:p w14:paraId="4DDAC3F5"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715</w:t>
            </w:r>
          </w:p>
        </w:tc>
      </w:tr>
      <w:tr w:rsidR="002228B8" w14:paraId="29629085" w14:textId="77777777" w:rsidTr="00DF4A0D">
        <w:trPr>
          <w:cantSplit/>
          <w:jc w:val="center"/>
        </w:trPr>
        <w:tc>
          <w:tcPr>
            <w:tcW w:w="1826" w:type="pct"/>
            <w:tcBorders>
              <w:top w:val="nil"/>
              <w:left w:val="nil"/>
              <w:bottom w:val="nil"/>
              <w:right w:val="nil"/>
            </w:tcBorders>
            <w:shd w:val="clear" w:color="auto" w:fill="auto"/>
          </w:tcPr>
          <w:p w14:paraId="7AA6F457"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sz w:val="18"/>
                <w:szCs w:val="18"/>
                <w:lang w:val="en-GB" w:eastAsia="en-GB" w:bidi="ar-SA"/>
              </w:rPr>
            </w:pPr>
            <w:r w:rsidRPr="00571974">
              <w:rPr>
                <w:b/>
                <w:bCs/>
                <w:sz w:val="18"/>
                <w:szCs w:val="18"/>
                <w:lang w:val="en-GB" w:eastAsia="en-GB" w:bidi="ar-SA"/>
              </w:rPr>
              <w:t>Unsecured</w:t>
            </w:r>
          </w:p>
        </w:tc>
        <w:tc>
          <w:tcPr>
            <w:tcW w:w="635" w:type="pct"/>
            <w:tcBorders>
              <w:top w:val="nil"/>
              <w:left w:val="nil"/>
              <w:bottom w:val="nil"/>
              <w:right w:val="nil"/>
            </w:tcBorders>
            <w:shd w:val="clear" w:color="auto" w:fill="auto"/>
            <w:vAlign w:val="bottom"/>
          </w:tcPr>
          <w:p w14:paraId="71F8A4AA"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6AD1FFB9"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154C40B0"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295A69BE"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c>
          <w:tcPr>
            <w:tcW w:w="635" w:type="pct"/>
            <w:tcBorders>
              <w:top w:val="nil"/>
              <w:left w:val="nil"/>
              <w:bottom w:val="nil"/>
              <w:right w:val="nil"/>
            </w:tcBorders>
            <w:shd w:val="clear" w:color="auto" w:fill="auto"/>
            <w:vAlign w:val="bottom"/>
          </w:tcPr>
          <w:p w14:paraId="0C9774A5"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p>
        </w:tc>
      </w:tr>
      <w:tr w:rsidR="002228B8" w14:paraId="7DAA051A" w14:textId="77777777" w:rsidTr="00DF4A0D">
        <w:trPr>
          <w:cantSplit/>
          <w:jc w:val="center"/>
        </w:trPr>
        <w:tc>
          <w:tcPr>
            <w:tcW w:w="1826" w:type="pct"/>
            <w:tcBorders>
              <w:top w:val="nil"/>
              <w:left w:val="nil"/>
              <w:bottom w:val="nil"/>
              <w:right w:val="nil"/>
            </w:tcBorders>
            <w:shd w:val="clear" w:color="auto" w:fill="auto"/>
          </w:tcPr>
          <w:p w14:paraId="454F0918"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Bank loans and overdrafts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041CC234"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131</w:t>
            </w:r>
          </w:p>
        </w:tc>
        <w:tc>
          <w:tcPr>
            <w:tcW w:w="635" w:type="pct"/>
            <w:tcBorders>
              <w:top w:val="nil"/>
              <w:left w:val="nil"/>
              <w:bottom w:val="nil"/>
              <w:right w:val="nil"/>
            </w:tcBorders>
            <w:shd w:val="clear" w:color="auto" w:fill="auto"/>
            <w:vAlign w:val="bottom"/>
          </w:tcPr>
          <w:p w14:paraId="5E52E841"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w:t>
            </w:r>
          </w:p>
        </w:tc>
        <w:tc>
          <w:tcPr>
            <w:tcW w:w="635" w:type="pct"/>
            <w:tcBorders>
              <w:top w:val="nil"/>
              <w:left w:val="nil"/>
              <w:bottom w:val="nil"/>
              <w:right w:val="nil"/>
            </w:tcBorders>
            <w:shd w:val="clear" w:color="auto" w:fill="auto"/>
            <w:vAlign w:val="bottom"/>
          </w:tcPr>
          <w:p w14:paraId="2DA4FBA0"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90</w:t>
            </w:r>
          </w:p>
        </w:tc>
        <w:tc>
          <w:tcPr>
            <w:tcW w:w="635" w:type="pct"/>
            <w:tcBorders>
              <w:top w:val="nil"/>
              <w:left w:val="nil"/>
              <w:bottom w:val="nil"/>
              <w:right w:val="nil"/>
            </w:tcBorders>
            <w:shd w:val="clear" w:color="auto" w:fill="auto"/>
            <w:vAlign w:val="bottom"/>
          </w:tcPr>
          <w:p w14:paraId="2D560630"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583829D7"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224</w:t>
            </w:r>
          </w:p>
        </w:tc>
      </w:tr>
      <w:tr w:rsidR="002228B8" w14:paraId="10B2C1E0" w14:textId="77777777" w:rsidTr="00DF4A0D">
        <w:trPr>
          <w:cantSplit/>
          <w:jc w:val="center"/>
        </w:trPr>
        <w:tc>
          <w:tcPr>
            <w:tcW w:w="1826" w:type="pct"/>
            <w:tcBorders>
              <w:top w:val="nil"/>
              <w:left w:val="nil"/>
              <w:bottom w:val="nil"/>
              <w:right w:val="nil"/>
            </w:tcBorders>
            <w:shd w:val="clear" w:color="auto" w:fill="auto"/>
          </w:tcPr>
          <w:p w14:paraId="7E92BB24"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Bonds issued under EMTN program</w:t>
            </w:r>
            <w:r w:rsidR="00E64229">
              <w:rPr>
                <w:sz w:val="18"/>
                <w:szCs w:val="18"/>
                <w:lang w:val="en-GB" w:eastAsia="en-GB" w:bidi="ar-SA"/>
              </w:rPr>
              <w:t>me</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5E22484A"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475</w:t>
            </w:r>
          </w:p>
        </w:tc>
        <w:tc>
          <w:tcPr>
            <w:tcW w:w="635" w:type="pct"/>
            <w:tcBorders>
              <w:top w:val="nil"/>
              <w:left w:val="nil"/>
              <w:bottom w:val="nil"/>
              <w:right w:val="nil"/>
            </w:tcBorders>
            <w:shd w:val="clear" w:color="auto" w:fill="auto"/>
            <w:vAlign w:val="bottom"/>
          </w:tcPr>
          <w:p w14:paraId="643C3498"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432</w:t>
            </w:r>
          </w:p>
        </w:tc>
        <w:tc>
          <w:tcPr>
            <w:tcW w:w="635" w:type="pct"/>
            <w:tcBorders>
              <w:top w:val="nil"/>
              <w:left w:val="nil"/>
              <w:bottom w:val="nil"/>
              <w:right w:val="nil"/>
            </w:tcBorders>
            <w:shd w:val="clear" w:color="auto" w:fill="auto"/>
            <w:vAlign w:val="bottom"/>
          </w:tcPr>
          <w:p w14:paraId="74BA92C4"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1,779</w:t>
            </w:r>
          </w:p>
        </w:tc>
        <w:tc>
          <w:tcPr>
            <w:tcW w:w="635" w:type="pct"/>
            <w:tcBorders>
              <w:top w:val="nil"/>
              <w:left w:val="nil"/>
              <w:bottom w:val="nil"/>
              <w:right w:val="nil"/>
            </w:tcBorders>
            <w:shd w:val="clear" w:color="auto" w:fill="auto"/>
            <w:vAlign w:val="bottom"/>
          </w:tcPr>
          <w:p w14:paraId="349D6A75"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1,664</w:t>
            </w:r>
          </w:p>
        </w:tc>
        <w:tc>
          <w:tcPr>
            <w:tcW w:w="635" w:type="pct"/>
            <w:tcBorders>
              <w:top w:val="nil"/>
              <w:left w:val="nil"/>
              <w:bottom w:val="nil"/>
              <w:right w:val="nil"/>
            </w:tcBorders>
            <w:shd w:val="clear" w:color="auto" w:fill="auto"/>
            <w:vAlign w:val="bottom"/>
          </w:tcPr>
          <w:p w14:paraId="1609CAB8"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4,350</w:t>
            </w:r>
          </w:p>
        </w:tc>
      </w:tr>
      <w:tr w:rsidR="002228B8" w14:paraId="24B6F11E" w14:textId="77777777" w:rsidTr="00DF4A0D">
        <w:trPr>
          <w:cantSplit/>
          <w:jc w:val="center"/>
        </w:trPr>
        <w:tc>
          <w:tcPr>
            <w:tcW w:w="1826" w:type="pct"/>
            <w:tcBorders>
              <w:top w:val="nil"/>
              <w:left w:val="nil"/>
              <w:bottom w:val="nil"/>
              <w:right w:val="nil"/>
            </w:tcBorders>
            <w:shd w:val="clear" w:color="auto" w:fill="auto"/>
          </w:tcPr>
          <w:p w14:paraId="34C4575D"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U.S. Bonds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6B584BF8"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35676A59"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502</w:t>
            </w:r>
          </w:p>
        </w:tc>
        <w:tc>
          <w:tcPr>
            <w:tcW w:w="635" w:type="pct"/>
            <w:tcBorders>
              <w:top w:val="nil"/>
              <w:left w:val="nil"/>
              <w:bottom w:val="nil"/>
              <w:right w:val="nil"/>
            </w:tcBorders>
            <w:shd w:val="clear" w:color="auto" w:fill="auto"/>
            <w:vAlign w:val="bottom"/>
          </w:tcPr>
          <w:p w14:paraId="5B67988B"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1,554</w:t>
            </w:r>
          </w:p>
        </w:tc>
        <w:tc>
          <w:tcPr>
            <w:tcW w:w="635" w:type="pct"/>
            <w:tcBorders>
              <w:top w:val="nil"/>
              <w:left w:val="nil"/>
              <w:bottom w:val="nil"/>
              <w:right w:val="nil"/>
            </w:tcBorders>
            <w:shd w:val="clear" w:color="auto" w:fill="auto"/>
            <w:vAlign w:val="bottom"/>
          </w:tcPr>
          <w:p w14:paraId="3053FFE3"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2,741</w:t>
            </w:r>
          </w:p>
        </w:tc>
        <w:tc>
          <w:tcPr>
            <w:tcW w:w="635" w:type="pct"/>
            <w:tcBorders>
              <w:top w:val="nil"/>
              <w:left w:val="nil"/>
              <w:bottom w:val="nil"/>
              <w:right w:val="nil"/>
            </w:tcBorders>
            <w:shd w:val="clear" w:color="auto" w:fill="auto"/>
            <w:vAlign w:val="bottom"/>
          </w:tcPr>
          <w:p w14:paraId="218C76D1"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4,797</w:t>
            </w:r>
          </w:p>
        </w:tc>
      </w:tr>
      <w:tr w:rsidR="002228B8" w14:paraId="27D23AC9" w14:textId="77777777" w:rsidTr="00DF4A0D">
        <w:trPr>
          <w:cantSplit/>
          <w:jc w:val="center"/>
        </w:trPr>
        <w:tc>
          <w:tcPr>
            <w:tcW w:w="1826" w:type="pct"/>
            <w:tcBorders>
              <w:top w:val="nil"/>
              <w:left w:val="nil"/>
              <w:bottom w:val="nil"/>
              <w:right w:val="nil"/>
            </w:tcBorders>
            <w:shd w:val="clear" w:color="auto" w:fill="auto"/>
          </w:tcPr>
          <w:p w14:paraId="194CC06D"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Bonds issued under AMTN program</w:t>
            </w:r>
            <w:r w:rsidR="00E64229">
              <w:rPr>
                <w:sz w:val="18"/>
                <w:szCs w:val="18"/>
                <w:lang w:val="en-GB" w:eastAsia="en-GB" w:bidi="ar-SA"/>
              </w:rPr>
              <w:t>me</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307ED5BD"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0CDA79B9"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347C5B51"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21C7F33E"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0ECB4993"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r>
      <w:tr w:rsidR="002228B8" w14:paraId="0941AAE9" w14:textId="77777777" w:rsidTr="00DF4A0D">
        <w:trPr>
          <w:cantSplit/>
          <w:jc w:val="center"/>
        </w:trPr>
        <w:tc>
          <w:tcPr>
            <w:tcW w:w="1826" w:type="pct"/>
            <w:tcBorders>
              <w:top w:val="nil"/>
              <w:left w:val="nil"/>
              <w:bottom w:val="nil"/>
              <w:right w:val="nil"/>
            </w:tcBorders>
            <w:shd w:val="clear" w:color="auto" w:fill="auto"/>
          </w:tcPr>
          <w:p w14:paraId="4725F534"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Bonds issued under DMTN program</w:t>
            </w:r>
            <w:r w:rsidR="00E64229">
              <w:rPr>
                <w:sz w:val="18"/>
                <w:szCs w:val="18"/>
                <w:lang w:val="en-GB" w:eastAsia="en-GB" w:bidi="ar-SA"/>
              </w:rPr>
              <w:t>me</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163CB0F9"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315DF535"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76</w:t>
            </w:r>
          </w:p>
        </w:tc>
        <w:tc>
          <w:tcPr>
            <w:tcW w:w="635" w:type="pct"/>
            <w:tcBorders>
              <w:top w:val="nil"/>
              <w:left w:val="nil"/>
              <w:bottom w:val="nil"/>
              <w:right w:val="nil"/>
            </w:tcBorders>
            <w:shd w:val="clear" w:color="auto" w:fill="auto"/>
            <w:vAlign w:val="bottom"/>
          </w:tcPr>
          <w:p w14:paraId="7C94C74B"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72AE8EAA"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2DA40ADE"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76</w:t>
            </w:r>
          </w:p>
        </w:tc>
      </w:tr>
      <w:tr w:rsidR="002228B8" w14:paraId="389900CF" w14:textId="77777777" w:rsidTr="00DF4A0D">
        <w:trPr>
          <w:cantSplit/>
          <w:jc w:val="center"/>
        </w:trPr>
        <w:tc>
          <w:tcPr>
            <w:tcW w:w="1826" w:type="pct"/>
            <w:tcBorders>
              <w:top w:val="nil"/>
              <w:left w:val="nil"/>
              <w:bottom w:val="nil"/>
              <w:right w:val="nil"/>
            </w:tcBorders>
            <w:shd w:val="clear" w:color="auto" w:fill="auto"/>
          </w:tcPr>
          <w:p w14:paraId="37467254" w14:textId="77777777" w:rsidR="00DF4A0D" w:rsidRPr="00571974" w:rsidRDefault="003D4D89" w:rsidP="00DF4A0D">
            <w:pPr>
              <w:keepNext/>
              <w:tabs>
                <w:tab w:val="right" w:leader="dot" w:pos="3580"/>
              </w:tabs>
              <w:suppressAutoHyphens/>
              <w:spacing w:after="20"/>
              <w:ind w:left="200" w:hanging="200"/>
              <w:rPr>
                <w:sz w:val="18"/>
                <w:szCs w:val="18"/>
                <w:lang w:val="en-GB" w:eastAsia="en-GB" w:bidi="ar-SA"/>
              </w:rPr>
            </w:pPr>
            <w:r w:rsidRPr="00571974">
              <w:rPr>
                <w:sz w:val="18"/>
                <w:szCs w:val="18"/>
                <w:lang w:val="en-GB" w:eastAsia="en-GB" w:bidi="ar-SA"/>
              </w:rPr>
              <w:t>Other loans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249CD782"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137</w:t>
            </w:r>
          </w:p>
        </w:tc>
        <w:tc>
          <w:tcPr>
            <w:tcW w:w="635" w:type="pct"/>
            <w:tcBorders>
              <w:top w:val="nil"/>
              <w:left w:val="nil"/>
              <w:bottom w:val="nil"/>
              <w:right w:val="nil"/>
            </w:tcBorders>
            <w:shd w:val="clear" w:color="auto" w:fill="auto"/>
            <w:vAlign w:val="bottom"/>
          </w:tcPr>
          <w:p w14:paraId="30046BA5"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34A2757B"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w:t>
            </w:r>
          </w:p>
        </w:tc>
        <w:tc>
          <w:tcPr>
            <w:tcW w:w="635" w:type="pct"/>
            <w:tcBorders>
              <w:top w:val="nil"/>
              <w:left w:val="nil"/>
              <w:bottom w:val="nil"/>
              <w:right w:val="nil"/>
            </w:tcBorders>
            <w:shd w:val="clear" w:color="auto" w:fill="auto"/>
            <w:vAlign w:val="bottom"/>
          </w:tcPr>
          <w:p w14:paraId="5781AFAC"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435</w:t>
            </w:r>
          </w:p>
        </w:tc>
        <w:tc>
          <w:tcPr>
            <w:tcW w:w="635" w:type="pct"/>
            <w:tcBorders>
              <w:top w:val="nil"/>
              <w:left w:val="nil"/>
              <w:bottom w:val="nil"/>
              <w:right w:val="nil"/>
            </w:tcBorders>
            <w:shd w:val="clear" w:color="auto" w:fill="auto"/>
            <w:vAlign w:val="bottom"/>
          </w:tcPr>
          <w:p w14:paraId="253D37F9"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572</w:t>
            </w:r>
          </w:p>
        </w:tc>
      </w:tr>
      <w:tr w:rsidR="002228B8" w14:paraId="4830BB17" w14:textId="77777777" w:rsidTr="00DF4A0D">
        <w:trPr>
          <w:cantSplit/>
          <w:jc w:val="center"/>
        </w:trPr>
        <w:tc>
          <w:tcPr>
            <w:tcW w:w="1826" w:type="pct"/>
            <w:tcBorders>
              <w:top w:val="nil"/>
              <w:left w:val="nil"/>
              <w:bottom w:val="nil"/>
              <w:right w:val="nil"/>
            </w:tcBorders>
            <w:shd w:val="clear" w:color="auto" w:fill="auto"/>
          </w:tcPr>
          <w:p w14:paraId="60C0C543" w14:textId="77777777" w:rsidR="00DF4A0D" w:rsidRPr="00571974" w:rsidRDefault="003D4D89" w:rsidP="00DF4A0D">
            <w:pPr>
              <w:keepNext/>
              <w:tabs>
                <w:tab w:val="right" w:leader="dot" w:pos="3580"/>
              </w:tabs>
              <w:suppressAutoHyphens/>
              <w:spacing w:after="20"/>
              <w:ind w:left="400" w:hanging="200"/>
              <w:rPr>
                <w:sz w:val="18"/>
                <w:szCs w:val="18"/>
                <w:lang w:val="en-GB" w:eastAsia="en-GB" w:bidi="ar-SA"/>
              </w:rPr>
            </w:pPr>
            <w:r w:rsidRPr="00571974">
              <w:rPr>
                <w:sz w:val="18"/>
                <w:szCs w:val="18"/>
                <w:lang w:val="en-GB" w:eastAsia="en-GB" w:bidi="ar-SA"/>
              </w:rPr>
              <w:t>Total unsecured loans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5E5C80CB"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743</w:t>
            </w:r>
          </w:p>
        </w:tc>
        <w:tc>
          <w:tcPr>
            <w:tcW w:w="635" w:type="pct"/>
            <w:tcBorders>
              <w:top w:val="nil"/>
              <w:left w:val="nil"/>
              <w:bottom w:val="nil"/>
              <w:right w:val="nil"/>
            </w:tcBorders>
            <w:shd w:val="clear" w:color="auto" w:fill="auto"/>
            <w:vAlign w:val="bottom"/>
          </w:tcPr>
          <w:p w14:paraId="1DC5C357"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1,013</w:t>
            </w:r>
          </w:p>
        </w:tc>
        <w:tc>
          <w:tcPr>
            <w:tcW w:w="635" w:type="pct"/>
            <w:tcBorders>
              <w:top w:val="nil"/>
              <w:left w:val="nil"/>
              <w:bottom w:val="nil"/>
              <w:right w:val="nil"/>
            </w:tcBorders>
            <w:shd w:val="clear" w:color="auto" w:fill="auto"/>
            <w:vAlign w:val="bottom"/>
          </w:tcPr>
          <w:p w14:paraId="46E3A10B"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3,423</w:t>
            </w:r>
          </w:p>
        </w:tc>
        <w:tc>
          <w:tcPr>
            <w:tcW w:w="635" w:type="pct"/>
            <w:tcBorders>
              <w:top w:val="nil"/>
              <w:left w:val="nil"/>
              <w:bottom w:val="nil"/>
              <w:right w:val="nil"/>
            </w:tcBorders>
            <w:shd w:val="clear" w:color="auto" w:fill="auto"/>
            <w:vAlign w:val="bottom"/>
          </w:tcPr>
          <w:p w14:paraId="25A604EE"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4,840</w:t>
            </w:r>
          </w:p>
        </w:tc>
        <w:tc>
          <w:tcPr>
            <w:tcW w:w="635" w:type="pct"/>
            <w:tcBorders>
              <w:top w:val="nil"/>
              <w:left w:val="nil"/>
              <w:bottom w:val="nil"/>
              <w:right w:val="nil"/>
            </w:tcBorders>
            <w:shd w:val="clear" w:color="auto" w:fill="auto"/>
            <w:vAlign w:val="bottom"/>
          </w:tcPr>
          <w:p w14:paraId="6D17E172"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10,019</w:t>
            </w:r>
          </w:p>
        </w:tc>
      </w:tr>
      <w:tr w:rsidR="002228B8" w14:paraId="5DCADCAA" w14:textId="77777777" w:rsidTr="00DF4A0D">
        <w:trPr>
          <w:cantSplit/>
          <w:jc w:val="center"/>
        </w:trPr>
        <w:tc>
          <w:tcPr>
            <w:tcW w:w="1826" w:type="pct"/>
            <w:tcBorders>
              <w:top w:val="nil"/>
              <w:left w:val="nil"/>
              <w:bottom w:val="nil"/>
              <w:right w:val="nil"/>
            </w:tcBorders>
            <w:shd w:val="clear" w:color="auto" w:fill="auto"/>
          </w:tcPr>
          <w:p w14:paraId="108631C2" w14:textId="77777777" w:rsidR="00DF4A0D" w:rsidRPr="00571974" w:rsidRDefault="003D4D89" w:rsidP="00DF4A0D">
            <w:pPr>
              <w:tabs>
                <w:tab w:val="right" w:leader="dot" w:pos="3580"/>
              </w:tabs>
              <w:suppressAutoHyphens/>
              <w:spacing w:after="40"/>
              <w:ind w:left="400" w:hanging="200"/>
              <w:rPr>
                <w:sz w:val="18"/>
                <w:szCs w:val="18"/>
                <w:lang w:val="en-GB" w:eastAsia="en-GB" w:bidi="ar-SA"/>
              </w:rPr>
            </w:pPr>
            <w:r w:rsidRPr="00571974">
              <w:rPr>
                <w:sz w:val="18"/>
                <w:szCs w:val="18"/>
                <w:lang w:val="en-GB" w:eastAsia="en-GB" w:bidi="ar-SA"/>
              </w:rPr>
              <w:t>Total borrowings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072F8F22"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990</w:t>
            </w:r>
          </w:p>
        </w:tc>
        <w:tc>
          <w:tcPr>
            <w:tcW w:w="635" w:type="pct"/>
            <w:tcBorders>
              <w:top w:val="nil"/>
              <w:left w:val="nil"/>
              <w:bottom w:val="nil"/>
              <w:right w:val="nil"/>
            </w:tcBorders>
            <w:shd w:val="clear" w:color="auto" w:fill="auto"/>
            <w:vAlign w:val="bottom"/>
          </w:tcPr>
          <w:p w14:paraId="4692D2E8"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1,125</w:t>
            </w:r>
          </w:p>
        </w:tc>
        <w:tc>
          <w:tcPr>
            <w:tcW w:w="635" w:type="pct"/>
            <w:tcBorders>
              <w:top w:val="nil"/>
              <w:left w:val="nil"/>
              <w:bottom w:val="nil"/>
              <w:right w:val="nil"/>
            </w:tcBorders>
            <w:shd w:val="clear" w:color="auto" w:fill="auto"/>
            <w:vAlign w:val="bottom"/>
          </w:tcPr>
          <w:p w14:paraId="09B1FA08"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3,565</w:t>
            </w:r>
          </w:p>
        </w:tc>
        <w:tc>
          <w:tcPr>
            <w:tcW w:w="635" w:type="pct"/>
            <w:tcBorders>
              <w:top w:val="nil"/>
              <w:left w:val="nil"/>
              <w:bottom w:val="nil"/>
              <w:right w:val="nil"/>
            </w:tcBorders>
            <w:shd w:val="clear" w:color="auto" w:fill="auto"/>
            <w:vAlign w:val="bottom"/>
          </w:tcPr>
          <w:p w14:paraId="0BD1C007"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5,054</w:t>
            </w:r>
          </w:p>
        </w:tc>
        <w:tc>
          <w:tcPr>
            <w:tcW w:w="635" w:type="pct"/>
            <w:tcBorders>
              <w:top w:val="nil"/>
              <w:left w:val="nil"/>
              <w:bottom w:val="nil"/>
              <w:right w:val="nil"/>
            </w:tcBorders>
            <w:shd w:val="clear" w:color="auto" w:fill="auto"/>
            <w:vAlign w:val="bottom"/>
          </w:tcPr>
          <w:p w14:paraId="08C08C16"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10,734</w:t>
            </w:r>
          </w:p>
        </w:tc>
      </w:tr>
    </w:tbl>
    <w:p w14:paraId="4A805A32" w14:textId="77777777" w:rsidR="00DF4A0D" w:rsidRPr="00571974" w:rsidRDefault="00DF4A0D" w:rsidP="00DF4A0D">
      <w:pPr>
        <w:pStyle w:val="BodyText"/>
        <w:widowControl/>
        <w:autoSpaceDE/>
        <w:autoSpaceDN/>
        <w:adjustRightInd/>
        <w:ind w:firstLine="360"/>
        <w:rPr>
          <w:lang w:val="en-GB"/>
        </w:rPr>
      </w:pPr>
    </w:p>
    <w:p w14:paraId="39111458"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We had available undrawn committed borrowing facilities of US$8,666 million as at December 31, 2019, US$7,314 million as at December 31, 2018, and US$9,008 million as of December 31, 2017. </w:t>
      </w:r>
    </w:p>
    <w:p w14:paraId="5F464830" w14:textId="77777777" w:rsidR="00DF4A0D" w:rsidRPr="00571974" w:rsidRDefault="003D4D89" w:rsidP="00DF4A0D">
      <w:pPr>
        <w:pStyle w:val="BodyText"/>
        <w:widowControl/>
        <w:autoSpaceDE/>
        <w:autoSpaceDN/>
        <w:adjustRightInd/>
        <w:ind w:firstLine="360"/>
        <w:rPr>
          <w:lang w:val="en-GB"/>
        </w:rPr>
      </w:pPr>
      <w:r w:rsidRPr="00571974">
        <w:rPr>
          <w:lang w:val="en-GB"/>
        </w:rPr>
        <w:t>The maturity profile of our undrawn committed borrowing facilities as of December 31, 2019 is set forth below:</w:t>
      </w:r>
    </w:p>
    <w:tbl>
      <w:tblPr>
        <w:tblW w:w="5000" w:type="pct"/>
        <w:jc w:val="center"/>
        <w:tblCellMar>
          <w:left w:w="72" w:type="dxa"/>
          <w:right w:w="72" w:type="dxa"/>
        </w:tblCellMar>
        <w:tblLook w:val="0000" w:firstRow="0" w:lastRow="0" w:firstColumn="0" w:lastColumn="0" w:noHBand="0" w:noVBand="0"/>
      </w:tblPr>
      <w:tblGrid>
        <w:gridCol w:w="3420"/>
        <w:gridCol w:w="1188"/>
        <w:gridCol w:w="1188"/>
        <w:gridCol w:w="1188"/>
        <w:gridCol w:w="1188"/>
        <w:gridCol w:w="1184"/>
      </w:tblGrid>
      <w:tr w:rsidR="002228B8" w14:paraId="6D9FC74D" w14:textId="77777777" w:rsidTr="00DF4A0D">
        <w:trPr>
          <w:cantSplit/>
          <w:jc w:val="center"/>
        </w:trPr>
        <w:tc>
          <w:tcPr>
            <w:tcW w:w="1827" w:type="pct"/>
            <w:tcBorders>
              <w:top w:val="nil"/>
              <w:left w:val="nil"/>
              <w:bottom w:val="nil"/>
              <w:right w:val="nil"/>
            </w:tcBorders>
            <w:vAlign w:val="bottom"/>
          </w:tcPr>
          <w:p w14:paraId="264C3993"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35" w:type="pct"/>
            <w:tcBorders>
              <w:top w:val="nil"/>
              <w:left w:val="nil"/>
              <w:bottom w:val="nil"/>
              <w:right w:val="nil"/>
            </w:tcBorders>
            <w:vAlign w:val="bottom"/>
          </w:tcPr>
          <w:p w14:paraId="5549719A"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Within</w:t>
            </w:r>
            <w:r w:rsidRPr="00571974">
              <w:rPr>
                <w:b/>
                <w:bCs/>
                <w:sz w:val="18"/>
                <w:szCs w:val="18"/>
                <w:lang w:val="en-GB" w:eastAsia="en-GB" w:bidi="ar-SA"/>
              </w:rPr>
              <w:br/>
              <w:t>1 year or on</w:t>
            </w:r>
            <w:r w:rsidRPr="00571974">
              <w:rPr>
                <w:b/>
                <w:bCs/>
                <w:sz w:val="18"/>
                <w:szCs w:val="18"/>
                <w:lang w:val="en-GB" w:eastAsia="en-GB" w:bidi="ar-SA"/>
              </w:rPr>
              <w:br/>
              <w:t>demand</w:t>
            </w:r>
          </w:p>
        </w:tc>
        <w:tc>
          <w:tcPr>
            <w:tcW w:w="635" w:type="pct"/>
            <w:tcBorders>
              <w:top w:val="nil"/>
              <w:left w:val="nil"/>
              <w:bottom w:val="nil"/>
              <w:right w:val="nil"/>
            </w:tcBorders>
            <w:vAlign w:val="bottom"/>
          </w:tcPr>
          <w:p w14:paraId="7D97F96F"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Between</w:t>
            </w:r>
            <w:r w:rsidRPr="00571974">
              <w:rPr>
                <w:b/>
                <w:bCs/>
                <w:sz w:val="18"/>
                <w:szCs w:val="18"/>
                <w:lang w:val="en-GB" w:eastAsia="en-GB" w:bidi="ar-SA"/>
              </w:rPr>
              <w:br/>
              <w:t>1 year and</w:t>
            </w:r>
            <w:r w:rsidRPr="00571974">
              <w:rPr>
                <w:b/>
                <w:bCs/>
                <w:sz w:val="18"/>
                <w:szCs w:val="18"/>
                <w:lang w:val="en-GB" w:eastAsia="en-GB" w:bidi="ar-SA"/>
              </w:rPr>
              <w:br/>
              <w:t>2 years</w:t>
            </w:r>
          </w:p>
        </w:tc>
        <w:tc>
          <w:tcPr>
            <w:tcW w:w="635" w:type="pct"/>
            <w:tcBorders>
              <w:top w:val="nil"/>
              <w:left w:val="nil"/>
              <w:bottom w:val="nil"/>
              <w:right w:val="nil"/>
            </w:tcBorders>
            <w:vAlign w:val="bottom"/>
          </w:tcPr>
          <w:p w14:paraId="4A490505"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Between</w:t>
            </w:r>
            <w:r w:rsidRPr="00571974">
              <w:rPr>
                <w:b/>
                <w:bCs/>
                <w:sz w:val="18"/>
                <w:szCs w:val="18"/>
                <w:lang w:val="en-GB" w:eastAsia="en-GB" w:bidi="ar-SA"/>
              </w:rPr>
              <w:br/>
              <w:t>2 years and</w:t>
            </w:r>
            <w:r w:rsidRPr="00571974">
              <w:rPr>
                <w:b/>
                <w:bCs/>
                <w:sz w:val="18"/>
                <w:szCs w:val="18"/>
                <w:lang w:val="en-GB" w:eastAsia="en-GB" w:bidi="ar-SA"/>
              </w:rPr>
              <w:br/>
              <w:t>5 years</w:t>
            </w:r>
          </w:p>
        </w:tc>
        <w:tc>
          <w:tcPr>
            <w:tcW w:w="635" w:type="pct"/>
            <w:tcBorders>
              <w:top w:val="nil"/>
              <w:left w:val="nil"/>
              <w:bottom w:val="nil"/>
              <w:right w:val="nil"/>
            </w:tcBorders>
            <w:vAlign w:val="bottom"/>
          </w:tcPr>
          <w:p w14:paraId="6E5267A8"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After</w:t>
            </w:r>
            <w:r w:rsidRPr="00571974">
              <w:rPr>
                <w:b/>
                <w:bCs/>
                <w:sz w:val="18"/>
                <w:szCs w:val="18"/>
                <w:lang w:val="en-GB" w:eastAsia="en-GB" w:bidi="ar-SA"/>
              </w:rPr>
              <w:br/>
              <w:t>5 years</w:t>
            </w:r>
          </w:p>
        </w:tc>
        <w:tc>
          <w:tcPr>
            <w:tcW w:w="634" w:type="pct"/>
            <w:tcBorders>
              <w:top w:val="nil"/>
              <w:left w:val="nil"/>
              <w:bottom w:val="nil"/>
              <w:right w:val="nil"/>
            </w:tcBorders>
            <w:vAlign w:val="bottom"/>
          </w:tcPr>
          <w:p w14:paraId="6A5F85E0" w14:textId="77777777" w:rsidR="00DF4A0D" w:rsidRPr="00571974" w:rsidRDefault="003D4D89" w:rsidP="00DF4A0D">
            <w:pPr>
              <w:keepNext/>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Total</w:t>
            </w:r>
          </w:p>
        </w:tc>
      </w:tr>
      <w:tr w:rsidR="002228B8" w14:paraId="62CFFE6C" w14:textId="77777777" w:rsidTr="00DF4A0D">
        <w:trPr>
          <w:cantSplit/>
          <w:jc w:val="center"/>
        </w:trPr>
        <w:tc>
          <w:tcPr>
            <w:tcW w:w="1827" w:type="pct"/>
            <w:tcBorders>
              <w:top w:val="nil"/>
              <w:left w:val="nil"/>
              <w:bottom w:val="nil"/>
              <w:right w:val="nil"/>
            </w:tcBorders>
            <w:vAlign w:val="bottom"/>
          </w:tcPr>
          <w:p w14:paraId="25ADC884" w14:textId="77777777" w:rsidR="00DF4A0D" w:rsidRPr="00571974" w:rsidRDefault="00DF4A0D"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3173" w:type="pct"/>
            <w:gridSpan w:val="5"/>
            <w:tcBorders>
              <w:top w:val="nil"/>
              <w:left w:val="nil"/>
              <w:bottom w:val="nil"/>
              <w:right w:val="nil"/>
            </w:tcBorders>
            <w:vAlign w:val="bottom"/>
          </w:tcPr>
          <w:p w14:paraId="16F22707"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5073ACFE" w14:textId="77777777" w:rsidTr="00DF4A0D">
        <w:trPr>
          <w:cantSplit/>
          <w:jc w:val="center"/>
        </w:trPr>
        <w:tc>
          <w:tcPr>
            <w:tcW w:w="1827" w:type="pct"/>
            <w:tcBorders>
              <w:top w:val="nil"/>
              <w:left w:val="nil"/>
              <w:bottom w:val="nil"/>
              <w:right w:val="nil"/>
            </w:tcBorders>
            <w:shd w:val="clear" w:color="auto" w:fill="auto"/>
          </w:tcPr>
          <w:p w14:paraId="60606EFE" w14:textId="77777777" w:rsidR="00DF4A0D" w:rsidRPr="00571974" w:rsidRDefault="003D4D89" w:rsidP="00DF4A0D">
            <w:pPr>
              <w:keepNext/>
              <w:tabs>
                <w:tab w:val="right" w:leader="dot" w:pos="3580"/>
              </w:tabs>
              <w:suppressAutoHyphens/>
              <w:ind w:left="200" w:hanging="200"/>
              <w:rPr>
                <w:sz w:val="18"/>
                <w:szCs w:val="18"/>
                <w:lang w:val="en-GB" w:eastAsia="en-GB" w:bidi="ar-SA"/>
              </w:rPr>
            </w:pPr>
            <w:r w:rsidRPr="00571974">
              <w:rPr>
                <w:sz w:val="18"/>
                <w:szCs w:val="18"/>
                <w:lang w:val="en-GB" w:eastAsia="en-GB" w:bidi="ar-SA"/>
              </w:rPr>
              <w:t>Undrawn committed borrowing facilities</w:t>
            </w:r>
            <w:r w:rsidRPr="00571974">
              <w:rPr>
                <w:sz w:val="18"/>
                <w:szCs w:val="18"/>
                <w:lang w:val="en-GB" w:eastAsia="en-GB" w:bidi="ar-SA"/>
              </w:rPr>
              <w:tab/>
            </w:r>
          </w:p>
        </w:tc>
        <w:tc>
          <w:tcPr>
            <w:tcW w:w="635" w:type="pct"/>
            <w:tcBorders>
              <w:top w:val="nil"/>
              <w:left w:val="nil"/>
              <w:bottom w:val="nil"/>
              <w:right w:val="nil"/>
            </w:tcBorders>
            <w:shd w:val="clear" w:color="auto" w:fill="auto"/>
            <w:vAlign w:val="bottom"/>
          </w:tcPr>
          <w:p w14:paraId="6E8EE67B"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228</w:t>
            </w:r>
          </w:p>
        </w:tc>
        <w:tc>
          <w:tcPr>
            <w:tcW w:w="635" w:type="pct"/>
            <w:tcBorders>
              <w:top w:val="nil"/>
              <w:left w:val="nil"/>
              <w:bottom w:val="nil"/>
              <w:right w:val="nil"/>
            </w:tcBorders>
            <w:shd w:val="clear" w:color="auto" w:fill="auto"/>
            <w:vAlign w:val="bottom"/>
          </w:tcPr>
          <w:p w14:paraId="7B2CDF36"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394</w:t>
            </w:r>
          </w:p>
        </w:tc>
        <w:tc>
          <w:tcPr>
            <w:tcW w:w="635" w:type="pct"/>
            <w:tcBorders>
              <w:top w:val="nil"/>
              <w:left w:val="nil"/>
              <w:bottom w:val="nil"/>
              <w:right w:val="nil"/>
            </w:tcBorders>
            <w:shd w:val="clear" w:color="auto" w:fill="auto"/>
            <w:vAlign w:val="bottom"/>
          </w:tcPr>
          <w:p w14:paraId="037C156E"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rStyle w:val="CommentReference"/>
                <w:lang w:val="en-GB" w:eastAsia="en-GB" w:bidi="ar-SA"/>
              </w:rPr>
              <w:t xml:space="preserve">8,044 </w:t>
            </w:r>
          </w:p>
        </w:tc>
        <w:tc>
          <w:tcPr>
            <w:tcW w:w="635" w:type="pct"/>
            <w:tcBorders>
              <w:top w:val="nil"/>
              <w:left w:val="nil"/>
              <w:bottom w:val="nil"/>
              <w:right w:val="nil"/>
            </w:tcBorders>
            <w:shd w:val="clear" w:color="auto" w:fill="auto"/>
            <w:vAlign w:val="bottom"/>
          </w:tcPr>
          <w:p w14:paraId="4A4EC559"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c>
          <w:tcPr>
            <w:tcW w:w="634" w:type="pct"/>
            <w:tcBorders>
              <w:top w:val="nil"/>
              <w:left w:val="nil"/>
              <w:bottom w:val="nil"/>
              <w:right w:val="nil"/>
            </w:tcBorders>
            <w:shd w:val="clear" w:color="auto" w:fill="auto"/>
            <w:vAlign w:val="bottom"/>
          </w:tcPr>
          <w:p w14:paraId="4AF5BD80" w14:textId="77777777" w:rsidR="00DF4A0D" w:rsidRPr="00571974" w:rsidRDefault="003D4D89" w:rsidP="00DF4A0D">
            <w:pPr>
              <w:keepNext/>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8,666</w:t>
            </w:r>
          </w:p>
        </w:tc>
      </w:tr>
    </w:tbl>
    <w:p w14:paraId="00C06FC8" w14:textId="77777777" w:rsidR="00DF4A0D" w:rsidRPr="00571974" w:rsidRDefault="00DF4A0D" w:rsidP="00DF4A0D">
      <w:pPr>
        <w:pStyle w:val="BodyText"/>
        <w:widowControl/>
        <w:autoSpaceDE/>
        <w:autoSpaceDN/>
        <w:adjustRightInd/>
        <w:ind w:firstLine="360"/>
        <w:rPr>
          <w:lang w:val="en-GB"/>
        </w:rPr>
      </w:pPr>
    </w:p>
    <w:p w14:paraId="718D0785" w14:textId="77777777" w:rsidR="00DF4A0D" w:rsidRPr="00571974" w:rsidRDefault="003D4D89" w:rsidP="00DF4A0D">
      <w:pPr>
        <w:pStyle w:val="BodyText"/>
        <w:widowControl/>
        <w:autoSpaceDE/>
        <w:autoSpaceDN/>
        <w:adjustRightInd/>
        <w:ind w:firstLine="360"/>
        <w:rPr>
          <w:lang w:val="en-GB"/>
        </w:rPr>
      </w:pPr>
      <w:r w:rsidRPr="00571974">
        <w:rPr>
          <w:lang w:val="en-GB"/>
        </w:rPr>
        <w:t>Our available undrawn committed borrowing facilities of US$8,666 million as of December 31, 2019 included undrawn rand facilities equivalent to US$200 million in respect of</w:t>
      </w:r>
      <w:r w:rsidRPr="00571974">
        <w:rPr>
          <w:szCs w:val="20"/>
          <w:lang w:val="en-GB"/>
        </w:rPr>
        <w:t xml:space="preserve"> facilities with a 364 day maturity which roll automatically on a daily basis, unless notice is served.</w:t>
      </w:r>
    </w:p>
    <w:p w14:paraId="4A667E8A" w14:textId="77777777" w:rsidR="00DF4A0D" w:rsidRPr="00571974" w:rsidRDefault="003D4D89" w:rsidP="00DF4A0D">
      <w:pPr>
        <w:rPr>
          <w:sz w:val="18"/>
          <w:szCs w:val="18"/>
          <w:lang w:val="en-GB"/>
        </w:rPr>
      </w:pPr>
      <w:r w:rsidRPr="00571974">
        <w:rPr>
          <w:sz w:val="18"/>
          <w:szCs w:val="18"/>
          <w:lang w:val="en-GB"/>
        </w:rPr>
        <w:br w:type="page"/>
      </w:r>
    </w:p>
    <w:p w14:paraId="591157DC" w14:textId="77777777" w:rsidR="00DF4A0D" w:rsidRPr="00571974" w:rsidRDefault="003D4D89" w:rsidP="00DF4A0D">
      <w:pPr>
        <w:pStyle w:val="Heading2"/>
        <w:rPr>
          <w:rFonts w:ascii="Times New Roman" w:hAnsi="Times New Roman"/>
          <w:lang w:val="en-GB"/>
        </w:rPr>
      </w:pPr>
      <w:r w:rsidRPr="00571974">
        <w:rPr>
          <w:rFonts w:ascii="Times New Roman" w:hAnsi="Times New Roman"/>
          <w:lang w:val="en-GB"/>
        </w:rPr>
        <w:lastRenderedPageBreak/>
        <w:t>Financial Risk Exposure and Management</w:t>
      </w:r>
    </w:p>
    <w:p w14:paraId="09648A10" w14:textId="04A193A1" w:rsidR="00DF4A0D" w:rsidRPr="00571974" w:rsidRDefault="003D4D89" w:rsidP="00DF4A0D">
      <w:pPr>
        <w:pStyle w:val="BodyText"/>
        <w:widowControl/>
        <w:autoSpaceDE/>
        <w:autoSpaceDN/>
        <w:adjustRightInd/>
        <w:ind w:firstLine="360"/>
        <w:rPr>
          <w:lang w:val="en-GB"/>
        </w:rPr>
      </w:pPr>
      <w:r w:rsidRPr="00571974">
        <w:rPr>
          <w:lang w:val="en-GB"/>
        </w:rPr>
        <w:t xml:space="preserve">The Group is exposed in varying degrees to a variety of financial instrument related risks. The Board of Directors of Anglo American plc (the </w:t>
      </w:r>
      <w:r w:rsidR="00A311D8">
        <w:rPr>
          <w:lang w:val="en-GB"/>
        </w:rPr>
        <w:t>“</w:t>
      </w:r>
      <w:r w:rsidRPr="00571974">
        <w:rPr>
          <w:lang w:val="en-GB"/>
        </w:rPr>
        <w:t>Board</w:t>
      </w:r>
      <w:r w:rsidR="00A311D8">
        <w:rPr>
          <w:lang w:val="en-GB"/>
        </w:rPr>
        <w:t>”</w:t>
      </w:r>
      <w:r w:rsidRPr="00571974">
        <w:rPr>
          <w:lang w:val="en-GB"/>
        </w:rPr>
        <w:t>) approves and monitors the risk management processes, including documented treasury policies, counterparty limits, controlling and reporting structures. The risk management processes of Anglo American</w:t>
      </w:r>
      <w:r w:rsidR="00A311D8">
        <w:rPr>
          <w:lang w:val="en-GB"/>
        </w:rPr>
        <w:t>’</w:t>
      </w:r>
      <w:r w:rsidRPr="00571974">
        <w:rPr>
          <w:lang w:val="en-GB"/>
        </w:rPr>
        <w:t>s independently listed subsidiaries (including Anglo American Platinum and Kumba) are in line with Anglo American</w:t>
      </w:r>
      <w:r w:rsidR="00A311D8">
        <w:rPr>
          <w:lang w:val="en-GB"/>
        </w:rPr>
        <w:t>’</w:t>
      </w:r>
      <w:r w:rsidRPr="00571974">
        <w:rPr>
          <w:lang w:val="en-GB"/>
        </w:rPr>
        <w:t>s own policies.</w:t>
      </w:r>
    </w:p>
    <w:p w14:paraId="711133F1" w14:textId="77777777" w:rsidR="00DF4A0D" w:rsidRPr="00571974" w:rsidRDefault="003D4D89" w:rsidP="00EA3F32">
      <w:pPr>
        <w:pStyle w:val="Heading4"/>
      </w:pPr>
      <w:r w:rsidRPr="00571974">
        <w:t>Credit Risk</w:t>
      </w:r>
    </w:p>
    <w:p w14:paraId="3C02A43B" w14:textId="20DA1355" w:rsidR="00DF4A0D" w:rsidRPr="00571974" w:rsidRDefault="003D4D89" w:rsidP="00DF4A0D">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s principal financial assets are cash, trade and other receivables, investments and derivative financial instruments. The Group limits credit risk on liquid funds and derivative financial instruments through diversification of exposures with a range of financial institutions approved by the Board. Counterparty limits are set for each financial institution with reference to credit ratings assigned by Standard &amp; Poor</w:t>
      </w:r>
      <w:r w:rsidR="00A311D8">
        <w:rPr>
          <w:lang w:val="en-GB"/>
        </w:rPr>
        <w:t>’</w:t>
      </w:r>
      <w:r w:rsidRPr="00571974">
        <w:rPr>
          <w:lang w:val="en-GB"/>
        </w:rPr>
        <w:t>s, Moody</w:t>
      </w:r>
      <w:r w:rsidR="00A311D8">
        <w:rPr>
          <w:lang w:val="en-GB"/>
        </w:rPr>
        <w:t>’</w:t>
      </w:r>
      <w:r w:rsidRPr="00571974">
        <w:rPr>
          <w:lang w:val="en-GB"/>
        </w:rPr>
        <w:t xml:space="preserve">s and Fitch Ratings, shareholder equity (in case of relationship banks) and fund size (in case of asset managers). </w:t>
      </w:r>
    </w:p>
    <w:p w14:paraId="4C6332B1" w14:textId="32632DCB" w:rsidR="00DF4A0D" w:rsidRPr="00571974" w:rsidRDefault="003D4D89" w:rsidP="00DF4A0D">
      <w:pPr>
        <w:pStyle w:val="BodyText"/>
        <w:widowControl/>
        <w:autoSpaceDE/>
        <w:autoSpaceDN/>
        <w:adjustRightInd/>
        <w:rPr>
          <w:lang w:val="en-GB"/>
        </w:rPr>
      </w:pPr>
      <w:r w:rsidRPr="00571974">
        <w:rPr>
          <w:lang w:val="en-GB"/>
        </w:rPr>
        <w:t>Given the diverse nature of the Group</w:t>
      </w:r>
      <w:r w:rsidR="00A311D8">
        <w:rPr>
          <w:lang w:val="en-GB"/>
        </w:rPr>
        <w:t>’</w:t>
      </w:r>
      <w:r w:rsidRPr="00571974">
        <w:rPr>
          <w:lang w:val="en-GB"/>
        </w:rPr>
        <w:t xml:space="preserve">s operations (both in relation to commodity markets and geographically), and the use of payment security instruments (including letters of credit from financial institutions), it does not have significant concentration of credit risk in respect of trade receivables, with exposure spread over a large number of customers.  A provision for impairment of trade receivables is made where there is an identified loss event which, based on previous experience, is evidence of a reduction in the recoverability of the cash flows. </w:t>
      </w:r>
    </w:p>
    <w:p w14:paraId="149C802D" w14:textId="77777777" w:rsidR="00DF4A0D" w:rsidRPr="00571974" w:rsidRDefault="003D4D89" w:rsidP="00EA3F32">
      <w:pPr>
        <w:pStyle w:val="Heading4"/>
      </w:pPr>
      <w:r w:rsidRPr="00571974">
        <w:t>Liquidity Risk</w:t>
      </w:r>
    </w:p>
    <w:p w14:paraId="52EE09F3" w14:textId="77777777" w:rsidR="00DF4A0D" w:rsidRPr="00571974" w:rsidRDefault="003D4D89" w:rsidP="00DF4A0D">
      <w:pPr>
        <w:pStyle w:val="BodyText"/>
        <w:widowControl/>
        <w:autoSpaceDE/>
        <w:autoSpaceDN/>
        <w:adjustRightInd/>
        <w:ind w:firstLine="360"/>
        <w:rPr>
          <w:lang w:val="en-GB"/>
        </w:rPr>
      </w:pPr>
      <w:r w:rsidRPr="00571974">
        <w:rPr>
          <w:lang w:val="en-GB"/>
        </w:rPr>
        <w:t>The Group ensures that there are sufficient committed loan facilities (including refinancing, where necessary) in order to meet short-term cash requirements, after taking into account cash flows from operations and its holding of cash and cash equivalents, as well as any group distribution restrictions that exist. In addition, certain projects are financed by means of limited recourse project finance, if appropriate.</w:t>
      </w:r>
    </w:p>
    <w:p w14:paraId="110093AF" w14:textId="77777777" w:rsidR="00DF4A0D" w:rsidRPr="00571974" w:rsidRDefault="003D4D89" w:rsidP="00EA3F32">
      <w:pPr>
        <w:pStyle w:val="Heading4"/>
      </w:pPr>
      <w:r w:rsidRPr="00571974">
        <w:t>Foreign Exchange Risk</w:t>
      </w:r>
    </w:p>
    <w:p w14:paraId="5E2E6355" w14:textId="3D9BBB6B" w:rsidR="00DF4A0D" w:rsidRPr="00571974" w:rsidRDefault="003D4D89" w:rsidP="00DF4A0D">
      <w:pPr>
        <w:rPr>
          <w:lang w:val="en-GB"/>
        </w:rPr>
      </w:pPr>
      <w:r w:rsidRPr="00571974">
        <w:rPr>
          <w:lang w:val="en-GB"/>
        </w:rPr>
        <w:t>As a global business, the Group is exposed to many currencies principally as a result of non-U.S. dollar operating costs incurred by U.S. dollar functional currency companies and, to a lesser extent, from non-U.S. dollar revenues. The Group</w:t>
      </w:r>
      <w:r w:rsidR="00A311D8">
        <w:rPr>
          <w:lang w:val="en-GB"/>
        </w:rPr>
        <w:t>’</w:t>
      </w:r>
      <w:r w:rsidRPr="00571974">
        <w:rPr>
          <w:lang w:val="en-GB"/>
        </w:rPr>
        <w:t xml:space="preserve">s policy is generally not to hedge such exposures given the correlation, over the longer term, with commodity prices and the diversified nature of the Group, although exceptions can be approved by </w:t>
      </w:r>
      <w:r w:rsidRPr="00571974">
        <w:rPr>
          <w:rFonts w:eastAsia="Calibri"/>
          <w:lang w:val="en-GB" w:eastAsia="en-US"/>
        </w:rPr>
        <w:t>the Group Management Committee.</w:t>
      </w:r>
    </w:p>
    <w:p w14:paraId="34A5AE03" w14:textId="574B8EB7" w:rsidR="00DF4A0D" w:rsidRPr="00571974" w:rsidRDefault="003D4D89" w:rsidP="00DF4A0D">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s policy is generally not to hedge such exposures given the correlation, over the longer term, with commodity prices and the diversified nature of the Group, though exceptions can be approved by the Group Management Committee.  In addition, currency exposures exist in respect of non-U.S. dollar approved capital expenditure projects and non-U.S. dollar borrowings in U.S. dollar functional currency entities. The Group</w:t>
      </w:r>
      <w:r w:rsidR="00A311D8">
        <w:rPr>
          <w:lang w:val="en-GB"/>
        </w:rPr>
        <w:t>’</w:t>
      </w:r>
      <w:r w:rsidRPr="00571974">
        <w:rPr>
          <w:lang w:val="en-GB"/>
        </w:rPr>
        <w:t>s policy is that such exposures should be hedged subject to a review of the specific circumstances of the exposure.</w:t>
      </w:r>
    </w:p>
    <w:p w14:paraId="531185C6" w14:textId="77777777" w:rsidR="00DF4A0D" w:rsidRPr="00571974" w:rsidRDefault="003D4D89" w:rsidP="00EA3F32">
      <w:pPr>
        <w:pStyle w:val="Heading4"/>
      </w:pPr>
      <w:r w:rsidRPr="00571974">
        <w:t>Interest Rate Risk</w:t>
      </w:r>
    </w:p>
    <w:p w14:paraId="6245F137" w14:textId="77777777" w:rsidR="00DF4A0D" w:rsidRPr="00571974" w:rsidRDefault="003D4D89" w:rsidP="00DF4A0D">
      <w:pPr>
        <w:pStyle w:val="BodyText"/>
        <w:widowControl/>
        <w:autoSpaceDE/>
        <w:autoSpaceDN/>
        <w:adjustRightInd/>
        <w:ind w:firstLine="360"/>
        <w:rPr>
          <w:lang w:val="en-GB"/>
        </w:rPr>
      </w:pPr>
      <w:r w:rsidRPr="00571974">
        <w:rPr>
          <w:lang w:val="en-GB"/>
        </w:rPr>
        <w:t xml:space="preserve">Interest rate risk arises due to fluctuations in interest rates which impact on the value of short term investments and financing activities. The Group is principally exposed to U.S. and South African interest rates. </w:t>
      </w:r>
    </w:p>
    <w:p w14:paraId="3043C796" w14:textId="3AC4FF3E" w:rsidR="00DF4A0D" w:rsidRPr="00571974" w:rsidRDefault="003D4D89" w:rsidP="00DF4A0D">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 xml:space="preserve">s policy is to borrow funds </w:t>
      </w:r>
      <w:r w:rsidR="00881174">
        <w:rPr>
          <w:lang w:val="en-GB"/>
        </w:rPr>
        <w:t>exposed to</w:t>
      </w:r>
      <w:r w:rsidRPr="00571974">
        <w:rPr>
          <w:lang w:val="en-GB"/>
        </w:rPr>
        <w:t xml:space="preserve"> floating rates of interest given the link with economic output and therefore the correlation, over the longer term, with commodity prices. The Group uses interest rate swap contracts to manage its exposure to interest rate movements on its debt. </w:t>
      </w:r>
      <w:r w:rsidR="00881174">
        <w:rPr>
          <w:lang w:val="en-GB"/>
        </w:rPr>
        <w:t xml:space="preserve">Issuance of a small portion of fixed rate debt </w:t>
      </w:r>
      <w:r w:rsidRPr="00571974">
        <w:rPr>
          <w:lang w:val="en-GB"/>
        </w:rPr>
        <w:t xml:space="preserve">may also be undertaken from time to time if approved by the Group Management Committee. </w:t>
      </w:r>
    </w:p>
    <w:p w14:paraId="334CA1F4" w14:textId="0F030844" w:rsidR="00DF4A0D" w:rsidRPr="00571974" w:rsidRDefault="003D4D89" w:rsidP="00DF4A0D">
      <w:pPr>
        <w:pStyle w:val="BodyText"/>
        <w:widowControl/>
        <w:autoSpaceDE/>
        <w:autoSpaceDN/>
        <w:adjustRightInd/>
        <w:ind w:firstLine="360"/>
        <w:rPr>
          <w:lang w:val="en-GB"/>
        </w:rPr>
      </w:pPr>
      <w:r w:rsidRPr="00571974">
        <w:rPr>
          <w:lang w:val="en-GB"/>
        </w:rPr>
        <w:t>In respect of financial assets, the Group</w:t>
      </w:r>
      <w:r w:rsidR="00A311D8">
        <w:rPr>
          <w:lang w:val="en-GB"/>
        </w:rPr>
        <w:t>’</w:t>
      </w:r>
      <w:r w:rsidRPr="00571974">
        <w:rPr>
          <w:lang w:val="en-GB"/>
        </w:rPr>
        <w:t xml:space="preserve">s policy is to invest cash at floating rates of interest and to maintain cash reserves in short term investments (less than one year) in order to maintain liquidity. </w:t>
      </w:r>
    </w:p>
    <w:p w14:paraId="1DEDED07" w14:textId="77777777" w:rsidR="00DF4A0D" w:rsidRPr="00571974" w:rsidRDefault="003D4D89" w:rsidP="00EA3F32">
      <w:pPr>
        <w:pStyle w:val="Heading4"/>
      </w:pPr>
      <w:r w:rsidRPr="00571974">
        <w:t>Commodity Price Risk</w:t>
      </w:r>
    </w:p>
    <w:p w14:paraId="4BAAE1C9" w14:textId="03D2BCBF" w:rsidR="00DF4A0D" w:rsidRPr="00571974" w:rsidRDefault="003D4D89" w:rsidP="00DF4A0D">
      <w:pPr>
        <w:pStyle w:val="BodyText"/>
        <w:widowControl/>
        <w:autoSpaceDE/>
        <w:autoSpaceDN/>
        <w:adjustRightInd/>
        <w:ind w:firstLine="360"/>
        <w:rPr>
          <w:lang w:val="en-GB"/>
        </w:rPr>
      </w:pPr>
      <w:r w:rsidRPr="00571974">
        <w:rPr>
          <w:lang w:val="en-GB"/>
        </w:rPr>
        <w:t>The Group</w:t>
      </w:r>
      <w:r w:rsidR="00A311D8">
        <w:rPr>
          <w:lang w:val="en-GB"/>
        </w:rPr>
        <w:t>’</w:t>
      </w:r>
      <w:r w:rsidRPr="00571974">
        <w:rPr>
          <w:lang w:val="en-GB"/>
        </w:rPr>
        <w:t>s earnings are exposed to movements in the prices of the commodities it produces. The Group</w:t>
      </w:r>
      <w:r w:rsidR="00A311D8">
        <w:rPr>
          <w:lang w:val="en-GB"/>
        </w:rPr>
        <w:t>’</w:t>
      </w:r>
      <w:r w:rsidRPr="00571974">
        <w:rPr>
          <w:lang w:val="en-GB"/>
        </w:rPr>
        <w:t>s policy is to sell its products at prevailing market prices and is generally not to hedge commodity price risk, although some hedging may be undertaken for strategic reasons. In such cases, the Group generally uses forward contracts and other derivative instruments to hedge the price risk. Certain of the Group</w:t>
      </w:r>
      <w:r w:rsidR="00A311D8">
        <w:rPr>
          <w:lang w:val="en-GB"/>
        </w:rPr>
        <w:t>’</w:t>
      </w:r>
      <w:r w:rsidRPr="00571974">
        <w:rPr>
          <w:lang w:val="en-GB"/>
        </w:rPr>
        <w:t>s sales and purchases are provisionally priced, meaning that the selling price is determined normally 30 to 180 days after delivery to the customer, based on quoted market prices stipulated in the contract, and as a result are susceptible to future price movements.</w:t>
      </w:r>
    </w:p>
    <w:p w14:paraId="75A4B75B" w14:textId="77777777" w:rsidR="00DF4A0D" w:rsidRPr="00571974" w:rsidRDefault="003D4D89" w:rsidP="00EA3F32">
      <w:pPr>
        <w:pStyle w:val="Heading4"/>
      </w:pPr>
      <w:r w:rsidRPr="00571974">
        <w:lastRenderedPageBreak/>
        <w:t>Derivatives and Hedging</w:t>
      </w:r>
    </w:p>
    <w:p w14:paraId="4B1B0802" w14:textId="77777777" w:rsidR="00DF4A0D" w:rsidRPr="00571974" w:rsidRDefault="003D4D89" w:rsidP="00DF4A0D">
      <w:pPr>
        <w:pStyle w:val="BodyText"/>
        <w:widowControl/>
        <w:autoSpaceDE/>
        <w:autoSpaceDN/>
        <w:adjustRightInd/>
        <w:ind w:firstLine="360"/>
        <w:rPr>
          <w:lang w:val="en-GB"/>
        </w:rPr>
      </w:pPr>
      <w:r w:rsidRPr="00571974">
        <w:rPr>
          <w:lang w:val="en-GB"/>
        </w:rPr>
        <w:t>The Group utilizes derivative instruments to manage certain market risk exposures as explained above. The Group does not use derivative financial instruments for speculative purposes; however it may choose not to designate certain derivatives as hedges for accounting purposes. Such derivatives are classified as non-hedges and fair value movements are recorded in the income statement. The use of derivative instruments is subject to limits and the positions are regularly monitored and reported to senior management. Derivatives are classified as current or non-current depending on the maturity of the derivative.</w:t>
      </w:r>
    </w:p>
    <w:p w14:paraId="670F0892" w14:textId="77777777" w:rsidR="00DF4A0D" w:rsidRPr="00571974" w:rsidRDefault="003D4D89" w:rsidP="00DF4A0D">
      <w:pPr>
        <w:pStyle w:val="Heading2"/>
        <w:rPr>
          <w:rFonts w:ascii="Times New Roman" w:hAnsi="Times New Roman"/>
          <w:lang w:val="en-GB"/>
        </w:rPr>
      </w:pPr>
      <w:r w:rsidRPr="00571974">
        <w:rPr>
          <w:rFonts w:ascii="Times New Roman" w:hAnsi="Times New Roman"/>
          <w:lang w:val="en-GB"/>
        </w:rPr>
        <w:t>Off-Balance Sheet Arrangements</w:t>
      </w:r>
    </w:p>
    <w:p w14:paraId="46C8ACB2" w14:textId="5FF0AEB3" w:rsidR="00DF4A0D" w:rsidRPr="00571974" w:rsidRDefault="003D4D89" w:rsidP="00DF4A0D">
      <w:pPr>
        <w:pStyle w:val="BodyText"/>
        <w:widowControl/>
        <w:autoSpaceDE/>
        <w:autoSpaceDN/>
        <w:adjustRightInd/>
        <w:ind w:firstLine="360"/>
        <w:rPr>
          <w:lang w:val="en-GB"/>
        </w:rPr>
      </w:pPr>
      <w:r w:rsidRPr="00571974">
        <w:rPr>
          <w:lang w:val="en-GB"/>
        </w:rPr>
        <w:t xml:space="preserve">The Group enters into certain arrangements in the ordinary course of business that would be considered </w:t>
      </w:r>
      <w:r w:rsidR="00A311D8">
        <w:rPr>
          <w:lang w:val="en-GB"/>
        </w:rPr>
        <w:t>“</w:t>
      </w:r>
      <w:r w:rsidRPr="00571974">
        <w:rPr>
          <w:lang w:val="en-GB"/>
        </w:rPr>
        <w:t>off balance sheet</w:t>
      </w:r>
      <w:r w:rsidR="00A311D8">
        <w:rPr>
          <w:lang w:val="en-GB"/>
        </w:rPr>
        <w:t>”</w:t>
      </w:r>
      <w:r w:rsidRPr="00571974">
        <w:rPr>
          <w:lang w:val="en-GB"/>
        </w:rPr>
        <w:t>. Such arrangements principally arise from the requirement, in several jurisdictions, to provide guarantees in respect of environmental restoration and decommissioning obligations. The Group has provided for the estimated cost of these activities, see Note 15 to the Group 2019 Consolidated Financial Statements.</w:t>
      </w:r>
    </w:p>
    <w:p w14:paraId="1B95F279" w14:textId="77777777" w:rsidR="00DF4A0D" w:rsidRPr="00571974" w:rsidRDefault="003D4D89" w:rsidP="00DF4A0D">
      <w:pPr>
        <w:pStyle w:val="Heading2"/>
        <w:rPr>
          <w:rFonts w:ascii="Times New Roman" w:hAnsi="Times New Roman"/>
          <w:lang w:val="en-GB"/>
        </w:rPr>
      </w:pPr>
      <w:r w:rsidRPr="00571974">
        <w:rPr>
          <w:rFonts w:ascii="Times New Roman" w:hAnsi="Times New Roman"/>
          <w:lang w:val="en-GB"/>
        </w:rPr>
        <w:t>Contractual Obligations and Commercial Commitments</w:t>
      </w:r>
    </w:p>
    <w:p w14:paraId="6283BC36" w14:textId="77777777" w:rsidR="00DF4A0D" w:rsidRPr="00571974" w:rsidRDefault="003D4D89" w:rsidP="00DF4A0D">
      <w:pPr>
        <w:pStyle w:val="BodyText"/>
        <w:widowControl/>
        <w:autoSpaceDE/>
        <w:autoSpaceDN/>
        <w:adjustRightInd/>
        <w:ind w:firstLine="360"/>
        <w:rPr>
          <w:lang w:val="en-GB"/>
        </w:rPr>
      </w:pPr>
      <w:r w:rsidRPr="00571974">
        <w:rPr>
          <w:lang w:val="en-GB"/>
        </w:rPr>
        <w:t>As of December 31, 2019, the Group had contractual cash obligations arising in the ordinary course of business as follows:</w:t>
      </w:r>
    </w:p>
    <w:tbl>
      <w:tblPr>
        <w:tblW w:w="5000" w:type="pct"/>
        <w:jc w:val="center"/>
        <w:tblCellMar>
          <w:left w:w="72" w:type="dxa"/>
          <w:right w:w="72" w:type="dxa"/>
        </w:tblCellMar>
        <w:tblLook w:val="0000" w:firstRow="0" w:lastRow="0" w:firstColumn="0" w:lastColumn="0" w:noHBand="0" w:noVBand="0"/>
      </w:tblPr>
      <w:tblGrid>
        <w:gridCol w:w="3146"/>
        <w:gridCol w:w="1243"/>
        <w:gridCol w:w="1242"/>
        <w:gridCol w:w="1242"/>
        <w:gridCol w:w="1242"/>
        <w:gridCol w:w="1241"/>
      </w:tblGrid>
      <w:tr w:rsidR="002228B8" w14:paraId="0A3E2426" w14:textId="77777777" w:rsidTr="006D097D">
        <w:trPr>
          <w:cantSplit/>
          <w:jc w:val="center"/>
        </w:trPr>
        <w:tc>
          <w:tcPr>
            <w:tcW w:w="1681" w:type="pct"/>
            <w:tcBorders>
              <w:top w:val="nil"/>
              <w:left w:val="nil"/>
              <w:bottom w:val="nil"/>
              <w:right w:val="nil"/>
            </w:tcBorders>
            <w:vAlign w:val="bottom"/>
          </w:tcPr>
          <w:p w14:paraId="72D83C8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664" w:type="pct"/>
            <w:tcBorders>
              <w:top w:val="nil"/>
              <w:left w:val="nil"/>
              <w:bottom w:val="nil"/>
              <w:right w:val="nil"/>
            </w:tcBorders>
            <w:vAlign w:val="bottom"/>
          </w:tcPr>
          <w:p w14:paraId="6C9804BA"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Total</w:t>
            </w:r>
          </w:p>
        </w:tc>
        <w:tc>
          <w:tcPr>
            <w:tcW w:w="664" w:type="pct"/>
            <w:tcBorders>
              <w:top w:val="nil"/>
              <w:left w:val="nil"/>
              <w:bottom w:val="nil"/>
              <w:right w:val="nil"/>
            </w:tcBorders>
            <w:vAlign w:val="bottom"/>
          </w:tcPr>
          <w:p w14:paraId="1EFA3834"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Less than</w:t>
            </w:r>
            <w:r w:rsidRPr="00571974">
              <w:rPr>
                <w:b/>
                <w:bCs/>
                <w:sz w:val="18"/>
                <w:szCs w:val="18"/>
                <w:lang w:val="en-GB" w:eastAsia="en-GB" w:bidi="ar-SA"/>
              </w:rPr>
              <w:br/>
              <w:t>1 year</w:t>
            </w:r>
          </w:p>
        </w:tc>
        <w:tc>
          <w:tcPr>
            <w:tcW w:w="664" w:type="pct"/>
            <w:tcBorders>
              <w:top w:val="nil"/>
              <w:left w:val="nil"/>
              <w:bottom w:val="nil"/>
              <w:right w:val="nil"/>
            </w:tcBorders>
            <w:vAlign w:val="bottom"/>
          </w:tcPr>
          <w:p w14:paraId="004AD446"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Between</w:t>
            </w:r>
            <w:r w:rsidRPr="00571974">
              <w:rPr>
                <w:b/>
                <w:bCs/>
                <w:sz w:val="18"/>
                <w:szCs w:val="18"/>
                <w:lang w:val="en-GB" w:eastAsia="en-GB" w:bidi="ar-SA"/>
              </w:rPr>
              <w:br/>
              <w:t>1 year and</w:t>
            </w:r>
            <w:r w:rsidRPr="00571974">
              <w:rPr>
                <w:b/>
                <w:bCs/>
                <w:sz w:val="18"/>
                <w:szCs w:val="18"/>
                <w:lang w:val="en-GB" w:eastAsia="en-GB" w:bidi="ar-SA"/>
              </w:rPr>
              <w:br/>
              <w:t>2 years</w:t>
            </w:r>
          </w:p>
        </w:tc>
        <w:tc>
          <w:tcPr>
            <w:tcW w:w="664" w:type="pct"/>
            <w:tcBorders>
              <w:top w:val="nil"/>
              <w:left w:val="nil"/>
              <w:bottom w:val="nil"/>
              <w:right w:val="nil"/>
            </w:tcBorders>
            <w:vAlign w:val="bottom"/>
          </w:tcPr>
          <w:p w14:paraId="51BE297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Between</w:t>
            </w:r>
            <w:r w:rsidRPr="00571974">
              <w:rPr>
                <w:b/>
                <w:bCs/>
                <w:sz w:val="18"/>
                <w:szCs w:val="18"/>
                <w:lang w:val="en-GB" w:eastAsia="en-GB" w:bidi="ar-SA"/>
              </w:rPr>
              <w:br/>
              <w:t>2 years and</w:t>
            </w:r>
            <w:r w:rsidRPr="00571974">
              <w:rPr>
                <w:b/>
                <w:bCs/>
                <w:sz w:val="18"/>
                <w:szCs w:val="18"/>
                <w:lang w:val="en-GB" w:eastAsia="en-GB" w:bidi="ar-SA"/>
              </w:rPr>
              <w:br/>
              <w:t>5 years</w:t>
            </w:r>
          </w:p>
        </w:tc>
        <w:tc>
          <w:tcPr>
            <w:tcW w:w="663" w:type="pct"/>
            <w:tcBorders>
              <w:top w:val="nil"/>
              <w:left w:val="nil"/>
              <w:bottom w:val="nil"/>
              <w:right w:val="nil"/>
            </w:tcBorders>
            <w:vAlign w:val="bottom"/>
          </w:tcPr>
          <w:p w14:paraId="0748ADB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More than</w:t>
            </w:r>
            <w:r w:rsidRPr="00571974">
              <w:rPr>
                <w:b/>
                <w:bCs/>
                <w:sz w:val="18"/>
                <w:szCs w:val="18"/>
                <w:lang w:val="en-GB" w:eastAsia="en-GB" w:bidi="ar-SA"/>
              </w:rPr>
              <w:br/>
              <w:t>5 years</w:t>
            </w:r>
          </w:p>
        </w:tc>
      </w:tr>
      <w:tr w:rsidR="002228B8" w14:paraId="4B1B7A08" w14:textId="77777777" w:rsidTr="00DF4A0D">
        <w:trPr>
          <w:cantSplit/>
          <w:jc w:val="center"/>
        </w:trPr>
        <w:tc>
          <w:tcPr>
            <w:tcW w:w="1681" w:type="pct"/>
            <w:tcBorders>
              <w:top w:val="nil"/>
              <w:left w:val="nil"/>
              <w:bottom w:val="nil"/>
              <w:right w:val="nil"/>
            </w:tcBorders>
            <w:vAlign w:val="bottom"/>
          </w:tcPr>
          <w:p w14:paraId="0CFD7C4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3319" w:type="pct"/>
            <w:gridSpan w:val="5"/>
            <w:tcBorders>
              <w:top w:val="nil"/>
              <w:left w:val="nil"/>
              <w:bottom w:val="nil"/>
              <w:right w:val="nil"/>
            </w:tcBorders>
            <w:vAlign w:val="bottom"/>
          </w:tcPr>
          <w:p w14:paraId="73958BA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i/>
                <w:iCs/>
                <w:sz w:val="18"/>
                <w:szCs w:val="18"/>
                <w:lang w:val="en-GB" w:eastAsia="en-GB" w:bidi="ar-SA"/>
              </w:rPr>
            </w:pPr>
            <w:r w:rsidRPr="00571974">
              <w:rPr>
                <w:b/>
                <w:bCs/>
                <w:i/>
                <w:iCs/>
                <w:sz w:val="18"/>
                <w:szCs w:val="18"/>
                <w:lang w:val="en-GB" w:eastAsia="en-GB" w:bidi="ar-SA"/>
              </w:rPr>
              <w:t>(US$m)</w:t>
            </w:r>
          </w:p>
        </w:tc>
      </w:tr>
      <w:tr w:rsidR="002228B8" w14:paraId="2BF6D3C9" w14:textId="77777777" w:rsidTr="006D097D">
        <w:trPr>
          <w:cantSplit/>
          <w:jc w:val="center"/>
        </w:trPr>
        <w:tc>
          <w:tcPr>
            <w:tcW w:w="1681" w:type="pct"/>
            <w:tcBorders>
              <w:top w:val="nil"/>
              <w:left w:val="nil"/>
              <w:bottom w:val="nil"/>
              <w:right w:val="nil"/>
            </w:tcBorders>
            <w:shd w:val="clear" w:color="auto" w:fill="auto"/>
          </w:tcPr>
          <w:p w14:paraId="78256230" w14:textId="77777777" w:rsidR="00DF4A0D" w:rsidRPr="00571974" w:rsidRDefault="003D4D89" w:rsidP="00DF4A0D">
            <w:pPr>
              <w:tabs>
                <w:tab w:val="right" w:leader="dot" w:pos="3700"/>
              </w:tabs>
              <w:suppressAutoHyphens/>
              <w:ind w:left="200" w:hanging="200"/>
              <w:rPr>
                <w:sz w:val="18"/>
                <w:szCs w:val="18"/>
                <w:lang w:val="en-GB" w:eastAsia="en-GB" w:bidi="ar-SA"/>
              </w:rPr>
            </w:pPr>
            <w:r w:rsidRPr="00571974">
              <w:rPr>
                <w:sz w:val="18"/>
                <w:szCs w:val="18"/>
                <w:lang w:val="en-GB" w:eastAsia="en-GB" w:bidi="ar-SA"/>
              </w:rPr>
              <w:t>Debt obligations</w:t>
            </w:r>
            <w:r w:rsidRPr="00571974">
              <w:rPr>
                <w:sz w:val="18"/>
                <w:szCs w:val="18"/>
                <w:vertAlign w:val="superscript"/>
                <w:lang w:val="en-GB" w:eastAsia="en-GB" w:bidi="ar-SA"/>
              </w:rPr>
              <w:t>(1)</w:t>
            </w:r>
            <w:r w:rsidRPr="00571974">
              <w:rPr>
                <w:sz w:val="18"/>
                <w:szCs w:val="18"/>
                <w:lang w:val="en-GB" w:eastAsia="en-GB" w:bidi="ar-SA"/>
              </w:rPr>
              <w:tab/>
            </w:r>
          </w:p>
        </w:tc>
        <w:tc>
          <w:tcPr>
            <w:tcW w:w="664" w:type="pct"/>
            <w:tcBorders>
              <w:top w:val="nil"/>
              <w:left w:val="nil"/>
              <w:bottom w:val="nil"/>
              <w:right w:val="nil"/>
            </w:tcBorders>
            <w:shd w:val="clear" w:color="auto" w:fill="auto"/>
            <w:vAlign w:val="bottom"/>
          </w:tcPr>
          <w:p w14:paraId="4D34D11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(12,703)</w:t>
            </w:r>
          </w:p>
        </w:tc>
        <w:tc>
          <w:tcPr>
            <w:tcW w:w="664" w:type="pct"/>
            <w:tcBorders>
              <w:top w:val="nil"/>
              <w:left w:val="nil"/>
              <w:bottom w:val="nil"/>
              <w:right w:val="nil"/>
            </w:tcBorders>
            <w:shd w:val="clear" w:color="auto" w:fill="auto"/>
            <w:vAlign w:val="bottom"/>
          </w:tcPr>
          <w:p w14:paraId="7E46FAC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(1,237)</w:t>
            </w:r>
          </w:p>
        </w:tc>
        <w:tc>
          <w:tcPr>
            <w:tcW w:w="664" w:type="pct"/>
            <w:tcBorders>
              <w:top w:val="nil"/>
              <w:left w:val="nil"/>
              <w:bottom w:val="nil"/>
              <w:right w:val="nil"/>
            </w:tcBorders>
            <w:shd w:val="clear" w:color="auto" w:fill="auto"/>
            <w:vAlign w:val="bottom"/>
          </w:tcPr>
          <w:p w14:paraId="0410B6A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(1,525)</w:t>
            </w:r>
          </w:p>
        </w:tc>
        <w:tc>
          <w:tcPr>
            <w:tcW w:w="664" w:type="pct"/>
            <w:tcBorders>
              <w:top w:val="nil"/>
              <w:left w:val="nil"/>
              <w:bottom w:val="nil"/>
              <w:right w:val="nil"/>
            </w:tcBorders>
            <w:shd w:val="clear" w:color="auto" w:fill="auto"/>
            <w:vAlign w:val="bottom"/>
          </w:tcPr>
          <w:p w14:paraId="103C34C2"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(4,525)</w:t>
            </w:r>
          </w:p>
        </w:tc>
        <w:tc>
          <w:tcPr>
            <w:tcW w:w="663" w:type="pct"/>
            <w:tcBorders>
              <w:top w:val="nil"/>
              <w:left w:val="nil"/>
              <w:bottom w:val="nil"/>
              <w:right w:val="nil"/>
            </w:tcBorders>
            <w:shd w:val="clear" w:color="auto" w:fill="auto"/>
            <w:vAlign w:val="bottom"/>
          </w:tcPr>
          <w:p w14:paraId="70C0B54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(5,416)</w:t>
            </w:r>
          </w:p>
        </w:tc>
      </w:tr>
      <w:tr w:rsidR="002228B8" w14:paraId="6252B25F" w14:textId="77777777" w:rsidTr="006D097D">
        <w:trPr>
          <w:cantSplit/>
          <w:jc w:val="center"/>
        </w:trPr>
        <w:tc>
          <w:tcPr>
            <w:tcW w:w="1681" w:type="pct"/>
            <w:tcBorders>
              <w:top w:val="nil"/>
              <w:left w:val="nil"/>
              <w:bottom w:val="nil"/>
              <w:right w:val="nil"/>
            </w:tcBorders>
            <w:shd w:val="clear" w:color="auto" w:fill="auto"/>
          </w:tcPr>
          <w:p w14:paraId="37279705" w14:textId="77777777" w:rsidR="006D097D" w:rsidRPr="00571974" w:rsidRDefault="003D4D89" w:rsidP="006D097D">
            <w:pPr>
              <w:tabs>
                <w:tab w:val="right" w:leader="dot" w:pos="3700"/>
              </w:tabs>
              <w:suppressAutoHyphens/>
              <w:ind w:left="200" w:hanging="200"/>
              <w:rPr>
                <w:sz w:val="18"/>
                <w:szCs w:val="18"/>
                <w:lang w:val="en-GB" w:eastAsia="en-GB" w:bidi="ar-SA"/>
              </w:rPr>
            </w:pPr>
            <w:r w:rsidRPr="00571974">
              <w:rPr>
                <w:sz w:val="18"/>
                <w:szCs w:val="18"/>
                <w:lang w:val="en-GB" w:eastAsia="en-GB" w:bidi="ar-SA"/>
              </w:rPr>
              <w:t>Lease obligations</w:t>
            </w:r>
            <w:r w:rsidRPr="00571974">
              <w:rPr>
                <w:sz w:val="18"/>
                <w:szCs w:val="18"/>
                <w:lang w:val="en-GB" w:eastAsia="en-GB" w:bidi="ar-SA"/>
              </w:rPr>
              <w:tab/>
            </w:r>
          </w:p>
        </w:tc>
        <w:tc>
          <w:tcPr>
            <w:tcW w:w="664" w:type="pct"/>
            <w:tcBorders>
              <w:top w:val="nil"/>
              <w:left w:val="nil"/>
              <w:bottom w:val="nil"/>
              <w:right w:val="nil"/>
            </w:tcBorders>
            <w:shd w:val="clear" w:color="auto" w:fill="auto"/>
            <w:vAlign w:val="bottom"/>
          </w:tcPr>
          <w:p w14:paraId="04D95BDC"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(605)</w:t>
            </w:r>
          </w:p>
        </w:tc>
        <w:tc>
          <w:tcPr>
            <w:tcW w:w="664" w:type="pct"/>
            <w:tcBorders>
              <w:top w:val="nil"/>
              <w:left w:val="nil"/>
              <w:bottom w:val="nil"/>
              <w:right w:val="nil"/>
            </w:tcBorders>
            <w:shd w:val="clear" w:color="auto" w:fill="auto"/>
            <w:vAlign w:val="bottom"/>
          </w:tcPr>
          <w:p w14:paraId="21A5AD83"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(245)</w:t>
            </w:r>
          </w:p>
        </w:tc>
        <w:tc>
          <w:tcPr>
            <w:tcW w:w="664" w:type="pct"/>
            <w:tcBorders>
              <w:top w:val="nil"/>
              <w:left w:val="nil"/>
              <w:bottom w:val="nil"/>
              <w:right w:val="nil"/>
            </w:tcBorders>
            <w:shd w:val="clear" w:color="auto" w:fill="auto"/>
            <w:vAlign w:val="bottom"/>
          </w:tcPr>
          <w:p w14:paraId="6BFE42F8"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(113)</w:t>
            </w:r>
          </w:p>
        </w:tc>
        <w:tc>
          <w:tcPr>
            <w:tcW w:w="664" w:type="pct"/>
            <w:tcBorders>
              <w:top w:val="nil"/>
              <w:left w:val="nil"/>
              <w:bottom w:val="nil"/>
              <w:right w:val="nil"/>
            </w:tcBorders>
            <w:shd w:val="clear" w:color="auto" w:fill="auto"/>
            <w:vAlign w:val="bottom"/>
          </w:tcPr>
          <w:p w14:paraId="145C0FC5"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(144)</w:t>
            </w:r>
          </w:p>
        </w:tc>
        <w:tc>
          <w:tcPr>
            <w:tcW w:w="663" w:type="pct"/>
            <w:tcBorders>
              <w:top w:val="nil"/>
              <w:left w:val="nil"/>
              <w:bottom w:val="nil"/>
              <w:right w:val="nil"/>
            </w:tcBorders>
            <w:shd w:val="clear" w:color="auto" w:fill="auto"/>
            <w:vAlign w:val="bottom"/>
          </w:tcPr>
          <w:p w14:paraId="2AD5ACCB"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(203)</w:t>
            </w:r>
          </w:p>
        </w:tc>
      </w:tr>
      <w:tr w:rsidR="002228B8" w14:paraId="400C1944" w14:textId="77777777" w:rsidTr="006D097D">
        <w:trPr>
          <w:cantSplit/>
          <w:jc w:val="center"/>
        </w:trPr>
        <w:tc>
          <w:tcPr>
            <w:tcW w:w="1681" w:type="pct"/>
            <w:tcBorders>
              <w:top w:val="nil"/>
              <w:left w:val="nil"/>
              <w:bottom w:val="nil"/>
              <w:right w:val="nil"/>
            </w:tcBorders>
            <w:shd w:val="clear" w:color="auto" w:fill="auto"/>
          </w:tcPr>
          <w:p w14:paraId="1991E36B" w14:textId="77777777" w:rsidR="006D097D" w:rsidRPr="00571974" w:rsidRDefault="003D4D89" w:rsidP="006D097D">
            <w:pPr>
              <w:tabs>
                <w:tab w:val="right" w:leader="dot" w:pos="3700"/>
              </w:tabs>
              <w:suppressAutoHyphens/>
              <w:ind w:left="200" w:hanging="200"/>
              <w:rPr>
                <w:sz w:val="18"/>
                <w:szCs w:val="18"/>
                <w:lang w:val="en-GB" w:eastAsia="en-GB" w:bidi="ar-SA"/>
              </w:rPr>
            </w:pPr>
            <w:r w:rsidRPr="00571974">
              <w:rPr>
                <w:sz w:val="18"/>
                <w:szCs w:val="18"/>
                <w:lang w:val="en-GB" w:eastAsia="en-GB" w:bidi="ar-SA"/>
              </w:rPr>
              <w:t>Purchase obligations</w:t>
            </w:r>
            <w:r w:rsidRPr="00571974">
              <w:rPr>
                <w:sz w:val="18"/>
                <w:szCs w:val="18"/>
                <w:vertAlign w:val="superscript"/>
                <w:lang w:val="en-GB" w:eastAsia="en-GB" w:bidi="ar-SA"/>
              </w:rPr>
              <w:t>(2)</w:t>
            </w:r>
            <w:r w:rsidRPr="00571974">
              <w:rPr>
                <w:sz w:val="18"/>
                <w:szCs w:val="18"/>
                <w:lang w:val="en-GB" w:eastAsia="en-GB" w:bidi="ar-SA"/>
              </w:rPr>
              <w:tab/>
            </w:r>
          </w:p>
        </w:tc>
        <w:tc>
          <w:tcPr>
            <w:tcW w:w="664" w:type="pct"/>
            <w:tcBorders>
              <w:top w:val="nil"/>
              <w:left w:val="nil"/>
              <w:bottom w:val="nil"/>
              <w:right w:val="nil"/>
            </w:tcBorders>
            <w:shd w:val="clear" w:color="auto" w:fill="auto"/>
            <w:vAlign w:val="bottom"/>
          </w:tcPr>
          <w:p w14:paraId="0CCE51D9"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(3,552)</w:t>
            </w:r>
          </w:p>
        </w:tc>
        <w:tc>
          <w:tcPr>
            <w:tcW w:w="664" w:type="pct"/>
            <w:tcBorders>
              <w:top w:val="nil"/>
              <w:left w:val="nil"/>
              <w:bottom w:val="nil"/>
              <w:right w:val="nil"/>
            </w:tcBorders>
            <w:shd w:val="clear" w:color="auto" w:fill="auto"/>
            <w:vAlign w:val="bottom"/>
          </w:tcPr>
          <w:p w14:paraId="62269A5E"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(1,841)</w:t>
            </w:r>
          </w:p>
        </w:tc>
        <w:tc>
          <w:tcPr>
            <w:tcW w:w="664" w:type="pct"/>
            <w:tcBorders>
              <w:top w:val="nil"/>
              <w:left w:val="nil"/>
              <w:bottom w:val="nil"/>
              <w:right w:val="nil"/>
            </w:tcBorders>
            <w:shd w:val="clear" w:color="auto" w:fill="auto"/>
            <w:vAlign w:val="bottom"/>
          </w:tcPr>
          <w:p w14:paraId="7DFCEC40"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(1,268)</w:t>
            </w:r>
          </w:p>
        </w:tc>
        <w:tc>
          <w:tcPr>
            <w:tcW w:w="664" w:type="pct"/>
            <w:tcBorders>
              <w:top w:val="nil"/>
              <w:left w:val="nil"/>
              <w:bottom w:val="nil"/>
              <w:right w:val="nil"/>
            </w:tcBorders>
            <w:shd w:val="clear" w:color="auto" w:fill="auto"/>
            <w:vAlign w:val="bottom"/>
          </w:tcPr>
          <w:p w14:paraId="6B0046DD"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(443)</w:t>
            </w:r>
          </w:p>
        </w:tc>
        <w:tc>
          <w:tcPr>
            <w:tcW w:w="663" w:type="pct"/>
            <w:tcBorders>
              <w:top w:val="nil"/>
              <w:left w:val="nil"/>
              <w:bottom w:val="nil"/>
              <w:right w:val="nil"/>
            </w:tcBorders>
            <w:shd w:val="clear" w:color="auto" w:fill="auto"/>
            <w:vAlign w:val="bottom"/>
          </w:tcPr>
          <w:p w14:paraId="04AB709E" w14:textId="77777777" w:rsidR="006D097D" w:rsidRPr="00571974" w:rsidRDefault="003D4D89" w:rsidP="006D097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w:t>
            </w:r>
          </w:p>
        </w:tc>
      </w:tr>
      <w:tr w:rsidR="002228B8" w14:paraId="7AFE572A" w14:textId="77777777" w:rsidTr="006D097D">
        <w:trPr>
          <w:cantSplit/>
          <w:jc w:val="center"/>
        </w:trPr>
        <w:tc>
          <w:tcPr>
            <w:tcW w:w="1681" w:type="pct"/>
            <w:tcBorders>
              <w:top w:val="nil"/>
              <w:left w:val="nil"/>
              <w:bottom w:val="nil"/>
              <w:right w:val="nil"/>
            </w:tcBorders>
            <w:shd w:val="clear" w:color="auto" w:fill="auto"/>
          </w:tcPr>
          <w:p w14:paraId="2B322490" w14:textId="77777777" w:rsidR="006D097D" w:rsidRPr="00571974" w:rsidRDefault="003D4D89" w:rsidP="006D097D">
            <w:pPr>
              <w:tabs>
                <w:tab w:val="right" w:leader="dot" w:pos="3700"/>
              </w:tabs>
              <w:suppressAutoHyphens/>
              <w:spacing w:after="20"/>
              <w:ind w:left="200" w:hanging="200"/>
              <w:rPr>
                <w:sz w:val="18"/>
                <w:szCs w:val="18"/>
                <w:lang w:val="en-GB" w:eastAsia="en-GB" w:bidi="ar-SA"/>
              </w:rPr>
            </w:pPr>
            <w:r w:rsidRPr="00571974">
              <w:rPr>
                <w:sz w:val="18"/>
                <w:szCs w:val="18"/>
                <w:lang w:val="en-GB" w:eastAsia="en-GB" w:bidi="ar-SA"/>
              </w:rPr>
              <w:t>Other liabilities</w:t>
            </w:r>
            <w:r w:rsidRPr="00571974">
              <w:rPr>
                <w:sz w:val="18"/>
                <w:szCs w:val="18"/>
                <w:vertAlign w:val="superscript"/>
                <w:lang w:val="en-GB" w:eastAsia="en-GB" w:bidi="ar-SA"/>
              </w:rPr>
              <w:t>(3)</w:t>
            </w:r>
            <w:r w:rsidRPr="00571974">
              <w:rPr>
                <w:sz w:val="18"/>
                <w:szCs w:val="18"/>
                <w:lang w:val="en-GB" w:eastAsia="en-GB" w:bidi="ar-SA"/>
              </w:rPr>
              <w:tab/>
            </w:r>
          </w:p>
        </w:tc>
        <w:tc>
          <w:tcPr>
            <w:tcW w:w="664" w:type="pct"/>
            <w:tcBorders>
              <w:top w:val="nil"/>
              <w:left w:val="nil"/>
              <w:bottom w:val="nil"/>
              <w:right w:val="nil"/>
            </w:tcBorders>
            <w:shd w:val="clear" w:color="auto" w:fill="auto"/>
            <w:vAlign w:val="bottom"/>
          </w:tcPr>
          <w:p w14:paraId="3DB18081" w14:textId="77777777" w:rsidR="006D097D" w:rsidRPr="00571974" w:rsidRDefault="003D4D89" w:rsidP="006D097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(4,881)</w:t>
            </w:r>
          </w:p>
        </w:tc>
        <w:tc>
          <w:tcPr>
            <w:tcW w:w="664" w:type="pct"/>
            <w:tcBorders>
              <w:top w:val="nil"/>
              <w:left w:val="nil"/>
              <w:bottom w:val="nil"/>
              <w:right w:val="nil"/>
            </w:tcBorders>
            <w:shd w:val="clear" w:color="auto" w:fill="auto"/>
            <w:vAlign w:val="bottom"/>
          </w:tcPr>
          <w:p w14:paraId="5D9BA6AF" w14:textId="77777777" w:rsidR="006D097D" w:rsidRPr="00571974" w:rsidRDefault="003D4D89" w:rsidP="006D097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(4,602)</w:t>
            </w:r>
          </w:p>
        </w:tc>
        <w:tc>
          <w:tcPr>
            <w:tcW w:w="664" w:type="pct"/>
            <w:tcBorders>
              <w:top w:val="nil"/>
              <w:left w:val="nil"/>
              <w:bottom w:val="nil"/>
              <w:right w:val="nil"/>
            </w:tcBorders>
            <w:shd w:val="clear" w:color="auto" w:fill="auto"/>
            <w:vAlign w:val="bottom"/>
          </w:tcPr>
          <w:p w14:paraId="37566EE7" w14:textId="77777777" w:rsidR="006D097D" w:rsidRPr="00571974" w:rsidRDefault="003D4D89" w:rsidP="006D097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(12)</w:t>
            </w:r>
          </w:p>
        </w:tc>
        <w:tc>
          <w:tcPr>
            <w:tcW w:w="664" w:type="pct"/>
            <w:tcBorders>
              <w:top w:val="nil"/>
              <w:left w:val="nil"/>
              <w:bottom w:val="nil"/>
              <w:right w:val="nil"/>
            </w:tcBorders>
            <w:shd w:val="clear" w:color="auto" w:fill="auto"/>
            <w:vAlign w:val="bottom"/>
          </w:tcPr>
          <w:p w14:paraId="09E959E8" w14:textId="77777777" w:rsidR="006D097D" w:rsidRPr="00571974" w:rsidRDefault="003D4D89" w:rsidP="006D097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(56)</w:t>
            </w:r>
          </w:p>
        </w:tc>
        <w:tc>
          <w:tcPr>
            <w:tcW w:w="663" w:type="pct"/>
            <w:tcBorders>
              <w:top w:val="nil"/>
              <w:left w:val="nil"/>
              <w:bottom w:val="nil"/>
              <w:right w:val="nil"/>
            </w:tcBorders>
            <w:shd w:val="clear" w:color="auto" w:fill="auto"/>
            <w:vAlign w:val="bottom"/>
          </w:tcPr>
          <w:p w14:paraId="582ABF6B" w14:textId="77777777" w:rsidR="006D097D" w:rsidRPr="00571974" w:rsidRDefault="003D4D89" w:rsidP="006D097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(211)</w:t>
            </w:r>
          </w:p>
        </w:tc>
      </w:tr>
      <w:tr w:rsidR="002228B8" w14:paraId="02F9B567" w14:textId="77777777" w:rsidTr="006D097D">
        <w:trPr>
          <w:cantSplit/>
          <w:jc w:val="center"/>
        </w:trPr>
        <w:tc>
          <w:tcPr>
            <w:tcW w:w="1681" w:type="pct"/>
            <w:tcBorders>
              <w:top w:val="nil"/>
              <w:left w:val="nil"/>
              <w:bottom w:val="nil"/>
              <w:right w:val="nil"/>
            </w:tcBorders>
            <w:shd w:val="clear" w:color="auto" w:fill="auto"/>
          </w:tcPr>
          <w:p w14:paraId="0A62EAA9" w14:textId="77777777" w:rsidR="006D097D" w:rsidRPr="00571974" w:rsidRDefault="003D4D89" w:rsidP="006D097D">
            <w:pPr>
              <w:tabs>
                <w:tab w:val="right" w:leader="dot" w:pos="3700"/>
              </w:tabs>
              <w:suppressAutoHyphens/>
              <w:spacing w:after="40"/>
              <w:ind w:left="400" w:hanging="200"/>
              <w:rPr>
                <w:sz w:val="18"/>
                <w:szCs w:val="18"/>
                <w:lang w:val="en-GB" w:eastAsia="en-GB" w:bidi="ar-SA"/>
              </w:rPr>
            </w:pPr>
            <w:r w:rsidRPr="00571974">
              <w:rPr>
                <w:sz w:val="18"/>
                <w:szCs w:val="18"/>
                <w:lang w:val="en-GB" w:eastAsia="en-GB" w:bidi="ar-SA"/>
              </w:rPr>
              <w:t>Total Contractual Obligations</w:t>
            </w:r>
            <w:r w:rsidRPr="00571974">
              <w:rPr>
                <w:sz w:val="18"/>
                <w:szCs w:val="18"/>
                <w:lang w:val="en-GB" w:eastAsia="en-GB" w:bidi="ar-SA"/>
              </w:rPr>
              <w:tab/>
            </w:r>
          </w:p>
        </w:tc>
        <w:tc>
          <w:tcPr>
            <w:tcW w:w="664" w:type="pct"/>
            <w:tcBorders>
              <w:top w:val="nil"/>
              <w:left w:val="nil"/>
              <w:bottom w:val="nil"/>
              <w:right w:val="nil"/>
            </w:tcBorders>
            <w:shd w:val="clear" w:color="auto" w:fill="auto"/>
          </w:tcPr>
          <w:p w14:paraId="0FD10760" w14:textId="77777777" w:rsidR="006D097D" w:rsidRPr="00571974" w:rsidRDefault="003D4D89" w:rsidP="006D097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(21,741)</w:t>
            </w:r>
          </w:p>
        </w:tc>
        <w:tc>
          <w:tcPr>
            <w:tcW w:w="664" w:type="pct"/>
            <w:tcBorders>
              <w:top w:val="nil"/>
              <w:left w:val="nil"/>
              <w:bottom w:val="nil"/>
              <w:right w:val="nil"/>
            </w:tcBorders>
            <w:shd w:val="clear" w:color="auto" w:fill="auto"/>
          </w:tcPr>
          <w:p w14:paraId="6114A745" w14:textId="77777777" w:rsidR="006D097D" w:rsidRPr="00571974" w:rsidRDefault="003D4D89" w:rsidP="006D097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(7,925)</w:t>
            </w:r>
          </w:p>
        </w:tc>
        <w:tc>
          <w:tcPr>
            <w:tcW w:w="664" w:type="pct"/>
            <w:tcBorders>
              <w:top w:val="nil"/>
              <w:left w:val="nil"/>
              <w:bottom w:val="nil"/>
              <w:right w:val="nil"/>
            </w:tcBorders>
            <w:shd w:val="clear" w:color="auto" w:fill="auto"/>
          </w:tcPr>
          <w:p w14:paraId="7061E126" w14:textId="77777777" w:rsidR="006D097D" w:rsidRPr="00571974" w:rsidRDefault="003D4D89" w:rsidP="006D097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(2,918)</w:t>
            </w:r>
          </w:p>
        </w:tc>
        <w:tc>
          <w:tcPr>
            <w:tcW w:w="664" w:type="pct"/>
            <w:tcBorders>
              <w:top w:val="nil"/>
              <w:left w:val="nil"/>
              <w:bottom w:val="nil"/>
              <w:right w:val="nil"/>
            </w:tcBorders>
            <w:shd w:val="clear" w:color="auto" w:fill="auto"/>
          </w:tcPr>
          <w:p w14:paraId="76075BE6" w14:textId="77777777" w:rsidR="006D097D" w:rsidRPr="00571974" w:rsidRDefault="003D4D89" w:rsidP="006D097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(5,168)</w:t>
            </w:r>
          </w:p>
        </w:tc>
        <w:tc>
          <w:tcPr>
            <w:tcW w:w="663" w:type="pct"/>
            <w:tcBorders>
              <w:top w:val="nil"/>
              <w:left w:val="nil"/>
              <w:bottom w:val="nil"/>
              <w:right w:val="nil"/>
            </w:tcBorders>
            <w:shd w:val="clear" w:color="auto" w:fill="auto"/>
          </w:tcPr>
          <w:p w14:paraId="135D7261" w14:textId="77777777" w:rsidR="006D097D" w:rsidRPr="00571974" w:rsidRDefault="003D4D89" w:rsidP="006D097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(5,830)</w:t>
            </w:r>
          </w:p>
        </w:tc>
      </w:tr>
    </w:tbl>
    <w:p w14:paraId="40B0F2CE" w14:textId="77777777" w:rsidR="00DF4A0D" w:rsidRPr="00571974" w:rsidRDefault="00836D74" w:rsidP="00DF4A0D">
      <w:pPr>
        <w:rPr>
          <w:lang w:val="en-GB"/>
        </w:rPr>
      </w:pPr>
      <w:r>
        <w:rPr>
          <w:lang w:val="en-GB"/>
        </w:rPr>
        <w:pict w14:anchorId="72B7B052">
          <v:rect id="_x0000_i1056" style="width:184.5pt;height:1pt" o:hrpct="250" o:hrstd="t" o:hrnoshade="t" o:hr="t" fillcolor="black" stroked="f"/>
        </w:pict>
      </w:r>
    </w:p>
    <w:p w14:paraId="5F5FA021" w14:textId="3972EC94" w:rsidR="00DF4A0D" w:rsidRPr="00571974" w:rsidRDefault="003D4D89" w:rsidP="00DF4A0D">
      <w:pPr>
        <w:pStyle w:val="ListParagraph"/>
        <w:widowControl/>
        <w:numPr>
          <w:ilvl w:val="0"/>
          <w:numId w:val="8"/>
        </w:numPr>
        <w:tabs>
          <w:tab w:val="left" w:pos="-720"/>
          <w:tab w:val="left" w:pos="0"/>
        </w:tabs>
        <w:suppressAutoHyphens/>
        <w:spacing w:after="240"/>
        <w:ind w:left="284" w:hanging="284"/>
        <w:rPr>
          <w:sz w:val="16"/>
          <w:szCs w:val="18"/>
          <w:lang w:val="en-GB"/>
        </w:rPr>
      </w:pPr>
      <w:r w:rsidRPr="00571974">
        <w:rPr>
          <w:sz w:val="16"/>
          <w:szCs w:val="18"/>
          <w:lang w:val="en-GB"/>
        </w:rPr>
        <w:t>Debt obligations include the effect of related currency derivatives and interest rate swaps and the anticipated future interest payments on borrowings.</w:t>
      </w:r>
    </w:p>
    <w:p w14:paraId="728EF3EB" w14:textId="76B94DB5" w:rsidR="00DF4A0D" w:rsidRPr="00571974" w:rsidRDefault="003D4D89" w:rsidP="00DF4A0D">
      <w:pPr>
        <w:pStyle w:val="ListParagraph"/>
        <w:widowControl/>
        <w:numPr>
          <w:ilvl w:val="0"/>
          <w:numId w:val="8"/>
        </w:numPr>
        <w:tabs>
          <w:tab w:val="left" w:pos="-720"/>
          <w:tab w:val="left" w:pos="0"/>
        </w:tabs>
        <w:suppressAutoHyphens/>
        <w:spacing w:after="240"/>
        <w:ind w:left="284" w:hanging="284"/>
        <w:rPr>
          <w:sz w:val="16"/>
          <w:szCs w:val="18"/>
          <w:lang w:val="en-GB"/>
        </w:rPr>
      </w:pPr>
      <w:r w:rsidRPr="00571974">
        <w:rPr>
          <w:sz w:val="16"/>
          <w:szCs w:val="18"/>
          <w:lang w:val="en-GB"/>
        </w:rPr>
        <w:t>Purchase obligations reflect the Group</w:t>
      </w:r>
      <w:r w:rsidR="00A311D8">
        <w:rPr>
          <w:sz w:val="16"/>
          <w:szCs w:val="18"/>
          <w:lang w:val="en-GB"/>
        </w:rPr>
        <w:t>’</w:t>
      </w:r>
      <w:r w:rsidRPr="00571974">
        <w:rPr>
          <w:sz w:val="16"/>
          <w:szCs w:val="18"/>
          <w:lang w:val="en-GB"/>
        </w:rPr>
        <w:t>s capital commitments at December 31, 2019.</w:t>
      </w:r>
    </w:p>
    <w:p w14:paraId="713067B8" w14:textId="77777777" w:rsidR="00DF4A0D" w:rsidRPr="00571974" w:rsidRDefault="003D4D89" w:rsidP="00DF4A0D">
      <w:pPr>
        <w:pStyle w:val="ListParagraph"/>
        <w:widowControl/>
        <w:numPr>
          <w:ilvl w:val="0"/>
          <w:numId w:val="8"/>
        </w:numPr>
        <w:tabs>
          <w:tab w:val="left" w:pos="-720"/>
          <w:tab w:val="left" w:pos="0"/>
        </w:tabs>
        <w:suppressAutoHyphens/>
        <w:spacing w:after="240"/>
        <w:ind w:left="284" w:hanging="284"/>
        <w:rPr>
          <w:sz w:val="16"/>
          <w:szCs w:val="18"/>
          <w:lang w:val="en-GB"/>
        </w:rPr>
      </w:pPr>
      <w:r w:rsidRPr="00571974">
        <w:rPr>
          <w:sz w:val="16"/>
          <w:szCs w:val="18"/>
          <w:lang w:val="en-GB"/>
        </w:rPr>
        <w:t>Other liabilities include trade payables and other financial liabilities of the Group.</w:t>
      </w:r>
    </w:p>
    <w:p w14:paraId="6907E6AB" w14:textId="54422C75" w:rsidR="00DF4A0D" w:rsidRPr="00571974" w:rsidRDefault="003D4D89" w:rsidP="00DF4A0D">
      <w:pPr>
        <w:pStyle w:val="BodyText"/>
        <w:widowControl/>
        <w:autoSpaceDE/>
        <w:autoSpaceDN/>
        <w:adjustRightInd/>
        <w:ind w:firstLine="360"/>
        <w:rPr>
          <w:lang w:val="en-GB"/>
        </w:rPr>
      </w:pPr>
      <w:r w:rsidRPr="00571974">
        <w:rPr>
          <w:lang w:val="en-GB"/>
        </w:rPr>
        <w:t>Information relating to the Group</w:t>
      </w:r>
      <w:r w:rsidR="00A311D8">
        <w:rPr>
          <w:lang w:val="en-GB"/>
        </w:rPr>
        <w:t>’</w:t>
      </w:r>
      <w:r w:rsidRPr="00571974">
        <w:rPr>
          <w:lang w:val="en-GB"/>
        </w:rPr>
        <w:t>s post-retirement benefit obligations is provided in Note 27 of the Group 2019 Consolidated Financial Statements, incorporated by reference herein. On the basis of the levels of obligations described above, the Group</w:t>
      </w:r>
      <w:r w:rsidR="00A311D8">
        <w:rPr>
          <w:lang w:val="en-GB"/>
        </w:rPr>
        <w:t>’</w:t>
      </w:r>
      <w:r w:rsidRPr="00571974">
        <w:rPr>
          <w:lang w:val="en-GB"/>
        </w:rPr>
        <w:t>s access to debt and equity capital markets, access to committed and uncommitted bank debt, the level of cash deposits and the level of currently anticipated free cash flow, we believe that the Group has sufficient short and long-term sources of funding available to meet our liquidity requirements.</w:t>
      </w:r>
    </w:p>
    <w:p w14:paraId="6F290C74" w14:textId="77777777" w:rsidR="00DF4A0D" w:rsidRPr="00571974" w:rsidRDefault="003D4D89" w:rsidP="00DF4A0D">
      <w:pPr>
        <w:keepNext/>
        <w:keepLines/>
        <w:tabs>
          <w:tab w:val="left" w:pos="-720"/>
          <w:tab w:val="left" w:pos="720"/>
          <w:tab w:val="left" w:pos="1440"/>
        </w:tabs>
        <w:suppressAutoHyphens/>
        <w:spacing w:after="240"/>
        <w:rPr>
          <w:b/>
          <w:bCs/>
          <w:smallCaps/>
          <w:lang w:val="en-GB"/>
        </w:rPr>
      </w:pPr>
      <w:r w:rsidRPr="00571974">
        <w:rPr>
          <w:b/>
          <w:bCs/>
          <w:smallCaps/>
          <w:lang w:val="en-GB"/>
        </w:rPr>
        <w:t>Application of Critical Accounting Policies and Estimates</w:t>
      </w:r>
    </w:p>
    <w:p w14:paraId="14CFB248" w14:textId="77777777" w:rsidR="00DF4A0D" w:rsidRPr="00571974" w:rsidRDefault="003D4D89" w:rsidP="00DF4A0D">
      <w:pPr>
        <w:pStyle w:val="BodyText"/>
        <w:widowControl/>
        <w:autoSpaceDE/>
        <w:autoSpaceDN/>
        <w:adjustRightInd/>
        <w:ind w:firstLine="360"/>
        <w:rPr>
          <w:lang w:val="en-GB"/>
        </w:rPr>
      </w:pPr>
      <w:r w:rsidRPr="00571974">
        <w:rPr>
          <w:lang w:val="en-GB"/>
        </w:rPr>
        <w:t>In the course of preparing our financial statements, management necessarily makes judgments and estimates that can have a significant impact on the financial statements. The most critical of these relate to estimation of Ore Reserves, assessment of fair value and impairment of assets. The use of inaccurate assumptions in assessments made for any of these estimates could result in a significant impact on financial results.</w:t>
      </w:r>
    </w:p>
    <w:p w14:paraId="7EF73C9C" w14:textId="77777777" w:rsidR="00DF4A0D" w:rsidRPr="00571974" w:rsidRDefault="003D4D89" w:rsidP="002D4BED">
      <w:pPr>
        <w:pStyle w:val="BodyText"/>
        <w:widowControl/>
        <w:autoSpaceDE/>
        <w:autoSpaceDN/>
        <w:adjustRightInd/>
        <w:ind w:firstLine="360"/>
        <w:rPr>
          <w:lang w:val="en-GB"/>
        </w:rPr>
      </w:pPr>
      <w:r w:rsidRPr="00571974">
        <w:rPr>
          <w:lang w:val="en-GB"/>
        </w:rPr>
        <w:t xml:space="preserve">For a detailed discussion of these critical accounting policies, judgments and estimates please see </w:t>
      </w:r>
      <w:r w:rsidR="002D4BED">
        <w:rPr>
          <w:lang w:val="en-GB"/>
        </w:rPr>
        <w:t>N</w:t>
      </w:r>
      <w:r w:rsidRPr="00571974">
        <w:rPr>
          <w:lang w:val="en-GB"/>
        </w:rPr>
        <w:t>ote 7 to the Group 2019 Consolidated Financial Statements, which are incorporated by reference in this document.</w:t>
      </w:r>
    </w:p>
    <w:p w14:paraId="6DDD1F4F" w14:textId="5396B5FE" w:rsidR="00DF4A0D" w:rsidRPr="00571974" w:rsidRDefault="003D4D89" w:rsidP="002D4BED">
      <w:pPr>
        <w:pStyle w:val="BodyText"/>
        <w:widowControl/>
        <w:autoSpaceDE/>
        <w:autoSpaceDN/>
        <w:adjustRightInd/>
        <w:ind w:firstLine="360"/>
        <w:rPr>
          <w:lang w:val="en-GB"/>
        </w:rPr>
      </w:pPr>
      <w:r w:rsidRPr="00571974">
        <w:rPr>
          <w:lang w:val="en-GB"/>
        </w:rPr>
        <w:t xml:space="preserve">These accounting policies are </w:t>
      </w:r>
      <w:r w:rsidRPr="00571974">
        <w:rPr>
          <w:rFonts w:eastAsia="Arial"/>
          <w:lang w:val="en-GB"/>
        </w:rPr>
        <w:t xml:space="preserve">consistent with those adopted and disclosed in the Group financial statements for the year ended December 31, 2018, except for the adoption of IFRS </w:t>
      </w:r>
      <w:r w:rsidRPr="00BA0D39">
        <w:rPr>
          <w:rFonts w:eastAsia="Arial"/>
          <w:lang w:val="en-GB"/>
        </w:rPr>
        <w:t xml:space="preserve">16 </w:t>
      </w:r>
      <w:r w:rsidRPr="008151C7">
        <w:rPr>
          <w:rFonts w:eastAsia="Arial"/>
          <w:lang w:val="en-GB"/>
        </w:rPr>
        <w:t xml:space="preserve">Leases. </w:t>
      </w:r>
      <w:r w:rsidRPr="00BA0D39">
        <w:rPr>
          <w:rFonts w:eastAsia="Arial"/>
          <w:lang w:val="en-GB"/>
        </w:rPr>
        <w:t>IFR</w:t>
      </w:r>
      <w:r w:rsidR="002D4BED" w:rsidRPr="00BA0D39">
        <w:rPr>
          <w:rFonts w:eastAsia="Arial"/>
          <w:lang w:val="en-GB"/>
        </w:rPr>
        <w:t>S</w:t>
      </w:r>
      <w:r w:rsidRPr="008151C7">
        <w:rPr>
          <w:rFonts w:eastAsia="Arial"/>
          <w:lang w:val="en-GB"/>
        </w:rPr>
        <w:t xml:space="preserve"> 16 Leases </w:t>
      </w:r>
      <w:r w:rsidRPr="00BA0D39">
        <w:rPr>
          <w:lang w:val="en-GB"/>
        </w:rPr>
        <w:t>became</w:t>
      </w:r>
      <w:r w:rsidRPr="00571974">
        <w:rPr>
          <w:lang w:val="en-GB"/>
        </w:rPr>
        <w:t xml:space="preserve"> effective for the Group from January 1, 2019. On transition, the present value of liabilities for existing operating leases of </w:t>
      </w:r>
      <w:r w:rsidR="00D34D56">
        <w:rPr>
          <w:lang w:val="en-GB"/>
        </w:rPr>
        <w:t>US</w:t>
      </w:r>
      <w:r w:rsidRPr="00571974">
        <w:rPr>
          <w:lang w:val="en-GB"/>
        </w:rPr>
        <w:t>$0.5 billion was included within net debt.</w:t>
      </w:r>
    </w:p>
    <w:p w14:paraId="45FB0A5B" w14:textId="3342EF11" w:rsidR="00DF4A0D" w:rsidRPr="00571974" w:rsidRDefault="003D4D89" w:rsidP="00DF4A0D">
      <w:pPr>
        <w:pStyle w:val="BodyText"/>
        <w:widowControl/>
        <w:autoSpaceDE/>
        <w:autoSpaceDN/>
        <w:adjustRightInd/>
        <w:ind w:firstLine="360"/>
        <w:rPr>
          <w:lang w:val="en-GB"/>
        </w:rPr>
      </w:pPr>
      <w:r w:rsidRPr="00571974">
        <w:rPr>
          <w:lang w:val="en-GB"/>
        </w:rPr>
        <w:t xml:space="preserve">For a detailed discussion of these critical accounting policies, judgments and estimates please see </w:t>
      </w:r>
      <w:r w:rsidR="002D4BED">
        <w:rPr>
          <w:lang w:val="en-GB"/>
        </w:rPr>
        <w:t>N</w:t>
      </w:r>
      <w:r w:rsidRPr="00571974">
        <w:rPr>
          <w:lang w:val="en-GB"/>
        </w:rPr>
        <w:t>ote 7 to the Group 2019 Consolidated Financial Statements, which are incorporated by reference in this document.</w:t>
      </w:r>
      <w:r w:rsidR="00B65C44">
        <w:rPr>
          <w:lang w:val="en-GB"/>
        </w:rPr>
        <w:t xml:space="preserve"> </w:t>
      </w:r>
    </w:p>
    <w:p w14:paraId="4AC91AED" w14:textId="77777777" w:rsidR="00DF4A0D" w:rsidRPr="00571974" w:rsidRDefault="003D4D89" w:rsidP="00DF4A0D">
      <w:pPr>
        <w:keepNext/>
        <w:keepLines/>
        <w:tabs>
          <w:tab w:val="left" w:pos="-720"/>
          <w:tab w:val="left" w:pos="720"/>
          <w:tab w:val="left" w:pos="1440"/>
        </w:tabs>
        <w:suppressAutoHyphens/>
        <w:spacing w:after="240"/>
        <w:rPr>
          <w:b/>
          <w:bCs/>
          <w:smallCaps/>
          <w:lang w:val="en-GB"/>
        </w:rPr>
      </w:pPr>
      <w:r w:rsidRPr="00571974">
        <w:rPr>
          <w:b/>
          <w:bCs/>
          <w:smallCaps/>
          <w:lang w:val="en-GB"/>
        </w:rPr>
        <w:lastRenderedPageBreak/>
        <w:t>Differences Between IFRS and U.S. GAAP</w:t>
      </w:r>
    </w:p>
    <w:p w14:paraId="201AD615" w14:textId="2FC99537" w:rsidR="00DF4A0D" w:rsidRPr="00571974" w:rsidRDefault="003D4D89" w:rsidP="00DF4A0D">
      <w:pPr>
        <w:pStyle w:val="BodyText"/>
        <w:widowControl/>
        <w:autoSpaceDE/>
        <w:autoSpaceDN/>
        <w:adjustRightInd/>
        <w:ind w:firstLine="360"/>
        <w:rPr>
          <w:lang w:val="en-GB"/>
        </w:rPr>
      </w:pPr>
      <w:r w:rsidRPr="00571974">
        <w:rPr>
          <w:lang w:val="en-GB"/>
        </w:rPr>
        <w:t>The financial information included in this document in respect of the years ended December 31, 201</w:t>
      </w:r>
      <w:r w:rsidR="00DB52B4">
        <w:rPr>
          <w:lang w:val="en-GB"/>
        </w:rPr>
        <w:t>9</w:t>
      </w:r>
      <w:r w:rsidRPr="00571974">
        <w:rPr>
          <w:lang w:val="en-GB"/>
        </w:rPr>
        <w:t>, 2018 and 201</w:t>
      </w:r>
      <w:r w:rsidR="00DB52B4">
        <w:rPr>
          <w:lang w:val="en-GB"/>
        </w:rPr>
        <w:t>7</w:t>
      </w:r>
      <w:r w:rsidRPr="00571974">
        <w:rPr>
          <w:lang w:val="en-GB"/>
        </w:rPr>
        <w:t xml:space="preserve"> has been prepared and presented in accordance with IFRS. Certain differences exist between IFRS and U.S. GAAP, which might be material to the financial information herein.</w:t>
      </w:r>
    </w:p>
    <w:p w14:paraId="4093B141" w14:textId="77777777" w:rsidR="00DF4A0D" w:rsidRPr="00571974" w:rsidRDefault="003D4D89" w:rsidP="00DF4A0D">
      <w:pPr>
        <w:pStyle w:val="BodyText"/>
        <w:widowControl/>
        <w:autoSpaceDE/>
        <w:autoSpaceDN/>
        <w:adjustRightInd/>
        <w:ind w:firstLine="360"/>
        <w:rPr>
          <w:lang w:val="en-GB"/>
        </w:rPr>
        <w:sectPr w:rsidR="00DF4A0D" w:rsidRPr="00571974" w:rsidSect="00EE6387">
          <w:footerReference w:type="default" r:id="rId23"/>
          <w:pgSz w:w="12240" w:h="15840"/>
          <w:pgMar w:top="1077" w:right="1608" w:bottom="1077" w:left="1276" w:header="720" w:footer="720" w:gutter="0"/>
          <w:cols w:space="720"/>
          <w:docGrid w:linePitch="299"/>
        </w:sectPr>
      </w:pPr>
      <w:r w:rsidRPr="00571974">
        <w:rPr>
          <w:lang w:val="en-GB"/>
        </w:rPr>
        <w:t>In making an investment decision, investors must rely on their own examination of the Group, the terms of the offering and the financial information. Potential investors should consult their own professional advisers for an understanding of the differences between IFRS and U.S. GAAP, and how these differences might affect the financial information herein.</w:t>
      </w:r>
    </w:p>
    <w:p w14:paraId="7D03EB58" w14:textId="77777777" w:rsidR="00542FF4" w:rsidRPr="00571974" w:rsidRDefault="003D4D89" w:rsidP="00542FF4">
      <w:pPr>
        <w:pStyle w:val="Heading1"/>
        <w:rPr>
          <w:lang w:val="en-GB"/>
        </w:rPr>
      </w:pPr>
      <w:bookmarkStart w:id="77" w:name="_Toc36388965"/>
      <w:bookmarkStart w:id="78" w:name="_Toc349210425"/>
      <w:bookmarkStart w:id="79" w:name="_Toc349210428"/>
      <w:bookmarkEnd w:id="76"/>
      <w:r w:rsidRPr="00571974">
        <w:rPr>
          <w:lang w:val="en-GB"/>
        </w:rPr>
        <w:lastRenderedPageBreak/>
        <w:t>REGULATION</w:t>
      </w:r>
      <w:bookmarkEnd w:id="77"/>
    </w:p>
    <w:p w14:paraId="1A687BEB" w14:textId="77777777" w:rsidR="00BC2D83" w:rsidRPr="00571974" w:rsidRDefault="003D4D89" w:rsidP="00BC2D83">
      <w:pPr>
        <w:pStyle w:val="BodyText"/>
        <w:widowControl/>
        <w:autoSpaceDE/>
        <w:autoSpaceDN/>
        <w:adjustRightInd/>
        <w:ind w:firstLine="360"/>
        <w:rPr>
          <w:lang w:val="en-GB"/>
        </w:rPr>
      </w:pPr>
      <w:r w:rsidRPr="00571974">
        <w:rPr>
          <w:lang w:val="en-GB"/>
        </w:rPr>
        <w:t>We are subject to government regulations that affect all aspects of our operations.</w:t>
      </w:r>
    </w:p>
    <w:p w14:paraId="35669E0B" w14:textId="77777777" w:rsidR="00BC2D83" w:rsidRPr="00571974" w:rsidRDefault="003D4D89" w:rsidP="00BC2D83">
      <w:pPr>
        <w:pStyle w:val="BodyText"/>
        <w:widowControl/>
        <w:autoSpaceDE/>
        <w:autoSpaceDN/>
        <w:adjustRightInd/>
        <w:ind w:firstLine="360"/>
        <w:rPr>
          <w:lang w:val="en-GB"/>
        </w:rPr>
      </w:pPr>
      <w:r w:rsidRPr="00571974">
        <w:rPr>
          <w:lang w:val="en-GB"/>
        </w:rPr>
        <w:t xml:space="preserve">In most jurisdictions in which we operate, we enjoy the use of rights granted to us by the </w:t>
      </w:r>
      <w:r w:rsidR="00F410D0" w:rsidRPr="00571974">
        <w:rPr>
          <w:lang w:val="en-GB"/>
        </w:rPr>
        <w:t xml:space="preserve">relevant </w:t>
      </w:r>
      <w:r w:rsidRPr="00571974">
        <w:rPr>
          <w:lang w:val="en-GB"/>
        </w:rPr>
        <w:t>government</w:t>
      </w:r>
      <w:r w:rsidR="007202CA" w:rsidRPr="00571974">
        <w:rPr>
          <w:lang w:val="en-GB"/>
        </w:rPr>
        <w:t xml:space="preserve"> entity</w:t>
      </w:r>
      <w:r w:rsidRPr="00571974">
        <w:rPr>
          <w:lang w:val="en-GB"/>
        </w:rPr>
        <w:t>. These rights typically take the form of a lease or license that grants us the right to gain access to the land and to explore for and subsequently extract the minerals. Exploration rights typically include the obligation to spend a predetermined amount of money on the exploration or to undertake specific exploration activities. The terms of the leases or licenses, including the time period for which they are effective, are specific to the laws of the relevant governmental authority. Generally, we own the minerals that we extract and pay royalties or similar taxes to the relevant government</w:t>
      </w:r>
      <w:r w:rsidR="007202CA" w:rsidRPr="00571974">
        <w:rPr>
          <w:lang w:val="en-GB"/>
        </w:rPr>
        <w:t>al authority</w:t>
      </w:r>
      <w:r w:rsidRPr="00571974">
        <w:rPr>
          <w:lang w:val="en-GB"/>
        </w:rPr>
        <w:t>.</w:t>
      </w:r>
    </w:p>
    <w:p w14:paraId="3CC9E443" w14:textId="77777777" w:rsidR="00BC2D83" w:rsidRPr="00571974" w:rsidRDefault="003D4D89" w:rsidP="00BC2D83">
      <w:pPr>
        <w:pStyle w:val="BodyText"/>
        <w:widowControl/>
        <w:autoSpaceDE/>
        <w:autoSpaceDN/>
        <w:adjustRightInd/>
        <w:ind w:firstLine="360"/>
        <w:rPr>
          <w:lang w:val="en-GB"/>
        </w:rPr>
      </w:pPr>
      <w:r w:rsidRPr="00571974">
        <w:rPr>
          <w:lang w:val="en-GB"/>
        </w:rPr>
        <w:t>We also have a number of joint venture arrangements with government</w:t>
      </w:r>
      <w:r w:rsidR="009240B3" w:rsidRPr="00571974">
        <w:rPr>
          <w:lang w:val="en-GB"/>
        </w:rPr>
        <w:t>s</w:t>
      </w:r>
      <w:r w:rsidRPr="00571974">
        <w:rPr>
          <w:lang w:val="en-GB"/>
        </w:rPr>
        <w:t xml:space="preserve"> and private entities (including the Government of the Republic of Botswana and the Government of the Republic of Namibia), which are sometimes necessary in order to operate exploration and mining activities in certain jurisdictions.</w:t>
      </w:r>
    </w:p>
    <w:p w14:paraId="2846B722" w14:textId="77777777" w:rsidR="00BC2D83" w:rsidRPr="00571974" w:rsidRDefault="003D4D89" w:rsidP="00BC2D83">
      <w:pPr>
        <w:pStyle w:val="BodyText"/>
        <w:widowControl/>
        <w:autoSpaceDE/>
        <w:autoSpaceDN/>
        <w:adjustRightInd/>
        <w:ind w:firstLine="360"/>
        <w:rPr>
          <w:lang w:val="en-GB"/>
        </w:rPr>
      </w:pPr>
      <w:r w:rsidRPr="00571974">
        <w:rPr>
          <w:lang w:val="en-GB"/>
        </w:rPr>
        <w:t>In addition to reliance upon government grants of rights to explore for and extract materials, in certain jurisdictions we rely upon the relevant government</w:t>
      </w:r>
      <w:r w:rsidR="007202CA" w:rsidRPr="00571974">
        <w:rPr>
          <w:lang w:val="en-GB"/>
        </w:rPr>
        <w:t>al authority</w:t>
      </w:r>
      <w:r w:rsidRPr="00571974">
        <w:rPr>
          <w:lang w:val="en-GB"/>
        </w:rPr>
        <w:t xml:space="preserve"> to grant the rights necessary to transport and to treat the extracted minerals in order to prepare them for sale, as well as to export the raw or processed material.</w:t>
      </w:r>
    </w:p>
    <w:p w14:paraId="3BEC5032" w14:textId="77777777" w:rsidR="00BC2D83" w:rsidRPr="00571974" w:rsidRDefault="003D4D89" w:rsidP="00BC2D83">
      <w:pPr>
        <w:pStyle w:val="BodyText"/>
        <w:widowControl/>
        <w:autoSpaceDE/>
        <w:autoSpaceDN/>
        <w:adjustRightInd/>
        <w:ind w:firstLine="360"/>
        <w:rPr>
          <w:lang w:val="en-GB"/>
        </w:rPr>
      </w:pPr>
      <w:r w:rsidRPr="00571974">
        <w:rPr>
          <w:lang w:val="en-GB"/>
        </w:rPr>
        <w:t>Governments generally impose applicable regulations relating to, for example, environmental protection, water use, land rehabilitation, occupational health and safety, indigenous land title and socio-economic commitments, and we must comply with these regulations in order to continue to enjoy the right to conduct our operations within that jurisdiction. These obligations often require us to make substantial expenditure to minimize, to remediate or to rehabilitate the environmental impact of our operations, to ensure the safety of our employees and contractors and to meet defined socio-economic obligations.</w:t>
      </w:r>
    </w:p>
    <w:p w14:paraId="73CD5485" w14:textId="77777777" w:rsidR="00BC2D83" w:rsidRPr="00571974" w:rsidRDefault="003D4D89" w:rsidP="00BC2D83">
      <w:pPr>
        <w:pStyle w:val="Heading2"/>
        <w:rPr>
          <w:lang w:val="en-GB"/>
        </w:rPr>
      </w:pPr>
      <w:r w:rsidRPr="00571974">
        <w:rPr>
          <w:lang w:val="en-GB"/>
        </w:rPr>
        <w:t>South Africa</w:t>
      </w:r>
    </w:p>
    <w:p w14:paraId="273061A9" w14:textId="77777777" w:rsidR="00BC2D83" w:rsidRPr="00571974" w:rsidRDefault="003D4D89" w:rsidP="00BC2D83">
      <w:pPr>
        <w:pStyle w:val="BodyText"/>
        <w:widowControl/>
        <w:autoSpaceDE/>
        <w:autoSpaceDN/>
        <w:adjustRightInd/>
        <w:ind w:firstLine="360"/>
        <w:rPr>
          <w:b/>
          <w:bCs/>
          <w:smallCaps/>
          <w:lang w:val="en-GB"/>
        </w:rPr>
      </w:pPr>
      <w:r w:rsidRPr="00571974">
        <w:rPr>
          <w:lang w:val="en-GB"/>
        </w:rPr>
        <w:t>Requirements to obtain permits and licenses are imposed by various departments of the South African government. We strive to follow the required procedures in the application for these environmental, water and mineral permits and licenses.</w:t>
      </w:r>
    </w:p>
    <w:p w14:paraId="061F673E" w14:textId="26A3C8FB" w:rsidR="00BC2D83" w:rsidRPr="00571974" w:rsidRDefault="003D4D89" w:rsidP="00BC2D83">
      <w:pPr>
        <w:pStyle w:val="BodyText"/>
        <w:widowControl/>
        <w:autoSpaceDE/>
        <w:autoSpaceDN/>
        <w:adjustRightInd/>
        <w:ind w:firstLine="360"/>
        <w:rPr>
          <w:lang w:val="en-GB"/>
        </w:rPr>
      </w:pPr>
      <w:r w:rsidRPr="00571974">
        <w:rPr>
          <w:lang w:val="en-GB"/>
        </w:rPr>
        <w:t>Additionally, the transfer of a share of the ownership, management and benefits of the South African mining industry into the hands of people previously excluded from the economy is a longstanding government policy referred to as Black Economic Empowerment (</w:t>
      </w:r>
      <w:r w:rsidR="00A311D8">
        <w:rPr>
          <w:lang w:val="en-GB"/>
        </w:rPr>
        <w:t>“</w:t>
      </w:r>
      <w:r w:rsidRPr="00571974">
        <w:rPr>
          <w:lang w:val="en-GB"/>
        </w:rPr>
        <w:t>BEE</w:t>
      </w:r>
      <w:r w:rsidR="00A311D8">
        <w:rPr>
          <w:lang w:val="en-GB"/>
        </w:rPr>
        <w:t>”</w:t>
      </w:r>
      <w:r w:rsidRPr="00571974">
        <w:rPr>
          <w:lang w:val="en-GB"/>
        </w:rPr>
        <w:t xml:space="preserve">). </w:t>
      </w:r>
    </w:p>
    <w:p w14:paraId="7DC856A3" w14:textId="77777777" w:rsidR="00BC2D83" w:rsidRPr="00571974" w:rsidRDefault="003D4D89" w:rsidP="00BC2D83">
      <w:pPr>
        <w:pStyle w:val="BodyText"/>
        <w:widowControl/>
        <w:autoSpaceDE/>
        <w:autoSpaceDN/>
        <w:adjustRightInd/>
        <w:ind w:firstLine="360"/>
        <w:rPr>
          <w:b/>
          <w:lang w:val="en-GB"/>
        </w:rPr>
      </w:pPr>
      <w:r w:rsidRPr="00571974">
        <w:rPr>
          <w:b/>
          <w:lang w:val="en-GB"/>
        </w:rPr>
        <w:t xml:space="preserve">The MPRDA and the Mining Charter </w:t>
      </w:r>
    </w:p>
    <w:p w14:paraId="09B0B65C" w14:textId="77777777" w:rsidR="00BC2D83" w:rsidRPr="00571974" w:rsidRDefault="003D4D89" w:rsidP="00BC2D83">
      <w:pPr>
        <w:pStyle w:val="BodyText"/>
        <w:widowControl/>
        <w:autoSpaceDE/>
        <w:autoSpaceDN/>
        <w:adjustRightInd/>
        <w:ind w:firstLine="360"/>
        <w:rPr>
          <w:i/>
          <w:lang w:val="en-GB"/>
        </w:rPr>
      </w:pPr>
      <w:r w:rsidRPr="00571974">
        <w:rPr>
          <w:i/>
          <w:lang w:val="en-GB"/>
        </w:rPr>
        <w:t>Historical background</w:t>
      </w:r>
    </w:p>
    <w:p w14:paraId="5B50A6BC" w14:textId="43118D18" w:rsidR="00BC2D83" w:rsidRPr="00571974" w:rsidRDefault="003D4D89" w:rsidP="00BC2D83">
      <w:pPr>
        <w:pStyle w:val="BodyText"/>
        <w:widowControl/>
        <w:autoSpaceDE/>
        <w:autoSpaceDN/>
        <w:adjustRightInd/>
        <w:ind w:firstLine="360"/>
        <w:rPr>
          <w:lang w:val="en-GB"/>
        </w:rPr>
      </w:pPr>
      <w:bookmarkStart w:id="80" w:name="_Hlk536617811"/>
      <w:r w:rsidRPr="00571974">
        <w:rPr>
          <w:lang w:val="en-GB"/>
        </w:rPr>
        <w:t xml:space="preserve">The South African Constitution expressly authorizes </w:t>
      </w:r>
      <w:r w:rsidR="00A311D8">
        <w:rPr>
          <w:lang w:val="en-GB"/>
        </w:rPr>
        <w:t>“</w:t>
      </w:r>
      <w:r w:rsidRPr="00571974">
        <w:rPr>
          <w:lang w:val="en-GB"/>
        </w:rPr>
        <w:t>…legislative and other measures designed to protect or advance persons … disadvantaged by unfair discrimination …</w:t>
      </w:r>
      <w:r w:rsidR="00A311D8">
        <w:rPr>
          <w:lang w:val="en-GB"/>
        </w:rPr>
        <w:t>”</w:t>
      </w:r>
      <w:r w:rsidRPr="00571974">
        <w:rPr>
          <w:lang w:val="en-GB"/>
        </w:rPr>
        <w:t>. There are many examples of such reparatory initiatives across the South African economy, some of which are statutory/regulatory in nature (</w:t>
      </w:r>
      <w:r w:rsidR="00A311D8">
        <w:rPr>
          <w:lang w:val="en-GB"/>
        </w:rPr>
        <w:t>“</w:t>
      </w:r>
      <w:r w:rsidRPr="00571974">
        <w:rPr>
          <w:lang w:val="en-GB"/>
        </w:rPr>
        <w:t>Legal Instruments</w:t>
      </w:r>
      <w:r w:rsidR="00A311D8">
        <w:rPr>
          <w:lang w:val="en-GB"/>
        </w:rPr>
        <w:t>”</w:t>
      </w:r>
      <w:r w:rsidRPr="00571974">
        <w:rPr>
          <w:lang w:val="en-GB"/>
        </w:rPr>
        <w:t>) while others are in the nature of policies or guidelines (</w:t>
      </w:r>
      <w:r w:rsidR="00A311D8">
        <w:rPr>
          <w:lang w:val="en-GB"/>
        </w:rPr>
        <w:t>“</w:t>
      </w:r>
      <w:r w:rsidRPr="00571974">
        <w:rPr>
          <w:lang w:val="en-GB"/>
        </w:rPr>
        <w:t>Policy Instruments</w:t>
      </w:r>
      <w:r w:rsidR="00A311D8">
        <w:rPr>
          <w:lang w:val="en-GB"/>
        </w:rPr>
        <w:t>”</w:t>
      </w:r>
      <w:r w:rsidRPr="00571974">
        <w:rPr>
          <w:lang w:val="en-GB"/>
        </w:rPr>
        <w:t>).</w:t>
      </w:r>
    </w:p>
    <w:p w14:paraId="401966CB" w14:textId="098886AD" w:rsidR="00BC2D83" w:rsidRPr="00571974" w:rsidRDefault="003D4D89" w:rsidP="00BC2D83">
      <w:pPr>
        <w:pStyle w:val="BodyText"/>
        <w:widowControl/>
        <w:autoSpaceDE/>
        <w:autoSpaceDN/>
        <w:adjustRightInd/>
        <w:ind w:firstLine="360"/>
        <w:rPr>
          <w:lang w:val="en-GB"/>
        </w:rPr>
      </w:pPr>
      <w:r w:rsidRPr="00571974">
        <w:rPr>
          <w:lang w:val="en-GB"/>
        </w:rPr>
        <w:t>In the mining industry, the primary Legal Instrument is the Mineral and Petroleum Resources Development Act, 2003 (</w:t>
      </w:r>
      <w:r w:rsidR="00A311D8">
        <w:rPr>
          <w:lang w:val="en-GB"/>
        </w:rPr>
        <w:t>“</w:t>
      </w:r>
      <w:r w:rsidRPr="00571974">
        <w:rPr>
          <w:lang w:val="en-GB"/>
        </w:rPr>
        <w:t>MPRDA</w:t>
      </w:r>
      <w:r w:rsidR="00A311D8">
        <w:rPr>
          <w:lang w:val="en-GB"/>
        </w:rPr>
        <w:t>”</w:t>
      </w:r>
      <w:r w:rsidRPr="00571974">
        <w:rPr>
          <w:lang w:val="en-GB"/>
        </w:rPr>
        <w:t>), which vests custodianship of South Africa</w:t>
      </w:r>
      <w:r w:rsidR="00A311D8">
        <w:rPr>
          <w:lang w:val="en-GB"/>
        </w:rPr>
        <w:t>’</w:t>
      </w:r>
      <w:r w:rsidRPr="00571974">
        <w:rPr>
          <w:lang w:val="en-GB"/>
        </w:rPr>
        <w:t xml:space="preserve">s minerals in the state, which </w:t>
      </w:r>
      <w:r w:rsidR="007202CA" w:rsidRPr="00571974">
        <w:rPr>
          <w:lang w:val="en-GB"/>
        </w:rPr>
        <w:t xml:space="preserve">in turn </w:t>
      </w:r>
      <w:r w:rsidRPr="00571974">
        <w:rPr>
          <w:lang w:val="en-GB"/>
        </w:rPr>
        <w:t xml:space="preserve">regulates the right to prospect and mine in the form of prospecting rights or Mining Rights to applicants. The MPRDA contains within its objectives (section 2) the following (collectively referred to as the </w:t>
      </w:r>
      <w:r w:rsidR="00A311D8">
        <w:rPr>
          <w:lang w:val="en-GB"/>
        </w:rPr>
        <w:t>“</w:t>
      </w:r>
      <w:r w:rsidRPr="00571974">
        <w:rPr>
          <w:lang w:val="en-GB"/>
        </w:rPr>
        <w:t>Transformation Objectives</w:t>
      </w:r>
      <w:r w:rsidR="00A311D8">
        <w:rPr>
          <w:lang w:val="en-GB"/>
        </w:rPr>
        <w:t>”</w:t>
      </w:r>
      <w:r w:rsidRPr="00571974">
        <w:rPr>
          <w:lang w:val="en-GB"/>
        </w:rPr>
        <w:t>):</w:t>
      </w:r>
    </w:p>
    <w:p w14:paraId="29895430" w14:textId="3C958B44" w:rsidR="00BC2D83" w:rsidRPr="00571974" w:rsidRDefault="003D4D89" w:rsidP="003D4D89">
      <w:pPr>
        <w:pStyle w:val="BodyText"/>
        <w:numPr>
          <w:ilvl w:val="0"/>
          <w:numId w:val="30"/>
        </w:numPr>
        <w:rPr>
          <w:lang w:val="en-GB"/>
        </w:rPr>
      </w:pPr>
      <w:r w:rsidRPr="00571974">
        <w:rPr>
          <w:lang w:val="en-GB"/>
        </w:rPr>
        <w:t>Promoti</w:t>
      </w:r>
      <w:r w:rsidR="00BA0985" w:rsidRPr="00571974">
        <w:rPr>
          <w:lang w:val="en-GB"/>
        </w:rPr>
        <w:t>ng</w:t>
      </w:r>
      <w:r w:rsidRPr="00571974">
        <w:rPr>
          <w:lang w:val="en-GB"/>
        </w:rPr>
        <w:t xml:space="preserve"> equitable access to the nation</w:t>
      </w:r>
      <w:r w:rsidR="00A311D8">
        <w:rPr>
          <w:lang w:val="en-GB"/>
        </w:rPr>
        <w:t>’</w:t>
      </w:r>
      <w:r w:rsidRPr="00571974">
        <w:rPr>
          <w:lang w:val="en-GB"/>
        </w:rPr>
        <w:t>s mineral and petroleum resources to all the people of South Africa (section 2(c) of the MPRDA);</w:t>
      </w:r>
    </w:p>
    <w:p w14:paraId="146F7222" w14:textId="096D690C" w:rsidR="00BC2D83" w:rsidRPr="00571974" w:rsidRDefault="003D4D89" w:rsidP="003D4D89">
      <w:pPr>
        <w:pStyle w:val="BodyText"/>
        <w:numPr>
          <w:ilvl w:val="0"/>
          <w:numId w:val="30"/>
        </w:numPr>
        <w:rPr>
          <w:lang w:val="en-GB"/>
        </w:rPr>
      </w:pPr>
      <w:r w:rsidRPr="00571974">
        <w:rPr>
          <w:lang w:val="en-GB"/>
        </w:rPr>
        <w:t>Substantially and meaningfully expanding opportunities for historically disadvantaged persons, including women and communities, to enter into and actively participate in the mineral and petroleum industries and to benefit from the exploitation of the nation</w:t>
      </w:r>
      <w:r w:rsidR="00A311D8">
        <w:rPr>
          <w:lang w:val="en-GB"/>
        </w:rPr>
        <w:t>’</w:t>
      </w:r>
      <w:r w:rsidRPr="00571974">
        <w:rPr>
          <w:lang w:val="en-GB"/>
        </w:rPr>
        <w:t>s mineral and petroleum resources (section 2(d) of the MPRDA); and</w:t>
      </w:r>
    </w:p>
    <w:p w14:paraId="127A3AC7" w14:textId="77777777" w:rsidR="00BC2D83" w:rsidRPr="00571974" w:rsidRDefault="003D4D89" w:rsidP="003D4D89">
      <w:pPr>
        <w:pStyle w:val="BodyText"/>
        <w:numPr>
          <w:ilvl w:val="0"/>
          <w:numId w:val="30"/>
        </w:numPr>
        <w:rPr>
          <w:lang w:val="en-GB"/>
        </w:rPr>
      </w:pPr>
      <w:r w:rsidRPr="00571974">
        <w:rPr>
          <w:lang w:val="en-GB"/>
        </w:rPr>
        <w:t>Promoting employment and advancing the social and economic welfare of all South Africans (section 2(f) of the MPRDA).</w:t>
      </w:r>
    </w:p>
    <w:p w14:paraId="762D8F26" w14:textId="00DDA186" w:rsidR="00BC2D83" w:rsidRPr="00571974" w:rsidRDefault="003D4D89" w:rsidP="00BC2D83">
      <w:pPr>
        <w:pStyle w:val="BodyText"/>
        <w:widowControl/>
        <w:autoSpaceDE/>
        <w:autoSpaceDN/>
        <w:adjustRightInd/>
        <w:ind w:firstLine="360"/>
        <w:rPr>
          <w:lang w:val="en-GB"/>
        </w:rPr>
      </w:pPr>
      <w:r w:rsidRPr="00571974">
        <w:rPr>
          <w:lang w:val="en-GB"/>
        </w:rPr>
        <w:t>Pursuant to the MPRDA, the Minister of Mineral Resources</w:t>
      </w:r>
      <w:r w:rsidR="00E44C4B" w:rsidRPr="00571974">
        <w:rPr>
          <w:lang w:val="en-GB"/>
        </w:rPr>
        <w:t xml:space="preserve"> and Energy</w:t>
      </w:r>
      <w:r w:rsidRPr="00571974">
        <w:rPr>
          <w:lang w:val="en-GB"/>
        </w:rPr>
        <w:t xml:space="preserve"> (</w:t>
      </w:r>
      <w:r w:rsidR="00A311D8">
        <w:rPr>
          <w:lang w:val="en-GB"/>
        </w:rPr>
        <w:t>“</w:t>
      </w:r>
      <w:r w:rsidRPr="00571974">
        <w:rPr>
          <w:lang w:val="en-GB"/>
        </w:rPr>
        <w:t>Minister</w:t>
      </w:r>
      <w:r w:rsidR="00A311D8">
        <w:rPr>
          <w:lang w:val="en-GB"/>
        </w:rPr>
        <w:t>”</w:t>
      </w:r>
      <w:r w:rsidRPr="00571974">
        <w:rPr>
          <w:lang w:val="en-GB"/>
        </w:rPr>
        <w:t xml:space="preserve">) and the </w:t>
      </w:r>
      <w:r w:rsidR="007202CA" w:rsidRPr="00571974">
        <w:rPr>
          <w:lang w:val="en-GB"/>
        </w:rPr>
        <w:t>Department of Mineral Resources</w:t>
      </w:r>
      <w:r w:rsidR="00E44C4B" w:rsidRPr="00571974">
        <w:rPr>
          <w:lang w:val="en-GB"/>
        </w:rPr>
        <w:t xml:space="preserve"> and Energy</w:t>
      </w:r>
      <w:r w:rsidR="007202CA" w:rsidRPr="00571974">
        <w:rPr>
          <w:lang w:val="en-GB"/>
        </w:rPr>
        <w:t xml:space="preserve"> (</w:t>
      </w:r>
      <w:r w:rsidR="00A311D8">
        <w:rPr>
          <w:lang w:val="en-GB"/>
        </w:rPr>
        <w:t>“</w:t>
      </w:r>
      <w:r w:rsidRPr="00571974">
        <w:rPr>
          <w:lang w:val="en-GB"/>
        </w:rPr>
        <w:t>DMR</w:t>
      </w:r>
      <w:r w:rsidR="009566B5" w:rsidRPr="00571974">
        <w:rPr>
          <w:lang w:val="en-GB"/>
        </w:rPr>
        <w:t>E</w:t>
      </w:r>
      <w:r w:rsidR="00A311D8">
        <w:rPr>
          <w:lang w:val="en-GB"/>
        </w:rPr>
        <w:t>”</w:t>
      </w:r>
      <w:r w:rsidR="007202CA" w:rsidRPr="00571974">
        <w:rPr>
          <w:lang w:val="en-GB"/>
        </w:rPr>
        <w:t>)</w:t>
      </w:r>
      <w:r w:rsidRPr="00571974">
        <w:rPr>
          <w:lang w:val="en-GB"/>
        </w:rPr>
        <w:t xml:space="preserve"> are authorized to exercise the administrative discretion conferred under that Act such that the Transformation Objectives are advanced. Examples </w:t>
      </w:r>
      <w:r w:rsidR="002D4BED">
        <w:rPr>
          <w:lang w:val="en-GB"/>
        </w:rPr>
        <w:t xml:space="preserve">of </w:t>
      </w:r>
      <w:r w:rsidR="009566B5" w:rsidRPr="00571974">
        <w:rPr>
          <w:lang w:val="en-GB"/>
        </w:rPr>
        <w:t>this authority</w:t>
      </w:r>
      <w:r w:rsidRPr="00571974">
        <w:rPr>
          <w:lang w:val="en-GB"/>
        </w:rPr>
        <w:t xml:space="preserve"> include, but are not </w:t>
      </w:r>
      <w:r w:rsidRPr="00571974">
        <w:rPr>
          <w:lang w:val="en-GB"/>
        </w:rPr>
        <w:lastRenderedPageBreak/>
        <w:t>limited to, the adjudication of applications for the award of new mining and prospecting rights and requests for consent for the transfer of existing mining and prospecting rights between parties. Under the MPRDA, the exercise of administrative discretion by the Minister and the DMR</w:t>
      </w:r>
      <w:r w:rsidR="009566B5" w:rsidRPr="00571974">
        <w:rPr>
          <w:lang w:val="en-GB"/>
        </w:rPr>
        <w:t>E</w:t>
      </w:r>
      <w:r w:rsidRPr="00571974">
        <w:rPr>
          <w:lang w:val="en-GB"/>
        </w:rPr>
        <w:t xml:space="preserve"> must take into account the Transformation Objectives and any such exercise which failed to consider the Transformation Objectives would be unlawful and could be set aside upon review by the courts. The Transformation Objectives must be applied in a manner consistent with the Constitution of South Africa and any overreach by the Minister or the DMR</w:t>
      </w:r>
      <w:r w:rsidR="009566B5" w:rsidRPr="00571974">
        <w:rPr>
          <w:lang w:val="en-GB"/>
        </w:rPr>
        <w:t>E</w:t>
      </w:r>
      <w:r w:rsidRPr="00571974">
        <w:rPr>
          <w:lang w:val="en-GB"/>
        </w:rPr>
        <w:t xml:space="preserve"> in applying the MPRDA is similarly subject to review by the courts.</w:t>
      </w:r>
    </w:p>
    <w:p w14:paraId="4CD9A11C" w14:textId="0E492CF4" w:rsidR="009566B5" w:rsidRPr="00571974" w:rsidRDefault="003D4D89" w:rsidP="00BC2D83">
      <w:pPr>
        <w:pStyle w:val="BodyText"/>
        <w:widowControl/>
        <w:autoSpaceDE/>
        <w:autoSpaceDN/>
        <w:adjustRightInd/>
        <w:ind w:firstLine="360"/>
        <w:rPr>
          <w:lang w:val="en-GB"/>
        </w:rPr>
      </w:pPr>
      <w:r w:rsidRPr="00571974">
        <w:rPr>
          <w:lang w:val="en-GB"/>
        </w:rPr>
        <w:t xml:space="preserve">The Policy Instrument supporting the Transformation Objectives is the </w:t>
      </w:r>
      <w:r w:rsidR="00A311D8">
        <w:rPr>
          <w:lang w:val="en-GB"/>
        </w:rPr>
        <w:t>“</w:t>
      </w:r>
      <w:r w:rsidRPr="00571974">
        <w:rPr>
          <w:lang w:val="en-GB"/>
        </w:rPr>
        <w:t>mining charter</w:t>
      </w:r>
      <w:r w:rsidR="00A311D8">
        <w:rPr>
          <w:lang w:val="en-GB"/>
        </w:rPr>
        <w:t>”</w:t>
      </w:r>
      <w:r w:rsidRPr="00571974">
        <w:rPr>
          <w:lang w:val="en-GB"/>
        </w:rPr>
        <w:t xml:space="preserve"> provided for in section 100(2) of the MPRDA. </w:t>
      </w:r>
    </w:p>
    <w:p w14:paraId="54069633" w14:textId="76FAF58F" w:rsidR="00BC2D83" w:rsidRPr="00571974" w:rsidRDefault="003D4D89" w:rsidP="009566B5">
      <w:pPr>
        <w:pStyle w:val="BodyText"/>
        <w:widowControl/>
        <w:autoSpaceDE/>
        <w:autoSpaceDN/>
        <w:adjustRightInd/>
        <w:ind w:firstLine="360"/>
        <w:rPr>
          <w:lang w:val="en-GB"/>
        </w:rPr>
      </w:pPr>
      <w:r w:rsidRPr="00571974">
        <w:rPr>
          <w:lang w:val="en-GB"/>
        </w:rPr>
        <w:t xml:space="preserve">Section 100(2) provides that the Minister must develop a </w:t>
      </w:r>
      <w:r w:rsidR="00A311D8">
        <w:rPr>
          <w:lang w:val="en-GB"/>
        </w:rPr>
        <w:t>“</w:t>
      </w:r>
      <w:r w:rsidRPr="00571974">
        <w:rPr>
          <w:lang w:val="en-GB"/>
        </w:rPr>
        <w:t>broad-based socio-economic Charter</w:t>
      </w:r>
      <w:r w:rsidR="00A311D8">
        <w:rPr>
          <w:lang w:val="en-GB"/>
        </w:rPr>
        <w:t>”</w:t>
      </w:r>
      <w:r w:rsidRPr="00571974">
        <w:rPr>
          <w:lang w:val="en-GB"/>
        </w:rPr>
        <w:t xml:space="preserve"> for the South African mining industry. </w:t>
      </w:r>
      <w:r w:rsidR="009566B5" w:rsidRPr="00571974">
        <w:rPr>
          <w:lang w:val="en-GB"/>
        </w:rPr>
        <w:t xml:space="preserve">The first of these mining charters was published in 2004. Although the MPRDA makes no provision for the amendment or substitution of the mining charter, there have been three revisions of the mining charter, the most recent having been published in the government gazette on September 27, 2018 (referred to as </w:t>
      </w:r>
      <w:r w:rsidR="00A311D8">
        <w:rPr>
          <w:lang w:val="en-GB"/>
        </w:rPr>
        <w:t>“</w:t>
      </w:r>
      <w:r w:rsidR="009566B5" w:rsidRPr="007B1404">
        <w:rPr>
          <w:lang w:val="en-GB"/>
        </w:rPr>
        <w:t>MCIII</w:t>
      </w:r>
      <w:r w:rsidR="00A311D8">
        <w:rPr>
          <w:lang w:val="en-GB"/>
        </w:rPr>
        <w:t>”</w:t>
      </w:r>
      <w:r w:rsidR="009566B5" w:rsidRPr="00571974">
        <w:rPr>
          <w:lang w:val="en-GB"/>
        </w:rPr>
        <w:t>).</w:t>
      </w:r>
    </w:p>
    <w:p w14:paraId="1BBCF301" w14:textId="1995247B" w:rsidR="00BC2D83" w:rsidRPr="00571974" w:rsidRDefault="003D4D89" w:rsidP="00BC2D83">
      <w:pPr>
        <w:pStyle w:val="BodyText"/>
        <w:ind w:firstLine="360"/>
        <w:rPr>
          <w:lang w:val="en-GB"/>
        </w:rPr>
      </w:pPr>
      <w:r w:rsidRPr="00571974">
        <w:rPr>
          <w:lang w:val="en-GB"/>
        </w:rPr>
        <w:t xml:space="preserve">As a Policy Instrument, </w:t>
      </w:r>
      <w:r w:rsidR="00BC3069" w:rsidRPr="00571974">
        <w:rPr>
          <w:lang w:val="en-GB"/>
        </w:rPr>
        <w:t>MCIII</w:t>
      </w:r>
      <w:r w:rsidRPr="00571974">
        <w:rPr>
          <w:lang w:val="en-GB"/>
        </w:rPr>
        <w:t xml:space="preserve"> establishes a policy and guideline for the framing, measurement and implementation of each mining company</w:t>
      </w:r>
      <w:r w:rsidR="00A311D8">
        <w:rPr>
          <w:lang w:val="en-GB"/>
        </w:rPr>
        <w:t>’</w:t>
      </w:r>
      <w:r w:rsidRPr="00571974">
        <w:rPr>
          <w:lang w:val="en-GB"/>
        </w:rPr>
        <w:t xml:space="preserve">s contribution to the achievement of the Transformation Objectives. Accordingly, </w:t>
      </w:r>
      <w:r w:rsidR="00BC3069" w:rsidRPr="00571974">
        <w:rPr>
          <w:lang w:val="en-GB"/>
        </w:rPr>
        <w:t>MCIII</w:t>
      </w:r>
      <w:r w:rsidRPr="00571974">
        <w:rPr>
          <w:lang w:val="en-GB"/>
        </w:rPr>
        <w:t xml:space="preserve"> provides guidance on reparatory initiatives in relation to employment equity (the South African form of workplace affirmative action), human resource development, preferential procurement, corporate ownership, migrant labor, housing and living conditions for employees, beneficiation as well as mine community and rural development. This guidance includes descriptions of what initiatives would qualify for recognition, the targeted impact and timeline for implementation as well as the manner of measur</w:t>
      </w:r>
      <w:r w:rsidR="007202CA" w:rsidRPr="00571974">
        <w:rPr>
          <w:lang w:val="en-GB"/>
        </w:rPr>
        <w:t xml:space="preserve">ing </w:t>
      </w:r>
      <w:r w:rsidRPr="00571974">
        <w:rPr>
          <w:lang w:val="en-GB"/>
        </w:rPr>
        <w:t xml:space="preserve">completion. Being a Policy Instrument, this guidance does not constitute a binding legal obligation. That said, we have always regarded continued performance in accordance with the </w:t>
      </w:r>
      <w:r w:rsidR="00BC3069" w:rsidRPr="00571974">
        <w:rPr>
          <w:lang w:val="en-GB"/>
        </w:rPr>
        <w:t>m</w:t>
      </w:r>
      <w:r w:rsidRPr="00571974">
        <w:rPr>
          <w:lang w:val="en-GB"/>
        </w:rPr>
        <w:t xml:space="preserve">ining </w:t>
      </w:r>
      <w:r w:rsidR="00BC3069" w:rsidRPr="00571974">
        <w:rPr>
          <w:lang w:val="en-GB"/>
        </w:rPr>
        <w:t>c</w:t>
      </w:r>
      <w:r w:rsidRPr="00571974">
        <w:rPr>
          <w:lang w:val="en-GB"/>
        </w:rPr>
        <w:t>harter</w:t>
      </w:r>
      <w:r w:rsidR="00BC3069" w:rsidRPr="00571974">
        <w:rPr>
          <w:lang w:val="en-GB"/>
        </w:rPr>
        <w:t>s</w:t>
      </w:r>
      <w:r w:rsidRPr="00571974">
        <w:rPr>
          <w:lang w:val="en-GB"/>
        </w:rPr>
        <w:t xml:space="preserve"> as a </w:t>
      </w:r>
      <w:r w:rsidR="00BC3069" w:rsidRPr="00571974">
        <w:rPr>
          <w:lang w:val="en-GB"/>
        </w:rPr>
        <w:t xml:space="preserve">responsibility </w:t>
      </w:r>
      <w:r w:rsidRPr="00571974">
        <w:rPr>
          <w:lang w:val="en-GB"/>
        </w:rPr>
        <w:t xml:space="preserve">arising from our </w:t>
      </w:r>
      <w:r w:rsidR="00BC3069" w:rsidRPr="00571974">
        <w:rPr>
          <w:lang w:val="en-GB"/>
        </w:rPr>
        <w:t>commitment to the socio-economic development of South Africa</w:t>
      </w:r>
      <w:r w:rsidRPr="00571974">
        <w:rPr>
          <w:lang w:val="en-GB"/>
        </w:rPr>
        <w:t>. Since the promulgation of the MPRDA, we have consistently submitted our statutory annual returns to the DMR</w:t>
      </w:r>
      <w:r w:rsidR="00BC3069" w:rsidRPr="00571974">
        <w:rPr>
          <w:lang w:val="en-GB"/>
        </w:rPr>
        <w:t>E</w:t>
      </w:r>
      <w:r w:rsidRPr="00571974">
        <w:rPr>
          <w:lang w:val="en-GB"/>
        </w:rPr>
        <w:t xml:space="preserve">, demonstrating our successful performance against the </w:t>
      </w:r>
      <w:r w:rsidR="00BC3069" w:rsidRPr="00571974">
        <w:rPr>
          <w:lang w:val="en-GB"/>
        </w:rPr>
        <w:t>m</w:t>
      </w:r>
      <w:r w:rsidRPr="00571974">
        <w:rPr>
          <w:lang w:val="en-GB"/>
        </w:rPr>
        <w:t xml:space="preserve">ining </w:t>
      </w:r>
      <w:r w:rsidR="00BC3069" w:rsidRPr="00571974">
        <w:rPr>
          <w:lang w:val="en-GB"/>
        </w:rPr>
        <w:t>c</w:t>
      </w:r>
      <w:r w:rsidRPr="00571974">
        <w:rPr>
          <w:lang w:val="en-GB"/>
        </w:rPr>
        <w:t>harter targets.</w:t>
      </w:r>
    </w:p>
    <w:p w14:paraId="3AC323FD" w14:textId="77777777" w:rsidR="00BC2D83" w:rsidRPr="00571974" w:rsidRDefault="003D4D89" w:rsidP="00BC2D83">
      <w:pPr>
        <w:pStyle w:val="BodyText"/>
        <w:ind w:firstLine="360"/>
        <w:rPr>
          <w:lang w:val="en-GB"/>
        </w:rPr>
      </w:pPr>
      <w:r w:rsidRPr="00571974">
        <w:rPr>
          <w:lang w:val="en-GB"/>
        </w:rPr>
        <w:t xml:space="preserve">We are encouraged by MCIII which includes a number of improvements when compared to previous </w:t>
      </w:r>
      <w:r w:rsidR="00BC3069" w:rsidRPr="00571974">
        <w:rPr>
          <w:lang w:val="en-GB"/>
        </w:rPr>
        <w:t xml:space="preserve">mining </w:t>
      </w:r>
      <w:r w:rsidRPr="00571974">
        <w:rPr>
          <w:lang w:val="en-GB"/>
        </w:rPr>
        <w:t>charters</w:t>
      </w:r>
      <w:r w:rsidR="00610C80" w:rsidRPr="00571974">
        <w:rPr>
          <w:lang w:val="en-GB"/>
        </w:rPr>
        <w:t>,</w:t>
      </w:r>
      <w:r w:rsidR="007202CA" w:rsidRPr="00571974">
        <w:rPr>
          <w:lang w:val="en-GB"/>
        </w:rPr>
        <w:t xml:space="preserve"> most notably provisions exempting holders of existing mining rights from a requirement to undertake any further BEE transactions for the remainder of the duration of the mining right,</w:t>
      </w:r>
      <w:r w:rsidRPr="00571974">
        <w:rPr>
          <w:lang w:val="en-GB"/>
        </w:rPr>
        <w:t xml:space="preserve"> but </w:t>
      </w:r>
      <w:r w:rsidR="007202CA" w:rsidRPr="00571974">
        <w:rPr>
          <w:lang w:val="en-GB"/>
        </w:rPr>
        <w:t xml:space="preserve">we </w:t>
      </w:r>
      <w:r w:rsidRPr="00571974">
        <w:rPr>
          <w:lang w:val="en-GB"/>
        </w:rPr>
        <w:t>have identified a number of ongoing concerns:</w:t>
      </w:r>
    </w:p>
    <w:p w14:paraId="6B486458" w14:textId="77777777" w:rsidR="00BC2D83" w:rsidRPr="00571974" w:rsidRDefault="003D4D89" w:rsidP="003D4D89">
      <w:pPr>
        <w:pStyle w:val="BodyText"/>
        <w:numPr>
          <w:ilvl w:val="0"/>
          <w:numId w:val="40"/>
        </w:numPr>
        <w:rPr>
          <w:lang w:val="en-GB"/>
        </w:rPr>
      </w:pPr>
      <w:r w:rsidRPr="00571974">
        <w:rPr>
          <w:lang w:val="en-GB"/>
        </w:rPr>
        <w:t xml:space="preserve">In the recent decision of the High Court of South Africa in the matter of the Chamber of Mines of South Africa v Minister of Mineral Resources and Others, the Court affirmed our view as to the legal status of </w:t>
      </w:r>
      <w:r w:rsidR="007202CA" w:rsidRPr="00571974">
        <w:rPr>
          <w:lang w:val="en-GB"/>
        </w:rPr>
        <w:t xml:space="preserve">a </w:t>
      </w:r>
      <w:r w:rsidR="00BC3069" w:rsidRPr="00571974">
        <w:rPr>
          <w:lang w:val="en-GB"/>
        </w:rPr>
        <w:t xml:space="preserve">mining </w:t>
      </w:r>
      <w:r w:rsidRPr="00571974">
        <w:rPr>
          <w:lang w:val="en-GB"/>
        </w:rPr>
        <w:t>charter</w:t>
      </w:r>
      <w:r w:rsidR="007202CA" w:rsidRPr="00571974">
        <w:rPr>
          <w:lang w:val="en-GB"/>
        </w:rPr>
        <w:t xml:space="preserve"> gazetted under section 100 of the MPRDA</w:t>
      </w:r>
      <w:r w:rsidRPr="00571974">
        <w:rPr>
          <w:lang w:val="en-GB"/>
        </w:rPr>
        <w:t>. However, the Minister has noted an appeal against the decision. Until that appeal has been determined, continued regulatory uncertainty persists which impacts directly on the basis for implementation of MCIII;</w:t>
      </w:r>
    </w:p>
    <w:p w14:paraId="533E7017" w14:textId="212CFF4D" w:rsidR="00BC2D83" w:rsidRPr="00571974" w:rsidRDefault="003D4D89" w:rsidP="003D4D89">
      <w:pPr>
        <w:pStyle w:val="BodyText"/>
        <w:numPr>
          <w:ilvl w:val="0"/>
          <w:numId w:val="40"/>
        </w:numPr>
        <w:rPr>
          <w:lang w:val="en-GB"/>
        </w:rPr>
      </w:pPr>
      <w:r w:rsidRPr="00571974">
        <w:rPr>
          <w:lang w:val="en-GB"/>
        </w:rPr>
        <w:t>The purported application of MCIII to licenses and permits granted under the Precious Metals Act and the Diamonds Act, some of which must be renewed annually</w:t>
      </w:r>
      <w:r w:rsidR="00BC3069" w:rsidRPr="00571974">
        <w:rPr>
          <w:lang w:val="en-GB"/>
        </w:rPr>
        <w:t>. The Precious Metals Act regulates certain aspects of our Anglo American Platinum business and the Diamonds Act regulates certain aspects of De Beers</w:t>
      </w:r>
      <w:r w:rsidR="00A311D8">
        <w:rPr>
          <w:lang w:val="en-GB"/>
        </w:rPr>
        <w:t>’</w:t>
      </w:r>
      <w:r w:rsidR="00BC3069" w:rsidRPr="00571974">
        <w:rPr>
          <w:lang w:val="en-GB"/>
        </w:rPr>
        <w:t xml:space="preserve"> South African operations</w:t>
      </w:r>
      <w:r w:rsidRPr="00571974">
        <w:rPr>
          <w:lang w:val="en-GB"/>
        </w:rPr>
        <w:t xml:space="preserve">; and </w:t>
      </w:r>
    </w:p>
    <w:p w14:paraId="1D5F0065" w14:textId="77777777" w:rsidR="00BC2D83" w:rsidRPr="00571974" w:rsidRDefault="003D4D89" w:rsidP="003D4D89">
      <w:pPr>
        <w:pStyle w:val="BodyText"/>
        <w:numPr>
          <w:ilvl w:val="0"/>
          <w:numId w:val="40"/>
        </w:numPr>
        <w:rPr>
          <w:lang w:val="en-GB"/>
        </w:rPr>
      </w:pPr>
      <w:r w:rsidRPr="00571974">
        <w:rPr>
          <w:lang w:val="en-GB"/>
        </w:rPr>
        <w:t xml:space="preserve">The inclusion of provisions in MCIII suggesting that new and further BEE ownership transactions will need to be concluded at the point of renewal of a mining right, which is contrary to the </w:t>
      </w:r>
      <w:r w:rsidR="00F44D39" w:rsidRPr="00571974">
        <w:rPr>
          <w:lang w:val="en-GB"/>
        </w:rPr>
        <w:t>provisions</w:t>
      </w:r>
      <w:r w:rsidRPr="00571974">
        <w:rPr>
          <w:lang w:val="en-GB"/>
        </w:rPr>
        <w:t xml:space="preserve"> of the MPRDA.</w:t>
      </w:r>
    </w:p>
    <w:p w14:paraId="609ED498" w14:textId="77777777" w:rsidR="007202CA" w:rsidRPr="00571974" w:rsidRDefault="003D4D89" w:rsidP="006A3924">
      <w:pPr>
        <w:pStyle w:val="BodyText"/>
        <w:ind w:firstLine="360"/>
        <w:rPr>
          <w:i/>
          <w:lang w:val="en-GB"/>
        </w:rPr>
      </w:pPr>
      <w:r w:rsidRPr="00571974">
        <w:rPr>
          <w:lang w:val="en-GB"/>
        </w:rPr>
        <w:t xml:space="preserve">We continue to engage with the Government of South Africa around resolving these concerns. </w:t>
      </w:r>
      <w:bookmarkEnd w:id="80"/>
      <w:r w:rsidRPr="00571974">
        <w:rPr>
          <w:i/>
          <w:lang w:val="en-GB"/>
        </w:rPr>
        <w:t xml:space="preserve"> </w:t>
      </w:r>
    </w:p>
    <w:p w14:paraId="484EA402" w14:textId="77777777" w:rsidR="00BC2D83" w:rsidRPr="00571974" w:rsidRDefault="003D4D89" w:rsidP="006A3924">
      <w:pPr>
        <w:pStyle w:val="BodyText"/>
        <w:ind w:firstLine="360"/>
        <w:rPr>
          <w:i/>
          <w:lang w:val="en-GB"/>
        </w:rPr>
      </w:pPr>
      <w:r w:rsidRPr="00571974">
        <w:rPr>
          <w:i/>
          <w:lang w:val="en-GB"/>
        </w:rPr>
        <w:t>Recent developments</w:t>
      </w:r>
    </w:p>
    <w:p w14:paraId="0BF6C3EF" w14:textId="77777777" w:rsidR="00F46055" w:rsidRPr="00571974" w:rsidRDefault="003D4D89" w:rsidP="006A3924">
      <w:pPr>
        <w:pStyle w:val="BodyText"/>
        <w:ind w:firstLine="360"/>
        <w:rPr>
          <w:lang w:val="en-GB"/>
        </w:rPr>
      </w:pPr>
      <w:r w:rsidRPr="00571974">
        <w:rPr>
          <w:lang w:val="en-GB"/>
        </w:rPr>
        <w:t xml:space="preserve">A new bill, the Upstream Petroleum Resources Development Act, was published on 24 December 2019 and seeks to excise the regulation of the petroleum and gas sector in South Africa from the MPRDA. It is anticipated that this bill will be under consideration for at least the next 12 months. The new bill has no impact upon our mining operations in South Africa, but we are closely monitoring its development as it may impact coal-bed methane gas exploration rights held by our Coal South Africa mining business.  </w:t>
      </w:r>
    </w:p>
    <w:p w14:paraId="14C76E2F" w14:textId="77777777" w:rsidR="00BC2D83" w:rsidRPr="00571974" w:rsidRDefault="003D4D89" w:rsidP="00BC2D83">
      <w:pPr>
        <w:pStyle w:val="BodyText"/>
        <w:widowControl/>
        <w:autoSpaceDE/>
        <w:autoSpaceDN/>
        <w:adjustRightInd/>
        <w:ind w:firstLine="360"/>
        <w:rPr>
          <w:i/>
          <w:lang w:val="en-GB"/>
        </w:rPr>
      </w:pPr>
      <w:r w:rsidRPr="00571974">
        <w:rPr>
          <w:i/>
          <w:lang w:val="en-GB"/>
        </w:rPr>
        <w:t>Current status of our rights</w:t>
      </w:r>
    </w:p>
    <w:p w14:paraId="41DACA0E" w14:textId="16A3E319" w:rsidR="00BC2D83" w:rsidRPr="00571974" w:rsidRDefault="003D4D89" w:rsidP="00BC2D83">
      <w:pPr>
        <w:pStyle w:val="BodyText"/>
        <w:widowControl/>
        <w:autoSpaceDE/>
        <w:autoSpaceDN/>
        <w:adjustRightInd/>
        <w:ind w:firstLine="360"/>
        <w:rPr>
          <w:lang w:val="en-GB"/>
        </w:rPr>
      </w:pPr>
      <w:r w:rsidRPr="00571974">
        <w:rPr>
          <w:lang w:val="en-GB"/>
        </w:rPr>
        <w:t>The DMR</w:t>
      </w:r>
      <w:r w:rsidR="00F46055" w:rsidRPr="00571974">
        <w:rPr>
          <w:lang w:val="en-GB"/>
        </w:rPr>
        <w:t>E</w:t>
      </w:r>
      <w:r w:rsidRPr="00571974">
        <w:rPr>
          <w:lang w:val="en-GB"/>
        </w:rPr>
        <w:t xml:space="preserve"> has to date granted our applications for conversion of our </w:t>
      </w:r>
      <w:r w:rsidR="00A311D8">
        <w:rPr>
          <w:lang w:val="en-GB"/>
        </w:rPr>
        <w:t>“</w:t>
      </w:r>
      <w:r w:rsidRPr="00571974">
        <w:rPr>
          <w:lang w:val="en-GB"/>
        </w:rPr>
        <w:t>old order</w:t>
      </w:r>
      <w:r w:rsidR="00A311D8">
        <w:rPr>
          <w:lang w:val="en-GB"/>
        </w:rPr>
        <w:t>”</w:t>
      </w:r>
      <w:r w:rsidRPr="00571974">
        <w:rPr>
          <w:lang w:val="en-GB"/>
        </w:rPr>
        <w:t xml:space="preserve"> rights, i.e. mining rights as they existed prior to the promulgation of the MPRDA, and several new mining rights have also been granted. All of </w:t>
      </w:r>
      <w:r w:rsidRPr="00571974">
        <w:rPr>
          <w:lang w:val="en-GB"/>
        </w:rPr>
        <w:lastRenderedPageBreak/>
        <w:t xml:space="preserve">the licenses for our operating mines within Coal South Africa, Kumba </w:t>
      </w:r>
      <w:r w:rsidR="00F46055" w:rsidRPr="00571974">
        <w:rPr>
          <w:lang w:val="en-GB"/>
        </w:rPr>
        <w:t>Iron Ore</w:t>
      </w:r>
      <w:r w:rsidRPr="00571974">
        <w:rPr>
          <w:lang w:val="en-GB"/>
        </w:rPr>
        <w:t>, Anglo American Platinum and De Beers Consolidated Mines are in full grant.</w:t>
      </w:r>
    </w:p>
    <w:p w14:paraId="018651C8" w14:textId="77777777" w:rsidR="00BC2D83" w:rsidRPr="00571974" w:rsidRDefault="003D4D89" w:rsidP="00BC2D83">
      <w:pPr>
        <w:pStyle w:val="BodyText"/>
        <w:widowControl/>
        <w:autoSpaceDE/>
        <w:autoSpaceDN/>
        <w:adjustRightInd/>
        <w:ind w:firstLine="360"/>
        <w:rPr>
          <w:lang w:val="en-GB"/>
        </w:rPr>
      </w:pPr>
      <w:r w:rsidRPr="00571974">
        <w:rPr>
          <w:lang w:val="en-GB"/>
        </w:rPr>
        <w:t xml:space="preserve">New and converted mining rights are granted for a maximum period of 30 years, with renewals of up to 30 years each. The average remaining tenure of our existing mining rights is approximately </w:t>
      </w:r>
      <w:r w:rsidR="00F46055" w:rsidRPr="00571974">
        <w:rPr>
          <w:lang w:val="en-GB"/>
        </w:rPr>
        <w:t>20</w:t>
      </w:r>
      <w:r w:rsidRPr="00571974">
        <w:rPr>
          <w:lang w:val="en-GB"/>
        </w:rPr>
        <w:t xml:space="preserve"> years. Prospecting rights are valid for a period of five years, with one renewal of up to three years. For gas exploration rights, the maximum period is three years with options of renewal for up to two years each. Furthermore, the MPRDA provides for a retention period after prospecting of up to three years with one renewal of up to two years, subject to certain conditions, such as non-concentration of resources, fair competition and non-exclusion of others.</w:t>
      </w:r>
    </w:p>
    <w:p w14:paraId="18FC1F34" w14:textId="77777777" w:rsidR="00BC2D83" w:rsidRPr="00571974" w:rsidRDefault="003D4D89" w:rsidP="00BC2D83">
      <w:pPr>
        <w:pStyle w:val="BodyText"/>
        <w:widowControl/>
        <w:autoSpaceDE/>
        <w:autoSpaceDN/>
        <w:adjustRightInd/>
        <w:ind w:firstLine="360"/>
        <w:rPr>
          <w:lang w:val="en-GB"/>
        </w:rPr>
      </w:pPr>
      <w:r w:rsidRPr="00571974">
        <w:rPr>
          <w:lang w:val="en-GB"/>
        </w:rPr>
        <w:t>Mining rights are transferable only with the approval of the Minister and are subject to various terms and conditions, including commencement of operations within specified periods, continuing and active operations and compliance with work program</w:t>
      </w:r>
      <w:r w:rsidR="00E64229">
        <w:rPr>
          <w:lang w:val="en-GB"/>
        </w:rPr>
        <w:t>me</w:t>
      </w:r>
      <w:r w:rsidRPr="00571974">
        <w:rPr>
          <w:lang w:val="en-GB"/>
        </w:rPr>
        <w:t>s, social and labor plans, environmental authorizations and empowerment requirements.</w:t>
      </w:r>
    </w:p>
    <w:p w14:paraId="1B45D48D" w14:textId="4DB25D5E" w:rsidR="00BC2D83" w:rsidRPr="00571974" w:rsidRDefault="003D4D89" w:rsidP="00BC2D83">
      <w:pPr>
        <w:pStyle w:val="BodyText"/>
        <w:widowControl/>
        <w:autoSpaceDE/>
        <w:autoSpaceDN/>
        <w:adjustRightInd/>
        <w:ind w:firstLine="360"/>
        <w:rPr>
          <w:lang w:val="en-GB"/>
        </w:rPr>
      </w:pPr>
      <w:r w:rsidRPr="00571974">
        <w:rPr>
          <w:lang w:val="en-GB"/>
        </w:rPr>
        <w:t xml:space="preserve">Under section 47 of the MPRDA, mining rights can be suspended or cancelled by the Minister if the holder has breached its obligations under the terms of the rights and has failed to remedy such breach after written notice of the breach from the Minister and an opportunity for response.  </w:t>
      </w:r>
      <w:r w:rsidR="00A311D8">
        <w:rPr>
          <w:lang w:val="en-GB"/>
        </w:rPr>
        <w:t>“</w:t>
      </w:r>
      <w:r w:rsidRPr="00571974">
        <w:rPr>
          <w:lang w:val="en-GB"/>
        </w:rPr>
        <w:t>Non-compliance</w:t>
      </w:r>
      <w:r w:rsidR="00A311D8">
        <w:rPr>
          <w:lang w:val="en-GB"/>
        </w:rPr>
        <w:t>”</w:t>
      </w:r>
      <w:r w:rsidRPr="00571974">
        <w:rPr>
          <w:lang w:val="en-GB"/>
        </w:rPr>
        <w:t xml:space="preserve"> with </w:t>
      </w:r>
      <w:r w:rsidR="00F46055" w:rsidRPr="00571974">
        <w:rPr>
          <w:lang w:val="en-GB"/>
        </w:rPr>
        <w:t>MCIII</w:t>
      </w:r>
      <w:r w:rsidR="007202CA" w:rsidRPr="00571974">
        <w:rPr>
          <w:lang w:val="en-GB"/>
        </w:rPr>
        <w:t xml:space="preserve"> </w:t>
      </w:r>
      <w:r w:rsidRPr="00571974">
        <w:rPr>
          <w:lang w:val="en-GB"/>
        </w:rPr>
        <w:t>is not grounds for the suspension or cancellation of a right.</w:t>
      </w:r>
    </w:p>
    <w:p w14:paraId="60F7EF36" w14:textId="77777777" w:rsidR="00BC2D83" w:rsidRPr="00571974" w:rsidRDefault="003D4D89" w:rsidP="00BC2D83">
      <w:pPr>
        <w:pStyle w:val="BodyText"/>
        <w:widowControl/>
        <w:autoSpaceDE/>
        <w:autoSpaceDN/>
        <w:adjustRightInd/>
        <w:ind w:firstLine="360"/>
        <w:rPr>
          <w:lang w:val="en-GB"/>
        </w:rPr>
      </w:pPr>
      <w:r w:rsidRPr="00571974">
        <w:rPr>
          <w:lang w:val="en-GB"/>
        </w:rPr>
        <w:t xml:space="preserve">The MPRDA imposes specific responsibilities on mining companies relating to environmental management and in respect of any environmental damage caused by prospecting, exploration or mining activities. </w:t>
      </w:r>
    </w:p>
    <w:p w14:paraId="22A0E5D7" w14:textId="77777777" w:rsidR="00BC2D83" w:rsidRPr="00571974" w:rsidRDefault="003D4D89" w:rsidP="00BC2D83">
      <w:pPr>
        <w:pStyle w:val="BodyText"/>
        <w:widowControl/>
        <w:autoSpaceDE/>
        <w:autoSpaceDN/>
        <w:adjustRightInd/>
        <w:ind w:firstLine="360"/>
        <w:rPr>
          <w:lang w:val="en-GB"/>
        </w:rPr>
      </w:pPr>
      <w:r w:rsidRPr="00571974">
        <w:rPr>
          <w:lang w:val="en-GB"/>
        </w:rPr>
        <w:t>In accordance with the MPRDA, we are required to report annually to the DMR</w:t>
      </w:r>
      <w:r w:rsidR="00F46055" w:rsidRPr="00571974">
        <w:rPr>
          <w:lang w:val="en-GB"/>
        </w:rPr>
        <w:t>E</w:t>
      </w:r>
      <w:r w:rsidRPr="00571974">
        <w:rPr>
          <w:lang w:val="en-GB"/>
        </w:rPr>
        <w:t xml:space="preserve"> on all aspects of our compliance with the MPRDA and on progress against the targets contained in </w:t>
      </w:r>
      <w:r w:rsidR="00F46055" w:rsidRPr="00571974">
        <w:rPr>
          <w:lang w:val="en-GB"/>
        </w:rPr>
        <w:t>MCIII</w:t>
      </w:r>
      <w:r w:rsidRPr="00571974">
        <w:rPr>
          <w:lang w:val="en-GB"/>
        </w:rPr>
        <w:t>. Our reports have all been accepted by the DMR</w:t>
      </w:r>
      <w:r w:rsidR="00F46055" w:rsidRPr="00571974">
        <w:rPr>
          <w:lang w:val="en-GB"/>
        </w:rPr>
        <w:t>E</w:t>
      </w:r>
      <w:r w:rsidRPr="00571974">
        <w:rPr>
          <w:lang w:val="en-GB"/>
        </w:rPr>
        <w:t xml:space="preserve">. </w:t>
      </w:r>
    </w:p>
    <w:p w14:paraId="119E249A" w14:textId="679EBE84" w:rsidR="00BC2D83" w:rsidRPr="00571974" w:rsidRDefault="003D4D89" w:rsidP="00EA3F32">
      <w:pPr>
        <w:pStyle w:val="Heading4"/>
      </w:pPr>
      <w:r w:rsidRPr="00571974">
        <w:t>Exchange Controls</w:t>
      </w:r>
    </w:p>
    <w:p w14:paraId="7AEEE3F6" w14:textId="756A4A37" w:rsidR="00BC2D83" w:rsidRPr="00571974" w:rsidRDefault="003D4D89" w:rsidP="00BC2D83">
      <w:pPr>
        <w:pStyle w:val="BodyText"/>
        <w:widowControl/>
        <w:autoSpaceDE/>
        <w:autoSpaceDN/>
        <w:adjustRightInd/>
        <w:ind w:firstLine="360"/>
        <w:rPr>
          <w:lang w:val="en-GB"/>
        </w:rPr>
      </w:pPr>
      <w:r w:rsidRPr="00571974">
        <w:rPr>
          <w:lang w:val="en-GB"/>
        </w:rPr>
        <w:t>The following is a general outline of South African exchange control regulations (</w:t>
      </w:r>
      <w:r w:rsidR="00A311D8">
        <w:rPr>
          <w:lang w:val="en-GB"/>
        </w:rPr>
        <w:t>“</w:t>
      </w:r>
      <w:r w:rsidRPr="00571974">
        <w:rPr>
          <w:lang w:val="en-GB"/>
        </w:rPr>
        <w:t>Exchange Control Regulations</w:t>
      </w:r>
      <w:r w:rsidR="00A311D8">
        <w:rPr>
          <w:lang w:val="en-GB"/>
        </w:rPr>
        <w:t>”</w:t>
      </w:r>
      <w:r w:rsidRPr="00571974">
        <w:rPr>
          <w:lang w:val="en-GB"/>
        </w:rPr>
        <w:t>) and its impact on the Group</w:t>
      </w:r>
      <w:r w:rsidR="00A311D8">
        <w:rPr>
          <w:lang w:val="en-GB"/>
        </w:rPr>
        <w:t>’</w:t>
      </w:r>
      <w:r w:rsidRPr="00571974">
        <w:rPr>
          <w:lang w:val="en-GB"/>
        </w:rPr>
        <w:t>s business.</w:t>
      </w:r>
    </w:p>
    <w:p w14:paraId="39AC412A" w14:textId="4EE5DFC3" w:rsidR="00BC2D83" w:rsidRPr="00571974" w:rsidRDefault="003D4D89" w:rsidP="00BC2D83">
      <w:pPr>
        <w:pStyle w:val="BodyText"/>
        <w:widowControl/>
        <w:autoSpaceDE/>
        <w:autoSpaceDN/>
        <w:adjustRightInd/>
        <w:ind w:firstLine="360"/>
        <w:rPr>
          <w:lang w:val="en-GB"/>
        </w:rPr>
      </w:pPr>
      <w:r w:rsidRPr="00571974">
        <w:rPr>
          <w:lang w:val="en-GB"/>
        </w:rPr>
        <w:t xml:space="preserve">The current set of Exchange Control Regulations was promulgated on December 1, 1961. It is the stated intention of the South African authorities to relax Exchange Control Regulations in an orderly manner as and when it is deemed appropriate. Although a gradual relaxation has taken place over a number of years, </w:t>
      </w:r>
      <w:r w:rsidR="009F3BED">
        <w:rPr>
          <w:lang w:val="en-GB"/>
        </w:rPr>
        <w:t xml:space="preserve">and there has been a recent announcement relating to further intended relaxations as described in greater detail below, </w:t>
      </w:r>
      <w:r w:rsidRPr="00571974">
        <w:rPr>
          <w:lang w:val="en-GB"/>
        </w:rPr>
        <w:t xml:space="preserve">exchange controls still </w:t>
      </w:r>
      <w:r w:rsidR="009F3BED">
        <w:rPr>
          <w:lang w:val="en-GB"/>
        </w:rPr>
        <w:t xml:space="preserve">currently </w:t>
      </w:r>
      <w:r w:rsidRPr="00571974">
        <w:rPr>
          <w:lang w:val="en-GB"/>
        </w:rPr>
        <w:t>exist with the intention of controlling the flow of capital into and out of the member countries of the Common Monetary Area (comprising South Africa, Lesotho, Namibia and Swaziland) and generally to prevent the unauthorized export of capital by residents.</w:t>
      </w:r>
    </w:p>
    <w:p w14:paraId="204CB835" w14:textId="095396A1" w:rsidR="00BC2D83" w:rsidRPr="00571974" w:rsidRDefault="003D4D89" w:rsidP="00BC2D83">
      <w:pPr>
        <w:pStyle w:val="BodyText"/>
        <w:widowControl/>
        <w:autoSpaceDE/>
        <w:autoSpaceDN/>
        <w:adjustRightInd/>
        <w:ind w:firstLine="360"/>
        <w:rPr>
          <w:lang w:val="en-GB"/>
        </w:rPr>
      </w:pPr>
      <w:r w:rsidRPr="00571974">
        <w:rPr>
          <w:lang w:val="en-GB"/>
        </w:rPr>
        <w:t>The administration of exchange controls has been delegated to the Financial Surveillance Department of the South African Reserve Bank (</w:t>
      </w:r>
      <w:r w:rsidR="00A311D8">
        <w:rPr>
          <w:lang w:val="en-GB"/>
        </w:rPr>
        <w:t>“</w:t>
      </w:r>
      <w:r w:rsidRPr="00571974">
        <w:rPr>
          <w:lang w:val="en-GB"/>
        </w:rPr>
        <w:t>SARB</w:t>
      </w:r>
      <w:r w:rsidR="00A311D8">
        <w:rPr>
          <w:lang w:val="en-GB"/>
        </w:rPr>
        <w:t>”</w:t>
      </w:r>
      <w:r w:rsidRPr="00571974">
        <w:rPr>
          <w:lang w:val="en-GB"/>
        </w:rPr>
        <w:t>). The SARB has broad discretion, but it acts within policies set by the Minister of Finance and the National Treasury in consultation with the SARB. Certain powers have been delegated to authorized dealers (banks licensed by the SARB to deal in foreign exchange) to approve applications for foreign exchange. Matters that are beyond these powers are referred to the SARB, which adjudicates applications on their merits in accordance with policy and national interests.</w:t>
      </w:r>
    </w:p>
    <w:p w14:paraId="3A439BD3" w14:textId="77777777" w:rsidR="00BC2D83" w:rsidRPr="00571974" w:rsidRDefault="003D4D89" w:rsidP="00BC2D83">
      <w:pPr>
        <w:pStyle w:val="BodyText"/>
        <w:widowControl/>
        <w:autoSpaceDE/>
        <w:autoSpaceDN/>
        <w:adjustRightInd/>
        <w:ind w:firstLine="360"/>
        <w:rPr>
          <w:lang w:val="en-GB"/>
        </w:rPr>
      </w:pPr>
      <w:r w:rsidRPr="00571974">
        <w:rPr>
          <w:lang w:val="en-GB"/>
        </w:rPr>
        <w:t>Exchange Control Regulations apply to all South African residents. For this purpose, a resident is a natural person or legal entity, whether of South African or any other nationality, who has taken up residence, is domiciled or registered in the Republic of South Africa. A branch of a foreign company is resident for exchange control purposes.</w:t>
      </w:r>
    </w:p>
    <w:p w14:paraId="4EBDCDEF" w14:textId="5ECB83BA" w:rsidR="00BC2D83" w:rsidRPr="00571974" w:rsidRDefault="003D4D89" w:rsidP="00BC2D83">
      <w:pPr>
        <w:pStyle w:val="BodyText"/>
        <w:widowControl/>
        <w:autoSpaceDE/>
        <w:autoSpaceDN/>
        <w:adjustRightInd/>
        <w:ind w:firstLine="360"/>
        <w:rPr>
          <w:lang w:val="en-GB"/>
        </w:rPr>
      </w:pPr>
      <w:r w:rsidRPr="00571974">
        <w:rPr>
          <w:lang w:val="en-GB"/>
        </w:rPr>
        <w:t xml:space="preserve">All subsidiaries of the Group registered in South Africa, including </w:t>
      </w:r>
      <w:r w:rsidR="00F2369E">
        <w:rPr>
          <w:lang w:val="en-GB"/>
        </w:rPr>
        <w:t>AASA</w:t>
      </w:r>
      <w:r w:rsidRPr="00571974">
        <w:rPr>
          <w:lang w:val="en-GB"/>
        </w:rPr>
        <w:t>, Anglo American Platinum, De Beers</w:t>
      </w:r>
      <w:r w:rsidR="00A311D8">
        <w:rPr>
          <w:lang w:val="en-GB"/>
        </w:rPr>
        <w:t>’</w:t>
      </w:r>
      <w:r w:rsidRPr="00571974">
        <w:rPr>
          <w:lang w:val="en-GB"/>
        </w:rPr>
        <w:t xml:space="preserve"> South African operations and Kumba, are South African residents and, consequently, are subject to South African Exchange Control Regulations. Any offshore transaction by these companies of a capital nature requires prior authorized dealer or SARB approval, depending on the value and specific circumstances of the transaction.</w:t>
      </w:r>
    </w:p>
    <w:p w14:paraId="62923352" w14:textId="77777777" w:rsidR="00BC2D83" w:rsidRPr="00571974" w:rsidRDefault="003D4D89" w:rsidP="00BC2D83">
      <w:pPr>
        <w:pStyle w:val="BodyText"/>
        <w:widowControl/>
        <w:autoSpaceDE/>
        <w:autoSpaceDN/>
        <w:adjustRightInd/>
        <w:ind w:firstLine="360"/>
        <w:rPr>
          <w:lang w:val="en-GB"/>
        </w:rPr>
      </w:pPr>
      <w:r w:rsidRPr="00571974">
        <w:rPr>
          <w:lang w:val="en-GB"/>
        </w:rPr>
        <w:t>Most transactions of a revenue nature would not usually require prior SARB approval, although there are administrative and reporting requirements. These transactions would include the import and/or export of trade goods and the remittance of dividends to non-resident shareholders from profits earned in the normal course of business.</w:t>
      </w:r>
    </w:p>
    <w:p w14:paraId="1DC7C767" w14:textId="460A68E5" w:rsidR="00FE4FD8" w:rsidRPr="00571974" w:rsidRDefault="003D4D89" w:rsidP="00FE4FD8">
      <w:pPr>
        <w:pStyle w:val="BodyText"/>
        <w:widowControl/>
        <w:autoSpaceDE/>
        <w:autoSpaceDN/>
        <w:adjustRightInd/>
        <w:ind w:firstLine="360"/>
        <w:rPr>
          <w:lang w:val="en-GB"/>
        </w:rPr>
      </w:pPr>
      <w:r w:rsidRPr="00571974">
        <w:rPr>
          <w:lang w:val="en-GB"/>
        </w:rPr>
        <w:t>Normally, non-residents may freely invest or disinvest from South Africa and income due to the non-resident may be freely remitted. However, because the Group</w:t>
      </w:r>
      <w:r w:rsidR="00A311D8">
        <w:rPr>
          <w:lang w:val="en-GB"/>
        </w:rPr>
        <w:t>’</w:t>
      </w:r>
      <w:r w:rsidRPr="00571974">
        <w:rPr>
          <w:lang w:val="en-GB"/>
        </w:rPr>
        <w:t xml:space="preserve">s acquisition of its South African interests was by means of a share issue, and because Anglo American is deemed to be an </w:t>
      </w:r>
      <w:r w:rsidR="00A311D8">
        <w:rPr>
          <w:lang w:val="en-GB"/>
        </w:rPr>
        <w:t>“</w:t>
      </w:r>
      <w:r w:rsidRPr="00571974">
        <w:rPr>
          <w:lang w:val="en-GB"/>
        </w:rPr>
        <w:t>emigrant shareholder</w:t>
      </w:r>
      <w:r w:rsidR="00A311D8">
        <w:rPr>
          <w:lang w:val="en-GB"/>
        </w:rPr>
        <w:t>”</w:t>
      </w:r>
      <w:r w:rsidRPr="00571974">
        <w:rPr>
          <w:lang w:val="en-GB"/>
        </w:rPr>
        <w:t xml:space="preserve"> in terms of SARB regulations, SARB approval would be required for the remittance of any capital to the Group offshore by its South African resident subsidiaries. Further, operating profits of the South African Group can be distributed outside of South </w:t>
      </w:r>
      <w:r w:rsidRPr="00571974">
        <w:rPr>
          <w:lang w:val="en-GB"/>
        </w:rPr>
        <w:lastRenderedPageBreak/>
        <w:t>Africa in the form of dividends, although these cannot, without SARB approval, exceed the amount of the Anglo American plc dividend</w:t>
      </w:r>
      <w:r w:rsidR="00E55D71" w:rsidRPr="00571974">
        <w:rPr>
          <w:lang w:val="en-GB"/>
        </w:rPr>
        <w:t xml:space="preserve"> and</w:t>
      </w:r>
      <w:r w:rsidRPr="00571974">
        <w:rPr>
          <w:lang w:val="en-GB"/>
        </w:rPr>
        <w:t xml:space="preserve"> AASA is required to apply formally for approval to remit the </w:t>
      </w:r>
      <w:r w:rsidR="00A311D8">
        <w:rPr>
          <w:lang w:val="en-GB"/>
        </w:rPr>
        <w:t>“</w:t>
      </w:r>
      <w:r w:rsidRPr="00571974">
        <w:rPr>
          <w:lang w:val="en-GB"/>
        </w:rPr>
        <w:t>allowed</w:t>
      </w:r>
      <w:r w:rsidR="00A311D8">
        <w:rPr>
          <w:lang w:val="en-GB"/>
        </w:rPr>
        <w:t>”</w:t>
      </w:r>
      <w:r w:rsidRPr="00571974">
        <w:rPr>
          <w:lang w:val="en-GB"/>
        </w:rPr>
        <w:t xml:space="preserve"> distribution of operating profits each time Anglo American declares a dividend. </w:t>
      </w:r>
    </w:p>
    <w:p w14:paraId="569664A2" w14:textId="32BD965A" w:rsidR="009F3BED" w:rsidRPr="00DA283E" w:rsidRDefault="009F3BED" w:rsidP="00DA283E">
      <w:pPr>
        <w:pStyle w:val="BodyText"/>
        <w:widowControl/>
        <w:autoSpaceDE/>
        <w:autoSpaceDN/>
        <w:adjustRightInd/>
        <w:ind w:firstLine="360"/>
        <w:rPr>
          <w:lang w:val="en-GB"/>
        </w:rPr>
      </w:pPr>
      <w:r w:rsidRPr="00DA283E">
        <w:rPr>
          <w:lang w:val="en-GB"/>
        </w:rPr>
        <w:t xml:space="preserve">In his </w:t>
      </w:r>
      <w:r w:rsidR="00642850" w:rsidRPr="00DA283E">
        <w:rPr>
          <w:lang w:val="en-GB"/>
        </w:rPr>
        <w:t>b</w:t>
      </w:r>
      <w:r w:rsidRPr="00DA283E">
        <w:rPr>
          <w:lang w:val="en-GB"/>
        </w:rPr>
        <w:t xml:space="preserve">udget </w:t>
      </w:r>
      <w:r w:rsidR="00642850" w:rsidRPr="00DA283E">
        <w:rPr>
          <w:lang w:val="en-GB"/>
        </w:rPr>
        <w:t>s</w:t>
      </w:r>
      <w:r w:rsidRPr="00DA283E">
        <w:rPr>
          <w:lang w:val="en-GB"/>
        </w:rPr>
        <w:t>peech on February 26, 2020, South Africa</w:t>
      </w:r>
      <w:r w:rsidR="00A311D8">
        <w:rPr>
          <w:lang w:val="en-GB"/>
        </w:rPr>
        <w:t>’</w:t>
      </w:r>
      <w:r w:rsidRPr="00DA283E">
        <w:rPr>
          <w:lang w:val="en-GB"/>
        </w:rPr>
        <w:t xml:space="preserve">s Minister of Finance announced a number of measures to facilitate cross-border financial transactions, in support of trade and investment. The annexures to </w:t>
      </w:r>
      <w:r w:rsidR="003657B6" w:rsidRPr="00DA283E">
        <w:rPr>
          <w:lang w:val="en-GB"/>
        </w:rPr>
        <w:t>South Africa</w:t>
      </w:r>
      <w:r w:rsidR="00A311D8">
        <w:rPr>
          <w:lang w:val="en-GB"/>
        </w:rPr>
        <w:t>’</w:t>
      </w:r>
      <w:r w:rsidR="003657B6" w:rsidRPr="00DA283E">
        <w:rPr>
          <w:lang w:val="en-GB"/>
        </w:rPr>
        <w:t>s  budget review (</w:t>
      </w:r>
      <w:r w:rsidRPr="00DA283E">
        <w:rPr>
          <w:lang w:val="en-GB"/>
        </w:rPr>
        <w:t xml:space="preserve">the </w:t>
      </w:r>
      <w:r w:rsidR="00A311D8">
        <w:rPr>
          <w:lang w:val="en-GB"/>
        </w:rPr>
        <w:t>“</w:t>
      </w:r>
      <w:r w:rsidRPr="00DA283E">
        <w:rPr>
          <w:lang w:val="en-GB"/>
        </w:rPr>
        <w:t>Budget Review</w:t>
      </w:r>
      <w:r w:rsidR="00A311D8">
        <w:rPr>
          <w:lang w:val="en-GB"/>
        </w:rPr>
        <w:t>”</w:t>
      </w:r>
      <w:r w:rsidR="003657B6" w:rsidRPr="00DA283E">
        <w:rPr>
          <w:lang w:val="en-GB"/>
        </w:rPr>
        <w:t>)</w:t>
      </w:r>
      <w:r w:rsidRPr="00DA283E">
        <w:rPr>
          <w:lang w:val="en-GB"/>
        </w:rPr>
        <w:t xml:space="preserve"> provide additional detail, including a shift from the current policy of exchange controls to a risk-based capital flow management system that is in line with international best practice. The new system is expected to provide companies in South Africa, including Anglo American, with increased flexibility to manage cash resources to optimal effect. The adoption of a risk-based capital flow management system is intended to support South Africa</w:t>
      </w:r>
      <w:r w:rsidR="00A311D8">
        <w:rPr>
          <w:lang w:val="en-GB"/>
        </w:rPr>
        <w:t>’</w:t>
      </w:r>
      <w:r w:rsidRPr="00DA283E">
        <w:rPr>
          <w:lang w:val="en-GB"/>
        </w:rPr>
        <w:t>s economic growth and investment goals.</w:t>
      </w:r>
      <w:r w:rsidR="00B10BAF" w:rsidRPr="00DA283E">
        <w:rPr>
          <w:lang w:val="en-GB"/>
        </w:rPr>
        <w:t xml:space="preserve"> </w:t>
      </w:r>
    </w:p>
    <w:p w14:paraId="629F8938" w14:textId="4CF42289" w:rsidR="009F3BED" w:rsidRPr="007B1404" w:rsidRDefault="009F3BED" w:rsidP="00DA283E">
      <w:pPr>
        <w:pStyle w:val="BodyText"/>
        <w:widowControl/>
        <w:autoSpaceDE/>
        <w:autoSpaceDN/>
        <w:adjustRightInd/>
        <w:ind w:firstLine="360"/>
      </w:pPr>
      <w:r w:rsidRPr="007B1404">
        <w:t xml:space="preserve">Anglo American notes that, as set out in Annexure E to the Budget Review, certain exchange control conditions previously applicable to </w:t>
      </w:r>
      <w:r w:rsidRPr="00DA283E">
        <w:rPr>
          <w:lang w:val="en-GB"/>
        </w:rPr>
        <w:t>it</w:t>
      </w:r>
      <w:r w:rsidRPr="007B1404">
        <w:t xml:space="preserve"> will be aligned to the current foreign direct investment criteria. In terms of the new system for </w:t>
      </w:r>
      <w:r w:rsidRPr="00DA283E">
        <w:rPr>
          <w:lang w:val="en-GB"/>
        </w:rPr>
        <w:t>capital</w:t>
      </w:r>
      <w:r w:rsidRPr="007B1404">
        <w:t xml:space="preserve"> </w:t>
      </w:r>
      <w:r w:rsidRPr="00DA283E">
        <w:rPr>
          <w:lang w:val="en-GB"/>
        </w:rPr>
        <w:t>flows</w:t>
      </w:r>
      <w:r w:rsidRPr="007B1404">
        <w:t xml:space="preserve"> that will align South Africa</w:t>
      </w:r>
      <w:r w:rsidR="00A311D8">
        <w:t>’</w:t>
      </w:r>
      <w:r w:rsidRPr="007B1404">
        <w:t>s approach with international best practice, Anglo American will engage with the South African Reserve Bank and National Treasury in respect of how it will apply to its business in South Africa.</w:t>
      </w:r>
    </w:p>
    <w:p w14:paraId="14398281" w14:textId="77777777" w:rsidR="00542FF4" w:rsidRPr="00571974" w:rsidRDefault="003D4D89" w:rsidP="00542FF4">
      <w:pPr>
        <w:widowControl/>
        <w:autoSpaceDE/>
        <w:autoSpaceDN/>
        <w:adjustRightInd/>
        <w:rPr>
          <w:rFonts w:ascii="Times New Roman Bold" w:eastAsia="SimSun" w:hAnsi="Times New Roman Bold"/>
          <w:b/>
          <w:bCs/>
          <w:smallCaps/>
          <w:szCs w:val="26"/>
          <w:lang w:val="en-GB"/>
        </w:rPr>
      </w:pPr>
      <w:r w:rsidRPr="00571974">
        <w:rPr>
          <w:lang w:val="en-GB"/>
        </w:rPr>
        <w:br w:type="page"/>
      </w:r>
    </w:p>
    <w:p w14:paraId="7D50384C" w14:textId="77777777" w:rsidR="00542FF4" w:rsidRPr="00571974" w:rsidRDefault="003D4D89" w:rsidP="00542FF4">
      <w:pPr>
        <w:pStyle w:val="Heading1"/>
        <w:rPr>
          <w:caps w:val="0"/>
          <w:lang w:val="en-GB"/>
        </w:rPr>
      </w:pPr>
      <w:bookmarkStart w:id="81" w:name="_Toc36388966"/>
      <w:r w:rsidRPr="00571974">
        <w:rPr>
          <w:caps w:val="0"/>
          <w:lang w:val="en-GB"/>
        </w:rPr>
        <w:lastRenderedPageBreak/>
        <w:t>SUSTAINABLE DEVELOPMENT (INCLUDING SAFETY, HEALTH, ENVIRONMENT AND SOCIAL)</w:t>
      </w:r>
      <w:bookmarkEnd w:id="81"/>
    </w:p>
    <w:p w14:paraId="73E070D5" w14:textId="736305CC" w:rsidR="00056C58" w:rsidRPr="00571974" w:rsidRDefault="003D4D89" w:rsidP="00DA283E">
      <w:pPr>
        <w:pStyle w:val="BodyText"/>
        <w:widowControl/>
        <w:autoSpaceDE/>
        <w:autoSpaceDN/>
        <w:adjustRightInd/>
        <w:ind w:firstLine="360"/>
        <w:rPr>
          <w:lang w:val="en-GB"/>
        </w:rPr>
      </w:pPr>
      <w:r w:rsidRPr="00571974">
        <w:rPr>
          <w:lang w:val="en-GB"/>
        </w:rPr>
        <w:t xml:space="preserve">Anglo American has long been known as a leader in responsible mining. We understand success is born from having long-term horizons and we must listen to the needs of not only our shareholders, but our employees, host governments, host communities, suppliers, of course our customers, and society as a whole. </w:t>
      </w:r>
      <w:r w:rsidR="00455809" w:rsidRPr="00057BD1">
        <w:rPr>
          <w:lang w:val="en-GB"/>
        </w:rPr>
        <w:t>Identifying and understanding our material matters and risks is critical in the development and delivery of our strategy.</w:t>
      </w:r>
      <w:r w:rsidR="00455809" w:rsidRPr="00571974">
        <w:rPr>
          <w:lang w:val="en-GB"/>
        </w:rPr>
        <w:t xml:space="preserve"> </w:t>
      </w:r>
      <w:r w:rsidR="00455809" w:rsidRPr="00057BD1">
        <w:rPr>
          <w:lang w:val="en-GB"/>
        </w:rPr>
        <w:t>The matters identified through our materiality process were naturally numerous and wide-ranging. These were analysed and prioritised by senior management and then reviewed and approved by the Board. Below are matters identified as material to our st</w:t>
      </w:r>
      <w:r w:rsidR="00455809">
        <w:rPr>
          <w:lang w:val="en-GB"/>
        </w:rPr>
        <w:t>a</w:t>
      </w:r>
      <w:r w:rsidR="00455809" w:rsidRPr="00057BD1">
        <w:rPr>
          <w:lang w:val="en-GB"/>
        </w:rPr>
        <w:t>keholders and our business.</w:t>
      </w:r>
    </w:p>
    <w:p w14:paraId="04558422" w14:textId="77777777" w:rsidR="00056C58" w:rsidRPr="00571974" w:rsidRDefault="003D4D89" w:rsidP="007B1404">
      <w:pPr>
        <w:pStyle w:val="Heading3"/>
        <w:rPr>
          <w:lang w:val="en-GB"/>
        </w:rPr>
      </w:pPr>
      <w:r w:rsidRPr="00571974">
        <w:rPr>
          <w:lang w:val="en-GB"/>
        </w:rPr>
        <w:t>S</w:t>
      </w:r>
      <w:r w:rsidR="0073465C" w:rsidRPr="00571974">
        <w:rPr>
          <w:lang w:val="en-GB"/>
        </w:rPr>
        <w:t>afety</w:t>
      </w:r>
    </w:p>
    <w:p w14:paraId="5FBABD6E" w14:textId="77777777" w:rsidR="00DC4330" w:rsidRPr="00571974" w:rsidRDefault="003D4D89" w:rsidP="002D4BED">
      <w:pPr>
        <w:pStyle w:val="BodyText"/>
        <w:widowControl/>
        <w:autoSpaceDE/>
        <w:autoSpaceDN/>
        <w:adjustRightInd/>
        <w:ind w:firstLine="360"/>
        <w:rPr>
          <w:lang w:val="en-GB"/>
        </w:rPr>
      </w:pPr>
      <w:r w:rsidRPr="00571974">
        <w:rPr>
          <w:lang w:val="en-GB"/>
        </w:rPr>
        <w:t>The safety of our people is always front of mind. Making sure every employee returns home at the end of each day, better for having worked at Anglo American, is our vision for safety and health across the business. In this context, it is tragic that we continue to experience serious safety incidents, in which four of our employees died in work related incidents in 2019 in our Copper and Coal businesses.</w:t>
      </w:r>
    </w:p>
    <w:p w14:paraId="1A01FDD4" w14:textId="727015F6" w:rsidR="00DC4330" w:rsidRPr="00571974" w:rsidRDefault="003D4D89" w:rsidP="006A3924">
      <w:pPr>
        <w:pStyle w:val="BodyText"/>
        <w:widowControl/>
        <w:autoSpaceDE/>
        <w:autoSpaceDN/>
        <w:adjustRightInd/>
        <w:ind w:firstLine="360"/>
        <w:rPr>
          <w:lang w:val="en-GB"/>
        </w:rPr>
      </w:pPr>
      <w:r w:rsidRPr="00571974">
        <w:rPr>
          <w:lang w:val="en-GB"/>
        </w:rPr>
        <w:t>Taking into account external incidents, including two off-site commuting road accidents, we lost a total of 18 colleagues in 2019. These losses highlight how important it is for us to continue to improve the safety of everyone associated with Anglo American and</w:t>
      </w:r>
      <w:r w:rsidR="000350F5" w:rsidRPr="00571974">
        <w:rPr>
          <w:lang w:val="en-GB"/>
        </w:rPr>
        <w:t xml:space="preserve"> </w:t>
      </w:r>
      <w:r w:rsidRPr="00571974">
        <w:rPr>
          <w:lang w:val="en-GB"/>
        </w:rPr>
        <w:t>influencing safety good practice beyond the mine gate, including at our suppliers and non-managed joint ventures. Each of these tragic events is devastating and we extend our deepest sympathies to our colleagues</w:t>
      </w:r>
      <w:r w:rsidR="00A311D8">
        <w:rPr>
          <w:lang w:val="en-GB"/>
        </w:rPr>
        <w:t>’</w:t>
      </w:r>
      <w:r w:rsidRPr="00571974">
        <w:rPr>
          <w:lang w:val="en-GB"/>
        </w:rPr>
        <w:t xml:space="preserve"> families, friends and co-workers.</w:t>
      </w:r>
    </w:p>
    <w:p w14:paraId="597371D3" w14:textId="52E5CCB5" w:rsidR="00056C58" w:rsidRPr="00571974" w:rsidRDefault="003D4D89" w:rsidP="006A3924">
      <w:pPr>
        <w:pStyle w:val="BodyText"/>
        <w:widowControl/>
        <w:autoSpaceDE/>
        <w:autoSpaceDN/>
        <w:adjustRightInd/>
        <w:ind w:firstLine="360"/>
        <w:rPr>
          <w:lang w:val="en-GB"/>
        </w:rPr>
      </w:pPr>
      <w:r w:rsidRPr="00571974">
        <w:rPr>
          <w:lang w:val="en-GB"/>
        </w:rPr>
        <w:t>Every individual who works at Anglo American must be unconditional about safety</w:t>
      </w:r>
      <w:r w:rsidR="000350F5" w:rsidRPr="00571974">
        <w:rPr>
          <w:lang w:val="en-GB"/>
        </w:rPr>
        <w:t xml:space="preserve">. </w:t>
      </w:r>
      <w:r w:rsidRPr="00571974">
        <w:rPr>
          <w:lang w:val="en-GB"/>
        </w:rPr>
        <w:t>The Elimination of Fatalities Taskforce that w</w:t>
      </w:r>
      <w:r w:rsidR="000350F5" w:rsidRPr="00571974">
        <w:rPr>
          <w:lang w:val="en-GB"/>
        </w:rPr>
        <w:t xml:space="preserve">as </w:t>
      </w:r>
      <w:r w:rsidRPr="00571974">
        <w:rPr>
          <w:lang w:val="en-GB"/>
        </w:rPr>
        <w:t>launched during 2018 has now</w:t>
      </w:r>
      <w:r w:rsidR="000350F5" w:rsidRPr="00571974">
        <w:rPr>
          <w:lang w:val="en-GB"/>
        </w:rPr>
        <w:t xml:space="preserve"> </w:t>
      </w:r>
      <w:r w:rsidRPr="00571974">
        <w:rPr>
          <w:lang w:val="en-GB"/>
        </w:rPr>
        <w:t>covered all our managed operations, interrogating the drivers of fatal incidents, and</w:t>
      </w:r>
      <w:r w:rsidR="000350F5" w:rsidRPr="00571974">
        <w:rPr>
          <w:lang w:val="en-GB"/>
        </w:rPr>
        <w:t xml:space="preserve"> </w:t>
      </w:r>
      <w:r w:rsidRPr="00571974">
        <w:rPr>
          <w:lang w:val="en-GB"/>
        </w:rPr>
        <w:t>is now prioritising actions to better identify and manage critical hazards to remove and reduce</w:t>
      </w:r>
      <w:r w:rsidR="000350F5" w:rsidRPr="00571974">
        <w:rPr>
          <w:lang w:val="en-GB"/>
        </w:rPr>
        <w:t xml:space="preserve"> </w:t>
      </w:r>
      <w:r w:rsidRPr="00571974">
        <w:rPr>
          <w:lang w:val="en-GB"/>
        </w:rPr>
        <w:t xml:space="preserve">potential for serious and fatal incidents. </w:t>
      </w:r>
      <w:r w:rsidR="000350F5" w:rsidRPr="00571974">
        <w:rPr>
          <w:lang w:val="en-GB"/>
        </w:rPr>
        <w:t xml:space="preserve"> </w:t>
      </w:r>
      <w:r w:rsidRPr="00571974">
        <w:rPr>
          <w:lang w:val="en-GB"/>
        </w:rPr>
        <w:t>Across the breadth of our business, we</w:t>
      </w:r>
      <w:r w:rsidR="000350F5" w:rsidRPr="00571974">
        <w:rPr>
          <w:lang w:val="en-GB"/>
        </w:rPr>
        <w:t xml:space="preserve"> </w:t>
      </w:r>
      <w:r w:rsidRPr="00571974">
        <w:rPr>
          <w:lang w:val="en-GB"/>
        </w:rPr>
        <w:t>recorded another all-time low total recordable case frequency rate, representing a 19%</w:t>
      </w:r>
      <w:r w:rsidR="000350F5" w:rsidRPr="00571974">
        <w:rPr>
          <w:lang w:val="en-GB"/>
        </w:rPr>
        <w:t xml:space="preserve"> </w:t>
      </w:r>
      <w:r w:rsidRPr="00571974">
        <w:rPr>
          <w:lang w:val="en-GB"/>
        </w:rPr>
        <w:t xml:space="preserve">improvement since 2018 and a </w:t>
      </w:r>
      <w:r w:rsidR="00754E42">
        <w:rPr>
          <w:lang w:val="en-GB"/>
        </w:rPr>
        <w:t>59</w:t>
      </w:r>
      <w:r w:rsidRPr="00571974">
        <w:rPr>
          <w:lang w:val="en-GB"/>
        </w:rPr>
        <w:t>% improvement over the last six years. While</w:t>
      </w:r>
      <w:r w:rsidR="000350F5" w:rsidRPr="00571974">
        <w:rPr>
          <w:lang w:val="en-GB"/>
        </w:rPr>
        <w:t xml:space="preserve"> </w:t>
      </w:r>
      <w:r w:rsidRPr="00571974">
        <w:rPr>
          <w:lang w:val="en-GB"/>
        </w:rPr>
        <w:t>2019 was our best overall safety performance in our history, our progress strengthens our</w:t>
      </w:r>
      <w:r w:rsidR="000350F5" w:rsidRPr="00571974">
        <w:rPr>
          <w:lang w:val="en-GB"/>
        </w:rPr>
        <w:t xml:space="preserve"> </w:t>
      </w:r>
      <w:r w:rsidRPr="00571974">
        <w:rPr>
          <w:lang w:val="en-GB"/>
        </w:rPr>
        <w:t>determination to deliver on that clear commitment to zero harm.</w:t>
      </w:r>
    </w:p>
    <w:p w14:paraId="3CE29441" w14:textId="77777777" w:rsidR="00056C58" w:rsidRPr="00571974" w:rsidRDefault="003D4D89" w:rsidP="007B1404">
      <w:pPr>
        <w:pStyle w:val="Heading3"/>
        <w:rPr>
          <w:lang w:val="en-GB"/>
        </w:rPr>
      </w:pPr>
      <w:r w:rsidRPr="00571974">
        <w:rPr>
          <w:lang w:val="en-GB"/>
        </w:rPr>
        <w:t>H</w:t>
      </w:r>
      <w:r w:rsidR="0073465C" w:rsidRPr="00571974">
        <w:rPr>
          <w:lang w:val="en-GB"/>
        </w:rPr>
        <w:t>ealth</w:t>
      </w:r>
    </w:p>
    <w:p w14:paraId="5B5E4AF7" w14:textId="4DDE9E15" w:rsidR="00056C58" w:rsidRPr="00571974" w:rsidRDefault="003D4D89" w:rsidP="006A3924">
      <w:pPr>
        <w:pStyle w:val="BodyText"/>
        <w:widowControl/>
        <w:autoSpaceDE/>
        <w:autoSpaceDN/>
        <w:adjustRightInd/>
        <w:ind w:firstLine="360"/>
        <w:rPr>
          <w:lang w:val="en-GB"/>
        </w:rPr>
      </w:pPr>
      <w:r w:rsidRPr="00571974">
        <w:rPr>
          <w:lang w:val="en-GB"/>
        </w:rPr>
        <w:t>Supporting the overall health and well-being of our employees, mitigating workplace health risks and promoting community health are therefore critical and longstanding commitments for us, embedded in our Sustainable Mining Plan. In 2019, we re-framed our approach to what we call Total Health. Total Health is adapted from the World Health Organization</w:t>
      </w:r>
      <w:r w:rsidR="00A311D8">
        <w:rPr>
          <w:lang w:val="en-GB"/>
        </w:rPr>
        <w:t>’</w:t>
      </w:r>
      <w:r w:rsidRPr="00571974">
        <w:rPr>
          <w:lang w:val="en-GB"/>
        </w:rPr>
        <w:t>s Healthy Workplace Model and provides our framework for managing health and wellness at Anglo American.</w:t>
      </w:r>
      <w:r w:rsidR="00367364" w:rsidRPr="00571974">
        <w:rPr>
          <w:lang w:val="en-GB"/>
        </w:rPr>
        <w:t xml:space="preserve"> </w:t>
      </w:r>
      <w:r w:rsidRPr="00571974">
        <w:rPr>
          <w:lang w:val="en-GB"/>
        </w:rPr>
        <w:t>We continue with our world-leading HIV/AIDS and TB-management programmes and are seeing further declines in the incidence rates of these and other lifestyle diseases. At the end of 2019, we succeeded in reaching the first two objectives under the UNAIDS 90/90/90 target for all employees at Anglo American operations where we have data available. 94% of employees know their HIV status, and 92% of those identified as HIV positive are having anti-retroviral treatment. The proportion of our employees with viral loads so low as to be undetectable currently varies between 80% and 90%.</w:t>
      </w:r>
      <w:r w:rsidR="0053004A">
        <w:rPr>
          <w:lang w:val="en-GB"/>
        </w:rPr>
        <w:t xml:space="preserve"> </w:t>
      </w:r>
      <w:r w:rsidRPr="00571974">
        <w:rPr>
          <w:lang w:val="en-GB"/>
        </w:rPr>
        <w:t>We know that a healthy workforce comes from a healthy community and our innovative sustainability program</w:t>
      </w:r>
      <w:r w:rsidR="00E64229">
        <w:rPr>
          <w:lang w:val="en-GB"/>
        </w:rPr>
        <w:t>me</w:t>
      </w:r>
      <w:r w:rsidRPr="00571974">
        <w:rPr>
          <w:lang w:val="en-GB"/>
        </w:rPr>
        <w:t xml:space="preserve"> commits us to working with host communities and governments to achieve the health targets in the UN</w:t>
      </w:r>
      <w:r w:rsidR="00A311D8">
        <w:rPr>
          <w:lang w:val="en-GB"/>
        </w:rPr>
        <w:t>’</w:t>
      </w:r>
      <w:r w:rsidRPr="00571974">
        <w:rPr>
          <w:lang w:val="en-GB"/>
        </w:rPr>
        <w:t xml:space="preserve">s Sustainable Development Goals. </w:t>
      </w:r>
    </w:p>
    <w:p w14:paraId="4B6EDF44" w14:textId="77777777" w:rsidR="00056C58" w:rsidRPr="00571974" w:rsidRDefault="003D4D89" w:rsidP="007B1404">
      <w:pPr>
        <w:pStyle w:val="Heading3"/>
        <w:rPr>
          <w:lang w:val="en-GB"/>
        </w:rPr>
      </w:pPr>
      <w:r w:rsidRPr="00571974">
        <w:rPr>
          <w:lang w:val="en-GB"/>
        </w:rPr>
        <w:t>I</w:t>
      </w:r>
      <w:r w:rsidR="0073465C" w:rsidRPr="00571974">
        <w:rPr>
          <w:lang w:val="en-GB"/>
        </w:rPr>
        <w:t xml:space="preserve">nclusion and Diversity </w:t>
      </w:r>
    </w:p>
    <w:p w14:paraId="7777FF01" w14:textId="38BBADB1" w:rsidR="00056C58" w:rsidRPr="00571974" w:rsidRDefault="003D4D89" w:rsidP="006A3924">
      <w:pPr>
        <w:pStyle w:val="BodyText"/>
        <w:widowControl/>
        <w:autoSpaceDE/>
        <w:autoSpaceDN/>
        <w:adjustRightInd/>
        <w:ind w:firstLine="360"/>
        <w:rPr>
          <w:lang w:val="en-GB"/>
        </w:rPr>
      </w:pPr>
      <w:r w:rsidRPr="00571974">
        <w:rPr>
          <w:lang w:val="en-GB"/>
        </w:rPr>
        <w:t xml:space="preserve">More broadly, creating a more inclusive and diverse workplace is business-critical for us and a key component in building a sustainable and healthy business. Underpinned by our Code of Conduct and values, our global </w:t>
      </w:r>
      <w:r w:rsidR="0073465C" w:rsidRPr="00571974">
        <w:rPr>
          <w:lang w:val="en-GB"/>
        </w:rPr>
        <w:t>i</w:t>
      </w:r>
      <w:r w:rsidRPr="00571974">
        <w:rPr>
          <w:lang w:val="en-GB"/>
        </w:rPr>
        <w:t xml:space="preserve">nclusion and diversity policy and mandatory leadership training set out the </w:t>
      </w:r>
      <w:r w:rsidR="0053004A" w:rsidRPr="00571974">
        <w:rPr>
          <w:lang w:val="en-GB"/>
        </w:rPr>
        <w:t>behaviors</w:t>
      </w:r>
      <w:r w:rsidRPr="00571974">
        <w:rPr>
          <w:lang w:val="en-GB"/>
        </w:rPr>
        <w:t xml:space="preserve"> we expect of al</w:t>
      </w:r>
      <w:r w:rsidR="00CE4F7D" w:rsidRPr="00571974">
        <w:rPr>
          <w:lang w:val="en-GB"/>
        </w:rPr>
        <w:t>l</w:t>
      </w:r>
      <w:r w:rsidRPr="00571974">
        <w:rPr>
          <w:lang w:val="en-GB"/>
        </w:rPr>
        <w:t xml:space="preserve"> our colleagues. While we </w:t>
      </w:r>
      <w:r w:rsidR="00E73D79" w:rsidRPr="00571974">
        <w:rPr>
          <w:lang w:val="en-GB"/>
        </w:rPr>
        <w:t xml:space="preserve">recognize </w:t>
      </w:r>
      <w:r w:rsidRPr="00571974">
        <w:rPr>
          <w:lang w:val="en-GB"/>
        </w:rPr>
        <w:t xml:space="preserve">that we have a long journey ahead of us in many instances, we believe that we should be providing more opportunities in the workplace to people who have physical and learning difficulties and issues relating to mental health, for example. We have established a number of colleague networks in support of greater inclusivity across its many dimensions in </w:t>
      </w:r>
      <w:r w:rsidR="00F650D1" w:rsidRPr="00571974">
        <w:rPr>
          <w:lang w:val="en-GB"/>
        </w:rPr>
        <w:t>the UK</w:t>
      </w:r>
      <w:r w:rsidRPr="00571974">
        <w:rPr>
          <w:lang w:val="en-GB"/>
        </w:rPr>
        <w:t xml:space="preserve">, </w:t>
      </w:r>
      <w:r w:rsidR="000C6D8C">
        <w:rPr>
          <w:lang w:val="en-GB"/>
        </w:rPr>
        <w:t xml:space="preserve">Australia, </w:t>
      </w:r>
      <w:r w:rsidRPr="00571974">
        <w:rPr>
          <w:lang w:val="en-GB"/>
        </w:rPr>
        <w:t xml:space="preserve">Chile and South Africa, and are partnering with the Business Disability Forum and Mental Health First Aid England. Gender imbalance is prevalent in the mining industry and we have set clear pathways to greater female representation, including through recruitment and talent development. The executive team, supported by the Board, is committed to promoting an inclusive culture, with equality of </w:t>
      </w:r>
      <w:r w:rsidR="00CE4F7D" w:rsidRPr="00571974">
        <w:rPr>
          <w:lang w:val="en-GB"/>
        </w:rPr>
        <w:t>o</w:t>
      </w:r>
      <w:r w:rsidRPr="00571974">
        <w:rPr>
          <w:lang w:val="en-GB"/>
        </w:rPr>
        <w:t>pportunity for all – regardless of gender, race, ethnicity</w:t>
      </w:r>
      <w:r w:rsidR="00F650D1" w:rsidRPr="00571974">
        <w:rPr>
          <w:lang w:val="en-GB"/>
        </w:rPr>
        <w:t>, sexual orientation</w:t>
      </w:r>
      <w:r w:rsidRPr="00571974">
        <w:rPr>
          <w:lang w:val="en-GB"/>
        </w:rPr>
        <w:t xml:space="preserve"> or disability – enabling us to appoint the right person to the right role, so that everyone can bring their full self to work.</w:t>
      </w:r>
    </w:p>
    <w:p w14:paraId="517EB842" w14:textId="77777777" w:rsidR="00056C58" w:rsidRPr="00571974" w:rsidRDefault="003D4D89" w:rsidP="007B1404">
      <w:pPr>
        <w:pStyle w:val="Heading3"/>
        <w:rPr>
          <w:lang w:val="en-GB"/>
        </w:rPr>
      </w:pPr>
      <w:r w:rsidRPr="00571974">
        <w:rPr>
          <w:lang w:val="en-GB"/>
        </w:rPr>
        <w:lastRenderedPageBreak/>
        <w:t>F</w:t>
      </w:r>
      <w:r w:rsidR="00617918" w:rsidRPr="00571974">
        <w:rPr>
          <w:lang w:val="en-GB"/>
        </w:rPr>
        <w:t>uture</w:t>
      </w:r>
      <w:r w:rsidR="00130752" w:rsidRPr="00571974">
        <w:rPr>
          <w:lang w:val="en-GB"/>
        </w:rPr>
        <w:t xml:space="preserve">Smart </w:t>
      </w:r>
      <w:r w:rsidR="006C2006" w:rsidRPr="00571974">
        <w:rPr>
          <w:lang w:val="en-GB"/>
        </w:rPr>
        <w:t>M</w:t>
      </w:r>
      <w:r w:rsidR="0073465C" w:rsidRPr="00571974">
        <w:rPr>
          <w:lang w:val="en-GB"/>
        </w:rPr>
        <w:t xml:space="preserve">ining </w:t>
      </w:r>
      <w:r w:rsidRPr="00571974">
        <w:rPr>
          <w:lang w:val="en-GB"/>
        </w:rPr>
        <w:t>™</w:t>
      </w:r>
    </w:p>
    <w:p w14:paraId="056F8F3A" w14:textId="3309FDCE" w:rsidR="00056C58" w:rsidRPr="00571974" w:rsidRDefault="000C6D8C" w:rsidP="002D4BED">
      <w:pPr>
        <w:pStyle w:val="BodyText"/>
        <w:widowControl/>
        <w:autoSpaceDE/>
        <w:autoSpaceDN/>
        <w:adjustRightInd/>
        <w:ind w:firstLine="360"/>
        <w:rPr>
          <w:lang w:val="en-GB"/>
        </w:rPr>
      </w:pPr>
      <w:r>
        <w:rPr>
          <w:lang w:val="en-GB"/>
        </w:rPr>
        <w:t>At t</w:t>
      </w:r>
      <w:r w:rsidR="003D4D89" w:rsidRPr="00571974">
        <w:rPr>
          <w:lang w:val="en-GB"/>
        </w:rPr>
        <w:t>he heart of our strategy lies our FutureSmart Mining™ programme where technology, digitali</w:t>
      </w:r>
      <w:r w:rsidR="00D34D56">
        <w:rPr>
          <w:lang w:val="en-GB"/>
        </w:rPr>
        <w:t>z</w:t>
      </w:r>
      <w:r w:rsidR="003D4D89" w:rsidRPr="00571974">
        <w:rPr>
          <w:lang w:val="en-GB"/>
        </w:rPr>
        <w:t>ation and our ambitious Sustainable Mining Plan are working together to fundamentally change the physical processes of mining, our impact on the environment and how our stakeholders experience us. Our FutureSmart Mining™ programme brings together step-change innovation in technology, digitali</w:t>
      </w:r>
      <w:r w:rsidR="00D34D56">
        <w:rPr>
          <w:lang w:val="en-GB"/>
        </w:rPr>
        <w:t>z</w:t>
      </w:r>
      <w:r w:rsidR="003D4D89" w:rsidRPr="00571974">
        <w:rPr>
          <w:lang w:val="en-GB"/>
        </w:rPr>
        <w:t xml:space="preserve">ation and sustainability – working hand in hand towards a more sustainable mining configuration. For instance, several of our new technologies are aimed at targeting the metal or mineral more precisely, with much less waste rock, and lower water and energy intensity, while others </w:t>
      </w:r>
      <w:r w:rsidR="002D4BED">
        <w:rPr>
          <w:lang w:val="en-GB"/>
        </w:rPr>
        <w:t>are intended to</w:t>
      </w:r>
      <w:r w:rsidR="003D4D89" w:rsidRPr="00571974">
        <w:rPr>
          <w:lang w:val="en-GB"/>
        </w:rPr>
        <w:t xml:space="preserve"> ensure that our people are safely out of harm</w:t>
      </w:r>
      <w:r w:rsidR="00A311D8">
        <w:rPr>
          <w:lang w:val="en-GB"/>
        </w:rPr>
        <w:t>’</w:t>
      </w:r>
      <w:r w:rsidR="003D4D89" w:rsidRPr="00571974">
        <w:rPr>
          <w:lang w:val="en-GB"/>
        </w:rPr>
        <w:t xml:space="preserve">s way. These physical and digital technologies are all about mining sustainably. </w:t>
      </w:r>
    </w:p>
    <w:p w14:paraId="23D64FFB" w14:textId="77777777" w:rsidR="00056C58" w:rsidRPr="00571974" w:rsidRDefault="003D4D89" w:rsidP="007B1404">
      <w:pPr>
        <w:pStyle w:val="Heading3"/>
        <w:rPr>
          <w:lang w:val="en-GB"/>
        </w:rPr>
      </w:pPr>
      <w:r w:rsidRPr="00571974">
        <w:rPr>
          <w:lang w:val="en-GB"/>
        </w:rPr>
        <w:t xml:space="preserve">Sustainable </w:t>
      </w:r>
      <w:r w:rsidR="00D00B8C" w:rsidRPr="00571974">
        <w:rPr>
          <w:lang w:val="en-GB"/>
        </w:rPr>
        <w:t>M</w:t>
      </w:r>
      <w:r w:rsidRPr="00571974">
        <w:rPr>
          <w:lang w:val="en-GB"/>
        </w:rPr>
        <w:t>ining</w:t>
      </w:r>
    </w:p>
    <w:p w14:paraId="6FC71497" w14:textId="13321699" w:rsidR="00056C58" w:rsidRPr="00571974" w:rsidRDefault="003D4D89" w:rsidP="006A3924">
      <w:pPr>
        <w:pStyle w:val="BodyText"/>
        <w:widowControl/>
        <w:autoSpaceDE/>
        <w:autoSpaceDN/>
        <w:adjustRightInd/>
        <w:ind w:firstLine="360"/>
        <w:rPr>
          <w:lang w:val="en-GB"/>
        </w:rPr>
      </w:pPr>
      <w:r w:rsidRPr="00571974">
        <w:rPr>
          <w:lang w:val="en-GB"/>
        </w:rPr>
        <w:t>Our Sustainable Mining Plan, integral to FutureSmart Mining™, commits us to a series</w:t>
      </w:r>
      <w:r w:rsidR="0057162C" w:rsidRPr="00571974">
        <w:rPr>
          <w:lang w:val="en-GB"/>
        </w:rPr>
        <w:t xml:space="preserve"> </w:t>
      </w:r>
      <w:r w:rsidRPr="00571974">
        <w:rPr>
          <w:lang w:val="en-GB"/>
        </w:rPr>
        <w:t>of ambitious goals over the next decade. These goals relate to three major areas of</w:t>
      </w:r>
      <w:r w:rsidR="0057162C" w:rsidRPr="00571974">
        <w:rPr>
          <w:lang w:val="en-GB"/>
        </w:rPr>
        <w:t xml:space="preserve"> </w:t>
      </w:r>
      <w:r w:rsidRPr="00571974">
        <w:rPr>
          <w:lang w:val="en-GB"/>
        </w:rPr>
        <w:t>sustainability aligned to the UN</w:t>
      </w:r>
      <w:r w:rsidR="00A311D8">
        <w:rPr>
          <w:lang w:val="en-GB"/>
        </w:rPr>
        <w:t>’</w:t>
      </w:r>
      <w:r w:rsidRPr="00571974">
        <w:rPr>
          <w:lang w:val="en-GB"/>
        </w:rPr>
        <w:t>s Sustainable Development Goals: trusted corporate leader</w:t>
      </w:r>
      <w:r w:rsidR="0057162C" w:rsidRPr="00571974">
        <w:rPr>
          <w:lang w:val="en-GB"/>
        </w:rPr>
        <w:t xml:space="preserve"> </w:t>
      </w:r>
      <w:r w:rsidRPr="00571974">
        <w:rPr>
          <w:lang w:val="en-GB"/>
        </w:rPr>
        <w:t>(i.e. advocating for the highest standards of governance to drive transparency and trust</w:t>
      </w:r>
      <w:r w:rsidR="0057162C" w:rsidRPr="00571974">
        <w:rPr>
          <w:lang w:val="en-GB"/>
        </w:rPr>
        <w:t xml:space="preserve"> </w:t>
      </w:r>
      <w:r w:rsidRPr="00571974">
        <w:rPr>
          <w:lang w:val="en-GB"/>
        </w:rPr>
        <w:t>in mining and mined products); thriving communities; and healthy environment.</w:t>
      </w:r>
      <w:r w:rsidR="0057162C" w:rsidRPr="00571974">
        <w:rPr>
          <w:lang w:val="en-GB"/>
        </w:rPr>
        <w:t xml:space="preserve"> </w:t>
      </w:r>
      <w:r w:rsidRPr="00571974">
        <w:rPr>
          <w:lang w:val="en-GB"/>
        </w:rPr>
        <w:t>While our environmental goals will rely on many of the technologies we are deploying,</w:t>
      </w:r>
      <w:r w:rsidR="0057162C" w:rsidRPr="00571974">
        <w:rPr>
          <w:lang w:val="en-GB"/>
        </w:rPr>
        <w:t xml:space="preserve"> </w:t>
      </w:r>
      <w:r w:rsidRPr="00571974">
        <w:rPr>
          <w:lang w:val="en-GB"/>
        </w:rPr>
        <w:t>we are also thinking innovatively to create regional ecosystems of sustainable economic</w:t>
      </w:r>
      <w:r w:rsidR="0057162C" w:rsidRPr="00571974">
        <w:rPr>
          <w:lang w:val="en-GB"/>
        </w:rPr>
        <w:t xml:space="preserve"> </w:t>
      </w:r>
      <w:r w:rsidRPr="00571974">
        <w:rPr>
          <w:lang w:val="en-GB"/>
        </w:rPr>
        <w:t>activity, collaborating with appropriate development partners. The implementation of our Sustainable Mining</w:t>
      </w:r>
      <w:r w:rsidR="0057162C" w:rsidRPr="00571974">
        <w:rPr>
          <w:lang w:val="en-GB"/>
        </w:rPr>
        <w:t xml:space="preserve"> </w:t>
      </w:r>
      <w:r w:rsidRPr="00571974">
        <w:rPr>
          <w:lang w:val="en-GB"/>
        </w:rPr>
        <w:t>Plan gathered pace in 2019, including in relation to addressing society</w:t>
      </w:r>
      <w:r w:rsidR="00A311D8">
        <w:rPr>
          <w:lang w:val="en-GB"/>
        </w:rPr>
        <w:t>’</w:t>
      </w:r>
      <w:r w:rsidRPr="00571974">
        <w:rPr>
          <w:lang w:val="en-GB"/>
        </w:rPr>
        <w:t>s most pressing</w:t>
      </w:r>
      <w:r w:rsidR="0057162C" w:rsidRPr="00571974">
        <w:rPr>
          <w:lang w:val="en-GB"/>
        </w:rPr>
        <w:t xml:space="preserve"> </w:t>
      </w:r>
      <w:r w:rsidRPr="00571974">
        <w:rPr>
          <w:lang w:val="en-GB"/>
        </w:rPr>
        <w:t>challenge – climate change – and to consumers</w:t>
      </w:r>
      <w:r w:rsidR="00A311D8">
        <w:rPr>
          <w:lang w:val="en-GB"/>
        </w:rPr>
        <w:t>’</w:t>
      </w:r>
      <w:r w:rsidRPr="00571974">
        <w:rPr>
          <w:lang w:val="en-GB"/>
        </w:rPr>
        <w:t xml:space="preserve"> desire to understand the</w:t>
      </w:r>
      <w:r w:rsidR="0057162C" w:rsidRPr="00571974">
        <w:rPr>
          <w:lang w:val="en-GB"/>
        </w:rPr>
        <w:t xml:space="preserve"> </w:t>
      </w:r>
      <w:r w:rsidRPr="00571974">
        <w:rPr>
          <w:lang w:val="en-GB"/>
        </w:rPr>
        <w:t>provenance of the products that they buy. As we work towards our vision of carbon-neutral</w:t>
      </w:r>
      <w:r w:rsidR="0057162C" w:rsidRPr="00571974">
        <w:rPr>
          <w:lang w:val="en-GB"/>
        </w:rPr>
        <w:t xml:space="preserve"> </w:t>
      </w:r>
      <w:r w:rsidRPr="00571974">
        <w:rPr>
          <w:lang w:val="en-GB"/>
        </w:rPr>
        <w:t>mining, we have committed to using 100% renewable energy from 2021 in Chile, for</w:t>
      </w:r>
      <w:r w:rsidR="0057162C" w:rsidRPr="00571974">
        <w:rPr>
          <w:lang w:val="en-GB"/>
        </w:rPr>
        <w:t xml:space="preserve"> </w:t>
      </w:r>
      <w:r w:rsidRPr="00571974">
        <w:rPr>
          <w:lang w:val="en-GB"/>
        </w:rPr>
        <w:t>example; and we have committed to the highest standards of ethical production by</w:t>
      </w:r>
      <w:r w:rsidR="0057162C" w:rsidRPr="00571974">
        <w:rPr>
          <w:lang w:val="en-GB"/>
        </w:rPr>
        <w:t xml:space="preserve"> </w:t>
      </w:r>
      <w:r w:rsidRPr="00571974">
        <w:rPr>
          <w:lang w:val="en-GB"/>
        </w:rPr>
        <w:t>putting all our managed mines through rigorous social and environmental responsibility</w:t>
      </w:r>
      <w:r w:rsidR="0057162C" w:rsidRPr="00571974">
        <w:rPr>
          <w:lang w:val="en-GB"/>
        </w:rPr>
        <w:t xml:space="preserve"> </w:t>
      </w:r>
      <w:r w:rsidRPr="00571974">
        <w:rPr>
          <w:lang w:val="en-GB"/>
        </w:rPr>
        <w:t xml:space="preserve">certification processes by 2025, starting with our Unki PGMs mine in Zimbabwe. </w:t>
      </w:r>
    </w:p>
    <w:p w14:paraId="436DDED7" w14:textId="77777777" w:rsidR="00056C58" w:rsidRPr="00571974" w:rsidRDefault="003D4D89" w:rsidP="007B1404">
      <w:pPr>
        <w:pStyle w:val="Heading3"/>
        <w:rPr>
          <w:lang w:val="en-GB"/>
        </w:rPr>
      </w:pPr>
      <w:r w:rsidRPr="00571974">
        <w:rPr>
          <w:lang w:val="en-GB"/>
        </w:rPr>
        <w:t>Environment</w:t>
      </w:r>
    </w:p>
    <w:p w14:paraId="690AACDA" w14:textId="77777777" w:rsidR="0098589E" w:rsidRPr="00571974" w:rsidRDefault="003D4D89" w:rsidP="006A3924">
      <w:pPr>
        <w:pStyle w:val="BodyText"/>
        <w:widowControl/>
        <w:autoSpaceDE/>
        <w:autoSpaceDN/>
        <w:adjustRightInd/>
        <w:ind w:firstLine="360"/>
        <w:rPr>
          <w:lang w:val="en-GB"/>
        </w:rPr>
      </w:pPr>
      <w:r w:rsidRPr="00571974">
        <w:rPr>
          <w:lang w:val="en-GB"/>
        </w:rPr>
        <w:t>We have set key environmental targets, as part of our Sustainable Mining Plan.</w:t>
      </w:r>
      <w:r w:rsidR="00056C58" w:rsidRPr="00571974">
        <w:rPr>
          <w:lang w:val="en-GB"/>
        </w:rPr>
        <w:t xml:space="preserve"> </w:t>
      </w:r>
      <w:r w:rsidRPr="00571974">
        <w:rPr>
          <w:lang w:val="en-GB"/>
        </w:rPr>
        <w:t xml:space="preserve">For all sites in high-risk environments, we </w:t>
      </w:r>
      <w:r w:rsidR="002333C1" w:rsidRPr="00571974">
        <w:rPr>
          <w:lang w:val="en-GB"/>
        </w:rPr>
        <w:t xml:space="preserve">aim to </w:t>
      </w:r>
      <w:r w:rsidRPr="00571974">
        <w:rPr>
          <w:lang w:val="en-GB"/>
        </w:rPr>
        <w:t xml:space="preserve">have an agreed plan for delivering and measuring net-positive impact (NPI) by the end of 2020 and deliver NPI on biodiversity across Anglo American by 2030. We </w:t>
      </w:r>
      <w:r w:rsidR="002333C1" w:rsidRPr="00571974">
        <w:rPr>
          <w:lang w:val="en-GB"/>
        </w:rPr>
        <w:t xml:space="preserve">aim to </w:t>
      </w:r>
      <w:r w:rsidRPr="00571974">
        <w:rPr>
          <w:lang w:val="en-GB"/>
        </w:rPr>
        <w:t xml:space="preserve">reduce our energy use by 8% by the end of 2020, against the 2016 business-as-usual (BAU) projection, and achieve a 30% improvement in energy efficiency by 2030. We </w:t>
      </w:r>
      <w:r w:rsidR="002333C1" w:rsidRPr="00571974">
        <w:rPr>
          <w:lang w:val="en-GB"/>
        </w:rPr>
        <w:t xml:space="preserve">aim to </w:t>
      </w:r>
      <w:r w:rsidRPr="00571974">
        <w:rPr>
          <w:lang w:val="en-GB"/>
        </w:rPr>
        <w:t xml:space="preserve">reduce our greenhouse gas (GHG) missions by 22% relative to the 2016 BAU projection by the end of 2020, and achieve a 30% net reduction in GHG emissions by 2030. We </w:t>
      </w:r>
      <w:r w:rsidR="002333C1" w:rsidRPr="00571974">
        <w:rPr>
          <w:lang w:val="en-GB"/>
        </w:rPr>
        <w:t>aim to</w:t>
      </w:r>
      <w:r w:rsidRPr="00571974">
        <w:rPr>
          <w:lang w:val="en-GB"/>
        </w:rPr>
        <w:t xml:space="preserve"> reduce fresh water withdrawals in by 20% by 2020, and by 50% in water-stressed areas by 2030, as an average across the Group against 2015 baseline data and definitions. We </w:t>
      </w:r>
      <w:r w:rsidR="002333C1" w:rsidRPr="00571974">
        <w:rPr>
          <w:lang w:val="en-GB"/>
        </w:rPr>
        <w:t xml:space="preserve">aim to </w:t>
      </w:r>
      <w:r w:rsidRPr="00571974">
        <w:rPr>
          <w:lang w:val="en-GB"/>
        </w:rPr>
        <w:t xml:space="preserve">also </w:t>
      </w:r>
      <w:r w:rsidR="002333C1" w:rsidRPr="00571974">
        <w:rPr>
          <w:lang w:val="en-GB"/>
        </w:rPr>
        <w:t>i</w:t>
      </w:r>
      <w:r w:rsidRPr="00571974">
        <w:rPr>
          <w:lang w:val="en-GB"/>
        </w:rPr>
        <w:t>ncrease water-recycling levels to 75% by 2020 while eliminating all water incidents that are Level 3 or higher.</w:t>
      </w:r>
      <w:r w:rsidR="00056C58" w:rsidRPr="00571974">
        <w:rPr>
          <w:lang w:val="en-GB"/>
        </w:rPr>
        <w:t xml:space="preserve"> </w:t>
      </w:r>
      <w:r w:rsidRPr="00571974">
        <w:rPr>
          <w:lang w:val="en-GB"/>
        </w:rPr>
        <w:t xml:space="preserve">In 2019, we recorded one Level 3 (moderate)  environmental incident for the Group and no Level 4 and Level 5 incidents (2018: one Level 4 and five Level 3). </w:t>
      </w:r>
    </w:p>
    <w:p w14:paraId="599623BA" w14:textId="3B3DA8AB" w:rsidR="00056C58" w:rsidRPr="00571974" w:rsidRDefault="003D4D89" w:rsidP="006A3924">
      <w:pPr>
        <w:pStyle w:val="BodyText"/>
        <w:widowControl/>
        <w:autoSpaceDE/>
        <w:autoSpaceDN/>
        <w:adjustRightInd/>
        <w:ind w:firstLine="360"/>
        <w:rPr>
          <w:lang w:val="en-GB"/>
        </w:rPr>
      </w:pPr>
      <w:r w:rsidRPr="00571974">
        <w:rPr>
          <w:lang w:val="en-GB"/>
        </w:rPr>
        <w:t>The Level 3 incident took place in March 2019, when ongoing maintenance work on the pollution-control dam at PGMs</w:t>
      </w:r>
      <w:r w:rsidR="00A311D8">
        <w:rPr>
          <w:lang w:val="en-GB"/>
        </w:rPr>
        <w:t>’</w:t>
      </w:r>
      <w:r w:rsidRPr="00571974">
        <w:rPr>
          <w:lang w:val="en-GB"/>
        </w:rPr>
        <w:t xml:space="preserve"> Unki site in Zimbabwe coincided with exceptionally heavy rainfall, and resulted in an overflow of the pollution-control dam and the release of pollution downstream. We took prompt action to contain and remedy the situation, temporarily blocking the overflow, informing communities, minimi</w:t>
      </w:r>
      <w:r w:rsidR="00EA3F32">
        <w:rPr>
          <w:lang w:val="en-GB"/>
        </w:rPr>
        <w:t>z</w:t>
      </w:r>
      <w:r w:rsidRPr="00571974">
        <w:rPr>
          <w:lang w:val="en-GB"/>
        </w:rPr>
        <w:t>ing the level of pollution and pumping the flooded water back into the process-plant system. As a result of this incident, we are increasing the capacity of the pollution-control dam and managing risk around maintenance work, volume-detection systems and back-up pumps and power supply.</w:t>
      </w:r>
    </w:p>
    <w:p w14:paraId="6FE56C10" w14:textId="77777777" w:rsidR="00056C58" w:rsidRPr="00571974" w:rsidRDefault="003D4D89" w:rsidP="007B1404">
      <w:pPr>
        <w:pStyle w:val="Heading3"/>
        <w:rPr>
          <w:lang w:val="en-GB"/>
        </w:rPr>
      </w:pPr>
      <w:r w:rsidRPr="00571974">
        <w:rPr>
          <w:lang w:val="en-GB"/>
        </w:rPr>
        <w:t>Climate change</w:t>
      </w:r>
    </w:p>
    <w:p w14:paraId="4F6F8551" w14:textId="0DF75307" w:rsidR="00B92D5E" w:rsidRPr="00571974" w:rsidRDefault="003D4D89" w:rsidP="006A3924">
      <w:pPr>
        <w:pStyle w:val="BodyText"/>
        <w:widowControl/>
        <w:autoSpaceDE/>
        <w:autoSpaceDN/>
        <w:adjustRightInd/>
        <w:ind w:firstLine="360"/>
        <w:rPr>
          <w:lang w:val="en-GB"/>
        </w:rPr>
      </w:pPr>
      <w:r w:rsidRPr="00571974">
        <w:rPr>
          <w:lang w:val="en-GB"/>
        </w:rPr>
        <w:t xml:space="preserve">Climate change is one of the defining challenges of our time. As we live up to our </w:t>
      </w:r>
      <w:r w:rsidR="00455809">
        <w:rPr>
          <w:lang w:val="en-GB"/>
        </w:rPr>
        <w:t>p</w:t>
      </w:r>
      <w:r w:rsidRPr="00571974">
        <w:rPr>
          <w:lang w:val="en-GB"/>
        </w:rPr>
        <w:t>urpose to re-imagine mining to improve people</w:t>
      </w:r>
      <w:r w:rsidR="00A311D8">
        <w:rPr>
          <w:lang w:val="en-GB"/>
        </w:rPr>
        <w:t>’</w:t>
      </w:r>
      <w:r w:rsidRPr="00571974">
        <w:rPr>
          <w:lang w:val="en-GB"/>
        </w:rPr>
        <w:t>s lives, it is incumbent upon us to be part of a global solution. In 2019, a key focus has been the analytical work to understand our emission footprint. Today, we have a clear view of the challenges and opportunities for carbon-neutrality in the different regions where we operate. Each site will require a tailored approach, and, in some cases, we will need to develop new technology to drastically reduce our emissions.</w:t>
      </w:r>
    </w:p>
    <w:p w14:paraId="045A56A9" w14:textId="74CD0A74" w:rsidR="00056C58" w:rsidRPr="00571974" w:rsidRDefault="003D4D89" w:rsidP="001003BB">
      <w:pPr>
        <w:pStyle w:val="BodyText"/>
        <w:widowControl/>
        <w:autoSpaceDE/>
        <w:autoSpaceDN/>
        <w:adjustRightInd/>
        <w:ind w:firstLine="360"/>
        <w:rPr>
          <w:lang w:val="en-GB"/>
        </w:rPr>
      </w:pPr>
      <w:r w:rsidRPr="00571974">
        <w:rPr>
          <w:lang w:val="en-GB"/>
        </w:rPr>
        <w:t>In 2019, our operations were responsible for 17.7 million tonnes of CO</w:t>
      </w:r>
      <w:r w:rsidRPr="007B1404">
        <w:rPr>
          <w:vertAlign w:val="subscript"/>
          <w:lang w:val="en-GB"/>
        </w:rPr>
        <w:t>2</w:t>
      </w:r>
      <w:r w:rsidRPr="00571974">
        <w:rPr>
          <w:lang w:val="en-GB"/>
        </w:rPr>
        <w:t>-equivalent emissions (Mt CO</w:t>
      </w:r>
      <w:r w:rsidRPr="007B1404">
        <w:rPr>
          <w:vertAlign w:val="subscript"/>
          <w:lang w:val="en-GB"/>
        </w:rPr>
        <w:t>2</w:t>
      </w:r>
      <w:r w:rsidRPr="00571974">
        <w:rPr>
          <w:lang w:val="en-GB"/>
        </w:rPr>
        <w:t xml:space="preserve">e). This represents a </w:t>
      </w:r>
      <w:r w:rsidR="00754E42">
        <w:rPr>
          <w:lang w:val="en-GB"/>
        </w:rPr>
        <w:t>9</w:t>
      </w:r>
      <w:r w:rsidRPr="00571974">
        <w:rPr>
          <w:lang w:val="en-GB"/>
        </w:rPr>
        <w:t>% increase compared with 2018, and a 24% reduction against our BAU scenario, which meets our 2020 target a year ahead of schedule. Our total energy consumption increased to 86.</w:t>
      </w:r>
      <w:r w:rsidR="00754E42">
        <w:rPr>
          <w:lang w:val="en-GB"/>
        </w:rPr>
        <w:t>5</w:t>
      </w:r>
      <w:r w:rsidRPr="00571974">
        <w:rPr>
          <w:lang w:val="en-GB"/>
        </w:rPr>
        <w:t xml:space="preserve"> million GJ (2018: 83.9 million GJ). This represents a 3% increase compared with 2018, and a 5% reduction against our BAU scenario. The change in energy is as a result of increased demand with the return to production at Minas-Rio, the progress at Quellaveco, and lower consumption at Los Bronces, with drought impacti</w:t>
      </w:r>
      <w:r w:rsidR="001003BB">
        <w:rPr>
          <w:lang w:val="en-GB"/>
        </w:rPr>
        <w:t>ng production, and from Venetia</w:t>
      </w:r>
      <w:r w:rsidR="00A311D8">
        <w:rPr>
          <w:lang w:val="en-GB"/>
        </w:rPr>
        <w:t>’</w:t>
      </w:r>
      <w:r w:rsidR="001003BB">
        <w:rPr>
          <w:lang w:val="en-GB"/>
        </w:rPr>
        <w:t>s</w:t>
      </w:r>
      <w:r w:rsidRPr="00571974">
        <w:rPr>
          <w:lang w:val="en-GB"/>
        </w:rPr>
        <w:t xml:space="preserve"> transition to </w:t>
      </w:r>
      <w:r w:rsidRPr="00571974">
        <w:rPr>
          <w:lang w:val="en-GB"/>
        </w:rPr>
        <w:lastRenderedPageBreak/>
        <w:t>underground mining. In 2019, we improved the methodology to estimate our Scope 3 emissions, which are emissions that occur from the transport and use of our products. We have estimated our Scope 3 emissions for 2019 at 226 Mt CO</w:t>
      </w:r>
      <w:r w:rsidRPr="007B1404">
        <w:rPr>
          <w:vertAlign w:val="subscript"/>
          <w:lang w:val="en-GB"/>
        </w:rPr>
        <w:t>2</w:t>
      </w:r>
      <w:r w:rsidRPr="00571974">
        <w:rPr>
          <w:lang w:val="en-GB"/>
        </w:rPr>
        <w:t xml:space="preserve">e, which for the first time includes a </w:t>
      </w:r>
      <w:r w:rsidR="0053004A" w:rsidRPr="00571974">
        <w:rPr>
          <w:lang w:val="en-GB"/>
        </w:rPr>
        <w:t>portfolio</w:t>
      </w:r>
      <w:r w:rsidR="002D4BED">
        <w:rPr>
          <w:lang w:val="en-GB"/>
        </w:rPr>
        <w:t>-</w:t>
      </w:r>
      <w:r w:rsidR="0053004A" w:rsidRPr="00571974">
        <w:rPr>
          <w:lang w:val="en-GB"/>
        </w:rPr>
        <w:t>wide</w:t>
      </w:r>
      <w:r w:rsidRPr="00571974">
        <w:rPr>
          <w:lang w:val="en-GB"/>
        </w:rPr>
        <w:t xml:space="preserve"> calculation. </w:t>
      </w:r>
    </w:p>
    <w:p w14:paraId="18BB49E5" w14:textId="77777777" w:rsidR="00367364" w:rsidRPr="00571974" w:rsidRDefault="003D4D89" w:rsidP="007B1404">
      <w:pPr>
        <w:pStyle w:val="Heading3"/>
        <w:rPr>
          <w:lang w:val="en-GB"/>
        </w:rPr>
      </w:pPr>
      <w:r w:rsidRPr="00571974">
        <w:rPr>
          <w:lang w:val="en-GB"/>
        </w:rPr>
        <w:t>Biodiversity</w:t>
      </w:r>
    </w:p>
    <w:p w14:paraId="640E8804" w14:textId="00B2D0E1" w:rsidR="00367364" w:rsidRPr="00571974" w:rsidRDefault="003D4D89" w:rsidP="006A3924">
      <w:pPr>
        <w:pStyle w:val="BodyText"/>
        <w:widowControl/>
        <w:autoSpaceDE/>
        <w:autoSpaceDN/>
        <w:adjustRightInd/>
        <w:ind w:firstLine="360"/>
        <w:rPr>
          <w:lang w:val="en-GB"/>
        </w:rPr>
      </w:pPr>
      <w:r w:rsidRPr="00571974">
        <w:rPr>
          <w:lang w:val="en-GB"/>
        </w:rPr>
        <w:t>We have set an ambitious target of a measurable net positive impact (NPI) on biodiversity as a result of Anglo American</w:t>
      </w:r>
      <w:r w:rsidR="00A311D8">
        <w:rPr>
          <w:lang w:val="en-GB"/>
        </w:rPr>
        <w:t>’</w:t>
      </w:r>
      <w:r w:rsidRPr="00571974">
        <w:rPr>
          <w:lang w:val="en-GB"/>
        </w:rPr>
        <w:t>s activities, and are moving quickly to put this vision into practice.</w:t>
      </w:r>
      <w:r w:rsidR="006A3924" w:rsidRPr="00571974">
        <w:rPr>
          <w:lang w:val="en-GB"/>
        </w:rPr>
        <w:t xml:space="preserve"> </w:t>
      </w:r>
    </w:p>
    <w:p w14:paraId="1C84F9A4" w14:textId="1D3C9081" w:rsidR="00367364" w:rsidRPr="00571974" w:rsidRDefault="003D4D89" w:rsidP="006A3924">
      <w:pPr>
        <w:pStyle w:val="BodyText"/>
        <w:widowControl/>
        <w:autoSpaceDE/>
        <w:autoSpaceDN/>
        <w:adjustRightInd/>
        <w:ind w:firstLine="360"/>
        <w:rPr>
          <w:lang w:val="en-GB"/>
        </w:rPr>
      </w:pPr>
      <w:r w:rsidRPr="00571974">
        <w:rPr>
          <w:lang w:val="en-GB"/>
        </w:rPr>
        <w:t xml:space="preserve">Actively managing our impact on biodiversity is essential for reducing </w:t>
      </w:r>
      <w:r w:rsidR="0053004A" w:rsidRPr="00571974">
        <w:rPr>
          <w:lang w:val="en-GB"/>
        </w:rPr>
        <w:t>risk, and</w:t>
      </w:r>
      <w:r w:rsidRPr="00571974">
        <w:rPr>
          <w:lang w:val="en-GB"/>
        </w:rPr>
        <w:t xml:space="preserve"> ensuring that Anglo American is able to access land for mining in the future. Our NPI target means that any impact on biodiversity owing to Anglo American</w:t>
      </w:r>
      <w:r w:rsidR="00A311D8">
        <w:rPr>
          <w:lang w:val="en-GB"/>
        </w:rPr>
        <w:t>’</w:t>
      </w:r>
      <w:r w:rsidRPr="00571974">
        <w:rPr>
          <w:lang w:val="en-GB"/>
        </w:rPr>
        <w:t>s activities must be outweighed by the biodiversity gains that we achieve. For this strategy to be meaningful, we need to assess our full biodiversity impact rigorously, ensure plans are in place to minimi</w:t>
      </w:r>
      <w:r w:rsidR="00717D2C">
        <w:rPr>
          <w:lang w:val="en-GB"/>
        </w:rPr>
        <w:t>z</w:t>
      </w:r>
      <w:r w:rsidRPr="00571974">
        <w:rPr>
          <w:lang w:val="en-GB"/>
        </w:rPr>
        <w:t>e that impact, rehabilitate land, and take appropriate offsetting measures. During 2019, we made important progress in applying our new biodiversity technical standard, which we launched at the end of 2018. We have also worked to identify the partnerships that we need with conservation agencies, governments, local communities and non-governmental organisations (NGOs), to deliver projects that appropriately balance our impact.</w:t>
      </w:r>
    </w:p>
    <w:p w14:paraId="3469C98B" w14:textId="77777777" w:rsidR="00056C58" w:rsidRPr="00571974" w:rsidRDefault="003D4D89" w:rsidP="007B1404">
      <w:pPr>
        <w:pStyle w:val="Heading3"/>
        <w:rPr>
          <w:lang w:val="en-GB"/>
        </w:rPr>
      </w:pPr>
      <w:r w:rsidRPr="00571974">
        <w:rPr>
          <w:lang w:val="en-GB"/>
        </w:rPr>
        <w:t>Water</w:t>
      </w:r>
    </w:p>
    <w:p w14:paraId="59659F7A" w14:textId="228E3B7D" w:rsidR="008A7D32" w:rsidRPr="00571974" w:rsidRDefault="00754E42" w:rsidP="006A3924">
      <w:pPr>
        <w:pStyle w:val="BodyText"/>
        <w:widowControl/>
        <w:autoSpaceDE/>
        <w:autoSpaceDN/>
        <w:adjustRightInd/>
        <w:ind w:firstLine="360"/>
        <w:rPr>
          <w:lang w:val="en-GB"/>
        </w:rPr>
      </w:pPr>
      <w:r w:rsidRPr="00754E42">
        <w:rPr>
          <w:lang w:val="en-GB"/>
        </w:rPr>
        <w:t>Water is a vital resource for our operations and our communities alike, and the Group have taken important steps to improve the way we define, account and report our water use. The Group take a catchment-wide, risk-based approach to water management, addressing the risks of flooding, discharge, water scarcity, mine dewatering and contamination. In 2016, the Group launched a new Group Water Management Standard that transformed the way we assess and control our water risks and how we find opportunities for collaborative solutions with communities. In 2019, the Group progressed with the completion of our water balances, improved site-wide water balances at multiple sites and initial regional balances in Brazil and South Africa. We expect all sites to have completed water balances with high-quality data by the end of 2020.</w:t>
      </w:r>
      <w:r w:rsidRPr="00754E42" w:rsidDel="00754E42">
        <w:rPr>
          <w:lang w:val="en-GB"/>
        </w:rPr>
        <w:t xml:space="preserve"> </w:t>
      </w:r>
    </w:p>
    <w:p w14:paraId="2AA3FE30" w14:textId="77777777" w:rsidR="00B92D5E" w:rsidRPr="00571974" w:rsidRDefault="003D4D89" w:rsidP="007B1404">
      <w:pPr>
        <w:pStyle w:val="Heading3"/>
        <w:rPr>
          <w:lang w:val="en-GB"/>
        </w:rPr>
      </w:pPr>
      <w:r w:rsidRPr="00571974">
        <w:rPr>
          <w:lang w:val="en-GB"/>
        </w:rPr>
        <w:t>Mine Closure and rehabilitation</w:t>
      </w:r>
    </w:p>
    <w:p w14:paraId="705B3C5E" w14:textId="5065C8DB" w:rsidR="00B92D5E" w:rsidRPr="00571974" w:rsidRDefault="003D4D89" w:rsidP="001003BB">
      <w:pPr>
        <w:pStyle w:val="BodyText"/>
        <w:widowControl/>
        <w:autoSpaceDE/>
        <w:autoSpaceDN/>
        <w:adjustRightInd/>
        <w:ind w:firstLine="360"/>
        <w:rPr>
          <w:lang w:val="en-GB"/>
        </w:rPr>
      </w:pPr>
      <w:r w:rsidRPr="00571974">
        <w:rPr>
          <w:lang w:val="en-GB"/>
        </w:rPr>
        <w:t>The end of a mine</w:t>
      </w:r>
      <w:r w:rsidR="00A311D8">
        <w:rPr>
          <w:lang w:val="en-GB"/>
        </w:rPr>
        <w:t>’</w:t>
      </w:r>
      <w:r w:rsidRPr="00571974">
        <w:rPr>
          <w:lang w:val="en-GB"/>
        </w:rPr>
        <w:t>s operational life is far from being the end of its social and environmental impact. Anglo American recogni</w:t>
      </w:r>
      <w:r w:rsidR="00717D2C">
        <w:rPr>
          <w:lang w:val="en-GB"/>
        </w:rPr>
        <w:t>z</w:t>
      </w:r>
      <w:r w:rsidRPr="00571974">
        <w:rPr>
          <w:lang w:val="en-GB"/>
        </w:rPr>
        <w:t>es that it has a responsibility to close mines in a way that leaves a positive, healthy and</w:t>
      </w:r>
      <w:r w:rsidR="00FD12A4">
        <w:rPr>
          <w:lang w:val="en-GB"/>
        </w:rPr>
        <w:t xml:space="preserve"> </w:t>
      </w:r>
      <w:r w:rsidR="001003BB">
        <w:rPr>
          <w:lang w:val="en-GB"/>
        </w:rPr>
        <w:t>s</w:t>
      </w:r>
      <w:r w:rsidRPr="00571974">
        <w:rPr>
          <w:lang w:val="en-GB"/>
        </w:rPr>
        <w:t>ustainable legacy. Taking the lead on closure and rehabilitation planning will have a positive effect on people</w:t>
      </w:r>
      <w:r w:rsidR="00A311D8">
        <w:rPr>
          <w:lang w:val="en-GB"/>
        </w:rPr>
        <w:t>’</w:t>
      </w:r>
      <w:r w:rsidRPr="00571974">
        <w:rPr>
          <w:lang w:val="en-GB"/>
        </w:rPr>
        <w:t>s lives and on our financial performance.</w:t>
      </w:r>
    </w:p>
    <w:p w14:paraId="7727E68B" w14:textId="77777777" w:rsidR="008A7D32" w:rsidRPr="00571974" w:rsidRDefault="003D4D89" w:rsidP="007B1404">
      <w:pPr>
        <w:pStyle w:val="Heading3"/>
        <w:rPr>
          <w:lang w:val="en-GB"/>
        </w:rPr>
      </w:pPr>
      <w:r w:rsidRPr="00571974">
        <w:rPr>
          <w:lang w:val="en-GB"/>
        </w:rPr>
        <w:t>Mineral Residue Management</w:t>
      </w:r>
    </w:p>
    <w:p w14:paraId="50C46133" w14:textId="77777777" w:rsidR="0057162C" w:rsidRPr="00571974" w:rsidRDefault="003D4D89" w:rsidP="006A3924">
      <w:pPr>
        <w:pStyle w:val="BodyText"/>
        <w:widowControl/>
        <w:autoSpaceDE/>
        <w:autoSpaceDN/>
        <w:adjustRightInd/>
        <w:ind w:firstLine="360"/>
        <w:rPr>
          <w:lang w:val="en-GB"/>
        </w:rPr>
      </w:pPr>
      <w:r w:rsidRPr="00571974">
        <w:rPr>
          <w:lang w:val="en-GB"/>
        </w:rPr>
        <w:t xml:space="preserve">Management and storage of waste rock and the processed mineral residue known as tailings is a critical issue for our industry. It represents a social, safety and environmental challenge that we are determined to meet. </w:t>
      </w:r>
    </w:p>
    <w:p w14:paraId="18D1C15D" w14:textId="77777777" w:rsidR="0014077D" w:rsidRPr="00571974" w:rsidRDefault="003D4D89" w:rsidP="006A3924">
      <w:pPr>
        <w:pStyle w:val="BodyText"/>
        <w:widowControl/>
        <w:autoSpaceDE/>
        <w:autoSpaceDN/>
        <w:adjustRightInd/>
        <w:ind w:firstLine="360"/>
        <w:rPr>
          <w:lang w:val="en-GB"/>
        </w:rPr>
      </w:pPr>
      <w:r w:rsidRPr="00571974">
        <w:rPr>
          <w:lang w:val="en-GB"/>
        </w:rPr>
        <w:t>Mineral residue from mining includes both the waste rock from which we extract the ore, and the mineral residue that remains after we process it. Tailings are the materials left over following the processing of mined ore that separates the valuable metals or minerals from the host rock. Tailings are not the same as waste rock, which refers to material that surrounds an orebody and is displaced during mining but is not processed. Tailings can be stored in mined-out pits or in underground mine openings, provided the groundwater impacts can be managed. Often, they are stored in specially constructed above-ground tailings storage facilities (TSFs). TSFs for wet tailings are referred to as tailings dams, and TSFs for dry tailings are referred to as dry stacks. Where possible, we store mineral residue in dry stacks and in mined-out areas, which reduces both safety risks and impact on the environment.</w:t>
      </w:r>
    </w:p>
    <w:p w14:paraId="41F3CC79" w14:textId="77777777" w:rsidR="0014077D" w:rsidRPr="00571974" w:rsidRDefault="003D4D89" w:rsidP="006A3924">
      <w:pPr>
        <w:pStyle w:val="BodyText"/>
        <w:widowControl/>
        <w:autoSpaceDE/>
        <w:autoSpaceDN/>
        <w:adjustRightInd/>
        <w:ind w:firstLine="360"/>
        <w:rPr>
          <w:rFonts w:ascii="HelveticaNeueLTStd-Lt" w:hAnsi="HelveticaNeueLTStd-Lt" w:cs="HelveticaNeueLTStd-Lt"/>
          <w:sz w:val="16"/>
          <w:szCs w:val="16"/>
          <w:lang w:val="en-GB"/>
        </w:rPr>
      </w:pPr>
      <w:r w:rsidRPr="00571974">
        <w:rPr>
          <w:lang w:val="en-GB"/>
        </w:rPr>
        <w:t>Our Mineral Residue Facilities and Water Management team provides the strategic direction and technical support to manage the risks associated with the TSFs. The team owns our updated Group Technical Standard, which sets out five key requirements for</w:t>
      </w:r>
      <w:r w:rsidR="006A3924" w:rsidRPr="00571974">
        <w:rPr>
          <w:lang w:val="en-GB"/>
        </w:rPr>
        <w:t xml:space="preserve"> </w:t>
      </w:r>
      <w:r w:rsidRPr="00571974">
        <w:rPr>
          <w:lang w:val="en-GB"/>
        </w:rPr>
        <w:t>facilities:</w:t>
      </w:r>
      <w:r w:rsidRPr="00571974">
        <w:rPr>
          <w:rFonts w:ascii="HelveticaNeueLTStd-Lt" w:hAnsi="HelveticaNeueLTStd-Lt" w:cs="HelveticaNeueLTStd-Lt"/>
          <w:sz w:val="16"/>
          <w:szCs w:val="16"/>
          <w:lang w:val="en-GB"/>
        </w:rPr>
        <w:t xml:space="preserve"> </w:t>
      </w:r>
      <w:r w:rsidRPr="00571974">
        <w:rPr>
          <w:rFonts w:ascii="HelveticaNeueLTStd-Lt" w:hAnsi="HelveticaNeueLTStd-Lt" w:cs="HelveticaNeueLTStd-Lt"/>
          <w:sz w:val="16"/>
          <w:szCs w:val="16"/>
          <w:lang w:val="en-GB"/>
        </w:rPr>
        <w:tab/>
      </w:r>
    </w:p>
    <w:p w14:paraId="40F826EF" w14:textId="77777777" w:rsidR="0014077D" w:rsidRPr="00571974" w:rsidRDefault="003D4D89" w:rsidP="003D4D89">
      <w:pPr>
        <w:pStyle w:val="ListParagraph"/>
        <w:widowControl/>
        <w:numPr>
          <w:ilvl w:val="0"/>
          <w:numId w:val="44"/>
        </w:numPr>
        <w:rPr>
          <w:lang w:val="en-GB"/>
        </w:rPr>
      </w:pPr>
      <w:r w:rsidRPr="00571974">
        <w:rPr>
          <w:lang w:val="en-GB"/>
        </w:rPr>
        <w:t>Every facility must have a consequence classification of structure rating based on the consequences of credible failure modes. We base design, monitoring and surveillance requirements on this rating.</w:t>
      </w:r>
    </w:p>
    <w:p w14:paraId="0AFA64A9" w14:textId="77777777" w:rsidR="0014077D" w:rsidRPr="00571974" w:rsidRDefault="003D4D89" w:rsidP="003D4D89">
      <w:pPr>
        <w:pStyle w:val="ListParagraph"/>
        <w:widowControl/>
        <w:numPr>
          <w:ilvl w:val="0"/>
          <w:numId w:val="44"/>
        </w:numPr>
        <w:rPr>
          <w:lang w:val="en-GB"/>
        </w:rPr>
      </w:pPr>
      <w:r w:rsidRPr="00571974">
        <w:rPr>
          <w:lang w:val="en-GB"/>
        </w:rPr>
        <w:t>Every operation with a major or high-rated structure must have a competent person in charge, meeting the competencies set out in the standard.</w:t>
      </w:r>
    </w:p>
    <w:p w14:paraId="42F465F6" w14:textId="77777777" w:rsidR="0057162C" w:rsidRPr="00571974" w:rsidRDefault="003D4D89" w:rsidP="003D4D89">
      <w:pPr>
        <w:pStyle w:val="ListParagraph"/>
        <w:widowControl/>
        <w:numPr>
          <w:ilvl w:val="0"/>
          <w:numId w:val="44"/>
        </w:numPr>
        <w:rPr>
          <w:lang w:val="en-GB"/>
        </w:rPr>
      </w:pPr>
      <w:r w:rsidRPr="00571974">
        <w:rPr>
          <w:lang w:val="en-GB"/>
        </w:rPr>
        <w:t>Every facility must have an engineer of record working continuously with the owners, to ensure that the structure is constructed and operated according to the design intent, and that it performs in line with expectations.</w:t>
      </w:r>
    </w:p>
    <w:p w14:paraId="34F85B8B" w14:textId="77777777" w:rsidR="0014077D" w:rsidRPr="00571974" w:rsidRDefault="003D4D89" w:rsidP="003D4D89">
      <w:pPr>
        <w:pStyle w:val="ListParagraph"/>
        <w:widowControl/>
        <w:numPr>
          <w:ilvl w:val="0"/>
          <w:numId w:val="44"/>
        </w:numPr>
        <w:rPr>
          <w:lang w:val="en-GB"/>
        </w:rPr>
      </w:pPr>
      <w:r w:rsidRPr="00571974">
        <w:rPr>
          <w:lang w:val="en-GB"/>
        </w:rPr>
        <w:lastRenderedPageBreak/>
        <w:t>An independent technical review panel (TRP) of senior external engineers must conduct systematic, ongoing reviews of each facility. In 2019, we completed TRP appointments and site visits at De Beers Canada, De Beers Consolidated Mines, and Debswana. Our Quellaveco copper project in Peru, which is still under construction, received a second independent review in September 2019.</w:t>
      </w:r>
    </w:p>
    <w:p w14:paraId="36DCC0C8" w14:textId="77777777" w:rsidR="0014077D" w:rsidRPr="00571974" w:rsidRDefault="003D4D89" w:rsidP="003D4D89">
      <w:pPr>
        <w:pStyle w:val="ListParagraph"/>
        <w:widowControl/>
        <w:numPr>
          <w:ilvl w:val="0"/>
          <w:numId w:val="44"/>
        </w:numPr>
        <w:rPr>
          <w:lang w:val="en-GB"/>
        </w:rPr>
      </w:pPr>
      <w:r w:rsidRPr="00571974">
        <w:rPr>
          <w:lang w:val="en-GB"/>
        </w:rPr>
        <w:t>Every facility must have a minimum set of 25 required documents and studies, signed off, including design criteria and engineering documents, operation, maintenance and surveillance manuals, risk-assessment and emergency-response plans, and permit and incident registers.</w:t>
      </w:r>
    </w:p>
    <w:p w14:paraId="4DDC97F7" w14:textId="77777777" w:rsidR="0057162C" w:rsidRPr="00571974" w:rsidRDefault="003D4D89" w:rsidP="006A3924">
      <w:pPr>
        <w:pStyle w:val="BodyText"/>
        <w:widowControl/>
        <w:autoSpaceDE/>
        <w:autoSpaceDN/>
        <w:adjustRightInd/>
        <w:spacing w:before="240"/>
        <w:ind w:firstLine="360"/>
        <w:rPr>
          <w:lang w:val="en-GB"/>
        </w:rPr>
      </w:pPr>
      <w:r w:rsidRPr="00571974">
        <w:rPr>
          <w:lang w:val="en-GB"/>
        </w:rPr>
        <w:t xml:space="preserve">In total, Anglo American manages 91 tailings storage </w:t>
      </w:r>
      <w:r w:rsidR="0053004A" w:rsidRPr="00571974">
        <w:rPr>
          <w:lang w:val="en-GB"/>
        </w:rPr>
        <w:t>facilities</w:t>
      </w:r>
      <w:r w:rsidRPr="00571974">
        <w:rPr>
          <w:lang w:val="en-GB"/>
        </w:rPr>
        <w:t xml:space="preserve"> (TSFs), of which 40 are in active use, 33 are inactive</w:t>
      </w:r>
      <w:r w:rsidR="0014077D" w:rsidRPr="00571974">
        <w:rPr>
          <w:lang w:val="en-GB"/>
        </w:rPr>
        <w:t xml:space="preserve"> </w:t>
      </w:r>
      <w:r w:rsidRPr="00571974">
        <w:rPr>
          <w:lang w:val="en-GB"/>
        </w:rPr>
        <w:t>or in care and maintenance, and 18 are closed or rehabilitated. We take a holistic approach to the safety of our tailings dams, which starts with our technical standards on design, monitoring, inspection and surveillance, and includes the way that we communicate with people living near the dams. As part of our updated Social Way management system, where relevant, we require sites to develop emergency</w:t>
      </w:r>
      <w:r w:rsidR="0014077D" w:rsidRPr="00571974">
        <w:rPr>
          <w:lang w:val="en-GB"/>
        </w:rPr>
        <w:t xml:space="preserve"> </w:t>
      </w:r>
      <w:r w:rsidRPr="00571974">
        <w:rPr>
          <w:lang w:val="en-GB"/>
        </w:rPr>
        <w:t xml:space="preserve">preparedness plans and run drills with local communities. </w:t>
      </w:r>
    </w:p>
    <w:p w14:paraId="22BEBA5F" w14:textId="77777777" w:rsidR="00542FF4" w:rsidRPr="00571974" w:rsidRDefault="003D4D89" w:rsidP="00542FF4">
      <w:pPr>
        <w:widowControl/>
        <w:autoSpaceDE/>
        <w:autoSpaceDN/>
        <w:adjustRightInd/>
        <w:rPr>
          <w:lang w:val="en-GB"/>
        </w:rPr>
      </w:pPr>
      <w:r w:rsidRPr="00571974">
        <w:rPr>
          <w:lang w:val="en-GB"/>
        </w:rPr>
        <w:br w:type="page"/>
      </w:r>
    </w:p>
    <w:p w14:paraId="0A00879C" w14:textId="77777777" w:rsidR="00BE0522" w:rsidRPr="00571974" w:rsidRDefault="003D4D89" w:rsidP="00BE0522">
      <w:pPr>
        <w:pStyle w:val="Heading1"/>
        <w:rPr>
          <w:lang w:val="en-GB"/>
        </w:rPr>
      </w:pPr>
      <w:bookmarkStart w:id="82" w:name="_Toc36388967"/>
      <w:bookmarkStart w:id="83" w:name="_Toc349210427"/>
      <w:bookmarkEnd w:id="78"/>
      <w:r w:rsidRPr="00571974">
        <w:rPr>
          <w:lang w:val="en-GB"/>
        </w:rPr>
        <w:lastRenderedPageBreak/>
        <w:t>BOARD OF DIRECTORS AND MANAGEMENT OF ANGLO AMERICAN PLC</w:t>
      </w:r>
      <w:bookmarkEnd w:id="82"/>
    </w:p>
    <w:p w14:paraId="515F2EE2" w14:textId="77777777" w:rsidR="00BE0522" w:rsidRPr="00571974" w:rsidRDefault="003D4D89" w:rsidP="00BE0522">
      <w:pPr>
        <w:pStyle w:val="Heading2"/>
        <w:rPr>
          <w:lang w:val="en-GB"/>
        </w:rPr>
      </w:pPr>
      <w:r w:rsidRPr="00571974">
        <w:rPr>
          <w:lang w:val="en-GB"/>
        </w:rPr>
        <w:t>Board of Directors</w:t>
      </w:r>
    </w:p>
    <w:p w14:paraId="4B966B51" w14:textId="77777777" w:rsidR="009112DC" w:rsidRPr="00571974" w:rsidRDefault="003D4D89" w:rsidP="006A3924">
      <w:pPr>
        <w:pStyle w:val="BodyText"/>
        <w:widowControl/>
        <w:autoSpaceDE/>
        <w:autoSpaceDN/>
        <w:adjustRightInd/>
        <w:ind w:firstLine="360"/>
        <w:rPr>
          <w:lang w:val="en-GB"/>
        </w:rPr>
      </w:pPr>
      <w:r w:rsidRPr="00571974">
        <w:rPr>
          <w:lang w:val="en-GB"/>
        </w:rPr>
        <w:t xml:space="preserve">The Board provides leadership to the Group and is collectively responsible for promoting and safeguarding the long term success of the business. The Board is supported by a number of committees, to which it has delegated certain </w:t>
      </w:r>
      <w:r w:rsidR="0053004A" w:rsidRPr="00571974">
        <w:rPr>
          <w:lang w:val="en-GB"/>
        </w:rPr>
        <w:t>powers. Some</w:t>
      </w:r>
      <w:r w:rsidRPr="00571974">
        <w:rPr>
          <w:lang w:val="en-GB"/>
        </w:rPr>
        <w:t xml:space="preserve"> decisions are sufficiently material that they can only be made by the Board as a whole </w:t>
      </w:r>
      <w:r w:rsidR="00BE0522" w:rsidRPr="00571974">
        <w:rPr>
          <w:lang w:val="en-GB"/>
        </w:rPr>
        <w:t>(including, among other things, approval of business plans, budgets and material expenditure).</w:t>
      </w:r>
    </w:p>
    <w:p w14:paraId="649FECBF" w14:textId="1254BD34" w:rsidR="00BE0522" w:rsidRPr="00571974" w:rsidRDefault="008622AD" w:rsidP="00BE0522">
      <w:pPr>
        <w:pStyle w:val="BodyText"/>
        <w:widowControl/>
        <w:autoSpaceDE/>
        <w:autoSpaceDN/>
        <w:adjustRightInd/>
        <w:ind w:firstLine="360"/>
        <w:rPr>
          <w:lang w:val="en-GB"/>
        </w:rPr>
      </w:pPr>
      <w:r w:rsidRPr="00571974">
        <w:rPr>
          <w:lang w:val="en-GB"/>
        </w:rPr>
        <w:t xml:space="preserve">The Chairman, </w:t>
      </w:r>
      <w:r w:rsidR="003D4D89" w:rsidRPr="00571974">
        <w:rPr>
          <w:lang w:val="en-GB"/>
        </w:rPr>
        <w:t xml:space="preserve">Stuart </w:t>
      </w:r>
      <w:r w:rsidRPr="00571974">
        <w:rPr>
          <w:lang w:val="en-GB"/>
        </w:rPr>
        <w:t xml:space="preserve">Chambers leads the Board, </w:t>
      </w:r>
      <w:r w:rsidR="005B6791">
        <w:rPr>
          <w:lang w:val="en-GB"/>
        </w:rPr>
        <w:t xml:space="preserve">and is responsible for </w:t>
      </w:r>
      <w:r w:rsidRPr="00571974">
        <w:rPr>
          <w:lang w:val="en-GB"/>
        </w:rPr>
        <w:t xml:space="preserve">ensuring it works constructively as a team. </w:t>
      </w:r>
      <w:r w:rsidR="003D4D89" w:rsidRPr="00571974">
        <w:rPr>
          <w:lang w:val="en-GB"/>
        </w:rPr>
        <w:t>Mark Cutifani is the chief executive and is responsible for the execution of strategy and the day-to-day management of the Group, supported by the Group Management Committee (</w:t>
      </w:r>
      <w:r w:rsidR="00A311D8">
        <w:rPr>
          <w:lang w:val="en-GB"/>
        </w:rPr>
        <w:t>“</w:t>
      </w:r>
      <w:r w:rsidR="003D4D89" w:rsidRPr="00571974">
        <w:rPr>
          <w:lang w:val="en-GB"/>
        </w:rPr>
        <w:t>GMC</w:t>
      </w:r>
      <w:r w:rsidR="00A311D8">
        <w:rPr>
          <w:lang w:val="en-GB"/>
        </w:rPr>
        <w:t>”</w:t>
      </w:r>
      <w:r w:rsidR="003D4D89" w:rsidRPr="00571974">
        <w:rPr>
          <w:lang w:val="en-GB"/>
        </w:rPr>
        <w:t>) which he chairs.</w:t>
      </w:r>
    </w:p>
    <w:p w14:paraId="664A51EC" w14:textId="40F48737" w:rsidR="00BE0522" w:rsidRPr="00571974" w:rsidRDefault="003D4D89" w:rsidP="006A3924">
      <w:pPr>
        <w:pStyle w:val="BodyText"/>
        <w:widowControl/>
        <w:autoSpaceDE/>
        <w:autoSpaceDN/>
        <w:adjustRightInd/>
        <w:ind w:firstLine="360"/>
        <w:rPr>
          <w:lang w:val="en-GB"/>
        </w:rPr>
      </w:pPr>
      <w:r w:rsidRPr="00571974">
        <w:rPr>
          <w:lang w:val="en-GB"/>
        </w:rPr>
        <w:t>The Company has adopted the Statement of Division of Responsibilities between the Chairman and Chief Executive promulgated by the Institute of Chartered Secretaries and Administrators.</w:t>
      </w:r>
      <w:r w:rsidR="007D6263" w:rsidRPr="00571974">
        <w:rPr>
          <w:lang w:val="en-GB"/>
        </w:rPr>
        <w:t xml:space="preserve"> It is the Board</w:t>
      </w:r>
      <w:r w:rsidR="00A311D8">
        <w:rPr>
          <w:lang w:val="en-GB"/>
        </w:rPr>
        <w:t>’</w:t>
      </w:r>
      <w:r w:rsidR="007D6263" w:rsidRPr="00571974">
        <w:rPr>
          <w:lang w:val="en-GB"/>
        </w:rPr>
        <w:t xml:space="preserve">s view that the Company has complied in full throughout the year with the </w:t>
      </w:r>
      <w:r w:rsidR="001A11F0" w:rsidRPr="00571974">
        <w:rPr>
          <w:lang w:val="en-GB"/>
        </w:rPr>
        <w:t>UK Corporate Governance Code issued by the Financial Reporting Council</w:t>
      </w:r>
      <w:r w:rsidR="0091487D" w:rsidRPr="00571974">
        <w:rPr>
          <w:lang w:val="en-GB"/>
        </w:rPr>
        <w:t xml:space="preserve"> in April </w:t>
      </w:r>
      <w:r w:rsidR="007D6263" w:rsidRPr="00571974">
        <w:rPr>
          <w:lang w:val="en-GB"/>
        </w:rPr>
        <w:t>2016.</w:t>
      </w:r>
    </w:p>
    <w:p w14:paraId="4C35B236" w14:textId="00DADFE5" w:rsidR="00BE0522" w:rsidRPr="00571974" w:rsidRDefault="007D2362" w:rsidP="006A3924">
      <w:pPr>
        <w:pStyle w:val="BodyText"/>
        <w:widowControl/>
        <w:autoSpaceDE/>
        <w:autoSpaceDN/>
        <w:adjustRightInd/>
        <w:ind w:firstLine="360"/>
        <w:rPr>
          <w:lang w:val="en-GB"/>
        </w:rPr>
      </w:pPr>
      <w:r w:rsidRPr="00571974">
        <w:rPr>
          <w:lang w:val="en-GB"/>
        </w:rPr>
        <w:t xml:space="preserve">The business is organized to reflect our values of integrity and accountability, helping us to work together while meeting the highest standards of governance. </w:t>
      </w:r>
      <w:r w:rsidR="003D4D89" w:rsidRPr="00571974">
        <w:rPr>
          <w:lang w:val="en-GB"/>
        </w:rPr>
        <w:t>The Board has a strong independent element and currently comprises</w:t>
      </w:r>
      <w:r w:rsidR="0072067C" w:rsidRPr="00571974">
        <w:rPr>
          <w:lang w:val="en-GB"/>
        </w:rPr>
        <w:t xml:space="preserve"> </w:t>
      </w:r>
      <w:r w:rsidRPr="00571974">
        <w:rPr>
          <w:lang w:val="en-GB"/>
        </w:rPr>
        <w:t>the Chairman, three executive directors and eight independent non-executive directors.</w:t>
      </w:r>
      <w:r w:rsidR="0072067C" w:rsidRPr="00571974">
        <w:rPr>
          <w:lang w:val="en-GB"/>
        </w:rPr>
        <w:t xml:space="preserve"> The </w:t>
      </w:r>
      <w:r w:rsidR="00932C2B" w:rsidRPr="00571974">
        <w:rPr>
          <w:lang w:val="en-GB"/>
        </w:rPr>
        <w:t>B</w:t>
      </w:r>
      <w:r w:rsidR="0072067C" w:rsidRPr="00571974">
        <w:rPr>
          <w:lang w:val="en-GB"/>
        </w:rPr>
        <w:t>oa</w:t>
      </w:r>
      <w:r w:rsidR="00932C2B" w:rsidRPr="00571974">
        <w:rPr>
          <w:lang w:val="en-GB"/>
        </w:rPr>
        <w:t>r</w:t>
      </w:r>
      <w:r w:rsidR="0072067C" w:rsidRPr="00571974">
        <w:rPr>
          <w:lang w:val="en-GB"/>
        </w:rPr>
        <w:t>d has a wide range of skills and experience which contribute to the long</w:t>
      </w:r>
      <w:r w:rsidR="00CA26AA" w:rsidRPr="00571974">
        <w:rPr>
          <w:lang w:val="en-GB"/>
        </w:rPr>
        <w:t xml:space="preserve"> </w:t>
      </w:r>
      <w:r w:rsidR="0072067C" w:rsidRPr="00571974">
        <w:rPr>
          <w:lang w:val="en-GB"/>
        </w:rPr>
        <w:t xml:space="preserve">term sustainable </w:t>
      </w:r>
      <w:r w:rsidR="00535354" w:rsidRPr="00571974">
        <w:rPr>
          <w:lang w:val="en-GB"/>
        </w:rPr>
        <w:t>success</w:t>
      </w:r>
      <w:r w:rsidR="0072067C" w:rsidRPr="00571974">
        <w:rPr>
          <w:lang w:val="en-GB"/>
        </w:rPr>
        <w:t xml:space="preserve"> of Anglo American. The Board is supported by the Group general counsel and company secretary.</w:t>
      </w:r>
    </w:p>
    <w:p w14:paraId="43029589" w14:textId="77777777" w:rsidR="00BE0522" w:rsidRPr="00571974" w:rsidRDefault="003D4D89" w:rsidP="007B1404">
      <w:pPr>
        <w:pStyle w:val="Heading3"/>
        <w:rPr>
          <w:lang w:val="en-GB"/>
        </w:rPr>
      </w:pPr>
      <w:r w:rsidRPr="00571974">
        <w:rPr>
          <w:lang w:val="en-GB"/>
        </w:rPr>
        <w:t>Conflicts of Interest</w:t>
      </w:r>
    </w:p>
    <w:p w14:paraId="552F9364" w14:textId="2C189085" w:rsidR="00BE0522" w:rsidRPr="00571974" w:rsidRDefault="003D4D89" w:rsidP="00BE0522">
      <w:pPr>
        <w:pStyle w:val="BodyText"/>
        <w:widowControl/>
        <w:autoSpaceDE/>
        <w:autoSpaceDN/>
        <w:adjustRightInd/>
        <w:ind w:firstLine="360"/>
        <w:rPr>
          <w:lang w:val="en-GB"/>
        </w:rPr>
      </w:pPr>
      <w:r w:rsidRPr="00571974">
        <w:rPr>
          <w:lang w:val="en-GB"/>
        </w:rPr>
        <w:t xml:space="preserve">If directors become aware that they have a potential or actual direct or indirect interest in an existing or proposed transaction with Anglo American, they are required to notify the Board at the next Board meeting or by a written declaration. Directors and members of the GMC and its subcommittees have a continuing duty to update any changes in their interests. </w:t>
      </w:r>
    </w:p>
    <w:p w14:paraId="1D364F61" w14:textId="53BAA607" w:rsidR="00BE0522" w:rsidRPr="00571974" w:rsidRDefault="003D4D89" w:rsidP="00BE0522">
      <w:pPr>
        <w:pStyle w:val="BodyText"/>
        <w:widowControl/>
        <w:autoSpaceDE/>
        <w:autoSpaceDN/>
        <w:adjustRightInd/>
        <w:ind w:firstLine="360"/>
        <w:rPr>
          <w:lang w:val="en-GB"/>
        </w:rPr>
      </w:pPr>
      <w:r w:rsidRPr="00571974">
        <w:rPr>
          <w:lang w:val="en-GB"/>
        </w:rPr>
        <w:t>No potential conflicts of interest exist between each of the Directors</w:t>
      </w:r>
      <w:r w:rsidR="00A311D8">
        <w:rPr>
          <w:lang w:val="en-GB"/>
        </w:rPr>
        <w:t>’</w:t>
      </w:r>
      <w:r w:rsidRPr="00571974">
        <w:rPr>
          <w:lang w:val="en-GB"/>
        </w:rPr>
        <w:t xml:space="preserve"> duties to Anglo American plc and his or her private interests or other duties other than as reflected above.</w:t>
      </w:r>
    </w:p>
    <w:p w14:paraId="478FECDE" w14:textId="77777777" w:rsidR="00BE0522" w:rsidRPr="00571974" w:rsidRDefault="003D4D89" w:rsidP="007B1404">
      <w:pPr>
        <w:pStyle w:val="Heading3"/>
        <w:rPr>
          <w:lang w:val="en-GB"/>
        </w:rPr>
      </w:pPr>
      <w:r w:rsidRPr="00571974">
        <w:rPr>
          <w:lang w:val="en-GB"/>
        </w:rPr>
        <w:t>Composition of the Board of Directors</w:t>
      </w:r>
    </w:p>
    <w:p w14:paraId="777ED610" w14:textId="77777777" w:rsidR="00BE0522" w:rsidRPr="00571974" w:rsidRDefault="003D4D89" w:rsidP="00BE0522">
      <w:pPr>
        <w:pStyle w:val="BodyText"/>
        <w:widowControl/>
        <w:autoSpaceDE/>
        <w:autoSpaceDN/>
        <w:adjustRightInd/>
        <w:ind w:firstLine="360"/>
        <w:rPr>
          <w:lang w:val="en-GB"/>
        </w:rPr>
      </w:pPr>
      <w:r w:rsidRPr="00571974">
        <w:rPr>
          <w:lang w:val="en-GB"/>
        </w:rPr>
        <w:t>There were a number of changes to the Board in</w:t>
      </w:r>
      <w:r w:rsidR="00BA0985" w:rsidRPr="00571974">
        <w:rPr>
          <w:lang w:val="en-GB"/>
        </w:rPr>
        <w:t xml:space="preserve"> </w:t>
      </w:r>
      <w:r w:rsidR="00D30762" w:rsidRPr="00571974">
        <w:rPr>
          <w:lang w:val="en-GB"/>
        </w:rPr>
        <w:t>2020</w:t>
      </w:r>
      <w:r w:rsidR="00285262">
        <w:rPr>
          <w:lang w:val="en-GB"/>
        </w:rPr>
        <w:t>,</w:t>
      </w:r>
      <w:r w:rsidR="002940B1">
        <w:rPr>
          <w:lang w:val="en-GB"/>
        </w:rPr>
        <w:t xml:space="preserve"> </w:t>
      </w:r>
      <w:r w:rsidR="00BA0985" w:rsidRPr="00571974">
        <w:rPr>
          <w:lang w:val="en-GB"/>
        </w:rPr>
        <w:t>2019,</w:t>
      </w:r>
      <w:r w:rsidRPr="00571974">
        <w:rPr>
          <w:lang w:val="en-GB"/>
        </w:rPr>
        <w:t xml:space="preserve"> 201</w:t>
      </w:r>
      <w:r w:rsidR="008C25EF" w:rsidRPr="00571974">
        <w:rPr>
          <w:lang w:val="en-GB"/>
        </w:rPr>
        <w:t>8</w:t>
      </w:r>
      <w:r w:rsidR="00C71077" w:rsidRPr="00571974">
        <w:rPr>
          <w:lang w:val="en-GB"/>
        </w:rPr>
        <w:t xml:space="preserve"> and 2017</w:t>
      </w:r>
      <w:r w:rsidRPr="00571974">
        <w:rPr>
          <w:lang w:val="en-GB"/>
        </w:rPr>
        <w:t xml:space="preserve">, as described below. </w:t>
      </w:r>
    </w:p>
    <w:p w14:paraId="086134DF" w14:textId="3B05EA8B" w:rsidR="000E353A" w:rsidRDefault="003D4D89" w:rsidP="00DE1FDC">
      <w:pPr>
        <w:pStyle w:val="BodyText"/>
        <w:widowControl/>
        <w:autoSpaceDE/>
        <w:autoSpaceDN/>
        <w:adjustRightInd/>
        <w:ind w:firstLine="360"/>
        <w:rPr>
          <w:lang w:val="en-GB"/>
        </w:rPr>
      </w:pPr>
      <w:r w:rsidRPr="00571974">
        <w:rPr>
          <w:lang w:val="en-GB"/>
        </w:rPr>
        <w:t>Hixonia Nyasulu join</w:t>
      </w:r>
      <w:r w:rsidR="006528CF" w:rsidRPr="00571974">
        <w:rPr>
          <w:lang w:val="en-GB"/>
        </w:rPr>
        <w:t>ed</w:t>
      </w:r>
      <w:r w:rsidRPr="00571974">
        <w:rPr>
          <w:lang w:val="en-GB"/>
        </w:rPr>
        <w:t xml:space="preserve"> the Board as a non-executive director</w:t>
      </w:r>
      <w:r w:rsidR="006528CF" w:rsidRPr="00571974">
        <w:rPr>
          <w:lang w:val="en-GB"/>
        </w:rPr>
        <w:t xml:space="preserve"> on </w:t>
      </w:r>
      <w:r w:rsidRPr="00571974">
        <w:rPr>
          <w:lang w:val="en-GB"/>
        </w:rPr>
        <w:t xml:space="preserve">November </w:t>
      </w:r>
      <w:r w:rsidR="006528CF" w:rsidRPr="00571974">
        <w:rPr>
          <w:lang w:val="en-GB"/>
        </w:rPr>
        <w:t xml:space="preserve">1, </w:t>
      </w:r>
      <w:r w:rsidRPr="00571974">
        <w:rPr>
          <w:lang w:val="en-GB"/>
        </w:rPr>
        <w:t>2019.</w:t>
      </w:r>
      <w:r w:rsidR="000E353A">
        <w:rPr>
          <w:lang w:val="en-GB"/>
        </w:rPr>
        <w:t xml:space="preserve"> </w:t>
      </w:r>
    </w:p>
    <w:p w14:paraId="1746B500" w14:textId="4A998758" w:rsidR="0014561B" w:rsidRPr="00571974" w:rsidRDefault="003D4D89" w:rsidP="00DE1FDC">
      <w:pPr>
        <w:pStyle w:val="BodyText"/>
        <w:widowControl/>
        <w:autoSpaceDE/>
        <w:autoSpaceDN/>
        <w:adjustRightInd/>
        <w:ind w:firstLine="360"/>
        <w:rPr>
          <w:lang w:val="en-GB"/>
        </w:rPr>
      </w:pPr>
      <w:r w:rsidRPr="00571974">
        <w:rPr>
          <w:lang w:val="en-GB"/>
        </w:rPr>
        <w:t>Nonkululeko Nyembezi join</w:t>
      </w:r>
      <w:r w:rsidR="006528CF" w:rsidRPr="00571974">
        <w:rPr>
          <w:lang w:val="en-GB"/>
        </w:rPr>
        <w:t>ed</w:t>
      </w:r>
      <w:r w:rsidRPr="00571974">
        <w:rPr>
          <w:lang w:val="en-GB"/>
        </w:rPr>
        <w:t xml:space="preserve"> the Board as a non-executive director</w:t>
      </w:r>
      <w:r w:rsidR="006528CF" w:rsidRPr="00571974">
        <w:rPr>
          <w:lang w:val="en-GB"/>
        </w:rPr>
        <w:t xml:space="preserve"> on </w:t>
      </w:r>
      <w:r w:rsidRPr="00571974">
        <w:rPr>
          <w:lang w:val="en-GB"/>
        </w:rPr>
        <w:t xml:space="preserve">January </w:t>
      </w:r>
      <w:r w:rsidR="006528CF" w:rsidRPr="00571974">
        <w:rPr>
          <w:lang w:val="en-GB"/>
        </w:rPr>
        <w:t xml:space="preserve">1, </w:t>
      </w:r>
      <w:r w:rsidRPr="00571974">
        <w:rPr>
          <w:lang w:val="en-GB"/>
        </w:rPr>
        <w:t>2020.</w:t>
      </w:r>
      <w:r w:rsidR="0014561B">
        <w:rPr>
          <w:lang w:val="en-GB"/>
        </w:rPr>
        <w:t xml:space="preserve"> </w:t>
      </w:r>
    </w:p>
    <w:p w14:paraId="74CC8BF2" w14:textId="677CB632" w:rsidR="00774245" w:rsidRPr="00571974" w:rsidRDefault="003D4D89" w:rsidP="005B6791">
      <w:pPr>
        <w:pStyle w:val="BodyText"/>
        <w:widowControl/>
        <w:autoSpaceDE/>
        <w:autoSpaceDN/>
        <w:adjustRightInd/>
        <w:ind w:firstLine="360"/>
        <w:rPr>
          <w:lang w:val="en-GB"/>
        </w:rPr>
      </w:pPr>
      <w:r w:rsidRPr="00571974">
        <w:rPr>
          <w:lang w:val="en-GB"/>
        </w:rPr>
        <w:t xml:space="preserve">On </w:t>
      </w:r>
      <w:r w:rsidR="008D5C92">
        <w:rPr>
          <w:lang w:val="en-GB"/>
        </w:rPr>
        <w:t>Augus</w:t>
      </w:r>
      <w:r w:rsidR="00703A01">
        <w:rPr>
          <w:lang w:val="en-GB"/>
        </w:rPr>
        <w:t>t</w:t>
      </w:r>
      <w:r w:rsidR="008D5C92">
        <w:rPr>
          <w:lang w:val="en-GB"/>
        </w:rPr>
        <w:t xml:space="preserve"> 31</w:t>
      </w:r>
      <w:r w:rsidRPr="00571974">
        <w:rPr>
          <w:lang w:val="en-GB"/>
        </w:rPr>
        <w:t xml:space="preserve">, 2019 </w:t>
      </w:r>
      <w:r w:rsidR="00D77E0C" w:rsidRPr="00571974">
        <w:rPr>
          <w:lang w:val="en-GB"/>
        </w:rPr>
        <w:t xml:space="preserve">Nolitha Fakude, a non-executive director of Anglo American since 2017, </w:t>
      </w:r>
      <w:r w:rsidRPr="00571974">
        <w:rPr>
          <w:lang w:val="en-GB"/>
        </w:rPr>
        <w:t xml:space="preserve">stepped </w:t>
      </w:r>
      <w:r w:rsidR="00D77E0C" w:rsidRPr="00571974">
        <w:rPr>
          <w:lang w:val="en-GB"/>
        </w:rPr>
        <w:t>down from the Board</w:t>
      </w:r>
      <w:r w:rsidR="005B6791">
        <w:rPr>
          <w:lang w:val="en-GB"/>
        </w:rPr>
        <w:t xml:space="preserve">, </w:t>
      </w:r>
      <w:r w:rsidR="00D77E0C" w:rsidRPr="00571974">
        <w:rPr>
          <w:lang w:val="en-GB"/>
        </w:rPr>
        <w:t>to take up an executive role for Anglo American as Chairman of Anglo American</w:t>
      </w:r>
      <w:r w:rsidR="00A311D8">
        <w:rPr>
          <w:lang w:val="en-GB"/>
        </w:rPr>
        <w:t>’</w:t>
      </w:r>
      <w:r w:rsidR="00D77E0C" w:rsidRPr="00571974">
        <w:rPr>
          <w:lang w:val="en-GB"/>
        </w:rPr>
        <w:t>s management board in South Africa</w:t>
      </w:r>
      <w:r w:rsidRPr="00571974">
        <w:rPr>
          <w:lang w:val="en-GB"/>
        </w:rPr>
        <w:t>.</w:t>
      </w:r>
      <w:r w:rsidR="00D77E0C" w:rsidRPr="00571974">
        <w:rPr>
          <w:lang w:val="en-GB"/>
        </w:rPr>
        <w:t xml:space="preserve"> </w:t>
      </w:r>
      <w:r w:rsidR="006043DC" w:rsidRPr="00571974">
        <w:rPr>
          <w:lang w:val="en-GB"/>
        </w:rPr>
        <w:t xml:space="preserve">Upon stepping down from the Board, Nolitha Fakude </w:t>
      </w:r>
      <w:r w:rsidRPr="00571974">
        <w:rPr>
          <w:lang w:val="en-GB"/>
        </w:rPr>
        <w:t xml:space="preserve">stepped </w:t>
      </w:r>
      <w:r w:rsidR="006043DC" w:rsidRPr="00571974">
        <w:rPr>
          <w:lang w:val="en-GB"/>
        </w:rPr>
        <w:t>down from the Audit, Nomination and Sustainability Committees.</w:t>
      </w:r>
    </w:p>
    <w:p w14:paraId="6621C0DE" w14:textId="7577D781" w:rsidR="00607DC8" w:rsidRPr="00571974" w:rsidRDefault="003D4D89" w:rsidP="00495DE3">
      <w:pPr>
        <w:pStyle w:val="BodyText"/>
        <w:widowControl/>
        <w:autoSpaceDE/>
        <w:autoSpaceDN/>
        <w:adjustRightInd/>
        <w:ind w:firstLine="360"/>
        <w:rPr>
          <w:lang w:val="en-GB"/>
        </w:rPr>
      </w:pPr>
      <w:r w:rsidRPr="00571974">
        <w:rPr>
          <w:lang w:val="en-GB"/>
        </w:rPr>
        <w:t>Marcelo Bastos join</w:t>
      </w:r>
      <w:r w:rsidR="006528CF" w:rsidRPr="00571974">
        <w:rPr>
          <w:lang w:val="en-GB"/>
        </w:rPr>
        <w:t>ed</w:t>
      </w:r>
      <w:r w:rsidRPr="00571974">
        <w:rPr>
          <w:lang w:val="en-GB"/>
        </w:rPr>
        <w:t xml:space="preserve"> the Board as a non-executive director</w:t>
      </w:r>
      <w:r w:rsidR="006528CF" w:rsidRPr="00571974">
        <w:rPr>
          <w:lang w:val="en-GB"/>
        </w:rPr>
        <w:t xml:space="preserve"> on </w:t>
      </w:r>
      <w:r w:rsidRPr="00571974">
        <w:rPr>
          <w:lang w:val="en-GB"/>
        </w:rPr>
        <w:t xml:space="preserve">April 1, 2019. </w:t>
      </w:r>
    </w:p>
    <w:p w14:paraId="37F0EB87" w14:textId="11937790" w:rsidR="00495DE3" w:rsidRPr="00571974" w:rsidRDefault="003D4D89" w:rsidP="00495DE3">
      <w:pPr>
        <w:pStyle w:val="BodyText"/>
        <w:widowControl/>
        <w:autoSpaceDE/>
        <w:autoSpaceDN/>
        <w:adjustRightInd/>
        <w:ind w:firstLine="360"/>
        <w:rPr>
          <w:lang w:val="en-GB"/>
        </w:rPr>
      </w:pPr>
      <w:r w:rsidRPr="00571974">
        <w:rPr>
          <w:lang w:val="en-GB"/>
        </w:rPr>
        <w:t xml:space="preserve">Dr Byron Grote, non-executive director since 2013 and Chair of the Audit Committee since 2014, </w:t>
      </w:r>
      <w:r w:rsidR="00FA1619" w:rsidRPr="00571974">
        <w:rPr>
          <w:lang w:val="en-GB"/>
        </w:rPr>
        <w:t xml:space="preserve">succeeded </w:t>
      </w:r>
      <w:r w:rsidRPr="00571974">
        <w:rPr>
          <w:lang w:val="en-GB"/>
        </w:rPr>
        <w:t xml:space="preserve">Sir Philip Hampton as Senior Independent Director on January </w:t>
      </w:r>
      <w:r w:rsidR="00881174" w:rsidRPr="00571974">
        <w:rPr>
          <w:lang w:val="en-GB"/>
        </w:rPr>
        <w:t>1</w:t>
      </w:r>
      <w:r w:rsidR="00881174">
        <w:rPr>
          <w:lang w:val="en-GB"/>
        </w:rPr>
        <w:t>,</w:t>
      </w:r>
      <w:r w:rsidR="00881174" w:rsidRPr="00571974">
        <w:rPr>
          <w:lang w:val="en-GB"/>
        </w:rPr>
        <w:t xml:space="preserve"> </w:t>
      </w:r>
      <w:r w:rsidRPr="00571974">
        <w:rPr>
          <w:lang w:val="en-GB"/>
        </w:rPr>
        <w:t xml:space="preserve">2019. Dr Grote </w:t>
      </w:r>
      <w:r w:rsidR="006528CF" w:rsidRPr="00571974">
        <w:rPr>
          <w:lang w:val="en-GB"/>
        </w:rPr>
        <w:t xml:space="preserve">continues his </w:t>
      </w:r>
      <w:r w:rsidRPr="00571974">
        <w:rPr>
          <w:lang w:val="en-GB"/>
        </w:rPr>
        <w:t xml:space="preserve">role as Chair of the Audit Committee. </w:t>
      </w:r>
    </w:p>
    <w:p w14:paraId="30885C95" w14:textId="77777777" w:rsidR="008C25EF" w:rsidRPr="00571974" w:rsidRDefault="003D4D89" w:rsidP="00495DE3">
      <w:pPr>
        <w:pStyle w:val="BodyText"/>
        <w:widowControl/>
        <w:autoSpaceDE/>
        <w:autoSpaceDN/>
        <w:adjustRightInd/>
        <w:ind w:firstLine="360"/>
        <w:rPr>
          <w:lang w:val="en-GB"/>
        </w:rPr>
      </w:pPr>
      <w:r w:rsidRPr="00571974">
        <w:rPr>
          <w:lang w:val="en-GB"/>
        </w:rPr>
        <w:t xml:space="preserve">Ian Ashby, non-executive director since 2017, </w:t>
      </w:r>
      <w:r w:rsidR="00FA1619" w:rsidRPr="00571974">
        <w:rPr>
          <w:lang w:val="en-GB"/>
        </w:rPr>
        <w:t>succeed</w:t>
      </w:r>
      <w:r w:rsidR="006528CF" w:rsidRPr="00571974">
        <w:rPr>
          <w:lang w:val="en-GB"/>
        </w:rPr>
        <w:t>ed</w:t>
      </w:r>
      <w:r w:rsidR="00FA1619" w:rsidRPr="00571974">
        <w:rPr>
          <w:lang w:val="en-GB"/>
        </w:rPr>
        <w:t xml:space="preserve"> </w:t>
      </w:r>
      <w:r w:rsidRPr="00571974">
        <w:rPr>
          <w:lang w:val="en-GB"/>
        </w:rPr>
        <w:t xml:space="preserve">Jack Thompson as Chair of the Sustainability Committee on April </w:t>
      </w:r>
      <w:r w:rsidR="00300371" w:rsidRPr="00571974">
        <w:rPr>
          <w:lang w:val="en-GB"/>
        </w:rPr>
        <w:t xml:space="preserve">30, </w:t>
      </w:r>
      <w:r w:rsidRPr="00571974">
        <w:rPr>
          <w:lang w:val="en-GB"/>
        </w:rPr>
        <w:t>2019.</w:t>
      </w:r>
    </w:p>
    <w:p w14:paraId="7A547EFE" w14:textId="77777777" w:rsidR="00BA0985" w:rsidRPr="00571974" w:rsidRDefault="003D4D89" w:rsidP="00BA0985">
      <w:pPr>
        <w:pStyle w:val="BodyText"/>
        <w:widowControl/>
        <w:autoSpaceDE/>
        <w:autoSpaceDN/>
        <w:adjustRightInd/>
        <w:ind w:firstLine="360"/>
        <w:rPr>
          <w:lang w:val="en-GB"/>
        </w:rPr>
      </w:pPr>
      <w:r w:rsidRPr="00571974">
        <w:rPr>
          <w:lang w:val="en-GB"/>
        </w:rPr>
        <w:t xml:space="preserve">Anne Stevens, non-executive director since 2012, succeeded Sir Philip Hampton as Chair of the Remuneration Committee on January 1, 2019. </w:t>
      </w:r>
    </w:p>
    <w:p w14:paraId="1698BF53" w14:textId="4166EA80" w:rsidR="00BA0985" w:rsidRPr="00571974" w:rsidRDefault="003D4D89" w:rsidP="00BA0985">
      <w:pPr>
        <w:pStyle w:val="BodyText"/>
        <w:widowControl/>
        <w:autoSpaceDE/>
        <w:autoSpaceDN/>
        <w:adjustRightInd/>
        <w:ind w:firstLine="360"/>
        <w:rPr>
          <w:lang w:val="en-GB"/>
        </w:rPr>
      </w:pPr>
      <w:r w:rsidRPr="00571974">
        <w:rPr>
          <w:lang w:val="en-GB"/>
        </w:rPr>
        <w:t>In September 26, 2018</w:t>
      </w:r>
      <w:r w:rsidR="005B6791">
        <w:rPr>
          <w:lang w:val="en-GB"/>
        </w:rPr>
        <w:t>,</w:t>
      </w:r>
      <w:r w:rsidRPr="00571974">
        <w:rPr>
          <w:lang w:val="en-GB"/>
        </w:rPr>
        <w:t xml:space="preserve"> Anglo American announced </w:t>
      </w:r>
      <w:r w:rsidR="005B6791">
        <w:rPr>
          <w:lang w:val="en-GB"/>
        </w:rPr>
        <w:t xml:space="preserve">that </w:t>
      </w:r>
      <w:r w:rsidRPr="00571974">
        <w:rPr>
          <w:lang w:val="en-GB"/>
        </w:rPr>
        <w:t xml:space="preserve">non-executive directors Sir Philip Hampton and Jack Thompson would step down from the Board. Sir Philip Hampton resigned on December 31, 2018 and Jack Thompson </w:t>
      </w:r>
      <w:r w:rsidR="006528CF" w:rsidRPr="00571974">
        <w:rPr>
          <w:lang w:val="en-GB"/>
        </w:rPr>
        <w:t xml:space="preserve">resigned at </w:t>
      </w:r>
      <w:r w:rsidRPr="00571974">
        <w:rPr>
          <w:lang w:val="en-GB"/>
        </w:rPr>
        <w:t>the Annual General Meeting (</w:t>
      </w:r>
      <w:r w:rsidR="00A311D8">
        <w:rPr>
          <w:lang w:val="en-GB"/>
        </w:rPr>
        <w:t>“</w:t>
      </w:r>
      <w:r w:rsidRPr="00571974">
        <w:rPr>
          <w:lang w:val="en-GB"/>
        </w:rPr>
        <w:t>AGM</w:t>
      </w:r>
      <w:r w:rsidR="00A311D8">
        <w:rPr>
          <w:lang w:val="en-GB"/>
        </w:rPr>
        <w:t>”</w:t>
      </w:r>
      <w:r w:rsidRPr="00571974">
        <w:rPr>
          <w:lang w:val="en-GB"/>
        </w:rPr>
        <w:t>) on April 30, 2019.</w:t>
      </w:r>
    </w:p>
    <w:p w14:paraId="7CF0A01A" w14:textId="0D8CC025" w:rsidR="00BA0985" w:rsidRPr="00571974" w:rsidRDefault="003D4D89" w:rsidP="00BA0985">
      <w:pPr>
        <w:pStyle w:val="BodyText"/>
        <w:widowControl/>
        <w:autoSpaceDE/>
        <w:autoSpaceDN/>
        <w:adjustRightInd/>
        <w:ind w:firstLine="360"/>
        <w:rPr>
          <w:lang w:val="en-GB"/>
        </w:rPr>
      </w:pPr>
      <w:r w:rsidRPr="00571974">
        <w:rPr>
          <w:lang w:val="en-GB"/>
        </w:rPr>
        <w:t>Ian Ashby was appointed as a non-executive director, with effect</w:t>
      </w:r>
      <w:r w:rsidR="008D5C92">
        <w:rPr>
          <w:lang w:val="en-GB"/>
        </w:rPr>
        <w:t xml:space="preserve"> from</w:t>
      </w:r>
      <w:r w:rsidRPr="00571974">
        <w:rPr>
          <w:lang w:val="en-GB"/>
        </w:rPr>
        <w:t xml:space="preserve"> July 25, 2017.</w:t>
      </w:r>
    </w:p>
    <w:p w14:paraId="363AF431" w14:textId="77777777" w:rsidR="00BA0985" w:rsidRPr="00571974" w:rsidRDefault="003D4D89" w:rsidP="00BA0985">
      <w:pPr>
        <w:pStyle w:val="BodyText"/>
        <w:widowControl/>
        <w:autoSpaceDE/>
        <w:autoSpaceDN/>
        <w:adjustRightInd/>
        <w:ind w:firstLine="360"/>
        <w:rPr>
          <w:lang w:val="en-GB"/>
        </w:rPr>
      </w:pPr>
      <w:r w:rsidRPr="00571974">
        <w:rPr>
          <w:lang w:val="en-GB"/>
        </w:rPr>
        <w:lastRenderedPageBreak/>
        <w:t>As announced in June 2017, Stuart Chambers joined the Board of Anglo American as a non-executive director and Chairman Designate on September 1, 2017.  On October 31, 2017, Sir John Parker retired from the Board as Chairman, as announced in February 2017.  Stuart Chambers was appointed as Chairman of Anglo American with effect from November 1, 2017.</w:t>
      </w:r>
    </w:p>
    <w:p w14:paraId="0EB6C143" w14:textId="18E2DB53" w:rsidR="00BE0522" w:rsidRPr="00571974" w:rsidRDefault="003D4D89" w:rsidP="00BE0522">
      <w:pPr>
        <w:pStyle w:val="BodyText"/>
        <w:widowControl/>
        <w:autoSpaceDE/>
        <w:autoSpaceDN/>
        <w:adjustRightInd/>
        <w:ind w:firstLine="360"/>
        <w:rPr>
          <w:lang w:val="en-GB"/>
        </w:rPr>
      </w:pPr>
      <w:r w:rsidRPr="00571974">
        <w:rPr>
          <w:lang w:val="en-GB"/>
        </w:rPr>
        <w:t>At the conclusion of Anglo American</w:t>
      </w:r>
      <w:r w:rsidR="00A311D8">
        <w:rPr>
          <w:lang w:val="en-GB"/>
        </w:rPr>
        <w:t>’</w:t>
      </w:r>
      <w:r w:rsidRPr="00571974">
        <w:rPr>
          <w:lang w:val="en-GB"/>
        </w:rPr>
        <w:t>s AGM on April 24, 2017, Ren</w:t>
      </w:r>
      <w:r w:rsidR="00E21126" w:rsidRPr="00571974">
        <w:rPr>
          <w:lang w:val="en-GB"/>
        </w:rPr>
        <w:t>é</w:t>
      </w:r>
      <w:r w:rsidRPr="00571974">
        <w:rPr>
          <w:lang w:val="en-GB"/>
        </w:rPr>
        <w:t xml:space="preserve"> M</w:t>
      </w:r>
      <w:r w:rsidR="00C71077" w:rsidRPr="00571974">
        <w:rPr>
          <w:lang w:val="en-GB"/>
        </w:rPr>
        <w:t>é</w:t>
      </w:r>
      <w:r w:rsidRPr="00571974">
        <w:rPr>
          <w:lang w:val="en-GB"/>
        </w:rPr>
        <w:t>dori retired as Finance Director.  Ren</w:t>
      </w:r>
      <w:r w:rsidR="00E21126" w:rsidRPr="00571974">
        <w:rPr>
          <w:lang w:val="en-GB"/>
        </w:rPr>
        <w:t>é</w:t>
      </w:r>
      <w:r w:rsidRPr="00571974">
        <w:rPr>
          <w:lang w:val="en-GB"/>
        </w:rPr>
        <w:t xml:space="preserve"> was succeeded by Stephen Pearce, who joined </w:t>
      </w:r>
      <w:r w:rsidRPr="00DA283E">
        <w:t>Anglo</w:t>
      </w:r>
      <w:r w:rsidRPr="00571974">
        <w:rPr>
          <w:lang w:val="en-GB"/>
        </w:rPr>
        <w:t xml:space="preserve"> American and its GMC on January 30, 2017.</w:t>
      </w:r>
    </w:p>
    <w:p w14:paraId="1420E96E" w14:textId="77777777" w:rsidR="00BE0522" w:rsidRPr="00571974" w:rsidRDefault="003D4D89" w:rsidP="008622AD">
      <w:pPr>
        <w:pStyle w:val="BodyText"/>
        <w:widowControl/>
        <w:autoSpaceDE/>
        <w:autoSpaceDN/>
        <w:adjustRightInd/>
        <w:ind w:firstLine="360"/>
        <w:rPr>
          <w:lang w:val="en-GB"/>
        </w:rPr>
      </w:pPr>
      <w:r w:rsidRPr="00571974">
        <w:rPr>
          <w:lang w:val="en-GB"/>
        </w:rPr>
        <w:t>The names and biographical details of the directors are set forth below. The business address of each Director is 20 Carlton House Terrace, London SW1Y 5AN, England.</w:t>
      </w:r>
    </w:p>
    <w:p w14:paraId="4DA7DC61" w14:textId="77777777" w:rsidR="00BE0522" w:rsidRPr="00571974" w:rsidRDefault="003D4D89" w:rsidP="00EA3F32">
      <w:pPr>
        <w:pStyle w:val="Heading4"/>
      </w:pPr>
      <w:r w:rsidRPr="00571974">
        <w:t>Executive Directors</w:t>
      </w:r>
    </w:p>
    <w:p w14:paraId="4EB4F78C" w14:textId="1A878DAE" w:rsidR="00703A01" w:rsidRDefault="003D4D89" w:rsidP="00DA283E">
      <w:pPr>
        <w:pStyle w:val="BodyText"/>
        <w:widowControl/>
        <w:autoSpaceDE/>
        <w:autoSpaceDN/>
        <w:adjustRightInd/>
        <w:ind w:firstLine="360"/>
        <w:rPr>
          <w:b/>
          <w:lang w:val="en-GB"/>
        </w:rPr>
      </w:pPr>
      <w:r w:rsidRPr="00571974">
        <w:rPr>
          <w:b/>
          <w:bCs/>
          <w:lang w:val="en-GB"/>
        </w:rPr>
        <w:t>Mark Cutifani</w:t>
      </w:r>
      <w:r w:rsidRPr="00571974">
        <w:rPr>
          <w:bCs/>
          <w:lang w:val="en-GB"/>
        </w:rPr>
        <w:t xml:space="preserve">, </w:t>
      </w:r>
      <w:r w:rsidRPr="00571974">
        <w:rPr>
          <w:lang w:val="en-GB"/>
        </w:rPr>
        <w:t xml:space="preserve">Chief Executive, </w:t>
      </w:r>
      <w:r w:rsidR="000778F5" w:rsidRPr="00571974">
        <w:rPr>
          <w:lang w:val="en-GB"/>
        </w:rPr>
        <w:t xml:space="preserve">BE (Mining-Hons), FAusIMM, </w:t>
      </w:r>
      <w:r w:rsidR="008622AD" w:rsidRPr="00571974">
        <w:rPr>
          <w:lang w:val="en-GB"/>
        </w:rPr>
        <w:t xml:space="preserve">FREng, </w:t>
      </w:r>
      <w:r w:rsidR="000778F5" w:rsidRPr="00571974">
        <w:rPr>
          <w:lang w:val="en-GB"/>
        </w:rPr>
        <w:t xml:space="preserve">CEngFIMMM, DBA (Hon), DoL (Hon) </w:t>
      </w:r>
      <w:r w:rsidRPr="00571974">
        <w:rPr>
          <w:lang w:val="en-GB"/>
        </w:rPr>
        <w:t>(</w:t>
      </w:r>
      <w:r w:rsidR="00495DE3" w:rsidRPr="00571974">
        <w:rPr>
          <w:lang w:val="en-GB"/>
        </w:rPr>
        <w:t>6</w:t>
      </w:r>
      <w:r w:rsidR="008622AD" w:rsidRPr="00571974">
        <w:rPr>
          <w:lang w:val="en-GB"/>
        </w:rPr>
        <w:t>1</w:t>
      </w:r>
      <w:r w:rsidRPr="00571974">
        <w:rPr>
          <w:lang w:val="en-GB"/>
        </w:rPr>
        <w:t xml:space="preserve">), appointed to the Board as Chief Executive on April 3, 2013. </w:t>
      </w:r>
      <w:r w:rsidR="0047329F" w:rsidRPr="007B1404">
        <w:rPr>
          <w:lang w:val="en-GB"/>
        </w:rPr>
        <w:t>Mark is a member of the Group Management Committee (GMC), is a non-executive director of Anglo American Platinum, chairman of Anglo American South Africa and chairman of De Beers. Mark was previously CEO of AngloGold Ashanti Limited, a position he held from 2007-2013. Before joining AngloGold Ashanti, Mark was COO at Vale Inco where he was responsible for Vale</w:t>
      </w:r>
      <w:r w:rsidR="00A311D8">
        <w:rPr>
          <w:lang w:val="en-GB"/>
        </w:rPr>
        <w:t>’</w:t>
      </w:r>
      <w:r w:rsidR="0047329F" w:rsidRPr="007B1404">
        <w:rPr>
          <w:lang w:val="en-GB"/>
        </w:rPr>
        <w:t>s global nickel business. Prior to this he held senior executive positions with the Normandy Group, Sons of Gwalia, Western Mining Corporation, Kalgoorlie Consolidated Gold Mines and CRA (Rio Tinto).</w:t>
      </w:r>
      <w:r w:rsidR="008622AD" w:rsidRPr="00571974">
        <w:rPr>
          <w:lang w:val="en-GB"/>
        </w:rPr>
        <w:t xml:space="preserve"> Mark is also </w:t>
      </w:r>
      <w:r w:rsidR="0047329F">
        <w:rPr>
          <w:lang w:val="en-GB"/>
        </w:rPr>
        <w:t>an i</w:t>
      </w:r>
      <w:r w:rsidR="0047329F" w:rsidRPr="007B1404">
        <w:rPr>
          <w:lang w:val="en-GB"/>
        </w:rPr>
        <w:t>ndependent director of Total S.A. and a member of the board of trustees of The Power of Nutrition, an independent charitable foundation.</w:t>
      </w:r>
      <w:r w:rsidR="00DB3AB1">
        <w:rPr>
          <w:lang w:val="en-GB"/>
        </w:rPr>
        <w:t xml:space="preserve"> </w:t>
      </w:r>
    </w:p>
    <w:p w14:paraId="56E9AA6D" w14:textId="468E3ED9" w:rsidR="0047329F" w:rsidRDefault="003D4D89" w:rsidP="00DA283E">
      <w:pPr>
        <w:pStyle w:val="BodyText"/>
        <w:widowControl/>
        <w:autoSpaceDE/>
        <w:autoSpaceDN/>
        <w:adjustRightInd/>
        <w:ind w:firstLine="360"/>
        <w:rPr>
          <w:b/>
          <w:lang w:val="en-GB"/>
        </w:rPr>
      </w:pPr>
      <w:r w:rsidRPr="00571974">
        <w:rPr>
          <w:b/>
          <w:lang w:val="en-GB"/>
        </w:rPr>
        <w:t>Stephen Pearce</w:t>
      </w:r>
      <w:r w:rsidRPr="00571974">
        <w:rPr>
          <w:lang w:val="en-GB"/>
        </w:rPr>
        <w:t xml:space="preserve">, </w:t>
      </w:r>
      <w:r w:rsidR="0087109A" w:rsidRPr="00571974">
        <w:rPr>
          <w:lang w:val="en-GB"/>
        </w:rPr>
        <w:t xml:space="preserve">Finance Director, </w:t>
      </w:r>
      <w:r w:rsidRPr="00571974">
        <w:rPr>
          <w:lang w:val="en-GB"/>
        </w:rPr>
        <w:t xml:space="preserve">BBus (Acc), FCA, GIA, MAICD </w:t>
      </w:r>
      <w:r w:rsidR="008622AD" w:rsidRPr="00571974">
        <w:rPr>
          <w:lang w:val="en-GB"/>
        </w:rPr>
        <w:t>(56</w:t>
      </w:r>
      <w:r w:rsidRPr="00571974">
        <w:rPr>
          <w:lang w:val="en-GB"/>
        </w:rPr>
        <w:t xml:space="preserve">), </w:t>
      </w:r>
      <w:r w:rsidR="009A7E48" w:rsidRPr="00571974">
        <w:rPr>
          <w:lang w:val="en-GB"/>
        </w:rPr>
        <w:t xml:space="preserve">appointed to the Board as Finance Director on April 24, 2017. </w:t>
      </w:r>
      <w:r w:rsidR="0047329F" w:rsidRPr="007B1404">
        <w:rPr>
          <w:lang w:val="en-GB"/>
        </w:rPr>
        <w:t>Stephen became a member of the GMC in January 2017 and joined the Board in April 2017. He is also a non-executive director of Anglo American Platinum and De Beers. Before joining Anglo American, Stephen served as CFO and an executive director of</w:t>
      </w:r>
      <w:r w:rsidR="0047329F">
        <w:rPr>
          <w:lang w:val="en-GB"/>
        </w:rPr>
        <w:t xml:space="preserve"> </w:t>
      </w:r>
      <w:r w:rsidR="0047329F" w:rsidRPr="007B1404">
        <w:rPr>
          <w:lang w:val="en-GB"/>
        </w:rPr>
        <w:t>Fortescue Metals Group from 2010 to 2016. Prior to that, he held the positions of managing director and CEO of Southern Cross Electrical Engineering Ltd and was CFO of Alinta Ltd. Stephen previously served as a non-executive director of Cedar Woods Properties Ltd.</w:t>
      </w:r>
      <w:r w:rsidR="0053004A">
        <w:rPr>
          <w:lang w:val="en-GB"/>
        </w:rPr>
        <w:t xml:space="preserve"> </w:t>
      </w:r>
      <w:r w:rsidR="000E0709" w:rsidRPr="00571974">
        <w:rPr>
          <w:lang w:val="en-GB"/>
        </w:rPr>
        <w:t xml:space="preserve">Stephen </w:t>
      </w:r>
      <w:r w:rsidR="008622AD" w:rsidRPr="00571974">
        <w:rPr>
          <w:lang w:val="en-GB"/>
        </w:rPr>
        <w:t xml:space="preserve">is also </w:t>
      </w:r>
      <w:r w:rsidR="000E0709" w:rsidRPr="00571974">
        <w:rPr>
          <w:lang w:val="en-GB"/>
        </w:rPr>
        <w:t xml:space="preserve">a </w:t>
      </w:r>
      <w:r w:rsidR="009B59D9" w:rsidRPr="00571974">
        <w:rPr>
          <w:lang w:val="en-GB"/>
        </w:rPr>
        <w:t>n</w:t>
      </w:r>
      <w:r w:rsidR="000E0709" w:rsidRPr="00571974">
        <w:rPr>
          <w:lang w:val="en-GB"/>
        </w:rPr>
        <w:t>on-executive director of BAE Systems plc.</w:t>
      </w:r>
      <w:r w:rsidR="009A7E48" w:rsidRPr="00571974">
        <w:rPr>
          <w:lang w:val="en-GB"/>
        </w:rPr>
        <w:t xml:space="preserve"> </w:t>
      </w:r>
    </w:p>
    <w:p w14:paraId="2AAB1E7D" w14:textId="53E89774" w:rsidR="00881174" w:rsidRDefault="003D4D89" w:rsidP="00DA283E">
      <w:pPr>
        <w:pStyle w:val="BodyText"/>
        <w:widowControl/>
        <w:autoSpaceDE/>
        <w:autoSpaceDN/>
        <w:adjustRightInd/>
        <w:ind w:firstLine="360"/>
      </w:pPr>
      <w:r w:rsidRPr="00571974">
        <w:rPr>
          <w:b/>
          <w:lang w:val="en-GB"/>
        </w:rPr>
        <w:t>Tony O</w:t>
      </w:r>
      <w:r w:rsidR="00A311D8">
        <w:rPr>
          <w:b/>
          <w:lang w:val="en-GB"/>
        </w:rPr>
        <w:t>’</w:t>
      </w:r>
      <w:r w:rsidRPr="00571974">
        <w:rPr>
          <w:b/>
          <w:lang w:val="en-GB"/>
        </w:rPr>
        <w:t>Neill</w:t>
      </w:r>
      <w:r w:rsidRPr="00571974">
        <w:rPr>
          <w:lang w:val="en-GB"/>
        </w:rPr>
        <w:t xml:space="preserve">, </w:t>
      </w:r>
      <w:r w:rsidR="00B12E83" w:rsidRPr="00571974">
        <w:rPr>
          <w:lang w:val="en-GB"/>
        </w:rPr>
        <w:t xml:space="preserve">Technical Director, </w:t>
      </w:r>
      <w:r w:rsidRPr="00571974">
        <w:rPr>
          <w:lang w:val="en-GB"/>
        </w:rPr>
        <w:t>MBA, BASc (Eng), FREng, FIMMM (62</w:t>
      </w:r>
      <w:r w:rsidR="00535354" w:rsidRPr="00571974">
        <w:rPr>
          <w:lang w:val="en-GB"/>
        </w:rPr>
        <w:t xml:space="preserve">), </w:t>
      </w:r>
      <w:r w:rsidR="002605A6" w:rsidRPr="00571974">
        <w:rPr>
          <w:lang w:val="en-GB"/>
        </w:rPr>
        <w:t>a</w:t>
      </w:r>
      <w:r w:rsidR="00B12E83" w:rsidRPr="00571974">
        <w:rPr>
          <w:lang w:val="en-GB"/>
        </w:rPr>
        <w:t xml:space="preserve">ppointed to the Board as Technical Director on July 22, 2015. </w:t>
      </w:r>
      <w:r w:rsidR="0047329F" w:rsidRPr="007B1404">
        <w:rPr>
          <w:lang w:val="en-GB"/>
        </w:rPr>
        <w:t>Tony joined Anglo American in September 2013 and has responsibility for the Technical</w:t>
      </w:r>
      <w:r w:rsidR="00B76A8C">
        <w:rPr>
          <w:lang w:val="en-GB"/>
        </w:rPr>
        <w:t xml:space="preserve"> </w:t>
      </w:r>
      <w:r w:rsidR="0047329F" w:rsidRPr="007B1404">
        <w:t>and Sustainability function. He is a member of the GMC and a non-executive director of Anglo American Platinum and De Beers. Tony was previously Executive Vice President – Business and Technical Development at AngloGold Ashanti Limited from 2008, where he served as joint acting CEO during 2013. His extensive career in the mining industry includes roles as Operations Executive at Newcrest Mining and Head of the Gold Business at Western Mining Corporation.</w:t>
      </w:r>
    </w:p>
    <w:p w14:paraId="43627D45" w14:textId="615E80FD" w:rsidR="00703A01" w:rsidRPr="00881174" w:rsidRDefault="003D4D89" w:rsidP="00DE1FDC">
      <w:pPr>
        <w:pStyle w:val="Heading4"/>
      </w:pPr>
      <w:r w:rsidRPr="00571974">
        <w:t>Non-Executive Directors</w:t>
      </w:r>
      <w:r w:rsidR="00DB3AB1">
        <w:t xml:space="preserve"> </w:t>
      </w:r>
    </w:p>
    <w:p w14:paraId="1BDE65B9" w14:textId="360ED594" w:rsidR="0047329F" w:rsidRPr="00571974" w:rsidRDefault="003D4D89" w:rsidP="00DA283E">
      <w:pPr>
        <w:pStyle w:val="BodyText"/>
        <w:widowControl/>
        <w:autoSpaceDE/>
        <w:autoSpaceDN/>
        <w:adjustRightInd/>
        <w:ind w:firstLine="360"/>
        <w:rPr>
          <w:lang w:val="en-GB"/>
        </w:rPr>
      </w:pPr>
      <w:r w:rsidRPr="00BD1390">
        <w:rPr>
          <w:b/>
          <w:bCs/>
          <w:lang w:val="en-GB"/>
        </w:rPr>
        <w:t>Stuart</w:t>
      </w:r>
      <w:r w:rsidRPr="00571974">
        <w:rPr>
          <w:b/>
          <w:lang w:val="en-GB"/>
        </w:rPr>
        <w:t xml:space="preserve"> Chambers</w:t>
      </w:r>
      <w:r w:rsidRPr="00571974">
        <w:rPr>
          <w:lang w:val="en-GB"/>
        </w:rPr>
        <w:t xml:space="preserve">, </w:t>
      </w:r>
      <w:r w:rsidR="0087109A" w:rsidRPr="00571974">
        <w:rPr>
          <w:lang w:val="en-GB"/>
        </w:rPr>
        <w:t>Chairman,</w:t>
      </w:r>
      <w:r w:rsidR="0087109A" w:rsidRPr="00571974">
        <w:rPr>
          <w:rFonts w:ascii="AkzidGrtskNext-Light" w:hAnsi="AkzidGrtskNext-Light" w:cs="AkzidGrtskNext-Light"/>
          <w:sz w:val="18"/>
          <w:szCs w:val="18"/>
          <w:lang w:val="en-GB"/>
        </w:rPr>
        <w:t xml:space="preserve"> </w:t>
      </w:r>
      <w:r w:rsidRPr="00571974">
        <w:rPr>
          <w:lang w:val="en-GB"/>
        </w:rPr>
        <w:t>BSc (6</w:t>
      </w:r>
      <w:r w:rsidR="00FB2C6A" w:rsidRPr="00571974">
        <w:rPr>
          <w:lang w:val="en-GB"/>
        </w:rPr>
        <w:t>3</w:t>
      </w:r>
      <w:r w:rsidRPr="00571974">
        <w:rPr>
          <w:lang w:val="en-GB"/>
        </w:rPr>
        <w:t xml:space="preserve">), appointed to the Board on </w:t>
      </w:r>
      <w:r w:rsidR="009C11EC" w:rsidRPr="00571974">
        <w:rPr>
          <w:lang w:val="en-GB"/>
        </w:rPr>
        <w:t xml:space="preserve">September </w:t>
      </w:r>
      <w:r w:rsidRPr="00571974">
        <w:rPr>
          <w:lang w:val="en-GB"/>
        </w:rPr>
        <w:t xml:space="preserve">1, </w:t>
      </w:r>
      <w:r w:rsidR="009C11EC" w:rsidRPr="00571974">
        <w:rPr>
          <w:lang w:val="en-GB"/>
        </w:rPr>
        <w:t>2017 and as Chairman on November</w:t>
      </w:r>
      <w:r w:rsidRPr="00571974">
        <w:rPr>
          <w:lang w:val="en-GB"/>
        </w:rPr>
        <w:t xml:space="preserve"> 1,</w:t>
      </w:r>
      <w:r w:rsidR="009C11EC" w:rsidRPr="00571974">
        <w:rPr>
          <w:lang w:val="en-GB"/>
        </w:rPr>
        <w:t xml:space="preserve"> 2017</w:t>
      </w:r>
      <w:r w:rsidR="002D410E" w:rsidRPr="00571974">
        <w:rPr>
          <w:lang w:val="en-GB"/>
        </w:rPr>
        <w:t xml:space="preserve">. He is also Chairman of the Nomination Committee and a member of the </w:t>
      </w:r>
      <w:r w:rsidR="00535354" w:rsidRPr="00571974">
        <w:rPr>
          <w:lang w:val="en-GB"/>
        </w:rPr>
        <w:t>Sustainability</w:t>
      </w:r>
      <w:r w:rsidR="002D410E" w:rsidRPr="00571974">
        <w:rPr>
          <w:lang w:val="en-GB"/>
        </w:rPr>
        <w:t xml:space="preserve"> </w:t>
      </w:r>
      <w:r w:rsidR="0053004A" w:rsidRPr="00571974">
        <w:rPr>
          <w:lang w:val="en-GB"/>
        </w:rPr>
        <w:t>Committee. Stuart</w:t>
      </w:r>
      <w:r w:rsidR="00C51B9B" w:rsidRPr="00571974">
        <w:rPr>
          <w:lang w:val="en-GB"/>
        </w:rPr>
        <w:t xml:space="preserve"> brings to Anglo American significant global executive and boardroom experience across the industrial, logistics and consumer sectors. </w:t>
      </w:r>
      <w:r w:rsidR="0047329F" w:rsidRPr="007B1404">
        <w:rPr>
          <w:lang w:val="en-GB"/>
        </w:rPr>
        <w:t>He previously served as chairman of ARM Holdings plc and Rexam plc until 2016; and as a non-executive director on the boards of Tesco PLC (2010-15), Manchester Airport Group plc (2010-13), Smiths Group plc (2006-12) and Associated British Ports</w:t>
      </w:r>
      <w:r w:rsidR="0047329F">
        <w:rPr>
          <w:lang w:val="en-GB"/>
        </w:rPr>
        <w:t xml:space="preserve"> </w:t>
      </w:r>
      <w:r w:rsidR="0047329F" w:rsidRPr="007B1404">
        <w:rPr>
          <w:lang w:val="en-GB"/>
        </w:rPr>
        <w:t>Holdings plc (2002-06). Stuart</w:t>
      </w:r>
      <w:r w:rsidR="00A311D8">
        <w:rPr>
          <w:lang w:val="en-GB"/>
        </w:rPr>
        <w:t>’</w:t>
      </w:r>
      <w:r w:rsidR="0047329F" w:rsidRPr="007B1404">
        <w:rPr>
          <w:lang w:val="en-GB"/>
        </w:rPr>
        <w:t>s executive career included 13 years at Pilkington plc and its subsequent parent company Nippon Sheet Glass until 2010, in a number of executive roles and ultimately as chief executive of both companies. Prior to that, he gained 10 years of sales and marketing experience at Mars Corporation, following 10 years at Shell as a chemical engineer.</w:t>
      </w:r>
      <w:r w:rsidR="0047329F">
        <w:rPr>
          <w:lang w:val="en-GB"/>
        </w:rPr>
        <w:t xml:space="preserve"> </w:t>
      </w:r>
      <w:r w:rsidR="000E0709" w:rsidRPr="00571974">
        <w:rPr>
          <w:lang w:val="en-GB"/>
        </w:rPr>
        <w:t>Stuart has c</w:t>
      </w:r>
      <w:r w:rsidRPr="00571974">
        <w:rPr>
          <w:lang w:val="en-GB"/>
        </w:rPr>
        <w:t>urrent external appointments</w:t>
      </w:r>
      <w:r w:rsidR="000E0709" w:rsidRPr="00571974">
        <w:rPr>
          <w:lang w:val="en-GB"/>
        </w:rPr>
        <w:t xml:space="preserve"> of</w:t>
      </w:r>
      <w:r w:rsidRPr="00571974">
        <w:rPr>
          <w:lang w:val="en-GB"/>
        </w:rPr>
        <w:t xml:space="preserve"> Chairman and a non-executive director at Travis Perkins PLC, and</w:t>
      </w:r>
      <w:r w:rsidR="005B6791">
        <w:rPr>
          <w:lang w:val="en-GB"/>
        </w:rPr>
        <w:t xml:space="preserve"> is</w:t>
      </w:r>
      <w:r w:rsidRPr="00571974">
        <w:rPr>
          <w:lang w:val="en-GB"/>
        </w:rPr>
        <w:t xml:space="preserve"> a member of the UK Takeover Panel.</w:t>
      </w:r>
      <w:r w:rsidR="00DB3AB1">
        <w:rPr>
          <w:lang w:val="en-GB"/>
        </w:rPr>
        <w:t xml:space="preserve"> </w:t>
      </w:r>
    </w:p>
    <w:p w14:paraId="3FC0C471" w14:textId="12DDB9A5" w:rsidR="00BE0522" w:rsidRPr="00571974" w:rsidRDefault="003D4D89" w:rsidP="005B6791">
      <w:pPr>
        <w:pStyle w:val="BodyText"/>
        <w:widowControl/>
        <w:autoSpaceDE/>
        <w:autoSpaceDN/>
        <w:adjustRightInd/>
        <w:ind w:firstLine="360"/>
        <w:rPr>
          <w:lang w:val="en-GB"/>
        </w:rPr>
      </w:pPr>
      <w:r w:rsidRPr="00571974">
        <w:rPr>
          <w:b/>
          <w:bCs/>
          <w:lang w:val="en-GB"/>
        </w:rPr>
        <w:t>Ian Ashby</w:t>
      </w:r>
      <w:r w:rsidRPr="00571974">
        <w:rPr>
          <w:lang w:val="en-GB"/>
        </w:rPr>
        <w:t>, BEng</w:t>
      </w:r>
      <w:r w:rsidR="008C5F70" w:rsidRPr="00571974">
        <w:rPr>
          <w:lang w:val="en-GB"/>
        </w:rPr>
        <w:t xml:space="preserve"> (Mining)</w:t>
      </w:r>
      <w:r w:rsidRPr="00571974">
        <w:rPr>
          <w:lang w:val="en-GB"/>
        </w:rPr>
        <w:t xml:space="preserve"> (6</w:t>
      </w:r>
      <w:r w:rsidR="008C5F70" w:rsidRPr="00571974">
        <w:rPr>
          <w:lang w:val="en-GB"/>
        </w:rPr>
        <w:t>2</w:t>
      </w:r>
      <w:r w:rsidRPr="00571974">
        <w:rPr>
          <w:lang w:val="en-GB"/>
        </w:rPr>
        <w:t xml:space="preserve">), joined the Board on July 25, 2017 and is </w:t>
      </w:r>
      <w:r w:rsidR="008C5F70" w:rsidRPr="00571974">
        <w:rPr>
          <w:lang w:val="en-GB"/>
        </w:rPr>
        <w:t>chair</w:t>
      </w:r>
      <w:r w:rsidRPr="00571974">
        <w:rPr>
          <w:lang w:val="en-GB"/>
        </w:rPr>
        <w:t xml:space="preserve"> of the Sustainability</w:t>
      </w:r>
      <w:r w:rsidR="008C5F70" w:rsidRPr="00571974">
        <w:rPr>
          <w:lang w:val="en-GB"/>
        </w:rPr>
        <w:t xml:space="preserve"> Committee</w:t>
      </w:r>
      <w:r w:rsidR="00400183" w:rsidRPr="00571974">
        <w:rPr>
          <w:lang w:val="en-GB"/>
        </w:rPr>
        <w:t xml:space="preserve"> </w:t>
      </w:r>
      <w:r w:rsidR="008C5F70" w:rsidRPr="00571974">
        <w:rPr>
          <w:lang w:val="en-GB"/>
        </w:rPr>
        <w:t xml:space="preserve">and a member of the </w:t>
      </w:r>
      <w:r w:rsidR="00400183" w:rsidRPr="00571974">
        <w:rPr>
          <w:lang w:val="en-GB"/>
        </w:rPr>
        <w:t xml:space="preserve">Nomination </w:t>
      </w:r>
      <w:r w:rsidR="00F44D39" w:rsidRPr="00571974">
        <w:rPr>
          <w:lang w:val="en-GB"/>
        </w:rPr>
        <w:t>and</w:t>
      </w:r>
      <w:r w:rsidR="00400183" w:rsidRPr="00571974">
        <w:rPr>
          <w:lang w:val="en-GB"/>
        </w:rPr>
        <w:t xml:space="preserve"> the </w:t>
      </w:r>
      <w:r w:rsidR="00535354" w:rsidRPr="00571974">
        <w:rPr>
          <w:lang w:val="en-GB"/>
        </w:rPr>
        <w:t>Remuneration</w:t>
      </w:r>
      <w:r w:rsidR="00400183" w:rsidRPr="00571974">
        <w:rPr>
          <w:lang w:val="en-GB"/>
        </w:rPr>
        <w:t xml:space="preserve"> Committee</w:t>
      </w:r>
      <w:r w:rsidR="00300371" w:rsidRPr="00571974">
        <w:rPr>
          <w:lang w:val="en-GB"/>
        </w:rPr>
        <w:t>s</w:t>
      </w:r>
      <w:r w:rsidR="00400183" w:rsidRPr="00571974">
        <w:rPr>
          <w:lang w:val="en-GB"/>
        </w:rPr>
        <w:t>.</w:t>
      </w:r>
      <w:r w:rsidRPr="00571974">
        <w:rPr>
          <w:lang w:val="en-GB"/>
        </w:rPr>
        <w:t xml:space="preserve"> </w:t>
      </w:r>
      <w:r w:rsidR="008C5F70" w:rsidRPr="00571974">
        <w:rPr>
          <w:lang w:val="en-GB"/>
        </w:rPr>
        <w:t>Ian contributes to Anglo American substantial knowledge of the minerals industry across a wide range of commodities, combined with global operating, major projects and capital development experience. Ian served as President of Iron Ore for BHP Billiton between 2006 and 2012, when he retired from the company. During his 25-year tenure with BHP Billiton, Ian held numerous roles in its iron ore, base metals and gold businesses in Australia, the U</w:t>
      </w:r>
      <w:r w:rsidR="008D5C92">
        <w:rPr>
          <w:lang w:val="en-GB"/>
        </w:rPr>
        <w:t>.</w:t>
      </w:r>
      <w:r w:rsidR="008C5F70" w:rsidRPr="00571974">
        <w:rPr>
          <w:lang w:val="en-GB"/>
        </w:rPr>
        <w:t>S</w:t>
      </w:r>
      <w:r w:rsidR="008D5C92">
        <w:rPr>
          <w:lang w:val="en-GB"/>
        </w:rPr>
        <w:t>.</w:t>
      </w:r>
      <w:r w:rsidR="008C5F70" w:rsidRPr="00571974">
        <w:rPr>
          <w:lang w:val="en-GB"/>
        </w:rPr>
        <w:t>, and Chile, as well as projects roles in the corporate office. He began his nearly 40-year mining career as an underground miner at the Mount Isa Mines base metals operations in Queensland, Australia. Ian has previously served as chairman of Petropavlovsk plc, and a non-</w:t>
      </w:r>
      <w:r w:rsidR="008C5F70" w:rsidRPr="00571974">
        <w:rPr>
          <w:lang w:val="en-GB"/>
        </w:rPr>
        <w:lastRenderedPageBreak/>
        <w:t xml:space="preserve">executive director of Alderon Iron Ore Corp, Nevsun Resources Ltd, New World Resources PLC and Genco Shipping &amp; Trading, and in an advisory capacity with Apollo Global Management and Temasek. </w:t>
      </w:r>
    </w:p>
    <w:p w14:paraId="420EBEDB" w14:textId="334D9A9C" w:rsidR="00E55D36" w:rsidRPr="00571974" w:rsidRDefault="003D4D89" w:rsidP="00DA283E">
      <w:pPr>
        <w:pStyle w:val="BodyText"/>
        <w:widowControl/>
        <w:autoSpaceDE/>
        <w:autoSpaceDN/>
        <w:adjustRightInd/>
        <w:ind w:firstLine="360"/>
        <w:rPr>
          <w:lang w:val="en-GB"/>
        </w:rPr>
      </w:pPr>
      <w:r w:rsidRPr="00571974">
        <w:rPr>
          <w:b/>
          <w:bCs/>
          <w:lang w:val="en-GB"/>
        </w:rPr>
        <w:t xml:space="preserve">Dr. </w:t>
      </w:r>
      <w:r w:rsidRPr="00571974">
        <w:rPr>
          <w:b/>
          <w:bCs/>
          <w:szCs w:val="20"/>
          <w:lang w:val="en-GB"/>
        </w:rPr>
        <w:t>Byron</w:t>
      </w:r>
      <w:r w:rsidRPr="00571974">
        <w:rPr>
          <w:b/>
          <w:bCs/>
          <w:lang w:val="en-GB"/>
        </w:rPr>
        <w:t xml:space="preserve"> Grote</w:t>
      </w:r>
      <w:r w:rsidRPr="00571974">
        <w:rPr>
          <w:lang w:val="en-GB"/>
        </w:rPr>
        <w:t xml:space="preserve">, </w:t>
      </w:r>
      <w:r w:rsidR="00946668" w:rsidRPr="00571974">
        <w:rPr>
          <w:lang w:val="en-GB"/>
        </w:rPr>
        <w:t xml:space="preserve">Senior Independent Director, </w:t>
      </w:r>
      <w:r w:rsidRPr="00571974">
        <w:rPr>
          <w:lang w:val="en-GB"/>
        </w:rPr>
        <w:t>PhD Quantitative Analysis (</w:t>
      </w:r>
      <w:r w:rsidR="00881174">
        <w:rPr>
          <w:lang w:val="en-GB"/>
        </w:rPr>
        <w:t>72</w:t>
      </w:r>
      <w:r w:rsidRPr="00571974">
        <w:rPr>
          <w:lang w:val="en-GB"/>
        </w:rPr>
        <w:t xml:space="preserve">), </w:t>
      </w:r>
      <w:r w:rsidR="002F12D9" w:rsidRPr="00571974">
        <w:rPr>
          <w:lang w:val="en-GB"/>
        </w:rPr>
        <w:t>appointed to the Board on April 19, 2013 and as Senior</w:t>
      </w:r>
      <w:r w:rsidR="00267F9D" w:rsidRPr="00571974">
        <w:rPr>
          <w:lang w:val="en-GB"/>
        </w:rPr>
        <w:t xml:space="preserve"> Independent Director on</w:t>
      </w:r>
      <w:r w:rsidR="002F12D9" w:rsidRPr="00571974">
        <w:rPr>
          <w:lang w:val="en-GB"/>
        </w:rPr>
        <w:t xml:space="preserve"> January</w:t>
      </w:r>
      <w:r w:rsidR="00267F9D" w:rsidRPr="00571974">
        <w:rPr>
          <w:lang w:val="en-GB"/>
        </w:rPr>
        <w:t xml:space="preserve"> 1,</w:t>
      </w:r>
      <w:r w:rsidR="002F12D9" w:rsidRPr="00571974">
        <w:rPr>
          <w:lang w:val="en-GB"/>
        </w:rPr>
        <w:t xml:space="preserve"> 2019.</w:t>
      </w:r>
      <w:r w:rsidR="00C13CC8" w:rsidRPr="00571974">
        <w:rPr>
          <w:lang w:val="en-GB"/>
        </w:rPr>
        <w:t xml:space="preserve"> He is chair of the Audit Committee and a member of the Nomination and </w:t>
      </w:r>
      <w:r w:rsidR="0053004A" w:rsidRPr="00571974">
        <w:rPr>
          <w:lang w:val="en-GB"/>
        </w:rPr>
        <w:t>Remuneration</w:t>
      </w:r>
      <w:r w:rsidR="00C13CC8" w:rsidRPr="00571974">
        <w:rPr>
          <w:lang w:val="en-GB"/>
        </w:rPr>
        <w:t xml:space="preserve"> Committee</w:t>
      </w:r>
      <w:r w:rsidR="008D5C92">
        <w:rPr>
          <w:lang w:val="en-GB"/>
        </w:rPr>
        <w:t>s</w:t>
      </w:r>
      <w:r w:rsidR="00C13CC8" w:rsidRPr="00571974">
        <w:rPr>
          <w:lang w:val="en-GB"/>
        </w:rPr>
        <w:t>.</w:t>
      </w:r>
      <w:r w:rsidR="002F12D9" w:rsidRPr="00571974">
        <w:rPr>
          <w:lang w:val="en-GB"/>
        </w:rPr>
        <w:t xml:space="preserve"> </w:t>
      </w:r>
      <w:r w:rsidR="00C51B9B" w:rsidRPr="00571974">
        <w:rPr>
          <w:lang w:val="en-GB"/>
        </w:rPr>
        <w:t>Byron contributes to Anglo American broad business, financial and board experience in numerous geographies. In 2019 he was appointed chairman of Anglo American</w:t>
      </w:r>
      <w:r w:rsidR="00A311D8">
        <w:rPr>
          <w:lang w:val="en-GB"/>
        </w:rPr>
        <w:t>’</w:t>
      </w:r>
      <w:r w:rsidR="00C51B9B" w:rsidRPr="00571974">
        <w:rPr>
          <w:lang w:val="en-GB"/>
        </w:rPr>
        <w:t xml:space="preserve">s </w:t>
      </w:r>
      <w:r w:rsidR="00881174">
        <w:rPr>
          <w:lang w:val="en-GB"/>
        </w:rPr>
        <w:t xml:space="preserve">newly created </w:t>
      </w:r>
      <w:r w:rsidR="00C51B9B" w:rsidRPr="00571974">
        <w:rPr>
          <w:lang w:val="en-GB"/>
        </w:rPr>
        <w:t>Global Workforce Advisory Panel. He served on the BP plc board from 2000 until 2013 and was BP</w:t>
      </w:r>
      <w:r w:rsidR="00A311D8">
        <w:rPr>
          <w:lang w:val="en-GB"/>
        </w:rPr>
        <w:t>’</w:t>
      </w:r>
      <w:r w:rsidR="00C51B9B" w:rsidRPr="00571974">
        <w:rPr>
          <w:lang w:val="en-GB"/>
        </w:rPr>
        <w:t xml:space="preserve">s chief financial officer during much of that period. He was previously a non-executive director of Unilever NV and Unilever </w:t>
      </w:r>
      <w:r w:rsidR="0053004A" w:rsidRPr="00571974">
        <w:rPr>
          <w:lang w:val="en-GB"/>
        </w:rPr>
        <w:t>PLC. Byron</w:t>
      </w:r>
      <w:r w:rsidR="009B7505" w:rsidRPr="00571974">
        <w:rPr>
          <w:lang w:val="en-GB"/>
        </w:rPr>
        <w:t xml:space="preserve"> has c</w:t>
      </w:r>
      <w:r w:rsidR="002F12D9" w:rsidRPr="00571974">
        <w:rPr>
          <w:lang w:val="en-GB"/>
        </w:rPr>
        <w:t>urrent external appointments of</w:t>
      </w:r>
      <w:r w:rsidR="00E55D36" w:rsidRPr="007B1404">
        <w:rPr>
          <w:lang w:val="en-GB"/>
        </w:rPr>
        <w:t xml:space="preserve"> Vice chairman of the supervisory board of Akzo Nobel NV and a non-executive director of Standard Chartered PLC and Tesco PLC. A member of the European Audit Committee Leadership Network and an emeritus member of the Cornell University Johnson Advisory Council.</w:t>
      </w:r>
      <w:r w:rsidR="00DB3AB1">
        <w:rPr>
          <w:lang w:val="en-GB"/>
        </w:rPr>
        <w:t xml:space="preserve"> </w:t>
      </w:r>
    </w:p>
    <w:p w14:paraId="0DAE3C90" w14:textId="5B068DFD" w:rsidR="00703A01" w:rsidRPr="00571974" w:rsidRDefault="003D4D89" w:rsidP="00DA283E">
      <w:pPr>
        <w:pStyle w:val="BodyText"/>
        <w:widowControl/>
        <w:autoSpaceDE/>
        <w:autoSpaceDN/>
        <w:adjustRightInd/>
        <w:ind w:firstLine="360"/>
        <w:rPr>
          <w:szCs w:val="20"/>
          <w:lang w:val="en-GB"/>
        </w:rPr>
      </w:pPr>
      <w:r w:rsidRPr="00571974">
        <w:rPr>
          <w:b/>
          <w:bCs/>
          <w:lang w:val="en-GB"/>
        </w:rPr>
        <w:t>Dr. Mphu Ramatlapeng</w:t>
      </w:r>
      <w:r w:rsidRPr="00571974">
        <w:rPr>
          <w:bCs/>
          <w:lang w:val="en-GB"/>
        </w:rPr>
        <w:t>,</w:t>
      </w:r>
      <w:r w:rsidRPr="00571974">
        <w:rPr>
          <w:szCs w:val="20"/>
          <w:lang w:val="en-GB"/>
        </w:rPr>
        <w:t xml:space="preserve"> MD, MHSc (6</w:t>
      </w:r>
      <w:r w:rsidR="008C5F70" w:rsidRPr="00571974">
        <w:rPr>
          <w:szCs w:val="20"/>
          <w:lang w:val="en-GB"/>
        </w:rPr>
        <w:t>7</w:t>
      </w:r>
      <w:r w:rsidRPr="00571974">
        <w:rPr>
          <w:szCs w:val="20"/>
          <w:lang w:val="en-GB"/>
        </w:rPr>
        <w:t>), was appointed to the Board on July 8, 2013</w:t>
      </w:r>
      <w:r w:rsidRPr="00571974">
        <w:rPr>
          <w:b/>
          <w:bCs/>
          <w:szCs w:val="20"/>
          <w:lang w:val="en-GB"/>
        </w:rPr>
        <w:t xml:space="preserve"> </w:t>
      </w:r>
      <w:r w:rsidRPr="00571974">
        <w:rPr>
          <w:szCs w:val="20"/>
          <w:lang w:val="en-GB"/>
        </w:rPr>
        <w:t>and</w:t>
      </w:r>
      <w:r w:rsidRPr="00571974">
        <w:rPr>
          <w:b/>
          <w:bCs/>
          <w:szCs w:val="20"/>
          <w:lang w:val="en-GB"/>
        </w:rPr>
        <w:t xml:space="preserve"> </w:t>
      </w:r>
      <w:r w:rsidRPr="00571974">
        <w:rPr>
          <w:szCs w:val="20"/>
          <w:lang w:val="en-GB"/>
        </w:rPr>
        <w:t xml:space="preserve">is a member of the Sustainability Committee. </w:t>
      </w:r>
      <w:r w:rsidR="00C63541" w:rsidRPr="00571974">
        <w:rPr>
          <w:lang w:val="en-GB"/>
        </w:rPr>
        <w:t>Mphu is a highly experienced leader who contributes to Anglo American a broad range</w:t>
      </w:r>
      <w:r w:rsidR="006A3924" w:rsidRPr="00571974">
        <w:rPr>
          <w:lang w:val="en-GB"/>
        </w:rPr>
        <w:t xml:space="preserve"> </w:t>
      </w:r>
      <w:r w:rsidR="00C63541" w:rsidRPr="00571974">
        <w:rPr>
          <w:lang w:val="en-GB"/>
        </w:rPr>
        <w:t>of global health expertise at board level across both the public and private sectors. Mphu served as Minister of Health and Social Welfare of Lesotho between 2007 and 2012. In this role, she championed Lesotho</w:t>
      </w:r>
      <w:r w:rsidR="00A311D8">
        <w:rPr>
          <w:lang w:val="en-GB"/>
        </w:rPr>
        <w:t>’</w:t>
      </w:r>
      <w:r w:rsidR="00C63541" w:rsidRPr="00571974">
        <w:rPr>
          <w:lang w:val="en-GB"/>
        </w:rPr>
        <w:t xml:space="preserve">s significant achievements in reducing the transmission of HIV from mother to child. Across her career, she has been a leading advocate for women in business, including serving as founding board member of Women in Business in Lesotho. Mphu was formerly the vice chair of the Global Fund to Fight AIDS, TB and Malaria. </w:t>
      </w:r>
      <w:r w:rsidR="002364CA" w:rsidRPr="003C2B7A">
        <w:rPr>
          <w:lang w:val="en-GB"/>
        </w:rPr>
        <w:t xml:space="preserve">Her current external appoints are </w:t>
      </w:r>
      <w:r w:rsidR="003C2B7A" w:rsidRPr="007B1404">
        <w:rPr>
          <w:lang w:val="en-GB"/>
        </w:rPr>
        <w:t>Executive vice president of HIV/AIDS and Tuberculosis programmes for the Clinton Health Access Initiative, and a member of the board of directors of Living Goods, a not-for-profit organisation.</w:t>
      </w:r>
      <w:r w:rsidR="00DB3AB1">
        <w:rPr>
          <w:lang w:val="en-GB"/>
        </w:rPr>
        <w:t xml:space="preserve"> </w:t>
      </w:r>
    </w:p>
    <w:p w14:paraId="31A73932" w14:textId="696F322D" w:rsidR="005463F5" w:rsidRDefault="003D4D89" w:rsidP="00DA283E">
      <w:pPr>
        <w:pStyle w:val="BodyText"/>
        <w:widowControl/>
        <w:autoSpaceDE/>
        <w:autoSpaceDN/>
        <w:adjustRightInd/>
        <w:ind w:firstLine="360"/>
        <w:rPr>
          <w:lang w:val="en-GB"/>
        </w:rPr>
      </w:pPr>
      <w:r w:rsidRPr="00571974">
        <w:rPr>
          <w:b/>
          <w:bCs/>
          <w:lang w:val="en-GB"/>
        </w:rPr>
        <w:t>Jim Rutherford</w:t>
      </w:r>
      <w:r w:rsidRPr="00571974">
        <w:rPr>
          <w:bCs/>
          <w:lang w:val="en-GB"/>
        </w:rPr>
        <w:t>,</w:t>
      </w:r>
      <w:r w:rsidRPr="00571974">
        <w:rPr>
          <w:szCs w:val="20"/>
          <w:lang w:val="en-GB"/>
        </w:rPr>
        <w:t xml:space="preserve"> </w:t>
      </w:r>
      <w:r w:rsidRPr="00571974">
        <w:rPr>
          <w:bCs/>
          <w:lang w:val="en-GB"/>
        </w:rPr>
        <w:t>BSc (Econ), MA (Econ) (</w:t>
      </w:r>
      <w:r w:rsidR="00C63541" w:rsidRPr="00571974">
        <w:rPr>
          <w:bCs/>
          <w:lang w:val="en-GB"/>
        </w:rPr>
        <w:t>60</w:t>
      </w:r>
      <w:r w:rsidRPr="00571974">
        <w:rPr>
          <w:bCs/>
          <w:lang w:val="en-GB"/>
        </w:rPr>
        <w:t>)</w:t>
      </w:r>
      <w:r w:rsidR="0085110A" w:rsidRPr="00571974">
        <w:rPr>
          <w:bCs/>
          <w:lang w:val="en-GB"/>
        </w:rPr>
        <w:t>, appointed</w:t>
      </w:r>
      <w:r w:rsidR="0085110A" w:rsidRPr="00571974">
        <w:rPr>
          <w:szCs w:val="20"/>
          <w:lang w:val="en-GB"/>
        </w:rPr>
        <w:t xml:space="preserve"> to</w:t>
      </w:r>
      <w:r w:rsidRPr="00571974">
        <w:rPr>
          <w:szCs w:val="20"/>
          <w:lang w:val="en-GB"/>
        </w:rPr>
        <w:t xml:space="preserve"> the Board on November 4, 2013 and is a member of the </w:t>
      </w:r>
      <w:r w:rsidRPr="00571974">
        <w:rPr>
          <w:lang w:val="en-GB"/>
        </w:rPr>
        <w:t>Audit, Re</w:t>
      </w:r>
      <w:r w:rsidR="00F44D39" w:rsidRPr="00571974">
        <w:rPr>
          <w:lang w:val="en-GB"/>
        </w:rPr>
        <w:t>m</w:t>
      </w:r>
      <w:r w:rsidRPr="00571974">
        <w:rPr>
          <w:lang w:val="en-GB"/>
        </w:rPr>
        <w:t xml:space="preserve">uneration and Sustainability Committees. </w:t>
      </w:r>
      <w:r w:rsidR="00C63541" w:rsidRPr="00571974">
        <w:rPr>
          <w:lang w:val="en-GB"/>
        </w:rPr>
        <w:t>Jim has over 25 years</w:t>
      </w:r>
      <w:r w:rsidR="00A311D8">
        <w:rPr>
          <w:lang w:val="en-GB"/>
        </w:rPr>
        <w:t>’</w:t>
      </w:r>
      <w:r w:rsidR="00C63541" w:rsidRPr="00571974">
        <w:rPr>
          <w:lang w:val="en-GB"/>
        </w:rPr>
        <w:t xml:space="preserve"> experience in</w:t>
      </w:r>
      <w:r w:rsidR="00F53E36" w:rsidRPr="00571974">
        <w:rPr>
          <w:lang w:val="en-GB"/>
        </w:rPr>
        <w:t xml:space="preserve"> </w:t>
      </w:r>
      <w:r w:rsidR="00C63541" w:rsidRPr="00571974">
        <w:rPr>
          <w:lang w:val="en-GB"/>
        </w:rPr>
        <w:t xml:space="preserve">investment </w:t>
      </w:r>
      <w:r w:rsidR="00D46A6B">
        <w:rPr>
          <w:lang w:val="en-GB"/>
        </w:rPr>
        <w:t xml:space="preserve">management </w:t>
      </w:r>
      <w:r w:rsidR="00C63541" w:rsidRPr="00571974">
        <w:rPr>
          <w:lang w:val="en-GB"/>
        </w:rPr>
        <w:t>and investment</w:t>
      </w:r>
      <w:r w:rsidR="00F53E36" w:rsidRPr="00571974">
        <w:rPr>
          <w:lang w:val="en-GB"/>
        </w:rPr>
        <w:t xml:space="preserve"> </w:t>
      </w:r>
      <w:r w:rsidR="00D46A6B" w:rsidRPr="00571974">
        <w:rPr>
          <w:lang w:val="en-GB"/>
        </w:rPr>
        <w:t>banking</w:t>
      </w:r>
      <w:r w:rsidR="00C63541" w:rsidRPr="00571974">
        <w:rPr>
          <w:lang w:val="en-GB"/>
        </w:rPr>
        <w:t>. He has extensive international</w:t>
      </w:r>
      <w:r w:rsidR="00F53E36" w:rsidRPr="00571974">
        <w:rPr>
          <w:lang w:val="en-GB"/>
        </w:rPr>
        <w:t xml:space="preserve"> </w:t>
      </w:r>
      <w:r w:rsidR="00C63541" w:rsidRPr="00571974">
        <w:rPr>
          <w:lang w:val="en-GB"/>
        </w:rPr>
        <w:t>experience and contributes to the Board</w:t>
      </w:r>
      <w:r w:rsidR="00F53E36" w:rsidRPr="00571974">
        <w:rPr>
          <w:lang w:val="en-GB"/>
        </w:rPr>
        <w:t xml:space="preserve"> </w:t>
      </w:r>
      <w:r w:rsidR="00C63541" w:rsidRPr="00571974">
        <w:rPr>
          <w:lang w:val="en-GB"/>
        </w:rPr>
        <w:t>considerable financial insight from the</w:t>
      </w:r>
      <w:r w:rsidR="00F53E36" w:rsidRPr="00571974">
        <w:rPr>
          <w:lang w:val="en-GB"/>
        </w:rPr>
        <w:t xml:space="preserve"> </w:t>
      </w:r>
      <w:r w:rsidR="00C63541" w:rsidRPr="00571974">
        <w:rPr>
          <w:lang w:val="en-GB"/>
        </w:rPr>
        <w:t>perspective of the capital markets and a</w:t>
      </w:r>
      <w:r w:rsidR="00F53E36" w:rsidRPr="00571974">
        <w:rPr>
          <w:lang w:val="en-GB"/>
        </w:rPr>
        <w:t xml:space="preserve"> </w:t>
      </w:r>
      <w:r w:rsidR="00C63541" w:rsidRPr="00571974">
        <w:rPr>
          <w:lang w:val="en-GB"/>
        </w:rPr>
        <w:t>deep understanding of the mining industry.</w:t>
      </w:r>
      <w:r w:rsidR="00F53E36" w:rsidRPr="00571974">
        <w:rPr>
          <w:lang w:val="en-GB"/>
        </w:rPr>
        <w:t xml:space="preserve"> </w:t>
      </w:r>
      <w:r w:rsidR="005463F5" w:rsidRPr="007B1404">
        <w:rPr>
          <w:lang w:val="en-GB"/>
        </w:rPr>
        <w:t>Jim was formerly chairman of Dalradian Resources Inc. Between 1997 and 2013, he was a senior vice president of Capital International Investors, a division of Capital Group, and had responsibility for investments in the mining and metals industry. Prior to joining Capital Group, Jim was an investment analyst covering the South American mining and metals industry for HSBC James Capel in New York.</w:t>
      </w:r>
      <w:r w:rsidR="00C63541" w:rsidRPr="00571974">
        <w:rPr>
          <w:lang w:val="en-GB"/>
        </w:rPr>
        <w:t xml:space="preserve"> </w:t>
      </w:r>
      <w:r w:rsidR="009B7505" w:rsidRPr="00571974">
        <w:rPr>
          <w:lang w:val="en-GB"/>
        </w:rPr>
        <w:t>Jim c</w:t>
      </w:r>
      <w:r w:rsidR="0085110A" w:rsidRPr="00571974">
        <w:rPr>
          <w:lang w:val="en-GB"/>
        </w:rPr>
        <w:t>urrent</w:t>
      </w:r>
      <w:r w:rsidR="009B59D9" w:rsidRPr="00571974">
        <w:rPr>
          <w:lang w:val="en-GB"/>
        </w:rPr>
        <w:t>ly holds</w:t>
      </w:r>
      <w:r w:rsidR="0085110A" w:rsidRPr="00571974">
        <w:rPr>
          <w:lang w:val="en-GB"/>
        </w:rPr>
        <w:t xml:space="preserve"> external </w:t>
      </w:r>
      <w:r w:rsidR="00F44D39" w:rsidRPr="00571974">
        <w:rPr>
          <w:lang w:val="en-GB"/>
        </w:rPr>
        <w:t>appointments</w:t>
      </w:r>
      <w:r w:rsidR="009B59D9" w:rsidRPr="00571974">
        <w:rPr>
          <w:lang w:val="en-GB"/>
        </w:rPr>
        <w:t xml:space="preserve"> as</w:t>
      </w:r>
      <w:r w:rsidR="0085110A" w:rsidRPr="00571974">
        <w:rPr>
          <w:lang w:val="en-GB"/>
        </w:rPr>
        <w:t xml:space="preserve"> </w:t>
      </w:r>
      <w:r w:rsidR="005463F5" w:rsidRPr="007B1404">
        <w:rPr>
          <w:lang w:val="en-GB"/>
        </w:rPr>
        <w:t>Deputy chairman of Centamin plc, senior independent director of Anglo Pacific Group, and a non-executive director of GT Gold Corp.</w:t>
      </w:r>
    </w:p>
    <w:p w14:paraId="6EB624E5" w14:textId="6F9CF295" w:rsidR="00530E0C" w:rsidRDefault="003D4D89" w:rsidP="00D30762">
      <w:pPr>
        <w:pStyle w:val="BodyText"/>
        <w:widowControl/>
        <w:autoSpaceDE/>
        <w:autoSpaceDN/>
        <w:adjustRightInd/>
        <w:ind w:firstLine="360"/>
        <w:rPr>
          <w:b/>
          <w:bCs/>
          <w:lang w:val="en-GB"/>
        </w:rPr>
      </w:pPr>
      <w:r w:rsidRPr="00571974">
        <w:rPr>
          <w:b/>
          <w:bCs/>
          <w:lang w:val="en-GB"/>
        </w:rPr>
        <w:t>Anne Stevens</w:t>
      </w:r>
      <w:r w:rsidRPr="00571974">
        <w:rPr>
          <w:lang w:val="en-GB"/>
        </w:rPr>
        <w:t>, PhD, BSc (7</w:t>
      </w:r>
      <w:r w:rsidR="00F53E36" w:rsidRPr="00571974">
        <w:rPr>
          <w:lang w:val="en-GB"/>
        </w:rPr>
        <w:t>1</w:t>
      </w:r>
      <w:r w:rsidRPr="00571974">
        <w:rPr>
          <w:lang w:val="en-GB"/>
        </w:rPr>
        <w:t xml:space="preserve">), </w:t>
      </w:r>
      <w:r w:rsidR="009007AE" w:rsidRPr="00571974">
        <w:rPr>
          <w:lang w:val="en-GB"/>
        </w:rPr>
        <w:t xml:space="preserve">appointed to </w:t>
      </w:r>
      <w:r w:rsidRPr="00571974">
        <w:rPr>
          <w:lang w:val="en-GB"/>
        </w:rPr>
        <w:t>the Board on May 1</w:t>
      </w:r>
      <w:r w:rsidR="00D46A6B">
        <w:rPr>
          <w:lang w:val="en-GB"/>
        </w:rPr>
        <w:t>5</w:t>
      </w:r>
      <w:r w:rsidRPr="00571974">
        <w:rPr>
          <w:lang w:val="en-GB"/>
        </w:rPr>
        <w:t>, 2012 and is a member of the Audit</w:t>
      </w:r>
      <w:r w:rsidR="00495DE3" w:rsidRPr="00571974">
        <w:rPr>
          <w:lang w:val="en-GB"/>
        </w:rPr>
        <w:t xml:space="preserve"> and</w:t>
      </w:r>
      <w:r w:rsidR="000F5D67" w:rsidRPr="00571974">
        <w:rPr>
          <w:lang w:val="en-GB"/>
        </w:rPr>
        <w:t xml:space="preserve"> </w:t>
      </w:r>
      <w:r w:rsidRPr="00571974">
        <w:rPr>
          <w:lang w:val="en-GB"/>
        </w:rPr>
        <w:t xml:space="preserve">Nomination </w:t>
      </w:r>
      <w:r w:rsidR="00F44D39" w:rsidRPr="00571974">
        <w:rPr>
          <w:lang w:val="en-GB"/>
        </w:rPr>
        <w:t>Committees</w:t>
      </w:r>
      <w:r w:rsidR="000F5D67" w:rsidRPr="00571974">
        <w:rPr>
          <w:lang w:val="en-GB"/>
        </w:rPr>
        <w:t xml:space="preserve"> and became </w:t>
      </w:r>
      <w:r w:rsidR="00495DE3" w:rsidRPr="00571974">
        <w:rPr>
          <w:lang w:val="en-GB"/>
        </w:rPr>
        <w:t>Chair of the Remuneration Committee on January 1, 2019.</w:t>
      </w:r>
      <w:r w:rsidRPr="00571974">
        <w:rPr>
          <w:lang w:val="en-GB"/>
        </w:rPr>
        <w:t xml:space="preserve"> </w:t>
      </w:r>
      <w:r w:rsidR="00F53E36" w:rsidRPr="00571974">
        <w:rPr>
          <w:lang w:val="en-GB"/>
        </w:rPr>
        <w:t xml:space="preserve">Anne contributes to the Board a wealth of experience and wide-ranging commercial acumen from a number of global industries in North, Central and South America. </w:t>
      </w:r>
      <w:r w:rsidR="00416CE5" w:rsidRPr="007B1404">
        <w:rPr>
          <w:lang w:val="en-GB"/>
        </w:rPr>
        <w:t>Anne was chief executive of GKN plc from November 2017 to April 2018. She was</w:t>
      </w:r>
      <w:r w:rsidR="00416CE5">
        <w:rPr>
          <w:lang w:val="en-GB"/>
        </w:rPr>
        <w:t xml:space="preserve"> </w:t>
      </w:r>
      <w:r w:rsidR="00416CE5" w:rsidRPr="007B1404">
        <w:rPr>
          <w:lang w:val="en-GB"/>
        </w:rPr>
        <w:t xml:space="preserve">formerly chairman and CEO of SA IT Services from 2011 until her retirement in December 2014. From 2006 to 2009, Anne was chairman and CEO of Carpenter Technology Corporation. Prior to this, she was COO for the Americas at Ford Motor Company until 2006, the culmination of her 16 year career with the company. Her early career was spent at Exxon Corporation, where she held roles in engineering, product </w:t>
      </w:r>
      <w:r w:rsidR="00416CE5" w:rsidRPr="00DA283E">
        <w:rPr>
          <w:b/>
          <w:bCs/>
          <w:lang w:val="en-GB"/>
        </w:rPr>
        <w:t>development</w:t>
      </w:r>
      <w:r w:rsidR="00416CE5" w:rsidRPr="007B1404">
        <w:rPr>
          <w:lang w:val="en-GB"/>
        </w:rPr>
        <w:t>, and sales and marketing. Anne is a former non-executive director of Lockheed Martin Corporation, GKN plc and XL Catlin.</w:t>
      </w:r>
    </w:p>
    <w:p w14:paraId="33DD9894" w14:textId="3743F259" w:rsidR="00416CE5" w:rsidRPr="00571974" w:rsidRDefault="003D4D89" w:rsidP="00DA283E">
      <w:pPr>
        <w:pStyle w:val="BodyText"/>
        <w:widowControl/>
        <w:autoSpaceDE/>
        <w:autoSpaceDN/>
        <w:adjustRightInd/>
        <w:ind w:firstLine="360"/>
        <w:rPr>
          <w:lang w:val="en-GB"/>
        </w:rPr>
      </w:pPr>
      <w:r w:rsidRPr="00571974">
        <w:rPr>
          <w:b/>
          <w:bCs/>
          <w:lang w:val="en-GB"/>
        </w:rPr>
        <w:t>Marcelo Bastos</w:t>
      </w:r>
      <w:r w:rsidRPr="00571974">
        <w:rPr>
          <w:lang w:val="en-GB"/>
        </w:rPr>
        <w:t>, MBA, BSc (Homs) Mech Eng (5</w:t>
      </w:r>
      <w:r w:rsidR="00D46A6B">
        <w:rPr>
          <w:lang w:val="en-GB"/>
        </w:rPr>
        <w:t>7</w:t>
      </w:r>
      <w:r w:rsidRPr="00571974">
        <w:rPr>
          <w:lang w:val="en-GB"/>
        </w:rPr>
        <w:t xml:space="preserve">), appointed to the Board </w:t>
      </w:r>
      <w:r w:rsidR="008D5C92">
        <w:rPr>
          <w:lang w:val="en-GB"/>
        </w:rPr>
        <w:t xml:space="preserve">on </w:t>
      </w:r>
      <w:r w:rsidRPr="00571974">
        <w:rPr>
          <w:lang w:val="en-GB"/>
        </w:rPr>
        <w:t xml:space="preserve">April 1, 2019 and is a member of the Sustainability </w:t>
      </w:r>
      <w:r w:rsidR="0053004A" w:rsidRPr="00571974">
        <w:rPr>
          <w:lang w:val="en-GB"/>
        </w:rPr>
        <w:t>Committee</w:t>
      </w:r>
      <w:r w:rsidRPr="00571974">
        <w:rPr>
          <w:lang w:val="en-GB"/>
        </w:rPr>
        <w:t xml:space="preserve">. </w:t>
      </w:r>
      <w:r w:rsidR="00416CE5" w:rsidRPr="007B1404">
        <w:rPr>
          <w:lang w:val="en-GB"/>
        </w:rPr>
        <w:t>Marcelo contributes to Anglo American more than 30 years of operational and project</w:t>
      </w:r>
      <w:r w:rsidR="00703A01">
        <w:rPr>
          <w:lang w:val="en-GB"/>
        </w:rPr>
        <w:t xml:space="preserve"> </w:t>
      </w:r>
      <w:r w:rsidR="00416CE5" w:rsidRPr="007B1404">
        <w:rPr>
          <w:lang w:val="en-GB"/>
        </w:rPr>
        <w:t>experience in the mining industry across numerous commodities and geographies, particularly in South America. Marcelo served as chief operating officer of MMG between 2011 and 2017, responsible for the group</w:t>
      </w:r>
      <w:r w:rsidR="00A311D8">
        <w:rPr>
          <w:lang w:val="en-GB"/>
        </w:rPr>
        <w:t>’</w:t>
      </w:r>
      <w:r w:rsidR="00416CE5" w:rsidRPr="007B1404">
        <w:rPr>
          <w:lang w:val="en-GB"/>
        </w:rPr>
        <w:t>s copper, zinc, silver, lead and gold</w:t>
      </w:r>
      <w:r w:rsidR="00416CE5">
        <w:rPr>
          <w:lang w:val="en-GB"/>
        </w:rPr>
        <w:t xml:space="preserve"> </w:t>
      </w:r>
      <w:r w:rsidR="00416CE5" w:rsidRPr="007B1404">
        <w:rPr>
          <w:lang w:val="en-GB"/>
        </w:rPr>
        <w:t>operations, and sales and marketing. In this role, he also led the planning and development of the Las Bambas copper mine in Peru. Prior to MMG, Marcelo served as president of the BHP Mitsubishi Alliance joint venture (metallurgical coal), president of BHP</w:t>
      </w:r>
      <w:r w:rsidR="00A311D8">
        <w:rPr>
          <w:lang w:val="en-GB"/>
        </w:rPr>
        <w:t>’</w:t>
      </w:r>
      <w:r w:rsidR="00416CE5" w:rsidRPr="007B1404">
        <w:rPr>
          <w:lang w:val="en-GB"/>
        </w:rPr>
        <w:t>s Cerro Matoso nickel operation in Colombia, president of nickel Americas, and president of Nickel West in Australia. His early career until 2004 at Vale included serving as general manager of the Carajás operations in northern Brazil and he was ultimately director for the company</w:t>
      </w:r>
      <w:r w:rsidR="00A311D8">
        <w:rPr>
          <w:lang w:val="en-GB"/>
        </w:rPr>
        <w:t>’</w:t>
      </w:r>
      <w:r w:rsidR="00416CE5" w:rsidRPr="007B1404">
        <w:rPr>
          <w:lang w:val="en-GB"/>
        </w:rPr>
        <w:t>s base metals operations. Marcelo is a former non-executive director of Oz Minerals Ltd.</w:t>
      </w:r>
      <w:r w:rsidR="00416CE5">
        <w:rPr>
          <w:lang w:val="en-GB"/>
        </w:rPr>
        <w:t xml:space="preserve"> Marcelo currently holds external </w:t>
      </w:r>
      <w:r w:rsidR="00416CE5" w:rsidRPr="007B1404">
        <w:rPr>
          <w:lang w:val="en-GB"/>
        </w:rPr>
        <w:t>appointments as Non-executive director of Aurizon Holdings Ltd, Golder Associates, and Iluka Resources Ltd.</w:t>
      </w:r>
    </w:p>
    <w:p w14:paraId="2F87F1DF" w14:textId="731E7721" w:rsidR="00703A01" w:rsidRPr="00DA283E" w:rsidRDefault="003D4D89" w:rsidP="00DE1FDC">
      <w:pPr>
        <w:pStyle w:val="BodyText"/>
        <w:widowControl/>
        <w:autoSpaceDE/>
        <w:autoSpaceDN/>
        <w:adjustRightInd/>
        <w:ind w:firstLine="360"/>
        <w:rPr>
          <w:lang w:val="en-GB"/>
        </w:rPr>
      </w:pPr>
      <w:r w:rsidRPr="00571974">
        <w:rPr>
          <w:b/>
          <w:bCs/>
          <w:lang w:val="en-GB"/>
        </w:rPr>
        <w:t>Hixonia Nyasulu</w:t>
      </w:r>
      <w:r w:rsidRPr="00571974">
        <w:rPr>
          <w:lang w:val="en-GB"/>
        </w:rPr>
        <w:t>, BA Hons (6</w:t>
      </w:r>
      <w:r w:rsidR="00EA5984">
        <w:rPr>
          <w:lang w:val="en-GB"/>
        </w:rPr>
        <w:t>5</w:t>
      </w:r>
      <w:r w:rsidRPr="00571974">
        <w:rPr>
          <w:lang w:val="en-GB"/>
        </w:rPr>
        <w:t xml:space="preserve">), appointed to the Board </w:t>
      </w:r>
      <w:r w:rsidR="008D5C92">
        <w:rPr>
          <w:lang w:val="en-GB"/>
        </w:rPr>
        <w:t xml:space="preserve">on </w:t>
      </w:r>
      <w:r w:rsidRPr="00571974">
        <w:rPr>
          <w:lang w:val="en-GB"/>
        </w:rPr>
        <w:t xml:space="preserve">November 1, 2019 and is a member of the Nomination Committee. Hixonia contributes to Anglo American </w:t>
      </w:r>
      <w:r w:rsidR="00EA5984" w:rsidRPr="007B1404">
        <w:rPr>
          <w:lang w:val="en-GB"/>
        </w:rPr>
        <w:t>significant global board experience drawn</w:t>
      </w:r>
      <w:r w:rsidR="00DB3AB1">
        <w:rPr>
          <w:lang w:val="en-GB"/>
        </w:rPr>
        <w:t xml:space="preserve"> </w:t>
      </w:r>
      <w:r w:rsidR="00EA5984" w:rsidRPr="007B1404">
        <w:rPr>
          <w:lang w:val="en-GB"/>
        </w:rPr>
        <w:t>from the natural resources, financial services and consumer industries. Hixonia has previously served as a non</w:t>
      </w:r>
      <w:r w:rsidR="0067587D">
        <w:rPr>
          <w:lang w:val="en-GB"/>
        </w:rPr>
        <w:t>-</w:t>
      </w:r>
      <w:r w:rsidR="00EA5984" w:rsidRPr="007B1404">
        <w:rPr>
          <w:lang w:val="en-GB"/>
        </w:rPr>
        <w:t>executive</w:t>
      </w:r>
      <w:r w:rsidR="00EA5984">
        <w:rPr>
          <w:lang w:val="en-GB"/>
        </w:rPr>
        <w:t xml:space="preserve"> </w:t>
      </w:r>
      <w:r w:rsidR="00EA5984" w:rsidRPr="007B1404">
        <w:rPr>
          <w:lang w:val="en-GB"/>
        </w:rPr>
        <w:t>director on the boards of Sasol, including five years as chairman, Nedbank, Unilever NV and Unilever PLC. She has also</w:t>
      </w:r>
      <w:r w:rsidR="00EA5984">
        <w:rPr>
          <w:lang w:val="en-GB"/>
        </w:rPr>
        <w:t xml:space="preserve"> </w:t>
      </w:r>
      <w:r w:rsidR="00EA5984" w:rsidRPr="007B1404">
        <w:rPr>
          <w:lang w:val="en-GB"/>
        </w:rPr>
        <w:t xml:space="preserve">served as a member of the South Africa advisory board of JPMorgan and on the board of the Development </w:t>
      </w:r>
      <w:r w:rsidR="00EA5984" w:rsidRPr="007B1404">
        <w:rPr>
          <w:lang w:val="en-GB"/>
        </w:rPr>
        <w:lastRenderedPageBreak/>
        <w:t>Bank of Southern Africa.</w:t>
      </w:r>
      <w:r w:rsidR="00EA5984">
        <w:rPr>
          <w:lang w:val="en-GB"/>
        </w:rPr>
        <w:t xml:space="preserve"> </w:t>
      </w:r>
      <w:r w:rsidR="00EA5984" w:rsidRPr="007B1404">
        <w:rPr>
          <w:lang w:val="en-GB"/>
        </w:rPr>
        <w:t xml:space="preserve">In 2004, </w:t>
      </w:r>
      <w:r w:rsidR="00EA5984" w:rsidRPr="00F87E10">
        <w:rPr>
          <w:bCs/>
          <w:lang w:val="en-GB"/>
        </w:rPr>
        <w:t>Hixonia</w:t>
      </w:r>
      <w:r w:rsidR="00EA5984" w:rsidRPr="007B1404">
        <w:rPr>
          <w:lang w:val="en-GB"/>
        </w:rPr>
        <w:t xml:space="preserve"> founded Ayavuna Women</w:t>
      </w:r>
      <w:r w:rsidR="00A311D8">
        <w:rPr>
          <w:lang w:val="en-GB"/>
        </w:rPr>
        <w:t>’</w:t>
      </w:r>
      <w:r w:rsidR="00EA5984" w:rsidRPr="007B1404">
        <w:rPr>
          <w:lang w:val="en-GB"/>
        </w:rPr>
        <w:t>s Investments (Pty) Ltd, a female-controlled investment holding company. Prior to that, she ran T.H. Nyasulu &amp; Associates, a strategy, marketing and research company, after starting her career at Unilever in South Africa. Hixonia was a founder member of the Advisory Group formed by the World Economic Forum to set up a community of global chairs.</w:t>
      </w:r>
      <w:r w:rsidRPr="00571974">
        <w:rPr>
          <w:lang w:val="en-GB"/>
        </w:rPr>
        <w:t xml:space="preserve"> Hixonia currently holds external </w:t>
      </w:r>
      <w:r w:rsidR="0053004A" w:rsidRPr="00571974">
        <w:rPr>
          <w:lang w:val="en-GB"/>
        </w:rPr>
        <w:t>appointment</w:t>
      </w:r>
      <w:r w:rsidR="00456241">
        <w:rPr>
          <w:lang w:val="en-GB"/>
        </w:rPr>
        <w:t>s</w:t>
      </w:r>
      <w:r w:rsidRPr="00571974">
        <w:rPr>
          <w:lang w:val="en-GB"/>
        </w:rPr>
        <w:t xml:space="preserve"> as </w:t>
      </w:r>
      <w:r w:rsidR="00EA5984" w:rsidRPr="007B1404">
        <w:rPr>
          <w:lang w:val="en-GB"/>
        </w:rPr>
        <w:t>Senior independent director of Vivo Energy plc</w:t>
      </w:r>
      <w:r w:rsidR="00EA5984">
        <w:rPr>
          <w:lang w:val="en-GB"/>
        </w:rPr>
        <w:t>, as a</w:t>
      </w:r>
      <w:r w:rsidR="00EA5984" w:rsidRPr="007B1404">
        <w:rPr>
          <w:lang w:val="en-GB"/>
        </w:rPr>
        <w:t xml:space="preserve"> member of the board of AGRA, and chairs the Africa Economic Challenge Fund, both not-for-profit </w:t>
      </w:r>
      <w:r w:rsidR="00EA5984" w:rsidRPr="00F87E10">
        <w:rPr>
          <w:bCs/>
          <w:lang w:val="en-GB"/>
        </w:rPr>
        <w:t>organisations</w:t>
      </w:r>
      <w:r w:rsidR="00EA5984" w:rsidRPr="007B1404">
        <w:rPr>
          <w:lang w:val="en-GB"/>
        </w:rPr>
        <w:t>.</w:t>
      </w:r>
      <w:r w:rsidR="00F74A4A">
        <w:rPr>
          <w:lang w:val="en-GB"/>
        </w:rPr>
        <w:t xml:space="preserve"> </w:t>
      </w:r>
    </w:p>
    <w:p w14:paraId="012CBAAE" w14:textId="57405512" w:rsidR="00BE0522" w:rsidRPr="00571974" w:rsidRDefault="003D4D89">
      <w:pPr>
        <w:pStyle w:val="BodyText"/>
        <w:widowControl/>
        <w:autoSpaceDE/>
        <w:autoSpaceDN/>
        <w:adjustRightInd/>
        <w:ind w:firstLine="360"/>
        <w:rPr>
          <w:szCs w:val="20"/>
          <w:lang w:val="en-GB"/>
        </w:rPr>
      </w:pPr>
      <w:r w:rsidRPr="00571974">
        <w:rPr>
          <w:b/>
          <w:bCs/>
          <w:lang w:val="en-GB"/>
        </w:rPr>
        <w:t>Nonkululeko Nyembezi</w:t>
      </w:r>
      <w:r w:rsidRPr="00571974">
        <w:rPr>
          <w:lang w:val="en-GB"/>
        </w:rPr>
        <w:t>, MSc, BSc, MBA (</w:t>
      </w:r>
      <w:r w:rsidR="00455809">
        <w:rPr>
          <w:lang w:val="en-GB"/>
        </w:rPr>
        <w:t>60</w:t>
      </w:r>
      <w:r w:rsidRPr="00571974">
        <w:rPr>
          <w:lang w:val="en-GB"/>
        </w:rPr>
        <w:t xml:space="preserve">), appointed to the Board </w:t>
      </w:r>
      <w:r w:rsidR="008D5C92">
        <w:rPr>
          <w:lang w:val="en-GB"/>
        </w:rPr>
        <w:t xml:space="preserve">on </w:t>
      </w:r>
      <w:r w:rsidRPr="00571974">
        <w:rPr>
          <w:lang w:val="en-GB"/>
        </w:rPr>
        <w:t xml:space="preserve">January 1, 2020 </w:t>
      </w:r>
      <w:r w:rsidR="00C775B1">
        <w:rPr>
          <w:lang w:val="en-GB"/>
        </w:rPr>
        <w:t>and</w:t>
      </w:r>
      <w:r w:rsidRPr="00571974">
        <w:rPr>
          <w:lang w:val="en-GB"/>
        </w:rPr>
        <w:t xml:space="preserve"> is a member of the Audit Committee. </w:t>
      </w:r>
      <w:r w:rsidR="00330F60" w:rsidRPr="007B1404">
        <w:rPr>
          <w:lang w:val="en-GB"/>
        </w:rPr>
        <w:t>Nonkululeko contributes to Anglo American great breadth of technical and strategic</w:t>
      </w:r>
      <w:r w:rsidR="00F74A4A">
        <w:rPr>
          <w:lang w:val="en-GB"/>
        </w:rPr>
        <w:t xml:space="preserve"> </w:t>
      </w:r>
      <w:r w:rsidR="00330F60" w:rsidRPr="007B1404">
        <w:rPr>
          <w:lang w:val="en-GB"/>
        </w:rPr>
        <w:t>insights with a background in engineering and extensive experience spanning mining, steel, financial services and technology in South African and global organisations. Until December 2019, Nonkululeko was chairman of Alexander Forbes Group and has previously served as a non-executive director on the boards of Old Mutual plc, Exxaro Resources, Universal Coal plc and Denel, and as CEO of ArcelorMittal South Africa. In her earlier career, Nonkululeko was chief officer of M&amp;A for the Vodacom group and chief executive officer of Alliance Capital, the then local subsidiary of a New York-based global investment management company.</w:t>
      </w:r>
      <w:r w:rsidR="00570DC1" w:rsidRPr="00571974">
        <w:rPr>
          <w:lang w:val="en-GB"/>
        </w:rPr>
        <w:t xml:space="preserve"> </w:t>
      </w:r>
      <w:r w:rsidR="00A27C24" w:rsidRPr="00571974">
        <w:rPr>
          <w:lang w:val="en-GB"/>
        </w:rPr>
        <w:t>Nonkululeko has</w:t>
      </w:r>
      <w:r w:rsidR="00570DC1" w:rsidRPr="00571974">
        <w:rPr>
          <w:lang w:val="en-GB"/>
        </w:rPr>
        <w:t xml:space="preserve"> external appointments </w:t>
      </w:r>
      <w:r w:rsidR="00A27C24" w:rsidRPr="00571974">
        <w:rPr>
          <w:lang w:val="en-GB"/>
        </w:rPr>
        <w:t xml:space="preserve">as </w:t>
      </w:r>
      <w:r w:rsidR="00330F60" w:rsidRPr="007B1404">
        <w:rPr>
          <w:lang w:val="en-GB"/>
        </w:rPr>
        <w:t>Chief executive officer of Ichor Coal N.V., chairman of JSE Limited and Macsteel Service Centres SA, and a non-executive director of Standard Bank of South Africa Limited.</w:t>
      </w:r>
      <w:r w:rsidR="00F74A4A">
        <w:rPr>
          <w:lang w:val="en-GB"/>
        </w:rPr>
        <w:t xml:space="preserve"> </w:t>
      </w:r>
      <w:r w:rsidRPr="00571974">
        <w:rPr>
          <w:lang w:val="en-GB"/>
        </w:rPr>
        <w:t xml:space="preserve">Subject to </w:t>
      </w:r>
      <w:r w:rsidRPr="00571974">
        <w:rPr>
          <w:szCs w:val="20"/>
          <w:lang w:val="en-GB"/>
        </w:rPr>
        <w:t xml:space="preserve">those matters reserved for its decision, the Board delegates certain responsibilities to a number of standing </w:t>
      </w:r>
      <w:r w:rsidRPr="00571974">
        <w:rPr>
          <w:lang w:val="en-GB"/>
        </w:rPr>
        <w:t>committees:</w:t>
      </w:r>
      <w:r w:rsidRPr="00571974">
        <w:rPr>
          <w:szCs w:val="20"/>
          <w:lang w:val="en-GB"/>
        </w:rPr>
        <w:t xml:space="preserve"> the Audit, Remuneration, Nomination and Sustainability </w:t>
      </w:r>
      <w:r w:rsidRPr="00F87E10">
        <w:rPr>
          <w:lang w:val="en-GB"/>
        </w:rPr>
        <w:t>Committees</w:t>
      </w:r>
      <w:r w:rsidRPr="00571974">
        <w:rPr>
          <w:szCs w:val="20"/>
          <w:lang w:val="en-GB"/>
        </w:rPr>
        <w:t>.</w:t>
      </w:r>
    </w:p>
    <w:p w14:paraId="2C025923" w14:textId="77777777" w:rsidR="00BE0522" w:rsidRPr="00571974" w:rsidRDefault="003D4D89" w:rsidP="00EA3F32">
      <w:pPr>
        <w:pStyle w:val="Heading4"/>
      </w:pPr>
      <w:r w:rsidRPr="00571974">
        <w:t>Audit Committee</w:t>
      </w:r>
    </w:p>
    <w:p w14:paraId="356B43F7" w14:textId="48559B45" w:rsidR="00D46A6B" w:rsidRPr="00571974" w:rsidRDefault="00D46A6B" w:rsidP="00D46A6B">
      <w:pPr>
        <w:pStyle w:val="BodyText"/>
        <w:widowControl/>
        <w:autoSpaceDE/>
        <w:autoSpaceDN/>
        <w:adjustRightInd/>
        <w:ind w:firstLine="360"/>
        <w:rPr>
          <w:lang w:val="en-GB"/>
        </w:rPr>
      </w:pPr>
      <w:r w:rsidRPr="00571974">
        <w:rPr>
          <w:lang w:val="en-GB"/>
        </w:rPr>
        <w:t xml:space="preserve">The roles and responsibilities of the </w:t>
      </w:r>
      <w:r>
        <w:rPr>
          <w:lang w:val="en-GB"/>
        </w:rPr>
        <w:t>A</w:t>
      </w:r>
      <w:r w:rsidRPr="00571974">
        <w:rPr>
          <w:lang w:val="en-GB"/>
        </w:rPr>
        <w:t xml:space="preserve">udit </w:t>
      </w:r>
      <w:r>
        <w:rPr>
          <w:lang w:val="en-GB"/>
        </w:rPr>
        <w:t>C</w:t>
      </w:r>
      <w:r w:rsidRPr="00571974">
        <w:rPr>
          <w:lang w:val="en-GB"/>
        </w:rPr>
        <w:t xml:space="preserve">ommittee include monitoring the integrity of financial reports, </w:t>
      </w:r>
      <w:r>
        <w:rPr>
          <w:lang w:val="en-GB"/>
        </w:rPr>
        <w:t xml:space="preserve">making recommendations to the Board concerning the adoption of the annual and interim financial statements </w:t>
      </w:r>
      <w:r w:rsidRPr="00571974">
        <w:rPr>
          <w:lang w:val="en-GB"/>
        </w:rPr>
        <w:t xml:space="preserve">reviewing the independence and effectiveness of auditors, </w:t>
      </w:r>
      <w:r>
        <w:rPr>
          <w:lang w:val="en-GB"/>
        </w:rPr>
        <w:t xml:space="preserve">approving the terms of reference of the internal audit function, </w:t>
      </w:r>
      <w:r w:rsidRPr="00571974">
        <w:rPr>
          <w:lang w:val="en-GB"/>
        </w:rPr>
        <w:t>monitoring the effectiveness of the risk management policy</w:t>
      </w:r>
      <w:r>
        <w:rPr>
          <w:lang w:val="en-GB"/>
        </w:rPr>
        <w:t>,</w:t>
      </w:r>
      <w:r w:rsidRPr="00571974">
        <w:rPr>
          <w:lang w:val="en-GB"/>
        </w:rPr>
        <w:t xml:space="preserve"> reviewing the effectiveness pf the Group</w:t>
      </w:r>
      <w:r w:rsidR="00A311D8">
        <w:rPr>
          <w:lang w:val="en-GB"/>
        </w:rPr>
        <w:t>’</w:t>
      </w:r>
      <w:r w:rsidRPr="00571974">
        <w:rPr>
          <w:lang w:val="en-GB"/>
        </w:rPr>
        <w:t>s Code of Conduct</w:t>
      </w:r>
      <w:r>
        <w:rPr>
          <w:lang w:val="en-GB"/>
        </w:rPr>
        <w:t xml:space="preserve"> and </w:t>
      </w:r>
      <w:r w:rsidRPr="00571974">
        <w:rPr>
          <w:lang w:val="en-GB"/>
        </w:rPr>
        <w:t xml:space="preserve">overseeing </w:t>
      </w:r>
      <w:r>
        <w:rPr>
          <w:lang w:val="en-GB"/>
        </w:rPr>
        <w:t>the Group</w:t>
      </w:r>
      <w:r w:rsidR="00A311D8">
        <w:rPr>
          <w:lang w:val="en-GB"/>
        </w:rPr>
        <w:t>’</w:t>
      </w:r>
      <w:r>
        <w:rPr>
          <w:lang w:val="en-GB"/>
        </w:rPr>
        <w:t xml:space="preserve">s </w:t>
      </w:r>
      <w:r w:rsidRPr="00571974">
        <w:rPr>
          <w:lang w:val="en-GB"/>
        </w:rPr>
        <w:t>relations with external auditors</w:t>
      </w:r>
      <w:r>
        <w:rPr>
          <w:lang w:val="en-GB"/>
        </w:rPr>
        <w:t xml:space="preserve">, which  in 2019 included conducting the tender process for the external audit services and making recommendations to the Board about the appointment, </w:t>
      </w:r>
      <w:r w:rsidR="00956F99">
        <w:rPr>
          <w:lang w:val="en-GB"/>
        </w:rPr>
        <w:t>remuneration</w:t>
      </w:r>
      <w:r>
        <w:rPr>
          <w:lang w:val="en-GB"/>
        </w:rPr>
        <w:t xml:space="preserve"> and terms of engagement of the external auditor.</w:t>
      </w:r>
      <w:r w:rsidRPr="00571974">
        <w:rPr>
          <w:lang w:val="en-GB"/>
        </w:rPr>
        <w:t xml:space="preserve"> The </w:t>
      </w:r>
      <w:r>
        <w:rPr>
          <w:lang w:val="en-GB"/>
        </w:rPr>
        <w:t>C</w:t>
      </w:r>
      <w:r w:rsidRPr="00571974">
        <w:rPr>
          <w:lang w:val="en-GB"/>
        </w:rPr>
        <w:t>ommittee</w:t>
      </w:r>
      <w:r w:rsidR="00A311D8">
        <w:rPr>
          <w:lang w:val="en-GB"/>
        </w:rPr>
        <w:t>’</w:t>
      </w:r>
      <w:r w:rsidRPr="00571974">
        <w:rPr>
          <w:lang w:val="en-GB"/>
        </w:rPr>
        <w:t xml:space="preserve">s recommendations are submitted to the Board for approval. </w:t>
      </w:r>
    </w:p>
    <w:p w14:paraId="76159483" w14:textId="104F65A8" w:rsidR="00BE0522" w:rsidRPr="00571974" w:rsidRDefault="003D4D89" w:rsidP="00BE0522">
      <w:pPr>
        <w:pStyle w:val="BodyText"/>
        <w:widowControl/>
        <w:autoSpaceDE/>
        <w:autoSpaceDN/>
        <w:adjustRightInd/>
        <w:ind w:firstLine="360"/>
        <w:rPr>
          <w:lang w:val="en-GB"/>
        </w:rPr>
      </w:pPr>
      <w:r w:rsidRPr="00571974">
        <w:rPr>
          <w:lang w:val="en-GB"/>
        </w:rPr>
        <w:t>The Audit Committee presently consists of: Byron Grote (</w:t>
      </w:r>
      <w:r w:rsidR="00D46A6B">
        <w:rPr>
          <w:lang w:val="en-GB"/>
        </w:rPr>
        <w:t>C</w:t>
      </w:r>
      <w:r w:rsidRPr="00571974">
        <w:rPr>
          <w:lang w:val="en-GB"/>
        </w:rPr>
        <w:t>hair),</w:t>
      </w:r>
      <w:r w:rsidR="00551A72" w:rsidRPr="00571974">
        <w:rPr>
          <w:lang w:val="en-GB"/>
        </w:rPr>
        <w:t xml:space="preserve"> Nonkululeko Nyembezi (appointed January 1, 2020)</w:t>
      </w:r>
      <w:r w:rsidRPr="00571974">
        <w:rPr>
          <w:lang w:val="en-GB"/>
        </w:rPr>
        <w:t xml:space="preserve">, Jim Rutherford and Anne Stevens, all of whom are independent non-executive directors. </w:t>
      </w:r>
      <w:r w:rsidR="00551A72" w:rsidRPr="00571974">
        <w:rPr>
          <w:lang w:val="en-GB"/>
        </w:rPr>
        <w:t xml:space="preserve">Nolitha Fakude resigned from the Audit </w:t>
      </w:r>
      <w:r w:rsidR="0053004A" w:rsidRPr="00571974">
        <w:rPr>
          <w:lang w:val="en-GB"/>
        </w:rPr>
        <w:t>Committee</w:t>
      </w:r>
      <w:r w:rsidR="00551A72" w:rsidRPr="00571974">
        <w:rPr>
          <w:lang w:val="en-GB"/>
        </w:rPr>
        <w:t xml:space="preserve"> on August 31, 2019. </w:t>
      </w:r>
      <w:r w:rsidRPr="00571974">
        <w:rPr>
          <w:lang w:val="en-GB"/>
        </w:rPr>
        <w:t xml:space="preserve">The Board, in consultation with the Audit Committee chairman, makes appointments to the committee. </w:t>
      </w:r>
    </w:p>
    <w:p w14:paraId="34EF60A0" w14:textId="77777777" w:rsidR="00BE0522" w:rsidRPr="00571974" w:rsidRDefault="003D4D89" w:rsidP="00EA3F32">
      <w:pPr>
        <w:pStyle w:val="Heading4"/>
      </w:pPr>
      <w:r w:rsidRPr="00571974">
        <w:t>Remuneration Committee</w:t>
      </w:r>
    </w:p>
    <w:p w14:paraId="15BFACC5" w14:textId="050BD3DB" w:rsidR="00D46A6B" w:rsidRDefault="00D46A6B" w:rsidP="00D46A6B">
      <w:pPr>
        <w:pStyle w:val="BodyText"/>
        <w:widowControl/>
        <w:autoSpaceDE/>
        <w:autoSpaceDN/>
        <w:adjustRightInd/>
        <w:ind w:firstLine="360"/>
        <w:rPr>
          <w:lang w:val="en-GB"/>
        </w:rPr>
      </w:pPr>
      <w:r w:rsidRPr="00571974">
        <w:rPr>
          <w:lang w:val="en-GB"/>
        </w:rPr>
        <w:t>The Remuneration Committee is responsible for establishing and developing the Group</w:t>
      </w:r>
      <w:r w:rsidR="00A311D8">
        <w:rPr>
          <w:lang w:val="en-GB"/>
        </w:rPr>
        <w:t>’</w:t>
      </w:r>
      <w:r w:rsidRPr="00571974">
        <w:rPr>
          <w:lang w:val="en-GB"/>
        </w:rPr>
        <w:t>s general policy on executive and senior management remuneration</w:t>
      </w:r>
      <w:r>
        <w:rPr>
          <w:lang w:val="en-GB"/>
        </w:rPr>
        <w:t xml:space="preserve"> including</w:t>
      </w:r>
      <w:r w:rsidRPr="00571974">
        <w:rPr>
          <w:lang w:val="en-GB"/>
        </w:rPr>
        <w:t xml:space="preserve"> determining specific remuneration packages for the Chairman</w:t>
      </w:r>
      <w:r>
        <w:rPr>
          <w:lang w:val="en-GB"/>
        </w:rPr>
        <w:t>,</w:t>
      </w:r>
      <w:r w:rsidRPr="00571974">
        <w:rPr>
          <w:lang w:val="en-GB"/>
        </w:rPr>
        <w:t xml:space="preserve"> executive directors, </w:t>
      </w:r>
      <w:r>
        <w:rPr>
          <w:lang w:val="en-GB"/>
        </w:rPr>
        <w:t xml:space="preserve">members of the Group Management Committee and other senior management for review and approval by the Board. The </w:t>
      </w:r>
      <w:r w:rsidR="00FB4388">
        <w:rPr>
          <w:lang w:val="en-GB"/>
        </w:rPr>
        <w:t>Remuneration</w:t>
      </w:r>
      <w:r>
        <w:rPr>
          <w:lang w:val="en-GB"/>
        </w:rPr>
        <w:t xml:space="preserve"> </w:t>
      </w:r>
      <w:r w:rsidR="00956F99">
        <w:rPr>
          <w:lang w:val="en-GB"/>
        </w:rPr>
        <w:t>Committee</w:t>
      </w:r>
      <w:r>
        <w:rPr>
          <w:lang w:val="en-GB"/>
        </w:rPr>
        <w:t xml:space="preserve"> also has input and oversight on the reward policy for the broader workforce and consultation with the wider workforce, shareholders and other stakeholder regarding executive remuneration. </w:t>
      </w:r>
      <w:r w:rsidRPr="00571974">
        <w:rPr>
          <w:lang w:val="en-GB"/>
        </w:rPr>
        <w:t xml:space="preserve"> </w:t>
      </w:r>
    </w:p>
    <w:p w14:paraId="7553D050" w14:textId="5235B200" w:rsidR="00D46A6B" w:rsidRPr="00571974" w:rsidRDefault="00D46A6B" w:rsidP="00D46A6B">
      <w:pPr>
        <w:pStyle w:val="BodyText"/>
        <w:widowControl/>
        <w:autoSpaceDE/>
        <w:autoSpaceDN/>
        <w:adjustRightInd/>
        <w:ind w:firstLine="360"/>
        <w:rPr>
          <w:lang w:val="en-GB"/>
        </w:rPr>
      </w:pPr>
      <w:r w:rsidRPr="00571974">
        <w:rPr>
          <w:lang w:val="en-GB"/>
        </w:rPr>
        <w:t>The Remuneration Committee presently consists of: Anne Stevens (succeed</w:t>
      </w:r>
      <w:r>
        <w:rPr>
          <w:lang w:val="en-GB"/>
        </w:rPr>
        <w:t>ed</w:t>
      </w:r>
      <w:r w:rsidRPr="00571974">
        <w:rPr>
          <w:lang w:val="en-GB"/>
        </w:rPr>
        <w:t xml:space="preserve"> as chair on January 1, 2020), Byron Grote, Jim Rutherford</w:t>
      </w:r>
      <w:r>
        <w:rPr>
          <w:lang w:val="en-GB"/>
        </w:rPr>
        <w:t xml:space="preserve"> and </w:t>
      </w:r>
      <w:r w:rsidRPr="00571974">
        <w:rPr>
          <w:lang w:val="en-GB"/>
        </w:rPr>
        <w:t xml:space="preserve"> Ian Ashby</w:t>
      </w:r>
      <w:r>
        <w:rPr>
          <w:lang w:val="en-GB"/>
        </w:rPr>
        <w:t xml:space="preserve"> </w:t>
      </w:r>
      <w:r w:rsidRPr="00571974">
        <w:rPr>
          <w:lang w:val="en-GB"/>
        </w:rPr>
        <w:t>(appointed January 1, 2020)</w:t>
      </w:r>
      <w:r>
        <w:rPr>
          <w:lang w:val="en-GB"/>
        </w:rPr>
        <w:t xml:space="preserve">, </w:t>
      </w:r>
      <w:r w:rsidRPr="00571974">
        <w:rPr>
          <w:lang w:val="en-GB"/>
        </w:rPr>
        <w:t>all of whom are independent non-executive directors.</w:t>
      </w:r>
      <w:r>
        <w:rPr>
          <w:lang w:val="en-GB"/>
        </w:rPr>
        <w:t xml:space="preserve"> </w:t>
      </w:r>
      <w:r w:rsidRPr="00571974">
        <w:rPr>
          <w:lang w:val="en-GB"/>
        </w:rPr>
        <w:t xml:space="preserve">Jack Thompson </w:t>
      </w:r>
      <w:r>
        <w:rPr>
          <w:lang w:val="en-GB"/>
        </w:rPr>
        <w:t xml:space="preserve">resigned from the Remuneration Committee on </w:t>
      </w:r>
      <w:r w:rsidRPr="00571974">
        <w:rPr>
          <w:lang w:val="en-GB"/>
        </w:rPr>
        <w:t>April 30, 2019</w:t>
      </w:r>
      <w:r>
        <w:rPr>
          <w:lang w:val="en-GB"/>
        </w:rPr>
        <w:t>.</w:t>
      </w:r>
    </w:p>
    <w:p w14:paraId="54728D8C" w14:textId="77777777" w:rsidR="00BE0522" w:rsidRPr="00571974" w:rsidRDefault="003D4D89" w:rsidP="00EA3F32">
      <w:pPr>
        <w:pStyle w:val="Heading4"/>
      </w:pPr>
      <w:r w:rsidRPr="00571974">
        <w:t>Nomination Committee</w:t>
      </w:r>
    </w:p>
    <w:p w14:paraId="4AEE9D27" w14:textId="71A4623E" w:rsidR="00D46A6B" w:rsidRPr="00571974" w:rsidRDefault="00D46A6B" w:rsidP="00D46A6B">
      <w:pPr>
        <w:pStyle w:val="BodyText"/>
        <w:widowControl/>
        <w:autoSpaceDE/>
        <w:autoSpaceDN/>
        <w:adjustRightInd/>
        <w:ind w:firstLine="360"/>
        <w:rPr>
          <w:lang w:val="en-GB"/>
        </w:rPr>
      </w:pPr>
      <w:r w:rsidRPr="00571974">
        <w:rPr>
          <w:lang w:val="en-GB"/>
        </w:rPr>
        <w:t xml:space="preserve">The Nomination Committee </w:t>
      </w:r>
      <w:r>
        <w:rPr>
          <w:lang w:val="en-GB"/>
        </w:rPr>
        <w:t xml:space="preserve">is responsible for </w:t>
      </w:r>
      <w:r w:rsidRPr="00571974">
        <w:rPr>
          <w:lang w:val="en-GB"/>
        </w:rPr>
        <w:t>agreeing a skills, diversity and experience matrix for all directors (with the approval of the Board) to identify and address any skills gaps when recruiting new directors</w:t>
      </w:r>
      <w:r>
        <w:rPr>
          <w:lang w:val="en-GB"/>
        </w:rPr>
        <w:t>,</w:t>
      </w:r>
      <w:r w:rsidRPr="00571974">
        <w:rPr>
          <w:lang w:val="en-GB"/>
        </w:rPr>
        <w:t xml:space="preserve"> mak</w:t>
      </w:r>
      <w:r>
        <w:rPr>
          <w:lang w:val="en-GB"/>
        </w:rPr>
        <w:t>ing</w:t>
      </w:r>
      <w:r w:rsidRPr="00571974">
        <w:rPr>
          <w:lang w:val="en-GB"/>
        </w:rPr>
        <w:t xml:space="preserve"> recommendations to the Board </w:t>
      </w:r>
      <w:r>
        <w:rPr>
          <w:lang w:val="en-GB"/>
        </w:rPr>
        <w:t>as to the composition of the Board and its committees and the balance between executive and non-</w:t>
      </w:r>
      <w:r w:rsidR="00956F99">
        <w:rPr>
          <w:lang w:val="en-GB"/>
        </w:rPr>
        <w:t>executive</w:t>
      </w:r>
      <w:r>
        <w:rPr>
          <w:lang w:val="en-GB"/>
        </w:rPr>
        <w:t xml:space="preserve"> directors in order to maintain a diverse Board with the appropriate mix of skills, experience, independence and knowledge. With </w:t>
      </w:r>
      <w:r w:rsidRPr="00571974">
        <w:rPr>
          <w:lang w:val="en-GB"/>
        </w:rPr>
        <w:t xml:space="preserve">the assistance of external search consultants, </w:t>
      </w:r>
      <w:r>
        <w:rPr>
          <w:lang w:val="en-GB"/>
        </w:rPr>
        <w:t>t</w:t>
      </w:r>
      <w:r w:rsidRPr="00571974">
        <w:rPr>
          <w:lang w:val="en-GB"/>
        </w:rPr>
        <w:t xml:space="preserve">he Nomination Committee is </w:t>
      </w:r>
      <w:r>
        <w:rPr>
          <w:lang w:val="en-GB"/>
        </w:rPr>
        <w:t xml:space="preserve">also </w:t>
      </w:r>
      <w:r w:rsidRPr="00571974">
        <w:rPr>
          <w:lang w:val="en-GB"/>
        </w:rPr>
        <w:t>responsible for</w:t>
      </w:r>
      <w:r>
        <w:rPr>
          <w:lang w:val="en-GB"/>
        </w:rPr>
        <w:t xml:space="preserve"> </w:t>
      </w:r>
      <w:r w:rsidRPr="00571974">
        <w:rPr>
          <w:lang w:val="en-GB"/>
        </w:rPr>
        <w:t xml:space="preserve">identifying and reviewing, in detail, potential candidates available in the market and agreeing a </w:t>
      </w:r>
      <w:r w:rsidR="00A311D8">
        <w:rPr>
          <w:lang w:val="en-GB"/>
        </w:rPr>
        <w:t>‘</w:t>
      </w:r>
      <w:r w:rsidRPr="00571974">
        <w:rPr>
          <w:lang w:val="en-GB"/>
        </w:rPr>
        <w:t>longlist</w:t>
      </w:r>
      <w:r w:rsidR="00A311D8">
        <w:rPr>
          <w:lang w:val="en-GB"/>
        </w:rPr>
        <w:t>’</w:t>
      </w:r>
      <w:r w:rsidRPr="00571974">
        <w:rPr>
          <w:lang w:val="en-GB"/>
        </w:rPr>
        <w:t xml:space="preserve"> of candidates for each directorship. Following further discussion and research, </w:t>
      </w:r>
      <w:r>
        <w:rPr>
          <w:lang w:val="en-GB"/>
        </w:rPr>
        <w:t>the Nomination Committee decides</w:t>
      </w:r>
      <w:r w:rsidRPr="00571974">
        <w:rPr>
          <w:lang w:val="en-GB"/>
        </w:rPr>
        <w:t xml:space="preserve"> upon a shortlist of candidates </w:t>
      </w:r>
      <w:r>
        <w:rPr>
          <w:lang w:val="en-GB"/>
        </w:rPr>
        <w:t>for interview and ultimately make</w:t>
      </w:r>
      <w:r w:rsidR="00C248C2">
        <w:rPr>
          <w:lang w:val="en-GB"/>
        </w:rPr>
        <w:t>s</w:t>
      </w:r>
      <w:r>
        <w:rPr>
          <w:lang w:val="en-GB"/>
        </w:rPr>
        <w:t xml:space="preserve"> a recommendation to the Board.</w:t>
      </w:r>
      <w:r w:rsidRPr="00571974">
        <w:rPr>
          <w:lang w:val="en-GB"/>
        </w:rPr>
        <w:t xml:space="preserve"> The Committee ensures that the human resources function of the Group regularly reviews and updates the succession plans for the directors and senior managers. These are presented to the Board by the chief executive (in the absence of other executive directors) and discussed. </w:t>
      </w:r>
    </w:p>
    <w:p w14:paraId="0DD9AA60" w14:textId="1C6BD671" w:rsidR="00BE0522" w:rsidRPr="00571974" w:rsidRDefault="003D4D89" w:rsidP="00BE0522">
      <w:pPr>
        <w:pStyle w:val="BodyText"/>
        <w:widowControl/>
        <w:autoSpaceDE/>
        <w:autoSpaceDN/>
        <w:adjustRightInd/>
        <w:ind w:firstLine="360"/>
        <w:rPr>
          <w:lang w:val="en-GB"/>
        </w:rPr>
      </w:pPr>
      <w:r w:rsidRPr="00571974">
        <w:rPr>
          <w:lang w:val="en-GB"/>
        </w:rPr>
        <w:lastRenderedPageBreak/>
        <w:t>The Nomination Committee currently consists of: Stuart Chambers (</w:t>
      </w:r>
      <w:r w:rsidR="00D46A6B">
        <w:rPr>
          <w:lang w:val="en-GB"/>
        </w:rPr>
        <w:t>C</w:t>
      </w:r>
      <w:r w:rsidRPr="00571974">
        <w:rPr>
          <w:lang w:val="en-GB"/>
        </w:rPr>
        <w:t>hair), Byron Grote, Anne Stevens</w:t>
      </w:r>
      <w:r w:rsidR="00FB59DA" w:rsidRPr="00571974">
        <w:rPr>
          <w:lang w:val="en-GB"/>
        </w:rPr>
        <w:t>, Ian Ashby</w:t>
      </w:r>
      <w:r w:rsidR="00665425" w:rsidRPr="00571974">
        <w:rPr>
          <w:lang w:val="en-GB"/>
        </w:rPr>
        <w:t xml:space="preserve"> (appointed January 1</w:t>
      </w:r>
      <w:r w:rsidR="002E4DEF" w:rsidRPr="00571974">
        <w:rPr>
          <w:lang w:val="en-GB"/>
        </w:rPr>
        <w:t>,</w:t>
      </w:r>
      <w:r w:rsidR="00665425" w:rsidRPr="00571974">
        <w:rPr>
          <w:lang w:val="en-GB"/>
        </w:rPr>
        <w:t xml:space="preserve"> 2019)</w:t>
      </w:r>
      <w:r w:rsidR="00975739" w:rsidRPr="00571974">
        <w:rPr>
          <w:lang w:val="en-GB"/>
        </w:rPr>
        <w:t xml:space="preserve"> and Hixonia Nyasulu (appointed Novemb</w:t>
      </w:r>
      <w:r w:rsidR="00E95F2A" w:rsidRPr="00571974">
        <w:rPr>
          <w:lang w:val="en-GB"/>
        </w:rPr>
        <w:t>e</w:t>
      </w:r>
      <w:r w:rsidR="00975739" w:rsidRPr="00571974">
        <w:rPr>
          <w:lang w:val="en-GB"/>
        </w:rPr>
        <w:t xml:space="preserve">r 1, 2019). </w:t>
      </w:r>
      <w:r w:rsidRPr="00571974">
        <w:rPr>
          <w:lang w:val="en-GB"/>
        </w:rPr>
        <w:t>Jack Thompson</w:t>
      </w:r>
      <w:r w:rsidR="00FB59DA" w:rsidRPr="00571974">
        <w:rPr>
          <w:lang w:val="en-GB"/>
        </w:rPr>
        <w:t xml:space="preserve"> </w:t>
      </w:r>
      <w:r w:rsidR="00975739" w:rsidRPr="00571974">
        <w:rPr>
          <w:lang w:val="en-GB"/>
        </w:rPr>
        <w:t xml:space="preserve">resigned </w:t>
      </w:r>
      <w:r w:rsidR="009E54F8">
        <w:rPr>
          <w:lang w:val="en-GB"/>
        </w:rPr>
        <w:t xml:space="preserve">on </w:t>
      </w:r>
      <w:r w:rsidR="00FB59DA" w:rsidRPr="00571974">
        <w:rPr>
          <w:lang w:val="en-GB"/>
        </w:rPr>
        <w:t>April 30, 2019</w:t>
      </w:r>
      <w:r w:rsidR="00D46A6B" w:rsidRPr="00D46A6B">
        <w:rPr>
          <w:lang w:val="en-GB"/>
        </w:rPr>
        <w:t xml:space="preserve"> </w:t>
      </w:r>
      <w:r w:rsidR="00D46A6B" w:rsidRPr="00571974">
        <w:rPr>
          <w:lang w:val="en-GB"/>
        </w:rPr>
        <w:t>and Nolitha Fakude resigned from the committee on August 31, 2019</w:t>
      </w:r>
      <w:r w:rsidRPr="00571974">
        <w:rPr>
          <w:lang w:val="en-GB"/>
        </w:rPr>
        <w:t>.</w:t>
      </w:r>
    </w:p>
    <w:p w14:paraId="7269EC21" w14:textId="77777777" w:rsidR="00BE0522" w:rsidRPr="00571974" w:rsidRDefault="003D4D89" w:rsidP="00EA3F32">
      <w:pPr>
        <w:pStyle w:val="Heading4"/>
      </w:pPr>
      <w:r w:rsidRPr="00571974">
        <w:t>Sustainability Committee</w:t>
      </w:r>
    </w:p>
    <w:p w14:paraId="6494A439" w14:textId="700E6ADD" w:rsidR="00BE0522" w:rsidRPr="00571974" w:rsidRDefault="003D4D89" w:rsidP="009E54F8">
      <w:pPr>
        <w:pStyle w:val="BodyText"/>
        <w:widowControl/>
        <w:autoSpaceDE/>
        <w:autoSpaceDN/>
        <w:adjustRightInd/>
        <w:ind w:firstLine="360"/>
        <w:rPr>
          <w:lang w:val="en-GB"/>
        </w:rPr>
      </w:pPr>
      <w:r w:rsidRPr="00571974">
        <w:rPr>
          <w:lang w:val="en-GB"/>
        </w:rPr>
        <w:t xml:space="preserve">The </w:t>
      </w:r>
      <w:r w:rsidR="009E54F8">
        <w:rPr>
          <w:lang w:val="en-GB"/>
        </w:rPr>
        <w:t xml:space="preserve">Sustainability Committee </w:t>
      </w:r>
      <w:r w:rsidR="00D46A6B">
        <w:rPr>
          <w:lang w:val="en-GB"/>
        </w:rPr>
        <w:t>is responsible for overseeing</w:t>
      </w:r>
      <w:r w:rsidRPr="00571974">
        <w:rPr>
          <w:lang w:val="en-GB"/>
        </w:rPr>
        <w:t>, on behalf of the Board, material management policies, processes, and strategies designed to manage safety, health, environment and socio-political risks, to achieve compliance with sustainable development responsibilities and commitments and strive for an industry leadership position on sustainability. The committee is responsible for reviewing the causes of any fatal or significant sustainability incidents and ensuring learnings are shared across the Group.</w:t>
      </w:r>
    </w:p>
    <w:p w14:paraId="356D10D3" w14:textId="75D0C381" w:rsidR="00DC6F40" w:rsidRPr="00571974" w:rsidRDefault="003D4D89" w:rsidP="009E54F8">
      <w:pPr>
        <w:pStyle w:val="BodyText"/>
        <w:widowControl/>
        <w:autoSpaceDE/>
        <w:autoSpaceDN/>
        <w:adjustRightInd/>
        <w:ind w:firstLine="360"/>
        <w:rPr>
          <w:lang w:val="en-GB"/>
        </w:rPr>
      </w:pPr>
      <w:r w:rsidRPr="00571974">
        <w:rPr>
          <w:lang w:val="en-GB"/>
        </w:rPr>
        <w:t xml:space="preserve">The </w:t>
      </w:r>
      <w:r w:rsidR="009E54F8">
        <w:rPr>
          <w:lang w:val="en-GB"/>
        </w:rPr>
        <w:t>Sustainability Committee</w:t>
      </w:r>
      <w:r w:rsidRPr="00571974">
        <w:rPr>
          <w:lang w:val="en-GB"/>
        </w:rPr>
        <w:t xml:space="preserve"> met four times in 2019. At each meeting, the committee reviews detailed reports covering the Group</w:t>
      </w:r>
      <w:r w:rsidR="00A311D8">
        <w:rPr>
          <w:lang w:val="en-GB"/>
        </w:rPr>
        <w:t>’</w:t>
      </w:r>
      <w:r w:rsidRPr="00571974">
        <w:rPr>
          <w:lang w:val="en-GB"/>
        </w:rPr>
        <w:t>s performance across a range of sustainability areas, including: safety; health and wellness; socio-political trends; human rights; climate change; and environmental and social performance. Significant social, safety, health and environmental incidents are reviewed at each meeting, as are the results from operational risk reviews.</w:t>
      </w:r>
    </w:p>
    <w:p w14:paraId="342B3AA1" w14:textId="5E60CFF6" w:rsidR="00BE0522" w:rsidRPr="00571974" w:rsidRDefault="003D4D89" w:rsidP="00DC6F40">
      <w:pPr>
        <w:pStyle w:val="BodyText"/>
        <w:widowControl/>
        <w:autoSpaceDE/>
        <w:autoSpaceDN/>
        <w:adjustRightInd/>
        <w:ind w:firstLine="360"/>
        <w:rPr>
          <w:lang w:val="en-GB"/>
        </w:rPr>
      </w:pPr>
      <w:r w:rsidRPr="00571974">
        <w:rPr>
          <w:lang w:val="en-GB"/>
        </w:rPr>
        <w:t xml:space="preserve">The Sustainability Committee presently consists of: </w:t>
      </w:r>
      <w:r w:rsidR="00FB59DA" w:rsidRPr="00571974">
        <w:rPr>
          <w:lang w:val="en-GB"/>
        </w:rPr>
        <w:t>Ian Ashby (</w:t>
      </w:r>
      <w:r w:rsidR="001751C3">
        <w:rPr>
          <w:lang w:val="en-GB"/>
        </w:rPr>
        <w:t xml:space="preserve">who </w:t>
      </w:r>
      <w:r w:rsidR="00FB59DA" w:rsidRPr="00571974">
        <w:rPr>
          <w:lang w:val="en-GB"/>
        </w:rPr>
        <w:t>succeed</w:t>
      </w:r>
      <w:r w:rsidR="001751C3">
        <w:rPr>
          <w:lang w:val="en-GB"/>
        </w:rPr>
        <w:t>ed</w:t>
      </w:r>
      <w:r w:rsidR="00FB59DA" w:rsidRPr="00571974">
        <w:rPr>
          <w:lang w:val="en-GB"/>
        </w:rPr>
        <w:t xml:space="preserve"> as chair on April 30, 2019), </w:t>
      </w:r>
      <w:r w:rsidR="00DC6F40" w:rsidRPr="00571974">
        <w:rPr>
          <w:lang w:val="en-GB"/>
        </w:rPr>
        <w:t xml:space="preserve">Marcelo Bastos (appointed April 1, 2019), </w:t>
      </w:r>
      <w:r w:rsidR="00D46A6B" w:rsidRPr="00571974">
        <w:rPr>
          <w:lang w:val="en-GB"/>
        </w:rPr>
        <w:t>Stuart Chambers,</w:t>
      </w:r>
      <w:r w:rsidR="00D46A6B">
        <w:rPr>
          <w:lang w:val="en-GB"/>
        </w:rPr>
        <w:t xml:space="preserve"> </w:t>
      </w:r>
      <w:r w:rsidRPr="00571974">
        <w:rPr>
          <w:lang w:val="en-GB"/>
        </w:rPr>
        <w:t>Mark Cutifani, Tony O</w:t>
      </w:r>
      <w:r w:rsidR="00A311D8">
        <w:rPr>
          <w:lang w:val="en-GB"/>
        </w:rPr>
        <w:t>’</w:t>
      </w:r>
      <w:r w:rsidRPr="00571974">
        <w:rPr>
          <w:lang w:val="en-GB"/>
        </w:rPr>
        <w:t xml:space="preserve">Neill, Mphu Ramatlapeng and Jim Rutherford. </w:t>
      </w:r>
      <w:r w:rsidR="00DC6F40" w:rsidRPr="00571974">
        <w:rPr>
          <w:lang w:val="en-GB"/>
        </w:rPr>
        <w:t xml:space="preserve">Jack Thompson resigned </w:t>
      </w:r>
      <w:r w:rsidR="001751C3">
        <w:rPr>
          <w:lang w:val="en-GB"/>
        </w:rPr>
        <w:t xml:space="preserve">from the committee </w:t>
      </w:r>
      <w:r w:rsidR="009E54F8">
        <w:rPr>
          <w:lang w:val="en-GB"/>
        </w:rPr>
        <w:t xml:space="preserve">on </w:t>
      </w:r>
      <w:r w:rsidR="00DC6F40" w:rsidRPr="00571974">
        <w:rPr>
          <w:lang w:val="en-GB"/>
        </w:rPr>
        <w:t>April 30, 2019 and Nolitha Fakude resigned on August 31, 2019.</w:t>
      </w:r>
    </w:p>
    <w:p w14:paraId="7975135E" w14:textId="5BB7F613" w:rsidR="00BE0522" w:rsidRPr="00571974" w:rsidRDefault="003D4D89" w:rsidP="00BE0522">
      <w:pPr>
        <w:pStyle w:val="Heading2"/>
        <w:rPr>
          <w:lang w:val="en-GB"/>
        </w:rPr>
      </w:pPr>
      <w:r w:rsidRPr="00571974">
        <w:rPr>
          <w:lang w:val="en-GB"/>
        </w:rPr>
        <w:t>MANAGEMENT</w:t>
      </w:r>
    </w:p>
    <w:p w14:paraId="1B74F809" w14:textId="41CBA0E5" w:rsidR="00BE0522" w:rsidRPr="00571974" w:rsidRDefault="00D46A6B" w:rsidP="00BE0522">
      <w:pPr>
        <w:pStyle w:val="BodyText"/>
        <w:widowControl/>
        <w:autoSpaceDE/>
        <w:autoSpaceDN/>
        <w:adjustRightInd/>
        <w:ind w:firstLine="360"/>
        <w:rPr>
          <w:lang w:val="en-GB"/>
        </w:rPr>
      </w:pPr>
      <w:r>
        <w:rPr>
          <w:lang w:val="en-GB"/>
        </w:rPr>
        <w:t>T</w:t>
      </w:r>
      <w:r w:rsidRPr="00571974">
        <w:rPr>
          <w:lang w:val="en-GB"/>
        </w:rPr>
        <w:t>he GMC is supported by the Corporate Committee , the Operational committee</w:t>
      </w:r>
      <w:r>
        <w:rPr>
          <w:lang w:val="en-GB"/>
        </w:rPr>
        <w:t>, Innovation committee, Marketing Risk committee</w:t>
      </w:r>
      <w:r w:rsidRPr="00571974">
        <w:rPr>
          <w:lang w:val="en-GB"/>
        </w:rPr>
        <w:t xml:space="preserve">  and the Investment Committee.</w:t>
      </w:r>
    </w:p>
    <w:p w14:paraId="715C208C" w14:textId="77777777" w:rsidR="00BE0522" w:rsidRPr="00571974" w:rsidRDefault="003D4D89" w:rsidP="007B1404">
      <w:pPr>
        <w:pStyle w:val="Heading3"/>
        <w:rPr>
          <w:lang w:val="en-GB"/>
        </w:rPr>
      </w:pPr>
      <w:r w:rsidRPr="00571974">
        <w:rPr>
          <w:lang w:val="en-GB"/>
        </w:rPr>
        <w:t>Composition of the Group Management Committee</w:t>
      </w:r>
    </w:p>
    <w:p w14:paraId="76598C4C" w14:textId="77777777" w:rsidR="00BE0522" w:rsidRPr="00571974" w:rsidRDefault="003D4D89" w:rsidP="00BE0522">
      <w:pPr>
        <w:pStyle w:val="BodyText"/>
        <w:widowControl/>
        <w:autoSpaceDE/>
        <w:autoSpaceDN/>
        <w:adjustRightInd/>
        <w:ind w:firstLine="360"/>
        <w:rPr>
          <w:lang w:val="en-GB"/>
        </w:rPr>
      </w:pPr>
      <w:r w:rsidRPr="00571974">
        <w:rPr>
          <w:lang w:val="en-GB"/>
        </w:rPr>
        <w:t>The names and biographical details of the present members of GMC are set forth below. The business address of each such person is 20 Carlton House Terrace, London, SW1Y 5AN. No potential conflicts of interest exist between the duties of each such person to Anglo American plc and his or her private interests or other duties.</w:t>
      </w:r>
    </w:p>
    <w:p w14:paraId="6468401C" w14:textId="017490A6" w:rsidR="00BE0522" w:rsidRPr="00571974" w:rsidRDefault="003D4D89" w:rsidP="00BE0522">
      <w:pPr>
        <w:pStyle w:val="BodyText"/>
        <w:widowControl/>
        <w:autoSpaceDE/>
        <w:autoSpaceDN/>
        <w:adjustRightInd/>
        <w:ind w:firstLine="360"/>
        <w:rPr>
          <w:lang w:val="en-GB"/>
        </w:rPr>
      </w:pPr>
      <w:r w:rsidRPr="00571974">
        <w:rPr>
          <w:b/>
          <w:bCs/>
          <w:lang w:val="en-GB"/>
        </w:rPr>
        <w:t>Mark Cutifani</w:t>
      </w:r>
      <w:r w:rsidRPr="00571974">
        <w:rPr>
          <w:lang w:val="en-GB"/>
        </w:rPr>
        <w:t xml:space="preserve"> is chief executive of Anglo American plc, see </w:t>
      </w:r>
      <w:r w:rsidR="00A311D8">
        <w:rPr>
          <w:lang w:val="en-GB"/>
        </w:rPr>
        <w:t>“</w:t>
      </w:r>
      <w:r w:rsidRPr="00571974">
        <w:rPr>
          <w:lang w:val="en-GB"/>
        </w:rPr>
        <w:t>—Composition of the Board of Directors—Executive Directors</w:t>
      </w:r>
      <w:r w:rsidR="00A311D8">
        <w:rPr>
          <w:lang w:val="en-GB"/>
        </w:rPr>
        <w:t>”</w:t>
      </w:r>
      <w:r w:rsidRPr="00571974">
        <w:rPr>
          <w:lang w:val="en-GB"/>
        </w:rPr>
        <w:t>.</w:t>
      </w:r>
      <w:r w:rsidRPr="00571974">
        <w:rPr>
          <w:noProof/>
          <w:lang w:val="en-GB"/>
        </w:rPr>
        <w:t xml:space="preserve"> </w:t>
      </w:r>
    </w:p>
    <w:p w14:paraId="0E705FCC" w14:textId="0A31DAE3" w:rsidR="00BE0522" w:rsidRPr="00571974" w:rsidRDefault="003D4D89" w:rsidP="00BE0522">
      <w:pPr>
        <w:pStyle w:val="BodyText"/>
        <w:widowControl/>
        <w:autoSpaceDE/>
        <w:autoSpaceDN/>
        <w:adjustRightInd/>
        <w:ind w:firstLine="360"/>
        <w:rPr>
          <w:lang w:val="en-GB"/>
        </w:rPr>
      </w:pPr>
      <w:r w:rsidRPr="00571974">
        <w:rPr>
          <w:b/>
          <w:bCs/>
          <w:lang w:val="en-GB"/>
        </w:rPr>
        <w:t>Stephen Pearce</w:t>
      </w:r>
      <w:r w:rsidRPr="00571974">
        <w:rPr>
          <w:lang w:val="en-GB"/>
        </w:rPr>
        <w:t xml:space="preserve"> is finance director of Anglo American plc, see </w:t>
      </w:r>
      <w:r w:rsidR="00A311D8">
        <w:rPr>
          <w:lang w:val="en-GB"/>
        </w:rPr>
        <w:t>“</w:t>
      </w:r>
      <w:r w:rsidRPr="00571974">
        <w:rPr>
          <w:lang w:val="en-GB"/>
        </w:rPr>
        <w:t>—Composition of the Board of Directors—Executive Directors</w:t>
      </w:r>
      <w:r w:rsidR="00A311D8">
        <w:rPr>
          <w:lang w:val="en-GB"/>
        </w:rPr>
        <w:t>”</w:t>
      </w:r>
      <w:r w:rsidRPr="00571974">
        <w:rPr>
          <w:lang w:val="en-GB"/>
        </w:rPr>
        <w:t>.</w:t>
      </w:r>
    </w:p>
    <w:p w14:paraId="0817BEA0" w14:textId="024ECE16" w:rsidR="00BE0522" w:rsidRPr="00571974" w:rsidRDefault="003D4D89" w:rsidP="00BE0522">
      <w:pPr>
        <w:pStyle w:val="BodyText"/>
        <w:widowControl/>
        <w:autoSpaceDE/>
        <w:autoSpaceDN/>
        <w:adjustRightInd/>
        <w:ind w:firstLine="360"/>
        <w:rPr>
          <w:lang w:val="en-GB"/>
        </w:rPr>
      </w:pPr>
      <w:r w:rsidRPr="00571974">
        <w:rPr>
          <w:b/>
          <w:bCs/>
          <w:lang w:val="en-GB"/>
        </w:rPr>
        <w:t>Tony O</w:t>
      </w:r>
      <w:r w:rsidR="00A311D8">
        <w:rPr>
          <w:b/>
          <w:bCs/>
          <w:lang w:val="en-GB"/>
        </w:rPr>
        <w:t>’</w:t>
      </w:r>
      <w:r w:rsidRPr="00571974">
        <w:rPr>
          <w:b/>
          <w:bCs/>
          <w:lang w:val="en-GB"/>
        </w:rPr>
        <w:t>Neill</w:t>
      </w:r>
      <w:r w:rsidRPr="00571974">
        <w:rPr>
          <w:lang w:val="en-GB"/>
        </w:rPr>
        <w:t xml:space="preserve"> is technical director of Anglo American plc, see </w:t>
      </w:r>
      <w:r w:rsidR="00A311D8">
        <w:rPr>
          <w:lang w:val="en-GB"/>
        </w:rPr>
        <w:t>“</w:t>
      </w:r>
      <w:r w:rsidRPr="00571974">
        <w:rPr>
          <w:lang w:val="en-GB"/>
        </w:rPr>
        <w:t>—Composition of the Board of Directors—Executive Directors</w:t>
      </w:r>
      <w:r w:rsidR="00A311D8">
        <w:rPr>
          <w:lang w:val="en-GB"/>
        </w:rPr>
        <w:t>”</w:t>
      </w:r>
      <w:r w:rsidRPr="00571974">
        <w:rPr>
          <w:lang w:val="en-GB"/>
        </w:rPr>
        <w:t>.</w:t>
      </w:r>
    </w:p>
    <w:p w14:paraId="11F8A55E" w14:textId="6C3E0110" w:rsidR="00BE0522" w:rsidRPr="00571974" w:rsidRDefault="00BE0522" w:rsidP="00A14CBB">
      <w:pPr>
        <w:pStyle w:val="BodyText"/>
        <w:widowControl/>
        <w:autoSpaceDE/>
        <w:autoSpaceDN/>
        <w:adjustRightInd/>
        <w:ind w:firstLine="360"/>
        <w:rPr>
          <w:lang w:val="en-GB"/>
        </w:rPr>
      </w:pPr>
      <w:r w:rsidRPr="00571974">
        <w:rPr>
          <w:b/>
          <w:lang w:val="en-GB"/>
        </w:rPr>
        <w:t>Didier Charreton</w:t>
      </w:r>
      <w:r w:rsidRPr="00571974">
        <w:rPr>
          <w:lang w:val="en-GB"/>
        </w:rPr>
        <w:t>, MSc (5</w:t>
      </w:r>
      <w:r w:rsidR="00874936" w:rsidRPr="00571974">
        <w:rPr>
          <w:lang w:val="en-GB"/>
        </w:rPr>
        <w:t>6</w:t>
      </w:r>
      <w:r w:rsidRPr="00571974">
        <w:rPr>
          <w:lang w:val="en-GB"/>
        </w:rPr>
        <w:t xml:space="preserve">), </w:t>
      </w:r>
      <w:r w:rsidR="008403B7" w:rsidRPr="007B1404">
        <w:rPr>
          <w:lang w:val="en-GB"/>
        </w:rPr>
        <w:t>Didier joined Anglo American in December 2015. He has held a number of senior HR roles across</w:t>
      </w:r>
      <w:r w:rsidR="008403B7">
        <w:rPr>
          <w:lang w:val="en-GB"/>
        </w:rPr>
        <w:t xml:space="preserve"> </w:t>
      </w:r>
      <w:r w:rsidR="008403B7" w:rsidRPr="007B1404">
        <w:rPr>
          <w:lang w:val="en-GB"/>
        </w:rPr>
        <w:t>his 30-year career. From 2007 until 2014, Didier was chief human resources officer for Baker Hughes, the U</w:t>
      </w:r>
      <w:r w:rsidR="00574FF3">
        <w:rPr>
          <w:lang w:val="en-GB"/>
        </w:rPr>
        <w:t>.</w:t>
      </w:r>
      <w:r w:rsidR="008403B7" w:rsidRPr="007B1404">
        <w:rPr>
          <w:lang w:val="en-GB"/>
        </w:rPr>
        <w:t>S</w:t>
      </w:r>
      <w:r w:rsidR="00574FF3">
        <w:rPr>
          <w:lang w:val="en-GB"/>
        </w:rPr>
        <w:t>.</w:t>
      </w:r>
      <w:r w:rsidR="008403B7" w:rsidRPr="007B1404">
        <w:rPr>
          <w:lang w:val="en-GB"/>
        </w:rPr>
        <w:t xml:space="preserve">-based oilfield services company  Prior to 2007, he was HR director at Coats plc in the UK, and before that held a number of HR roles at </w:t>
      </w:r>
      <w:r w:rsidR="008403B7" w:rsidRPr="00A14CBB">
        <w:rPr>
          <w:szCs w:val="20"/>
          <w:lang w:val="en-GB"/>
        </w:rPr>
        <w:t>Schlumberger</w:t>
      </w:r>
      <w:r w:rsidR="008403B7" w:rsidRPr="007B1404">
        <w:rPr>
          <w:lang w:val="en-GB"/>
        </w:rPr>
        <w:t>, based in the U.S., Argentina, Venezuela and France.</w:t>
      </w:r>
    </w:p>
    <w:p w14:paraId="247CDCFF" w14:textId="42D9ED02" w:rsidR="00703A01" w:rsidRDefault="00BE0522" w:rsidP="00A14CBB">
      <w:pPr>
        <w:pStyle w:val="BodyText"/>
        <w:widowControl/>
        <w:autoSpaceDE/>
        <w:autoSpaceDN/>
        <w:adjustRightInd/>
        <w:ind w:firstLine="360"/>
        <w:rPr>
          <w:lang w:val="en-GB"/>
        </w:rPr>
      </w:pPr>
      <w:r w:rsidRPr="00571974">
        <w:rPr>
          <w:b/>
          <w:lang w:val="en-GB"/>
        </w:rPr>
        <w:t>Bruce Cleaver</w:t>
      </w:r>
      <w:r w:rsidRPr="00571974">
        <w:rPr>
          <w:lang w:val="en-GB"/>
        </w:rPr>
        <w:t>, BSc, LLB, LLM (5</w:t>
      </w:r>
      <w:r w:rsidR="00874936" w:rsidRPr="00571974">
        <w:rPr>
          <w:lang w:val="en-GB"/>
        </w:rPr>
        <w:t>4</w:t>
      </w:r>
      <w:r w:rsidRPr="00571974">
        <w:rPr>
          <w:lang w:val="en-GB"/>
        </w:rPr>
        <w:t>),</w:t>
      </w:r>
      <w:r w:rsidR="002C2E0F" w:rsidRPr="00571974">
        <w:rPr>
          <w:lang w:val="en-GB"/>
        </w:rPr>
        <w:t xml:space="preserve"> </w:t>
      </w:r>
      <w:r w:rsidR="008403B7" w:rsidRPr="007B1404">
        <w:rPr>
          <w:lang w:val="en-GB"/>
        </w:rPr>
        <w:t>Bruce has served as CEO of De Beers since July 2016. He has previously served as Group Director, Strategy and Business Development at Anglo American, as well as Executive Head of Strategy and Corporate Affairs for De Beers, having joined the Group in 2005. Before joining De Beers, he was a partner at Webber Wentzel, Africa</w:t>
      </w:r>
      <w:r w:rsidR="00A311D8">
        <w:rPr>
          <w:lang w:val="en-GB"/>
        </w:rPr>
        <w:t>’</w:t>
      </w:r>
      <w:r w:rsidR="008403B7" w:rsidRPr="007B1404">
        <w:rPr>
          <w:lang w:val="en-GB"/>
        </w:rPr>
        <w:t xml:space="preserve">s </w:t>
      </w:r>
      <w:r w:rsidR="008403B7" w:rsidRPr="00A14CBB">
        <w:rPr>
          <w:szCs w:val="20"/>
          <w:lang w:val="en-GB"/>
        </w:rPr>
        <w:t>largest</w:t>
      </w:r>
      <w:r w:rsidR="008403B7" w:rsidRPr="007B1404">
        <w:rPr>
          <w:lang w:val="en-GB"/>
        </w:rPr>
        <w:t xml:space="preserve"> law firm, specialising in commercial matters.</w:t>
      </w:r>
    </w:p>
    <w:p w14:paraId="761747A2" w14:textId="3BE83CF2" w:rsidR="00D46A6B" w:rsidRPr="00571974" w:rsidRDefault="00D46A6B" w:rsidP="00D46A6B">
      <w:pPr>
        <w:pStyle w:val="BodyText"/>
        <w:widowControl/>
        <w:autoSpaceDE/>
        <w:autoSpaceDN/>
        <w:adjustRightInd/>
        <w:ind w:firstLine="360"/>
        <w:rPr>
          <w:szCs w:val="20"/>
          <w:lang w:val="en-GB"/>
        </w:rPr>
      </w:pPr>
      <w:r w:rsidRPr="00E5298F">
        <w:rPr>
          <w:b/>
          <w:lang w:val="en-GB"/>
        </w:rPr>
        <w:t>Nolitha Fakude</w:t>
      </w:r>
      <w:r w:rsidRPr="00571974">
        <w:rPr>
          <w:szCs w:val="20"/>
          <w:lang w:val="en-GB"/>
        </w:rPr>
        <w:t xml:space="preserve">, BA (Hons) (55) </w:t>
      </w:r>
      <w:r w:rsidRPr="007B1404">
        <w:rPr>
          <w:szCs w:val="20"/>
          <w:lang w:val="en-GB"/>
        </w:rPr>
        <w:t>Nolitha was appointed Group Director – South Africa on 1 September 2019. From April 2017 to August 2019, she served as a non-executive director on the Board of Anglo American plc. Until 2016, Nolitha served as an executive director at Sasol Limited and Executive Vice President of Strategy and Sustainability. Prior to that she held senior management positions</w:t>
      </w:r>
      <w:r>
        <w:rPr>
          <w:szCs w:val="20"/>
          <w:lang w:val="en-GB"/>
        </w:rPr>
        <w:t xml:space="preserve"> </w:t>
      </w:r>
      <w:r w:rsidRPr="007B1404">
        <w:rPr>
          <w:szCs w:val="20"/>
          <w:lang w:val="en-GB"/>
        </w:rPr>
        <w:t>in corporate affairs, strategy and operations in the retail and financial sectors. Nolitha is a non-executive director of JSE Limited,</w:t>
      </w:r>
      <w:r>
        <w:rPr>
          <w:szCs w:val="20"/>
          <w:lang w:val="en-GB"/>
        </w:rPr>
        <w:t xml:space="preserve"> </w:t>
      </w:r>
      <w:r w:rsidRPr="007B1404">
        <w:rPr>
          <w:szCs w:val="20"/>
          <w:lang w:val="en-GB"/>
        </w:rPr>
        <w:t>and a Patron of Guild Cottage home for girls. In her non-executive career, she has previously served as deputy chair and lead independent</w:t>
      </w:r>
      <w:r>
        <w:rPr>
          <w:szCs w:val="20"/>
          <w:lang w:val="en-GB"/>
        </w:rPr>
        <w:t xml:space="preserve"> </w:t>
      </w:r>
      <w:r w:rsidRPr="007B1404">
        <w:rPr>
          <w:szCs w:val="20"/>
          <w:lang w:val="en-GB"/>
        </w:rPr>
        <w:t>director of Datacentrix Holdings Limited, and as a non-executive director of Harmony Gold and Woolworths Holdings.</w:t>
      </w:r>
    </w:p>
    <w:p w14:paraId="3855AB90" w14:textId="7E601AA8" w:rsidR="00B101EC" w:rsidRPr="00571974" w:rsidRDefault="003D4D89" w:rsidP="00A14CBB">
      <w:pPr>
        <w:pStyle w:val="BodyText"/>
        <w:widowControl/>
        <w:autoSpaceDE/>
        <w:autoSpaceDN/>
        <w:adjustRightInd/>
        <w:ind w:firstLine="360"/>
        <w:rPr>
          <w:lang w:val="en-GB"/>
        </w:rPr>
      </w:pPr>
      <w:r w:rsidRPr="00571974">
        <w:rPr>
          <w:b/>
          <w:lang w:val="en-GB"/>
        </w:rPr>
        <w:t>Ruben Ferna</w:t>
      </w:r>
      <w:r w:rsidR="0093085D" w:rsidRPr="00571974">
        <w:rPr>
          <w:b/>
          <w:lang w:val="en-GB"/>
        </w:rPr>
        <w:t>n</w:t>
      </w:r>
      <w:r w:rsidRPr="00571974">
        <w:rPr>
          <w:b/>
          <w:lang w:val="en-GB"/>
        </w:rPr>
        <w:t xml:space="preserve">des, </w:t>
      </w:r>
      <w:r w:rsidRPr="00571974">
        <w:rPr>
          <w:lang w:val="en-GB"/>
        </w:rPr>
        <w:t>M</w:t>
      </w:r>
      <w:r w:rsidR="00874936" w:rsidRPr="00571974">
        <w:rPr>
          <w:lang w:val="en-GB"/>
        </w:rPr>
        <w:t>sC (Metallurgical Engineering)</w:t>
      </w:r>
      <w:r w:rsidRPr="00571974">
        <w:rPr>
          <w:lang w:val="en-GB"/>
        </w:rPr>
        <w:t>, MBA</w:t>
      </w:r>
      <w:r w:rsidRPr="00571974">
        <w:rPr>
          <w:b/>
          <w:lang w:val="en-GB"/>
        </w:rPr>
        <w:t xml:space="preserve"> </w:t>
      </w:r>
      <w:r w:rsidRPr="00571974">
        <w:rPr>
          <w:lang w:val="en-GB"/>
        </w:rPr>
        <w:t>(</w:t>
      </w:r>
      <w:r w:rsidR="00874936" w:rsidRPr="00571974">
        <w:rPr>
          <w:lang w:val="en-GB"/>
        </w:rPr>
        <w:t>54</w:t>
      </w:r>
      <w:r w:rsidRPr="00571974">
        <w:rPr>
          <w:lang w:val="en-GB"/>
        </w:rPr>
        <w:t>)</w:t>
      </w:r>
      <w:r w:rsidRPr="00571974">
        <w:rPr>
          <w:b/>
          <w:lang w:val="en-GB"/>
        </w:rPr>
        <w:t xml:space="preserve"> </w:t>
      </w:r>
      <w:r w:rsidR="008403B7" w:rsidRPr="007B1404">
        <w:rPr>
          <w:lang w:val="en-GB"/>
        </w:rPr>
        <w:t xml:space="preserve">Ruben was appointed CEO of Base Metals on March 1, 2019. He previously served as CEO of Anglo American Brazil. Prior to joining the Group in 2012, Ruben was head of mining at Votorantim Metals in Brazil, responsible for projects and exploration activities around the </w:t>
      </w:r>
      <w:r w:rsidR="008403B7" w:rsidRPr="007B1404">
        <w:rPr>
          <w:lang w:val="en-GB"/>
        </w:rPr>
        <w:lastRenderedPageBreak/>
        <w:t>world, as well as operations in Peru and Colombia. Between 2009 and 2011, he was COO at Vale Fertilizers, responsible for the fertili</w:t>
      </w:r>
      <w:r w:rsidR="0067587D">
        <w:rPr>
          <w:lang w:val="en-GB"/>
        </w:rPr>
        <w:t>z</w:t>
      </w:r>
      <w:r w:rsidR="008403B7" w:rsidRPr="007B1404">
        <w:rPr>
          <w:lang w:val="en-GB"/>
        </w:rPr>
        <w:t>er operations, sales and marketing. Ruben was also CEO of Kaolin Companies – Pará Pigments and Cadam – two subsidiaries of Vale, between 2007 and 2009, and held various analysis, marketing and project roles in Vale</w:t>
      </w:r>
      <w:r w:rsidR="00A311D8">
        <w:rPr>
          <w:lang w:val="en-GB"/>
        </w:rPr>
        <w:t>’</w:t>
      </w:r>
      <w:r w:rsidR="008403B7" w:rsidRPr="007B1404">
        <w:rPr>
          <w:lang w:val="en-GB"/>
        </w:rPr>
        <w:t>s Base Metals business which he joined in 1999. Between 1988 and 1998, he held several leadership roles in the special alloys industry.</w:t>
      </w:r>
    </w:p>
    <w:p w14:paraId="10BE7915" w14:textId="09592F77" w:rsidR="00703A01" w:rsidRDefault="003D4D89" w:rsidP="00A14CBB">
      <w:pPr>
        <w:pStyle w:val="BodyText"/>
        <w:widowControl/>
        <w:autoSpaceDE/>
        <w:autoSpaceDN/>
        <w:adjustRightInd/>
        <w:ind w:firstLine="360"/>
        <w:rPr>
          <w:lang w:val="en-GB"/>
        </w:rPr>
      </w:pPr>
      <w:r w:rsidRPr="00571974">
        <w:rPr>
          <w:b/>
          <w:bCs/>
          <w:lang w:val="en-GB"/>
        </w:rPr>
        <w:t>Seamus French</w:t>
      </w:r>
      <w:r w:rsidRPr="00571974">
        <w:rPr>
          <w:lang w:val="en-GB"/>
        </w:rPr>
        <w:t>, BEng (Chemical) (57</w:t>
      </w:r>
      <w:r w:rsidR="0027166A" w:rsidRPr="00571974">
        <w:rPr>
          <w:lang w:val="en-GB"/>
        </w:rPr>
        <w:t xml:space="preserve">) </w:t>
      </w:r>
      <w:r w:rsidR="00A60134" w:rsidRPr="007B1404">
        <w:rPr>
          <w:lang w:val="en-GB"/>
        </w:rPr>
        <w:t>Seamus has responsibility for the Group</w:t>
      </w:r>
      <w:r w:rsidR="00A311D8">
        <w:rPr>
          <w:lang w:val="en-GB"/>
        </w:rPr>
        <w:t>’</w:t>
      </w:r>
      <w:r w:rsidR="00A60134" w:rsidRPr="007B1404">
        <w:rPr>
          <w:lang w:val="en-GB"/>
        </w:rPr>
        <w:t>s Coal, Iron Ore and Nickel businesses. He is a non-executive director of Kumba Iron Ore. Seamus joined the Group in 2007 and was CEO of Metallurgical Coal between 2009 and 2013, and CEO of Coal until 2015. Prior to his career at Anglo American, Seamus joined WMC Resources in Australia in 1994 in a strategic planning and business development role, and progressed to various operational management roles, gaining extensive experience in the Gold and Nickel businesses before being appointed executive general manager of the Copper-Uranium division. Seamus joined BHP Billiton as Global Vice President, Business Excellence, following its takeover of WMC in 2005.</w:t>
      </w:r>
    </w:p>
    <w:p w14:paraId="561EA7F3" w14:textId="3FC6024B" w:rsidR="00703A01" w:rsidRDefault="003D4D89" w:rsidP="00A14CBB">
      <w:pPr>
        <w:pStyle w:val="BodyText"/>
        <w:widowControl/>
        <w:autoSpaceDE/>
        <w:autoSpaceDN/>
        <w:adjustRightInd/>
        <w:ind w:firstLine="360"/>
        <w:rPr>
          <w:lang w:val="en-GB"/>
        </w:rPr>
      </w:pPr>
      <w:r w:rsidRPr="00571974">
        <w:rPr>
          <w:b/>
          <w:bCs/>
          <w:lang w:val="en-GB"/>
        </w:rPr>
        <w:t>Chris Griffith</w:t>
      </w:r>
      <w:r w:rsidRPr="00571974">
        <w:rPr>
          <w:lang w:val="en-GB"/>
        </w:rPr>
        <w:t>, BEng (Mining) Hons, Pr Eng (5</w:t>
      </w:r>
      <w:r w:rsidR="00D73EC4" w:rsidRPr="00571974">
        <w:rPr>
          <w:lang w:val="en-GB"/>
        </w:rPr>
        <w:t>5</w:t>
      </w:r>
      <w:r w:rsidR="0027166A" w:rsidRPr="00571974">
        <w:rPr>
          <w:lang w:val="en-GB"/>
        </w:rPr>
        <w:t xml:space="preserve">) </w:t>
      </w:r>
      <w:r w:rsidR="00EA02EF" w:rsidRPr="007B1404">
        <w:rPr>
          <w:lang w:val="en-GB"/>
        </w:rPr>
        <w:t>Chris has served as CEO of Anglo American Platinum since September 2012. He was previously CEO of Kumba Iron Ore between 2008 and 2012 and prior to this, served as Anglo American Platinum</w:t>
      </w:r>
      <w:r w:rsidR="00A311D8">
        <w:rPr>
          <w:lang w:val="en-GB"/>
        </w:rPr>
        <w:t>’</w:t>
      </w:r>
      <w:r w:rsidR="00EA02EF" w:rsidRPr="007B1404">
        <w:rPr>
          <w:lang w:val="en-GB"/>
        </w:rPr>
        <w:t>s head of joint operations. Chris has been with the Group for 30 years. As announced on 17 February 2020, Chris will step down as CEO of Anglo American Platinum on April 16, 2020.</w:t>
      </w:r>
    </w:p>
    <w:p w14:paraId="3FA4E714" w14:textId="45EFAD61" w:rsidR="00703A01" w:rsidRDefault="003D4D89" w:rsidP="00A14CBB">
      <w:pPr>
        <w:pStyle w:val="BodyText"/>
        <w:widowControl/>
        <w:autoSpaceDE/>
        <w:autoSpaceDN/>
        <w:adjustRightInd/>
        <w:ind w:firstLine="360"/>
        <w:rPr>
          <w:lang w:val="en-GB"/>
        </w:rPr>
      </w:pPr>
      <w:r w:rsidRPr="00571974">
        <w:rPr>
          <w:b/>
          <w:bCs/>
          <w:szCs w:val="20"/>
          <w:lang w:val="en-GB"/>
        </w:rPr>
        <w:t>Anik Michaud</w:t>
      </w:r>
      <w:r w:rsidRPr="00571974">
        <w:rPr>
          <w:szCs w:val="20"/>
          <w:lang w:val="en-GB"/>
        </w:rPr>
        <w:t>, LL.L (Law) (5</w:t>
      </w:r>
      <w:r w:rsidR="00D73EC4" w:rsidRPr="00571974">
        <w:rPr>
          <w:szCs w:val="20"/>
          <w:lang w:val="en-GB"/>
        </w:rPr>
        <w:t>2</w:t>
      </w:r>
      <w:r w:rsidRPr="00571974">
        <w:rPr>
          <w:szCs w:val="20"/>
          <w:lang w:val="en-GB"/>
        </w:rPr>
        <w:t>)</w:t>
      </w:r>
      <w:r w:rsidR="0027166A" w:rsidRPr="00571974">
        <w:rPr>
          <w:szCs w:val="20"/>
          <w:lang w:val="en-GB"/>
        </w:rPr>
        <w:t xml:space="preserve"> </w:t>
      </w:r>
      <w:r w:rsidR="0027166A" w:rsidRPr="00571974">
        <w:rPr>
          <w:rFonts w:ascii="AkzidGrtskNext-Light" w:hAnsi="AkzidGrtskNext-Light" w:cs="AkzidGrtskNext-Light"/>
          <w:sz w:val="16"/>
          <w:szCs w:val="16"/>
          <w:lang w:val="en-GB"/>
        </w:rPr>
        <w:t xml:space="preserve"> </w:t>
      </w:r>
      <w:r w:rsidR="00EA02EF" w:rsidRPr="007B1404">
        <w:rPr>
          <w:lang w:val="en-GB"/>
        </w:rPr>
        <w:t>Anik has served as Group Director – Corporate Relations since June 2015. Her remit includes</w:t>
      </w:r>
      <w:r w:rsidR="00EA02EF">
        <w:rPr>
          <w:lang w:val="en-GB"/>
        </w:rPr>
        <w:t xml:space="preserve"> </w:t>
      </w:r>
      <w:r w:rsidR="00EA02EF" w:rsidRPr="007B1404">
        <w:rPr>
          <w:lang w:val="en-GB"/>
        </w:rPr>
        <w:t>corporate communication, international and government relations, social performance and engagement, the implementation of the Group</w:t>
      </w:r>
      <w:r w:rsidR="00A311D8">
        <w:rPr>
          <w:lang w:val="en-GB"/>
        </w:rPr>
        <w:t>’</w:t>
      </w:r>
      <w:r w:rsidR="00EA02EF" w:rsidRPr="007B1404">
        <w:rPr>
          <w:lang w:val="en-GB"/>
        </w:rPr>
        <w:t>s Sustainable Mining Plan under the FutureSmart Mining™ programme, and the office of the Chief Executive. Anik joined Anglo American in 2008 as Group head of corporate communication. Prior to that, she was director of public affairs for Rio Tinto Alcan, following 10 years with the Alcan group. Anik began her career as the political attaché to the Minister of Finance for Quebec.</w:t>
      </w:r>
    </w:p>
    <w:p w14:paraId="18130EC6" w14:textId="2024317D" w:rsidR="00D46A6B" w:rsidRDefault="00D46A6B" w:rsidP="00D46A6B">
      <w:pPr>
        <w:pStyle w:val="BodyText"/>
        <w:widowControl/>
        <w:autoSpaceDE/>
        <w:autoSpaceDN/>
        <w:adjustRightInd/>
        <w:ind w:firstLine="360"/>
        <w:rPr>
          <w:szCs w:val="20"/>
          <w:lang w:val="en-GB"/>
        </w:rPr>
      </w:pPr>
      <w:r w:rsidRPr="00571974">
        <w:rPr>
          <w:b/>
          <w:bCs/>
          <w:szCs w:val="20"/>
          <w:lang w:val="en-GB"/>
        </w:rPr>
        <w:t>Themba Mkhwanazi</w:t>
      </w:r>
      <w:r w:rsidRPr="00571974">
        <w:rPr>
          <w:szCs w:val="20"/>
          <w:lang w:val="en-GB"/>
        </w:rPr>
        <w:t xml:space="preserve">, BEng (Chemical) Hons (50) </w:t>
      </w:r>
      <w:r w:rsidRPr="007B1404">
        <w:rPr>
          <w:szCs w:val="20"/>
          <w:lang w:val="en-GB"/>
        </w:rPr>
        <w:t>Themba has served as CEO of Kumba Iron Ore since September 2016. Prior to that, he was CEO for Anglo American</w:t>
      </w:r>
      <w:r w:rsidR="00A311D8">
        <w:rPr>
          <w:szCs w:val="20"/>
          <w:lang w:val="en-GB"/>
        </w:rPr>
        <w:t>’</w:t>
      </w:r>
      <w:r w:rsidRPr="007B1404">
        <w:rPr>
          <w:szCs w:val="20"/>
          <w:lang w:val="en-GB"/>
        </w:rPr>
        <w:t>s Thermal Coal business in South Africa, having joined the Group in 2014. He has extensive experience in the resources industry, including 18 years in his native South Africa, as well as in the U</w:t>
      </w:r>
      <w:r>
        <w:rPr>
          <w:szCs w:val="20"/>
          <w:lang w:val="en-GB"/>
        </w:rPr>
        <w:t>.</w:t>
      </w:r>
      <w:r w:rsidRPr="007B1404">
        <w:rPr>
          <w:szCs w:val="20"/>
          <w:lang w:val="en-GB"/>
        </w:rPr>
        <w:t>S</w:t>
      </w:r>
      <w:r>
        <w:rPr>
          <w:szCs w:val="20"/>
          <w:lang w:val="en-GB"/>
        </w:rPr>
        <w:t>.</w:t>
      </w:r>
      <w:r w:rsidRPr="007B1404">
        <w:rPr>
          <w:szCs w:val="20"/>
          <w:lang w:val="en-GB"/>
        </w:rPr>
        <w:t xml:space="preserve"> and Australia. Before joining Kumba, Themba was managing director for Huntsman Tioxide in South Africa until 2007, when he was appointed COO of Richards Bay Minerals, a joint venture between Rio Tinto and BHP Billiton. In 2011, he was seconded to Rio Tinto</w:t>
      </w:r>
      <w:r w:rsidR="00A311D8">
        <w:rPr>
          <w:szCs w:val="20"/>
          <w:lang w:val="en-GB"/>
        </w:rPr>
        <w:t>’</w:t>
      </w:r>
      <w:r w:rsidRPr="007B1404">
        <w:rPr>
          <w:szCs w:val="20"/>
          <w:lang w:val="en-GB"/>
        </w:rPr>
        <w:t>s Australian coal business, before taking</w:t>
      </w:r>
      <w:r>
        <w:rPr>
          <w:szCs w:val="20"/>
          <w:lang w:val="en-GB"/>
        </w:rPr>
        <w:t xml:space="preserve"> </w:t>
      </w:r>
      <w:r w:rsidRPr="007B1404">
        <w:rPr>
          <w:szCs w:val="20"/>
          <w:lang w:val="en-GB"/>
        </w:rPr>
        <w:t>up the role of regional general manager for the Americas in 2012.</w:t>
      </w:r>
    </w:p>
    <w:p w14:paraId="542117A6" w14:textId="651610A6" w:rsidR="00B101EC" w:rsidRPr="00571974" w:rsidRDefault="003D4D89" w:rsidP="00A14CBB">
      <w:pPr>
        <w:pStyle w:val="BodyText"/>
        <w:widowControl/>
        <w:autoSpaceDE/>
        <w:autoSpaceDN/>
        <w:adjustRightInd/>
        <w:ind w:firstLine="360"/>
        <w:rPr>
          <w:lang w:val="en-GB"/>
        </w:rPr>
      </w:pPr>
      <w:r w:rsidRPr="00571974">
        <w:rPr>
          <w:b/>
          <w:lang w:val="en-GB"/>
        </w:rPr>
        <w:t>Richard Price</w:t>
      </w:r>
      <w:r w:rsidRPr="00571974">
        <w:rPr>
          <w:lang w:val="en-GB"/>
        </w:rPr>
        <w:t>, LL.B, BA (Hons) (5</w:t>
      </w:r>
      <w:r w:rsidR="00D73EC4" w:rsidRPr="00571974">
        <w:rPr>
          <w:lang w:val="en-GB"/>
        </w:rPr>
        <w:t>6</w:t>
      </w:r>
      <w:r w:rsidRPr="00571974">
        <w:rPr>
          <w:lang w:val="en-GB"/>
        </w:rPr>
        <w:t>)</w:t>
      </w:r>
      <w:r w:rsidR="0027166A" w:rsidRPr="00E5298F">
        <w:rPr>
          <w:lang w:val="en-GB"/>
        </w:rPr>
        <w:t>.</w:t>
      </w:r>
      <w:r w:rsidR="00E5298F" w:rsidRPr="007B1404">
        <w:rPr>
          <w:lang w:val="en-GB"/>
        </w:rPr>
        <w:t xml:space="preserve"> Richard joined Anglo American as Group General Counsel in May 2017 and was appointed as Company Secretary in March 2018. Prior to joining Anglo American, he was a partner at Shearman &amp; Sterling, the international law firm working across EMEA, Asia and North America. In private practice, Richard acted for clients across the metals, mining, energy and financial services sectors, among others, assisting them with complex financing, corporate and compliance matters.</w:t>
      </w:r>
    </w:p>
    <w:p w14:paraId="15401314" w14:textId="026FF0DA" w:rsidR="00703A01" w:rsidRDefault="00F84A22" w:rsidP="00A14CBB">
      <w:pPr>
        <w:pStyle w:val="BodyText"/>
        <w:widowControl/>
        <w:autoSpaceDE/>
        <w:autoSpaceDN/>
        <w:adjustRightInd/>
        <w:ind w:firstLine="360"/>
        <w:rPr>
          <w:lang w:val="en-GB"/>
        </w:rPr>
      </w:pPr>
      <w:r w:rsidRPr="00571974">
        <w:rPr>
          <w:noProof/>
          <w:lang w:val="en-GB" w:eastAsia="en-GB" w:bidi="ar-SA"/>
        </w:rPr>
        <mc:AlternateContent>
          <mc:Choice Requires="wps">
            <w:drawing>
              <wp:anchor distT="0" distB="0" distL="114300" distR="114300" simplePos="0" relativeHeight="251670528" behindDoc="0" locked="0" layoutInCell="1" allowOverlap="1" wp14:anchorId="6AD9D860" wp14:editId="424EBE9B">
                <wp:simplePos x="0" y="0"/>
                <wp:positionH relativeFrom="column">
                  <wp:posOffset>6082665</wp:posOffset>
                </wp:positionH>
                <wp:positionV relativeFrom="paragraph">
                  <wp:posOffset>6107430</wp:posOffset>
                </wp:positionV>
                <wp:extent cx="777240" cy="472440"/>
                <wp:effectExtent l="5715" t="11430" r="7620" b="11430"/>
                <wp:wrapNone/>
                <wp:docPr id="3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472440"/>
                        </a:xfrm>
                        <a:prstGeom prst="rect">
                          <a:avLst/>
                        </a:prstGeom>
                        <a:solidFill>
                          <a:srgbClr val="FFFFFF"/>
                        </a:solidFill>
                        <a:ln w="6350">
                          <a:solidFill>
                            <a:srgbClr val="000000"/>
                          </a:solidFill>
                          <a:miter lim="800000"/>
                          <a:headEnd/>
                          <a:tailEnd/>
                        </a:ln>
                      </wps:spPr>
                      <wps:txbx>
                        <w:txbxContent>
                          <w:p w14:paraId="3B8B3979" w14:textId="77777777" w:rsidR="00AE0CB4" w:rsidRPr="0033408E" w:rsidRDefault="00AE0CB4" w:rsidP="00BE0522">
                            <w:pPr>
                              <w:rPr>
                                <w:lang w:val="en-GB"/>
                              </w:rPr>
                            </w:pPr>
                            <w:r>
                              <w:rPr>
                                <w:lang w:val="en-GB"/>
                              </w:rPr>
                              <w:t>A9.9.1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9D860" id="Text Box 56" o:spid="_x0000_s1074" type="#_x0000_t202" style="position:absolute;left:0;text-align:left;margin-left:478.95pt;margin-top:480.9pt;width:61.2pt;height:3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87KwIAAFk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" strokeweight=".5pt">
                <v:textbox>
                  <w:txbxContent>
                    <w:p w14:paraId="3B8B3979" w14:textId="77777777" w:rsidR="00AE0CB4" w:rsidRPr="0033408E" w:rsidRDefault="00AE0CB4" w:rsidP="00BE0522">
                      <w:pPr>
                        <w:rPr>
                          <w:lang w:val="en-GB"/>
                        </w:rPr>
                      </w:pPr>
                      <w:r>
                        <w:rPr>
                          <w:lang w:val="en-GB"/>
                        </w:rPr>
                        <w:t>A9.9.1</w:t>
                      </w:r>
                    </w:p>
                  </w:txbxContent>
                </v:textbox>
              </v:shape>
            </w:pict>
          </mc:Fallback>
        </mc:AlternateContent>
      </w:r>
      <w:r w:rsidRPr="00571974">
        <w:rPr>
          <w:noProof/>
          <w:lang w:val="en-GB" w:eastAsia="en-GB" w:bidi="ar-SA"/>
        </w:rPr>
        <mc:AlternateContent>
          <mc:Choice Requires="wps">
            <w:drawing>
              <wp:anchor distT="0" distB="0" distL="114300" distR="114300" simplePos="0" relativeHeight="251667456" behindDoc="0" locked="0" layoutInCell="1" allowOverlap="1" wp14:anchorId="61F31128" wp14:editId="44E604FF">
                <wp:simplePos x="0" y="0"/>
                <wp:positionH relativeFrom="column">
                  <wp:posOffset>6082665</wp:posOffset>
                </wp:positionH>
                <wp:positionV relativeFrom="paragraph">
                  <wp:posOffset>5370830</wp:posOffset>
                </wp:positionV>
                <wp:extent cx="777240" cy="472440"/>
                <wp:effectExtent l="5715" t="8255" r="7620" b="5080"/>
                <wp:wrapNone/>
                <wp:docPr id="3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472440"/>
                        </a:xfrm>
                        <a:prstGeom prst="rect">
                          <a:avLst/>
                        </a:prstGeom>
                        <a:solidFill>
                          <a:srgbClr val="FFFFFF"/>
                        </a:solidFill>
                        <a:ln w="6350">
                          <a:solidFill>
                            <a:srgbClr val="000000"/>
                          </a:solidFill>
                          <a:miter lim="800000"/>
                          <a:headEnd/>
                          <a:tailEnd/>
                        </a:ln>
                      </wps:spPr>
                      <wps:txbx>
                        <w:txbxContent>
                          <w:p w14:paraId="20CDFFDE" w14:textId="77777777" w:rsidR="00AE0CB4" w:rsidRPr="0033408E" w:rsidRDefault="00AE0CB4" w:rsidP="00BE0522">
                            <w:pPr>
                              <w:rPr>
                                <w:lang w:val="en-GB"/>
                              </w:rPr>
                            </w:pPr>
                            <w:r>
                              <w:rPr>
                                <w:lang w:val="en-GB"/>
                              </w:rPr>
                              <w:t>A9.9.1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31128" id="Text Box 57" o:spid="_x0000_s1075" type="#_x0000_t202" style="position:absolute;left:0;text-align:left;margin-left:478.95pt;margin-top:422.9pt;width:61.2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" strokeweight=".5pt">
                <v:textbox>
                  <w:txbxContent>
                    <w:p w14:paraId="20CDFFDE" w14:textId="77777777" w:rsidR="00AE0CB4" w:rsidRPr="0033408E" w:rsidRDefault="00AE0CB4" w:rsidP="00BE0522">
                      <w:pPr>
                        <w:rPr>
                          <w:lang w:val="en-GB"/>
                        </w:rPr>
                      </w:pPr>
                      <w:r>
                        <w:rPr>
                          <w:lang w:val="en-GB"/>
                        </w:rPr>
                        <w:t>A9.9.1</w:t>
                      </w:r>
                    </w:p>
                  </w:txbxContent>
                </v:textbox>
              </v:shape>
            </w:pict>
          </mc:Fallback>
        </mc:AlternateContent>
      </w:r>
      <w:r w:rsidRPr="00571974">
        <w:rPr>
          <w:noProof/>
          <w:lang w:val="en-GB" w:eastAsia="en-GB" w:bidi="ar-SA"/>
        </w:rPr>
        <mc:AlternateContent>
          <mc:Choice Requires="wps">
            <w:drawing>
              <wp:anchor distT="0" distB="0" distL="114300" distR="114300" simplePos="0" relativeHeight="251666432" behindDoc="0" locked="0" layoutInCell="1" allowOverlap="1" wp14:anchorId="475A7FD4" wp14:editId="75E6D602">
                <wp:simplePos x="0" y="0"/>
                <wp:positionH relativeFrom="column">
                  <wp:posOffset>6082665</wp:posOffset>
                </wp:positionH>
                <wp:positionV relativeFrom="paragraph">
                  <wp:posOffset>4651375</wp:posOffset>
                </wp:positionV>
                <wp:extent cx="777240" cy="472440"/>
                <wp:effectExtent l="5715" t="12700" r="7620" b="10160"/>
                <wp:wrapNone/>
                <wp:docPr id="3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472440"/>
                        </a:xfrm>
                        <a:prstGeom prst="rect">
                          <a:avLst/>
                        </a:prstGeom>
                        <a:solidFill>
                          <a:srgbClr val="FFFFFF"/>
                        </a:solidFill>
                        <a:ln w="6350">
                          <a:solidFill>
                            <a:srgbClr val="000000"/>
                          </a:solidFill>
                          <a:miter lim="800000"/>
                          <a:headEnd/>
                          <a:tailEnd/>
                        </a:ln>
                      </wps:spPr>
                      <wps:txbx>
                        <w:txbxContent>
                          <w:p w14:paraId="68244ECF" w14:textId="77777777" w:rsidR="00AE0CB4" w:rsidRPr="0033408E" w:rsidRDefault="00AE0CB4" w:rsidP="00BE0522">
                            <w:pPr>
                              <w:rPr>
                                <w:lang w:val="en-GB"/>
                              </w:rPr>
                            </w:pPr>
                            <w:r>
                              <w:rPr>
                                <w:lang w:val="en-GB"/>
                              </w:rPr>
                              <w:t>A9.9.1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A7FD4" id="Text Box 58" o:spid="_x0000_s1076" type="#_x0000_t202" style="position:absolute;left:0;text-align:left;margin-left:478.95pt;margin-top:366.25pt;width:61.2pt;height:3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" strokeweight=".5pt">
                <v:textbox>
                  <w:txbxContent>
                    <w:p w14:paraId="68244ECF" w14:textId="77777777" w:rsidR="00AE0CB4" w:rsidRPr="0033408E" w:rsidRDefault="00AE0CB4" w:rsidP="00BE0522">
                      <w:pPr>
                        <w:rPr>
                          <w:lang w:val="en-GB"/>
                        </w:rPr>
                      </w:pPr>
                      <w:r>
                        <w:rPr>
                          <w:lang w:val="en-GB"/>
                        </w:rPr>
                        <w:t>A9.9.1</w:t>
                      </w:r>
                    </w:p>
                  </w:txbxContent>
                </v:textbox>
              </v:shape>
            </w:pict>
          </mc:Fallback>
        </mc:AlternateContent>
      </w:r>
      <w:r w:rsidR="003D4D89" w:rsidRPr="00571974">
        <w:rPr>
          <w:b/>
          <w:bCs/>
          <w:lang w:val="en-GB"/>
        </w:rPr>
        <w:t xml:space="preserve">Duncan </w:t>
      </w:r>
      <w:r w:rsidR="003D4D89" w:rsidRPr="00A14CBB">
        <w:rPr>
          <w:b/>
          <w:szCs w:val="20"/>
          <w:lang w:val="en-GB"/>
        </w:rPr>
        <w:t>Wanblad</w:t>
      </w:r>
      <w:r w:rsidR="003D4D89" w:rsidRPr="00571974">
        <w:rPr>
          <w:lang w:val="en-GB"/>
        </w:rPr>
        <w:t>, BSc (Eng) Mech, GDE (Eng Management) (5</w:t>
      </w:r>
      <w:r w:rsidR="00D73EC4" w:rsidRPr="00571974">
        <w:rPr>
          <w:lang w:val="en-GB"/>
        </w:rPr>
        <w:t>3</w:t>
      </w:r>
      <w:r w:rsidR="003D4D89" w:rsidRPr="00571974">
        <w:rPr>
          <w:lang w:val="en-GB"/>
        </w:rPr>
        <w:t>)</w:t>
      </w:r>
      <w:r w:rsidR="0027166A" w:rsidRPr="00571974">
        <w:rPr>
          <w:lang w:val="en-GB"/>
        </w:rPr>
        <w:t xml:space="preserve"> </w:t>
      </w:r>
      <w:r w:rsidR="00E5298F" w:rsidRPr="007B1404">
        <w:rPr>
          <w:lang w:val="en-GB"/>
        </w:rPr>
        <w:t>Duncan led our Base Metals business as CEO</w:t>
      </w:r>
      <w:r w:rsidR="00E5298F">
        <w:rPr>
          <w:lang w:val="en-GB"/>
        </w:rPr>
        <w:t xml:space="preserve"> </w:t>
      </w:r>
      <w:r w:rsidR="00E5298F" w:rsidRPr="007B1404">
        <w:rPr>
          <w:lang w:val="en-GB"/>
        </w:rPr>
        <w:t>from 2013 to 2019, and took on the Strategy and Business Development portfolio as Group Director in 2016. He is a non-executive director</w:t>
      </w:r>
      <w:r w:rsidR="00E5298F">
        <w:rPr>
          <w:lang w:val="en-GB"/>
        </w:rPr>
        <w:t xml:space="preserve"> </w:t>
      </w:r>
      <w:r w:rsidR="00E5298F" w:rsidRPr="007B1404">
        <w:rPr>
          <w:lang w:val="en-GB"/>
        </w:rPr>
        <w:t>of De Beers and Kumba Iron Ore. Between 2009 and 2013, Duncan held the position of Group Director – Other Mining and Industrial. He was appointed joint interim CEO of Anglo American Platinum in 2007 (having served on the board since 2004), before taking</w:t>
      </w:r>
      <w:r w:rsidR="00E5298F">
        <w:rPr>
          <w:lang w:val="en-GB"/>
        </w:rPr>
        <w:t xml:space="preserve"> </w:t>
      </w:r>
      <w:r w:rsidR="00E5298F" w:rsidRPr="007B1404">
        <w:rPr>
          <w:lang w:val="en-GB"/>
        </w:rPr>
        <w:t>over as CEO of Anglo American</w:t>
      </w:r>
      <w:r w:rsidR="00A311D8">
        <w:rPr>
          <w:lang w:val="en-GB"/>
        </w:rPr>
        <w:t>’</w:t>
      </w:r>
      <w:r w:rsidR="00E5298F" w:rsidRPr="007B1404">
        <w:rPr>
          <w:lang w:val="en-GB"/>
        </w:rPr>
        <w:t>s Copper operations in 2008. Duncan began his career at Johannesburg Consolidated Investment</w:t>
      </w:r>
      <w:r w:rsidR="00E5298F">
        <w:rPr>
          <w:lang w:val="en-GB"/>
        </w:rPr>
        <w:t xml:space="preserve"> </w:t>
      </w:r>
      <w:r w:rsidR="00E5298F" w:rsidRPr="007B1404">
        <w:rPr>
          <w:lang w:val="en-GB"/>
        </w:rPr>
        <w:t>Company Limited in 1990.</w:t>
      </w:r>
    </w:p>
    <w:p w14:paraId="032AB65D" w14:textId="25B07E7F" w:rsidR="00CD5A80" w:rsidRDefault="003D4D89" w:rsidP="00D30762">
      <w:pPr>
        <w:pStyle w:val="BodyText"/>
        <w:widowControl/>
        <w:autoSpaceDE/>
        <w:autoSpaceDN/>
        <w:adjustRightInd/>
        <w:ind w:firstLine="360"/>
        <w:rPr>
          <w:szCs w:val="20"/>
          <w:lang w:val="en-GB"/>
        </w:rPr>
      </w:pPr>
      <w:r w:rsidRPr="00571974">
        <w:rPr>
          <w:b/>
          <w:bCs/>
          <w:szCs w:val="20"/>
          <w:lang w:val="en-GB"/>
        </w:rPr>
        <w:t>Natascha Viljoen</w:t>
      </w:r>
      <w:r w:rsidRPr="00571974">
        <w:rPr>
          <w:szCs w:val="20"/>
          <w:lang w:val="en-GB"/>
        </w:rPr>
        <w:t xml:space="preserve">, </w:t>
      </w:r>
      <w:r w:rsidR="00DB3AB1" w:rsidRPr="00DB3AB1">
        <w:rPr>
          <w:szCs w:val="20"/>
          <w:lang w:val="en-GB"/>
        </w:rPr>
        <w:t>BEng (</w:t>
      </w:r>
      <w:r w:rsidR="00DB3AB1">
        <w:rPr>
          <w:szCs w:val="20"/>
          <w:lang w:val="en-GB"/>
        </w:rPr>
        <w:t>M</w:t>
      </w:r>
      <w:r w:rsidR="00DB3AB1" w:rsidRPr="00DB3AB1">
        <w:rPr>
          <w:szCs w:val="20"/>
          <w:lang w:val="en-GB"/>
        </w:rPr>
        <w:t>etallurgical) EMBA (cum laude)</w:t>
      </w:r>
      <w:r w:rsidR="00DB3AB1">
        <w:rPr>
          <w:szCs w:val="20"/>
          <w:lang w:val="en-GB"/>
        </w:rPr>
        <w:t xml:space="preserve"> (49)</w:t>
      </w:r>
      <w:r w:rsidRPr="00571974">
        <w:rPr>
          <w:szCs w:val="20"/>
          <w:lang w:val="en-GB"/>
        </w:rPr>
        <w:t xml:space="preserve"> </w:t>
      </w:r>
      <w:r w:rsidR="005C5B11" w:rsidRPr="005C5B11">
        <w:rPr>
          <w:szCs w:val="20"/>
          <w:lang w:val="en-GB"/>
        </w:rPr>
        <w:t>Natascha is a seasoned senior executive, with 28 years</w:t>
      </w:r>
      <w:r w:rsidR="00A311D8">
        <w:rPr>
          <w:szCs w:val="20"/>
          <w:lang w:val="en-GB"/>
        </w:rPr>
        <w:t>’</w:t>
      </w:r>
      <w:r w:rsidR="005C5B11" w:rsidRPr="005C5B11">
        <w:rPr>
          <w:szCs w:val="20"/>
          <w:lang w:val="en-GB"/>
        </w:rPr>
        <w:t xml:space="preserve"> operational experience across the mining industry, spanning different countries, metals</w:t>
      </w:r>
      <w:r w:rsidR="005C5B11">
        <w:rPr>
          <w:szCs w:val="20"/>
          <w:lang w:val="en-GB"/>
        </w:rPr>
        <w:t xml:space="preserve"> </w:t>
      </w:r>
      <w:r w:rsidR="005C5B11" w:rsidRPr="005C5B11">
        <w:rPr>
          <w:szCs w:val="20"/>
          <w:lang w:val="en-GB"/>
        </w:rPr>
        <w:t>and minerals including the PGMs. Before joining Amplats, she was group head of processing for Anglo American plc where she led a global</w:t>
      </w:r>
      <w:r w:rsidR="005C5B11">
        <w:rPr>
          <w:szCs w:val="20"/>
          <w:lang w:val="en-GB"/>
        </w:rPr>
        <w:t xml:space="preserve"> </w:t>
      </w:r>
      <w:r w:rsidR="005C5B11" w:rsidRPr="005C5B11">
        <w:rPr>
          <w:szCs w:val="20"/>
          <w:lang w:val="en-GB"/>
        </w:rPr>
        <w:t xml:space="preserve">team that has unlocked value across the </w:t>
      </w:r>
      <w:r w:rsidR="00406594" w:rsidRPr="00406594">
        <w:rPr>
          <w:szCs w:val="20"/>
          <w:lang w:val="en-GB"/>
        </w:rPr>
        <w:t>Group</w:t>
      </w:r>
      <w:r w:rsidR="00A311D8">
        <w:rPr>
          <w:szCs w:val="20"/>
          <w:lang w:val="en-GB"/>
        </w:rPr>
        <w:t>’</w:t>
      </w:r>
      <w:r w:rsidR="00406594" w:rsidRPr="00406594">
        <w:rPr>
          <w:szCs w:val="20"/>
          <w:lang w:val="en-GB"/>
        </w:rPr>
        <w:t>s processing operations</w:t>
      </w:r>
      <w:r w:rsidR="00406594">
        <w:rPr>
          <w:szCs w:val="20"/>
          <w:lang w:val="en-GB"/>
        </w:rPr>
        <w:t xml:space="preserve"> </w:t>
      </w:r>
      <w:r w:rsidR="005C5B11" w:rsidRPr="005C5B11">
        <w:rPr>
          <w:szCs w:val="20"/>
          <w:lang w:val="en-GB"/>
        </w:rPr>
        <w:t>safely and with a long-term perspective, recognising their critical</w:t>
      </w:r>
      <w:r w:rsidR="005C5B11">
        <w:rPr>
          <w:szCs w:val="20"/>
          <w:lang w:val="en-GB"/>
        </w:rPr>
        <w:t xml:space="preserve"> </w:t>
      </w:r>
      <w:r w:rsidR="005C5B11" w:rsidRPr="005C5B11">
        <w:rPr>
          <w:szCs w:val="20"/>
          <w:lang w:val="en-GB"/>
        </w:rPr>
        <w:t>commercial place in the mining value chain. Natascha will also be appointed to the group management committee of Anglo American plc on</w:t>
      </w:r>
      <w:r w:rsidR="005C5B11">
        <w:rPr>
          <w:szCs w:val="20"/>
          <w:lang w:val="en-GB"/>
        </w:rPr>
        <w:t xml:space="preserve"> </w:t>
      </w:r>
      <w:r w:rsidR="005C5B11" w:rsidRPr="005C5B11">
        <w:rPr>
          <w:szCs w:val="20"/>
          <w:lang w:val="en-GB"/>
        </w:rPr>
        <w:t xml:space="preserve">April </w:t>
      </w:r>
      <w:r w:rsidR="0090235A" w:rsidRPr="005C5B11">
        <w:rPr>
          <w:szCs w:val="20"/>
          <w:lang w:val="en-GB"/>
        </w:rPr>
        <w:t>16</w:t>
      </w:r>
      <w:r w:rsidR="0090235A">
        <w:rPr>
          <w:szCs w:val="20"/>
          <w:lang w:val="en-GB"/>
        </w:rPr>
        <w:t>,</w:t>
      </w:r>
      <w:r w:rsidR="0090235A" w:rsidRPr="005C5B11">
        <w:rPr>
          <w:szCs w:val="20"/>
          <w:lang w:val="en-GB"/>
        </w:rPr>
        <w:t xml:space="preserve"> </w:t>
      </w:r>
      <w:r w:rsidR="005C5B11" w:rsidRPr="005C5B11">
        <w:rPr>
          <w:szCs w:val="20"/>
          <w:lang w:val="en-GB"/>
        </w:rPr>
        <w:t>2020.</w:t>
      </w:r>
      <w:r w:rsidR="005C5B11">
        <w:rPr>
          <w:szCs w:val="20"/>
          <w:lang w:val="en-GB"/>
        </w:rPr>
        <w:t xml:space="preserve"> </w:t>
      </w:r>
      <w:r w:rsidR="005C5B11" w:rsidRPr="005C5B11">
        <w:rPr>
          <w:szCs w:val="20"/>
          <w:lang w:val="en-GB"/>
        </w:rPr>
        <w:t>Prior to joining Anglo American, Natascha was executive vice president of processing at Lonmin. She began her career as an engineer at Iscor.</w:t>
      </w:r>
      <w:r w:rsidR="005C5B11">
        <w:rPr>
          <w:szCs w:val="20"/>
          <w:lang w:val="en-GB"/>
        </w:rPr>
        <w:t xml:space="preserve"> </w:t>
      </w:r>
      <w:r w:rsidR="005C5B11" w:rsidRPr="005C5B11">
        <w:rPr>
          <w:szCs w:val="20"/>
          <w:lang w:val="en-GB"/>
        </w:rPr>
        <w:t>She has held leadership positions at AngloGold and was general manager of BHP</w:t>
      </w:r>
      <w:r w:rsidR="00A311D8">
        <w:rPr>
          <w:szCs w:val="20"/>
          <w:lang w:val="en-GB"/>
        </w:rPr>
        <w:t>’</w:t>
      </w:r>
      <w:r w:rsidR="005C5B11" w:rsidRPr="005C5B11">
        <w:rPr>
          <w:szCs w:val="20"/>
          <w:lang w:val="en-GB"/>
        </w:rPr>
        <w:t>s Klipspruit Colliery before joining Lonmin in 2008.</w:t>
      </w:r>
      <w:r w:rsidR="005C5B11">
        <w:rPr>
          <w:szCs w:val="20"/>
          <w:lang w:val="en-GB"/>
        </w:rPr>
        <w:t xml:space="preserve"> </w:t>
      </w:r>
      <w:r w:rsidRPr="00571974">
        <w:rPr>
          <w:szCs w:val="20"/>
          <w:lang w:val="en-GB"/>
        </w:rPr>
        <w:t xml:space="preserve">Natascha will join Anglo American Platinum in April 1, 2020 and the Group Management Committee of Anglo </w:t>
      </w:r>
      <w:r w:rsidR="0053004A" w:rsidRPr="00571974">
        <w:rPr>
          <w:szCs w:val="20"/>
          <w:lang w:val="en-GB"/>
        </w:rPr>
        <w:t>American</w:t>
      </w:r>
      <w:r w:rsidRPr="00571974">
        <w:rPr>
          <w:szCs w:val="20"/>
          <w:lang w:val="en-GB"/>
        </w:rPr>
        <w:t xml:space="preserve"> plc on April </w:t>
      </w:r>
      <w:r w:rsidR="00234F7E" w:rsidRPr="00571974">
        <w:rPr>
          <w:szCs w:val="20"/>
          <w:lang w:val="en-GB"/>
        </w:rPr>
        <w:t>16</w:t>
      </w:r>
      <w:r w:rsidR="00234F7E">
        <w:rPr>
          <w:szCs w:val="20"/>
          <w:lang w:val="en-GB"/>
        </w:rPr>
        <w:t xml:space="preserve">, </w:t>
      </w:r>
      <w:r w:rsidRPr="00571974">
        <w:rPr>
          <w:szCs w:val="20"/>
          <w:lang w:val="en-GB"/>
        </w:rPr>
        <w:t>2020</w:t>
      </w:r>
      <w:r w:rsidR="00234F7E">
        <w:rPr>
          <w:szCs w:val="20"/>
          <w:lang w:val="en-GB"/>
        </w:rPr>
        <w:t>.</w:t>
      </w:r>
    </w:p>
    <w:p w14:paraId="1BEF81DF" w14:textId="2FB33A73" w:rsidR="00D46A6B" w:rsidRPr="00571974" w:rsidRDefault="00D46A6B" w:rsidP="00D46A6B">
      <w:pPr>
        <w:pStyle w:val="BodyText"/>
        <w:widowControl/>
        <w:autoSpaceDE/>
        <w:autoSpaceDN/>
        <w:adjustRightInd/>
        <w:ind w:firstLine="360"/>
        <w:rPr>
          <w:szCs w:val="20"/>
          <w:lang w:val="en-GB"/>
        </w:rPr>
      </w:pPr>
      <w:r w:rsidRPr="00571974">
        <w:rPr>
          <w:b/>
          <w:lang w:val="en-GB"/>
        </w:rPr>
        <w:t>Peter Whitcutt</w:t>
      </w:r>
      <w:r w:rsidRPr="00571974">
        <w:rPr>
          <w:lang w:val="en-GB"/>
        </w:rPr>
        <w:t>, BCom (Hons), CA (SA), MBA (5</w:t>
      </w:r>
      <w:r>
        <w:rPr>
          <w:lang w:val="en-GB"/>
        </w:rPr>
        <w:t>4</w:t>
      </w:r>
      <w:r w:rsidRPr="00571974">
        <w:rPr>
          <w:lang w:val="en-GB"/>
        </w:rPr>
        <w:t>)</w:t>
      </w:r>
      <w:r w:rsidRPr="007B1404">
        <w:rPr>
          <w:lang w:val="en-GB"/>
        </w:rPr>
        <w:t xml:space="preserve"> Peter has served as CEO of Marketing since January 2016. He is a non-executive director of De Beers. Peter joined the Group in 1990 within the Corporate Finance division. He worked on the merger of Minorco with Anglo American Corporation of South Africa, the listing of Anglo American plc in 1999 and the subsequent unwinding of the cross-holding with De Beers. Peter was appointed </w:t>
      </w:r>
      <w:r w:rsidRPr="007B1404">
        <w:rPr>
          <w:lang w:val="en-GB"/>
        </w:rPr>
        <w:lastRenderedPageBreak/>
        <w:t>Group Head of Finance in 2003, CFO of Base Metals in August 2008 and from 2013 to 2015, he served as Group Director – Strategy, Business Development and Marketing.</w:t>
      </w:r>
    </w:p>
    <w:p w14:paraId="790DD3EF" w14:textId="05DE9AB7" w:rsidR="00D46A6B" w:rsidRPr="00571974" w:rsidRDefault="00D46A6B" w:rsidP="00D46A6B">
      <w:pPr>
        <w:pStyle w:val="BodyText"/>
        <w:widowControl/>
        <w:autoSpaceDE/>
        <w:autoSpaceDN/>
        <w:adjustRightInd/>
        <w:ind w:firstLine="360"/>
        <w:rPr>
          <w:szCs w:val="20"/>
          <w:lang w:val="en-GB"/>
        </w:rPr>
      </w:pPr>
      <w:r w:rsidRPr="00571974">
        <w:rPr>
          <w:b/>
          <w:bCs/>
          <w:lang w:val="en-GB"/>
        </w:rPr>
        <w:t>Norman Mbazima</w:t>
      </w:r>
      <w:r w:rsidRPr="00571974">
        <w:rPr>
          <w:lang w:val="en-GB"/>
        </w:rPr>
        <w:t xml:space="preserve">, FCCA, FZICA (60) Norman </w:t>
      </w:r>
      <w:r w:rsidRPr="007B1404">
        <w:rPr>
          <w:lang w:val="en-GB"/>
        </w:rPr>
        <w:t>served as a member of the GMC during the year, before stepping down on 30 June 2019.</w:t>
      </w:r>
    </w:p>
    <w:p w14:paraId="18A2CB14" w14:textId="77777777" w:rsidR="00BE0522" w:rsidRPr="00571974" w:rsidRDefault="003D4D89" w:rsidP="007B1404">
      <w:pPr>
        <w:pStyle w:val="Heading3"/>
        <w:rPr>
          <w:lang w:val="en-GB"/>
        </w:rPr>
      </w:pPr>
      <w:r w:rsidRPr="00571974">
        <w:rPr>
          <w:lang w:val="en-GB"/>
        </w:rPr>
        <w:t>Management Committees</w:t>
      </w:r>
    </w:p>
    <w:p w14:paraId="38558813" w14:textId="77777777" w:rsidR="00BE0522" w:rsidRPr="00571974" w:rsidRDefault="003D4D89" w:rsidP="00EA3F32">
      <w:pPr>
        <w:pStyle w:val="Heading4"/>
      </w:pPr>
      <w:r w:rsidRPr="00571974">
        <w:t>Group Management Committee</w:t>
      </w:r>
    </w:p>
    <w:p w14:paraId="44520829" w14:textId="16E89D74" w:rsidR="00ED5C3D" w:rsidRPr="00571974" w:rsidRDefault="003D4D89" w:rsidP="00D30762">
      <w:pPr>
        <w:pStyle w:val="BodyText"/>
        <w:widowControl/>
        <w:autoSpaceDE/>
        <w:autoSpaceDN/>
        <w:adjustRightInd/>
        <w:ind w:firstLine="360"/>
        <w:rPr>
          <w:lang w:val="en-GB"/>
        </w:rPr>
      </w:pPr>
      <w:r w:rsidRPr="00571974">
        <w:rPr>
          <w:lang w:val="en-GB"/>
        </w:rPr>
        <w:t>The GMC is the principle executive committee. It is responsible for formulating strategy, setting targets and budgets and managing the Group</w:t>
      </w:r>
      <w:r w:rsidR="00A311D8">
        <w:rPr>
          <w:lang w:val="en-GB"/>
        </w:rPr>
        <w:t>’</w:t>
      </w:r>
      <w:r w:rsidRPr="00571974">
        <w:rPr>
          <w:lang w:val="en-GB"/>
        </w:rPr>
        <w:t>s portfolio.</w:t>
      </w:r>
    </w:p>
    <w:p w14:paraId="1A0FDCC5" w14:textId="77777777" w:rsidR="00BE0522" w:rsidRPr="00571974" w:rsidRDefault="003D4D89" w:rsidP="00D30762">
      <w:pPr>
        <w:pStyle w:val="BodyText"/>
        <w:widowControl/>
        <w:autoSpaceDE/>
        <w:autoSpaceDN/>
        <w:adjustRightInd/>
        <w:ind w:firstLine="360"/>
        <w:rPr>
          <w:lang w:val="en-GB"/>
        </w:rPr>
      </w:pPr>
      <w:r w:rsidRPr="00571974">
        <w:rPr>
          <w:lang w:val="en-GB"/>
        </w:rPr>
        <w:t>The names and biographical details of the current members are shown above. The business address of each member is 20 Carlton House Terrace, London SW1Y 5AN, England.</w:t>
      </w:r>
    </w:p>
    <w:p w14:paraId="6D953D2B" w14:textId="77777777" w:rsidR="00BE0522" w:rsidRPr="00571974" w:rsidRDefault="003D4D89" w:rsidP="00EA3F32">
      <w:pPr>
        <w:pStyle w:val="Heading4"/>
      </w:pPr>
      <w:r w:rsidRPr="00571974">
        <w:t>Corporate Committee</w:t>
      </w:r>
    </w:p>
    <w:p w14:paraId="11587F07" w14:textId="77777777" w:rsidR="00BE0522" w:rsidRPr="00571974" w:rsidRDefault="003D4D89" w:rsidP="00D30762">
      <w:pPr>
        <w:pStyle w:val="BodyText"/>
        <w:widowControl/>
        <w:autoSpaceDE/>
        <w:autoSpaceDN/>
        <w:adjustRightInd/>
        <w:ind w:firstLine="360"/>
        <w:rPr>
          <w:lang w:val="en-GB"/>
        </w:rPr>
      </w:pPr>
      <w:r w:rsidRPr="00571974">
        <w:rPr>
          <w:lang w:val="en-GB"/>
        </w:rPr>
        <w:t>The Corporate Committee reviews corporate and ethical policies and processes, and financial performance and budgets at business unit level.</w:t>
      </w:r>
    </w:p>
    <w:p w14:paraId="0B0DF24F" w14:textId="77777777" w:rsidR="00BE0522" w:rsidRPr="00571974" w:rsidRDefault="003D4D89" w:rsidP="00EA3F32">
      <w:pPr>
        <w:pStyle w:val="Heading4"/>
      </w:pPr>
      <w:r w:rsidRPr="00571974">
        <w:t>Operational Committee</w:t>
      </w:r>
    </w:p>
    <w:p w14:paraId="31156E1B" w14:textId="77777777" w:rsidR="00BE0522" w:rsidRPr="00571974" w:rsidRDefault="003D4D89" w:rsidP="00D30762">
      <w:pPr>
        <w:pStyle w:val="BodyText"/>
        <w:widowControl/>
        <w:autoSpaceDE/>
        <w:autoSpaceDN/>
        <w:adjustRightInd/>
        <w:ind w:firstLine="360"/>
        <w:rPr>
          <w:lang w:val="en-GB"/>
        </w:rPr>
      </w:pPr>
      <w:r>
        <w:rPr>
          <w:lang w:val="en-GB"/>
        </w:rPr>
        <w:t xml:space="preserve">The </w:t>
      </w:r>
      <w:r w:rsidR="006D61C0" w:rsidRPr="00571974">
        <w:rPr>
          <w:lang w:val="en-GB"/>
        </w:rPr>
        <w:t>Operational Committee is responsible for driving operational best practices across the Group and the setting of technical standards.</w:t>
      </w:r>
    </w:p>
    <w:p w14:paraId="1E2DDE7F" w14:textId="77777777" w:rsidR="00BE0522" w:rsidRPr="00571974" w:rsidRDefault="003D4D89" w:rsidP="00EA3F32">
      <w:pPr>
        <w:pStyle w:val="Heading4"/>
      </w:pPr>
      <w:r w:rsidRPr="00571974">
        <w:t>Investment Committee</w:t>
      </w:r>
    </w:p>
    <w:p w14:paraId="60BD7C0F" w14:textId="77777777" w:rsidR="00BE0522" w:rsidRPr="00571974" w:rsidRDefault="003D4D89" w:rsidP="00D30762">
      <w:pPr>
        <w:pStyle w:val="BodyText"/>
        <w:widowControl/>
        <w:autoSpaceDE/>
        <w:autoSpaceDN/>
        <w:adjustRightInd/>
        <w:ind w:firstLine="360"/>
        <w:rPr>
          <w:lang w:val="en-GB"/>
        </w:rPr>
      </w:pPr>
      <w:r w:rsidRPr="00571974">
        <w:rPr>
          <w:lang w:val="en-GB"/>
        </w:rPr>
        <w:t xml:space="preserve">The Investment </w:t>
      </w:r>
      <w:r w:rsidR="0053004A" w:rsidRPr="00571974">
        <w:rPr>
          <w:lang w:val="en-GB"/>
        </w:rPr>
        <w:t>Committee</w:t>
      </w:r>
      <w:r w:rsidRPr="00571974">
        <w:rPr>
          <w:lang w:val="en-GB"/>
        </w:rPr>
        <w:t xml:space="preserve"> is responsible for making recommendations on capital investment proposals.</w:t>
      </w:r>
    </w:p>
    <w:p w14:paraId="604D480E" w14:textId="77777777" w:rsidR="00ED5C3D" w:rsidRPr="00571974" w:rsidRDefault="003D4D89" w:rsidP="00EA3F32">
      <w:pPr>
        <w:pStyle w:val="Heading4"/>
      </w:pPr>
      <w:r w:rsidRPr="00571974">
        <w:t>Marketing Risk Committee</w:t>
      </w:r>
    </w:p>
    <w:p w14:paraId="0FD21D8D" w14:textId="77777777" w:rsidR="00ED5C3D" w:rsidRPr="00571974" w:rsidRDefault="003D4D89" w:rsidP="009E54F8">
      <w:pPr>
        <w:pStyle w:val="BodyText"/>
        <w:widowControl/>
        <w:autoSpaceDE/>
        <w:autoSpaceDN/>
        <w:adjustRightInd/>
        <w:ind w:firstLine="360"/>
        <w:rPr>
          <w:b/>
          <w:i/>
          <w:lang w:val="en-GB"/>
        </w:rPr>
      </w:pPr>
      <w:r w:rsidRPr="00571974">
        <w:rPr>
          <w:lang w:val="en-GB"/>
        </w:rPr>
        <w:t xml:space="preserve">The </w:t>
      </w:r>
      <w:r w:rsidR="009E54F8">
        <w:rPr>
          <w:lang w:val="en-GB"/>
        </w:rPr>
        <w:t>Marketing Risk Committee</w:t>
      </w:r>
      <w:r w:rsidRPr="00571974">
        <w:rPr>
          <w:lang w:val="en-GB"/>
        </w:rPr>
        <w:t xml:space="preserve"> is responsible for evaluating, monitoring, directing and controlling the management of risk associated with the sales and marketing activities of the Group.</w:t>
      </w:r>
    </w:p>
    <w:p w14:paraId="0AC4633F" w14:textId="77777777" w:rsidR="00ED5C3D" w:rsidRPr="00571974" w:rsidRDefault="003D4D89" w:rsidP="00EA3F32">
      <w:pPr>
        <w:pStyle w:val="Heading4"/>
      </w:pPr>
      <w:r w:rsidRPr="00571974">
        <w:t>Innovation Committee</w:t>
      </w:r>
    </w:p>
    <w:p w14:paraId="2B202421" w14:textId="77777777" w:rsidR="00337C12" w:rsidRPr="00571974" w:rsidRDefault="003D4D89" w:rsidP="009E54F8">
      <w:pPr>
        <w:pStyle w:val="BodyText"/>
        <w:widowControl/>
        <w:autoSpaceDE/>
        <w:autoSpaceDN/>
        <w:adjustRightInd/>
        <w:ind w:firstLine="360"/>
        <w:rPr>
          <w:b/>
          <w:i/>
          <w:lang w:val="en-GB"/>
        </w:rPr>
      </w:pPr>
      <w:r w:rsidRPr="00571974">
        <w:rPr>
          <w:lang w:val="en-GB"/>
        </w:rPr>
        <w:t xml:space="preserve">The </w:t>
      </w:r>
      <w:r w:rsidR="009E54F8">
        <w:rPr>
          <w:lang w:val="en-GB"/>
        </w:rPr>
        <w:t>Innovation Committee</w:t>
      </w:r>
      <w:r w:rsidRPr="00571974">
        <w:rPr>
          <w:lang w:val="en-GB"/>
        </w:rPr>
        <w:t xml:space="preserve"> is responsible for the governance of technology innovation projects.</w:t>
      </w:r>
    </w:p>
    <w:p w14:paraId="0B16E154" w14:textId="77777777" w:rsidR="00BE0522" w:rsidRPr="00571974" w:rsidRDefault="003D4D89" w:rsidP="007B1404">
      <w:pPr>
        <w:pStyle w:val="Heading3"/>
        <w:rPr>
          <w:lang w:val="en-GB"/>
        </w:rPr>
      </w:pPr>
      <w:r w:rsidRPr="00571974">
        <w:rPr>
          <w:lang w:val="en-GB"/>
        </w:rPr>
        <w:t>Dates of Appointment and Re-election</w:t>
      </w:r>
    </w:p>
    <w:p w14:paraId="07CF171B" w14:textId="77777777" w:rsidR="00BE0522" w:rsidRPr="00571974" w:rsidRDefault="003D4D89" w:rsidP="00EA3F32">
      <w:pPr>
        <w:pStyle w:val="Heading4"/>
        <w:rPr>
          <w:vertAlign w:val="superscript"/>
        </w:rPr>
      </w:pPr>
      <w:r w:rsidRPr="00571974">
        <w:t>Executive Directors</w:t>
      </w:r>
      <w:r w:rsidRPr="00571974">
        <w:rPr>
          <w:vertAlign w:val="superscript"/>
        </w:rPr>
        <w:t>(1)</w:t>
      </w:r>
    </w:p>
    <w:p w14:paraId="2EB61424" w14:textId="493D93BE" w:rsidR="00BE0522" w:rsidRPr="00571974" w:rsidRDefault="003D4D89" w:rsidP="00D30762">
      <w:pPr>
        <w:pStyle w:val="BodyText"/>
        <w:widowControl/>
        <w:autoSpaceDE/>
        <w:autoSpaceDN/>
        <w:adjustRightInd/>
        <w:ind w:firstLine="360"/>
        <w:rPr>
          <w:b/>
          <w:bCs/>
          <w:szCs w:val="20"/>
          <w:lang w:val="en-GB"/>
        </w:rPr>
      </w:pPr>
      <w:r w:rsidRPr="00571974">
        <w:rPr>
          <w:bCs/>
          <w:iCs/>
          <w:lang w:val="en-GB"/>
        </w:rPr>
        <w:t xml:space="preserve">The </w:t>
      </w:r>
      <w:r w:rsidRPr="00571974">
        <w:rPr>
          <w:lang w:val="en-GB"/>
        </w:rPr>
        <w:t>following</w:t>
      </w:r>
      <w:r w:rsidRPr="00571974">
        <w:rPr>
          <w:bCs/>
          <w:iCs/>
          <w:lang w:val="en-GB"/>
        </w:rPr>
        <w:t xml:space="preserve"> table </w:t>
      </w:r>
      <w:r w:rsidRPr="00571974">
        <w:rPr>
          <w:lang w:val="en-GB"/>
        </w:rPr>
        <w:t>summarizes</w:t>
      </w:r>
      <w:r w:rsidRPr="00571974">
        <w:rPr>
          <w:bCs/>
          <w:iCs/>
          <w:lang w:val="en-GB"/>
        </w:rPr>
        <w:t xml:space="preserve"> the executive directors</w:t>
      </w:r>
      <w:r w:rsidR="00A311D8">
        <w:rPr>
          <w:bCs/>
          <w:iCs/>
          <w:lang w:val="en-GB"/>
        </w:rPr>
        <w:t>’</w:t>
      </w:r>
      <w:r w:rsidRPr="00571974">
        <w:rPr>
          <w:bCs/>
          <w:iCs/>
          <w:lang w:val="en-GB"/>
        </w:rPr>
        <w:t xml:space="preserve"> date of appointment and the applicable date of re-election or election to the Board:</w:t>
      </w:r>
    </w:p>
    <w:tbl>
      <w:tblPr>
        <w:tblW w:w="0" w:type="auto"/>
        <w:jc w:val="center"/>
        <w:tblLayout w:type="fixed"/>
        <w:tblCellMar>
          <w:left w:w="72" w:type="dxa"/>
          <w:right w:w="72" w:type="dxa"/>
        </w:tblCellMar>
        <w:tblLook w:val="0000" w:firstRow="0" w:lastRow="0" w:firstColumn="0" w:lastColumn="0" w:noHBand="0" w:noVBand="0"/>
      </w:tblPr>
      <w:tblGrid>
        <w:gridCol w:w="3009"/>
        <w:gridCol w:w="2343"/>
        <w:gridCol w:w="2566"/>
      </w:tblGrid>
      <w:tr w:rsidR="002228B8" w14:paraId="2DAE270A" w14:textId="77777777" w:rsidTr="00F96922">
        <w:trPr>
          <w:cantSplit/>
          <w:jc w:val="center"/>
        </w:trPr>
        <w:tc>
          <w:tcPr>
            <w:tcW w:w="3009" w:type="dxa"/>
            <w:tcBorders>
              <w:top w:val="nil"/>
              <w:left w:val="nil"/>
              <w:bottom w:val="nil"/>
              <w:right w:val="nil"/>
            </w:tcBorders>
            <w:vAlign w:val="bottom"/>
          </w:tcPr>
          <w:p w14:paraId="1A2F7ECC" w14:textId="77777777" w:rsidR="00BE0522" w:rsidRPr="00571974" w:rsidRDefault="00BE0522" w:rsidP="00F96922">
            <w:pPr>
              <w:widowControl/>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2343" w:type="dxa"/>
            <w:tcBorders>
              <w:top w:val="nil"/>
              <w:left w:val="nil"/>
              <w:bottom w:val="nil"/>
              <w:right w:val="nil"/>
            </w:tcBorders>
            <w:vAlign w:val="bottom"/>
          </w:tcPr>
          <w:p w14:paraId="2B202A28" w14:textId="77777777" w:rsidR="00BE0522" w:rsidRPr="00571974" w:rsidRDefault="003D4D89" w:rsidP="00F96922">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sz w:val="18"/>
                <w:lang w:val="en-GB" w:eastAsia="en-GB" w:bidi="ar-SA"/>
              </w:rPr>
              <w:t>Date of appointment</w:t>
            </w:r>
          </w:p>
        </w:tc>
        <w:tc>
          <w:tcPr>
            <w:tcW w:w="2566" w:type="dxa"/>
            <w:tcBorders>
              <w:top w:val="nil"/>
              <w:left w:val="nil"/>
              <w:bottom w:val="nil"/>
              <w:right w:val="nil"/>
            </w:tcBorders>
            <w:vAlign w:val="bottom"/>
          </w:tcPr>
          <w:p w14:paraId="0BFE1667" w14:textId="77777777" w:rsidR="00BE0522" w:rsidRPr="00571974" w:rsidRDefault="003D4D89" w:rsidP="006D150F">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sz w:val="18"/>
                <w:lang w:val="en-GB" w:eastAsia="en-GB" w:bidi="ar-SA"/>
              </w:rPr>
              <w:t>Next AGM</w:t>
            </w:r>
            <w:r w:rsidRPr="00571974">
              <w:rPr>
                <w:b/>
                <w:sz w:val="18"/>
                <w:lang w:val="en-GB" w:eastAsia="en-GB" w:bidi="ar-SA"/>
              </w:rPr>
              <w:br/>
              <w:t>re-election or</w:t>
            </w:r>
            <w:r w:rsidRPr="00571974">
              <w:rPr>
                <w:b/>
                <w:sz w:val="18"/>
                <w:lang w:val="en-GB" w:eastAsia="en-GB" w:bidi="ar-SA"/>
              </w:rPr>
              <w:br/>
              <w:t>election</w:t>
            </w:r>
          </w:p>
        </w:tc>
      </w:tr>
      <w:tr w:rsidR="002228B8" w:rsidRPr="00B63252" w14:paraId="215E48EA" w14:textId="77777777" w:rsidTr="00F96922">
        <w:trPr>
          <w:cantSplit/>
          <w:jc w:val="center"/>
        </w:trPr>
        <w:tc>
          <w:tcPr>
            <w:tcW w:w="3009" w:type="dxa"/>
            <w:tcBorders>
              <w:top w:val="nil"/>
              <w:left w:val="nil"/>
              <w:bottom w:val="nil"/>
              <w:right w:val="nil"/>
            </w:tcBorders>
          </w:tcPr>
          <w:p w14:paraId="0D1C7843" w14:textId="77777777" w:rsidR="00BE0522" w:rsidRPr="00B63252" w:rsidRDefault="003D4D89" w:rsidP="00F96922">
            <w:pPr>
              <w:widowControl/>
              <w:tabs>
                <w:tab w:val="right" w:leader="dot" w:pos="2860"/>
              </w:tabs>
              <w:suppressAutoHyphens/>
              <w:ind w:left="200" w:hanging="200"/>
              <w:rPr>
                <w:sz w:val="18"/>
                <w:lang w:val="en-GB" w:eastAsia="en-GB" w:bidi="ar-SA"/>
              </w:rPr>
            </w:pPr>
            <w:r w:rsidRPr="00B63252">
              <w:rPr>
                <w:sz w:val="18"/>
                <w:lang w:val="en-GB" w:eastAsia="en-GB" w:bidi="ar-SA"/>
              </w:rPr>
              <w:t xml:space="preserve">Mark Cutifani (chief executive) </w:t>
            </w:r>
            <w:r w:rsidRPr="00B63252">
              <w:rPr>
                <w:sz w:val="18"/>
                <w:lang w:val="en-GB" w:eastAsia="en-GB" w:bidi="ar-SA"/>
              </w:rPr>
              <w:tab/>
            </w:r>
          </w:p>
        </w:tc>
        <w:tc>
          <w:tcPr>
            <w:tcW w:w="2343" w:type="dxa"/>
            <w:tcBorders>
              <w:top w:val="nil"/>
              <w:left w:val="nil"/>
              <w:bottom w:val="nil"/>
              <w:right w:val="nil"/>
            </w:tcBorders>
            <w:vAlign w:val="bottom"/>
          </w:tcPr>
          <w:p w14:paraId="183E5CB6" w14:textId="77777777" w:rsidR="00BE0522" w:rsidRPr="00B63252" w:rsidRDefault="003D4D89" w:rsidP="00F96922">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April 3, 2013</w:t>
            </w:r>
          </w:p>
        </w:tc>
        <w:tc>
          <w:tcPr>
            <w:tcW w:w="2566" w:type="dxa"/>
            <w:tcBorders>
              <w:top w:val="nil"/>
              <w:left w:val="nil"/>
              <w:bottom w:val="nil"/>
              <w:right w:val="nil"/>
            </w:tcBorders>
            <w:vAlign w:val="bottom"/>
          </w:tcPr>
          <w:p w14:paraId="2B7778B4" w14:textId="5C70A286" w:rsidR="00BE0522" w:rsidRPr="008151C7" w:rsidRDefault="001751C3" w:rsidP="00F96922">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2228B8" w:rsidRPr="00B63252" w14:paraId="0CAD47DF" w14:textId="77777777" w:rsidTr="00F96922">
        <w:trPr>
          <w:cantSplit/>
          <w:jc w:val="center"/>
        </w:trPr>
        <w:tc>
          <w:tcPr>
            <w:tcW w:w="3009" w:type="dxa"/>
            <w:tcBorders>
              <w:top w:val="nil"/>
              <w:left w:val="nil"/>
              <w:bottom w:val="nil"/>
              <w:right w:val="nil"/>
            </w:tcBorders>
          </w:tcPr>
          <w:p w14:paraId="39200356" w14:textId="77777777" w:rsidR="00C71077" w:rsidRPr="00B63252" w:rsidRDefault="003D4D89" w:rsidP="00C71077">
            <w:pPr>
              <w:widowControl/>
              <w:tabs>
                <w:tab w:val="right" w:leader="dot" w:pos="2860"/>
              </w:tabs>
              <w:suppressAutoHyphens/>
              <w:ind w:left="200" w:hanging="200"/>
              <w:rPr>
                <w:sz w:val="18"/>
                <w:lang w:val="en-GB" w:eastAsia="en-GB" w:bidi="ar-SA"/>
              </w:rPr>
            </w:pPr>
            <w:r w:rsidRPr="00B63252">
              <w:rPr>
                <w:sz w:val="18"/>
                <w:lang w:val="en-GB" w:eastAsia="en-GB" w:bidi="ar-SA"/>
              </w:rPr>
              <w:t>Stephen Pearce (finance director)</w:t>
            </w:r>
            <w:r w:rsidRPr="00B63252">
              <w:rPr>
                <w:sz w:val="18"/>
                <w:lang w:val="en-GB" w:eastAsia="en-GB" w:bidi="ar-SA"/>
              </w:rPr>
              <w:tab/>
            </w:r>
          </w:p>
        </w:tc>
        <w:tc>
          <w:tcPr>
            <w:tcW w:w="2343" w:type="dxa"/>
            <w:tcBorders>
              <w:top w:val="nil"/>
              <w:left w:val="nil"/>
              <w:bottom w:val="nil"/>
              <w:right w:val="nil"/>
            </w:tcBorders>
            <w:vAlign w:val="bottom"/>
          </w:tcPr>
          <w:p w14:paraId="1C2CDB47" w14:textId="77777777" w:rsidR="00C71077" w:rsidRPr="00B63252" w:rsidRDefault="003D4D89" w:rsidP="00C7107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April 24, 2017</w:t>
            </w:r>
          </w:p>
        </w:tc>
        <w:tc>
          <w:tcPr>
            <w:tcW w:w="2566" w:type="dxa"/>
            <w:tcBorders>
              <w:top w:val="nil"/>
              <w:left w:val="nil"/>
              <w:bottom w:val="nil"/>
              <w:right w:val="nil"/>
            </w:tcBorders>
            <w:vAlign w:val="bottom"/>
          </w:tcPr>
          <w:p w14:paraId="7FE4EEE2" w14:textId="6817CF7C" w:rsidR="00C71077" w:rsidRPr="008151C7" w:rsidRDefault="001751C3" w:rsidP="00C7107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2228B8" w:rsidRPr="00B63252" w14:paraId="6E822D53" w14:textId="77777777" w:rsidTr="00F96922">
        <w:trPr>
          <w:cantSplit/>
          <w:jc w:val="center"/>
        </w:trPr>
        <w:tc>
          <w:tcPr>
            <w:tcW w:w="3009" w:type="dxa"/>
            <w:tcBorders>
              <w:top w:val="nil"/>
              <w:left w:val="nil"/>
              <w:bottom w:val="nil"/>
              <w:right w:val="nil"/>
            </w:tcBorders>
          </w:tcPr>
          <w:p w14:paraId="6EAADB8C" w14:textId="3CE63FDB" w:rsidR="00C71077" w:rsidRPr="00B63252" w:rsidRDefault="003D4D89" w:rsidP="00C71077">
            <w:pPr>
              <w:widowControl/>
              <w:tabs>
                <w:tab w:val="right" w:leader="dot" w:pos="2860"/>
              </w:tabs>
              <w:suppressAutoHyphens/>
              <w:ind w:left="200" w:hanging="200"/>
              <w:rPr>
                <w:sz w:val="18"/>
                <w:lang w:val="en-GB" w:eastAsia="en-GB" w:bidi="ar-SA"/>
              </w:rPr>
            </w:pPr>
            <w:r w:rsidRPr="00B63252">
              <w:rPr>
                <w:sz w:val="18"/>
                <w:lang w:val="en-GB" w:eastAsia="en-GB" w:bidi="ar-SA"/>
              </w:rPr>
              <w:t>Tony O</w:t>
            </w:r>
            <w:r w:rsidR="00A311D8">
              <w:rPr>
                <w:sz w:val="18"/>
                <w:lang w:val="en-GB" w:eastAsia="en-GB" w:bidi="ar-SA"/>
              </w:rPr>
              <w:t>’</w:t>
            </w:r>
            <w:r w:rsidRPr="00B63252">
              <w:rPr>
                <w:sz w:val="18"/>
                <w:lang w:val="en-GB" w:eastAsia="en-GB" w:bidi="ar-SA"/>
              </w:rPr>
              <w:t>Neill (technical director)</w:t>
            </w:r>
          </w:p>
        </w:tc>
        <w:tc>
          <w:tcPr>
            <w:tcW w:w="2343" w:type="dxa"/>
            <w:tcBorders>
              <w:top w:val="nil"/>
              <w:left w:val="nil"/>
              <w:bottom w:val="nil"/>
              <w:right w:val="nil"/>
            </w:tcBorders>
            <w:vAlign w:val="bottom"/>
          </w:tcPr>
          <w:p w14:paraId="2BB58A23" w14:textId="77777777" w:rsidR="00C71077" w:rsidRPr="00B63252" w:rsidRDefault="003D4D89" w:rsidP="00C7107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July 22, 2015</w:t>
            </w:r>
          </w:p>
        </w:tc>
        <w:tc>
          <w:tcPr>
            <w:tcW w:w="2566" w:type="dxa"/>
            <w:tcBorders>
              <w:top w:val="nil"/>
              <w:left w:val="nil"/>
              <w:bottom w:val="nil"/>
              <w:right w:val="nil"/>
            </w:tcBorders>
            <w:vAlign w:val="bottom"/>
          </w:tcPr>
          <w:p w14:paraId="6E81395A" w14:textId="747FBBF5" w:rsidR="00C71077" w:rsidRPr="008151C7" w:rsidRDefault="001751C3" w:rsidP="00C7107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2228B8" w:rsidRPr="00B63252" w14:paraId="5AFE4E42" w14:textId="77777777" w:rsidTr="00F96922">
        <w:trPr>
          <w:cantSplit/>
          <w:jc w:val="center"/>
        </w:trPr>
        <w:tc>
          <w:tcPr>
            <w:tcW w:w="3009" w:type="dxa"/>
            <w:tcBorders>
              <w:top w:val="nil"/>
              <w:left w:val="nil"/>
              <w:bottom w:val="nil"/>
              <w:right w:val="nil"/>
            </w:tcBorders>
          </w:tcPr>
          <w:p w14:paraId="1311BE45" w14:textId="77777777" w:rsidR="00C71077" w:rsidRPr="00B63252" w:rsidRDefault="00C71077" w:rsidP="00C71077">
            <w:pPr>
              <w:widowControl/>
              <w:tabs>
                <w:tab w:val="right" w:leader="dot" w:pos="2860"/>
              </w:tabs>
              <w:suppressAutoHyphens/>
              <w:ind w:left="200" w:hanging="200"/>
              <w:rPr>
                <w:sz w:val="18"/>
                <w:lang w:val="en-GB" w:eastAsia="en-GB" w:bidi="ar-SA"/>
              </w:rPr>
            </w:pPr>
          </w:p>
        </w:tc>
        <w:tc>
          <w:tcPr>
            <w:tcW w:w="2343" w:type="dxa"/>
            <w:tcBorders>
              <w:top w:val="nil"/>
              <w:left w:val="nil"/>
              <w:bottom w:val="nil"/>
              <w:right w:val="nil"/>
            </w:tcBorders>
            <w:vAlign w:val="bottom"/>
          </w:tcPr>
          <w:p w14:paraId="2ABD0CF2" w14:textId="77777777" w:rsidR="00C71077" w:rsidRPr="00B63252" w:rsidRDefault="00C71077" w:rsidP="00C7107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p>
        </w:tc>
        <w:tc>
          <w:tcPr>
            <w:tcW w:w="2566" w:type="dxa"/>
            <w:tcBorders>
              <w:top w:val="nil"/>
              <w:left w:val="nil"/>
              <w:bottom w:val="nil"/>
              <w:right w:val="nil"/>
            </w:tcBorders>
            <w:vAlign w:val="bottom"/>
          </w:tcPr>
          <w:p w14:paraId="31A67C60" w14:textId="77777777" w:rsidR="00C71077" w:rsidRPr="008151C7" w:rsidRDefault="00C71077" w:rsidP="00C71077">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p>
        </w:tc>
      </w:tr>
    </w:tbl>
    <w:p w14:paraId="690D1C94" w14:textId="77777777" w:rsidR="00BE0522" w:rsidRPr="00B63252" w:rsidRDefault="00836D74" w:rsidP="00BE0522">
      <w:pPr>
        <w:rPr>
          <w:lang w:val="en-GB"/>
        </w:rPr>
      </w:pPr>
      <w:r>
        <w:rPr>
          <w:lang w:val="en-GB"/>
        </w:rPr>
        <w:pict w14:anchorId="52560A7B">
          <v:rect id="_x0000_i1057" style="width:184.5pt;height:1pt" o:hrpct="250" o:hrstd="t" o:hrnoshade="t" o:hr="t" fillcolor="black" stroked="f"/>
        </w:pict>
      </w:r>
    </w:p>
    <w:p w14:paraId="370E5B78" w14:textId="77777777" w:rsidR="00BE0522" w:rsidRPr="00B63252" w:rsidRDefault="003D4D89" w:rsidP="003D4D89">
      <w:pPr>
        <w:pStyle w:val="ListParagraph"/>
        <w:widowControl/>
        <w:numPr>
          <w:ilvl w:val="0"/>
          <w:numId w:val="15"/>
        </w:numPr>
        <w:tabs>
          <w:tab w:val="left" w:pos="-720"/>
          <w:tab w:val="left" w:pos="0"/>
        </w:tabs>
        <w:suppressAutoHyphens/>
        <w:spacing w:after="240"/>
        <w:ind w:left="426"/>
        <w:rPr>
          <w:sz w:val="16"/>
          <w:szCs w:val="18"/>
          <w:lang w:val="en-GB"/>
        </w:rPr>
      </w:pPr>
      <w:r w:rsidRPr="00B63252">
        <w:rPr>
          <w:sz w:val="16"/>
          <w:szCs w:val="18"/>
          <w:lang w:val="en-GB"/>
        </w:rPr>
        <w:t>At each AGM all directors shall retire from office.</w:t>
      </w:r>
    </w:p>
    <w:p w14:paraId="3CD7CE2E" w14:textId="635AA621" w:rsidR="00BE0522" w:rsidRPr="00B63252" w:rsidRDefault="003D4D89" w:rsidP="00EA3F32">
      <w:pPr>
        <w:pStyle w:val="Heading4"/>
        <w:rPr>
          <w:vertAlign w:val="superscript"/>
        </w:rPr>
      </w:pPr>
      <w:r w:rsidRPr="00B63252">
        <w:t>Non-Executive Directors</w:t>
      </w:r>
      <w:r w:rsidRPr="00B63252">
        <w:rPr>
          <w:vertAlign w:val="superscript"/>
        </w:rPr>
        <w:t>(1)(2)</w:t>
      </w:r>
      <w:r w:rsidR="00337C12" w:rsidRPr="00B63252">
        <w:rPr>
          <w:vertAlign w:val="superscript"/>
        </w:rPr>
        <w:t>(3)(4</w:t>
      </w:r>
    </w:p>
    <w:p w14:paraId="3E0D8E68" w14:textId="77777777" w:rsidR="00BE0522" w:rsidRPr="00B63252" w:rsidRDefault="003D4D89" w:rsidP="00D30762">
      <w:pPr>
        <w:pStyle w:val="BodyText"/>
        <w:widowControl/>
        <w:autoSpaceDE/>
        <w:autoSpaceDN/>
        <w:adjustRightInd/>
        <w:ind w:firstLine="360"/>
        <w:rPr>
          <w:bCs/>
          <w:iCs/>
          <w:lang w:val="en-GB"/>
        </w:rPr>
      </w:pPr>
      <w:r w:rsidRPr="00B63252">
        <w:rPr>
          <w:lang w:val="en-GB"/>
        </w:rPr>
        <w:t xml:space="preserve">All non-executive </w:t>
      </w:r>
      <w:r w:rsidRPr="00B63252">
        <w:rPr>
          <w:bCs/>
          <w:iCs/>
          <w:lang w:val="en-GB"/>
        </w:rPr>
        <w:t>directors have letters of appointment with the Company for an initial period of three years from their date of appointment, subject to reappointment at the AGM.</w:t>
      </w:r>
    </w:p>
    <w:p w14:paraId="291D0180" w14:textId="12485ABF" w:rsidR="00BE0522" w:rsidRPr="00B63252" w:rsidRDefault="003D4D89" w:rsidP="00BE0522">
      <w:pPr>
        <w:pStyle w:val="BodyText"/>
        <w:widowControl/>
        <w:autoSpaceDE/>
        <w:autoSpaceDN/>
        <w:adjustRightInd/>
        <w:ind w:firstLine="360"/>
        <w:rPr>
          <w:lang w:val="en-GB"/>
        </w:rPr>
      </w:pPr>
      <w:r w:rsidRPr="00B63252">
        <w:rPr>
          <w:bCs/>
          <w:iCs/>
          <w:lang w:val="en-GB"/>
        </w:rPr>
        <w:t>The following table summarizes</w:t>
      </w:r>
      <w:r w:rsidRPr="00B63252">
        <w:rPr>
          <w:lang w:val="en-GB"/>
        </w:rPr>
        <w:t xml:space="preserve"> the non-executive directors</w:t>
      </w:r>
      <w:r w:rsidR="00A311D8">
        <w:rPr>
          <w:lang w:val="en-GB"/>
        </w:rPr>
        <w:t>’</w:t>
      </w:r>
      <w:r w:rsidRPr="00B63252">
        <w:rPr>
          <w:lang w:val="en-GB"/>
        </w:rPr>
        <w:t xml:space="preserve"> date of appointment and the applicable date of re-election or election to the Board:</w:t>
      </w:r>
    </w:p>
    <w:tbl>
      <w:tblPr>
        <w:tblW w:w="0" w:type="auto"/>
        <w:jc w:val="center"/>
        <w:tblLayout w:type="fixed"/>
        <w:tblCellMar>
          <w:left w:w="72" w:type="dxa"/>
          <w:right w:w="72" w:type="dxa"/>
        </w:tblCellMar>
        <w:tblLook w:val="0000" w:firstRow="0" w:lastRow="0" w:firstColumn="0" w:lastColumn="0" w:noHBand="0" w:noVBand="0"/>
      </w:tblPr>
      <w:tblGrid>
        <w:gridCol w:w="3232"/>
        <w:gridCol w:w="2120"/>
        <w:gridCol w:w="2566"/>
      </w:tblGrid>
      <w:tr w:rsidR="002228B8" w:rsidRPr="00B63252" w14:paraId="5D1A9936" w14:textId="77777777" w:rsidTr="00F96922">
        <w:trPr>
          <w:cantSplit/>
          <w:jc w:val="center"/>
        </w:trPr>
        <w:tc>
          <w:tcPr>
            <w:tcW w:w="3232" w:type="dxa"/>
            <w:tcBorders>
              <w:top w:val="nil"/>
              <w:left w:val="nil"/>
              <w:bottom w:val="nil"/>
              <w:right w:val="nil"/>
            </w:tcBorders>
            <w:vAlign w:val="bottom"/>
          </w:tcPr>
          <w:p w14:paraId="58CF5D8C" w14:textId="77777777" w:rsidR="00BE0522" w:rsidRPr="00B63252" w:rsidRDefault="00BE0522" w:rsidP="00F96922">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2120" w:type="dxa"/>
            <w:tcBorders>
              <w:top w:val="nil"/>
              <w:left w:val="nil"/>
              <w:bottom w:val="nil"/>
              <w:right w:val="nil"/>
            </w:tcBorders>
            <w:vAlign w:val="bottom"/>
          </w:tcPr>
          <w:p w14:paraId="264499BB" w14:textId="77777777" w:rsidR="00BE0522" w:rsidRPr="00B63252" w:rsidRDefault="003D4D89" w:rsidP="00F96922">
            <w:pPr>
              <w:keepNext/>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B63252">
              <w:rPr>
                <w:b/>
                <w:sz w:val="18"/>
                <w:lang w:val="en-GB" w:eastAsia="en-GB" w:bidi="ar-SA"/>
              </w:rPr>
              <w:t>Date of</w:t>
            </w:r>
            <w:r w:rsidRPr="00B63252">
              <w:rPr>
                <w:b/>
                <w:sz w:val="18"/>
                <w:lang w:val="en-GB" w:eastAsia="en-GB" w:bidi="ar-SA"/>
              </w:rPr>
              <w:br/>
              <w:t>appointment</w:t>
            </w:r>
          </w:p>
        </w:tc>
        <w:tc>
          <w:tcPr>
            <w:tcW w:w="2566" w:type="dxa"/>
            <w:tcBorders>
              <w:top w:val="nil"/>
              <w:left w:val="nil"/>
              <w:bottom w:val="nil"/>
              <w:right w:val="nil"/>
            </w:tcBorders>
            <w:vAlign w:val="bottom"/>
          </w:tcPr>
          <w:p w14:paraId="30CA548E" w14:textId="77777777" w:rsidR="00BE0522" w:rsidRPr="00B63252" w:rsidRDefault="003D4D89" w:rsidP="006D150F">
            <w:pPr>
              <w:keepNext/>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B63252">
              <w:rPr>
                <w:b/>
                <w:sz w:val="18"/>
                <w:lang w:val="en-GB" w:eastAsia="en-GB" w:bidi="ar-SA"/>
              </w:rPr>
              <w:t>Next AGM</w:t>
            </w:r>
            <w:r w:rsidRPr="00B63252">
              <w:rPr>
                <w:b/>
                <w:sz w:val="18"/>
                <w:lang w:val="en-GB" w:eastAsia="en-GB" w:bidi="ar-SA"/>
              </w:rPr>
              <w:br/>
              <w:t>re-election or</w:t>
            </w:r>
            <w:r w:rsidRPr="00B63252">
              <w:rPr>
                <w:b/>
                <w:sz w:val="18"/>
                <w:lang w:val="en-GB" w:eastAsia="en-GB" w:bidi="ar-SA"/>
              </w:rPr>
              <w:br/>
              <w:t>election</w:t>
            </w:r>
          </w:p>
        </w:tc>
      </w:tr>
      <w:tr w:rsidR="001751C3" w:rsidRPr="00B63252" w14:paraId="3F5B169D" w14:textId="77777777" w:rsidTr="00D72AB5">
        <w:trPr>
          <w:cantSplit/>
          <w:jc w:val="center"/>
        </w:trPr>
        <w:tc>
          <w:tcPr>
            <w:tcW w:w="3232" w:type="dxa"/>
            <w:tcBorders>
              <w:top w:val="nil"/>
              <w:left w:val="nil"/>
              <w:bottom w:val="nil"/>
              <w:right w:val="nil"/>
            </w:tcBorders>
          </w:tcPr>
          <w:p w14:paraId="60748D59" w14:textId="77777777" w:rsidR="001751C3" w:rsidRPr="00B63252" w:rsidRDefault="001751C3" w:rsidP="001751C3">
            <w:pPr>
              <w:keepNext/>
              <w:widowControl/>
              <w:tabs>
                <w:tab w:val="right" w:leader="dot" w:pos="3080"/>
              </w:tabs>
              <w:suppressAutoHyphens/>
              <w:ind w:left="200" w:hanging="200"/>
              <w:rPr>
                <w:sz w:val="18"/>
                <w:lang w:val="en-GB" w:eastAsia="en-GB" w:bidi="ar-SA"/>
              </w:rPr>
            </w:pPr>
            <w:r w:rsidRPr="00B63252">
              <w:rPr>
                <w:sz w:val="18"/>
                <w:lang w:val="en-GB" w:eastAsia="en-GB" w:bidi="ar-SA"/>
              </w:rPr>
              <w:t>Nonkululeko Nyembezi</w:t>
            </w:r>
            <w:r w:rsidRPr="00B63252">
              <w:rPr>
                <w:sz w:val="18"/>
                <w:lang w:val="en-GB" w:eastAsia="en-GB" w:bidi="ar-SA"/>
              </w:rPr>
              <w:tab/>
            </w:r>
          </w:p>
        </w:tc>
        <w:tc>
          <w:tcPr>
            <w:tcW w:w="2120" w:type="dxa"/>
            <w:tcBorders>
              <w:top w:val="nil"/>
              <w:left w:val="nil"/>
              <w:bottom w:val="nil"/>
              <w:right w:val="nil"/>
            </w:tcBorders>
            <w:vAlign w:val="bottom"/>
          </w:tcPr>
          <w:p w14:paraId="725F7C46" w14:textId="77777777"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January 1, 2020</w:t>
            </w:r>
          </w:p>
        </w:tc>
        <w:tc>
          <w:tcPr>
            <w:tcW w:w="2566" w:type="dxa"/>
            <w:tcBorders>
              <w:top w:val="nil"/>
              <w:left w:val="nil"/>
              <w:bottom w:val="nil"/>
              <w:right w:val="nil"/>
            </w:tcBorders>
          </w:tcPr>
          <w:p w14:paraId="542F8DAD" w14:textId="27A43135"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rsidRPr="00B63252" w14:paraId="30C04C4D" w14:textId="77777777" w:rsidTr="000623A4">
        <w:trPr>
          <w:cantSplit/>
          <w:jc w:val="center"/>
        </w:trPr>
        <w:tc>
          <w:tcPr>
            <w:tcW w:w="3232" w:type="dxa"/>
            <w:tcBorders>
              <w:top w:val="nil"/>
              <w:left w:val="nil"/>
              <w:bottom w:val="nil"/>
              <w:right w:val="nil"/>
            </w:tcBorders>
          </w:tcPr>
          <w:p w14:paraId="247F6D0A" w14:textId="77777777" w:rsidR="001751C3" w:rsidRPr="00B63252" w:rsidRDefault="001751C3" w:rsidP="001751C3">
            <w:pPr>
              <w:keepNext/>
              <w:widowControl/>
              <w:tabs>
                <w:tab w:val="right" w:leader="dot" w:pos="3080"/>
              </w:tabs>
              <w:suppressAutoHyphens/>
              <w:ind w:left="200" w:hanging="200"/>
              <w:rPr>
                <w:sz w:val="18"/>
                <w:lang w:val="en-GB" w:eastAsia="en-GB" w:bidi="ar-SA"/>
              </w:rPr>
            </w:pPr>
            <w:r w:rsidRPr="00B63252">
              <w:rPr>
                <w:sz w:val="18"/>
                <w:lang w:val="en-GB" w:eastAsia="en-GB" w:bidi="ar-SA"/>
              </w:rPr>
              <w:t>Hixonia Nyasulu</w:t>
            </w:r>
            <w:r w:rsidRPr="00B63252">
              <w:rPr>
                <w:sz w:val="18"/>
                <w:lang w:val="en-GB" w:eastAsia="en-GB" w:bidi="ar-SA"/>
              </w:rPr>
              <w:tab/>
            </w:r>
          </w:p>
        </w:tc>
        <w:tc>
          <w:tcPr>
            <w:tcW w:w="2120" w:type="dxa"/>
            <w:tcBorders>
              <w:top w:val="nil"/>
              <w:left w:val="nil"/>
              <w:bottom w:val="nil"/>
              <w:right w:val="nil"/>
            </w:tcBorders>
            <w:vAlign w:val="bottom"/>
          </w:tcPr>
          <w:p w14:paraId="4786D09B" w14:textId="77777777"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November 1, 2019</w:t>
            </w:r>
          </w:p>
        </w:tc>
        <w:tc>
          <w:tcPr>
            <w:tcW w:w="2566" w:type="dxa"/>
            <w:tcBorders>
              <w:top w:val="nil"/>
              <w:left w:val="nil"/>
              <w:bottom w:val="nil"/>
              <w:right w:val="nil"/>
            </w:tcBorders>
          </w:tcPr>
          <w:p w14:paraId="19FD9816" w14:textId="61008356"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rsidRPr="00B63252" w14:paraId="613CC03F" w14:textId="77777777" w:rsidTr="000623A4">
        <w:trPr>
          <w:cantSplit/>
          <w:jc w:val="center"/>
        </w:trPr>
        <w:tc>
          <w:tcPr>
            <w:tcW w:w="3232" w:type="dxa"/>
            <w:tcBorders>
              <w:top w:val="nil"/>
              <w:left w:val="nil"/>
              <w:bottom w:val="nil"/>
              <w:right w:val="nil"/>
            </w:tcBorders>
          </w:tcPr>
          <w:p w14:paraId="5C3BE450" w14:textId="77777777" w:rsidR="001751C3" w:rsidRPr="00B63252" w:rsidRDefault="001751C3" w:rsidP="001751C3">
            <w:pPr>
              <w:keepNext/>
              <w:widowControl/>
              <w:tabs>
                <w:tab w:val="right" w:leader="dot" w:pos="3080"/>
              </w:tabs>
              <w:suppressAutoHyphens/>
              <w:ind w:left="200" w:hanging="200"/>
              <w:rPr>
                <w:sz w:val="18"/>
                <w:lang w:val="en-GB" w:eastAsia="en-GB" w:bidi="ar-SA"/>
              </w:rPr>
            </w:pPr>
            <w:r w:rsidRPr="00B63252">
              <w:rPr>
                <w:sz w:val="18"/>
                <w:lang w:val="en-GB" w:eastAsia="en-GB" w:bidi="ar-SA"/>
              </w:rPr>
              <w:t>Marcelo Bastos</w:t>
            </w:r>
            <w:r w:rsidRPr="00B63252">
              <w:rPr>
                <w:sz w:val="18"/>
                <w:lang w:val="en-GB" w:eastAsia="en-GB" w:bidi="ar-SA"/>
              </w:rPr>
              <w:tab/>
            </w:r>
          </w:p>
        </w:tc>
        <w:tc>
          <w:tcPr>
            <w:tcW w:w="2120" w:type="dxa"/>
            <w:tcBorders>
              <w:top w:val="nil"/>
              <w:left w:val="nil"/>
              <w:bottom w:val="nil"/>
              <w:right w:val="nil"/>
            </w:tcBorders>
            <w:vAlign w:val="bottom"/>
          </w:tcPr>
          <w:p w14:paraId="00B2AFB3" w14:textId="77777777"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April 1, 2019</w:t>
            </w:r>
          </w:p>
        </w:tc>
        <w:tc>
          <w:tcPr>
            <w:tcW w:w="2566" w:type="dxa"/>
            <w:tcBorders>
              <w:top w:val="nil"/>
              <w:left w:val="nil"/>
              <w:bottom w:val="nil"/>
              <w:right w:val="nil"/>
            </w:tcBorders>
          </w:tcPr>
          <w:p w14:paraId="620B2950" w14:textId="6BBB6636"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rsidRPr="00B63252" w14:paraId="03F061B7" w14:textId="77777777" w:rsidTr="000623A4">
        <w:trPr>
          <w:cantSplit/>
          <w:jc w:val="center"/>
        </w:trPr>
        <w:tc>
          <w:tcPr>
            <w:tcW w:w="3232" w:type="dxa"/>
            <w:tcBorders>
              <w:top w:val="nil"/>
              <w:left w:val="nil"/>
              <w:bottom w:val="nil"/>
              <w:right w:val="nil"/>
            </w:tcBorders>
          </w:tcPr>
          <w:p w14:paraId="72A8228D" w14:textId="77777777" w:rsidR="001751C3" w:rsidRPr="00B63252" w:rsidRDefault="001751C3" w:rsidP="001751C3">
            <w:pPr>
              <w:keepNext/>
              <w:widowControl/>
              <w:tabs>
                <w:tab w:val="right" w:leader="dot" w:pos="3080"/>
              </w:tabs>
              <w:suppressAutoHyphens/>
              <w:ind w:left="200" w:hanging="200"/>
              <w:rPr>
                <w:sz w:val="18"/>
                <w:lang w:val="en-GB" w:eastAsia="en-GB" w:bidi="ar-SA"/>
              </w:rPr>
            </w:pPr>
            <w:r w:rsidRPr="00B63252">
              <w:rPr>
                <w:sz w:val="18"/>
                <w:lang w:val="en-GB" w:eastAsia="en-GB" w:bidi="ar-SA"/>
              </w:rPr>
              <w:t>Stuart Chambers</w:t>
            </w:r>
            <w:r w:rsidRPr="00B63252">
              <w:rPr>
                <w:sz w:val="18"/>
                <w:lang w:val="en-GB" w:eastAsia="en-GB" w:bidi="ar-SA"/>
              </w:rPr>
              <w:tab/>
            </w:r>
          </w:p>
        </w:tc>
        <w:tc>
          <w:tcPr>
            <w:tcW w:w="2120" w:type="dxa"/>
            <w:tcBorders>
              <w:top w:val="nil"/>
              <w:left w:val="nil"/>
              <w:bottom w:val="nil"/>
              <w:right w:val="nil"/>
            </w:tcBorders>
            <w:vAlign w:val="bottom"/>
          </w:tcPr>
          <w:p w14:paraId="37426A1E" w14:textId="77777777"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September 1, 2017</w:t>
            </w:r>
          </w:p>
        </w:tc>
        <w:tc>
          <w:tcPr>
            <w:tcW w:w="2566" w:type="dxa"/>
            <w:tcBorders>
              <w:top w:val="nil"/>
              <w:left w:val="nil"/>
              <w:bottom w:val="nil"/>
              <w:right w:val="nil"/>
            </w:tcBorders>
          </w:tcPr>
          <w:p w14:paraId="09EDD426" w14:textId="0F4D1C02"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rsidRPr="00B63252" w14:paraId="01814237" w14:textId="77777777" w:rsidTr="000623A4">
        <w:trPr>
          <w:cantSplit/>
          <w:jc w:val="center"/>
        </w:trPr>
        <w:tc>
          <w:tcPr>
            <w:tcW w:w="3232" w:type="dxa"/>
            <w:tcBorders>
              <w:top w:val="nil"/>
              <w:left w:val="nil"/>
              <w:bottom w:val="nil"/>
              <w:right w:val="nil"/>
            </w:tcBorders>
          </w:tcPr>
          <w:p w14:paraId="37E16DE4" w14:textId="77777777" w:rsidR="001751C3" w:rsidRPr="00B63252" w:rsidRDefault="001751C3" w:rsidP="001751C3">
            <w:pPr>
              <w:keepNext/>
              <w:widowControl/>
              <w:tabs>
                <w:tab w:val="right" w:leader="dot" w:pos="3080"/>
              </w:tabs>
              <w:suppressAutoHyphens/>
              <w:ind w:left="200" w:hanging="200"/>
              <w:rPr>
                <w:sz w:val="18"/>
                <w:lang w:val="en-GB" w:eastAsia="en-GB" w:bidi="ar-SA"/>
              </w:rPr>
            </w:pPr>
            <w:r w:rsidRPr="00B63252">
              <w:rPr>
                <w:sz w:val="18"/>
                <w:lang w:val="en-GB" w:eastAsia="en-GB" w:bidi="ar-SA"/>
              </w:rPr>
              <w:t>Ian Ashby</w:t>
            </w:r>
            <w:r w:rsidRPr="00B63252">
              <w:rPr>
                <w:sz w:val="18"/>
                <w:lang w:val="en-GB" w:eastAsia="en-GB" w:bidi="ar-SA"/>
              </w:rPr>
              <w:tab/>
            </w:r>
          </w:p>
        </w:tc>
        <w:tc>
          <w:tcPr>
            <w:tcW w:w="2120" w:type="dxa"/>
            <w:tcBorders>
              <w:top w:val="nil"/>
              <w:left w:val="nil"/>
              <w:bottom w:val="nil"/>
              <w:right w:val="nil"/>
            </w:tcBorders>
            <w:vAlign w:val="bottom"/>
          </w:tcPr>
          <w:p w14:paraId="5E419772" w14:textId="77777777"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July 25, 2017</w:t>
            </w:r>
          </w:p>
        </w:tc>
        <w:tc>
          <w:tcPr>
            <w:tcW w:w="2566" w:type="dxa"/>
            <w:tcBorders>
              <w:top w:val="nil"/>
              <w:left w:val="nil"/>
              <w:bottom w:val="nil"/>
              <w:right w:val="nil"/>
            </w:tcBorders>
          </w:tcPr>
          <w:p w14:paraId="155BE588" w14:textId="1C382BE8"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B168BA" w:rsidRPr="00B63252" w14:paraId="46331D63" w14:textId="77777777" w:rsidTr="00B168BA">
        <w:trPr>
          <w:cantSplit/>
          <w:jc w:val="center"/>
        </w:trPr>
        <w:tc>
          <w:tcPr>
            <w:tcW w:w="3232" w:type="dxa"/>
            <w:tcBorders>
              <w:top w:val="nil"/>
              <w:left w:val="nil"/>
              <w:bottom w:val="nil"/>
              <w:right w:val="nil"/>
            </w:tcBorders>
          </w:tcPr>
          <w:p w14:paraId="145D7875" w14:textId="77777777" w:rsidR="00B168BA" w:rsidRPr="00B63252" w:rsidRDefault="00B168BA" w:rsidP="00B168BA">
            <w:pPr>
              <w:keepNext/>
              <w:widowControl/>
              <w:tabs>
                <w:tab w:val="right" w:leader="dot" w:pos="3080"/>
              </w:tabs>
              <w:suppressAutoHyphens/>
              <w:ind w:left="200" w:hanging="200"/>
              <w:rPr>
                <w:sz w:val="18"/>
                <w:lang w:val="en-GB" w:eastAsia="en-GB" w:bidi="ar-SA"/>
              </w:rPr>
            </w:pPr>
            <w:r w:rsidRPr="00B63252">
              <w:rPr>
                <w:sz w:val="18"/>
                <w:lang w:val="en-GB" w:eastAsia="en-GB" w:bidi="ar-SA"/>
              </w:rPr>
              <w:t>Jim Rutherford</w:t>
            </w:r>
            <w:r w:rsidRPr="00B63252">
              <w:rPr>
                <w:sz w:val="18"/>
                <w:lang w:val="en-GB" w:eastAsia="en-GB" w:bidi="ar-SA"/>
              </w:rPr>
              <w:tab/>
            </w:r>
          </w:p>
        </w:tc>
        <w:tc>
          <w:tcPr>
            <w:tcW w:w="2120" w:type="dxa"/>
            <w:tcBorders>
              <w:top w:val="nil"/>
              <w:left w:val="nil"/>
              <w:bottom w:val="nil"/>
              <w:right w:val="nil"/>
            </w:tcBorders>
            <w:vAlign w:val="bottom"/>
          </w:tcPr>
          <w:p w14:paraId="60E2D879" w14:textId="77777777" w:rsidR="00B168BA" w:rsidRPr="00B63252" w:rsidRDefault="00B168BA" w:rsidP="00B168BA">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November 4, 2013</w:t>
            </w:r>
          </w:p>
        </w:tc>
        <w:tc>
          <w:tcPr>
            <w:tcW w:w="2566" w:type="dxa"/>
            <w:tcBorders>
              <w:top w:val="nil"/>
              <w:left w:val="nil"/>
              <w:bottom w:val="nil"/>
              <w:right w:val="nil"/>
            </w:tcBorders>
          </w:tcPr>
          <w:p w14:paraId="79978E18" w14:textId="77777777" w:rsidR="00B168BA" w:rsidRPr="00B63252" w:rsidRDefault="00B168BA" w:rsidP="00B168BA">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rsidRPr="00B63252" w14:paraId="782ADD56" w14:textId="77777777" w:rsidTr="000623A4">
        <w:trPr>
          <w:cantSplit/>
          <w:jc w:val="center"/>
        </w:trPr>
        <w:tc>
          <w:tcPr>
            <w:tcW w:w="3232" w:type="dxa"/>
            <w:tcBorders>
              <w:top w:val="nil"/>
              <w:left w:val="nil"/>
              <w:bottom w:val="nil"/>
              <w:right w:val="nil"/>
            </w:tcBorders>
          </w:tcPr>
          <w:p w14:paraId="56D5E71C" w14:textId="77777777" w:rsidR="001751C3" w:rsidRPr="00B63252" w:rsidRDefault="001751C3" w:rsidP="001751C3">
            <w:pPr>
              <w:keepNext/>
              <w:widowControl/>
              <w:tabs>
                <w:tab w:val="right" w:leader="dot" w:pos="3080"/>
              </w:tabs>
              <w:suppressAutoHyphens/>
              <w:ind w:left="200" w:hanging="200"/>
              <w:rPr>
                <w:sz w:val="18"/>
                <w:lang w:val="en-GB" w:eastAsia="en-GB" w:bidi="ar-SA"/>
              </w:rPr>
            </w:pPr>
            <w:r w:rsidRPr="00B63252">
              <w:rPr>
                <w:sz w:val="18"/>
                <w:lang w:val="en-GB" w:eastAsia="en-GB" w:bidi="ar-SA"/>
              </w:rPr>
              <w:t>Byron Grote</w:t>
            </w:r>
            <w:r w:rsidRPr="00B63252">
              <w:rPr>
                <w:sz w:val="18"/>
                <w:lang w:val="en-GB" w:eastAsia="en-GB" w:bidi="ar-SA"/>
              </w:rPr>
              <w:tab/>
            </w:r>
          </w:p>
        </w:tc>
        <w:tc>
          <w:tcPr>
            <w:tcW w:w="2120" w:type="dxa"/>
            <w:tcBorders>
              <w:top w:val="nil"/>
              <w:left w:val="nil"/>
              <w:bottom w:val="nil"/>
              <w:right w:val="nil"/>
            </w:tcBorders>
            <w:vAlign w:val="bottom"/>
          </w:tcPr>
          <w:p w14:paraId="671000AD" w14:textId="77777777"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April 19, 2013</w:t>
            </w:r>
          </w:p>
        </w:tc>
        <w:tc>
          <w:tcPr>
            <w:tcW w:w="2566" w:type="dxa"/>
            <w:tcBorders>
              <w:top w:val="nil"/>
              <w:left w:val="nil"/>
              <w:bottom w:val="nil"/>
              <w:right w:val="nil"/>
            </w:tcBorders>
          </w:tcPr>
          <w:p w14:paraId="6BF6DA8A" w14:textId="31F91915" w:rsidR="001751C3" w:rsidRPr="00B63252" w:rsidRDefault="001751C3" w:rsidP="001751C3">
            <w:pPr>
              <w:keepNext/>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rsidRPr="00B63252" w14:paraId="29C9223E" w14:textId="77777777" w:rsidTr="000623A4">
        <w:trPr>
          <w:cantSplit/>
          <w:jc w:val="center"/>
        </w:trPr>
        <w:tc>
          <w:tcPr>
            <w:tcW w:w="3232" w:type="dxa"/>
            <w:tcBorders>
              <w:top w:val="nil"/>
              <w:left w:val="nil"/>
              <w:bottom w:val="nil"/>
              <w:right w:val="nil"/>
            </w:tcBorders>
          </w:tcPr>
          <w:p w14:paraId="1F7A1A2A" w14:textId="77777777" w:rsidR="001751C3" w:rsidRPr="00B63252" w:rsidRDefault="001751C3" w:rsidP="001751C3">
            <w:pPr>
              <w:widowControl/>
              <w:tabs>
                <w:tab w:val="right" w:leader="dot" w:pos="3080"/>
              </w:tabs>
              <w:suppressAutoHyphens/>
              <w:ind w:left="200" w:hanging="200"/>
              <w:rPr>
                <w:sz w:val="18"/>
                <w:lang w:val="en-GB" w:eastAsia="en-GB" w:bidi="ar-SA"/>
              </w:rPr>
            </w:pPr>
            <w:r w:rsidRPr="00B63252">
              <w:rPr>
                <w:sz w:val="18"/>
                <w:lang w:val="en-GB" w:eastAsia="en-GB" w:bidi="ar-SA"/>
              </w:rPr>
              <w:t>Mphu Ramatlapeng</w:t>
            </w:r>
            <w:r w:rsidRPr="00B63252">
              <w:rPr>
                <w:sz w:val="18"/>
                <w:lang w:val="en-GB" w:eastAsia="en-GB" w:bidi="ar-SA"/>
              </w:rPr>
              <w:tab/>
            </w:r>
          </w:p>
        </w:tc>
        <w:tc>
          <w:tcPr>
            <w:tcW w:w="2120" w:type="dxa"/>
            <w:tcBorders>
              <w:top w:val="nil"/>
              <w:left w:val="nil"/>
              <w:bottom w:val="nil"/>
              <w:right w:val="nil"/>
            </w:tcBorders>
            <w:vAlign w:val="bottom"/>
          </w:tcPr>
          <w:p w14:paraId="2A4A82B8" w14:textId="77777777" w:rsidR="001751C3" w:rsidRPr="00B63252" w:rsidRDefault="001751C3" w:rsidP="001751C3">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July 8, 2013</w:t>
            </w:r>
          </w:p>
        </w:tc>
        <w:tc>
          <w:tcPr>
            <w:tcW w:w="2566" w:type="dxa"/>
            <w:tcBorders>
              <w:top w:val="nil"/>
              <w:left w:val="nil"/>
              <w:bottom w:val="nil"/>
              <w:right w:val="nil"/>
            </w:tcBorders>
          </w:tcPr>
          <w:p w14:paraId="07858EEF" w14:textId="3C43FE24" w:rsidR="001751C3" w:rsidRPr="00B63252" w:rsidRDefault="001751C3" w:rsidP="001751C3">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1751C3" w14:paraId="71F16D6B" w14:textId="77777777" w:rsidTr="000623A4">
        <w:trPr>
          <w:cantSplit/>
          <w:jc w:val="center"/>
        </w:trPr>
        <w:tc>
          <w:tcPr>
            <w:tcW w:w="3232" w:type="dxa"/>
            <w:tcBorders>
              <w:top w:val="nil"/>
              <w:left w:val="nil"/>
              <w:bottom w:val="nil"/>
              <w:right w:val="nil"/>
            </w:tcBorders>
          </w:tcPr>
          <w:p w14:paraId="23878E60" w14:textId="77777777" w:rsidR="001751C3" w:rsidRPr="00B63252" w:rsidRDefault="001751C3" w:rsidP="001751C3">
            <w:pPr>
              <w:widowControl/>
              <w:tabs>
                <w:tab w:val="right" w:leader="dot" w:pos="3080"/>
              </w:tabs>
              <w:suppressAutoHyphens/>
              <w:ind w:left="200" w:hanging="200"/>
              <w:rPr>
                <w:sz w:val="18"/>
                <w:lang w:val="en-GB" w:eastAsia="en-GB" w:bidi="ar-SA"/>
              </w:rPr>
            </w:pPr>
            <w:r w:rsidRPr="00B63252">
              <w:rPr>
                <w:sz w:val="18"/>
                <w:lang w:val="en-GB" w:eastAsia="en-GB" w:bidi="ar-SA"/>
              </w:rPr>
              <w:t>Anne Stevens</w:t>
            </w:r>
            <w:r w:rsidRPr="00B63252">
              <w:rPr>
                <w:sz w:val="18"/>
                <w:lang w:val="en-GB" w:eastAsia="en-GB" w:bidi="ar-SA"/>
              </w:rPr>
              <w:tab/>
            </w:r>
          </w:p>
        </w:tc>
        <w:tc>
          <w:tcPr>
            <w:tcW w:w="2120" w:type="dxa"/>
            <w:tcBorders>
              <w:top w:val="nil"/>
              <w:left w:val="nil"/>
              <w:bottom w:val="nil"/>
              <w:right w:val="nil"/>
            </w:tcBorders>
            <w:vAlign w:val="bottom"/>
          </w:tcPr>
          <w:p w14:paraId="226DBA24" w14:textId="5970C34B" w:rsidR="001751C3" w:rsidRPr="00B63252" w:rsidRDefault="001751C3" w:rsidP="00B168BA">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B63252">
              <w:rPr>
                <w:sz w:val="18"/>
                <w:lang w:val="en-GB" w:eastAsia="en-GB" w:bidi="ar-SA"/>
              </w:rPr>
              <w:t xml:space="preserve">May </w:t>
            </w:r>
            <w:r w:rsidR="00B168BA">
              <w:rPr>
                <w:sz w:val="18"/>
                <w:lang w:val="en-GB" w:eastAsia="en-GB" w:bidi="ar-SA"/>
              </w:rPr>
              <w:t>15</w:t>
            </w:r>
            <w:r w:rsidRPr="00B63252">
              <w:rPr>
                <w:sz w:val="18"/>
                <w:lang w:val="en-GB" w:eastAsia="en-GB" w:bidi="ar-SA"/>
              </w:rPr>
              <w:t>, 2012</w:t>
            </w:r>
          </w:p>
        </w:tc>
        <w:tc>
          <w:tcPr>
            <w:tcW w:w="2566" w:type="dxa"/>
            <w:tcBorders>
              <w:top w:val="nil"/>
              <w:left w:val="nil"/>
              <w:bottom w:val="nil"/>
              <w:right w:val="nil"/>
            </w:tcBorders>
          </w:tcPr>
          <w:p w14:paraId="668AB292" w14:textId="29F5F3AD" w:rsidR="001751C3" w:rsidRPr="00571974" w:rsidRDefault="001751C3" w:rsidP="001751C3">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r w:rsidRPr="008151C7">
              <w:rPr>
                <w:sz w:val="18"/>
                <w:lang w:val="en-GB" w:eastAsia="en-GB" w:bidi="ar-SA"/>
              </w:rPr>
              <w:t>May 2020</w:t>
            </w:r>
          </w:p>
        </w:tc>
      </w:tr>
      <w:tr w:rsidR="002228B8" w14:paraId="5E3E1974" w14:textId="77777777" w:rsidTr="00F96922">
        <w:trPr>
          <w:cantSplit/>
          <w:jc w:val="center"/>
        </w:trPr>
        <w:tc>
          <w:tcPr>
            <w:tcW w:w="3232" w:type="dxa"/>
            <w:tcBorders>
              <w:top w:val="nil"/>
              <w:left w:val="nil"/>
              <w:bottom w:val="nil"/>
              <w:right w:val="nil"/>
            </w:tcBorders>
          </w:tcPr>
          <w:p w14:paraId="55FF8EAA" w14:textId="77777777" w:rsidR="00BE0522" w:rsidRPr="00571974" w:rsidRDefault="00BE0522" w:rsidP="00F96922">
            <w:pPr>
              <w:widowControl/>
              <w:tabs>
                <w:tab w:val="right" w:leader="dot" w:pos="3080"/>
              </w:tabs>
              <w:suppressAutoHyphens/>
              <w:ind w:left="200" w:hanging="200"/>
              <w:rPr>
                <w:sz w:val="18"/>
                <w:lang w:val="en-GB" w:eastAsia="en-GB" w:bidi="ar-SA"/>
              </w:rPr>
            </w:pPr>
          </w:p>
        </w:tc>
        <w:tc>
          <w:tcPr>
            <w:tcW w:w="2120" w:type="dxa"/>
            <w:tcBorders>
              <w:top w:val="nil"/>
              <w:left w:val="nil"/>
              <w:bottom w:val="nil"/>
              <w:right w:val="nil"/>
            </w:tcBorders>
            <w:vAlign w:val="bottom"/>
          </w:tcPr>
          <w:p w14:paraId="48110612" w14:textId="77777777" w:rsidR="00BE0522" w:rsidRPr="00571974" w:rsidRDefault="00BE0522" w:rsidP="00F96922">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p>
        </w:tc>
        <w:tc>
          <w:tcPr>
            <w:tcW w:w="2566" w:type="dxa"/>
            <w:tcBorders>
              <w:top w:val="nil"/>
              <w:left w:val="nil"/>
              <w:bottom w:val="nil"/>
              <w:right w:val="nil"/>
            </w:tcBorders>
            <w:vAlign w:val="bottom"/>
          </w:tcPr>
          <w:p w14:paraId="5022B31C" w14:textId="77777777" w:rsidR="00BE0522" w:rsidRPr="00571974" w:rsidRDefault="00BE0522" w:rsidP="00F96922">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lang w:val="en-GB" w:eastAsia="en-GB" w:bidi="ar-SA"/>
              </w:rPr>
            </w:pPr>
          </w:p>
        </w:tc>
      </w:tr>
    </w:tbl>
    <w:p w14:paraId="0F6360A5" w14:textId="77777777" w:rsidR="00BE0522" w:rsidRPr="00571974" w:rsidRDefault="00836D74" w:rsidP="00BE0522">
      <w:pPr>
        <w:rPr>
          <w:lang w:val="en-GB"/>
        </w:rPr>
      </w:pPr>
      <w:r>
        <w:rPr>
          <w:lang w:val="en-GB"/>
        </w:rPr>
        <w:pict w14:anchorId="49DCFF21">
          <v:rect id="_x0000_i1058" style="width:184.5pt;height:1pt" o:hrpct="250" o:hrstd="t" o:hrnoshade="t" o:hr="t" fillcolor="black" stroked="f"/>
        </w:pict>
      </w:r>
    </w:p>
    <w:p w14:paraId="727F43D3" w14:textId="77777777" w:rsidR="00BE0522" w:rsidRPr="00571974" w:rsidRDefault="003D4D89" w:rsidP="00BE0522">
      <w:pPr>
        <w:widowControl/>
        <w:tabs>
          <w:tab w:val="left" w:pos="-720"/>
          <w:tab w:val="left" w:pos="0"/>
        </w:tabs>
        <w:suppressAutoHyphens/>
        <w:ind w:left="284" w:hanging="284"/>
        <w:rPr>
          <w:sz w:val="16"/>
          <w:szCs w:val="18"/>
          <w:lang w:val="en-GB"/>
        </w:rPr>
      </w:pPr>
      <w:r w:rsidRPr="00571974">
        <w:rPr>
          <w:sz w:val="16"/>
          <w:szCs w:val="18"/>
          <w:lang w:val="en-GB"/>
        </w:rPr>
        <w:t>(1)</w:t>
      </w:r>
      <w:r w:rsidRPr="00571974">
        <w:rPr>
          <w:sz w:val="16"/>
          <w:szCs w:val="18"/>
          <w:lang w:val="en-GB"/>
        </w:rPr>
        <w:tab/>
        <w:t>At each AGM, all directors shall retire from office.</w:t>
      </w:r>
    </w:p>
    <w:p w14:paraId="1759E419" w14:textId="050AF611" w:rsidR="00BE0522" w:rsidRPr="00571974" w:rsidRDefault="003D4D89" w:rsidP="001A578D">
      <w:pPr>
        <w:widowControl/>
        <w:tabs>
          <w:tab w:val="left" w:pos="-720"/>
          <w:tab w:val="left" w:pos="0"/>
        </w:tabs>
        <w:suppressAutoHyphens/>
        <w:ind w:left="284" w:hanging="284"/>
        <w:rPr>
          <w:sz w:val="16"/>
          <w:szCs w:val="18"/>
          <w:lang w:val="en-GB"/>
        </w:rPr>
      </w:pPr>
      <w:r w:rsidRPr="00571974">
        <w:rPr>
          <w:sz w:val="16"/>
          <w:szCs w:val="18"/>
          <w:lang w:val="en-GB"/>
        </w:rPr>
        <w:t>(2)</w:t>
      </w:r>
      <w:r w:rsidRPr="00571974">
        <w:rPr>
          <w:sz w:val="16"/>
          <w:szCs w:val="18"/>
          <w:lang w:val="en-GB"/>
        </w:rPr>
        <w:tab/>
        <w:t xml:space="preserve">There is </w:t>
      </w:r>
      <w:r w:rsidR="00B168BA">
        <w:rPr>
          <w:sz w:val="16"/>
          <w:szCs w:val="18"/>
          <w:lang w:val="en-GB"/>
        </w:rPr>
        <w:t>a one month notice period</w:t>
      </w:r>
      <w:r w:rsidRPr="00571974">
        <w:rPr>
          <w:sz w:val="16"/>
          <w:szCs w:val="18"/>
          <w:lang w:val="en-GB"/>
        </w:rPr>
        <w:t>; however, the Group may in accordance with, and subject to, the provisions of the 2006 Companies Act, by Ordinary Resolution of which special notice has been given, remove any director from office. The Company</w:t>
      </w:r>
      <w:r w:rsidR="00A311D8">
        <w:rPr>
          <w:sz w:val="16"/>
          <w:szCs w:val="18"/>
          <w:lang w:val="en-GB"/>
        </w:rPr>
        <w:t>’</w:t>
      </w:r>
      <w:r w:rsidRPr="00571974">
        <w:rPr>
          <w:sz w:val="16"/>
          <w:szCs w:val="18"/>
          <w:lang w:val="en-GB"/>
        </w:rPr>
        <w:t>s Articles of Association also permit the directors, under certain circumstances, to remove a director from office.</w:t>
      </w:r>
    </w:p>
    <w:p w14:paraId="3433FC7A" w14:textId="1B20F995" w:rsidR="007C1652" w:rsidRPr="00571974" w:rsidRDefault="003D4D89" w:rsidP="001A578D">
      <w:pPr>
        <w:widowControl/>
        <w:tabs>
          <w:tab w:val="left" w:pos="-720"/>
          <w:tab w:val="left" w:pos="0"/>
        </w:tabs>
        <w:suppressAutoHyphens/>
        <w:ind w:left="284" w:hanging="284"/>
        <w:rPr>
          <w:sz w:val="16"/>
          <w:szCs w:val="18"/>
          <w:lang w:val="en-GB"/>
        </w:rPr>
      </w:pPr>
      <w:r w:rsidRPr="00571974">
        <w:rPr>
          <w:sz w:val="16"/>
          <w:szCs w:val="18"/>
          <w:lang w:val="en-GB"/>
        </w:rPr>
        <w:t>(</w:t>
      </w:r>
      <w:r w:rsidR="001751C3">
        <w:rPr>
          <w:sz w:val="16"/>
          <w:szCs w:val="18"/>
          <w:lang w:val="en-GB"/>
        </w:rPr>
        <w:t>3</w:t>
      </w:r>
      <w:r w:rsidRPr="00571974">
        <w:rPr>
          <w:sz w:val="16"/>
          <w:szCs w:val="18"/>
          <w:lang w:val="en-GB"/>
        </w:rPr>
        <w:t>)</w:t>
      </w:r>
      <w:r w:rsidR="00B168BA" w:rsidRPr="00571974">
        <w:rPr>
          <w:sz w:val="16"/>
          <w:szCs w:val="18"/>
          <w:lang w:val="en-GB"/>
        </w:rPr>
        <w:tab/>
      </w:r>
      <w:r w:rsidRPr="00571974">
        <w:rPr>
          <w:sz w:val="16"/>
          <w:szCs w:val="18"/>
          <w:lang w:val="en-GB"/>
        </w:rPr>
        <w:t>Jack Thompson resign</w:t>
      </w:r>
      <w:r w:rsidR="00337C12" w:rsidRPr="00571974">
        <w:rPr>
          <w:sz w:val="16"/>
          <w:szCs w:val="18"/>
          <w:lang w:val="en-GB"/>
        </w:rPr>
        <w:t>ed</w:t>
      </w:r>
      <w:r w:rsidRPr="00571974">
        <w:rPr>
          <w:sz w:val="16"/>
          <w:szCs w:val="18"/>
          <w:lang w:val="en-GB"/>
        </w:rPr>
        <w:t xml:space="preserve"> at the AGM held on April 30, 2019.</w:t>
      </w:r>
    </w:p>
    <w:p w14:paraId="4969B4C1" w14:textId="1EC6A2F5" w:rsidR="006A3924" w:rsidRPr="00571974" w:rsidRDefault="003D4D89" w:rsidP="001A578D">
      <w:pPr>
        <w:widowControl/>
        <w:tabs>
          <w:tab w:val="left" w:pos="-720"/>
          <w:tab w:val="left" w:pos="0"/>
        </w:tabs>
        <w:suppressAutoHyphens/>
        <w:ind w:left="284" w:hanging="284"/>
        <w:rPr>
          <w:sz w:val="16"/>
          <w:szCs w:val="18"/>
          <w:lang w:val="en-GB"/>
        </w:rPr>
      </w:pPr>
      <w:r w:rsidRPr="00571974">
        <w:rPr>
          <w:sz w:val="16"/>
          <w:szCs w:val="18"/>
          <w:lang w:val="en-GB"/>
        </w:rPr>
        <w:t>(</w:t>
      </w:r>
      <w:r w:rsidR="001751C3">
        <w:rPr>
          <w:sz w:val="16"/>
          <w:szCs w:val="18"/>
          <w:lang w:val="en-GB"/>
        </w:rPr>
        <w:t>4</w:t>
      </w:r>
      <w:r w:rsidRPr="00571974">
        <w:rPr>
          <w:sz w:val="16"/>
          <w:szCs w:val="18"/>
          <w:lang w:val="en-GB"/>
        </w:rPr>
        <w:t>)</w:t>
      </w:r>
      <w:r w:rsidR="00B168BA" w:rsidRPr="00571974">
        <w:rPr>
          <w:sz w:val="16"/>
          <w:szCs w:val="18"/>
          <w:lang w:val="en-GB"/>
        </w:rPr>
        <w:tab/>
      </w:r>
      <w:r w:rsidRPr="00571974">
        <w:rPr>
          <w:sz w:val="16"/>
          <w:szCs w:val="18"/>
          <w:lang w:val="en-GB"/>
        </w:rPr>
        <w:t>Nolitha Fakude resigned on August 31, 2019</w:t>
      </w:r>
    </w:p>
    <w:p w14:paraId="7748212F" w14:textId="77777777" w:rsidR="00EC0657" w:rsidRPr="00571974" w:rsidRDefault="00EC0657" w:rsidP="006A3924">
      <w:pPr>
        <w:widowControl/>
        <w:tabs>
          <w:tab w:val="left" w:pos="-720"/>
          <w:tab w:val="left" w:pos="0"/>
        </w:tabs>
        <w:suppressAutoHyphens/>
        <w:ind w:left="284" w:hanging="284"/>
        <w:rPr>
          <w:sz w:val="16"/>
          <w:szCs w:val="18"/>
          <w:lang w:val="en-GB"/>
        </w:rPr>
      </w:pPr>
    </w:p>
    <w:p w14:paraId="252DF672" w14:textId="77777777" w:rsidR="00DF4A0D" w:rsidRPr="00571974" w:rsidRDefault="003D4D89" w:rsidP="00DF4A0D">
      <w:pPr>
        <w:pStyle w:val="Heading2"/>
        <w:rPr>
          <w:rFonts w:ascii="Times New Roman" w:hAnsi="Times New Roman"/>
          <w:lang w:val="en-GB"/>
        </w:rPr>
      </w:pPr>
      <w:bookmarkStart w:id="84" w:name="_Hlk31706711"/>
      <w:r w:rsidRPr="00571974">
        <w:rPr>
          <w:rFonts w:ascii="Times New Roman" w:hAnsi="Times New Roman"/>
          <w:lang w:val="en-GB"/>
        </w:rPr>
        <w:t>Employees</w:t>
      </w:r>
    </w:p>
    <w:p w14:paraId="6F543C51" w14:textId="77777777" w:rsidR="00DF4A0D" w:rsidRPr="00571974" w:rsidRDefault="003D4D89" w:rsidP="00DF4A0D">
      <w:pPr>
        <w:pStyle w:val="BodyText"/>
        <w:widowControl/>
        <w:autoSpaceDE/>
        <w:autoSpaceDN/>
        <w:adjustRightInd/>
        <w:ind w:firstLine="360"/>
        <w:rPr>
          <w:lang w:val="en-GB"/>
        </w:rPr>
      </w:pPr>
      <w:r w:rsidRPr="00571974">
        <w:rPr>
          <w:lang w:val="en-GB"/>
        </w:rPr>
        <w:t>Our employees are essential to the long-term success of the Group. We continue to invest in the development of our people and strive to ensure that we are positioned to attract and retain the best mining and other talent.</w:t>
      </w:r>
    </w:p>
    <w:p w14:paraId="0D9AE584" w14:textId="0D8ACB1C" w:rsidR="00DF4A0D" w:rsidRPr="00571974" w:rsidRDefault="003D4D89" w:rsidP="00DF4A0D">
      <w:pPr>
        <w:pStyle w:val="BodyText"/>
        <w:widowControl/>
        <w:autoSpaceDE/>
        <w:autoSpaceDN/>
        <w:adjustRightInd/>
        <w:ind w:firstLine="360"/>
        <w:rPr>
          <w:lang w:val="en-GB"/>
        </w:rPr>
      </w:pPr>
      <w:r w:rsidRPr="00571974">
        <w:rPr>
          <w:lang w:val="en-GB"/>
        </w:rPr>
        <w:t>The table below sets forth the average number of employees, excluding contractors and associates</w:t>
      </w:r>
      <w:r w:rsidR="00A311D8">
        <w:rPr>
          <w:lang w:val="en-GB"/>
        </w:rPr>
        <w:t>’</w:t>
      </w:r>
      <w:r w:rsidRPr="00571974">
        <w:rPr>
          <w:lang w:val="en-GB"/>
        </w:rPr>
        <w:t xml:space="preserve"> employees and joint ventures</w:t>
      </w:r>
      <w:r w:rsidR="00A311D8">
        <w:rPr>
          <w:lang w:val="en-GB"/>
        </w:rPr>
        <w:t>’</w:t>
      </w:r>
      <w:r w:rsidRPr="00571974">
        <w:rPr>
          <w:lang w:val="en-GB"/>
        </w:rPr>
        <w:t xml:space="preserve"> employees and including a proportionate share of employees within joint operations</w:t>
      </w:r>
      <w:r w:rsidR="00A97A71">
        <w:rPr>
          <w:lang w:val="en-GB"/>
        </w:rPr>
        <w:t>, by segment</w:t>
      </w:r>
      <w:r w:rsidRPr="00571974">
        <w:rPr>
          <w:lang w:val="en-GB"/>
        </w:rPr>
        <w:t>.</w:t>
      </w:r>
    </w:p>
    <w:tbl>
      <w:tblPr>
        <w:tblW w:w="5460" w:type="pct"/>
        <w:jc w:val="center"/>
        <w:tblCellMar>
          <w:left w:w="72" w:type="dxa"/>
          <w:right w:w="72" w:type="dxa"/>
        </w:tblCellMar>
        <w:tblLook w:val="0000" w:firstRow="0" w:lastRow="0" w:firstColumn="0" w:lastColumn="0" w:noHBand="0" w:noVBand="0"/>
      </w:tblPr>
      <w:tblGrid>
        <w:gridCol w:w="8185"/>
        <w:gridCol w:w="784"/>
        <w:gridCol w:w="784"/>
        <w:gridCol w:w="464"/>
      </w:tblGrid>
      <w:tr w:rsidR="002228B8" w14:paraId="75DE665E" w14:textId="77777777" w:rsidTr="00DF4A0D">
        <w:trPr>
          <w:cantSplit/>
          <w:jc w:val="center"/>
        </w:trPr>
        <w:tc>
          <w:tcPr>
            <w:tcW w:w="4006" w:type="pct"/>
            <w:tcBorders>
              <w:top w:val="nil"/>
              <w:left w:val="nil"/>
              <w:bottom w:val="nil"/>
              <w:right w:val="nil"/>
            </w:tcBorders>
            <w:vAlign w:val="bottom"/>
          </w:tcPr>
          <w:p w14:paraId="0A63B69F"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994" w:type="pct"/>
            <w:gridSpan w:val="3"/>
            <w:tcBorders>
              <w:top w:val="nil"/>
              <w:left w:val="nil"/>
              <w:bottom w:val="nil"/>
              <w:right w:val="nil"/>
            </w:tcBorders>
            <w:vAlign w:val="bottom"/>
          </w:tcPr>
          <w:p w14:paraId="2E61B80C"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 December 31,</w:t>
            </w:r>
          </w:p>
        </w:tc>
      </w:tr>
      <w:tr w:rsidR="002228B8" w14:paraId="19ED8BDD" w14:textId="77777777" w:rsidTr="00DF4A0D">
        <w:trPr>
          <w:cantSplit/>
          <w:jc w:val="center"/>
        </w:trPr>
        <w:tc>
          <w:tcPr>
            <w:tcW w:w="4006" w:type="pct"/>
            <w:tcBorders>
              <w:top w:val="nil"/>
              <w:left w:val="nil"/>
              <w:bottom w:val="nil"/>
              <w:right w:val="nil"/>
            </w:tcBorders>
            <w:vAlign w:val="bottom"/>
          </w:tcPr>
          <w:p w14:paraId="700A2552"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384" w:type="pct"/>
            <w:tcBorders>
              <w:top w:val="nil"/>
              <w:left w:val="nil"/>
              <w:bottom w:val="nil"/>
              <w:right w:val="nil"/>
            </w:tcBorders>
            <w:vAlign w:val="bottom"/>
          </w:tcPr>
          <w:p w14:paraId="5046C0A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384" w:type="pct"/>
            <w:tcBorders>
              <w:top w:val="nil"/>
              <w:left w:val="nil"/>
              <w:bottom w:val="nil"/>
              <w:right w:val="nil"/>
            </w:tcBorders>
            <w:vAlign w:val="bottom"/>
          </w:tcPr>
          <w:p w14:paraId="455AEA3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227" w:type="pct"/>
            <w:tcBorders>
              <w:top w:val="nil"/>
              <w:left w:val="nil"/>
              <w:bottom w:val="nil"/>
              <w:right w:val="nil"/>
            </w:tcBorders>
            <w:vAlign w:val="bottom"/>
          </w:tcPr>
          <w:p w14:paraId="4BD733DD"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8"/>
                <w:lang w:val="en-GB" w:eastAsia="en-GB" w:bidi="ar-SA"/>
              </w:rPr>
            </w:pPr>
            <w:r w:rsidRPr="00571974">
              <w:rPr>
                <w:b/>
                <w:bCs/>
                <w:sz w:val="16"/>
                <w:szCs w:val="18"/>
                <w:lang w:val="en-GB" w:eastAsia="en-GB" w:bidi="ar-SA"/>
              </w:rPr>
              <w:t>2019</w:t>
            </w:r>
          </w:p>
        </w:tc>
      </w:tr>
      <w:tr w:rsidR="002228B8" w14:paraId="5B2EF9B2" w14:textId="77777777" w:rsidTr="00DF4A0D">
        <w:trPr>
          <w:cantSplit/>
          <w:jc w:val="center"/>
        </w:trPr>
        <w:tc>
          <w:tcPr>
            <w:tcW w:w="4006" w:type="pct"/>
            <w:tcBorders>
              <w:top w:val="nil"/>
              <w:left w:val="nil"/>
              <w:bottom w:val="nil"/>
              <w:right w:val="nil"/>
            </w:tcBorders>
            <w:vAlign w:val="bottom"/>
          </w:tcPr>
          <w:p w14:paraId="491B6A50"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p>
        </w:tc>
        <w:tc>
          <w:tcPr>
            <w:tcW w:w="994" w:type="pct"/>
            <w:gridSpan w:val="3"/>
            <w:tcBorders>
              <w:top w:val="nil"/>
              <w:left w:val="nil"/>
              <w:bottom w:val="nil"/>
              <w:right w:val="nil"/>
            </w:tcBorders>
            <w:vAlign w:val="bottom"/>
          </w:tcPr>
          <w:p w14:paraId="3BCA4E6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szCs w:val="18"/>
                <w:lang w:val="en-GB" w:eastAsia="en-GB" w:bidi="ar-SA"/>
              </w:rPr>
            </w:pPr>
            <w:r w:rsidRPr="00571974">
              <w:rPr>
                <w:b/>
                <w:bCs/>
                <w:i/>
                <w:iCs/>
                <w:sz w:val="16"/>
                <w:szCs w:val="18"/>
                <w:lang w:val="en-GB" w:eastAsia="en-GB" w:bidi="ar-SA"/>
              </w:rPr>
              <w:t>(thousands)</w:t>
            </w:r>
          </w:p>
        </w:tc>
      </w:tr>
      <w:tr w:rsidR="002228B8" w14:paraId="5F7B5154" w14:textId="77777777" w:rsidTr="00DF4A0D">
        <w:trPr>
          <w:cantSplit/>
          <w:jc w:val="center"/>
        </w:trPr>
        <w:tc>
          <w:tcPr>
            <w:tcW w:w="4006" w:type="pct"/>
            <w:tcBorders>
              <w:top w:val="nil"/>
              <w:left w:val="nil"/>
              <w:bottom w:val="nil"/>
              <w:right w:val="nil"/>
            </w:tcBorders>
            <w:shd w:val="clear" w:color="auto" w:fill="auto"/>
          </w:tcPr>
          <w:p w14:paraId="342DFC8E"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De Beers</w:t>
            </w:r>
            <w:r w:rsidRPr="00571974">
              <w:rPr>
                <w:sz w:val="18"/>
                <w:szCs w:val="18"/>
                <w:lang w:val="en-GB" w:eastAsia="en-GB" w:bidi="ar-SA"/>
              </w:rPr>
              <w:tab/>
            </w:r>
          </w:p>
        </w:tc>
        <w:tc>
          <w:tcPr>
            <w:tcW w:w="384" w:type="pct"/>
            <w:tcBorders>
              <w:top w:val="nil"/>
              <w:left w:val="nil"/>
              <w:bottom w:val="nil"/>
              <w:right w:val="nil"/>
            </w:tcBorders>
            <w:shd w:val="clear" w:color="auto" w:fill="auto"/>
            <w:vAlign w:val="bottom"/>
          </w:tcPr>
          <w:p w14:paraId="633E93B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w:t>
            </w:r>
          </w:p>
        </w:tc>
        <w:tc>
          <w:tcPr>
            <w:tcW w:w="384" w:type="pct"/>
            <w:tcBorders>
              <w:top w:val="nil"/>
              <w:left w:val="nil"/>
              <w:bottom w:val="nil"/>
              <w:right w:val="nil"/>
            </w:tcBorders>
            <w:shd w:val="clear" w:color="auto" w:fill="auto"/>
            <w:vAlign w:val="bottom"/>
          </w:tcPr>
          <w:p w14:paraId="72B60CA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10</w:t>
            </w:r>
          </w:p>
        </w:tc>
        <w:tc>
          <w:tcPr>
            <w:tcW w:w="227" w:type="pct"/>
            <w:tcBorders>
              <w:top w:val="nil"/>
              <w:left w:val="nil"/>
              <w:bottom w:val="nil"/>
              <w:right w:val="nil"/>
            </w:tcBorders>
            <w:shd w:val="clear" w:color="auto" w:fill="auto"/>
            <w:vAlign w:val="bottom"/>
          </w:tcPr>
          <w:p w14:paraId="4D0F4FF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w:t>
            </w:r>
          </w:p>
        </w:tc>
      </w:tr>
      <w:tr w:rsidR="002228B8" w14:paraId="25036F22" w14:textId="77777777" w:rsidTr="00DF4A0D">
        <w:trPr>
          <w:cantSplit/>
          <w:trHeight w:val="155"/>
          <w:jc w:val="center"/>
        </w:trPr>
        <w:tc>
          <w:tcPr>
            <w:tcW w:w="4006" w:type="pct"/>
            <w:tcBorders>
              <w:top w:val="nil"/>
              <w:left w:val="nil"/>
              <w:bottom w:val="nil"/>
              <w:right w:val="nil"/>
            </w:tcBorders>
            <w:shd w:val="clear" w:color="auto" w:fill="auto"/>
          </w:tcPr>
          <w:p w14:paraId="18EBEFDD"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Copper</w:t>
            </w:r>
            <w:r w:rsidRPr="00571974">
              <w:rPr>
                <w:sz w:val="18"/>
                <w:szCs w:val="18"/>
                <w:lang w:val="en-GB" w:eastAsia="en-GB" w:bidi="ar-SA"/>
              </w:rPr>
              <w:tab/>
            </w:r>
          </w:p>
        </w:tc>
        <w:tc>
          <w:tcPr>
            <w:tcW w:w="384" w:type="pct"/>
            <w:tcBorders>
              <w:top w:val="nil"/>
              <w:left w:val="nil"/>
              <w:bottom w:val="nil"/>
              <w:right w:val="nil"/>
            </w:tcBorders>
            <w:shd w:val="clear" w:color="auto" w:fill="auto"/>
            <w:vAlign w:val="bottom"/>
          </w:tcPr>
          <w:p w14:paraId="2E5DBDC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w:t>
            </w:r>
          </w:p>
        </w:tc>
        <w:tc>
          <w:tcPr>
            <w:tcW w:w="384" w:type="pct"/>
            <w:tcBorders>
              <w:top w:val="nil"/>
              <w:left w:val="nil"/>
              <w:bottom w:val="nil"/>
              <w:right w:val="nil"/>
            </w:tcBorders>
            <w:shd w:val="clear" w:color="auto" w:fill="auto"/>
            <w:vAlign w:val="bottom"/>
          </w:tcPr>
          <w:p w14:paraId="5D46B351"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w:t>
            </w:r>
          </w:p>
        </w:tc>
        <w:tc>
          <w:tcPr>
            <w:tcW w:w="227" w:type="pct"/>
            <w:tcBorders>
              <w:top w:val="nil"/>
              <w:left w:val="nil"/>
              <w:bottom w:val="nil"/>
              <w:right w:val="nil"/>
            </w:tcBorders>
            <w:shd w:val="clear" w:color="auto" w:fill="auto"/>
            <w:vAlign w:val="bottom"/>
          </w:tcPr>
          <w:p w14:paraId="7C5A087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4</w:t>
            </w:r>
          </w:p>
        </w:tc>
      </w:tr>
      <w:tr w:rsidR="002228B8" w14:paraId="55346A46" w14:textId="77777777" w:rsidTr="00DF4A0D">
        <w:trPr>
          <w:cantSplit/>
          <w:trHeight w:val="155"/>
          <w:jc w:val="center"/>
        </w:trPr>
        <w:tc>
          <w:tcPr>
            <w:tcW w:w="4006" w:type="pct"/>
            <w:tcBorders>
              <w:top w:val="nil"/>
              <w:left w:val="nil"/>
              <w:bottom w:val="nil"/>
              <w:right w:val="nil"/>
            </w:tcBorders>
            <w:shd w:val="clear" w:color="auto" w:fill="auto"/>
          </w:tcPr>
          <w:p w14:paraId="0FCB444B"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PGMs</w:t>
            </w:r>
            <w:r w:rsidRPr="00571974">
              <w:rPr>
                <w:sz w:val="18"/>
                <w:szCs w:val="18"/>
                <w:lang w:val="en-GB" w:eastAsia="en-GB" w:bidi="ar-SA"/>
              </w:rPr>
              <w:tab/>
            </w:r>
          </w:p>
        </w:tc>
        <w:tc>
          <w:tcPr>
            <w:tcW w:w="384" w:type="pct"/>
            <w:tcBorders>
              <w:top w:val="nil"/>
              <w:left w:val="nil"/>
              <w:bottom w:val="nil"/>
              <w:right w:val="nil"/>
            </w:tcBorders>
            <w:shd w:val="clear" w:color="auto" w:fill="auto"/>
            <w:vAlign w:val="bottom"/>
          </w:tcPr>
          <w:p w14:paraId="0407BC0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36</w:t>
            </w:r>
          </w:p>
        </w:tc>
        <w:tc>
          <w:tcPr>
            <w:tcW w:w="384" w:type="pct"/>
            <w:tcBorders>
              <w:top w:val="nil"/>
              <w:left w:val="nil"/>
              <w:bottom w:val="nil"/>
              <w:right w:val="nil"/>
            </w:tcBorders>
            <w:shd w:val="clear" w:color="auto" w:fill="auto"/>
            <w:vAlign w:val="bottom"/>
          </w:tcPr>
          <w:p w14:paraId="37C516A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33</w:t>
            </w:r>
          </w:p>
        </w:tc>
        <w:tc>
          <w:tcPr>
            <w:tcW w:w="227" w:type="pct"/>
            <w:tcBorders>
              <w:top w:val="nil"/>
              <w:left w:val="nil"/>
              <w:bottom w:val="nil"/>
              <w:right w:val="nil"/>
            </w:tcBorders>
            <w:shd w:val="clear" w:color="auto" w:fill="auto"/>
            <w:vAlign w:val="bottom"/>
          </w:tcPr>
          <w:p w14:paraId="1F031B2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31</w:t>
            </w:r>
          </w:p>
        </w:tc>
      </w:tr>
      <w:tr w:rsidR="002228B8" w14:paraId="2E019FE6" w14:textId="77777777" w:rsidTr="00DF4A0D">
        <w:trPr>
          <w:cantSplit/>
          <w:trHeight w:val="155"/>
          <w:jc w:val="center"/>
        </w:trPr>
        <w:tc>
          <w:tcPr>
            <w:tcW w:w="4006" w:type="pct"/>
            <w:tcBorders>
              <w:top w:val="nil"/>
              <w:left w:val="nil"/>
              <w:bottom w:val="nil"/>
              <w:right w:val="nil"/>
            </w:tcBorders>
            <w:shd w:val="clear" w:color="auto" w:fill="auto"/>
          </w:tcPr>
          <w:p w14:paraId="56DDDC7D"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Iron Ore</w:t>
            </w:r>
            <w:r w:rsidRPr="00571974">
              <w:rPr>
                <w:sz w:val="18"/>
                <w:szCs w:val="18"/>
                <w:lang w:val="en-GB" w:eastAsia="en-GB" w:bidi="ar-SA"/>
              </w:rPr>
              <w:tab/>
            </w:r>
          </w:p>
        </w:tc>
        <w:tc>
          <w:tcPr>
            <w:tcW w:w="384" w:type="pct"/>
            <w:tcBorders>
              <w:top w:val="nil"/>
              <w:left w:val="nil"/>
              <w:bottom w:val="nil"/>
              <w:right w:val="nil"/>
            </w:tcBorders>
            <w:shd w:val="clear" w:color="auto" w:fill="auto"/>
            <w:vAlign w:val="bottom"/>
          </w:tcPr>
          <w:p w14:paraId="1860982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w:t>
            </w:r>
          </w:p>
        </w:tc>
        <w:tc>
          <w:tcPr>
            <w:tcW w:w="384" w:type="pct"/>
            <w:tcBorders>
              <w:top w:val="nil"/>
              <w:left w:val="nil"/>
              <w:bottom w:val="nil"/>
              <w:right w:val="nil"/>
            </w:tcBorders>
            <w:shd w:val="clear" w:color="auto" w:fill="auto"/>
            <w:vAlign w:val="bottom"/>
          </w:tcPr>
          <w:p w14:paraId="4CBADE5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8</w:t>
            </w:r>
          </w:p>
        </w:tc>
        <w:tc>
          <w:tcPr>
            <w:tcW w:w="227" w:type="pct"/>
            <w:tcBorders>
              <w:top w:val="nil"/>
              <w:left w:val="nil"/>
              <w:bottom w:val="nil"/>
              <w:right w:val="nil"/>
            </w:tcBorders>
            <w:shd w:val="clear" w:color="auto" w:fill="auto"/>
            <w:vAlign w:val="bottom"/>
          </w:tcPr>
          <w:p w14:paraId="37F0DAA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w:t>
            </w:r>
          </w:p>
        </w:tc>
      </w:tr>
      <w:tr w:rsidR="002228B8" w14:paraId="7E179BAD" w14:textId="77777777" w:rsidTr="00DF4A0D">
        <w:trPr>
          <w:cantSplit/>
          <w:jc w:val="center"/>
        </w:trPr>
        <w:tc>
          <w:tcPr>
            <w:tcW w:w="4006" w:type="pct"/>
            <w:tcBorders>
              <w:top w:val="nil"/>
              <w:left w:val="nil"/>
              <w:bottom w:val="nil"/>
              <w:right w:val="nil"/>
            </w:tcBorders>
            <w:shd w:val="clear" w:color="auto" w:fill="auto"/>
          </w:tcPr>
          <w:p w14:paraId="0F6002DD"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Coal</w:t>
            </w:r>
            <w:r w:rsidRPr="00571974">
              <w:rPr>
                <w:sz w:val="18"/>
                <w:szCs w:val="18"/>
                <w:lang w:val="en-GB" w:eastAsia="en-GB" w:bidi="ar-SA"/>
              </w:rPr>
              <w:tab/>
            </w:r>
          </w:p>
        </w:tc>
        <w:tc>
          <w:tcPr>
            <w:tcW w:w="384" w:type="pct"/>
            <w:tcBorders>
              <w:top w:val="nil"/>
              <w:left w:val="nil"/>
              <w:right w:val="nil"/>
            </w:tcBorders>
            <w:shd w:val="clear" w:color="auto" w:fill="auto"/>
            <w:vAlign w:val="bottom"/>
          </w:tcPr>
          <w:p w14:paraId="715A969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9</w:t>
            </w:r>
          </w:p>
        </w:tc>
        <w:tc>
          <w:tcPr>
            <w:tcW w:w="384" w:type="pct"/>
            <w:tcBorders>
              <w:top w:val="nil"/>
              <w:left w:val="nil"/>
              <w:right w:val="nil"/>
            </w:tcBorders>
            <w:shd w:val="clear" w:color="auto" w:fill="auto"/>
            <w:vAlign w:val="bottom"/>
          </w:tcPr>
          <w:p w14:paraId="3B5156C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w:t>
            </w:r>
          </w:p>
        </w:tc>
        <w:tc>
          <w:tcPr>
            <w:tcW w:w="227" w:type="pct"/>
            <w:tcBorders>
              <w:top w:val="nil"/>
              <w:left w:val="nil"/>
              <w:right w:val="nil"/>
            </w:tcBorders>
            <w:shd w:val="clear" w:color="auto" w:fill="auto"/>
            <w:vAlign w:val="bottom"/>
          </w:tcPr>
          <w:p w14:paraId="3A7A3A3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7</w:t>
            </w:r>
          </w:p>
        </w:tc>
      </w:tr>
      <w:tr w:rsidR="002228B8" w14:paraId="1CB36B1B" w14:textId="77777777" w:rsidTr="00DF4A0D">
        <w:trPr>
          <w:cantSplit/>
          <w:jc w:val="center"/>
        </w:trPr>
        <w:tc>
          <w:tcPr>
            <w:tcW w:w="4006" w:type="pct"/>
            <w:tcBorders>
              <w:top w:val="nil"/>
              <w:left w:val="nil"/>
              <w:bottom w:val="nil"/>
              <w:right w:val="nil"/>
            </w:tcBorders>
            <w:shd w:val="clear" w:color="auto" w:fill="auto"/>
          </w:tcPr>
          <w:p w14:paraId="6ABC444A"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Nickel and Manganese</w:t>
            </w:r>
            <w:r w:rsidRPr="00571974">
              <w:rPr>
                <w:sz w:val="18"/>
                <w:szCs w:val="18"/>
                <w:lang w:val="en-GB" w:eastAsia="en-GB" w:bidi="ar-SA"/>
              </w:rPr>
              <w:tab/>
            </w:r>
          </w:p>
        </w:tc>
        <w:tc>
          <w:tcPr>
            <w:tcW w:w="384" w:type="pct"/>
            <w:tcBorders>
              <w:top w:val="nil"/>
              <w:left w:val="nil"/>
              <w:right w:val="nil"/>
            </w:tcBorders>
            <w:shd w:val="clear" w:color="auto" w:fill="auto"/>
            <w:vAlign w:val="bottom"/>
          </w:tcPr>
          <w:p w14:paraId="5394C23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w:t>
            </w:r>
          </w:p>
        </w:tc>
        <w:tc>
          <w:tcPr>
            <w:tcW w:w="384" w:type="pct"/>
            <w:tcBorders>
              <w:top w:val="nil"/>
              <w:left w:val="nil"/>
              <w:right w:val="nil"/>
            </w:tcBorders>
            <w:shd w:val="clear" w:color="auto" w:fill="auto"/>
            <w:vAlign w:val="bottom"/>
          </w:tcPr>
          <w:p w14:paraId="0CECABEE"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w:t>
            </w:r>
          </w:p>
        </w:tc>
        <w:tc>
          <w:tcPr>
            <w:tcW w:w="227" w:type="pct"/>
            <w:tcBorders>
              <w:top w:val="nil"/>
              <w:left w:val="nil"/>
              <w:right w:val="nil"/>
            </w:tcBorders>
            <w:shd w:val="clear" w:color="auto" w:fill="auto"/>
            <w:vAlign w:val="bottom"/>
          </w:tcPr>
          <w:p w14:paraId="6E8C700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1</w:t>
            </w:r>
          </w:p>
        </w:tc>
      </w:tr>
      <w:tr w:rsidR="002228B8" w14:paraId="210ECFDB" w14:textId="77777777" w:rsidTr="00DF4A0D">
        <w:trPr>
          <w:cantSplit/>
          <w:jc w:val="center"/>
        </w:trPr>
        <w:tc>
          <w:tcPr>
            <w:tcW w:w="4006" w:type="pct"/>
            <w:tcBorders>
              <w:top w:val="nil"/>
              <w:left w:val="nil"/>
              <w:bottom w:val="nil"/>
              <w:right w:val="nil"/>
            </w:tcBorders>
            <w:shd w:val="clear" w:color="auto" w:fill="auto"/>
          </w:tcPr>
          <w:p w14:paraId="2A20B045" w14:textId="77777777" w:rsidR="00DF4A0D" w:rsidRPr="00571974" w:rsidRDefault="003D4D89" w:rsidP="00DF4A0D">
            <w:pPr>
              <w:tabs>
                <w:tab w:val="right" w:leader="dot" w:pos="8180"/>
              </w:tabs>
              <w:suppressAutoHyphens/>
              <w:ind w:left="200" w:hanging="200"/>
              <w:rPr>
                <w:sz w:val="18"/>
                <w:szCs w:val="18"/>
                <w:lang w:val="en-GB" w:eastAsia="en-GB" w:bidi="ar-SA"/>
              </w:rPr>
            </w:pPr>
            <w:r w:rsidRPr="00571974">
              <w:rPr>
                <w:sz w:val="18"/>
                <w:szCs w:val="18"/>
                <w:lang w:val="en-GB" w:eastAsia="en-GB" w:bidi="ar-SA"/>
              </w:rPr>
              <w:t>Corporate and Other</w:t>
            </w:r>
            <w:r w:rsidRPr="00571974">
              <w:rPr>
                <w:sz w:val="18"/>
                <w:szCs w:val="18"/>
                <w:lang w:val="en-GB" w:eastAsia="en-GB" w:bidi="ar-SA"/>
              </w:rPr>
              <w:tab/>
            </w:r>
          </w:p>
        </w:tc>
        <w:tc>
          <w:tcPr>
            <w:tcW w:w="384" w:type="pct"/>
            <w:tcBorders>
              <w:top w:val="nil"/>
              <w:left w:val="nil"/>
              <w:bottom w:val="nil"/>
              <w:right w:val="nil"/>
            </w:tcBorders>
            <w:shd w:val="clear" w:color="auto" w:fill="auto"/>
            <w:vAlign w:val="bottom"/>
          </w:tcPr>
          <w:p w14:paraId="43170927"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w:t>
            </w:r>
          </w:p>
        </w:tc>
        <w:tc>
          <w:tcPr>
            <w:tcW w:w="384" w:type="pct"/>
            <w:tcBorders>
              <w:top w:val="nil"/>
              <w:left w:val="nil"/>
              <w:bottom w:val="nil"/>
              <w:right w:val="nil"/>
            </w:tcBorders>
            <w:shd w:val="clear" w:color="auto" w:fill="auto"/>
            <w:vAlign w:val="bottom"/>
          </w:tcPr>
          <w:p w14:paraId="65C6FEF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szCs w:val="18"/>
                <w:lang w:val="en-GB" w:eastAsia="en-GB" w:bidi="ar-SA"/>
              </w:rPr>
            </w:pPr>
            <w:r w:rsidRPr="00571974">
              <w:rPr>
                <w:sz w:val="18"/>
                <w:szCs w:val="18"/>
                <w:lang w:val="en-GB" w:eastAsia="en-GB" w:bidi="ar-SA"/>
              </w:rPr>
              <w:t>1</w:t>
            </w:r>
          </w:p>
        </w:tc>
        <w:tc>
          <w:tcPr>
            <w:tcW w:w="227" w:type="pct"/>
            <w:tcBorders>
              <w:top w:val="nil"/>
              <w:left w:val="nil"/>
              <w:bottom w:val="nil"/>
              <w:right w:val="nil"/>
            </w:tcBorders>
            <w:shd w:val="clear" w:color="auto" w:fill="auto"/>
            <w:vAlign w:val="bottom"/>
          </w:tcPr>
          <w:p w14:paraId="1E2F8BB1"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2</w:t>
            </w:r>
          </w:p>
        </w:tc>
      </w:tr>
      <w:tr w:rsidR="002228B8" w14:paraId="00F9A86C" w14:textId="77777777" w:rsidTr="00DF4A0D">
        <w:trPr>
          <w:cantSplit/>
          <w:jc w:val="center"/>
        </w:trPr>
        <w:tc>
          <w:tcPr>
            <w:tcW w:w="4006" w:type="pct"/>
            <w:tcBorders>
              <w:top w:val="nil"/>
              <w:left w:val="nil"/>
              <w:bottom w:val="nil"/>
              <w:right w:val="nil"/>
            </w:tcBorders>
            <w:shd w:val="clear" w:color="auto" w:fill="auto"/>
          </w:tcPr>
          <w:p w14:paraId="5048D422" w14:textId="77777777" w:rsidR="00DF4A0D" w:rsidRPr="00571974" w:rsidRDefault="003D4D89" w:rsidP="00DF4A0D">
            <w:pPr>
              <w:tabs>
                <w:tab w:val="right" w:leader="dot" w:pos="8180"/>
              </w:tabs>
              <w:suppressAutoHyphens/>
              <w:spacing w:after="40"/>
              <w:rPr>
                <w:sz w:val="18"/>
                <w:szCs w:val="18"/>
                <w:lang w:val="en-GB" w:eastAsia="en-GB" w:bidi="ar-SA"/>
              </w:rPr>
            </w:pPr>
            <w:r w:rsidRPr="00571974">
              <w:rPr>
                <w:sz w:val="18"/>
                <w:szCs w:val="18"/>
                <w:lang w:val="en-GB" w:eastAsia="en-GB" w:bidi="ar-SA"/>
              </w:rPr>
              <w:t>Total</w:t>
            </w:r>
            <w:r w:rsidRPr="00571974">
              <w:rPr>
                <w:sz w:val="18"/>
                <w:szCs w:val="18"/>
                <w:lang w:val="en-GB" w:eastAsia="en-GB" w:bidi="ar-SA"/>
              </w:rPr>
              <w:tab/>
            </w:r>
          </w:p>
        </w:tc>
        <w:tc>
          <w:tcPr>
            <w:tcW w:w="384" w:type="pct"/>
            <w:tcBorders>
              <w:top w:val="nil"/>
              <w:left w:val="nil"/>
              <w:bottom w:val="nil"/>
              <w:right w:val="nil"/>
            </w:tcBorders>
            <w:shd w:val="clear" w:color="auto" w:fill="auto"/>
            <w:vAlign w:val="bottom"/>
          </w:tcPr>
          <w:p w14:paraId="14FEF272"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69</w:t>
            </w:r>
          </w:p>
        </w:tc>
        <w:tc>
          <w:tcPr>
            <w:tcW w:w="384" w:type="pct"/>
            <w:tcBorders>
              <w:top w:val="nil"/>
              <w:left w:val="nil"/>
              <w:bottom w:val="nil"/>
              <w:right w:val="nil"/>
            </w:tcBorders>
            <w:shd w:val="clear" w:color="auto" w:fill="auto"/>
            <w:vAlign w:val="bottom"/>
          </w:tcPr>
          <w:p w14:paraId="13A7CDF1"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szCs w:val="18"/>
                <w:lang w:val="en-GB" w:eastAsia="en-GB" w:bidi="ar-SA"/>
              </w:rPr>
            </w:pPr>
            <w:r w:rsidRPr="00571974">
              <w:rPr>
                <w:sz w:val="18"/>
                <w:szCs w:val="18"/>
                <w:lang w:val="en-GB" w:eastAsia="en-GB" w:bidi="ar-SA"/>
              </w:rPr>
              <w:t>64</w:t>
            </w:r>
          </w:p>
        </w:tc>
        <w:tc>
          <w:tcPr>
            <w:tcW w:w="227" w:type="pct"/>
            <w:tcBorders>
              <w:top w:val="nil"/>
              <w:left w:val="nil"/>
              <w:bottom w:val="nil"/>
              <w:right w:val="nil"/>
            </w:tcBorders>
            <w:shd w:val="clear" w:color="auto" w:fill="auto"/>
            <w:vAlign w:val="bottom"/>
          </w:tcPr>
          <w:p w14:paraId="279457D1"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szCs w:val="18"/>
                <w:lang w:val="en-GB" w:eastAsia="en-GB" w:bidi="ar-SA"/>
              </w:rPr>
            </w:pPr>
            <w:r w:rsidRPr="00571974">
              <w:rPr>
                <w:sz w:val="18"/>
                <w:szCs w:val="18"/>
                <w:lang w:val="en-GB" w:eastAsia="en-GB" w:bidi="ar-SA"/>
              </w:rPr>
              <w:t>63</w:t>
            </w:r>
          </w:p>
        </w:tc>
      </w:tr>
    </w:tbl>
    <w:p w14:paraId="04BEF342" w14:textId="77777777" w:rsidR="00DF4A0D" w:rsidRPr="00571974" w:rsidRDefault="00DF4A0D" w:rsidP="00D30762">
      <w:pPr>
        <w:pStyle w:val="BodyText"/>
        <w:widowControl/>
        <w:autoSpaceDE/>
        <w:autoSpaceDN/>
        <w:adjustRightInd/>
        <w:ind w:firstLine="360"/>
        <w:rPr>
          <w:lang w:val="en-GB"/>
        </w:rPr>
      </w:pPr>
    </w:p>
    <w:p w14:paraId="2C86CB0C" w14:textId="7BC473E0" w:rsidR="00DF4A0D" w:rsidRPr="00571974" w:rsidRDefault="003D4D89" w:rsidP="00DF4A0D">
      <w:pPr>
        <w:pStyle w:val="BodyText"/>
        <w:widowControl/>
        <w:autoSpaceDE/>
        <w:autoSpaceDN/>
        <w:adjustRightInd/>
        <w:ind w:firstLine="360"/>
        <w:rPr>
          <w:lang w:val="en-GB"/>
        </w:rPr>
      </w:pPr>
      <w:r w:rsidRPr="00571974">
        <w:rPr>
          <w:lang w:val="en-GB"/>
        </w:rPr>
        <w:t xml:space="preserve">The table below sets forth the average number of employees </w:t>
      </w:r>
      <w:r w:rsidR="00A97A71" w:rsidRPr="0067179D">
        <w:rPr>
          <w:lang w:val="en-GB"/>
        </w:rPr>
        <w:t>excluding contractors and associates</w:t>
      </w:r>
      <w:r w:rsidR="00A311D8">
        <w:rPr>
          <w:lang w:val="en-GB"/>
        </w:rPr>
        <w:t>’</w:t>
      </w:r>
      <w:r w:rsidR="00A97A71" w:rsidRPr="0067179D">
        <w:rPr>
          <w:lang w:val="en-GB"/>
        </w:rPr>
        <w:t xml:space="preserve"> and joint ventures</w:t>
      </w:r>
      <w:r w:rsidR="00A311D8">
        <w:rPr>
          <w:lang w:val="en-GB"/>
        </w:rPr>
        <w:t>’</w:t>
      </w:r>
      <w:r w:rsidR="00A97A71" w:rsidRPr="0067179D">
        <w:rPr>
          <w:lang w:val="en-GB"/>
        </w:rPr>
        <w:t xml:space="preserve"> employees and including a proportionate share of employees within</w:t>
      </w:r>
      <w:r w:rsidR="00A97A71">
        <w:rPr>
          <w:lang w:val="en-GB"/>
        </w:rPr>
        <w:t xml:space="preserve"> </w:t>
      </w:r>
      <w:r w:rsidR="00A97A71" w:rsidRPr="0067179D">
        <w:rPr>
          <w:lang w:val="en-GB"/>
        </w:rPr>
        <w:t>joint operations, by principal location of employment</w:t>
      </w:r>
      <w:r w:rsidR="00A97A71">
        <w:rPr>
          <w:lang w:val="en-GB"/>
        </w:rPr>
        <w:t>.</w:t>
      </w:r>
    </w:p>
    <w:tbl>
      <w:tblPr>
        <w:tblW w:w="5771" w:type="pct"/>
        <w:tblCellMar>
          <w:left w:w="72" w:type="dxa"/>
          <w:right w:w="72" w:type="dxa"/>
        </w:tblCellMar>
        <w:tblLook w:val="0000" w:firstRow="0" w:lastRow="0" w:firstColumn="0" w:lastColumn="0" w:noHBand="0" w:noVBand="0"/>
      </w:tblPr>
      <w:tblGrid>
        <w:gridCol w:w="8005"/>
        <w:gridCol w:w="784"/>
        <w:gridCol w:w="784"/>
        <w:gridCol w:w="464"/>
        <w:gridCol w:w="762"/>
      </w:tblGrid>
      <w:tr w:rsidR="002228B8" w14:paraId="1E549CF0" w14:textId="77777777" w:rsidTr="00DF4A0D">
        <w:trPr>
          <w:gridAfter w:val="1"/>
          <w:wAfter w:w="353" w:type="dxa"/>
          <w:cantSplit/>
        </w:trPr>
        <w:tc>
          <w:tcPr>
            <w:tcW w:w="3706" w:type="pct"/>
            <w:tcBorders>
              <w:top w:val="nil"/>
              <w:left w:val="nil"/>
              <w:bottom w:val="nil"/>
              <w:right w:val="nil"/>
            </w:tcBorders>
            <w:vAlign w:val="bottom"/>
          </w:tcPr>
          <w:p w14:paraId="4A2866CE"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941" w:type="pct"/>
            <w:gridSpan w:val="3"/>
            <w:tcBorders>
              <w:top w:val="nil"/>
              <w:left w:val="nil"/>
              <w:bottom w:val="nil"/>
              <w:right w:val="nil"/>
            </w:tcBorders>
            <w:vAlign w:val="bottom"/>
          </w:tcPr>
          <w:p w14:paraId="0AFCC66B"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Year-ended December 31,</w:t>
            </w:r>
          </w:p>
        </w:tc>
      </w:tr>
      <w:tr w:rsidR="002228B8" w14:paraId="60D43D25" w14:textId="77777777" w:rsidTr="00DF4A0D">
        <w:trPr>
          <w:gridAfter w:val="1"/>
          <w:wAfter w:w="353" w:type="dxa"/>
          <w:cantSplit/>
        </w:trPr>
        <w:tc>
          <w:tcPr>
            <w:tcW w:w="3706" w:type="pct"/>
            <w:tcBorders>
              <w:top w:val="nil"/>
              <w:left w:val="nil"/>
              <w:bottom w:val="nil"/>
              <w:right w:val="nil"/>
            </w:tcBorders>
            <w:vAlign w:val="bottom"/>
          </w:tcPr>
          <w:p w14:paraId="2F156128" w14:textId="77777777" w:rsidR="00DF4A0D" w:rsidRPr="00571974" w:rsidRDefault="00DF4A0D" w:rsidP="00DF4A0D">
            <w:pP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p>
        </w:tc>
        <w:tc>
          <w:tcPr>
            <w:tcW w:w="363" w:type="pct"/>
            <w:tcBorders>
              <w:top w:val="nil"/>
              <w:left w:val="nil"/>
              <w:bottom w:val="nil"/>
              <w:right w:val="nil"/>
            </w:tcBorders>
            <w:vAlign w:val="bottom"/>
          </w:tcPr>
          <w:p w14:paraId="623CF753"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2017</w:t>
            </w:r>
          </w:p>
        </w:tc>
        <w:tc>
          <w:tcPr>
            <w:tcW w:w="363" w:type="pct"/>
            <w:tcBorders>
              <w:top w:val="nil"/>
              <w:left w:val="nil"/>
              <w:bottom w:val="nil"/>
              <w:right w:val="nil"/>
            </w:tcBorders>
            <w:vAlign w:val="bottom"/>
          </w:tcPr>
          <w:p w14:paraId="57E9030B"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6"/>
                <w:szCs w:val="18"/>
                <w:lang w:val="en-GB" w:eastAsia="en-GB" w:bidi="ar-SA"/>
              </w:rPr>
              <w:t>2018</w:t>
            </w:r>
          </w:p>
        </w:tc>
        <w:tc>
          <w:tcPr>
            <w:tcW w:w="215" w:type="pct"/>
            <w:tcBorders>
              <w:top w:val="nil"/>
              <w:left w:val="nil"/>
              <w:bottom w:val="nil"/>
              <w:right w:val="nil"/>
            </w:tcBorders>
            <w:vAlign w:val="bottom"/>
          </w:tcPr>
          <w:p w14:paraId="2126994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6"/>
                <w:szCs w:val="18"/>
                <w:lang w:val="en-GB" w:eastAsia="en-GB" w:bidi="ar-SA"/>
              </w:rPr>
            </w:pPr>
            <w:r w:rsidRPr="00571974">
              <w:rPr>
                <w:b/>
                <w:bCs/>
                <w:sz w:val="16"/>
                <w:szCs w:val="18"/>
                <w:lang w:val="en-GB" w:eastAsia="en-GB" w:bidi="ar-SA"/>
              </w:rPr>
              <w:t>2019</w:t>
            </w:r>
          </w:p>
        </w:tc>
      </w:tr>
      <w:tr w:rsidR="002228B8" w14:paraId="68015095" w14:textId="77777777" w:rsidTr="00DF4A0D">
        <w:trPr>
          <w:cantSplit/>
        </w:trPr>
        <w:tc>
          <w:tcPr>
            <w:tcW w:w="3706" w:type="pct"/>
            <w:tcBorders>
              <w:top w:val="nil"/>
              <w:left w:val="nil"/>
              <w:bottom w:val="nil"/>
              <w:right w:val="nil"/>
            </w:tcBorders>
            <w:vAlign w:val="bottom"/>
          </w:tcPr>
          <w:p w14:paraId="493A9F4A"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center"/>
              <w:rPr>
                <w:b/>
                <w:bCs/>
                <w:sz w:val="18"/>
                <w:szCs w:val="18"/>
                <w:lang w:val="en-GB" w:eastAsia="en-GB" w:bidi="ar-SA"/>
              </w:rPr>
            </w:pPr>
            <w:r w:rsidRPr="00571974">
              <w:rPr>
                <w:b/>
                <w:bCs/>
                <w:sz w:val="18"/>
                <w:szCs w:val="18"/>
                <w:lang w:val="en-GB" w:eastAsia="en-GB" w:bidi="ar-SA"/>
              </w:rPr>
              <w:t xml:space="preserve">   </w:t>
            </w:r>
          </w:p>
        </w:tc>
        <w:tc>
          <w:tcPr>
            <w:tcW w:w="1294" w:type="pct"/>
            <w:gridSpan w:val="4"/>
            <w:tcBorders>
              <w:top w:val="nil"/>
              <w:left w:val="nil"/>
              <w:bottom w:val="nil"/>
            </w:tcBorders>
            <w:vAlign w:val="bottom"/>
          </w:tcPr>
          <w:p w14:paraId="68FDB478"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rPr>
                <w:b/>
                <w:bCs/>
                <w:i/>
                <w:iCs/>
                <w:sz w:val="16"/>
                <w:szCs w:val="18"/>
                <w:lang w:val="en-GB" w:eastAsia="en-GB" w:bidi="ar-SA"/>
              </w:rPr>
            </w:pPr>
            <w:r w:rsidRPr="00571974">
              <w:rPr>
                <w:b/>
                <w:bCs/>
                <w:i/>
                <w:iCs/>
                <w:sz w:val="16"/>
                <w:szCs w:val="18"/>
                <w:lang w:val="en-GB" w:eastAsia="en-GB" w:bidi="ar-SA"/>
              </w:rPr>
              <w:t xml:space="preserve">         (thousands)</w:t>
            </w:r>
          </w:p>
        </w:tc>
      </w:tr>
      <w:tr w:rsidR="002228B8" w14:paraId="288C66DC" w14:textId="77777777" w:rsidTr="00DF4A0D">
        <w:trPr>
          <w:gridAfter w:val="1"/>
          <w:wAfter w:w="353" w:type="dxa"/>
          <w:cantSplit/>
        </w:trPr>
        <w:tc>
          <w:tcPr>
            <w:tcW w:w="3706" w:type="pct"/>
            <w:tcBorders>
              <w:top w:val="nil"/>
              <w:left w:val="nil"/>
              <w:bottom w:val="nil"/>
              <w:right w:val="nil"/>
            </w:tcBorders>
          </w:tcPr>
          <w:p w14:paraId="157D610A" w14:textId="77777777" w:rsidR="00DF4A0D" w:rsidRPr="00571974" w:rsidRDefault="003D4D89" w:rsidP="00DF4A0D">
            <w:pPr>
              <w:tabs>
                <w:tab w:val="right" w:leader="dot" w:pos="8180"/>
              </w:tabs>
              <w:suppressAutoHyphens/>
              <w:ind w:left="200" w:hanging="200"/>
              <w:rPr>
                <w:sz w:val="18"/>
                <w:lang w:val="en-GB" w:eastAsia="en-GB" w:bidi="ar-SA"/>
              </w:rPr>
            </w:pPr>
            <w:r w:rsidRPr="00571974">
              <w:rPr>
                <w:sz w:val="18"/>
                <w:lang w:val="en-GB" w:eastAsia="en-GB" w:bidi="ar-SA"/>
              </w:rPr>
              <w:t>South Africa</w:t>
            </w:r>
            <w:r w:rsidRPr="00571974">
              <w:rPr>
                <w:sz w:val="18"/>
                <w:lang w:val="en-GB" w:eastAsia="en-GB" w:bidi="ar-SA"/>
              </w:rPr>
              <w:tab/>
            </w:r>
          </w:p>
        </w:tc>
        <w:tc>
          <w:tcPr>
            <w:tcW w:w="363" w:type="pct"/>
            <w:tcBorders>
              <w:top w:val="nil"/>
              <w:left w:val="nil"/>
              <w:bottom w:val="nil"/>
              <w:right w:val="nil"/>
            </w:tcBorders>
            <w:vAlign w:val="bottom"/>
          </w:tcPr>
          <w:p w14:paraId="0600683F"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52</w:t>
            </w:r>
          </w:p>
        </w:tc>
        <w:tc>
          <w:tcPr>
            <w:tcW w:w="363" w:type="pct"/>
            <w:tcBorders>
              <w:top w:val="nil"/>
              <w:left w:val="nil"/>
              <w:bottom w:val="nil"/>
              <w:right w:val="nil"/>
            </w:tcBorders>
          </w:tcPr>
          <w:p w14:paraId="58ABE16C"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47</w:t>
            </w:r>
          </w:p>
        </w:tc>
        <w:tc>
          <w:tcPr>
            <w:tcW w:w="215" w:type="pct"/>
            <w:tcBorders>
              <w:top w:val="nil"/>
              <w:left w:val="nil"/>
              <w:bottom w:val="nil"/>
              <w:right w:val="nil"/>
            </w:tcBorders>
          </w:tcPr>
          <w:p w14:paraId="54F3D05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45</w:t>
            </w:r>
          </w:p>
        </w:tc>
      </w:tr>
      <w:tr w:rsidR="002228B8" w14:paraId="728AA542" w14:textId="77777777" w:rsidTr="00DF4A0D">
        <w:trPr>
          <w:gridAfter w:val="1"/>
          <w:wAfter w:w="353" w:type="dxa"/>
          <w:cantSplit/>
        </w:trPr>
        <w:tc>
          <w:tcPr>
            <w:tcW w:w="3706" w:type="pct"/>
            <w:tcBorders>
              <w:top w:val="nil"/>
              <w:left w:val="nil"/>
              <w:bottom w:val="nil"/>
              <w:right w:val="nil"/>
            </w:tcBorders>
          </w:tcPr>
          <w:p w14:paraId="2D52C3D0" w14:textId="77777777" w:rsidR="00DF4A0D" w:rsidRPr="00571974" w:rsidRDefault="003D4D89" w:rsidP="00DF4A0D">
            <w:pPr>
              <w:tabs>
                <w:tab w:val="right" w:leader="dot" w:pos="8180"/>
              </w:tabs>
              <w:suppressAutoHyphens/>
              <w:ind w:left="200" w:hanging="200"/>
              <w:rPr>
                <w:sz w:val="18"/>
                <w:lang w:val="en-GB" w:eastAsia="en-GB" w:bidi="ar-SA"/>
              </w:rPr>
            </w:pPr>
            <w:r w:rsidRPr="00571974">
              <w:rPr>
                <w:sz w:val="18"/>
                <w:lang w:val="en-GB" w:eastAsia="en-GB" w:bidi="ar-SA"/>
              </w:rPr>
              <w:t>Other Africa</w:t>
            </w:r>
            <w:r w:rsidRPr="00571974">
              <w:rPr>
                <w:sz w:val="18"/>
                <w:lang w:val="en-GB" w:eastAsia="en-GB" w:bidi="ar-SA"/>
              </w:rPr>
              <w:tab/>
            </w:r>
          </w:p>
        </w:tc>
        <w:tc>
          <w:tcPr>
            <w:tcW w:w="363" w:type="pct"/>
            <w:tcBorders>
              <w:top w:val="nil"/>
              <w:left w:val="nil"/>
              <w:bottom w:val="nil"/>
              <w:right w:val="nil"/>
            </w:tcBorders>
            <w:vAlign w:val="bottom"/>
          </w:tcPr>
          <w:p w14:paraId="5B2EDDC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w:t>
            </w:r>
          </w:p>
        </w:tc>
        <w:tc>
          <w:tcPr>
            <w:tcW w:w="363" w:type="pct"/>
            <w:tcBorders>
              <w:top w:val="nil"/>
              <w:left w:val="nil"/>
              <w:bottom w:val="nil"/>
              <w:right w:val="nil"/>
            </w:tcBorders>
          </w:tcPr>
          <w:p w14:paraId="2FFDEAC3"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w:t>
            </w:r>
          </w:p>
        </w:tc>
        <w:tc>
          <w:tcPr>
            <w:tcW w:w="215" w:type="pct"/>
            <w:tcBorders>
              <w:top w:val="nil"/>
              <w:left w:val="nil"/>
              <w:bottom w:val="nil"/>
              <w:right w:val="nil"/>
            </w:tcBorders>
          </w:tcPr>
          <w:p w14:paraId="3B2416C7"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4</w:t>
            </w:r>
          </w:p>
        </w:tc>
      </w:tr>
      <w:tr w:rsidR="002228B8" w14:paraId="231DC1C4" w14:textId="77777777" w:rsidTr="00DF4A0D">
        <w:trPr>
          <w:gridAfter w:val="1"/>
          <w:wAfter w:w="353" w:type="dxa"/>
          <w:cantSplit/>
        </w:trPr>
        <w:tc>
          <w:tcPr>
            <w:tcW w:w="3706" w:type="pct"/>
            <w:tcBorders>
              <w:top w:val="nil"/>
              <w:left w:val="nil"/>
              <w:bottom w:val="nil"/>
              <w:right w:val="nil"/>
            </w:tcBorders>
          </w:tcPr>
          <w:p w14:paraId="4BF2D46E" w14:textId="77777777" w:rsidR="00DF4A0D" w:rsidRPr="00571974" w:rsidRDefault="003D4D89" w:rsidP="00DF4A0D">
            <w:pPr>
              <w:tabs>
                <w:tab w:val="right" w:leader="dot" w:pos="8180"/>
              </w:tabs>
              <w:suppressAutoHyphens/>
              <w:ind w:left="200" w:hanging="200"/>
              <w:rPr>
                <w:sz w:val="18"/>
                <w:lang w:val="en-GB" w:eastAsia="en-GB" w:bidi="ar-SA"/>
              </w:rPr>
            </w:pPr>
            <w:r w:rsidRPr="00571974">
              <w:rPr>
                <w:sz w:val="18"/>
                <w:lang w:val="en-GB" w:eastAsia="en-GB" w:bidi="ar-SA"/>
              </w:rPr>
              <w:t>South America</w:t>
            </w:r>
            <w:r w:rsidRPr="00571974">
              <w:rPr>
                <w:sz w:val="18"/>
                <w:lang w:val="en-GB" w:eastAsia="en-GB" w:bidi="ar-SA"/>
              </w:rPr>
              <w:tab/>
            </w:r>
          </w:p>
        </w:tc>
        <w:tc>
          <w:tcPr>
            <w:tcW w:w="363" w:type="pct"/>
            <w:tcBorders>
              <w:top w:val="nil"/>
              <w:left w:val="nil"/>
              <w:bottom w:val="nil"/>
              <w:right w:val="nil"/>
            </w:tcBorders>
            <w:vAlign w:val="bottom"/>
          </w:tcPr>
          <w:p w14:paraId="3DCC58C0"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8</w:t>
            </w:r>
          </w:p>
        </w:tc>
        <w:tc>
          <w:tcPr>
            <w:tcW w:w="363" w:type="pct"/>
            <w:tcBorders>
              <w:top w:val="nil"/>
              <w:left w:val="nil"/>
              <w:bottom w:val="nil"/>
              <w:right w:val="nil"/>
            </w:tcBorders>
          </w:tcPr>
          <w:p w14:paraId="6375A0F4"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8</w:t>
            </w:r>
          </w:p>
        </w:tc>
        <w:tc>
          <w:tcPr>
            <w:tcW w:w="215" w:type="pct"/>
            <w:tcBorders>
              <w:top w:val="nil"/>
              <w:left w:val="nil"/>
              <w:bottom w:val="nil"/>
              <w:right w:val="nil"/>
            </w:tcBorders>
          </w:tcPr>
          <w:p w14:paraId="32AC9D5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8</w:t>
            </w:r>
          </w:p>
        </w:tc>
      </w:tr>
      <w:tr w:rsidR="002228B8" w14:paraId="6D84A52E" w14:textId="77777777" w:rsidTr="00DF4A0D">
        <w:trPr>
          <w:gridAfter w:val="1"/>
          <w:wAfter w:w="353" w:type="dxa"/>
          <w:cantSplit/>
        </w:trPr>
        <w:tc>
          <w:tcPr>
            <w:tcW w:w="3706" w:type="pct"/>
            <w:tcBorders>
              <w:top w:val="nil"/>
              <w:left w:val="nil"/>
              <w:bottom w:val="nil"/>
              <w:right w:val="nil"/>
            </w:tcBorders>
          </w:tcPr>
          <w:p w14:paraId="479F52E5" w14:textId="77777777" w:rsidR="00DF4A0D" w:rsidRPr="00571974" w:rsidRDefault="003D4D89" w:rsidP="00DF4A0D">
            <w:pPr>
              <w:tabs>
                <w:tab w:val="right" w:leader="dot" w:pos="8180"/>
              </w:tabs>
              <w:suppressAutoHyphens/>
              <w:ind w:left="200" w:hanging="200"/>
              <w:rPr>
                <w:sz w:val="18"/>
                <w:lang w:val="en-GB" w:eastAsia="en-GB" w:bidi="ar-SA"/>
              </w:rPr>
            </w:pPr>
            <w:r w:rsidRPr="00571974">
              <w:rPr>
                <w:sz w:val="18"/>
                <w:lang w:val="en-GB" w:eastAsia="en-GB" w:bidi="ar-SA"/>
              </w:rPr>
              <w:t>North America</w:t>
            </w:r>
            <w:r w:rsidRPr="00571974">
              <w:rPr>
                <w:sz w:val="18"/>
                <w:lang w:val="en-GB" w:eastAsia="en-GB" w:bidi="ar-SA"/>
              </w:rPr>
              <w:tab/>
            </w:r>
          </w:p>
        </w:tc>
        <w:tc>
          <w:tcPr>
            <w:tcW w:w="363" w:type="pct"/>
            <w:tcBorders>
              <w:top w:val="nil"/>
              <w:left w:val="nil"/>
              <w:bottom w:val="nil"/>
              <w:right w:val="nil"/>
            </w:tcBorders>
            <w:vAlign w:val="bottom"/>
          </w:tcPr>
          <w:p w14:paraId="463BFB1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w:t>
            </w:r>
          </w:p>
        </w:tc>
        <w:tc>
          <w:tcPr>
            <w:tcW w:w="363" w:type="pct"/>
            <w:tcBorders>
              <w:top w:val="nil"/>
              <w:left w:val="nil"/>
              <w:bottom w:val="nil"/>
              <w:right w:val="nil"/>
            </w:tcBorders>
          </w:tcPr>
          <w:p w14:paraId="061CDB1B"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w:t>
            </w:r>
          </w:p>
        </w:tc>
        <w:tc>
          <w:tcPr>
            <w:tcW w:w="215" w:type="pct"/>
            <w:tcBorders>
              <w:top w:val="nil"/>
              <w:left w:val="nil"/>
              <w:bottom w:val="nil"/>
              <w:right w:val="nil"/>
            </w:tcBorders>
          </w:tcPr>
          <w:p w14:paraId="1C0E594D"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1</w:t>
            </w:r>
          </w:p>
        </w:tc>
      </w:tr>
      <w:tr w:rsidR="002228B8" w14:paraId="0DAB5415" w14:textId="77777777" w:rsidTr="00DF4A0D">
        <w:trPr>
          <w:gridAfter w:val="1"/>
          <w:wAfter w:w="353" w:type="dxa"/>
          <w:cantSplit/>
        </w:trPr>
        <w:tc>
          <w:tcPr>
            <w:tcW w:w="3706" w:type="pct"/>
            <w:tcBorders>
              <w:top w:val="nil"/>
              <w:left w:val="nil"/>
              <w:bottom w:val="nil"/>
              <w:right w:val="nil"/>
            </w:tcBorders>
          </w:tcPr>
          <w:p w14:paraId="14C1B71F" w14:textId="77777777" w:rsidR="00DF4A0D" w:rsidRPr="00571974" w:rsidRDefault="003D4D89" w:rsidP="00DF4A0D">
            <w:pPr>
              <w:tabs>
                <w:tab w:val="right" w:leader="dot" w:pos="8180"/>
              </w:tabs>
              <w:suppressAutoHyphens/>
              <w:ind w:left="200" w:hanging="200"/>
              <w:rPr>
                <w:sz w:val="18"/>
                <w:lang w:val="en-GB" w:eastAsia="en-GB" w:bidi="ar-SA"/>
              </w:rPr>
            </w:pPr>
            <w:r w:rsidRPr="00571974">
              <w:rPr>
                <w:sz w:val="18"/>
                <w:lang w:val="en-GB" w:eastAsia="en-GB" w:bidi="ar-SA"/>
              </w:rPr>
              <w:t>Australia and Asia</w:t>
            </w:r>
            <w:r w:rsidRPr="00571974">
              <w:rPr>
                <w:sz w:val="18"/>
                <w:lang w:val="en-GB" w:eastAsia="en-GB" w:bidi="ar-SA"/>
              </w:rPr>
              <w:tab/>
            </w:r>
          </w:p>
        </w:tc>
        <w:tc>
          <w:tcPr>
            <w:tcW w:w="363" w:type="pct"/>
            <w:tcBorders>
              <w:top w:val="nil"/>
              <w:left w:val="nil"/>
              <w:bottom w:val="nil"/>
              <w:right w:val="nil"/>
            </w:tcBorders>
            <w:vAlign w:val="bottom"/>
          </w:tcPr>
          <w:p w14:paraId="669AD8D5"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w:t>
            </w:r>
          </w:p>
        </w:tc>
        <w:tc>
          <w:tcPr>
            <w:tcW w:w="363" w:type="pct"/>
            <w:tcBorders>
              <w:top w:val="nil"/>
              <w:left w:val="nil"/>
              <w:bottom w:val="nil"/>
              <w:right w:val="nil"/>
            </w:tcBorders>
          </w:tcPr>
          <w:p w14:paraId="5D7D4289"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w:t>
            </w:r>
          </w:p>
        </w:tc>
        <w:tc>
          <w:tcPr>
            <w:tcW w:w="215" w:type="pct"/>
            <w:tcBorders>
              <w:top w:val="nil"/>
              <w:left w:val="nil"/>
              <w:bottom w:val="nil"/>
              <w:right w:val="nil"/>
            </w:tcBorders>
          </w:tcPr>
          <w:p w14:paraId="296E75D6" w14:textId="77777777" w:rsidR="00DF4A0D" w:rsidRPr="00571974" w:rsidRDefault="003D4D89" w:rsidP="00DF4A0D">
            <w:pP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3</w:t>
            </w:r>
          </w:p>
        </w:tc>
      </w:tr>
      <w:tr w:rsidR="002228B8" w14:paraId="122CACA7" w14:textId="77777777" w:rsidTr="00DF4A0D">
        <w:trPr>
          <w:gridAfter w:val="1"/>
          <w:wAfter w:w="353" w:type="dxa"/>
          <w:cantSplit/>
        </w:trPr>
        <w:tc>
          <w:tcPr>
            <w:tcW w:w="3706" w:type="pct"/>
            <w:tcBorders>
              <w:top w:val="nil"/>
              <w:left w:val="nil"/>
              <w:bottom w:val="nil"/>
              <w:right w:val="nil"/>
            </w:tcBorders>
          </w:tcPr>
          <w:p w14:paraId="00C56C18" w14:textId="77777777" w:rsidR="00DF4A0D" w:rsidRPr="00571974" w:rsidRDefault="003D4D89" w:rsidP="00DF4A0D">
            <w:pPr>
              <w:tabs>
                <w:tab w:val="right" w:leader="dot" w:pos="8180"/>
              </w:tabs>
              <w:suppressAutoHyphens/>
              <w:spacing w:after="20"/>
              <w:ind w:left="200" w:hanging="200"/>
              <w:rPr>
                <w:sz w:val="18"/>
                <w:lang w:val="en-GB" w:eastAsia="en-GB" w:bidi="ar-SA"/>
              </w:rPr>
            </w:pPr>
            <w:r w:rsidRPr="00571974">
              <w:rPr>
                <w:sz w:val="18"/>
                <w:lang w:val="en-GB" w:eastAsia="en-GB" w:bidi="ar-SA"/>
              </w:rPr>
              <w:t>Europe</w:t>
            </w:r>
            <w:r w:rsidRPr="00571974">
              <w:rPr>
                <w:sz w:val="18"/>
                <w:lang w:val="en-GB" w:eastAsia="en-GB" w:bidi="ar-SA"/>
              </w:rPr>
              <w:tab/>
            </w:r>
          </w:p>
        </w:tc>
        <w:tc>
          <w:tcPr>
            <w:tcW w:w="363" w:type="pct"/>
            <w:tcBorders>
              <w:top w:val="nil"/>
              <w:left w:val="nil"/>
              <w:bottom w:val="nil"/>
              <w:right w:val="nil"/>
            </w:tcBorders>
            <w:vAlign w:val="bottom"/>
          </w:tcPr>
          <w:p w14:paraId="30D08C9E"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2</w:t>
            </w:r>
          </w:p>
        </w:tc>
        <w:tc>
          <w:tcPr>
            <w:tcW w:w="363" w:type="pct"/>
            <w:tcBorders>
              <w:top w:val="nil"/>
              <w:left w:val="nil"/>
              <w:bottom w:val="nil"/>
              <w:right w:val="nil"/>
            </w:tcBorders>
          </w:tcPr>
          <w:p w14:paraId="4BAF5035"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right"/>
              <w:rPr>
                <w:sz w:val="18"/>
                <w:lang w:val="en-GB" w:eastAsia="en-GB" w:bidi="ar-SA"/>
              </w:rPr>
            </w:pPr>
            <w:r w:rsidRPr="00571974">
              <w:rPr>
                <w:sz w:val="18"/>
                <w:lang w:val="en-GB" w:eastAsia="en-GB" w:bidi="ar-SA"/>
              </w:rPr>
              <w:t>2</w:t>
            </w:r>
          </w:p>
        </w:tc>
        <w:tc>
          <w:tcPr>
            <w:tcW w:w="215" w:type="pct"/>
            <w:tcBorders>
              <w:top w:val="nil"/>
              <w:left w:val="nil"/>
              <w:bottom w:val="nil"/>
              <w:right w:val="nil"/>
            </w:tcBorders>
          </w:tcPr>
          <w:p w14:paraId="1FA4D92F" w14:textId="77777777" w:rsidR="00DF4A0D" w:rsidRPr="00571974" w:rsidRDefault="003D4D89" w:rsidP="00DF4A0D">
            <w:pPr>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2</w:t>
            </w:r>
          </w:p>
        </w:tc>
      </w:tr>
      <w:tr w:rsidR="002228B8" w14:paraId="41A3A833" w14:textId="77777777" w:rsidTr="00DF4A0D">
        <w:trPr>
          <w:gridAfter w:val="1"/>
          <w:wAfter w:w="353" w:type="dxa"/>
          <w:cantSplit/>
        </w:trPr>
        <w:tc>
          <w:tcPr>
            <w:tcW w:w="3706" w:type="pct"/>
            <w:tcBorders>
              <w:top w:val="nil"/>
              <w:left w:val="nil"/>
              <w:bottom w:val="nil"/>
              <w:right w:val="nil"/>
            </w:tcBorders>
          </w:tcPr>
          <w:p w14:paraId="56E84E92" w14:textId="77777777" w:rsidR="00DF4A0D" w:rsidRPr="00571974" w:rsidRDefault="003D4D89" w:rsidP="00DF4A0D">
            <w:pPr>
              <w:tabs>
                <w:tab w:val="right" w:leader="dot" w:pos="8180"/>
              </w:tabs>
              <w:suppressAutoHyphens/>
              <w:spacing w:after="40"/>
              <w:rPr>
                <w:sz w:val="18"/>
                <w:lang w:val="en-GB" w:eastAsia="en-GB" w:bidi="ar-SA"/>
              </w:rPr>
            </w:pPr>
            <w:r w:rsidRPr="00571974">
              <w:rPr>
                <w:sz w:val="18"/>
                <w:lang w:val="en-GB" w:eastAsia="en-GB" w:bidi="ar-SA"/>
              </w:rPr>
              <w:t>Total</w:t>
            </w:r>
            <w:r w:rsidRPr="00571974">
              <w:rPr>
                <w:sz w:val="18"/>
                <w:lang w:val="en-GB" w:eastAsia="en-GB" w:bidi="ar-SA"/>
              </w:rPr>
              <w:tab/>
            </w:r>
          </w:p>
        </w:tc>
        <w:tc>
          <w:tcPr>
            <w:tcW w:w="363" w:type="pct"/>
            <w:tcBorders>
              <w:top w:val="nil"/>
              <w:left w:val="nil"/>
              <w:bottom w:val="nil"/>
              <w:right w:val="nil"/>
            </w:tcBorders>
            <w:vAlign w:val="bottom"/>
          </w:tcPr>
          <w:p w14:paraId="291B10F4"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69</w:t>
            </w:r>
          </w:p>
        </w:tc>
        <w:tc>
          <w:tcPr>
            <w:tcW w:w="363" w:type="pct"/>
            <w:tcBorders>
              <w:top w:val="nil"/>
              <w:left w:val="nil"/>
              <w:bottom w:val="nil"/>
              <w:right w:val="nil"/>
            </w:tcBorders>
          </w:tcPr>
          <w:p w14:paraId="0E663949"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right"/>
              <w:rPr>
                <w:sz w:val="18"/>
                <w:lang w:val="en-GB" w:eastAsia="en-GB" w:bidi="ar-SA"/>
              </w:rPr>
            </w:pPr>
            <w:r w:rsidRPr="00571974">
              <w:rPr>
                <w:sz w:val="18"/>
                <w:lang w:val="en-GB" w:eastAsia="en-GB" w:bidi="ar-SA"/>
              </w:rPr>
              <w:t>64</w:t>
            </w:r>
          </w:p>
        </w:tc>
        <w:tc>
          <w:tcPr>
            <w:tcW w:w="215" w:type="pct"/>
            <w:tcBorders>
              <w:top w:val="nil"/>
              <w:left w:val="nil"/>
              <w:bottom w:val="nil"/>
              <w:right w:val="nil"/>
            </w:tcBorders>
          </w:tcPr>
          <w:p w14:paraId="02B0546E" w14:textId="77777777" w:rsidR="00DF4A0D" w:rsidRPr="00571974" w:rsidRDefault="003D4D89" w:rsidP="00DF4A0D">
            <w:pPr>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jc w:val="right"/>
              <w:rPr>
                <w:sz w:val="18"/>
                <w:lang w:val="en-GB" w:eastAsia="en-GB" w:bidi="ar-SA"/>
              </w:rPr>
            </w:pPr>
            <w:r w:rsidRPr="00571974">
              <w:rPr>
                <w:sz w:val="18"/>
                <w:lang w:val="en-GB" w:eastAsia="en-GB" w:bidi="ar-SA"/>
              </w:rPr>
              <w:t>63</w:t>
            </w:r>
          </w:p>
        </w:tc>
      </w:tr>
    </w:tbl>
    <w:p w14:paraId="3E7874C3" w14:textId="77777777" w:rsidR="00D30762" w:rsidRPr="00571974" w:rsidRDefault="00D30762" w:rsidP="00D30762">
      <w:pPr>
        <w:pStyle w:val="BodyText"/>
        <w:widowControl/>
        <w:autoSpaceDE/>
        <w:autoSpaceDN/>
        <w:adjustRightInd/>
        <w:ind w:firstLine="360"/>
        <w:rPr>
          <w:lang w:val="en-GB"/>
        </w:rPr>
      </w:pPr>
    </w:p>
    <w:p w14:paraId="2E242B37" w14:textId="64F8B745" w:rsidR="00DF4A0D" w:rsidRPr="00571974" w:rsidRDefault="003D4D89" w:rsidP="00D30762">
      <w:pPr>
        <w:pStyle w:val="BodyText"/>
        <w:widowControl/>
        <w:autoSpaceDE/>
        <w:autoSpaceDN/>
        <w:adjustRightInd/>
        <w:ind w:firstLine="360"/>
        <w:rPr>
          <w:lang w:val="en-GB"/>
        </w:rPr>
      </w:pPr>
      <w:r w:rsidRPr="00571974">
        <w:rPr>
          <w:lang w:val="en-GB"/>
        </w:rPr>
        <w:t>For detail of the Group</w:t>
      </w:r>
      <w:r w:rsidR="00A311D8">
        <w:rPr>
          <w:lang w:val="en-GB"/>
        </w:rPr>
        <w:t>’</w:t>
      </w:r>
      <w:r w:rsidRPr="00571974">
        <w:rPr>
          <w:lang w:val="en-GB"/>
        </w:rPr>
        <w:t xml:space="preserve">s retirement benefits, please see Note </w:t>
      </w:r>
      <w:r w:rsidR="0053004A" w:rsidRPr="00571974">
        <w:rPr>
          <w:lang w:val="en-GB"/>
        </w:rPr>
        <w:t>27 to</w:t>
      </w:r>
      <w:r w:rsidRPr="00571974">
        <w:rPr>
          <w:lang w:val="en-GB"/>
        </w:rPr>
        <w:t xml:space="preserve"> the Group 2019 Consolidated Financial Statements, which are incorporated by reference in this document.</w:t>
      </w:r>
    </w:p>
    <w:bookmarkEnd w:id="83"/>
    <w:p w14:paraId="3C9AB6AC" w14:textId="77777777" w:rsidR="00DD11F1" w:rsidRPr="00571974" w:rsidRDefault="003D4D89" w:rsidP="00DD11F1">
      <w:pPr>
        <w:pStyle w:val="Heading1"/>
        <w:rPr>
          <w:rFonts w:eastAsia="Times New Roman"/>
          <w:b w:val="0"/>
          <w:caps w:val="0"/>
          <w:snapToGrid/>
          <w:szCs w:val="22"/>
          <w:lang w:val="en-GB"/>
        </w:rPr>
      </w:pPr>
      <w:r w:rsidRPr="00571974">
        <w:rPr>
          <w:rFonts w:eastAsia="Times New Roman"/>
          <w:b w:val="0"/>
          <w:caps w:val="0"/>
          <w:snapToGrid/>
          <w:szCs w:val="22"/>
          <w:lang w:val="en-GB"/>
        </w:rPr>
        <w:br w:type="page"/>
      </w:r>
    </w:p>
    <w:p w14:paraId="165EA839" w14:textId="77777777" w:rsidR="003A1501" w:rsidRPr="00571974" w:rsidRDefault="003D4D89" w:rsidP="003A1501">
      <w:pPr>
        <w:pStyle w:val="Heading1"/>
        <w:rPr>
          <w:lang w:val="en-GB"/>
        </w:rPr>
      </w:pPr>
      <w:bookmarkStart w:id="85" w:name="_Toc36388968"/>
      <w:r w:rsidRPr="00571974">
        <w:rPr>
          <w:lang w:val="en-GB"/>
        </w:rPr>
        <w:lastRenderedPageBreak/>
        <w:t>RELATED PARTY TRANSACTIONS</w:t>
      </w:r>
      <w:bookmarkEnd w:id="85"/>
    </w:p>
    <w:p w14:paraId="48684DFA" w14:textId="77777777" w:rsidR="003A1501" w:rsidRPr="00571974" w:rsidRDefault="003D4D89" w:rsidP="003A1501">
      <w:pPr>
        <w:pStyle w:val="BodyText"/>
        <w:widowControl/>
        <w:autoSpaceDE/>
        <w:autoSpaceDN/>
        <w:adjustRightInd/>
        <w:ind w:firstLine="360"/>
        <w:rPr>
          <w:lang w:val="en-GB"/>
        </w:rPr>
      </w:pPr>
      <w:r w:rsidRPr="00571974">
        <w:rPr>
          <w:lang w:val="en-GB"/>
        </w:rPr>
        <w:t>The Group has a related party relationship with its subsidiaries, joint ventures and associates.</w:t>
      </w:r>
    </w:p>
    <w:p w14:paraId="64843D4B" w14:textId="0FB56425" w:rsidR="003A1501" w:rsidRPr="00571974" w:rsidRDefault="003D4D89" w:rsidP="003A1501">
      <w:pPr>
        <w:pStyle w:val="BodyText"/>
        <w:widowControl/>
        <w:autoSpaceDE/>
        <w:autoSpaceDN/>
        <w:adjustRightInd/>
        <w:ind w:firstLine="360"/>
        <w:rPr>
          <w:lang w:val="en-GB"/>
        </w:rPr>
      </w:pPr>
      <w:r w:rsidRPr="00571974">
        <w:rPr>
          <w:lang w:val="en-GB"/>
        </w:rPr>
        <w:t xml:space="preserve">The Group, in the ordinary course of business, enters into various sale, purchase and service transactions with joint ventures and associates and others in which the Group has a material interest. These transactions are under terms that are no less </w:t>
      </w:r>
      <w:r w:rsidR="0053004A" w:rsidRPr="00571974">
        <w:rPr>
          <w:lang w:val="en-GB"/>
        </w:rPr>
        <w:t>favorable</w:t>
      </w:r>
      <w:r w:rsidRPr="00571974">
        <w:rPr>
          <w:lang w:val="en-GB"/>
        </w:rPr>
        <w:t xml:space="preserve"> than those arranged with third parties.</w:t>
      </w:r>
    </w:p>
    <w:p w14:paraId="40305F68" w14:textId="3F185509" w:rsidR="003A1501" w:rsidRPr="00571974" w:rsidRDefault="003D4D89" w:rsidP="003A1501">
      <w:pPr>
        <w:pStyle w:val="BodyText"/>
        <w:widowControl/>
        <w:autoSpaceDE/>
        <w:autoSpaceDN/>
        <w:adjustRightInd/>
        <w:ind w:firstLine="360"/>
        <w:rPr>
          <w:lang w:val="en-GB"/>
        </w:rPr>
      </w:pPr>
      <w:r w:rsidRPr="00571974">
        <w:rPr>
          <w:lang w:val="en-GB"/>
        </w:rPr>
        <w:t xml:space="preserve">Dividends received from associates and joint ventures during the year ended December 31, 2019 totaled US$520 million. Dividends received from associates and joint ventures during the year ended December 31, 2018 totaled US$737 million. Dividends received from associates and joint ventures during the year end December 31, 2017 </w:t>
      </w:r>
      <w:r w:rsidR="0053004A" w:rsidRPr="00571974">
        <w:rPr>
          <w:lang w:val="en-GB"/>
        </w:rPr>
        <w:t>totaled</w:t>
      </w:r>
      <w:r w:rsidRPr="00571974">
        <w:rPr>
          <w:lang w:val="en-GB"/>
        </w:rPr>
        <w:t xml:space="preserve"> US$506 million.</w:t>
      </w:r>
    </w:p>
    <w:p w14:paraId="1AC8E79C" w14:textId="77777777" w:rsidR="003A1501" w:rsidRPr="00571974" w:rsidRDefault="003D4D89" w:rsidP="003A1501">
      <w:pPr>
        <w:pStyle w:val="BodyText"/>
        <w:widowControl/>
        <w:autoSpaceDE/>
        <w:autoSpaceDN/>
        <w:adjustRightInd/>
        <w:ind w:firstLine="360"/>
        <w:rPr>
          <w:lang w:val="en-GB"/>
        </w:rPr>
      </w:pPr>
      <w:r w:rsidRPr="00571974">
        <w:rPr>
          <w:lang w:val="en-GB"/>
        </w:rPr>
        <w:t>At December 31, 2019, the Group had provided loans to joint ventures of US$230 million. At December 31, 2018, the Group had provided loans to joint ventures of US$221 million. At December 31, 2017, the Group had provided loans to joint ventures of US$230 million.</w:t>
      </w:r>
    </w:p>
    <w:p w14:paraId="286A0272" w14:textId="77777777" w:rsidR="003A1501" w:rsidRPr="00571974" w:rsidRDefault="003D4D89" w:rsidP="003A1501">
      <w:pPr>
        <w:pStyle w:val="Heading2"/>
        <w:rPr>
          <w:rFonts w:ascii="Times New Roman" w:hAnsi="Times New Roman"/>
          <w:lang w:val="en-GB"/>
        </w:rPr>
      </w:pPr>
      <w:r w:rsidRPr="00571974">
        <w:rPr>
          <w:rFonts w:ascii="Times New Roman" w:hAnsi="Times New Roman"/>
          <w:lang w:val="en-GB"/>
        </w:rPr>
        <w:t>Related Party transaction with Siyanda</w:t>
      </w:r>
    </w:p>
    <w:p w14:paraId="05ECA0CA" w14:textId="70EA57F0" w:rsidR="003A1501" w:rsidRPr="00571974" w:rsidRDefault="003D4D89" w:rsidP="003A1501">
      <w:pPr>
        <w:pStyle w:val="BodyText"/>
        <w:widowControl/>
        <w:autoSpaceDE/>
        <w:autoSpaceDN/>
        <w:adjustRightInd/>
        <w:ind w:firstLine="360"/>
        <w:rPr>
          <w:lang w:val="en-GB"/>
        </w:rPr>
      </w:pPr>
      <w:r w:rsidRPr="00571974">
        <w:rPr>
          <w:lang w:val="en-GB"/>
        </w:rPr>
        <w:t>On February 1, 2018, the Group completed the sale of its interest in the Union platinum mine and its interest in MASA Chrome Company (Pty) Limited to a subsidiary of Siyanda Resources Proprietary Limited (</w:t>
      </w:r>
      <w:r w:rsidR="00A311D8">
        <w:rPr>
          <w:lang w:val="en-GB"/>
        </w:rPr>
        <w:t>“</w:t>
      </w:r>
      <w:r w:rsidRPr="00571974">
        <w:rPr>
          <w:lang w:val="en-GB"/>
        </w:rPr>
        <w:t>Siyanda</w:t>
      </w:r>
      <w:r w:rsidR="00A311D8">
        <w:rPr>
          <w:lang w:val="en-GB"/>
        </w:rPr>
        <w:t>”</w:t>
      </w:r>
      <w:r w:rsidRPr="00571974">
        <w:rPr>
          <w:lang w:val="en-GB"/>
        </w:rPr>
        <w:t>) for consideration comprising upfront cash of ZAR400 million (approximately US$34 million) and deferred consideration based on the operation</w:t>
      </w:r>
      <w:r w:rsidR="00A311D8">
        <w:rPr>
          <w:lang w:val="en-GB"/>
        </w:rPr>
        <w:t>’</w:t>
      </w:r>
      <w:r w:rsidRPr="00571974">
        <w:rPr>
          <w:lang w:val="en-GB"/>
        </w:rPr>
        <w:t xml:space="preserve">s cumulative free cash flow generation over a ten year period. The transaction was a smaller related party transaction under </w:t>
      </w:r>
      <w:r w:rsidR="00912965" w:rsidRPr="00571974">
        <w:rPr>
          <w:lang w:val="en-GB"/>
        </w:rPr>
        <w:t>FCA</w:t>
      </w:r>
      <w:r w:rsidRPr="00571974">
        <w:rPr>
          <w:lang w:val="en-GB"/>
        </w:rPr>
        <w:t xml:space="preserve"> Listing Rules as Siyanda is a 30% associate of the Public Investment Corporation, a substantial shareholder of Anglo American, and Siyanda is a 49.9% shareholder in Masa Chrome Company (Pty) Limited, a subsidiary of Anglo American.</w:t>
      </w:r>
    </w:p>
    <w:p w14:paraId="61E122E6" w14:textId="77777777" w:rsidR="003A1501" w:rsidRPr="00571974" w:rsidRDefault="003D4D89" w:rsidP="003A1501">
      <w:pPr>
        <w:pStyle w:val="Heading2"/>
        <w:rPr>
          <w:rFonts w:ascii="Times New Roman" w:hAnsi="Times New Roman"/>
          <w:lang w:val="en-GB"/>
        </w:rPr>
      </w:pPr>
      <w:r w:rsidRPr="00571974">
        <w:rPr>
          <w:rFonts w:ascii="Times New Roman" w:hAnsi="Times New Roman"/>
          <w:lang w:val="en-GB"/>
        </w:rPr>
        <w:t>Related Party transaction with the Industrial Development Corporation</w:t>
      </w:r>
    </w:p>
    <w:p w14:paraId="1504B044" w14:textId="26707714" w:rsidR="003A1501" w:rsidRPr="00571974" w:rsidRDefault="003D4D89" w:rsidP="00D30762">
      <w:pPr>
        <w:pStyle w:val="BodyText"/>
        <w:widowControl/>
        <w:autoSpaceDE/>
        <w:autoSpaceDN/>
        <w:adjustRightInd/>
        <w:ind w:firstLine="360"/>
        <w:rPr>
          <w:lang w:val="en-GB"/>
        </w:rPr>
      </w:pPr>
      <w:r w:rsidRPr="00571974">
        <w:rPr>
          <w:lang w:val="en-GB"/>
        </w:rPr>
        <w:t xml:space="preserve">On August 1, 2018, the Group completed the sale, by its 73%-held subsidiary Anglo American Inyosi Coal (Proprietary) Limited, of New Largo in South Africa to New Largo Coal Proprietary Limited (the </w:t>
      </w:r>
      <w:r w:rsidR="00A311D8">
        <w:rPr>
          <w:lang w:val="en-GB"/>
        </w:rPr>
        <w:t>“</w:t>
      </w:r>
      <w:r w:rsidRPr="00571974">
        <w:rPr>
          <w:lang w:val="en-GB"/>
        </w:rPr>
        <w:t>Purchaser</w:t>
      </w:r>
      <w:r w:rsidR="00A311D8">
        <w:rPr>
          <w:lang w:val="en-GB"/>
        </w:rPr>
        <w:t>”</w:t>
      </w:r>
      <w:r w:rsidRPr="00571974">
        <w:rPr>
          <w:lang w:val="en-GB"/>
        </w:rPr>
        <w:t xml:space="preserve">), which is owned by Seriti Resources Proprietary Limited and Coalzar Proprietary Limited, two companies majority owned and controlled by HDSAs, and the IDC. </w:t>
      </w:r>
    </w:p>
    <w:p w14:paraId="6FEAEAF4" w14:textId="76FC4CAD" w:rsidR="003A1501" w:rsidRPr="00571974" w:rsidRDefault="003D4D89" w:rsidP="003A1501">
      <w:pPr>
        <w:pStyle w:val="BodyText"/>
        <w:widowControl/>
        <w:autoSpaceDE/>
        <w:autoSpaceDN/>
        <w:adjustRightInd/>
        <w:ind w:firstLine="360"/>
        <w:rPr>
          <w:lang w:val="en-GB"/>
        </w:rPr>
      </w:pPr>
      <w:r w:rsidRPr="00571974">
        <w:rPr>
          <w:lang w:val="en-GB"/>
        </w:rPr>
        <w:t xml:space="preserve">The consideration payable for New Largo was ZAR850 million (approximately US$71 million). The transaction was a small related party transaction under </w:t>
      </w:r>
      <w:r w:rsidR="00912965" w:rsidRPr="00571974">
        <w:rPr>
          <w:lang w:val="en-GB"/>
        </w:rPr>
        <w:t>FCA Listing</w:t>
      </w:r>
      <w:r w:rsidRPr="00571974">
        <w:rPr>
          <w:lang w:val="en-GB"/>
        </w:rPr>
        <w:t xml:space="preserve"> Rules as the IDC, a substantial shareholder in Anglo American</w:t>
      </w:r>
      <w:r w:rsidR="00A311D8">
        <w:rPr>
          <w:lang w:val="en-GB"/>
        </w:rPr>
        <w:t>’</w:t>
      </w:r>
      <w:r w:rsidRPr="00571974">
        <w:rPr>
          <w:lang w:val="en-GB"/>
        </w:rPr>
        <w:t xml:space="preserve">s subsidiary Kumba Iron Ore Limited, is a shareholder in the Purchaser. The Transaction was subject to the requirements of </w:t>
      </w:r>
      <w:r w:rsidR="0053004A">
        <w:rPr>
          <w:lang w:val="en-GB"/>
        </w:rPr>
        <w:t>FCA</w:t>
      </w:r>
      <w:r w:rsidRPr="00571974">
        <w:rPr>
          <w:lang w:val="en-GB"/>
        </w:rPr>
        <w:t xml:space="preserve"> Listing Rule 11.1.10R, due to aggregation with the related party transaction in respect of Union platinum mine and MASA Chrome Company (Pty) Limited involving the Public Investment Corporation, an associate of the IDC, both of which are ultimately controlled by the Government of South Africa.</w:t>
      </w:r>
    </w:p>
    <w:p w14:paraId="22449312" w14:textId="77777777" w:rsidR="003A1501" w:rsidRPr="00571974" w:rsidRDefault="003D4D89" w:rsidP="00D30762">
      <w:pPr>
        <w:pStyle w:val="Heading2"/>
        <w:rPr>
          <w:rFonts w:ascii="Times New Roman" w:hAnsi="Times New Roman"/>
          <w:lang w:val="en-GB"/>
        </w:rPr>
      </w:pPr>
      <w:r w:rsidRPr="00571974">
        <w:rPr>
          <w:rFonts w:ascii="Times New Roman" w:hAnsi="Times New Roman"/>
          <w:lang w:val="en-GB"/>
        </w:rPr>
        <w:t>Related Party Transaction with the Public Investment Corporation</w:t>
      </w:r>
    </w:p>
    <w:p w14:paraId="3BCAD9E7" w14:textId="4540513E" w:rsidR="003A1501" w:rsidRPr="00571974" w:rsidRDefault="003D4D89" w:rsidP="00D30762">
      <w:pPr>
        <w:pStyle w:val="BodyText"/>
        <w:widowControl/>
        <w:autoSpaceDE/>
        <w:autoSpaceDN/>
        <w:adjustRightInd/>
        <w:ind w:firstLine="360"/>
        <w:rPr>
          <w:lang w:val="en-GB"/>
        </w:rPr>
      </w:pPr>
      <w:r w:rsidRPr="00571974">
        <w:rPr>
          <w:lang w:val="en-GB"/>
        </w:rPr>
        <w:t>On July 17, 2018 Anglo American reported that its 79.4% owned subsidiary, Anglo American Platinum Limited, announced its subsidiary, Anglo Platinum Marketing Limited (</w:t>
      </w:r>
      <w:r w:rsidR="00A311D8">
        <w:rPr>
          <w:lang w:val="en-GB"/>
        </w:rPr>
        <w:t>“</w:t>
      </w:r>
      <w:r w:rsidRPr="00571974">
        <w:rPr>
          <w:lang w:val="en-GB"/>
        </w:rPr>
        <w:t>APML</w:t>
      </w:r>
      <w:r w:rsidR="00A311D8">
        <w:rPr>
          <w:lang w:val="en-GB"/>
        </w:rPr>
        <w:t>”</w:t>
      </w:r>
      <w:r w:rsidRPr="00571974">
        <w:rPr>
          <w:lang w:val="en-GB"/>
        </w:rPr>
        <w:t xml:space="preserve">), had subscribed for interests in two UK based venture capital funds (the </w:t>
      </w:r>
      <w:r w:rsidR="00A311D8">
        <w:rPr>
          <w:lang w:val="en-GB"/>
        </w:rPr>
        <w:t>“</w:t>
      </w:r>
      <w:r w:rsidRPr="00571974">
        <w:rPr>
          <w:lang w:val="en-GB"/>
        </w:rPr>
        <w:t>Funds</w:t>
      </w:r>
      <w:r w:rsidR="00A311D8">
        <w:rPr>
          <w:lang w:val="en-GB"/>
        </w:rPr>
        <w:t>”</w:t>
      </w:r>
      <w:r w:rsidRPr="00571974">
        <w:rPr>
          <w:lang w:val="en-GB"/>
        </w:rPr>
        <w:t>), with a total aggregate commitment of US$100 million. Anglo American Platinum</w:t>
      </w:r>
      <w:r w:rsidR="00A311D8">
        <w:rPr>
          <w:lang w:val="en-GB"/>
        </w:rPr>
        <w:t>’</w:t>
      </w:r>
      <w:r w:rsidRPr="00571974">
        <w:rPr>
          <w:lang w:val="en-GB"/>
        </w:rPr>
        <w:t>s commitment to the Funds was matched by a US$100 million commitment from South Africa</w:t>
      </w:r>
      <w:r w:rsidR="00A311D8">
        <w:rPr>
          <w:lang w:val="en-GB"/>
        </w:rPr>
        <w:t>’</w:t>
      </w:r>
      <w:r w:rsidRPr="00571974">
        <w:rPr>
          <w:lang w:val="en-GB"/>
        </w:rPr>
        <w:t>s Government Employees Pension Fund represented by the Public Investment Corporation SOC Ltd (</w:t>
      </w:r>
      <w:r w:rsidR="00A311D8">
        <w:rPr>
          <w:lang w:val="en-GB"/>
        </w:rPr>
        <w:t>“</w:t>
      </w:r>
      <w:r w:rsidRPr="00571974">
        <w:rPr>
          <w:lang w:val="en-GB"/>
        </w:rPr>
        <w:t>PIC</w:t>
      </w:r>
      <w:r w:rsidR="00A311D8">
        <w:rPr>
          <w:lang w:val="en-GB"/>
        </w:rPr>
        <w:t>”</w:t>
      </w:r>
      <w:r w:rsidRPr="00571974">
        <w:rPr>
          <w:lang w:val="en-GB"/>
        </w:rPr>
        <w:t xml:space="preserve">). The transaction was a smaller related party transaction under </w:t>
      </w:r>
      <w:r w:rsidR="0053004A">
        <w:rPr>
          <w:lang w:val="en-GB"/>
        </w:rPr>
        <w:t>FCA</w:t>
      </w:r>
      <w:r w:rsidRPr="00571974">
        <w:rPr>
          <w:lang w:val="en-GB"/>
        </w:rPr>
        <w:t xml:space="preserve"> Listing Rule 11 as the PIC is a substantial shareholder in Anglo American. The transaction was therefore subject to the requirements of </w:t>
      </w:r>
      <w:r w:rsidR="0053004A">
        <w:rPr>
          <w:lang w:val="en-GB"/>
        </w:rPr>
        <w:t>FCA</w:t>
      </w:r>
      <w:r w:rsidRPr="00571974">
        <w:rPr>
          <w:lang w:val="en-GB"/>
        </w:rPr>
        <w:t xml:space="preserve"> Listing Rule 11.1.10R.</w:t>
      </w:r>
    </w:p>
    <w:p w14:paraId="70164DE1" w14:textId="77777777" w:rsidR="003A1501" w:rsidRPr="00571974" w:rsidRDefault="003D4D89" w:rsidP="00D30762">
      <w:pPr>
        <w:pStyle w:val="Heading2"/>
        <w:rPr>
          <w:rFonts w:ascii="Times New Roman" w:hAnsi="Times New Roman"/>
          <w:lang w:val="en-GB"/>
        </w:rPr>
      </w:pPr>
      <w:r w:rsidRPr="00571974">
        <w:rPr>
          <w:rFonts w:ascii="Times New Roman" w:hAnsi="Times New Roman"/>
          <w:lang w:val="en-GB"/>
        </w:rPr>
        <w:t>Related Party Transaction with Mitsubishi</w:t>
      </w:r>
    </w:p>
    <w:p w14:paraId="22B69E36" w14:textId="5DEBAAC2" w:rsidR="003A1501" w:rsidRPr="00571974" w:rsidRDefault="003D4D89" w:rsidP="00D30762">
      <w:pPr>
        <w:pStyle w:val="BodyText"/>
        <w:widowControl/>
        <w:autoSpaceDE/>
        <w:autoSpaceDN/>
        <w:adjustRightInd/>
        <w:ind w:firstLine="360"/>
        <w:rPr>
          <w:lang w:val="en-GB"/>
        </w:rPr>
      </w:pPr>
      <w:r w:rsidRPr="00571974">
        <w:rPr>
          <w:lang w:val="en-GB"/>
        </w:rPr>
        <w:t>Anglo American announced on July 26, 2018, that its Board had approved the development of the Quellaveco copper project in Peru. This follows the completion of the transaction announced in June 2018, whereby Mitsubishi increased its interest in AAQSA, which owns the Quellaveco project, to 40% via the issuance of new shares. The development has an expected capital cost of US$5.0 billion to US$5.3 billion and will be funded on an attributable basis: 60% by Anglo American and 40% by Mitsubishi, with the initial subscription by Mitsubishi to increase its interest reducing Anglo American</w:t>
      </w:r>
      <w:r w:rsidR="00A311D8">
        <w:rPr>
          <w:lang w:val="en-GB"/>
        </w:rPr>
        <w:t>’</w:t>
      </w:r>
      <w:r w:rsidRPr="00571974">
        <w:rPr>
          <w:lang w:val="en-GB"/>
        </w:rPr>
        <w:t xml:space="preserve">s share of capital contributions to AAQSA for the development of the Quellaveco project by US$500 million and an additional US$351 million to fund its initial share of capital expenditure, resulting in a total subscription of US$851 million. The transaction was a smaller related party transaction under </w:t>
      </w:r>
      <w:r w:rsidR="0053004A">
        <w:rPr>
          <w:lang w:val="en-GB"/>
        </w:rPr>
        <w:t>FCA</w:t>
      </w:r>
      <w:r w:rsidRPr="00571974">
        <w:rPr>
          <w:lang w:val="en-GB"/>
        </w:rPr>
        <w:t xml:space="preserve"> Listing </w:t>
      </w:r>
      <w:r w:rsidRPr="00571974">
        <w:rPr>
          <w:lang w:val="en-GB"/>
        </w:rPr>
        <w:lastRenderedPageBreak/>
        <w:t xml:space="preserve">Rule 11 as Mitsubishi is a related party of Anglo American. The transaction was therefore subject to the requirements of </w:t>
      </w:r>
      <w:r w:rsidR="0053004A">
        <w:rPr>
          <w:lang w:val="en-GB"/>
        </w:rPr>
        <w:t>FCA</w:t>
      </w:r>
      <w:r w:rsidRPr="00571974">
        <w:rPr>
          <w:lang w:val="en-GB"/>
        </w:rPr>
        <w:t xml:space="preserve"> Listing Rule 11.1.10R.</w:t>
      </w:r>
    </w:p>
    <w:p w14:paraId="52E03FA1" w14:textId="77777777" w:rsidR="003A1501" w:rsidRPr="00571974" w:rsidRDefault="003D4D89" w:rsidP="003A1501">
      <w:pPr>
        <w:pStyle w:val="Heading2"/>
        <w:rPr>
          <w:rFonts w:ascii="Times New Roman" w:hAnsi="Times New Roman"/>
          <w:sz w:val="15"/>
          <w:szCs w:val="15"/>
          <w:lang w:val="en-GB"/>
        </w:rPr>
      </w:pPr>
      <w:r w:rsidRPr="00571974">
        <w:rPr>
          <w:rFonts w:ascii="Times New Roman" w:hAnsi="Times New Roman"/>
          <w:lang w:val="en-GB"/>
        </w:rPr>
        <w:t>Related Party Transactions with Key Management</w:t>
      </w:r>
    </w:p>
    <w:p w14:paraId="7FF5DE4C" w14:textId="77777777" w:rsidR="003A1501" w:rsidRPr="00571974" w:rsidRDefault="003D4D89" w:rsidP="003A1501">
      <w:pPr>
        <w:pStyle w:val="BodyText"/>
        <w:widowControl/>
        <w:autoSpaceDE/>
        <w:autoSpaceDN/>
        <w:adjustRightInd/>
        <w:ind w:firstLine="360"/>
        <w:rPr>
          <w:lang w:val="en-GB"/>
        </w:rPr>
      </w:pPr>
      <w:r w:rsidRPr="00571974">
        <w:rPr>
          <w:lang w:val="en-GB"/>
        </w:rPr>
        <w:t>Remuneration and benefits of key management personnel are given in Note 26 to the 2019 Group Consolidated Financial Statements. Information relating to pension fund arrangements is disclosed in Note 27 to the 2019 Group Consolidated Financial Statements.</w:t>
      </w:r>
    </w:p>
    <w:p w14:paraId="165E0F82" w14:textId="77777777" w:rsidR="003A1501" w:rsidRPr="00571974" w:rsidRDefault="003D4D89" w:rsidP="003A1501">
      <w:pPr>
        <w:rPr>
          <w:lang w:val="en-GB"/>
        </w:rPr>
      </w:pPr>
      <w:r w:rsidRPr="00571974">
        <w:rPr>
          <w:lang w:val="en-GB"/>
        </w:rPr>
        <w:br w:type="page"/>
      </w:r>
    </w:p>
    <w:p w14:paraId="3185B87B" w14:textId="0A177636" w:rsidR="00542FF4" w:rsidRPr="00571974" w:rsidRDefault="003D4D89" w:rsidP="00542FF4">
      <w:pPr>
        <w:pStyle w:val="Heading1"/>
        <w:rPr>
          <w:lang w:val="en-GB"/>
        </w:rPr>
      </w:pPr>
      <w:bookmarkStart w:id="86" w:name="_Toc36388969"/>
      <w:bookmarkEnd w:id="79"/>
      <w:bookmarkEnd w:id="84"/>
      <w:r w:rsidRPr="00571974">
        <w:rPr>
          <w:lang w:val="en-GB"/>
        </w:rPr>
        <w:lastRenderedPageBreak/>
        <w:t>DESCRIPTION OF THE NOTES AND THE GUARANTEES</w:t>
      </w:r>
      <w:bookmarkEnd w:id="86"/>
    </w:p>
    <w:p w14:paraId="720320BF" w14:textId="77777777" w:rsidR="00542FF4" w:rsidRPr="00571974" w:rsidRDefault="003D4D89" w:rsidP="00542FF4">
      <w:pPr>
        <w:pStyle w:val="BodyText"/>
        <w:widowControl/>
        <w:autoSpaceDE/>
        <w:autoSpaceDN/>
        <w:adjustRightInd/>
        <w:ind w:firstLine="360"/>
        <w:rPr>
          <w:lang w:val="en-GB"/>
        </w:rPr>
      </w:pPr>
      <w:r w:rsidRPr="00571974">
        <w:rPr>
          <w:i/>
          <w:iCs/>
          <w:lang w:val="en-GB"/>
        </w:rPr>
        <w:t>The following is a summary of the material provisions of the Indenture and the Notes. Copies of the Indenture, the Guarantees and the Notes will be available for inspection during normal business hours at any time after the closing date of the offering of the Notes at the London offices of the Trustee, which are currently located at 14th Floor, Citigroup Centre, Canary Wharf, London E14 5LB. Any capitalized term used herein but not defined shall have the meaning assigned to such term in the Indenture.</w:t>
      </w:r>
    </w:p>
    <w:p w14:paraId="173F8158" w14:textId="27CF1C48" w:rsidR="009700FE" w:rsidRPr="00571974" w:rsidRDefault="009700FE" w:rsidP="009700FE">
      <w:pPr>
        <w:pStyle w:val="Heading2"/>
        <w:rPr>
          <w:lang w:val="en-GB"/>
        </w:rPr>
      </w:pPr>
      <w:r w:rsidRPr="00571974">
        <w:rPr>
          <w:lang w:val="en-GB"/>
        </w:rPr>
        <w:t>General</w:t>
      </w:r>
    </w:p>
    <w:p w14:paraId="7A51CFE0" w14:textId="5B98B5DC" w:rsidR="009700FE" w:rsidRPr="00571974" w:rsidRDefault="009700FE" w:rsidP="009700FE">
      <w:pPr>
        <w:pStyle w:val="BodyText"/>
        <w:widowControl/>
        <w:autoSpaceDE/>
        <w:autoSpaceDN/>
        <w:adjustRightInd/>
        <w:ind w:firstLine="360"/>
        <w:rPr>
          <w:lang w:val="en-GB"/>
        </w:rPr>
      </w:pPr>
      <w:r w:rsidRPr="001B50C9">
        <w:t>The US$</w:t>
      </w:r>
      <w:r w:rsidR="00E12694">
        <w:t>750 million 5.375</w:t>
      </w:r>
      <w:r w:rsidRPr="001B50C9">
        <w:t xml:space="preserve">% </w:t>
      </w:r>
      <w:r>
        <w:t xml:space="preserve">Senior </w:t>
      </w:r>
      <w:r w:rsidRPr="001B50C9">
        <w:t>Notes due 20</w:t>
      </w:r>
      <w:r w:rsidR="00E12694">
        <w:t>25</w:t>
      </w:r>
      <w:r w:rsidRPr="00F018AA">
        <w:rPr>
          <w:lang w:val="en-GB"/>
        </w:rPr>
        <w:t xml:space="preserve"> </w:t>
      </w:r>
      <w:r w:rsidRPr="001B50C9">
        <w:t xml:space="preserve">(the </w:t>
      </w:r>
      <w:r>
        <w:t>“</w:t>
      </w:r>
      <w:r w:rsidRPr="001B50C9">
        <w:t>20</w:t>
      </w:r>
      <w:r w:rsidR="00E12694">
        <w:t>25</w:t>
      </w:r>
      <w:r w:rsidRPr="00F018AA">
        <w:rPr>
          <w:lang w:val="en-GB"/>
        </w:rPr>
        <w:t xml:space="preserve"> </w:t>
      </w:r>
      <w:r>
        <w:t>Notes”) and the US$</w:t>
      </w:r>
      <w:r w:rsidR="00E12694">
        <w:t xml:space="preserve">750 million </w:t>
      </w:r>
      <w:r w:rsidR="00E12694">
        <w:rPr>
          <w:lang w:val="en-GB"/>
        </w:rPr>
        <w:t>5.625</w:t>
      </w:r>
      <w:r w:rsidRPr="001B50C9">
        <w:t>% Senior Notes due 20</w:t>
      </w:r>
      <w:r w:rsidR="00E12694">
        <w:t>30</w:t>
      </w:r>
      <w:r w:rsidRPr="00F018AA">
        <w:rPr>
          <w:lang w:val="en-GB"/>
        </w:rPr>
        <w:t xml:space="preserve"> </w:t>
      </w:r>
      <w:r w:rsidRPr="001B50C9">
        <w:t xml:space="preserve">(the </w:t>
      </w:r>
      <w:r>
        <w:t>“</w:t>
      </w:r>
      <w:r w:rsidRPr="001B50C9">
        <w:t>20</w:t>
      </w:r>
      <w:r w:rsidR="00E12694">
        <w:t>30</w:t>
      </w:r>
      <w:r w:rsidRPr="00F018AA">
        <w:rPr>
          <w:lang w:val="en-GB"/>
        </w:rPr>
        <w:t xml:space="preserve"> </w:t>
      </w:r>
      <w:r w:rsidRPr="001B50C9">
        <w:t>Notes</w:t>
      </w:r>
      <w:r>
        <w:t>”</w:t>
      </w:r>
      <w:r w:rsidRPr="001B50C9">
        <w:t xml:space="preserve"> and together with the 20</w:t>
      </w:r>
      <w:r w:rsidR="00E12694">
        <w:t>25</w:t>
      </w:r>
      <w:r w:rsidRPr="001B50C9">
        <w:t xml:space="preserve"> Notes, the </w:t>
      </w:r>
      <w:r>
        <w:t>“</w:t>
      </w:r>
      <w:r w:rsidRPr="001B50C9">
        <w:t>Notes</w:t>
      </w:r>
      <w:r>
        <w:t>”</w:t>
      </w:r>
      <w:r w:rsidRPr="001B50C9">
        <w:t>) will be issued and treated as two separate series of debt securities</w:t>
      </w:r>
      <w:r w:rsidRPr="00571974">
        <w:rPr>
          <w:lang w:val="en-GB"/>
        </w:rPr>
        <w:t xml:space="preserve"> under an Indenture dated as of April 8, 2009, as supplemented by the first supplemental indenture dated as of April 2, 2012 and the second supplemental indenture dated as of May 14, 2015 (together, the </w:t>
      </w:r>
      <w:r>
        <w:rPr>
          <w:lang w:val="en-GB"/>
        </w:rPr>
        <w:t>“</w:t>
      </w:r>
      <w:r w:rsidRPr="00571974">
        <w:rPr>
          <w:lang w:val="en-GB"/>
        </w:rPr>
        <w:t>Indenture</w:t>
      </w:r>
      <w:r>
        <w:rPr>
          <w:lang w:val="en-GB"/>
        </w:rPr>
        <w:t>”</w:t>
      </w:r>
      <w:r w:rsidRPr="00571974">
        <w:rPr>
          <w:lang w:val="en-GB"/>
        </w:rPr>
        <w:t xml:space="preserve">), among Anglo American Capital plc (the </w:t>
      </w:r>
      <w:r>
        <w:rPr>
          <w:lang w:val="en-GB"/>
        </w:rPr>
        <w:t>“</w:t>
      </w:r>
      <w:r w:rsidRPr="00571974">
        <w:rPr>
          <w:lang w:val="en-GB"/>
        </w:rPr>
        <w:t>Issuer</w:t>
      </w:r>
      <w:r>
        <w:rPr>
          <w:lang w:val="en-GB"/>
        </w:rPr>
        <w:t>”</w:t>
      </w:r>
      <w:r w:rsidRPr="00571974">
        <w:rPr>
          <w:lang w:val="en-GB"/>
        </w:rPr>
        <w:t xml:space="preserve">), Anglo American plc (the </w:t>
      </w:r>
      <w:r>
        <w:rPr>
          <w:lang w:val="en-GB"/>
        </w:rPr>
        <w:t>“</w:t>
      </w:r>
      <w:r w:rsidRPr="00571974">
        <w:rPr>
          <w:lang w:val="en-GB"/>
        </w:rPr>
        <w:t>Company</w:t>
      </w:r>
      <w:r>
        <w:rPr>
          <w:lang w:val="en-GB"/>
        </w:rPr>
        <w:t>”</w:t>
      </w:r>
      <w:r w:rsidRPr="00571974">
        <w:rPr>
          <w:lang w:val="en-GB"/>
        </w:rPr>
        <w:t xml:space="preserve">) and Citibank, N.A., as trustee (the </w:t>
      </w:r>
      <w:r>
        <w:rPr>
          <w:lang w:val="en-GB"/>
        </w:rPr>
        <w:t>“</w:t>
      </w:r>
      <w:r w:rsidRPr="00571974">
        <w:rPr>
          <w:lang w:val="en-GB"/>
        </w:rPr>
        <w:t>Trustee</w:t>
      </w:r>
      <w:r>
        <w:rPr>
          <w:lang w:val="en-GB"/>
        </w:rPr>
        <w:t>”</w:t>
      </w:r>
      <w:r w:rsidRPr="00571974">
        <w:rPr>
          <w:lang w:val="en-GB"/>
        </w:rPr>
        <w:t xml:space="preserve">), London paying agent and registrar (the </w:t>
      </w:r>
      <w:r>
        <w:rPr>
          <w:lang w:val="en-GB"/>
        </w:rPr>
        <w:t>“</w:t>
      </w:r>
      <w:r w:rsidRPr="00571974">
        <w:rPr>
          <w:lang w:val="en-GB"/>
        </w:rPr>
        <w:t>Agent</w:t>
      </w:r>
      <w:r>
        <w:rPr>
          <w:lang w:val="en-GB"/>
        </w:rPr>
        <w:t>”</w:t>
      </w:r>
      <w:r w:rsidRPr="00571974">
        <w:rPr>
          <w:lang w:val="en-GB"/>
        </w:rPr>
        <w:t>).</w:t>
      </w:r>
    </w:p>
    <w:p w14:paraId="2FA0CC72" w14:textId="77777777" w:rsidR="009700FE" w:rsidRPr="00571974" w:rsidRDefault="009700FE" w:rsidP="009700FE">
      <w:pPr>
        <w:pStyle w:val="BodyText"/>
        <w:widowControl/>
        <w:autoSpaceDE/>
        <w:autoSpaceDN/>
        <w:adjustRightInd/>
        <w:ind w:firstLine="360"/>
        <w:rPr>
          <w:lang w:val="en-GB"/>
        </w:rPr>
      </w:pPr>
      <w:r w:rsidRPr="00571974">
        <w:rPr>
          <w:lang w:val="en-GB"/>
        </w:rPr>
        <w:t xml:space="preserve">The Indenture is not required to be nor will it be qualified under the U.S. Trust Indenture Act of 1939, as amended (the </w:t>
      </w:r>
      <w:r>
        <w:rPr>
          <w:lang w:val="en-GB"/>
        </w:rPr>
        <w:t>“</w:t>
      </w:r>
      <w:r w:rsidRPr="00571974">
        <w:rPr>
          <w:lang w:val="en-GB"/>
        </w:rPr>
        <w:t>Trust Indenture Act</w:t>
      </w:r>
      <w:r>
        <w:rPr>
          <w:lang w:val="en-GB"/>
        </w:rPr>
        <w:t>”</w:t>
      </w:r>
      <w:r w:rsidRPr="00571974">
        <w:rPr>
          <w:lang w:val="en-GB"/>
        </w:rPr>
        <w:t xml:space="preserve">), and will not incorporate by reference any of the provisions of the Trust Indenture Act. Consequently, the Holders of Notes generally will not be entitled to the protections provided under such Act to holders of debt securities issued under a qualified indenture, including those requiring the Trustee to resign in the event of certain conflicts of interest and to inform the Holders of Notes of certain relationships between it and the Issuer or the Company. In this </w:t>
      </w:r>
      <w:r>
        <w:rPr>
          <w:lang w:val="en-GB"/>
        </w:rPr>
        <w:t>“</w:t>
      </w:r>
      <w:r w:rsidRPr="00571974">
        <w:rPr>
          <w:lang w:val="en-GB"/>
        </w:rPr>
        <w:t>Description of the Notes and the Guarantees</w:t>
      </w:r>
      <w:r>
        <w:rPr>
          <w:lang w:val="en-GB"/>
        </w:rPr>
        <w:t>”</w:t>
      </w:r>
      <w:r w:rsidRPr="00571974">
        <w:rPr>
          <w:lang w:val="en-GB"/>
        </w:rPr>
        <w:t xml:space="preserve">, the terms </w:t>
      </w:r>
      <w:r>
        <w:rPr>
          <w:lang w:val="en-GB"/>
        </w:rPr>
        <w:t>“</w:t>
      </w:r>
      <w:r w:rsidRPr="00571974">
        <w:rPr>
          <w:lang w:val="en-GB"/>
        </w:rPr>
        <w:t>Holder</w:t>
      </w:r>
      <w:r>
        <w:rPr>
          <w:lang w:val="en-GB"/>
        </w:rPr>
        <w:t>”</w:t>
      </w:r>
      <w:r w:rsidRPr="00571974">
        <w:rPr>
          <w:lang w:val="en-GB"/>
        </w:rPr>
        <w:t xml:space="preserve">, </w:t>
      </w:r>
      <w:r>
        <w:rPr>
          <w:lang w:val="en-GB"/>
        </w:rPr>
        <w:t>“</w:t>
      </w:r>
      <w:r w:rsidRPr="00571974">
        <w:rPr>
          <w:lang w:val="en-GB"/>
        </w:rPr>
        <w:t>Noteholder</w:t>
      </w:r>
      <w:r>
        <w:rPr>
          <w:lang w:val="en-GB"/>
        </w:rPr>
        <w:t>”</w:t>
      </w:r>
      <w:r w:rsidRPr="00571974">
        <w:rPr>
          <w:lang w:val="en-GB"/>
        </w:rPr>
        <w:t xml:space="preserve"> and other similar terms refer to a </w:t>
      </w:r>
      <w:r>
        <w:rPr>
          <w:lang w:val="en-GB"/>
        </w:rPr>
        <w:t>“</w:t>
      </w:r>
      <w:r w:rsidRPr="00571974">
        <w:rPr>
          <w:lang w:val="en-GB"/>
        </w:rPr>
        <w:t>registered holder</w:t>
      </w:r>
      <w:r>
        <w:rPr>
          <w:lang w:val="en-GB"/>
        </w:rPr>
        <w:t>”</w:t>
      </w:r>
      <w:r w:rsidRPr="00571974">
        <w:rPr>
          <w:lang w:val="en-GB"/>
        </w:rPr>
        <w:t xml:space="preserve"> of Notes, and not to a beneficial owner of a book-entry interest in any Notes, unless the context otherwise clearly requires.</w:t>
      </w:r>
    </w:p>
    <w:p w14:paraId="46D005DC" w14:textId="301E8B6C" w:rsidR="009700FE" w:rsidRPr="00571974" w:rsidRDefault="009700FE" w:rsidP="009700FE">
      <w:pPr>
        <w:pStyle w:val="BodyText"/>
        <w:widowControl/>
        <w:autoSpaceDE/>
        <w:autoSpaceDN/>
        <w:adjustRightInd/>
        <w:ind w:firstLine="360"/>
        <w:rPr>
          <w:lang w:val="en-GB"/>
        </w:rPr>
      </w:pPr>
      <w:r w:rsidRPr="00571974">
        <w:rPr>
          <w:lang w:val="en-GB"/>
        </w:rPr>
        <w:t xml:space="preserve">Citigroup Global Markets Inc., Mizuho Securities USA LLC, RBC Capital Markets, LLC, Standard Chartered Bank, BMO Capital Markets Corp. and TD Securities (USA) LLC (together, the </w:t>
      </w:r>
      <w:r>
        <w:rPr>
          <w:lang w:val="en-GB"/>
        </w:rPr>
        <w:t>“</w:t>
      </w:r>
      <w:r w:rsidRPr="00571974">
        <w:rPr>
          <w:lang w:val="en-GB"/>
        </w:rPr>
        <w:t>Initial Purchasers</w:t>
      </w:r>
      <w:r>
        <w:rPr>
          <w:lang w:val="en-GB"/>
        </w:rPr>
        <w:t>”</w:t>
      </w:r>
      <w:r w:rsidRPr="00571974">
        <w:rPr>
          <w:lang w:val="en-GB"/>
        </w:rPr>
        <w:t xml:space="preserve">) propose to resell the Rule 144A Global Notes in registered form to certain institutions in the United States in reliance upon Rule 144A. The Rule 144A Global Notes may not be sold or otherwise transferred except pursuant to registration under the Securities Act or in accordance with Rule 144A or pursuant to Rule 904 of Regulation S thereunder or in a resale transaction that is otherwise exempt from such registration requirements, and will bear a legend to this effect. In light of current U.S. securities laws, subject to certain exceptions, an exemption should be available for a sale or transfer of a Rule 144A Global Note after its Specified Date. The </w:t>
      </w:r>
      <w:r>
        <w:rPr>
          <w:lang w:val="en-GB"/>
        </w:rPr>
        <w:t>“</w:t>
      </w:r>
      <w:r w:rsidRPr="00571974">
        <w:rPr>
          <w:lang w:val="en-GB"/>
        </w:rPr>
        <w:t>Specified Date</w:t>
      </w:r>
      <w:r>
        <w:rPr>
          <w:lang w:val="en-GB"/>
        </w:rPr>
        <w:t>”</w:t>
      </w:r>
      <w:r w:rsidRPr="00571974">
        <w:rPr>
          <w:lang w:val="en-GB"/>
        </w:rPr>
        <w:t xml:space="preserve"> means, with respect to any Rule 144A Global Note, the date following the expiration of the applicable required holding period determined pursuant to Rule 144 under the Securities Act (such period, the </w:t>
      </w:r>
      <w:r>
        <w:rPr>
          <w:lang w:val="en-GB"/>
        </w:rPr>
        <w:t>“</w:t>
      </w:r>
      <w:r w:rsidRPr="00571974">
        <w:rPr>
          <w:lang w:val="en-GB"/>
        </w:rPr>
        <w:t>applicable holding period</w:t>
      </w:r>
      <w:r>
        <w:rPr>
          <w:lang w:val="en-GB"/>
        </w:rPr>
        <w:t>”</w:t>
      </w:r>
      <w:r w:rsidRPr="00571974">
        <w:rPr>
          <w:lang w:val="en-GB"/>
        </w:rPr>
        <w:t>) after the later of the date of acquisition of such Rule 144A Global Note from the Issuer, or an affiliate of the Issuer, or any resale of such Rule 144A Global Note in reliance on Rule 144 under the Securities Act for the account of either the acquirer or any subsequent holder of such Rule 144A Global Note, in each case demonstrated to the reasonable satisfaction of the Issuer or the Company (which may require delivery of legal opinions). Unless a Holder of a Rule 144A Global Note holds such Rule 144A Global Note for the entire applicable holding period, such Holder may not be able to determine the Specified Date because such Holder may not be able to determine the last date on which the Issuer, the Company or any affiliate thereof was the beneficial owner of such Holder</w:t>
      </w:r>
      <w:r>
        <w:rPr>
          <w:lang w:val="en-GB"/>
        </w:rPr>
        <w:t>’</w:t>
      </w:r>
      <w:r w:rsidRPr="00571974">
        <w:rPr>
          <w:lang w:val="en-GB"/>
        </w:rPr>
        <w:t>s Rule 144A Global Note. The registrars and the transfer agents for the Notes will not be required to accept for registration or transfer any Rule 144A Global Notes, except upon presentation of satisfactory evidence (which may include legal opinions) that the restrictions on transfer have been complied with, all in accordance with such reasonable regulations as the Issuer and the Company may from time to time agree with such registrars and the transfer agents.</w:t>
      </w:r>
    </w:p>
    <w:p w14:paraId="357D9799" w14:textId="77777777" w:rsidR="009700FE" w:rsidRPr="00571974" w:rsidRDefault="009700FE" w:rsidP="009700FE">
      <w:pPr>
        <w:pStyle w:val="BodyText"/>
        <w:widowControl/>
        <w:autoSpaceDE/>
        <w:autoSpaceDN/>
        <w:adjustRightInd/>
        <w:ind w:firstLine="360"/>
        <w:rPr>
          <w:lang w:val="en-GB"/>
        </w:rPr>
      </w:pPr>
      <w:r w:rsidRPr="00571974">
        <w:rPr>
          <w:lang w:val="en-GB"/>
        </w:rPr>
        <w:t xml:space="preserve">For so long as any Notes remain outstanding and are </w:t>
      </w:r>
      <w:r>
        <w:rPr>
          <w:lang w:val="en-GB"/>
        </w:rPr>
        <w:t>“</w:t>
      </w:r>
      <w:r w:rsidRPr="00571974">
        <w:rPr>
          <w:lang w:val="en-GB"/>
        </w:rPr>
        <w:t>restricted securities</w:t>
      </w:r>
      <w:r>
        <w:rPr>
          <w:lang w:val="en-GB"/>
        </w:rPr>
        <w:t>”</w:t>
      </w:r>
      <w:r w:rsidRPr="00571974">
        <w:rPr>
          <w:lang w:val="en-GB"/>
        </w:rPr>
        <w:t xml:space="preserve"> within the meaning of Rule 144(a)(3) under the Securities Act, the Company will, during any period in which it is neither subject to Section 13 or 15(d) of the Exchange Act, nor exempt from reporting pursuant to Rule 12g3-2(b) under the Exchange Act, make available to any registered Holder of Notes (or any Holder of a book-entry interest in such Notes designated by the registered holder thereof) in connection with any sale thereof and to any prospective purchaser of Notes or a book-entry interest in Notes designated by such registered holder, in each case upon request of such registered holder, the information specified in, and meeting the requirements of, Rule 144A(d)(4) under the Securities Act. As of the date of this document, the Company is exempt from reporting pursuant to Rule 12g3-2(b) under the Exchange Act.</w:t>
      </w:r>
    </w:p>
    <w:p w14:paraId="2E2D97C8" w14:textId="77777777" w:rsidR="009700FE" w:rsidRPr="00571974" w:rsidRDefault="009700FE" w:rsidP="009700FE">
      <w:pPr>
        <w:pStyle w:val="BodyText"/>
        <w:widowControl/>
        <w:autoSpaceDE/>
        <w:autoSpaceDN/>
        <w:adjustRightInd/>
        <w:ind w:firstLine="360"/>
        <w:rPr>
          <w:lang w:val="en-GB"/>
        </w:rPr>
      </w:pPr>
      <w:r w:rsidRPr="00571974">
        <w:rPr>
          <w:lang w:val="en-GB"/>
        </w:rPr>
        <w:t>The Regulation S Global Notes will be resold by the Initial Purchasers only to non-U.S. persons located outside the United States in offshore transactions in reliance on Regulation S.</w:t>
      </w:r>
    </w:p>
    <w:p w14:paraId="14715372" w14:textId="77777777" w:rsidR="00542FF4" w:rsidRPr="00571974" w:rsidRDefault="003D4D89" w:rsidP="00542FF4">
      <w:pPr>
        <w:pStyle w:val="Heading2"/>
        <w:rPr>
          <w:lang w:val="en-GB"/>
        </w:rPr>
      </w:pPr>
      <w:r w:rsidRPr="00571974">
        <w:rPr>
          <w:lang w:val="en-GB"/>
        </w:rPr>
        <w:lastRenderedPageBreak/>
        <w:t>Principal, Maturity and Interest</w:t>
      </w:r>
    </w:p>
    <w:p w14:paraId="5A9AFD27" w14:textId="546D1F25" w:rsidR="00542FF4" w:rsidRPr="00571974" w:rsidRDefault="003D4D89">
      <w:pPr>
        <w:pStyle w:val="BodyText"/>
        <w:widowControl/>
        <w:autoSpaceDE/>
        <w:autoSpaceDN/>
        <w:adjustRightInd/>
        <w:ind w:firstLine="360"/>
        <w:rPr>
          <w:lang w:val="en-GB"/>
        </w:rPr>
      </w:pPr>
      <w:r w:rsidRPr="00571974">
        <w:rPr>
          <w:lang w:val="en-GB"/>
        </w:rPr>
        <w:t xml:space="preserve">The Notes will be unsecured and unsubordinated obligations of the Issuer and will be unconditionally guaranteed on a senior, unsecured basis by the </w:t>
      </w:r>
      <w:r w:rsidR="00E33C9D" w:rsidRPr="00571974">
        <w:rPr>
          <w:lang w:val="en-GB"/>
        </w:rPr>
        <w:t xml:space="preserve">Company (the </w:t>
      </w:r>
      <w:r w:rsidR="00A311D8">
        <w:rPr>
          <w:lang w:val="en-GB"/>
        </w:rPr>
        <w:t>“</w:t>
      </w:r>
      <w:r w:rsidR="00E33C9D" w:rsidRPr="00571974">
        <w:rPr>
          <w:lang w:val="en-GB"/>
        </w:rPr>
        <w:t>Guarantees</w:t>
      </w:r>
      <w:r w:rsidR="00A311D8">
        <w:rPr>
          <w:lang w:val="en-GB"/>
        </w:rPr>
        <w:t>”</w:t>
      </w:r>
      <w:r w:rsidR="00E33C9D" w:rsidRPr="00571974">
        <w:rPr>
          <w:lang w:val="en-GB"/>
        </w:rPr>
        <w:t>). The</w:t>
      </w:r>
      <w:r w:rsidRPr="00E45435">
        <w:rPr>
          <w:lang w:val="en-GB"/>
        </w:rPr>
        <w:t xml:space="preserve"> </w:t>
      </w:r>
      <w:bookmarkStart w:id="87" w:name="_cp_text_1_7659"/>
      <w:bookmarkEnd w:id="87"/>
      <w:r w:rsidR="00CE13CD" w:rsidRPr="00E45435">
        <w:rPr>
          <w:lang w:val="en-GB"/>
        </w:rPr>
        <w:t>20</w:t>
      </w:r>
      <w:r w:rsidR="00E12694">
        <w:rPr>
          <w:lang w:val="en-GB"/>
        </w:rPr>
        <w:t>25</w:t>
      </w:r>
      <w:r w:rsidR="00CE13CD" w:rsidRPr="00E45435">
        <w:rPr>
          <w:lang w:val="en-GB"/>
        </w:rPr>
        <w:t xml:space="preserve"> Notes and the 20</w:t>
      </w:r>
      <w:r w:rsidR="00E12694">
        <w:rPr>
          <w:lang w:val="en-GB"/>
        </w:rPr>
        <w:t>30</w:t>
      </w:r>
      <w:r w:rsidR="00CE13CD" w:rsidRPr="00E45435">
        <w:rPr>
          <w:lang w:val="en-GB"/>
        </w:rPr>
        <w:t xml:space="preserve"> </w:t>
      </w:r>
      <w:r w:rsidRPr="00571974">
        <w:rPr>
          <w:lang w:val="en-GB"/>
        </w:rPr>
        <w:t>Notes are initially issuable in aggregate principal amount</w:t>
      </w:r>
      <w:r w:rsidR="00CE13CD">
        <w:rPr>
          <w:lang w:val="en-GB"/>
        </w:rPr>
        <w:t>s</w:t>
      </w:r>
      <w:r w:rsidRPr="00571974">
        <w:rPr>
          <w:lang w:val="en-GB"/>
        </w:rPr>
        <w:t xml:space="preserve"> not to exceed </w:t>
      </w:r>
      <w:r w:rsidR="003E1CBD" w:rsidRPr="00571974">
        <w:rPr>
          <w:lang w:val="en-GB"/>
        </w:rPr>
        <w:t>US$</w:t>
      </w:r>
      <w:r w:rsidR="00E12694">
        <w:rPr>
          <w:lang w:val="en-GB"/>
        </w:rPr>
        <w:t>750</w:t>
      </w:r>
      <w:r w:rsidRPr="00E45435">
        <w:rPr>
          <w:lang w:val="en-GB"/>
        </w:rPr>
        <w:t xml:space="preserve"> </w:t>
      </w:r>
      <w:r w:rsidRPr="00571974">
        <w:rPr>
          <w:lang w:val="en-GB"/>
        </w:rPr>
        <w:t xml:space="preserve">million and </w:t>
      </w:r>
      <w:bookmarkStart w:id="88" w:name="_cp_text_1_7663"/>
      <w:bookmarkEnd w:id="88"/>
      <w:r w:rsidR="00CE13CD" w:rsidRPr="00E45435">
        <w:rPr>
          <w:lang w:val="en-GB"/>
        </w:rPr>
        <w:t>US$</w:t>
      </w:r>
      <w:r w:rsidR="00E12694">
        <w:rPr>
          <w:lang w:val="en-GB"/>
        </w:rPr>
        <w:t>750</w:t>
      </w:r>
      <w:r w:rsidR="00E45435" w:rsidRPr="00F018AA">
        <w:rPr>
          <w:lang w:val="en-GB"/>
        </w:rPr>
        <w:t xml:space="preserve"> </w:t>
      </w:r>
      <w:r w:rsidR="00CE13CD" w:rsidRPr="00E45435">
        <w:rPr>
          <w:lang w:val="en-GB"/>
        </w:rPr>
        <w:t xml:space="preserve">million, respectively, and </w:t>
      </w:r>
      <w:r w:rsidRPr="00571974">
        <w:rPr>
          <w:lang w:val="en-GB"/>
        </w:rPr>
        <w:t>will mature on</w:t>
      </w:r>
      <w:r w:rsidR="00E45435" w:rsidRPr="00F018AA">
        <w:rPr>
          <w:lang w:val="en-GB"/>
        </w:rPr>
        <w:t xml:space="preserve"> </w:t>
      </w:r>
      <w:r w:rsidR="00E12694">
        <w:rPr>
          <w:lang w:val="en-GB"/>
        </w:rPr>
        <w:t>April 1</w:t>
      </w:r>
      <w:r w:rsidRPr="00571974">
        <w:rPr>
          <w:lang w:val="en-GB"/>
        </w:rPr>
        <w:t>, 20</w:t>
      </w:r>
      <w:r w:rsidR="00E12694">
        <w:rPr>
          <w:lang w:val="en-GB"/>
        </w:rPr>
        <w:t xml:space="preserve">25 </w:t>
      </w:r>
      <w:r w:rsidR="00CE13CD">
        <w:rPr>
          <w:lang w:val="en-GB"/>
        </w:rPr>
        <w:t xml:space="preserve">and </w:t>
      </w:r>
      <w:r w:rsidR="00E12694">
        <w:rPr>
          <w:lang w:val="en-GB"/>
        </w:rPr>
        <w:t>April 1</w:t>
      </w:r>
      <w:r w:rsidR="00CE13CD" w:rsidRPr="00571974">
        <w:rPr>
          <w:lang w:val="en-GB"/>
        </w:rPr>
        <w:t>, 20</w:t>
      </w:r>
      <w:r w:rsidR="00E12694">
        <w:rPr>
          <w:lang w:val="en-GB"/>
        </w:rPr>
        <w:t>30</w:t>
      </w:r>
      <w:r w:rsidR="00CE13CD">
        <w:rPr>
          <w:lang w:val="en-GB"/>
        </w:rPr>
        <w:t>, respectively</w:t>
      </w:r>
      <w:r w:rsidR="006627DE" w:rsidRPr="00571974">
        <w:rPr>
          <w:lang w:val="en-GB"/>
        </w:rPr>
        <w:t xml:space="preserve">. The </w:t>
      </w:r>
      <w:r w:rsidR="00CE13CD" w:rsidRPr="00E45435">
        <w:rPr>
          <w:lang w:val="en-GB"/>
        </w:rPr>
        <w:t>20</w:t>
      </w:r>
      <w:r w:rsidR="00E12694">
        <w:rPr>
          <w:lang w:val="en-GB"/>
        </w:rPr>
        <w:t>25</w:t>
      </w:r>
      <w:r w:rsidR="00CE13CD" w:rsidRPr="00E45435">
        <w:rPr>
          <w:lang w:val="en-GB"/>
        </w:rPr>
        <w:t xml:space="preserve"> Notes and the 20</w:t>
      </w:r>
      <w:r w:rsidR="00E12694">
        <w:rPr>
          <w:lang w:val="en-GB"/>
        </w:rPr>
        <w:t>30</w:t>
      </w:r>
      <w:r w:rsidR="00CE13CD" w:rsidRPr="00E45435">
        <w:rPr>
          <w:lang w:val="en-GB"/>
        </w:rPr>
        <w:t xml:space="preserve"> </w:t>
      </w:r>
      <w:r w:rsidRPr="00571974">
        <w:rPr>
          <w:lang w:val="en-GB"/>
        </w:rPr>
        <w:t>Notes will bear interest at</w:t>
      </w:r>
      <w:r w:rsidR="00E12694">
        <w:rPr>
          <w:lang w:val="en-GB"/>
        </w:rPr>
        <w:t xml:space="preserve"> 5.375</w:t>
      </w:r>
      <w:r w:rsidRPr="00571974">
        <w:rPr>
          <w:lang w:val="en-GB"/>
        </w:rPr>
        <w:t xml:space="preserve">% </w:t>
      </w:r>
      <w:bookmarkStart w:id="89" w:name="_cp_text_1_7668"/>
      <w:bookmarkEnd w:id="89"/>
      <w:r w:rsidR="00CE13CD" w:rsidRPr="00E45435">
        <w:rPr>
          <w:lang w:val="en-GB"/>
        </w:rPr>
        <w:t>and</w:t>
      </w:r>
      <w:r w:rsidR="00E45435" w:rsidRPr="00F018AA">
        <w:rPr>
          <w:lang w:val="en-GB"/>
        </w:rPr>
        <w:t xml:space="preserve"> </w:t>
      </w:r>
      <w:r w:rsidR="00E12694">
        <w:rPr>
          <w:lang w:val="en-GB"/>
        </w:rPr>
        <w:t>5.625</w:t>
      </w:r>
      <w:r w:rsidR="00CE13CD" w:rsidRPr="00E45435">
        <w:rPr>
          <w:lang w:val="en-GB"/>
        </w:rPr>
        <w:t xml:space="preserve">%, respectively, </w:t>
      </w:r>
      <w:r w:rsidRPr="00571974">
        <w:rPr>
          <w:lang w:val="en-GB"/>
        </w:rPr>
        <w:t xml:space="preserve">per annum from the date of the initial issuance of such Notes or from the most recent interest payment date to which interest has been paid or provided for. Interest on the Notes is payable semi-annually in arrears on </w:t>
      </w:r>
      <w:r w:rsidR="00E12694">
        <w:rPr>
          <w:lang w:val="en-GB"/>
        </w:rPr>
        <w:t>April 1</w:t>
      </w:r>
      <w:r w:rsidRPr="00571974">
        <w:rPr>
          <w:lang w:val="en-GB"/>
        </w:rPr>
        <w:t xml:space="preserve"> and</w:t>
      </w:r>
      <w:r w:rsidR="00E12694">
        <w:rPr>
          <w:lang w:val="en-GB"/>
        </w:rPr>
        <w:t xml:space="preserve"> October 1</w:t>
      </w:r>
      <w:r w:rsidRPr="00571974">
        <w:rPr>
          <w:lang w:val="en-GB"/>
        </w:rPr>
        <w:t xml:space="preserve">, commencing </w:t>
      </w:r>
      <w:r w:rsidR="00E12694">
        <w:rPr>
          <w:lang w:val="en-GB"/>
        </w:rPr>
        <w:t>October 1</w:t>
      </w:r>
      <w:r w:rsidRPr="00571974">
        <w:rPr>
          <w:lang w:val="en-GB"/>
        </w:rPr>
        <w:t xml:space="preserve">, </w:t>
      </w:r>
      <w:r w:rsidR="00E21126" w:rsidRPr="00571974">
        <w:rPr>
          <w:lang w:val="en-GB"/>
        </w:rPr>
        <w:t>20</w:t>
      </w:r>
      <w:r w:rsidR="00901A6F" w:rsidRPr="00571974">
        <w:rPr>
          <w:lang w:val="en-GB"/>
        </w:rPr>
        <w:t>20</w:t>
      </w:r>
      <w:r w:rsidRPr="00571974">
        <w:rPr>
          <w:lang w:val="en-GB"/>
        </w:rPr>
        <w:t xml:space="preserve">, to the person in whose name any </w:t>
      </w:r>
      <w:r w:rsidR="00CE13CD">
        <w:rPr>
          <w:lang w:val="en-GB"/>
        </w:rPr>
        <w:t>20</w:t>
      </w:r>
      <w:r w:rsidR="00E12694">
        <w:rPr>
          <w:lang w:val="en-GB"/>
        </w:rPr>
        <w:t xml:space="preserve">25 </w:t>
      </w:r>
      <w:r w:rsidR="00CE13CD">
        <w:rPr>
          <w:lang w:val="en-GB"/>
        </w:rPr>
        <w:t>Note or 20</w:t>
      </w:r>
      <w:r w:rsidR="00E12694">
        <w:rPr>
          <w:lang w:val="en-GB"/>
        </w:rPr>
        <w:t>30</w:t>
      </w:r>
      <w:r w:rsidR="00CE13CD">
        <w:rPr>
          <w:lang w:val="en-GB"/>
        </w:rPr>
        <w:t xml:space="preserve"> Note, as applicable</w:t>
      </w:r>
      <w:r w:rsidR="000F212B">
        <w:rPr>
          <w:lang w:val="en-GB"/>
        </w:rPr>
        <w:t>,</w:t>
      </w:r>
      <w:r w:rsidR="00CE13CD">
        <w:rPr>
          <w:lang w:val="en-GB"/>
        </w:rPr>
        <w:t xml:space="preserve"> </w:t>
      </w:r>
      <w:r w:rsidRPr="00571974">
        <w:rPr>
          <w:lang w:val="en-GB"/>
        </w:rPr>
        <w:t xml:space="preserve">is registered at the close of business on </w:t>
      </w:r>
      <w:r w:rsidR="00E12694">
        <w:rPr>
          <w:lang w:val="en-GB"/>
        </w:rPr>
        <w:t>March 15</w:t>
      </w:r>
      <w:r w:rsidRPr="00571974">
        <w:rPr>
          <w:lang w:val="en-GB"/>
        </w:rPr>
        <w:t xml:space="preserve"> or </w:t>
      </w:r>
      <w:r w:rsidR="00E12694">
        <w:rPr>
          <w:lang w:val="en-GB"/>
        </w:rPr>
        <w:t xml:space="preserve">September 15 </w:t>
      </w:r>
      <w:r w:rsidRPr="00571974">
        <w:rPr>
          <w:lang w:val="en-GB"/>
        </w:rPr>
        <w:t xml:space="preserve">(whether or not a business day) immediately preceding such interest payment date (each, a </w:t>
      </w:r>
      <w:r w:rsidR="00A311D8">
        <w:rPr>
          <w:lang w:val="en-GB"/>
        </w:rPr>
        <w:t>“</w:t>
      </w:r>
      <w:r w:rsidRPr="00571974">
        <w:rPr>
          <w:lang w:val="en-GB"/>
        </w:rPr>
        <w:t>record date</w:t>
      </w:r>
      <w:r w:rsidR="00A311D8">
        <w:rPr>
          <w:lang w:val="en-GB"/>
        </w:rPr>
        <w:t>”</w:t>
      </w:r>
      <w:r w:rsidRPr="00571974">
        <w:rPr>
          <w:lang w:val="en-GB"/>
        </w:rPr>
        <w:t xml:space="preserve">), notwithstanding any transfer or exchange of such Notes subsequent to the record date and prior to such interest payment date, except that, if and to the extent the Issuer shall default in the payment of the interest due on such interest payment date and the applicable grace period shall have expired, such defaulted interest may, at the option of the Issuer, be paid to the persons in whose names Notes are registered at the close of business on a subsequent record date (which shall not be less than five days which are business days in New York City prior to the date of payment of such defaulted interest) established by notice given by mail by or on behalf of the Issuer to the Holders (which term means registered holders) of </w:t>
      </w:r>
      <w:r w:rsidR="00CE13CD">
        <w:rPr>
          <w:lang w:val="en-GB"/>
        </w:rPr>
        <w:t>the 20</w:t>
      </w:r>
      <w:r w:rsidR="00E12694">
        <w:rPr>
          <w:lang w:val="en-GB"/>
        </w:rPr>
        <w:t>25</w:t>
      </w:r>
      <w:r w:rsidR="00CE13CD">
        <w:rPr>
          <w:lang w:val="en-GB"/>
        </w:rPr>
        <w:t xml:space="preserve"> </w:t>
      </w:r>
      <w:r w:rsidRPr="00571974">
        <w:rPr>
          <w:lang w:val="en-GB"/>
        </w:rPr>
        <w:t>Notes</w:t>
      </w:r>
      <w:r w:rsidR="00CE13CD">
        <w:rPr>
          <w:lang w:val="en-GB"/>
        </w:rPr>
        <w:t xml:space="preserve"> or the 20</w:t>
      </w:r>
      <w:r w:rsidR="00E12694">
        <w:rPr>
          <w:lang w:val="en-GB"/>
        </w:rPr>
        <w:t>30</w:t>
      </w:r>
      <w:r w:rsidR="00CE13CD">
        <w:rPr>
          <w:lang w:val="en-GB"/>
        </w:rPr>
        <w:t xml:space="preserve"> Notes, as applicable,</w:t>
      </w:r>
      <w:r w:rsidRPr="00571974">
        <w:rPr>
          <w:lang w:val="en-GB"/>
        </w:rPr>
        <w:t xml:space="preserve"> not less than fifteen days preceding such subsequent record date. Interest will be computed on the basis of a 360-day year consisting of twelve 30-day months and in the case of an incomplete month, the number of days elapsed. If the date on which any interest payment or principal payment is to be made is not a business day in New York City and the place of payment of such interest or principal, such payment will be made on the next day which is a business day in New York City and the place of payment of such interest or principal without any further interest or other amounts being paid or payable in connection therewith.</w:t>
      </w:r>
      <w:r w:rsidRPr="00571974">
        <w:rPr>
          <w:noProof/>
          <w:lang w:val="en-GB"/>
        </w:rPr>
        <w:t xml:space="preserve"> </w:t>
      </w:r>
      <w:r w:rsidR="00D005CD" w:rsidRPr="00571974">
        <w:rPr>
          <w:noProof/>
          <w:lang w:val="en-GB"/>
        </w:rPr>
        <w:t xml:space="preserve"> </w:t>
      </w:r>
    </w:p>
    <w:p w14:paraId="06EEA41D" w14:textId="77777777" w:rsidR="00542FF4" w:rsidRPr="00571974" w:rsidRDefault="003D4D89" w:rsidP="00542FF4">
      <w:pPr>
        <w:pStyle w:val="Heading2"/>
        <w:rPr>
          <w:lang w:val="en-GB"/>
        </w:rPr>
      </w:pPr>
      <w:r w:rsidRPr="00571974">
        <w:rPr>
          <w:lang w:val="en-GB"/>
        </w:rPr>
        <w:t>Form and Denomination</w:t>
      </w:r>
    </w:p>
    <w:p w14:paraId="0C1AADBA"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The Notes will be issued in fully registered form and only in denominations of </w:t>
      </w:r>
      <w:r w:rsidR="003E1CBD" w:rsidRPr="00571974">
        <w:rPr>
          <w:lang w:val="en-GB"/>
        </w:rPr>
        <w:t>US$</w:t>
      </w:r>
      <w:r w:rsidRPr="00571974">
        <w:rPr>
          <w:lang w:val="en-GB"/>
        </w:rPr>
        <w:t xml:space="preserve">200,000 and integral multiples of </w:t>
      </w:r>
      <w:r w:rsidR="003E1CBD" w:rsidRPr="00571974">
        <w:rPr>
          <w:lang w:val="en-GB"/>
        </w:rPr>
        <w:t>US$</w:t>
      </w:r>
      <w:r w:rsidRPr="00571974">
        <w:rPr>
          <w:lang w:val="en-GB"/>
        </w:rPr>
        <w:t>1,000 in excess thereof. The Notes will be issued initially as Global Notes.</w:t>
      </w:r>
    </w:p>
    <w:p w14:paraId="76876D18" w14:textId="77777777" w:rsidR="00542FF4" w:rsidRPr="00571974" w:rsidRDefault="003D4D89" w:rsidP="00542FF4">
      <w:pPr>
        <w:pStyle w:val="Heading2"/>
        <w:rPr>
          <w:lang w:val="en-GB"/>
        </w:rPr>
      </w:pPr>
      <w:r w:rsidRPr="00571974">
        <w:rPr>
          <w:lang w:val="en-GB"/>
        </w:rPr>
        <w:t>Further Issues</w:t>
      </w:r>
    </w:p>
    <w:p w14:paraId="44711839" w14:textId="481C1C03" w:rsidR="00542FF4" w:rsidRPr="00571974" w:rsidRDefault="003D4D89">
      <w:pPr>
        <w:pStyle w:val="BodyText"/>
        <w:widowControl/>
        <w:autoSpaceDE/>
        <w:autoSpaceDN/>
        <w:adjustRightInd/>
        <w:ind w:firstLine="360"/>
        <w:rPr>
          <w:lang w:val="en-GB"/>
        </w:rPr>
      </w:pPr>
      <w:r w:rsidRPr="00571974">
        <w:rPr>
          <w:lang w:val="en-GB"/>
        </w:rPr>
        <w:t xml:space="preserve">The Issuer may, from time to time, without notice to or the consent of the Holders of the Notes, issue as many distinct series of debt securities under the Indenture as it wishes. It may also from time to time, without notice to or the consent of the Holders of the Notes, </w:t>
      </w:r>
      <w:r w:rsidR="00A311D8">
        <w:rPr>
          <w:lang w:val="en-GB"/>
        </w:rPr>
        <w:t>“</w:t>
      </w:r>
      <w:r w:rsidRPr="00571974">
        <w:rPr>
          <w:lang w:val="en-GB"/>
        </w:rPr>
        <w:t>reopen</w:t>
      </w:r>
      <w:r w:rsidR="00A311D8">
        <w:rPr>
          <w:lang w:val="en-GB"/>
        </w:rPr>
        <w:t>”</w:t>
      </w:r>
      <w:r w:rsidR="00CE13CD">
        <w:rPr>
          <w:lang w:val="en-GB"/>
        </w:rPr>
        <w:t xml:space="preserve"> each series of</w:t>
      </w:r>
      <w:r w:rsidRPr="00571974">
        <w:rPr>
          <w:lang w:val="en-GB"/>
        </w:rPr>
        <w:t xml:space="preserve"> the Notes and create and issue additional notes having identical terms and conditions as the </w:t>
      </w:r>
      <w:r w:rsidR="00CE13CD">
        <w:rPr>
          <w:lang w:val="en-GB"/>
        </w:rPr>
        <w:t>20</w:t>
      </w:r>
      <w:r w:rsidR="00E12694">
        <w:rPr>
          <w:lang w:val="en-GB"/>
        </w:rPr>
        <w:t xml:space="preserve">25 </w:t>
      </w:r>
      <w:r w:rsidRPr="00571974">
        <w:rPr>
          <w:lang w:val="en-GB"/>
        </w:rPr>
        <w:t>Notes</w:t>
      </w:r>
      <w:r w:rsidR="00CE13CD">
        <w:rPr>
          <w:lang w:val="en-GB"/>
        </w:rPr>
        <w:t xml:space="preserve"> or the 20</w:t>
      </w:r>
      <w:r w:rsidR="00E12694">
        <w:rPr>
          <w:lang w:val="en-GB"/>
        </w:rPr>
        <w:t>30</w:t>
      </w:r>
      <w:r w:rsidR="00CE13CD">
        <w:rPr>
          <w:lang w:val="en-GB"/>
        </w:rPr>
        <w:t xml:space="preserve"> Notes, as the case may be,</w:t>
      </w:r>
      <w:r w:rsidRPr="00571974">
        <w:rPr>
          <w:lang w:val="en-GB"/>
        </w:rPr>
        <w:t xml:space="preserve"> (or in all respects except for the payment of interest accruing prior to the issue date of such additional notes or except for the first payment of interest following the issue date of such additional notes) so that the additional notes are consolidated and form a single series of notes with the</w:t>
      </w:r>
      <w:r w:rsidR="00CE13CD">
        <w:rPr>
          <w:lang w:val="en-GB"/>
        </w:rPr>
        <w:t xml:space="preserve"> 20</w:t>
      </w:r>
      <w:r w:rsidR="00E12694">
        <w:rPr>
          <w:lang w:val="en-GB"/>
        </w:rPr>
        <w:t>25</w:t>
      </w:r>
      <w:r w:rsidRPr="00571974">
        <w:rPr>
          <w:lang w:val="en-GB"/>
        </w:rPr>
        <w:t xml:space="preserve"> Notes</w:t>
      </w:r>
      <w:r w:rsidR="00CE13CD">
        <w:rPr>
          <w:lang w:val="en-GB"/>
        </w:rPr>
        <w:t xml:space="preserve"> or the 20</w:t>
      </w:r>
      <w:r w:rsidR="00E12694">
        <w:rPr>
          <w:lang w:val="en-GB"/>
        </w:rPr>
        <w:t>30</w:t>
      </w:r>
      <w:r w:rsidR="00CE13CD">
        <w:rPr>
          <w:lang w:val="en-GB"/>
        </w:rPr>
        <w:t xml:space="preserve"> Notes, as the case may be,</w:t>
      </w:r>
      <w:r w:rsidRPr="00571974">
        <w:rPr>
          <w:lang w:val="en-GB"/>
        </w:rPr>
        <w:t xml:space="preserve"> (a </w:t>
      </w:r>
      <w:r w:rsidR="00A311D8">
        <w:rPr>
          <w:lang w:val="en-GB"/>
        </w:rPr>
        <w:t>“</w:t>
      </w:r>
      <w:r w:rsidRPr="00571974">
        <w:rPr>
          <w:lang w:val="en-GB"/>
        </w:rPr>
        <w:t>Further Issue</w:t>
      </w:r>
      <w:r w:rsidR="00A311D8">
        <w:rPr>
          <w:lang w:val="en-GB"/>
        </w:rPr>
        <w:t>”</w:t>
      </w:r>
      <w:r w:rsidRPr="00571974">
        <w:rPr>
          <w:lang w:val="en-GB"/>
        </w:rPr>
        <w:t xml:space="preserve">); </w:t>
      </w:r>
      <w:r w:rsidRPr="00571974">
        <w:rPr>
          <w:i/>
          <w:lang w:val="en-GB"/>
        </w:rPr>
        <w:t>provided</w:t>
      </w:r>
      <w:r w:rsidRPr="00571974">
        <w:rPr>
          <w:lang w:val="en-GB"/>
        </w:rPr>
        <w:t xml:space="preserve"> that any additional notes which have the same CUSIP, ISIN or other identifying number as the outstanding Notes must be fungible with such outstanding Notes for </w:t>
      </w:r>
      <w:r w:rsidR="006D150F" w:rsidRPr="00571974">
        <w:rPr>
          <w:lang w:val="en-GB"/>
        </w:rPr>
        <w:t>U.S.</w:t>
      </w:r>
      <w:r w:rsidRPr="00571974">
        <w:rPr>
          <w:lang w:val="en-GB"/>
        </w:rPr>
        <w:t xml:space="preserve"> federal income tax purposes.</w:t>
      </w:r>
    </w:p>
    <w:p w14:paraId="41BB08C4"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The period of resale restrictions applicable to any Notes previously offered and sold in reliance on Rule 144A shall automatically be extended to the last day of the period of any resale restrictions </w:t>
      </w:r>
      <w:r w:rsidR="00B30034" w:rsidRPr="00571974">
        <w:rPr>
          <w:lang w:val="en-GB"/>
        </w:rPr>
        <w:t>imposed on any such additional n</w:t>
      </w:r>
      <w:r w:rsidRPr="00571974">
        <w:rPr>
          <w:lang w:val="en-GB"/>
        </w:rPr>
        <w:t>otes.</w:t>
      </w:r>
    </w:p>
    <w:p w14:paraId="3F4C1AAC" w14:textId="77777777" w:rsidR="00542FF4" w:rsidRPr="00571974" w:rsidRDefault="003D4D89" w:rsidP="00542FF4">
      <w:pPr>
        <w:pStyle w:val="Heading2"/>
        <w:rPr>
          <w:lang w:val="en-GB"/>
        </w:rPr>
      </w:pPr>
      <w:r w:rsidRPr="00571974">
        <w:rPr>
          <w:lang w:val="en-GB"/>
        </w:rPr>
        <w:t>Status of the Notes and the Guarantees</w:t>
      </w:r>
    </w:p>
    <w:p w14:paraId="65A81FA9" w14:textId="086AB964" w:rsidR="00542FF4" w:rsidRPr="00571974" w:rsidRDefault="00F7022D" w:rsidP="00542FF4">
      <w:pPr>
        <w:pStyle w:val="BodyText"/>
        <w:widowControl/>
        <w:autoSpaceDE/>
        <w:autoSpaceDN/>
        <w:adjustRightInd/>
        <w:ind w:firstLine="360"/>
        <w:rPr>
          <w:lang w:val="en-GB"/>
        </w:rPr>
      </w:pPr>
      <w:r w:rsidRPr="00571974">
        <w:rPr>
          <w:lang w:val="en-GB"/>
        </w:rPr>
        <w:t xml:space="preserve">The Notes will be unsecured and unsubordinated obligations of the Issuer and will rank </w:t>
      </w:r>
      <w:r w:rsidRPr="00571974">
        <w:rPr>
          <w:i/>
          <w:iCs/>
          <w:lang w:val="en-GB"/>
        </w:rPr>
        <w:t>pari passu</w:t>
      </w:r>
      <w:r w:rsidRPr="00571974">
        <w:rPr>
          <w:lang w:val="en-GB"/>
        </w:rPr>
        <w:t xml:space="preserve"> in right of payment among themselves and with other unsecured and unsubordinated indebtedness of the Issuer (save for certain obligations required to be preferred by law). Upon issue, the Company will unconditionally guarantee, on a senior, unsecured basis, the due and punctual payment (and not collectability) of the principal of and interest on the Notes (and the payment of additional amounts described under </w:t>
      </w:r>
      <w:r w:rsidR="00A311D8">
        <w:rPr>
          <w:lang w:val="en-GB"/>
        </w:rPr>
        <w:t>“</w:t>
      </w:r>
      <w:r w:rsidRPr="00571974">
        <w:rPr>
          <w:lang w:val="en-GB"/>
        </w:rPr>
        <w:t>—Payment of Additional Amounts</w:t>
      </w:r>
      <w:r w:rsidR="00A311D8">
        <w:rPr>
          <w:lang w:val="en-GB"/>
        </w:rPr>
        <w:t>”</w:t>
      </w:r>
      <w:r w:rsidRPr="00571974">
        <w:rPr>
          <w:lang w:val="en-GB"/>
        </w:rPr>
        <w:t xml:space="preserve">) when and as the same shall become due and payable, whether at stated maturity, by declaration of acceleration, call for redemption or otherwise. The Guarantees will be an unsecured and unsubordinated obligation of the Company and will rank </w:t>
      </w:r>
      <w:r w:rsidRPr="00571974">
        <w:rPr>
          <w:i/>
          <w:iCs/>
          <w:lang w:val="en-GB"/>
        </w:rPr>
        <w:t>pari passu</w:t>
      </w:r>
      <w:r w:rsidRPr="00571974">
        <w:rPr>
          <w:lang w:val="en-GB"/>
        </w:rPr>
        <w:t xml:space="preserve"> in right of payment with other unsecured and unsubordinated indebtedness of the Company (save for certain obligations required to be preferred by law).</w:t>
      </w:r>
    </w:p>
    <w:p w14:paraId="7DD374CD" w14:textId="1571E971" w:rsidR="00542FF4" w:rsidRPr="00571974" w:rsidRDefault="00F7022D" w:rsidP="00542FF4">
      <w:pPr>
        <w:pStyle w:val="Heading2"/>
        <w:rPr>
          <w:lang w:val="en-GB"/>
        </w:rPr>
      </w:pPr>
      <w:r w:rsidRPr="00571974">
        <w:rPr>
          <w:lang w:val="en-GB"/>
        </w:rPr>
        <w:lastRenderedPageBreak/>
        <w:t>Payment of Additional Amounts</w:t>
      </w:r>
    </w:p>
    <w:p w14:paraId="3434D795" w14:textId="5889A9D9" w:rsidR="00542FF4" w:rsidRPr="00571974" w:rsidRDefault="003D4D89" w:rsidP="00542FF4">
      <w:pPr>
        <w:pStyle w:val="BodyText"/>
        <w:widowControl/>
        <w:autoSpaceDE/>
        <w:autoSpaceDN/>
        <w:adjustRightInd/>
        <w:ind w:firstLine="360"/>
        <w:rPr>
          <w:lang w:val="en-GB"/>
        </w:rPr>
      </w:pPr>
      <w:r w:rsidRPr="00571974">
        <w:rPr>
          <w:lang w:val="en-GB"/>
        </w:rPr>
        <w:t>The Issuer or, if applicable, the Company (pursuant to the terms of the Guarantees) will make payments of, or in respect of, principal, any premium and interest on the Notes or any payment pursuant to the Guarantees, as the case may be, without withholding or deduction for or on account of any and all present or future tax, levy, impost or other governmental charge whatsoever imposed, assessed, levied or collected (</w:t>
      </w:r>
      <w:r w:rsidR="00A311D8">
        <w:rPr>
          <w:lang w:val="en-GB"/>
        </w:rPr>
        <w:t>“</w:t>
      </w:r>
      <w:r w:rsidRPr="00571974">
        <w:rPr>
          <w:lang w:val="en-GB"/>
        </w:rPr>
        <w:t>Taxes</w:t>
      </w:r>
      <w:r w:rsidR="00A311D8">
        <w:rPr>
          <w:lang w:val="en-GB"/>
        </w:rPr>
        <w:t>”</w:t>
      </w:r>
      <w:r w:rsidRPr="00571974">
        <w:rPr>
          <w:lang w:val="en-GB"/>
        </w:rPr>
        <w:t>) by or for the account of a Relevant Jurisdiction (as defined below), unless such withholding or deduction is required by law.</w:t>
      </w:r>
    </w:p>
    <w:p w14:paraId="6A3F3363" w14:textId="549C8F3B" w:rsidR="00542FF4" w:rsidRPr="00571974" w:rsidRDefault="003D4D89" w:rsidP="00542FF4">
      <w:pPr>
        <w:pStyle w:val="BodyText"/>
        <w:widowControl/>
        <w:autoSpaceDE/>
        <w:autoSpaceDN/>
        <w:adjustRightInd/>
        <w:ind w:firstLine="360"/>
        <w:rPr>
          <w:lang w:val="en-GB"/>
        </w:rPr>
      </w:pPr>
      <w:r w:rsidRPr="00571974">
        <w:rPr>
          <w:lang w:val="en-GB"/>
        </w:rPr>
        <w:t>If the Issuer or, if applicable, the Company is required by a Relevant Jurisdiction to deduct or withhold Taxes, the Issuer or, if applicable, the Company will pay to a Holder of a Note or the beneficial owner thereof such additional amounts (</w:t>
      </w:r>
      <w:r w:rsidR="00A311D8">
        <w:rPr>
          <w:lang w:val="en-GB"/>
        </w:rPr>
        <w:t>“</w:t>
      </w:r>
      <w:r w:rsidRPr="00571974">
        <w:rPr>
          <w:lang w:val="en-GB"/>
        </w:rPr>
        <w:t>Additional Amounts</w:t>
      </w:r>
      <w:r w:rsidR="00A311D8">
        <w:rPr>
          <w:lang w:val="en-GB"/>
        </w:rPr>
        <w:t>”</w:t>
      </w:r>
      <w:r w:rsidRPr="00571974">
        <w:rPr>
          <w:lang w:val="en-GB"/>
        </w:rPr>
        <w:t xml:space="preserve">) as may be necessary so that the net amount received by such Holder or beneficial owner will not be less than the amount such Holder or beneficial owner would have received if such Taxes had not been withheld or deducted; </w:t>
      </w:r>
      <w:r w:rsidRPr="00571974">
        <w:rPr>
          <w:i/>
          <w:iCs/>
          <w:lang w:val="en-GB"/>
        </w:rPr>
        <w:t>provided</w:t>
      </w:r>
      <w:r w:rsidRPr="00571974">
        <w:rPr>
          <w:i/>
          <w:lang w:val="en-GB"/>
        </w:rPr>
        <w:t xml:space="preserve">, </w:t>
      </w:r>
      <w:r w:rsidRPr="00571974">
        <w:rPr>
          <w:i/>
          <w:iCs/>
          <w:lang w:val="en-GB"/>
        </w:rPr>
        <w:t>however</w:t>
      </w:r>
      <w:r w:rsidRPr="00571974">
        <w:rPr>
          <w:lang w:val="en-GB"/>
        </w:rPr>
        <w:t>, that the Issuer or, if applicable, the Company shall not be required to pay any Additional Amounts for or on account of:</w:t>
      </w:r>
    </w:p>
    <w:p w14:paraId="15A34904" w14:textId="77777777" w:rsidR="00542FF4" w:rsidRPr="00571974" w:rsidRDefault="003D4D89" w:rsidP="00542FF4">
      <w:pPr>
        <w:pStyle w:val="ListParagraph"/>
        <w:widowControl/>
        <w:numPr>
          <w:ilvl w:val="0"/>
          <w:numId w:val="1"/>
        </w:numPr>
        <w:tabs>
          <w:tab w:val="left" w:pos="-720"/>
          <w:tab w:val="left" w:pos="0"/>
        </w:tabs>
        <w:suppressAutoHyphens/>
        <w:spacing w:before="240" w:after="240"/>
        <w:ind w:left="1134" w:hanging="567"/>
        <w:contextualSpacing w:val="0"/>
        <w:rPr>
          <w:lang w:val="en-GB"/>
        </w:rPr>
      </w:pPr>
      <w:r w:rsidRPr="00571974">
        <w:rPr>
          <w:lang w:val="en-GB"/>
        </w:rPr>
        <w:t>any Taxes that would not have been so imposed, assessed, levied or collected but for the fact that the Holder of the applicable Note or Guarantee (or a fiduciary, settlor, beneficiary, member or shareholder of, or possessor of a power over, such Holder, if such Holder is an estate, trust, partnership or corporation) is or has been a domiciliary, national or resident of, or engaging or having been engaged in a trade or business or maintaining or having maintained a permanent establishment or being or having been physically present in the jurisdiction in which such Taxes have been imposed, assessed, levied or collected or otherwise having or having had some connection with such jurisdiction, other than the mere holding or ownership of, or the collection of principal of, and interest on, a Note or the enforcement of a Guarantee, as the case may be;</w:t>
      </w:r>
    </w:p>
    <w:p w14:paraId="3434CF15" w14:textId="77777777" w:rsidR="00542FF4" w:rsidRPr="00571974" w:rsidRDefault="003D4D89" w:rsidP="00542FF4">
      <w:pPr>
        <w:pStyle w:val="ListParagraph"/>
        <w:widowControl/>
        <w:numPr>
          <w:ilvl w:val="0"/>
          <w:numId w:val="1"/>
        </w:numPr>
        <w:tabs>
          <w:tab w:val="left" w:pos="-720"/>
          <w:tab w:val="left" w:pos="0"/>
        </w:tabs>
        <w:suppressAutoHyphens/>
        <w:spacing w:before="240" w:after="240"/>
        <w:ind w:left="1134" w:hanging="567"/>
        <w:contextualSpacing w:val="0"/>
        <w:rPr>
          <w:lang w:val="en-GB"/>
        </w:rPr>
      </w:pPr>
      <w:r w:rsidRPr="00571974">
        <w:rPr>
          <w:lang w:val="en-GB"/>
        </w:rPr>
        <w:t>any Taxes that would not have been so imposed, assessed, levied or collected but for the fact that, where presentation is required in order to receive payment, the applicable Note or Guarantee was presented more than 30 days after the date on which such payment became due and payable or was provided for, whichever is later, except to the extent that the Holder or beneficial owner thereof would have been entitled to Additional Amounts had the applicable Note or Guarantee been presented for payment on any day during such 30-day period;</w:t>
      </w:r>
    </w:p>
    <w:p w14:paraId="68F92E0C" w14:textId="77777777" w:rsidR="00542FF4" w:rsidRPr="00571974" w:rsidRDefault="003D4D89" w:rsidP="00542FF4">
      <w:pPr>
        <w:pStyle w:val="ListParagraph"/>
        <w:widowControl/>
        <w:numPr>
          <w:ilvl w:val="0"/>
          <w:numId w:val="1"/>
        </w:numPr>
        <w:tabs>
          <w:tab w:val="left" w:pos="-720"/>
          <w:tab w:val="left" w:pos="0"/>
        </w:tabs>
        <w:suppressAutoHyphens/>
        <w:spacing w:before="240" w:after="240"/>
        <w:ind w:left="1134" w:hanging="567"/>
        <w:contextualSpacing w:val="0"/>
        <w:rPr>
          <w:lang w:val="en-GB"/>
        </w:rPr>
      </w:pPr>
      <w:r w:rsidRPr="00571974">
        <w:rPr>
          <w:lang w:val="en-GB"/>
        </w:rPr>
        <w:t>any estate, inheritance, gift, sales, transfer, excise, personal property or similar Taxes;</w:t>
      </w:r>
    </w:p>
    <w:p w14:paraId="3A685EE5" w14:textId="77777777" w:rsidR="00542FF4" w:rsidRPr="00571974" w:rsidRDefault="003D4D89" w:rsidP="00542FF4">
      <w:pPr>
        <w:pStyle w:val="ListParagraph"/>
        <w:widowControl/>
        <w:numPr>
          <w:ilvl w:val="0"/>
          <w:numId w:val="1"/>
        </w:numPr>
        <w:tabs>
          <w:tab w:val="left" w:pos="-720"/>
          <w:tab w:val="left" w:pos="0"/>
        </w:tabs>
        <w:suppressAutoHyphens/>
        <w:spacing w:before="240" w:after="240"/>
        <w:ind w:left="1134" w:hanging="567"/>
        <w:contextualSpacing w:val="0"/>
        <w:rPr>
          <w:lang w:val="en-GB"/>
        </w:rPr>
      </w:pPr>
      <w:r w:rsidRPr="00571974">
        <w:rPr>
          <w:lang w:val="en-GB"/>
        </w:rPr>
        <w:t>any Taxes that are payable otherwise than by deduction or withholding from payments on or in respect of the applicable Note or Guarantee;</w:t>
      </w:r>
    </w:p>
    <w:p w14:paraId="510D5D8B" w14:textId="77777777" w:rsidR="00542FF4" w:rsidRPr="00571974" w:rsidRDefault="003D4D89" w:rsidP="00542FF4">
      <w:pPr>
        <w:pStyle w:val="ListParagraph"/>
        <w:widowControl/>
        <w:numPr>
          <w:ilvl w:val="0"/>
          <w:numId w:val="1"/>
        </w:numPr>
        <w:tabs>
          <w:tab w:val="left" w:pos="-720"/>
          <w:tab w:val="left" w:pos="0"/>
        </w:tabs>
        <w:suppressAutoHyphens/>
        <w:spacing w:before="240" w:after="240"/>
        <w:ind w:left="1134" w:hanging="567"/>
        <w:contextualSpacing w:val="0"/>
        <w:rPr>
          <w:lang w:val="en-GB"/>
        </w:rPr>
      </w:pPr>
      <w:r w:rsidRPr="00571974">
        <w:rPr>
          <w:lang w:val="en-GB"/>
        </w:rPr>
        <w:t>any Taxes that would not have been so imposed, assessed, levied or collected but for the failure by the Holder or the beneficial owner of the applicable Note or Guarantee to comply (following a written request addressed to the Holder or beneficial owner, as applicable), with any certification, identification or other reporting requirements concerning the nationality, residence or identity of such Holder or beneficial owner or its connection with a Relevant Jurisdiction if compliance is required by statute, regulation or administrative practice of such Relevant Jurisdiction as a condition to relief or exemption from such Taxes;</w:t>
      </w:r>
    </w:p>
    <w:p w14:paraId="08CA7BFC" w14:textId="4CEC72D4" w:rsidR="00542FF4" w:rsidRPr="00571974" w:rsidRDefault="003D4D89" w:rsidP="00542FF4">
      <w:pPr>
        <w:pStyle w:val="ListParagraph"/>
        <w:widowControl/>
        <w:numPr>
          <w:ilvl w:val="0"/>
          <w:numId w:val="1"/>
        </w:numPr>
        <w:tabs>
          <w:tab w:val="left" w:pos="-720"/>
          <w:tab w:val="left" w:pos="0"/>
        </w:tabs>
        <w:suppressAutoHyphens/>
        <w:spacing w:before="240" w:after="240"/>
        <w:ind w:left="1134" w:hanging="567"/>
        <w:contextualSpacing w:val="0"/>
        <w:rPr>
          <w:lang w:val="en-GB"/>
        </w:rPr>
      </w:pPr>
      <w:r w:rsidRPr="00571974">
        <w:rPr>
          <w:lang w:val="en-GB"/>
        </w:rPr>
        <w:t xml:space="preserve">any withholding or deduction required to be made from a payment pursuant to Sections 1471-1474 of the </w:t>
      </w:r>
      <w:r w:rsidR="006D150F" w:rsidRPr="00571974">
        <w:rPr>
          <w:lang w:val="en-GB"/>
        </w:rPr>
        <w:t>U.S.</w:t>
      </w:r>
      <w:r w:rsidRPr="00571974">
        <w:rPr>
          <w:lang w:val="en-GB"/>
        </w:rPr>
        <w:t xml:space="preserve"> Internal Revenue Code of 1986, as of the issue date (or any amended or successor version) (the </w:t>
      </w:r>
      <w:r w:rsidR="00A311D8">
        <w:rPr>
          <w:lang w:val="en-GB"/>
        </w:rPr>
        <w:t>“</w:t>
      </w:r>
      <w:r w:rsidRPr="00571974">
        <w:rPr>
          <w:lang w:val="en-GB"/>
        </w:rPr>
        <w:t>Code</w:t>
      </w:r>
      <w:r w:rsidR="00A311D8">
        <w:rPr>
          <w:lang w:val="en-GB"/>
        </w:rPr>
        <w:t>”</w:t>
      </w:r>
      <w:r w:rsidRPr="00571974">
        <w:rPr>
          <w:lang w:val="en-GB"/>
        </w:rPr>
        <w:t>), any current or future regulations or official interpretations thereof, any intergovernmental agreement between a non-</w:t>
      </w:r>
      <w:r w:rsidR="006D150F" w:rsidRPr="00571974">
        <w:rPr>
          <w:lang w:val="en-GB"/>
        </w:rPr>
        <w:t>U.S.</w:t>
      </w:r>
      <w:r w:rsidRPr="00571974">
        <w:rPr>
          <w:lang w:val="en-GB"/>
        </w:rPr>
        <w:t xml:space="preserve"> jurisdiction and the United States with respect to the foregoing, any similar law or regulations adopted pursuant to such an intergovernmental agreement or any agreements entered into pursuant to Section 1471(b)(1) of the Code; or</w:t>
      </w:r>
    </w:p>
    <w:p w14:paraId="5B0327E5" w14:textId="77777777" w:rsidR="00542FF4" w:rsidRPr="00571974" w:rsidRDefault="003D4D89" w:rsidP="00542FF4">
      <w:pPr>
        <w:pStyle w:val="ListParagraph"/>
        <w:widowControl/>
        <w:numPr>
          <w:ilvl w:val="0"/>
          <w:numId w:val="1"/>
        </w:numPr>
        <w:tabs>
          <w:tab w:val="left" w:pos="-720"/>
          <w:tab w:val="left" w:pos="0"/>
        </w:tabs>
        <w:suppressAutoHyphens/>
        <w:spacing w:after="240"/>
        <w:ind w:left="1134" w:hanging="567"/>
        <w:rPr>
          <w:lang w:val="en-GB"/>
        </w:rPr>
      </w:pPr>
      <w:r w:rsidRPr="00571974">
        <w:rPr>
          <w:lang w:val="en-GB"/>
        </w:rPr>
        <w:t>any combination of the Taxes described in (i) through (vi) above.</w:t>
      </w:r>
    </w:p>
    <w:p w14:paraId="231E629F"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In addition, Additional Amounts will not be paid in respect of any payment in respect of the applicable Notes or Guarantees to any Holder or beneficial owner of the applicable Notes or Guarantees that is a fiduciary, a partnership, a limited liability company or any person other than the sole beneficial owner of such payment to the extent such payment would be required by the laws of a Relevant Jurisdiction to be included, for tax purposes, in the income of a beneficiary or settlor with respect to such fiduciary, a member of such partnership, an interest holder in such </w:t>
      </w:r>
      <w:r w:rsidRPr="00571974">
        <w:rPr>
          <w:lang w:val="en-GB"/>
        </w:rPr>
        <w:lastRenderedPageBreak/>
        <w:t>limited liability company or a beneficial owner that would not have been entitled to such amounts had such beneficiary, settlor, member, interest holder or beneficial owner been the Holder of such Notes or Guarantees.</w:t>
      </w:r>
    </w:p>
    <w:p w14:paraId="5FBA2CDA" w14:textId="77777777" w:rsidR="00542FF4" w:rsidRPr="00571974" w:rsidRDefault="003D4D89" w:rsidP="00542FF4">
      <w:pPr>
        <w:pStyle w:val="BodyText"/>
        <w:widowControl/>
        <w:autoSpaceDE/>
        <w:autoSpaceDN/>
        <w:adjustRightInd/>
        <w:ind w:firstLine="360"/>
        <w:rPr>
          <w:lang w:val="en-GB"/>
        </w:rPr>
      </w:pPr>
      <w:r w:rsidRPr="00571974">
        <w:rPr>
          <w:lang w:val="en-GB"/>
        </w:rPr>
        <w:t>Whenever the Company refers in this document to the payment of the principal of any premium, any interest or other amounts to which a holder or beneficial owner is entitled, if any, on or in respect of the Notes or the Guarantees, unless the context otherwise requires, the Company means to include the payment of Additional Amounts to the extent that, in context, Additional Amounts are, were or would be payable.</w:t>
      </w:r>
      <w:r w:rsidR="00D005CD" w:rsidRPr="00571974">
        <w:rPr>
          <w:noProof/>
          <w:lang w:val="en-GB"/>
        </w:rPr>
        <w:t xml:space="preserve"> </w:t>
      </w:r>
    </w:p>
    <w:p w14:paraId="04577ECA" w14:textId="77777777" w:rsidR="00542FF4" w:rsidRPr="00571974" w:rsidRDefault="003D4D89" w:rsidP="00542FF4">
      <w:pPr>
        <w:pStyle w:val="Heading2"/>
        <w:rPr>
          <w:lang w:val="en-GB"/>
        </w:rPr>
      </w:pPr>
      <w:r w:rsidRPr="00571974">
        <w:rPr>
          <w:lang w:val="en-GB"/>
        </w:rPr>
        <w:t>Redemption</w:t>
      </w:r>
    </w:p>
    <w:p w14:paraId="2BA7CBD3" w14:textId="77777777" w:rsidR="0073783B" w:rsidRPr="00571974" w:rsidRDefault="003D4D89" w:rsidP="007B1404">
      <w:pPr>
        <w:pStyle w:val="Heading3"/>
        <w:rPr>
          <w:lang w:val="en-GB"/>
        </w:rPr>
      </w:pPr>
      <w:r w:rsidRPr="00571974">
        <w:rPr>
          <w:lang w:val="en-GB"/>
        </w:rPr>
        <w:t>Optional Redemption</w:t>
      </w:r>
    </w:p>
    <w:p w14:paraId="5F431938" w14:textId="0156B24D" w:rsidR="0073783B" w:rsidRDefault="0073783B" w:rsidP="00786296">
      <w:pPr>
        <w:pStyle w:val="BodyText"/>
        <w:widowControl/>
        <w:autoSpaceDE/>
        <w:autoSpaceDN/>
        <w:adjustRightInd/>
        <w:ind w:firstLine="360"/>
        <w:rPr>
          <w:lang w:val="en-GB"/>
        </w:rPr>
      </w:pPr>
      <w:r w:rsidRPr="00571974">
        <w:rPr>
          <w:lang w:val="en-GB"/>
        </w:rPr>
        <w:t xml:space="preserve">The Issuer may redeem </w:t>
      </w:r>
      <w:r w:rsidR="00CE13CD">
        <w:rPr>
          <w:lang w:val="en-GB"/>
        </w:rPr>
        <w:t xml:space="preserve">each series of </w:t>
      </w:r>
      <w:r w:rsidRPr="00571974">
        <w:rPr>
          <w:lang w:val="en-GB"/>
        </w:rPr>
        <w:t>the Notes in whole or in part, at the Issuer</w:t>
      </w:r>
      <w:r w:rsidR="00A311D8">
        <w:rPr>
          <w:lang w:val="en-GB"/>
        </w:rPr>
        <w:t>’</w:t>
      </w:r>
      <w:r w:rsidRPr="00571974">
        <w:rPr>
          <w:lang w:val="en-GB"/>
        </w:rPr>
        <w:t>s option, at any time and from time to time, prior to</w:t>
      </w:r>
      <w:r w:rsidR="00281319" w:rsidRPr="00A62FBD">
        <w:rPr>
          <w:lang w:val="en-GB"/>
        </w:rPr>
        <w:t>, in the case of the 20</w:t>
      </w:r>
      <w:r w:rsidR="00E12694">
        <w:rPr>
          <w:lang w:val="en-GB"/>
        </w:rPr>
        <w:t>25</w:t>
      </w:r>
      <w:r w:rsidR="00281319" w:rsidRPr="00A62FBD">
        <w:rPr>
          <w:lang w:val="en-GB"/>
        </w:rPr>
        <w:t xml:space="preserve"> Notes, </w:t>
      </w:r>
      <w:r w:rsidR="00A1526B">
        <w:rPr>
          <w:lang w:val="en-GB"/>
        </w:rPr>
        <w:t xml:space="preserve">March </w:t>
      </w:r>
      <w:r w:rsidR="00E12694">
        <w:rPr>
          <w:lang w:val="en-GB"/>
        </w:rPr>
        <w:t>1</w:t>
      </w:r>
      <w:r w:rsidR="00281319" w:rsidRPr="00A62FBD">
        <w:rPr>
          <w:lang w:val="en-GB"/>
        </w:rPr>
        <w:t>, 20</w:t>
      </w:r>
      <w:r w:rsidR="00E12694">
        <w:rPr>
          <w:lang w:val="en-GB"/>
        </w:rPr>
        <w:t>2</w:t>
      </w:r>
      <w:r w:rsidR="00A1526B">
        <w:rPr>
          <w:lang w:val="en-GB"/>
        </w:rPr>
        <w:t>5</w:t>
      </w:r>
      <w:r w:rsidR="00281319" w:rsidRPr="00A62FBD">
        <w:rPr>
          <w:lang w:val="en-GB"/>
        </w:rPr>
        <w:t xml:space="preserve"> (</w:t>
      </w:r>
      <w:r w:rsidR="00A1526B">
        <w:rPr>
          <w:lang w:val="en-GB"/>
        </w:rPr>
        <w:t>one</w:t>
      </w:r>
      <w:r w:rsidR="00281319" w:rsidRPr="00F018AA">
        <w:rPr>
          <w:lang w:val="en-GB"/>
        </w:rPr>
        <w:t xml:space="preserve"> </w:t>
      </w:r>
      <w:r w:rsidR="00281319" w:rsidRPr="00A62FBD">
        <w:rPr>
          <w:lang w:val="en-GB"/>
        </w:rPr>
        <w:t xml:space="preserve">month prior to the maturity date of the </w:t>
      </w:r>
      <w:r w:rsidR="00A1526B">
        <w:rPr>
          <w:lang w:val="en-GB"/>
        </w:rPr>
        <w:t xml:space="preserve">2025 </w:t>
      </w:r>
      <w:r w:rsidR="00281319" w:rsidRPr="00A62FBD">
        <w:rPr>
          <w:lang w:val="en-GB"/>
        </w:rPr>
        <w:t xml:space="preserve">Notes) (the </w:t>
      </w:r>
      <w:r w:rsidR="00A311D8">
        <w:rPr>
          <w:lang w:val="en-GB"/>
        </w:rPr>
        <w:t>“</w:t>
      </w:r>
      <w:r w:rsidR="00281319" w:rsidRPr="00A62FBD">
        <w:rPr>
          <w:lang w:val="en-GB"/>
        </w:rPr>
        <w:t>20</w:t>
      </w:r>
      <w:r w:rsidR="00E12694">
        <w:rPr>
          <w:lang w:val="en-GB"/>
        </w:rPr>
        <w:t>25</w:t>
      </w:r>
      <w:r w:rsidR="00281319" w:rsidRPr="00A62FBD">
        <w:rPr>
          <w:lang w:val="en-GB"/>
        </w:rPr>
        <w:t xml:space="preserve"> Notes Par Call Date</w:t>
      </w:r>
      <w:r w:rsidR="00A311D8">
        <w:rPr>
          <w:lang w:val="en-GB"/>
        </w:rPr>
        <w:t>”</w:t>
      </w:r>
      <w:r w:rsidR="00281319" w:rsidRPr="00A62FBD">
        <w:rPr>
          <w:lang w:val="en-GB"/>
        </w:rPr>
        <w:t>) and in the case of the 20</w:t>
      </w:r>
      <w:r w:rsidR="00E12694">
        <w:rPr>
          <w:lang w:val="en-GB"/>
        </w:rPr>
        <w:t>30</w:t>
      </w:r>
      <w:r w:rsidR="00281319" w:rsidRPr="00A62FBD">
        <w:rPr>
          <w:lang w:val="en-GB"/>
        </w:rPr>
        <w:t xml:space="preserve"> Notes,</w:t>
      </w:r>
      <w:r w:rsidR="00E12694">
        <w:rPr>
          <w:lang w:val="en-GB"/>
        </w:rPr>
        <w:t xml:space="preserve"> </w:t>
      </w:r>
      <w:r w:rsidR="00A1526B">
        <w:rPr>
          <w:lang w:val="en-GB"/>
        </w:rPr>
        <w:t>January 1, 2030</w:t>
      </w:r>
      <w:r w:rsidR="00281319" w:rsidRPr="00A62FBD">
        <w:rPr>
          <w:lang w:val="en-GB"/>
        </w:rPr>
        <w:t xml:space="preserve"> (</w:t>
      </w:r>
      <w:r w:rsidR="00E12694">
        <w:rPr>
          <w:lang w:val="en-GB"/>
        </w:rPr>
        <w:t>three</w:t>
      </w:r>
      <w:r w:rsidR="00281319" w:rsidRPr="00A62FBD">
        <w:rPr>
          <w:lang w:val="en-GB"/>
        </w:rPr>
        <w:t xml:space="preserve"> months prior to the maturity date of the </w:t>
      </w:r>
      <w:r w:rsidR="00A1526B">
        <w:rPr>
          <w:lang w:val="en-GB"/>
        </w:rPr>
        <w:t xml:space="preserve">2030 </w:t>
      </w:r>
      <w:r w:rsidR="00281319" w:rsidRPr="00A62FBD">
        <w:rPr>
          <w:lang w:val="en-GB"/>
        </w:rPr>
        <w:t xml:space="preserve">Notes) (the </w:t>
      </w:r>
      <w:r w:rsidR="008357DB">
        <w:rPr>
          <w:lang w:val="en-GB"/>
        </w:rPr>
        <w:t>“20</w:t>
      </w:r>
      <w:r w:rsidR="00E12694">
        <w:rPr>
          <w:lang w:val="en-GB"/>
        </w:rPr>
        <w:t>30</w:t>
      </w:r>
      <w:r w:rsidR="008357DB">
        <w:rPr>
          <w:lang w:val="en-GB"/>
        </w:rPr>
        <w:t xml:space="preserve"> </w:t>
      </w:r>
      <w:r w:rsidR="008357DB" w:rsidRPr="00571974">
        <w:rPr>
          <w:lang w:val="en-GB"/>
        </w:rPr>
        <w:t>Notes Par Call Date</w:t>
      </w:r>
      <w:r w:rsidR="008357DB">
        <w:rPr>
          <w:lang w:val="en-GB"/>
        </w:rPr>
        <w:t>”</w:t>
      </w:r>
      <w:r w:rsidR="008357DB" w:rsidRPr="00571974">
        <w:rPr>
          <w:lang w:val="en-GB"/>
        </w:rPr>
        <w:t>)</w:t>
      </w:r>
      <w:r w:rsidRPr="00571974">
        <w:rPr>
          <w:lang w:val="en-GB"/>
        </w:rPr>
        <w:t xml:space="preserve">, at a redemption price equal to the greater of (i) 100% of the principal amount of the Notes to be redeemed and (ii) as determined by the Independent Investment Banker, the sum of the present values of the applicable Remaining Scheduled Payments discounted to the date fixed for redemption (the </w:t>
      </w:r>
      <w:r w:rsidR="00A311D8">
        <w:rPr>
          <w:lang w:val="en-GB"/>
        </w:rPr>
        <w:t>“</w:t>
      </w:r>
      <w:r w:rsidRPr="00571974">
        <w:rPr>
          <w:lang w:val="en-GB"/>
        </w:rPr>
        <w:t>Redemption Date</w:t>
      </w:r>
      <w:r w:rsidR="00A311D8">
        <w:rPr>
          <w:lang w:val="en-GB"/>
        </w:rPr>
        <w:t>”</w:t>
      </w:r>
      <w:r w:rsidRPr="00571974">
        <w:rPr>
          <w:lang w:val="en-GB"/>
        </w:rPr>
        <w:t xml:space="preserve">) on a semi-annual basis (assuming a 360-day year consisting of twelve 30-day months or in the case of an incomplete month, the number of days elapsed) at the Treasury Rate </w:t>
      </w:r>
      <w:r w:rsidR="00281319">
        <w:rPr>
          <w:lang w:val="en-GB"/>
        </w:rPr>
        <w:t xml:space="preserve">plus, </w:t>
      </w:r>
      <w:r w:rsidR="00281319" w:rsidRPr="00A62FBD">
        <w:rPr>
          <w:lang w:val="en-GB"/>
        </w:rPr>
        <w:t>in the case of the 20</w:t>
      </w:r>
      <w:r w:rsidR="00E12694">
        <w:rPr>
          <w:lang w:val="en-GB"/>
        </w:rPr>
        <w:t>25</w:t>
      </w:r>
      <w:r w:rsidR="00281319" w:rsidRPr="00A62FBD">
        <w:rPr>
          <w:lang w:val="en-GB"/>
        </w:rPr>
        <w:t xml:space="preserve"> Notes, </w:t>
      </w:r>
      <w:r w:rsidR="00E12694">
        <w:rPr>
          <w:lang w:val="en-GB"/>
        </w:rPr>
        <w:t>50</w:t>
      </w:r>
      <w:r w:rsidR="00281319" w:rsidRPr="00A62FBD">
        <w:rPr>
          <w:lang w:val="en-GB"/>
        </w:rPr>
        <w:t xml:space="preserve"> basis points and in the case of the 20</w:t>
      </w:r>
      <w:r w:rsidR="00E12694">
        <w:rPr>
          <w:lang w:val="en-GB"/>
        </w:rPr>
        <w:t>30</w:t>
      </w:r>
      <w:r w:rsidR="00281319" w:rsidRPr="00A62FBD">
        <w:rPr>
          <w:lang w:val="en-GB"/>
        </w:rPr>
        <w:t xml:space="preserve"> Notes,</w:t>
      </w:r>
      <w:r w:rsidR="000F212B">
        <w:rPr>
          <w:lang w:val="en-GB"/>
        </w:rPr>
        <w:t xml:space="preserve"> </w:t>
      </w:r>
      <w:r w:rsidR="00E12694">
        <w:rPr>
          <w:lang w:val="en-GB"/>
        </w:rPr>
        <w:t>50</w:t>
      </w:r>
      <w:r w:rsidR="00281319" w:rsidRPr="00A62FBD">
        <w:rPr>
          <w:lang w:val="en-GB"/>
        </w:rPr>
        <w:t xml:space="preserve"> basis points,</w:t>
      </w:r>
      <w:r w:rsidRPr="00571974">
        <w:rPr>
          <w:lang w:val="en-GB"/>
        </w:rPr>
        <w:t xml:space="preserve"> together with, in each case, accrued and unpaid interest on the principal amount of the Notes to be redeemed to</w:t>
      </w:r>
      <w:r w:rsidR="00C660A3" w:rsidRPr="00571974">
        <w:rPr>
          <w:lang w:val="en-GB"/>
        </w:rPr>
        <w:t>, but not including,</w:t>
      </w:r>
      <w:r w:rsidRPr="00571974">
        <w:rPr>
          <w:lang w:val="en-GB"/>
        </w:rPr>
        <w:t xml:space="preserve"> the Redemption Date. </w:t>
      </w:r>
    </w:p>
    <w:p w14:paraId="0F9FAF49" w14:textId="7C7B7DF5" w:rsidR="00A62FBD" w:rsidRPr="00571974" w:rsidRDefault="00A62FBD" w:rsidP="00A62FBD">
      <w:pPr>
        <w:pStyle w:val="BodyText"/>
        <w:widowControl/>
        <w:autoSpaceDE/>
        <w:autoSpaceDN/>
        <w:adjustRightInd/>
        <w:ind w:firstLine="360"/>
        <w:rPr>
          <w:lang w:val="en-GB"/>
        </w:rPr>
      </w:pPr>
      <w:r w:rsidRPr="00A62FBD">
        <w:rPr>
          <w:lang w:val="en-GB"/>
        </w:rPr>
        <w:t>The Issuer may redeem the Notes in whole or in part, at its option, at any time and from time to time, on or after, in the case of the 20</w:t>
      </w:r>
      <w:r w:rsidR="00183F92">
        <w:rPr>
          <w:lang w:val="en-GB"/>
        </w:rPr>
        <w:t>25</w:t>
      </w:r>
      <w:r w:rsidRPr="00A62FBD">
        <w:rPr>
          <w:lang w:val="en-GB"/>
        </w:rPr>
        <w:t xml:space="preserve"> Notes, the 20</w:t>
      </w:r>
      <w:r w:rsidR="00183F92">
        <w:rPr>
          <w:lang w:val="en-GB"/>
        </w:rPr>
        <w:t>25</w:t>
      </w:r>
      <w:r w:rsidRPr="00A62FBD">
        <w:rPr>
          <w:lang w:val="en-GB"/>
        </w:rPr>
        <w:t xml:space="preserve"> Notes Par Call Date and in the case of the 20</w:t>
      </w:r>
      <w:r w:rsidR="00183F92">
        <w:rPr>
          <w:lang w:val="en-GB"/>
        </w:rPr>
        <w:t>30</w:t>
      </w:r>
      <w:r w:rsidRPr="00A62FBD">
        <w:rPr>
          <w:lang w:val="en-GB"/>
        </w:rPr>
        <w:t xml:space="preserve"> Notes, the 20</w:t>
      </w:r>
      <w:r w:rsidR="00183F92">
        <w:rPr>
          <w:lang w:val="en-GB"/>
        </w:rPr>
        <w:t>30</w:t>
      </w:r>
      <w:r w:rsidRPr="00A62FBD">
        <w:rPr>
          <w:lang w:val="en-GB"/>
        </w:rPr>
        <w:t xml:space="preserve"> Notes Par Call Date, at a redemption price equal to 100% of the principal amount of the Notes to be redeemed, together with accrued and unpaid interest on the principal amount of the Notes to be redeemed to, but not including,  the Redemption Date.</w:t>
      </w:r>
    </w:p>
    <w:p w14:paraId="177608FA" w14:textId="77777777" w:rsidR="00422D17" w:rsidRPr="00571974" w:rsidRDefault="003D4D89" w:rsidP="00422D17">
      <w:pPr>
        <w:pStyle w:val="BodyText"/>
        <w:widowControl/>
        <w:autoSpaceDE/>
        <w:autoSpaceDN/>
        <w:adjustRightInd/>
        <w:ind w:firstLine="360"/>
        <w:rPr>
          <w:lang w:val="en-GB"/>
        </w:rPr>
      </w:pPr>
      <w:r w:rsidRPr="00571974">
        <w:rPr>
          <w:lang w:val="en-GB"/>
        </w:rPr>
        <w:t>In connection with such optional redemption, the following defined terms apply:</w:t>
      </w:r>
    </w:p>
    <w:p w14:paraId="26432F25" w14:textId="455418CC" w:rsidR="0073783B" w:rsidRPr="00571974" w:rsidRDefault="00A311D8" w:rsidP="0073783B">
      <w:pPr>
        <w:pStyle w:val="BodyText"/>
        <w:widowControl/>
        <w:autoSpaceDE/>
        <w:autoSpaceDN/>
        <w:adjustRightInd/>
        <w:ind w:firstLine="360"/>
        <w:rPr>
          <w:lang w:val="en-GB"/>
        </w:rPr>
      </w:pPr>
      <w:r>
        <w:rPr>
          <w:lang w:val="en-GB"/>
        </w:rPr>
        <w:t>“</w:t>
      </w:r>
      <w:r w:rsidR="003D4D89" w:rsidRPr="00571974">
        <w:rPr>
          <w:lang w:val="en-GB"/>
        </w:rPr>
        <w:t>Treasury Rate</w:t>
      </w:r>
      <w:r>
        <w:rPr>
          <w:lang w:val="en-GB"/>
        </w:rPr>
        <w:t>”</w:t>
      </w:r>
      <w:r w:rsidR="003D4D89" w:rsidRPr="00571974">
        <w:rPr>
          <w:lang w:val="en-GB"/>
        </w:rPr>
        <w:t xml:space="preserve"> means, with respect to any Redemption Date, the rate per annum equal to the </w:t>
      </w:r>
      <w:r w:rsidR="00E3516C" w:rsidRPr="00571974">
        <w:rPr>
          <w:lang w:val="en-GB"/>
        </w:rPr>
        <w:t>semi-annual</w:t>
      </w:r>
      <w:r w:rsidR="003D4D89" w:rsidRPr="00571974">
        <w:rPr>
          <w:lang w:val="en-GB"/>
        </w:rPr>
        <w:t xml:space="preserve"> equivalent yield to maturity (computed as at the third Business Day immediately preceding that Redemption Date) of the Comparable Treasury Issue, assuming a price for the Comparable Treasury Issue (expressed as a percentage of its principal amount) equal to the Comparable Treasury Price for that Redemption Date.</w:t>
      </w:r>
    </w:p>
    <w:p w14:paraId="7A746D7D" w14:textId="37166D91" w:rsidR="0073783B" w:rsidRPr="00571974" w:rsidRDefault="00A311D8" w:rsidP="0073783B">
      <w:pPr>
        <w:pStyle w:val="BodyText"/>
        <w:widowControl/>
        <w:autoSpaceDE/>
        <w:autoSpaceDN/>
        <w:adjustRightInd/>
        <w:ind w:firstLine="360"/>
        <w:rPr>
          <w:lang w:val="en-GB"/>
        </w:rPr>
      </w:pPr>
      <w:r>
        <w:rPr>
          <w:lang w:val="en-GB"/>
        </w:rPr>
        <w:t>“</w:t>
      </w:r>
      <w:r w:rsidR="003D4D89" w:rsidRPr="00571974">
        <w:rPr>
          <w:lang w:val="en-GB"/>
        </w:rPr>
        <w:t>Comparable Treasury Issue</w:t>
      </w:r>
      <w:r>
        <w:rPr>
          <w:lang w:val="en-GB"/>
        </w:rPr>
        <w:t>”</w:t>
      </w:r>
      <w:r w:rsidR="003D4D89" w:rsidRPr="00571974">
        <w:rPr>
          <w:lang w:val="en-GB"/>
        </w:rPr>
        <w:t xml:space="preserve"> means the United States Treasury security selected by the Independent Investment Banker that would be utilized, at the time of selection and in accordance with customary financial practice, in pricing new issues of corporate debt securities of comparable maturity to the remaining term of the </w:t>
      </w:r>
      <w:bookmarkStart w:id="90" w:name="_cp_text_2_7724"/>
      <w:bookmarkStart w:id="91" w:name="_cp_text_1_7725"/>
      <w:bookmarkEnd w:id="90"/>
      <w:bookmarkEnd w:id="91"/>
      <w:r w:rsidR="00E45435">
        <w:rPr>
          <w:lang w:val="en-GB"/>
        </w:rPr>
        <w:t>20</w:t>
      </w:r>
      <w:r w:rsidR="00183F92">
        <w:rPr>
          <w:lang w:val="en-GB"/>
        </w:rPr>
        <w:t>25</w:t>
      </w:r>
      <w:r w:rsidR="00E45435" w:rsidRPr="00F018AA">
        <w:rPr>
          <w:lang w:val="en-GB"/>
        </w:rPr>
        <w:t xml:space="preserve"> </w:t>
      </w:r>
      <w:r w:rsidR="00A62FBD" w:rsidRPr="00F018AA">
        <w:rPr>
          <w:lang w:val="en-GB"/>
        </w:rPr>
        <w:t>Notes or the 20</w:t>
      </w:r>
      <w:r w:rsidR="00183F92">
        <w:rPr>
          <w:lang w:val="en-GB"/>
        </w:rPr>
        <w:t>30</w:t>
      </w:r>
      <w:r w:rsidR="00A62FBD" w:rsidRPr="00F018AA">
        <w:rPr>
          <w:lang w:val="en-GB"/>
        </w:rPr>
        <w:t xml:space="preserve"> Notes, as the case may be</w:t>
      </w:r>
      <w:r w:rsidR="003D4D89" w:rsidRPr="00571974">
        <w:rPr>
          <w:lang w:val="en-GB"/>
        </w:rPr>
        <w:t xml:space="preserve">, assuming for such purpose that the </w:t>
      </w:r>
      <w:r w:rsidR="00A62FBD">
        <w:rPr>
          <w:lang w:val="en-GB"/>
        </w:rPr>
        <w:t>20</w:t>
      </w:r>
      <w:r w:rsidR="00183F92">
        <w:rPr>
          <w:lang w:val="en-GB"/>
        </w:rPr>
        <w:t>25</w:t>
      </w:r>
      <w:r w:rsidR="00A62FBD">
        <w:rPr>
          <w:lang w:val="en-GB"/>
        </w:rPr>
        <w:t xml:space="preserve"> </w:t>
      </w:r>
      <w:r w:rsidR="003D4D89" w:rsidRPr="00571974">
        <w:rPr>
          <w:lang w:val="en-GB"/>
        </w:rPr>
        <w:t xml:space="preserve">Notes mature on the </w:t>
      </w:r>
      <w:r w:rsidR="00A62FBD">
        <w:rPr>
          <w:lang w:val="en-GB"/>
        </w:rPr>
        <w:t>20</w:t>
      </w:r>
      <w:r w:rsidR="00183F92">
        <w:rPr>
          <w:lang w:val="en-GB"/>
        </w:rPr>
        <w:t>25</w:t>
      </w:r>
      <w:r w:rsidR="00E45435">
        <w:rPr>
          <w:lang w:val="en-GB"/>
        </w:rPr>
        <w:t xml:space="preserve"> </w:t>
      </w:r>
      <w:r w:rsidR="003D4D89" w:rsidRPr="00571974">
        <w:rPr>
          <w:lang w:val="en-GB"/>
        </w:rPr>
        <w:t>Notes Par Call Date</w:t>
      </w:r>
      <w:r w:rsidR="00A62FBD">
        <w:rPr>
          <w:lang w:val="en-GB"/>
        </w:rPr>
        <w:t xml:space="preserve"> </w:t>
      </w:r>
      <w:r w:rsidR="000F212B">
        <w:rPr>
          <w:lang w:val="en-GB"/>
        </w:rPr>
        <w:t>and the</w:t>
      </w:r>
      <w:r w:rsidR="00A62FBD">
        <w:rPr>
          <w:lang w:val="en-GB"/>
        </w:rPr>
        <w:t xml:space="preserve"> 20</w:t>
      </w:r>
      <w:r w:rsidR="00183F92">
        <w:rPr>
          <w:lang w:val="en-GB"/>
        </w:rPr>
        <w:t>30</w:t>
      </w:r>
      <w:r w:rsidR="00A62FBD">
        <w:rPr>
          <w:lang w:val="en-GB"/>
        </w:rPr>
        <w:t xml:space="preserve"> </w:t>
      </w:r>
      <w:r w:rsidR="00A62FBD" w:rsidRPr="00571974">
        <w:rPr>
          <w:lang w:val="en-GB"/>
        </w:rPr>
        <w:t xml:space="preserve">Notes mature on the </w:t>
      </w:r>
      <w:r w:rsidR="00A62FBD">
        <w:rPr>
          <w:lang w:val="en-GB"/>
        </w:rPr>
        <w:t>20</w:t>
      </w:r>
      <w:r w:rsidR="00183F92">
        <w:rPr>
          <w:lang w:val="en-GB"/>
        </w:rPr>
        <w:t>30</w:t>
      </w:r>
      <w:r w:rsidR="00A62FBD">
        <w:rPr>
          <w:lang w:val="en-GB"/>
        </w:rPr>
        <w:t xml:space="preserve"> </w:t>
      </w:r>
      <w:r w:rsidR="00A62FBD" w:rsidRPr="00571974">
        <w:rPr>
          <w:lang w:val="en-GB"/>
        </w:rPr>
        <w:t>Notes Par Call Date</w:t>
      </w:r>
      <w:r w:rsidR="00A62FBD">
        <w:rPr>
          <w:lang w:val="en-GB"/>
        </w:rPr>
        <w:t>, as applicable</w:t>
      </w:r>
      <w:r w:rsidR="003D4D89" w:rsidRPr="00571974">
        <w:rPr>
          <w:lang w:val="en-GB"/>
        </w:rPr>
        <w:t>.</w:t>
      </w:r>
    </w:p>
    <w:p w14:paraId="5F994673" w14:textId="57B18556" w:rsidR="0073783B" w:rsidRPr="00571974" w:rsidRDefault="00A311D8" w:rsidP="004C5423">
      <w:pPr>
        <w:pStyle w:val="BodyText"/>
        <w:widowControl/>
        <w:autoSpaceDE/>
        <w:autoSpaceDN/>
        <w:adjustRightInd/>
        <w:ind w:firstLine="360"/>
        <w:rPr>
          <w:lang w:val="en-GB"/>
        </w:rPr>
      </w:pPr>
      <w:r>
        <w:rPr>
          <w:lang w:val="en-GB"/>
        </w:rPr>
        <w:t>“</w:t>
      </w:r>
      <w:r w:rsidR="003D4D89" w:rsidRPr="00571974">
        <w:rPr>
          <w:lang w:val="en-GB"/>
        </w:rPr>
        <w:t>Comparable Treasury Price</w:t>
      </w:r>
      <w:r>
        <w:rPr>
          <w:lang w:val="en-GB"/>
        </w:rPr>
        <w:t>”</w:t>
      </w:r>
      <w:r w:rsidR="003D4D89" w:rsidRPr="00571974">
        <w:rPr>
          <w:lang w:val="en-GB"/>
        </w:rPr>
        <w:t xml:space="preserve"> means, with respect to any Redemption Date, (</w:t>
      </w:r>
      <w:r w:rsidR="004C5423">
        <w:rPr>
          <w:lang w:val="en-GB"/>
        </w:rPr>
        <w:t>i</w:t>
      </w:r>
      <w:r w:rsidR="003D4D89" w:rsidRPr="00571974">
        <w:rPr>
          <w:lang w:val="en-GB"/>
        </w:rPr>
        <w:t xml:space="preserve">) the average of the Reference Treasury Dealer Quotations for that Redemption Date, after excluding the highest (or, if there is more </w:t>
      </w:r>
      <w:r w:rsidR="00E45435">
        <w:rPr>
          <w:lang w:val="en-GB"/>
        </w:rPr>
        <w:t>than one such highest quotation</w:t>
      </w:r>
      <w:r w:rsidR="003D4D89" w:rsidRPr="00571974">
        <w:rPr>
          <w:lang w:val="en-GB"/>
        </w:rPr>
        <w:t>, only one of such quotations) and lowest (or, if there is more than one such lowest quotation, only one of such quotations) of such Reference Treasury Dealer Quotations, or (</w:t>
      </w:r>
      <w:r w:rsidR="004C5423">
        <w:rPr>
          <w:lang w:val="en-GB"/>
        </w:rPr>
        <w:t>ii</w:t>
      </w:r>
      <w:r w:rsidR="003D4D89" w:rsidRPr="00571974">
        <w:rPr>
          <w:lang w:val="en-GB"/>
        </w:rPr>
        <w:t>) if the Independent Investment Banker for the Notes obtains fewer than four such Reference Treasury Dealer Quotations, the average of all such Quotations.</w:t>
      </w:r>
    </w:p>
    <w:p w14:paraId="1630954D" w14:textId="285F7821" w:rsidR="0073783B" w:rsidRPr="00571974" w:rsidRDefault="00A311D8" w:rsidP="0073783B">
      <w:pPr>
        <w:pStyle w:val="BodyText"/>
        <w:widowControl/>
        <w:autoSpaceDE/>
        <w:autoSpaceDN/>
        <w:adjustRightInd/>
        <w:ind w:firstLine="360"/>
        <w:rPr>
          <w:lang w:val="en-GB"/>
        </w:rPr>
      </w:pPr>
      <w:r>
        <w:rPr>
          <w:lang w:val="en-GB"/>
        </w:rPr>
        <w:t>“</w:t>
      </w:r>
      <w:r w:rsidR="003D4D89" w:rsidRPr="00571974">
        <w:rPr>
          <w:lang w:val="en-GB"/>
        </w:rPr>
        <w:t>Independent Investment Banker</w:t>
      </w:r>
      <w:r>
        <w:rPr>
          <w:lang w:val="en-GB"/>
        </w:rPr>
        <w:t>”</w:t>
      </w:r>
      <w:r w:rsidR="003D4D89" w:rsidRPr="00571974">
        <w:rPr>
          <w:lang w:val="en-GB"/>
        </w:rPr>
        <w:t xml:space="preserve"> means one of the Reference Treasury Dealers appointed by the Issuer to act as the </w:t>
      </w:r>
      <w:r>
        <w:rPr>
          <w:lang w:val="en-GB"/>
        </w:rPr>
        <w:t>“</w:t>
      </w:r>
      <w:r w:rsidR="003D4D89" w:rsidRPr="00571974">
        <w:rPr>
          <w:lang w:val="en-GB"/>
        </w:rPr>
        <w:t>Independent Investment Banker</w:t>
      </w:r>
      <w:r>
        <w:rPr>
          <w:lang w:val="en-GB"/>
        </w:rPr>
        <w:t>”</w:t>
      </w:r>
      <w:r w:rsidR="003D4D89" w:rsidRPr="00571974">
        <w:rPr>
          <w:lang w:val="en-GB"/>
        </w:rPr>
        <w:t>.</w:t>
      </w:r>
    </w:p>
    <w:p w14:paraId="60DC778C" w14:textId="668323F0" w:rsidR="0073783B" w:rsidRPr="00571974" w:rsidRDefault="00A311D8" w:rsidP="0073783B">
      <w:pPr>
        <w:pStyle w:val="BodyText"/>
        <w:widowControl/>
        <w:autoSpaceDE/>
        <w:autoSpaceDN/>
        <w:adjustRightInd/>
        <w:ind w:firstLine="360"/>
        <w:rPr>
          <w:lang w:val="en-GB"/>
        </w:rPr>
      </w:pPr>
      <w:r>
        <w:rPr>
          <w:lang w:val="en-GB"/>
        </w:rPr>
        <w:t>“</w:t>
      </w:r>
      <w:r w:rsidR="003D4D89" w:rsidRPr="00571974">
        <w:rPr>
          <w:lang w:val="en-GB"/>
        </w:rPr>
        <w:t>Remaining Scheduled Payments</w:t>
      </w:r>
      <w:r>
        <w:rPr>
          <w:lang w:val="en-GB"/>
        </w:rPr>
        <w:t>”</w:t>
      </w:r>
      <w:r w:rsidR="003D4D89" w:rsidRPr="00571974">
        <w:rPr>
          <w:lang w:val="en-GB"/>
        </w:rPr>
        <w:t xml:space="preserve"> means, with respect to each Note to be redeemed, the remaining scheduled payments of the principal thereof and interest thereon that would be due after the related Redemption Date but for such redemption, </w:t>
      </w:r>
      <w:r w:rsidR="00A62FBD" w:rsidRPr="00571974">
        <w:rPr>
          <w:lang w:val="en-GB"/>
        </w:rPr>
        <w:t xml:space="preserve">assuming for such purpose that the </w:t>
      </w:r>
      <w:r w:rsidR="00A62FBD">
        <w:rPr>
          <w:lang w:val="en-GB"/>
        </w:rPr>
        <w:t>20</w:t>
      </w:r>
      <w:r w:rsidR="00183F92">
        <w:rPr>
          <w:lang w:val="en-GB"/>
        </w:rPr>
        <w:t xml:space="preserve">25 </w:t>
      </w:r>
      <w:r w:rsidR="00A62FBD" w:rsidRPr="00571974">
        <w:rPr>
          <w:lang w:val="en-GB"/>
        </w:rPr>
        <w:t xml:space="preserve">Notes mature on the </w:t>
      </w:r>
      <w:r w:rsidR="00A62FBD">
        <w:rPr>
          <w:lang w:val="en-GB"/>
        </w:rPr>
        <w:t>20</w:t>
      </w:r>
      <w:r w:rsidR="00183F92">
        <w:rPr>
          <w:lang w:val="en-GB"/>
        </w:rPr>
        <w:t>25</w:t>
      </w:r>
      <w:r w:rsidR="00A62FBD">
        <w:rPr>
          <w:lang w:val="en-GB"/>
        </w:rPr>
        <w:t xml:space="preserve"> </w:t>
      </w:r>
      <w:r w:rsidR="00A62FBD" w:rsidRPr="00571974">
        <w:rPr>
          <w:lang w:val="en-GB"/>
        </w:rPr>
        <w:t>Notes Par Call Date</w:t>
      </w:r>
      <w:r w:rsidR="00A62FBD">
        <w:rPr>
          <w:lang w:val="en-GB"/>
        </w:rPr>
        <w:t xml:space="preserve"> </w:t>
      </w:r>
      <w:r w:rsidR="000F212B">
        <w:rPr>
          <w:lang w:val="en-GB"/>
        </w:rPr>
        <w:t>and the</w:t>
      </w:r>
      <w:r w:rsidR="00A62FBD">
        <w:rPr>
          <w:lang w:val="en-GB"/>
        </w:rPr>
        <w:t xml:space="preserve"> 20</w:t>
      </w:r>
      <w:r w:rsidR="00183F92">
        <w:rPr>
          <w:lang w:val="en-GB"/>
        </w:rPr>
        <w:t xml:space="preserve">30 </w:t>
      </w:r>
      <w:r w:rsidR="00A62FBD" w:rsidRPr="00571974">
        <w:rPr>
          <w:lang w:val="en-GB"/>
        </w:rPr>
        <w:t xml:space="preserve">Notes mature on the </w:t>
      </w:r>
      <w:r w:rsidR="00A62FBD">
        <w:rPr>
          <w:lang w:val="en-GB"/>
        </w:rPr>
        <w:t>20</w:t>
      </w:r>
      <w:r w:rsidR="00183F92">
        <w:rPr>
          <w:lang w:val="en-GB"/>
        </w:rPr>
        <w:t>30</w:t>
      </w:r>
      <w:r w:rsidR="00A62FBD">
        <w:rPr>
          <w:lang w:val="en-GB"/>
        </w:rPr>
        <w:t xml:space="preserve"> </w:t>
      </w:r>
      <w:r w:rsidR="00A62FBD" w:rsidRPr="00571974">
        <w:rPr>
          <w:lang w:val="en-GB"/>
        </w:rPr>
        <w:t>Notes Par Call Date</w:t>
      </w:r>
      <w:r w:rsidR="00A62FBD">
        <w:rPr>
          <w:lang w:val="en-GB"/>
        </w:rPr>
        <w:t>, as applicable</w:t>
      </w:r>
      <w:r w:rsidR="003D4D89" w:rsidRPr="00571974">
        <w:rPr>
          <w:lang w:val="en-GB"/>
        </w:rPr>
        <w:t xml:space="preserve">; </w:t>
      </w:r>
      <w:r w:rsidR="003D4D89" w:rsidRPr="00571974">
        <w:rPr>
          <w:i/>
          <w:lang w:val="en-GB"/>
        </w:rPr>
        <w:t>provided, however</w:t>
      </w:r>
      <w:r w:rsidR="003D4D89" w:rsidRPr="00571974">
        <w:rPr>
          <w:lang w:val="en-GB"/>
        </w:rPr>
        <w:t>, that if that Redemption Date is not an interest payment date with respect to such Notes, the amount of the next succeeding scheduled interest payment thereon will be reduced by the amount of interest accrued thereon to that Redemption Date.</w:t>
      </w:r>
    </w:p>
    <w:p w14:paraId="04E32821" w14:textId="161E99F4" w:rsidR="0073783B" w:rsidRPr="00571974" w:rsidRDefault="00A311D8" w:rsidP="00FC1448">
      <w:pPr>
        <w:pStyle w:val="BodyText"/>
        <w:widowControl/>
        <w:autoSpaceDE/>
        <w:autoSpaceDN/>
        <w:adjustRightInd/>
        <w:ind w:firstLine="360"/>
        <w:rPr>
          <w:lang w:val="en-GB"/>
        </w:rPr>
      </w:pPr>
      <w:r>
        <w:rPr>
          <w:lang w:val="en-GB"/>
        </w:rPr>
        <w:t>“</w:t>
      </w:r>
      <w:r w:rsidR="003D4D89" w:rsidRPr="00571974">
        <w:rPr>
          <w:lang w:val="en-GB"/>
        </w:rPr>
        <w:t>Reference Treasury Dealer</w:t>
      </w:r>
      <w:r>
        <w:rPr>
          <w:lang w:val="en-GB"/>
        </w:rPr>
        <w:t>”</w:t>
      </w:r>
      <w:r w:rsidR="003D4D89" w:rsidRPr="00571974">
        <w:rPr>
          <w:lang w:val="en-GB"/>
        </w:rPr>
        <w:t xml:space="preserve"> means each of </w:t>
      </w:r>
      <w:r w:rsidR="00AB1A56" w:rsidRPr="00571974">
        <w:rPr>
          <w:lang w:val="en-GB"/>
        </w:rPr>
        <w:t>Citigroup Global Markets Inc., Mizuho Securities USA LLC, RBC Capital Markets, L</w:t>
      </w:r>
      <w:r w:rsidR="00ED4F4E" w:rsidRPr="00571974">
        <w:rPr>
          <w:lang w:val="en-GB"/>
        </w:rPr>
        <w:t>L</w:t>
      </w:r>
      <w:r w:rsidR="00AB1A56" w:rsidRPr="00571974">
        <w:rPr>
          <w:lang w:val="en-GB"/>
        </w:rPr>
        <w:t>C and Standard Chartered Bank,</w:t>
      </w:r>
      <w:r w:rsidR="00B75E56" w:rsidRPr="00571974">
        <w:rPr>
          <w:lang w:val="en-GB"/>
        </w:rPr>
        <w:t xml:space="preserve"> </w:t>
      </w:r>
      <w:r w:rsidR="003D4D89" w:rsidRPr="00571974">
        <w:rPr>
          <w:lang w:val="en-GB"/>
        </w:rPr>
        <w:t xml:space="preserve">their respective successors and two other nationally recognized investment banking firms that are Primary Treasury Dealers specified from time to time by the Issuer; provided, however, that if any of the foregoing shall cease to be a primary </w:t>
      </w:r>
      <w:r w:rsidR="006D150F" w:rsidRPr="00571974">
        <w:rPr>
          <w:lang w:val="en-GB"/>
        </w:rPr>
        <w:t>U.S.</w:t>
      </w:r>
      <w:r w:rsidR="003D4D89" w:rsidRPr="00571974">
        <w:rPr>
          <w:lang w:val="en-GB"/>
        </w:rPr>
        <w:t xml:space="preserve"> Government securities dealer in the United </w:t>
      </w:r>
      <w:r w:rsidR="003D4D89" w:rsidRPr="00571974">
        <w:rPr>
          <w:lang w:val="en-GB"/>
        </w:rPr>
        <w:lastRenderedPageBreak/>
        <w:t xml:space="preserve">States (a </w:t>
      </w:r>
      <w:r>
        <w:rPr>
          <w:lang w:val="en-GB"/>
        </w:rPr>
        <w:t>“</w:t>
      </w:r>
      <w:r w:rsidR="003D4D89" w:rsidRPr="00571974">
        <w:rPr>
          <w:lang w:val="en-GB"/>
        </w:rPr>
        <w:t>Primary Treasury Dealer</w:t>
      </w:r>
      <w:r>
        <w:rPr>
          <w:lang w:val="en-GB"/>
        </w:rPr>
        <w:t>”</w:t>
      </w:r>
      <w:r w:rsidR="003D4D89" w:rsidRPr="00571974">
        <w:rPr>
          <w:lang w:val="en-GB"/>
        </w:rPr>
        <w:t>), the Issuer shall substitute therefor another nationally recognized investment banking firm that is a Primary Treasury Dealer.</w:t>
      </w:r>
    </w:p>
    <w:p w14:paraId="19872D8B" w14:textId="306E3D77" w:rsidR="0073783B" w:rsidRPr="00571974" w:rsidRDefault="00A311D8" w:rsidP="004C5423">
      <w:pPr>
        <w:pStyle w:val="BodyText"/>
        <w:widowControl/>
        <w:autoSpaceDE/>
        <w:autoSpaceDN/>
        <w:adjustRightInd/>
        <w:ind w:firstLine="360"/>
        <w:rPr>
          <w:lang w:val="en-GB"/>
        </w:rPr>
      </w:pPr>
      <w:r>
        <w:rPr>
          <w:lang w:val="en-GB"/>
        </w:rPr>
        <w:t>“</w:t>
      </w:r>
      <w:r w:rsidR="003D4D89" w:rsidRPr="00571974">
        <w:rPr>
          <w:lang w:val="en-GB"/>
        </w:rPr>
        <w:t>Reference Treasury Dealer Quotation</w:t>
      </w:r>
      <w:r>
        <w:rPr>
          <w:lang w:val="en-GB"/>
        </w:rPr>
        <w:t>”</w:t>
      </w:r>
      <w:r w:rsidR="003D4D89" w:rsidRPr="00571974">
        <w:rPr>
          <w:lang w:val="en-GB"/>
        </w:rPr>
        <w:t xml:space="preserve"> means, with respect to each Reference Treasury Dealer and any Redemption Date, the average, as determined by the Independent Investment Banker, of the bid and asked prices for the Comparable Treasury Issue (expressed in each case as a percentage of its principal amount) quoted in writing to the Independent Investment Banker by such Reference Treasury Dealer at </w:t>
      </w:r>
      <w:r w:rsidR="004C5423">
        <w:rPr>
          <w:lang w:val="en-GB"/>
        </w:rPr>
        <w:t>3</w:t>
      </w:r>
      <w:r w:rsidR="003D4D89" w:rsidRPr="00571974">
        <w:rPr>
          <w:lang w:val="en-GB"/>
        </w:rPr>
        <w:t>:30 </w:t>
      </w:r>
      <w:r w:rsidR="004C5423">
        <w:rPr>
          <w:lang w:val="en-GB"/>
        </w:rPr>
        <w:t>p</w:t>
      </w:r>
      <w:r w:rsidR="003D4D89" w:rsidRPr="00571974">
        <w:rPr>
          <w:lang w:val="en-GB"/>
        </w:rPr>
        <w:t>.m., New York City time, on the third Business Day preceding that Redemption Date.</w:t>
      </w:r>
    </w:p>
    <w:p w14:paraId="71EADFC5" w14:textId="6375CB40" w:rsidR="0073783B" w:rsidRPr="00571974" w:rsidRDefault="003D4D89" w:rsidP="0073783B">
      <w:pPr>
        <w:pStyle w:val="BodyText"/>
        <w:widowControl/>
        <w:autoSpaceDE/>
        <w:autoSpaceDN/>
        <w:adjustRightInd/>
        <w:ind w:firstLine="360"/>
        <w:rPr>
          <w:lang w:val="en-GB"/>
        </w:rPr>
      </w:pPr>
      <w:r w:rsidRPr="00571974">
        <w:rPr>
          <w:lang w:val="en-GB"/>
        </w:rPr>
        <w:t xml:space="preserve">Notice of any redemption will be given in accordance with </w:t>
      </w:r>
      <w:r w:rsidR="00A311D8">
        <w:rPr>
          <w:lang w:val="en-GB"/>
        </w:rPr>
        <w:t>“</w:t>
      </w:r>
      <w:r w:rsidRPr="00571974">
        <w:rPr>
          <w:lang w:val="en-GB"/>
        </w:rPr>
        <w:t>Notices</w:t>
      </w:r>
      <w:r w:rsidR="00A311D8">
        <w:rPr>
          <w:lang w:val="en-GB"/>
        </w:rPr>
        <w:t>”</w:t>
      </w:r>
      <w:r w:rsidRPr="00571974">
        <w:rPr>
          <w:lang w:val="en-GB"/>
        </w:rPr>
        <w:t xml:space="preserve"> below at least 10 days but not more than 60 days before the Redemption Date to each Holder of the Notes to be redeemed. On and after any Redemption Date, interest will cease to accrue on the Notes or any portion thereof called for redemption.</w:t>
      </w:r>
    </w:p>
    <w:p w14:paraId="5A978432" w14:textId="77777777" w:rsidR="0073783B" w:rsidRPr="00571974" w:rsidRDefault="003D4D89" w:rsidP="0073783B">
      <w:pPr>
        <w:pStyle w:val="BodyText"/>
        <w:widowControl/>
        <w:autoSpaceDE/>
        <w:autoSpaceDN/>
        <w:adjustRightInd/>
        <w:ind w:firstLine="360"/>
        <w:rPr>
          <w:lang w:val="en-GB"/>
        </w:rPr>
      </w:pPr>
      <w:r w:rsidRPr="00571974">
        <w:rPr>
          <w:lang w:val="en-GB"/>
        </w:rPr>
        <w:t>Upon presentation of any Note redeemed in part only, the Issuer will execute and instruct the Trustee to authenticate and deliver to or on the order of the Holder thereof, at the expense of the Issuer, a new Note or Notes, of authorized denominations, in principal amount equal to the unredeemed portion of the Note so presented.</w:t>
      </w:r>
    </w:p>
    <w:p w14:paraId="01B76748" w14:textId="77777777" w:rsidR="0073783B" w:rsidRPr="00571974" w:rsidRDefault="003D4D89" w:rsidP="0073783B">
      <w:pPr>
        <w:pStyle w:val="BodyText"/>
        <w:widowControl/>
        <w:autoSpaceDE/>
        <w:autoSpaceDN/>
        <w:adjustRightInd/>
        <w:ind w:firstLine="360"/>
        <w:rPr>
          <w:lang w:val="en-GB"/>
        </w:rPr>
      </w:pPr>
      <w:r w:rsidRPr="00571974">
        <w:rPr>
          <w:lang w:val="en-GB"/>
        </w:rPr>
        <w:t>On or before any Redemption Date, the Issuer shall deposit with the Trustee money sufficient to pay the redemption price of and accrued interest on the Notes to be redeemed on such date. If less than all the Notes are to be redeemed, the Notes to be redeemed shall be selected by the Trustee by such method as the Trustee shall deem fair and appropriate. The redemption price shall be calculated by the Independent Investment Banker and the Issuer and notice of such redemption price shall be provided to the Trustee and the Holders at least two (2) business days prior to the Redemption Date, and the Trustee and any paying agent for the Notes shall be entitled to rely on such calculation.</w:t>
      </w:r>
    </w:p>
    <w:p w14:paraId="7401E4F5" w14:textId="77777777" w:rsidR="0073783B" w:rsidRPr="00571974" w:rsidRDefault="003D4D89" w:rsidP="007B1404">
      <w:pPr>
        <w:pStyle w:val="Heading3"/>
        <w:rPr>
          <w:lang w:val="en-GB"/>
        </w:rPr>
      </w:pPr>
      <w:r w:rsidRPr="00571974">
        <w:rPr>
          <w:lang w:val="en-GB"/>
        </w:rPr>
        <w:t>Final Maturity</w:t>
      </w:r>
    </w:p>
    <w:p w14:paraId="07B986DE" w14:textId="19D50A7D" w:rsidR="0073783B" w:rsidRPr="00571974" w:rsidRDefault="003D4D89" w:rsidP="0073783B">
      <w:pPr>
        <w:pStyle w:val="BodyText"/>
        <w:widowControl/>
        <w:autoSpaceDE/>
        <w:autoSpaceDN/>
        <w:adjustRightInd/>
        <w:ind w:firstLine="360"/>
        <w:rPr>
          <w:lang w:val="en-GB"/>
        </w:rPr>
      </w:pPr>
      <w:r w:rsidRPr="00571974">
        <w:rPr>
          <w:lang w:val="en-GB"/>
        </w:rPr>
        <w:t xml:space="preserve">Unless previously purchased or redeemed by the Issuer or the Company or any of their Subsidiaries, and cancelled, the principal amount of the </w:t>
      </w:r>
      <w:r w:rsidR="00A62FBD">
        <w:rPr>
          <w:lang w:val="en-GB"/>
        </w:rPr>
        <w:t>20</w:t>
      </w:r>
      <w:r w:rsidR="00183F92">
        <w:rPr>
          <w:lang w:val="en-GB"/>
        </w:rPr>
        <w:t>25</w:t>
      </w:r>
      <w:r w:rsidR="00A62FBD">
        <w:rPr>
          <w:lang w:val="en-GB"/>
        </w:rPr>
        <w:t xml:space="preserve"> </w:t>
      </w:r>
      <w:r w:rsidRPr="00571974">
        <w:rPr>
          <w:lang w:val="en-GB"/>
        </w:rPr>
        <w:t>Notes</w:t>
      </w:r>
      <w:r w:rsidR="00A62FBD">
        <w:rPr>
          <w:lang w:val="en-GB"/>
        </w:rPr>
        <w:t xml:space="preserve"> and the 20</w:t>
      </w:r>
      <w:r w:rsidR="00183F92">
        <w:rPr>
          <w:lang w:val="en-GB"/>
        </w:rPr>
        <w:t>30</w:t>
      </w:r>
      <w:r w:rsidR="00A62FBD">
        <w:rPr>
          <w:lang w:val="en-GB"/>
        </w:rPr>
        <w:t xml:space="preserve"> Notes</w:t>
      </w:r>
      <w:r w:rsidRPr="00571974">
        <w:rPr>
          <w:lang w:val="en-GB"/>
        </w:rPr>
        <w:t xml:space="preserve"> will mature and become due and payable on </w:t>
      </w:r>
      <w:r w:rsidR="00183F92">
        <w:rPr>
          <w:lang w:val="en-GB"/>
        </w:rPr>
        <w:t>April 1</w:t>
      </w:r>
      <w:r w:rsidRPr="00571974">
        <w:rPr>
          <w:lang w:val="en-GB"/>
        </w:rPr>
        <w:t>, 20</w:t>
      </w:r>
      <w:r w:rsidR="00183F92">
        <w:rPr>
          <w:lang w:val="en-GB"/>
        </w:rPr>
        <w:t>25</w:t>
      </w:r>
      <w:r w:rsidR="00A62FBD">
        <w:rPr>
          <w:lang w:val="en-GB"/>
        </w:rPr>
        <w:t xml:space="preserve"> </w:t>
      </w:r>
      <w:r w:rsidR="00A62FBD" w:rsidRPr="00A62FBD">
        <w:rPr>
          <w:lang w:val="en-GB"/>
        </w:rPr>
        <w:t xml:space="preserve">and </w:t>
      </w:r>
      <w:r w:rsidR="00183F92">
        <w:rPr>
          <w:lang w:val="en-GB"/>
        </w:rPr>
        <w:t>April 1</w:t>
      </w:r>
      <w:r w:rsidR="00A62FBD" w:rsidRPr="00A62FBD">
        <w:rPr>
          <w:lang w:val="en-GB"/>
        </w:rPr>
        <w:t>, 20</w:t>
      </w:r>
      <w:r w:rsidR="00183F92">
        <w:rPr>
          <w:lang w:val="en-GB"/>
        </w:rPr>
        <w:t>30</w:t>
      </w:r>
      <w:r w:rsidR="00A62FBD" w:rsidRPr="00A62FBD">
        <w:rPr>
          <w:lang w:val="en-GB"/>
        </w:rPr>
        <w:t>, respectively</w:t>
      </w:r>
      <w:r w:rsidRPr="00571974">
        <w:rPr>
          <w:lang w:val="en-GB"/>
        </w:rPr>
        <w:t>, in an amount equal to their principal amount, with accrued and unpaid interest to such date.</w:t>
      </w:r>
    </w:p>
    <w:p w14:paraId="7377A06D" w14:textId="77777777" w:rsidR="00542FF4" w:rsidRPr="00571974" w:rsidRDefault="003D4D89" w:rsidP="007B1404">
      <w:pPr>
        <w:pStyle w:val="Heading3"/>
        <w:rPr>
          <w:lang w:val="en-GB"/>
        </w:rPr>
      </w:pPr>
      <w:r w:rsidRPr="00571974">
        <w:rPr>
          <w:lang w:val="en-GB"/>
        </w:rPr>
        <w:t>Reacquisition</w:t>
      </w:r>
    </w:p>
    <w:p w14:paraId="4F527520" w14:textId="4B74D927" w:rsidR="00542FF4" w:rsidRPr="00571974" w:rsidRDefault="00F7022D" w:rsidP="00542FF4">
      <w:pPr>
        <w:pStyle w:val="BodyText"/>
        <w:widowControl/>
        <w:autoSpaceDE/>
        <w:autoSpaceDN/>
        <w:adjustRightInd/>
        <w:ind w:firstLine="360"/>
        <w:rPr>
          <w:lang w:val="en-GB"/>
        </w:rPr>
      </w:pPr>
      <w:r w:rsidRPr="00571974">
        <w:rPr>
          <w:lang w:val="en-GB"/>
        </w:rPr>
        <w:t>There is no restriction on the ability of the Issuer or the Company or any of their respective Subsidiaries to purchase or repurchase Notes.</w:t>
      </w:r>
      <w:r w:rsidR="00D005CD" w:rsidRPr="00571974">
        <w:rPr>
          <w:noProof/>
          <w:lang w:val="en-GB"/>
        </w:rPr>
        <w:t xml:space="preserve"> </w:t>
      </w:r>
    </w:p>
    <w:p w14:paraId="29642C76" w14:textId="77777777" w:rsidR="00542FF4" w:rsidRPr="00571974" w:rsidRDefault="003D4D89" w:rsidP="007B1404">
      <w:pPr>
        <w:pStyle w:val="Heading3"/>
        <w:rPr>
          <w:lang w:val="en-GB"/>
        </w:rPr>
      </w:pPr>
      <w:r w:rsidRPr="00571974">
        <w:rPr>
          <w:lang w:val="en-GB"/>
        </w:rPr>
        <w:t>Redemption for Tax Reasons</w:t>
      </w:r>
    </w:p>
    <w:p w14:paraId="030A6A8F" w14:textId="150F79FD" w:rsidR="00542FF4" w:rsidRPr="00571974" w:rsidRDefault="00A62FBD" w:rsidP="00542FF4">
      <w:pPr>
        <w:pStyle w:val="BodyText"/>
        <w:widowControl/>
        <w:autoSpaceDE/>
        <w:autoSpaceDN/>
        <w:adjustRightInd/>
        <w:ind w:firstLine="360"/>
        <w:rPr>
          <w:lang w:val="en-GB"/>
        </w:rPr>
      </w:pPr>
      <w:r>
        <w:rPr>
          <w:lang w:val="en-GB"/>
        </w:rPr>
        <w:t>Each series of the</w:t>
      </w:r>
      <w:r w:rsidRPr="00571974">
        <w:rPr>
          <w:lang w:val="en-GB"/>
        </w:rPr>
        <w:t xml:space="preserve"> </w:t>
      </w:r>
      <w:r w:rsidR="003D4D89" w:rsidRPr="00571974">
        <w:rPr>
          <w:lang w:val="en-GB"/>
        </w:rPr>
        <w:t xml:space="preserve">Notes </w:t>
      </w:r>
      <w:r>
        <w:rPr>
          <w:lang w:val="en-GB"/>
        </w:rPr>
        <w:t>is</w:t>
      </w:r>
      <w:r w:rsidRPr="00571974">
        <w:rPr>
          <w:lang w:val="en-GB"/>
        </w:rPr>
        <w:t xml:space="preserve"> </w:t>
      </w:r>
      <w:r w:rsidR="00F7022D" w:rsidRPr="00571974">
        <w:rPr>
          <w:lang w:val="en-GB"/>
        </w:rPr>
        <w:t>redeemable by the Issuer</w:t>
      </w:r>
      <w:r w:rsidR="00A55433" w:rsidRPr="00571974">
        <w:rPr>
          <w:lang w:val="en-GB"/>
        </w:rPr>
        <w:t xml:space="preserve"> </w:t>
      </w:r>
      <w:r w:rsidR="00F7022D" w:rsidRPr="00571974">
        <w:rPr>
          <w:lang w:val="en-GB"/>
        </w:rPr>
        <w:t>at the Issuer</w:t>
      </w:r>
      <w:r w:rsidR="00A311D8">
        <w:rPr>
          <w:lang w:val="en-GB"/>
        </w:rPr>
        <w:t>’</w:t>
      </w:r>
      <w:r w:rsidR="00F7022D" w:rsidRPr="00571974">
        <w:rPr>
          <w:lang w:val="en-GB"/>
        </w:rPr>
        <w:t>s option at any time prior to their maturity if due to a Change in Tax Law (as defined below) (i) the Issuer or, if applicable, the Company, in accordance with the terms of the applicable Notes or the applicable Guarantees, respectively, has, or would, become obligated to pay to the Holder or beneficial owner of any Note any Additional Amounts; (ii) in the case of the Company, (A) the Company would be unable, for reasons outside its control, to procure payment by the Issuer or (B) the procuring of such payment by the Issuer would be subject to withholding taxes imposed by a Relevant Jurisdiction; and (iii) the obligation described in (i) cannot be avoided by the Issuer or, if applicable, the Company taking reasonable measures available to it. In such case, the Issuer may redeem the Notes in whole, but not in part, upon not less than 30 nor more than 60 days</w:t>
      </w:r>
      <w:r w:rsidR="00A311D8">
        <w:rPr>
          <w:lang w:val="en-GB"/>
        </w:rPr>
        <w:t>’</w:t>
      </w:r>
      <w:r w:rsidR="00F7022D" w:rsidRPr="00571974">
        <w:rPr>
          <w:lang w:val="en-GB"/>
        </w:rPr>
        <w:t xml:space="preserve"> notice as provided in </w:t>
      </w:r>
      <w:r w:rsidR="00A311D8">
        <w:rPr>
          <w:lang w:val="en-GB"/>
        </w:rPr>
        <w:t>“</w:t>
      </w:r>
      <w:r w:rsidR="00F7022D" w:rsidRPr="00571974">
        <w:rPr>
          <w:lang w:val="en-GB"/>
        </w:rPr>
        <w:t>Notices</w:t>
      </w:r>
      <w:r w:rsidR="00A311D8">
        <w:rPr>
          <w:lang w:val="en-GB"/>
        </w:rPr>
        <w:t>”</w:t>
      </w:r>
      <w:r w:rsidR="00F7022D" w:rsidRPr="00571974">
        <w:rPr>
          <w:lang w:val="en-GB"/>
        </w:rPr>
        <w:t xml:space="preserve"> below, at 100% of the principal amount of the Notes plus accrued and unpaid interest to the applicable Redemption Date and any Additional Amounts payable with respect thereto; </w:t>
      </w:r>
      <w:r w:rsidR="00F7022D" w:rsidRPr="00571974">
        <w:rPr>
          <w:i/>
          <w:iCs/>
          <w:lang w:val="en-GB"/>
        </w:rPr>
        <w:t>provided</w:t>
      </w:r>
      <w:r w:rsidR="00F7022D" w:rsidRPr="00571974">
        <w:rPr>
          <w:lang w:val="en-GB"/>
        </w:rPr>
        <w:t xml:space="preserve"> that (a) no such notice of redemption shall be given earlier than 90 days prior to the earliest date on which the Issuer or, if applicable, the Company would be obligated to pay any such Additional Amounts were a payment in respect of the applicable Notes or the applicable Guarantees then due and (b) at the time such notice is given, such obligation to pay such Additional Amounts remains in effect. The Issuer</w:t>
      </w:r>
      <w:r w:rsidR="00A311D8">
        <w:rPr>
          <w:lang w:val="en-GB"/>
        </w:rPr>
        <w:t>’</w:t>
      </w:r>
      <w:r w:rsidR="00F7022D" w:rsidRPr="00571974">
        <w:rPr>
          <w:lang w:val="en-GB"/>
        </w:rPr>
        <w:t xml:space="preserve">s right to redeem the Notes shall continue as long as the Issuer or the Company, as the case may be, is obligated to pay such Additional Amounts, notwithstanding that the Issuer or the Company shall have made payments of Additional Amounts. Prior to the giving of any such notice of redemption, the Issuer must deliver to the Trustee (1) a certificate stating that the Issuer is entitled to effect such redemption and setting forth a statement of facts showing that the conditions precedent to the right of the Issuer so to redeem have occurred and (2) an opinion of independent counsel of recognized standing selected by the Issuer or the Company, as applicable, to the effect that the Issuer or the Company has, or would, become obligated to pay such Additional Amounts as a result of such change or amendment. </w:t>
      </w:r>
    </w:p>
    <w:p w14:paraId="41A6B290" w14:textId="1D00245F" w:rsidR="00542FF4" w:rsidRPr="00571974" w:rsidRDefault="003D4D89" w:rsidP="00542FF4">
      <w:pPr>
        <w:pStyle w:val="BodyText"/>
        <w:widowControl/>
        <w:autoSpaceDE/>
        <w:autoSpaceDN/>
        <w:adjustRightInd/>
        <w:ind w:firstLine="360"/>
        <w:rPr>
          <w:lang w:val="en-GB"/>
        </w:rPr>
      </w:pPr>
      <w:r w:rsidRPr="00571974">
        <w:rPr>
          <w:lang w:val="en-GB"/>
        </w:rPr>
        <w:lastRenderedPageBreak/>
        <w:t xml:space="preserve">For purposes hereof, </w:t>
      </w:r>
      <w:r w:rsidR="00A311D8">
        <w:rPr>
          <w:lang w:val="en-GB"/>
        </w:rPr>
        <w:t>“</w:t>
      </w:r>
      <w:r w:rsidRPr="00571974">
        <w:rPr>
          <w:lang w:val="en-GB"/>
        </w:rPr>
        <w:t>Change in Tax Law</w:t>
      </w:r>
      <w:r w:rsidR="00A311D8">
        <w:rPr>
          <w:lang w:val="en-GB"/>
        </w:rPr>
        <w:t>”</w:t>
      </w:r>
      <w:r w:rsidRPr="00571974">
        <w:rPr>
          <w:lang w:val="en-GB"/>
        </w:rPr>
        <w:t xml:space="preserve"> shall mean (i) any changes in, or amendment to, any law of a Relevant Jurisdiction (including any regulations or rulings promulgated thereunder) or any amendment to or change in the application or official interpretation (including judicial or administrative interpretation) of such law, which change or amendment is announced, if applicable, and becomes effective on or after </w:t>
      </w:r>
      <w:r w:rsidR="00183F92">
        <w:rPr>
          <w:lang w:val="en-GB"/>
        </w:rPr>
        <w:t>March 30</w:t>
      </w:r>
      <w:r w:rsidRPr="00571974">
        <w:rPr>
          <w:lang w:val="en-GB"/>
        </w:rPr>
        <w:t xml:space="preserve">, </w:t>
      </w:r>
      <w:r w:rsidR="007E4C14" w:rsidRPr="00571974">
        <w:rPr>
          <w:lang w:val="en-GB"/>
        </w:rPr>
        <w:t xml:space="preserve">2020 </w:t>
      </w:r>
      <w:r w:rsidRPr="00571974">
        <w:rPr>
          <w:lang w:val="en-GB"/>
        </w:rPr>
        <w:t>or (ii) if the Issuer or the Company consolidates or merges with, or transfers or leases its assets substantially as an entirety to, any person that is incorporated or tax resident under the laws of any jurisdiction other than a Relevant Jurisdiction, as defined immediately prior to such consolidating merger or other transaction, and as a consequence thereof such person becomes the successor obligor to the Issuer or the Company in respect of Additional Amounts that may become payable (in which case, for purposes of this redemption provision, all references to the Issuer, or the Company hereunder, as applicable, shall be deemed to be and include references to such person), any change in, or amendment to, any law of the jurisdiction of incorporation or residence for tax purposes of such person or any successor entity, or any political subdivision or taxing authority thereof or therein for purposes of taxation (including any regulations or rulings promulgated thereunder) or any amendment to or change in the application or official interpretation (including judicial or administrative interpretation) of such law, which change or amendment becomes effective on or after the date of such consolidation, merger or other transaction.</w:t>
      </w:r>
    </w:p>
    <w:p w14:paraId="331D0426" w14:textId="77777777" w:rsidR="00542FF4" w:rsidRPr="00571974" w:rsidRDefault="003D4D89" w:rsidP="00542FF4">
      <w:pPr>
        <w:pStyle w:val="Heading2"/>
        <w:rPr>
          <w:lang w:val="en-GB"/>
        </w:rPr>
      </w:pPr>
      <w:r w:rsidRPr="00571974">
        <w:rPr>
          <w:lang w:val="en-GB"/>
        </w:rPr>
        <w:t>Certain Definitions</w:t>
      </w:r>
    </w:p>
    <w:p w14:paraId="7B34FB5F" w14:textId="77777777" w:rsidR="00542FF4" w:rsidRPr="00571974" w:rsidRDefault="003D4D89" w:rsidP="00542FF4">
      <w:pPr>
        <w:pStyle w:val="BodyText"/>
        <w:widowControl/>
        <w:autoSpaceDE/>
        <w:autoSpaceDN/>
        <w:adjustRightInd/>
        <w:ind w:firstLine="360"/>
        <w:rPr>
          <w:lang w:val="en-GB"/>
        </w:rPr>
      </w:pPr>
      <w:r w:rsidRPr="00571974">
        <w:rPr>
          <w:lang w:val="en-GB"/>
        </w:rPr>
        <w:t>Set forth below are certain of the defined terms used in the Notes and the Indenture. You should refer to the Notes and the Indenture for the full set of definitions.</w:t>
      </w:r>
    </w:p>
    <w:p w14:paraId="3A9C55FC" w14:textId="5EB80A24"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Attributable Debt</w:t>
      </w:r>
      <w:r>
        <w:rPr>
          <w:lang w:val="en-GB"/>
        </w:rPr>
        <w:t>”</w:t>
      </w:r>
      <w:r w:rsidR="003D4D89" w:rsidRPr="00571974">
        <w:rPr>
          <w:lang w:val="en-GB"/>
        </w:rPr>
        <w:t xml:space="preserve"> means, as to any particular lease under which any Person is liable at the time as lessee, and at any date as of which the amount of the payment is to be determined, the total net amount of rent required to be paid by such Person under such lease during the remaining term of such lease (including any period for which such lease has been extended or may, at the option of the lessor, be extended), discounted from the respective due dates thereof to the date of determination at a rate per annum equivalent to the rate inherent in such lease (as determined by the directors of the Company) compounded </w:t>
      </w:r>
      <w:r w:rsidR="00E3516C" w:rsidRPr="00571974">
        <w:rPr>
          <w:lang w:val="en-GB"/>
        </w:rPr>
        <w:t>semi-annually</w:t>
      </w:r>
      <w:r w:rsidR="003D4D89" w:rsidRPr="00571974">
        <w:rPr>
          <w:lang w:val="en-GB"/>
        </w:rPr>
        <w:t>, excluding amounts required to be paid on account of or attributable to operating costs and overhead charges and including, in certain circumstances, any termination penalty in the case of a lease terminable by the lessee.</w:t>
      </w:r>
    </w:p>
    <w:p w14:paraId="1A9B82BC" w14:textId="0001BD23"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Business Day</w:t>
      </w:r>
      <w:r>
        <w:rPr>
          <w:lang w:val="en-GB"/>
        </w:rPr>
        <w:t>”</w:t>
      </w:r>
      <w:r w:rsidR="003D4D89" w:rsidRPr="00571974">
        <w:rPr>
          <w:lang w:val="en-GB"/>
        </w:rPr>
        <w:t xml:space="preserve"> means any day which is not, in London, England, New York City, or the place of payment of interest or principal a Saturday, Sunday, a legal holiday or a day on which banking institutions in such places are authorized or obligated by law to close.</w:t>
      </w:r>
    </w:p>
    <w:p w14:paraId="5AF32622" w14:textId="536D979D"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Company Jurisdiction</w:t>
      </w:r>
      <w:r>
        <w:rPr>
          <w:lang w:val="en-GB"/>
        </w:rPr>
        <w:t>”</w:t>
      </w:r>
      <w:r w:rsidR="003D4D89" w:rsidRPr="00571974">
        <w:rPr>
          <w:lang w:val="en-GB"/>
        </w:rPr>
        <w:t xml:space="preserve"> means any of the jurisdictions of incorporation or residence for tax purposes of the Company or any successor entity, or any political subdivision or taxing authority thereof or therein.</w:t>
      </w:r>
    </w:p>
    <w:p w14:paraId="3D0ADD43" w14:textId="42FC7007"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Consolidated Net Tangible Assets</w:t>
      </w:r>
      <w:r>
        <w:rPr>
          <w:lang w:val="en-GB"/>
        </w:rPr>
        <w:t>”</w:t>
      </w:r>
      <w:r w:rsidR="003D4D89" w:rsidRPr="00571974">
        <w:rPr>
          <w:lang w:val="en-GB"/>
        </w:rPr>
        <w:t xml:space="preserve"> means the aggregate amount of assets (less applicable provisions) after deducting therefrom (1) all current liabilities; (2) all goodwill, trade names, trademarks, patents, unamortized debt discount and financings costs and all similar intangible assets; and (3) appropriate adjustments on account of minority interests of other Persons holding stock in any Subsidiary of the Company, all as set forth on the most recent consolidated balance sheet of the Company and computed in accordance with IFRS.</w:t>
      </w:r>
    </w:p>
    <w:p w14:paraId="64D7374B" w14:textId="56424136"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Government Obligations</w:t>
      </w:r>
      <w:r>
        <w:rPr>
          <w:lang w:val="en-GB"/>
        </w:rPr>
        <w:t>”</w:t>
      </w:r>
      <w:r w:rsidR="003D4D89" w:rsidRPr="00571974">
        <w:rPr>
          <w:lang w:val="en-GB"/>
        </w:rPr>
        <w:t xml:space="preserve"> means money or obligations issued by the United States government.</w:t>
      </w:r>
    </w:p>
    <w:p w14:paraId="2F711DED" w14:textId="2DFC0838"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IFRS</w:t>
      </w:r>
      <w:r>
        <w:rPr>
          <w:lang w:val="en-GB"/>
        </w:rPr>
        <w:t>”</w:t>
      </w:r>
      <w:r w:rsidR="003D4D89" w:rsidRPr="00571974">
        <w:rPr>
          <w:lang w:val="en-GB"/>
        </w:rPr>
        <w:t xml:space="preserve"> means International Financial Reporting Standards as adopted by the European Union.</w:t>
      </w:r>
    </w:p>
    <w:p w14:paraId="2195D33C" w14:textId="4F3D7276"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Indebtedness</w:t>
      </w:r>
      <w:r>
        <w:rPr>
          <w:lang w:val="en-GB"/>
        </w:rPr>
        <w:t>”</w:t>
      </w:r>
      <w:r w:rsidR="003D4D89" w:rsidRPr="00571974">
        <w:rPr>
          <w:lang w:val="en-GB"/>
        </w:rPr>
        <w:t xml:space="preserve"> means all obligations for borrowed money represented by notes, bonds, debentures or similar evidence of indebtedness and obligations for borrowed money evidenced by credit, loan or other like agreements.</w:t>
      </w:r>
    </w:p>
    <w:p w14:paraId="0BD558E0" w14:textId="1C1CB97D"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Issuer Jurisdiction</w:t>
      </w:r>
      <w:r>
        <w:rPr>
          <w:lang w:val="en-GB"/>
        </w:rPr>
        <w:t>”</w:t>
      </w:r>
      <w:r w:rsidR="003D4D89" w:rsidRPr="00571974">
        <w:rPr>
          <w:lang w:val="en-GB"/>
        </w:rPr>
        <w:t xml:space="preserve"> means any of the jurisdictions of incorporation or residence for tax purposes of the Issuer or any successor entity, or any political subdivision or taxing authority thereof or therein.</w:t>
      </w:r>
    </w:p>
    <w:p w14:paraId="12BF4612" w14:textId="0371AD3C"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Mortgage</w:t>
      </w:r>
      <w:r>
        <w:rPr>
          <w:lang w:val="en-GB"/>
        </w:rPr>
        <w:t>”</w:t>
      </w:r>
      <w:r w:rsidR="003D4D89" w:rsidRPr="00571974">
        <w:rPr>
          <w:lang w:val="en-GB"/>
        </w:rPr>
        <w:t xml:space="preserve"> means any mortgage, deed of trust, pledge, hypothéc, lien, encumbrance, charge or other security interest of any kind.</w:t>
      </w:r>
    </w:p>
    <w:p w14:paraId="4EEFD8F6" w14:textId="77D4D124"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Person</w:t>
      </w:r>
      <w:r>
        <w:rPr>
          <w:lang w:val="en-GB"/>
        </w:rPr>
        <w:t>”</w:t>
      </w:r>
      <w:r w:rsidR="003D4D89" w:rsidRPr="00571974">
        <w:rPr>
          <w:lang w:val="en-GB"/>
        </w:rPr>
        <w:t xml:space="preserve"> means any individual, corporation, partnership, joint venture, association, limited liability company, joint stock company, trust, unincorporated organization or government or any agency or political subdivision thereof.</w:t>
      </w:r>
    </w:p>
    <w:p w14:paraId="62632696" w14:textId="0151E06C"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Principal Property</w:t>
      </w:r>
      <w:r>
        <w:rPr>
          <w:lang w:val="en-GB"/>
        </w:rPr>
        <w:t>”</w:t>
      </w:r>
      <w:r w:rsidR="003D4D89" w:rsidRPr="00571974">
        <w:rPr>
          <w:lang w:val="en-GB"/>
        </w:rPr>
        <w:t xml:space="preserve"> means the interest of the Company or any Subsidiary in any (a) mineral property or (b) manufacturing or processing plant, building, structure, dam or other facility, together with the land upon which it is erected and fixtures comprising a part thereof, whether owned as of the date of the Indenture or thereafter acquired or constructed by the Company or any Subsidiary, of which interest the net book value in each case, on the date as of which the determination is being made, is an amount which exceeds 10% of Consolidated Net Tangible </w:t>
      </w:r>
      <w:r w:rsidR="003D4D89" w:rsidRPr="00571974">
        <w:rPr>
          <w:lang w:val="en-GB"/>
        </w:rPr>
        <w:lastRenderedPageBreak/>
        <w:t>Assets, other than (i) any such mineral property, manufacturing or processing plant, building, structure, dam or other facility which, in the opinion of the Board, is not of material importance to the total business conducted by the Company and its Subsidiaries as an entirety or (ii) any portion of any such property which, in the opinion of the Board, is not of material importance to the use or operation of such property.</w:t>
      </w:r>
    </w:p>
    <w:p w14:paraId="10CC44CD" w14:textId="4136E422"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Project Financing</w:t>
      </w:r>
      <w:r>
        <w:rPr>
          <w:lang w:val="en-GB"/>
        </w:rPr>
        <w:t>”</w:t>
      </w:r>
      <w:r w:rsidR="003D4D89" w:rsidRPr="00571974">
        <w:rPr>
          <w:lang w:val="en-GB"/>
        </w:rPr>
        <w:t xml:space="preserve"> means the financing or refinancing of the acquisition, construction, expansion, improvement or development of any physical assets in which the providers of such finance or refinance solely look to the entity that owns and operates such assets, the equity interests in such entity, the assets themselves, and/or the revenues generated thereby as the source of repayment of the amounts financed or refinanced, without recourse to the Company or any Subsidiary (other than such entity) other than through a completion guarantee or other obligations that are customary in non-recourse financing or refinancing.</w:t>
      </w:r>
    </w:p>
    <w:p w14:paraId="07782D11" w14:textId="20B22260"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Relevant Jurisdiction</w:t>
      </w:r>
      <w:r>
        <w:rPr>
          <w:lang w:val="en-GB"/>
        </w:rPr>
        <w:t>”</w:t>
      </w:r>
      <w:r w:rsidR="003D4D89" w:rsidRPr="00571974">
        <w:rPr>
          <w:lang w:val="en-GB"/>
        </w:rPr>
        <w:t xml:space="preserve"> means an Issuer Jurisdiction and/or a Company Jurisdiction.</w:t>
      </w:r>
    </w:p>
    <w:p w14:paraId="28658852" w14:textId="3CFBCB7A"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Restricted Subsidiary</w:t>
      </w:r>
      <w:r>
        <w:rPr>
          <w:lang w:val="en-GB"/>
        </w:rPr>
        <w:t>”</w:t>
      </w:r>
      <w:r w:rsidR="003D4D89" w:rsidRPr="00571974">
        <w:rPr>
          <w:lang w:val="en-GB"/>
        </w:rPr>
        <w:t xml:space="preserve"> means (1) any Subsidiary which owns or leases a Principal Property; and (2) any Subsidiary engaged primarily in the business of owning or holding securities of Restricted Subsidiaries.</w:t>
      </w:r>
    </w:p>
    <w:p w14:paraId="5A2B6C88" w14:textId="00F8CD18"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Sale and Leaseback Transactions</w:t>
      </w:r>
      <w:r>
        <w:rPr>
          <w:lang w:val="en-GB"/>
        </w:rPr>
        <w:t>”</w:t>
      </w:r>
      <w:r w:rsidR="003D4D89" w:rsidRPr="00571974">
        <w:rPr>
          <w:lang w:val="en-GB"/>
        </w:rPr>
        <w:t xml:space="preserve"> mean any arrangement with a bank, insurance company or other lender or investor (other than the Company or a Restricted Subsidiary) providing for the leasing by the Company or any Restricted Subsidiary of any Principal Property which has been or is to be sold or transferred, more than 180 days after the later of the acquisition, completion of construction or commencement of full operation thereof by the Company or such Restricted Subsidiary to such lender or investor or to any Person to whom funds have been or are to be advanced by such lender or investor on the security of that property or asset.</w:t>
      </w:r>
    </w:p>
    <w:p w14:paraId="4EEF86D4" w14:textId="33EFC944"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Significant Subsidiary</w:t>
      </w:r>
      <w:r>
        <w:rPr>
          <w:lang w:val="en-GB"/>
        </w:rPr>
        <w:t>”</w:t>
      </w:r>
      <w:r w:rsidR="003D4D89" w:rsidRPr="00571974">
        <w:rPr>
          <w:lang w:val="en-GB"/>
        </w:rPr>
        <w:t xml:space="preserve"> means any Subsidiary that would be a </w:t>
      </w:r>
      <w:r>
        <w:rPr>
          <w:lang w:val="en-GB"/>
        </w:rPr>
        <w:t>“</w:t>
      </w:r>
      <w:r w:rsidR="003D4D89" w:rsidRPr="00571974">
        <w:rPr>
          <w:lang w:val="en-GB"/>
        </w:rPr>
        <w:t>significant subsidiary</w:t>
      </w:r>
      <w:r>
        <w:rPr>
          <w:lang w:val="en-GB"/>
        </w:rPr>
        <w:t>”</w:t>
      </w:r>
      <w:r w:rsidR="003D4D89" w:rsidRPr="00571974">
        <w:rPr>
          <w:lang w:val="en-GB"/>
        </w:rPr>
        <w:t xml:space="preserve"> under the definition in Article 1, Rule 1-02(w)(2) of Regulation S-X (but as calculated pursuant to IFRS), promulgated pursuant to the Securities Act, as such Regulation is in effect on the date hereof.</w:t>
      </w:r>
    </w:p>
    <w:p w14:paraId="561462A8" w14:textId="4D2D5526" w:rsidR="00542FF4" w:rsidRPr="00571974" w:rsidRDefault="00A311D8" w:rsidP="00542FF4">
      <w:pPr>
        <w:pStyle w:val="BodyText"/>
        <w:widowControl/>
        <w:autoSpaceDE/>
        <w:autoSpaceDN/>
        <w:adjustRightInd/>
        <w:ind w:firstLine="360"/>
        <w:rPr>
          <w:lang w:val="en-GB"/>
        </w:rPr>
      </w:pPr>
      <w:r>
        <w:rPr>
          <w:lang w:val="en-GB"/>
        </w:rPr>
        <w:t>“</w:t>
      </w:r>
      <w:r w:rsidR="003D4D89" w:rsidRPr="00571974">
        <w:rPr>
          <w:lang w:val="en-GB"/>
        </w:rPr>
        <w:t>Subsidiary</w:t>
      </w:r>
      <w:r>
        <w:rPr>
          <w:lang w:val="en-GB"/>
        </w:rPr>
        <w:t>”</w:t>
      </w:r>
      <w:r w:rsidR="003D4D89" w:rsidRPr="00571974">
        <w:rPr>
          <w:lang w:val="en-GB"/>
        </w:rPr>
        <w:t xml:space="preserve"> means, at any relevant time, any person of which the voting shares or other interests carrying more than 50% of the outstanding voting rights attached to all outstanding voting shares or other interests are owned, directly or indirectly, by or for the Company and/or one or more Subsidiaries of the Company.</w:t>
      </w:r>
    </w:p>
    <w:p w14:paraId="6719B998" w14:textId="77777777" w:rsidR="00542FF4" w:rsidRPr="00571974" w:rsidRDefault="003D4D89" w:rsidP="00542FF4">
      <w:pPr>
        <w:pStyle w:val="Heading2"/>
        <w:rPr>
          <w:lang w:val="en-GB"/>
        </w:rPr>
      </w:pPr>
      <w:r w:rsidRPr="00571974">
        <w:rPr>
          <w:lang w:val="en-GB"/>
        </w:rPr>
        <w:t>Covenants of the Issuer and the Company</w:t>
      </w:r>
    </w:p>
    <w:p w14:paraId="60F1F201" w14:textId="77777777" w:rsidR="00542FF4" w:rsidRPr="00571974" w:rsidRDefault="003D4D89" w:rsidP="007B1404">
      <w:pPr>
        <w:pStyle w:val="Heading3"/>
        <w:rPr>
          <w:lang w:val="en-GB"/>
        </w:rPr>
      </w:pPr>
      <w:r w:rsidRPr="00571974">
        <w:rPr>
          <w:lang w:val="en-GB"/>
        </w:rPr>
        <w:t>Negative Pledge</w:t>
      </w:r>
    </w:p>
    <w:p w14:paraId="3CDDFEE2"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Each of the Issuer and the Company will covenant under the Indenture that for so long as any of the Notes are outstanding under the Indenture, and subject to the provisions of the Indenture, it will not, and the Company will not permit any Restricted Subsidiary to, create, permit to exist, incur, issue, guarantee, assume or otherwise have outstanding any Mortgage on or over any Principal Property now owned or hereafter acquired by the Company or a Restricted Subsidiary to secure any Indebtedness of the Issuer, the Company or any Restricted Subsidiary, or on shares of stock or Indebtedness of any Restricted Subsidiary now owned or hereafter acquired by the Company or a Restricted Subsidiary to secure any Indebtedness of the Issuer, the Company or any Restricted Subsidiary, unless at the time thereof or prior thereto the Notes then outstanding under the Indenture are secured equally and ratably with (or prior to) any and all such Indebtedness for so long as such Indebtedness is so secured by such Mortgage; </w:t>
      </w:r>
      <w:r w:rsidRPr="00571974">
        <w:rPr>
          <w:i/>
          <w:iCs/>
          <w:lang w:val="en-GB"/>
        </w:rPr>
        <w:t>provided</w:t>
      </w:r>
      <w:r w:rsidRPr="00571974">
        <w:rPr>
          <w:lang w:val="en-GB"/>
        </w:rPr>
        <w:t xml:space="preserve">, </w:t>
      </w:r>
      <w:r w:rsidRPr="00571974">
        <w:rPr>
          <w:i/>
          <w:iCs/>
          <w:lang w:val="en-GB"/>
        </w:rPr>
        <w:t>however</w:t>
      </w:r>
      <w:r w:rsidRPr="00571974">
        <w:rPr>
          <w:lang w:val="en-GB"/>
        </w:rPr>
        <w:t>, such negative pledge will not apply to or operate to prevent or restrict the following permitted encumbrances:</w:t>
      </w:r>
    </w:p>
    <w:p w14:paraId="2B87FADF"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(1)</w:t>
      </w:r>
      <w:r w:rsidRPr="00571974">
        <w:rPr>
          <w:lang w:val="en-GB"/>
        </w:rPr>
        <w:tab/>
        <w:t>any Mortgage on property, shares of stock or Indebtedness of any Person existing at the time such Person becomes a Restricted Subsidiary or created, incurred, issued or assumed in connection with the acquisition of any such Person;</w:t>
      </w:r>
    </w:p>
    <w:p w14:paraId="1AAFFD87"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(2)</w:t>
      </w:r>
      <w:r w:rsidRPr="00571974">
        <w:rPr>
          <w:lang w:val="en-GB"/>
        </w:rPr>
        <w:tab/>
        <w:t xml:space="preserve">any Mortgage on any Principal Property created, incurred, issued or assumed at or prior to the time such property became a Principal Property or existing at the time of acquisition of such Principal Property by the Company or a Restricted Subsidiary, whether or not assumed by the Company or such Restricted Subsidiary; </w:t>
      </w:r>
      <w:r w:rsidRPr="00571974">
        <w:rPr>
          <w:i/>
          <w:iCs/>
          <w:lang w:val="en-GB"/>
        </w:rPr>
        <w:t>provided</w:t>
      </w:r>
      <w:r w:rsidRPr="00571974">
        <w:rPr>
          <w:lang w:val="en-GB"/>
        </w:rPr>
        <w:t xml:space="preserve"> that no such Mortgage will extend to any other Principal Property of the Company or any Restricted Subsidiary;</w:t>
      </w:r>
    </w:p>
    <w:p w14:paraId="6C9DE694"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(3)</w:t>
      </w:r>
      <w:r w:rsidRPr="00571974">
        <w:rPr>
          <w:lang w:val="en-GB"/>
        </w:rPr>
        <w:tab/>
        <w:t xml:space="preserve">any Mortgage on all or any part of any Principal Property (including any improvements or additions to improvements on a Principal Property) hereafter acquired, developed, expanded or constructed by the Company or any Restricted Subsidiary to secure the payment of all or any part of the purchase price, cost of acquisition or cost of development, expansion or construction of such Principal Property or of improvements or additions to improvements thereon (or to secure any Indebtedness incurred by the </w:t>
      </w:r>
      <w:r w:rsidRPr="00571974">
        <w:rPr>
          <w:lang w:val="en-GB"/>
        </w:rPr>
        <w:lastRenderedPageBreak/>
        <w:t xml:space="preserve">Company or a Restricted Subsidiary for the purpose of financing all or any part of the purchase price, cost of acquisition or cost of development, expansion or construction thereof or of improvements or additions to improvements thereon) created prior to, at the time of, or within 360 days after the later of, the acquisition, development, expansion or completion of construction (including construction of improvements or additions to improvements thereon), or commencement of full operation of such Principal Property; </w:t>
      </w:r>
      <w:r w:rsidRPr="00571974">
        <w:rPr>
          <w:i/>
          <w:iCs/>
          <w:lang w:val="en-GB"/>
        </w:rPr>
        <w:t>provided</w:t>
      </w:r>
      <w:r w:rsidRPr="00571974">
        <w:rPr>
          <w:lang w:val="en-GB"/>
        </w:rPr>
        <w:t xml:space="preserve"> that no such Mortgage will extend to any other Principal Property of the Company or a Restricted Subsidiary other than, in the case of any such construction, improvement, development, expansion or addition to improvement, all or any part of any other Principal Property on which the Principal Property so constructed, developed or expanded, or the improvement or addition to improvement, is located;</w:t>
      </w:r>
    </w:p>
    <w:p w14:paraId="00A3A0FF"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(4)</w:t>
      </w:r>
      <w:r w:rsidRPr="00571974">
        <w:rPr>
          <w:lang w:val="en-GB"/>
        </w:rPr>
        <w:tab/>
        <w:t>any Mortgage on any Principal Property of any Restricted Subsidiary to secure Indebtedness owing by it to the Company, the Issuer or another Restricted Subsidiary;</w:t>
      </w:r>
    </w:p>
    <w:p w14:paraId="20641966"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(5)</w:t>
      </w:r>
      <w:r w:rsidRPr="00571974">
        <w:rPr>
          <w:lang w:val="en-GB"/>
        </w:rPr>
        <w:tab/>
        <w:t>any Mortgage on any Principal Property of the Company to secure Indebtedness owing by it to the Issuer or another Restricted Subsidiary;</w:t>
      </w:r>
    </w:p>
    <w:p w14:paraId="3B2F31D4"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(6)</w:t>
      </w:r>
      <w:r w:rsidRPr="00571974">
        <w:rPr>
          <w:lang w:val="en-GB"/>
        </w:rPr>
        <w:tab/>
        <w:t>any Mortgage on any Principal Property or other assets of the Company or any Restricted Subsidiary existing on the date of the Indenture;</w:t>
      </w:r>
    </w:p>
    <w:p w14:paraId="1C9753D8"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(7)</w:t>
      </w:r>
      <w:r w:rsidRPr="00571974">
        <w:rPr>
          <w:lang w:val="en-GB"/>
        </w:rPr>
        <w:tab/>
        <w:t>any Mortgage on any Principal Property arising by operation of law (or an agreement solely evidencing otherwise applicable law) and (i) arising in the ordinary course of business or (ii) not securing amounts more than 90 days overdue or otherwise being contested in good faith;</w:t>
      </w:r>
    </w:p>
    <w:p w14:paraId="74783BB7"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(8)</w:t>
      </w:r>
      <w:r w:rsidRPr="00571974">
        <w:rPr>
          <w:lang w:val="en-GB"/>
        </w:rPr>
        <w:tab/>
      </w:r>
      <w:r w:rsidR="00C14736" w:rsidRPr="00571974">
        <w:rPr>
          <w:lang w:val="en-GB"/>
        </w:rPr>
        <w:t>Judgment</w:t>
      </w:r>
      <w:r w:rsidRPr="00571974">
        <w:rPr>
          <w:lang w:val="en-GB"/>
        </w:rPr>
        <w:t xml:space="preserve"> Mortgages on any Principal Property not giving rise to an Event of Default;</w:t>
      </w:r>
    </w:p>
    <w:p w14:paraId="4397C8CD"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(9)</w:t>
      </w:r>
      <w:r w:rsidRPr="00571974">
        <w:rPr>
          <w:lang w:val="en-GB"/>
        </w:rPr>
        <w:tab/>
        <w:t>any Mortgage on any Principal Property of the Company or any Restricted Subsidiary in favor of the government of any country or political subdivision thereof, or any instrumentality of any of them, securing the obligations of the Company or any Restricted Subsidiary pursuant to any contract or payments owed to such entity pursuant to applicable laws, rules, regulations or statutes;</w:t>
      </w:r>
    </w:p>
    <w:p w14:paraId="30FF3AEA"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(10)</w:t>
      </w:r>
      <w:r w:rsidRPr="00571974">
        <w:rPr>
          <w:lang w:val="en-GB"/>
        </w:rPr>
        <w:tab/>
        <w:t>any Mortgage on or over all or any part of the interest of the Company or any Restricted Subsidiary in any joint venture, partnership or similar undertaking, including the revenues and assets derived by the Company or any Restricted Subsidiary from such joint venture, partnership or similar undertaking, or employed by the Company or any Restricted Subsidiary in such joint venture, partnership or similar undertaking, which is in favor of its co-</w:t>
      </w:r>
      <w:r w:rsidR="00C14736" w:rsidRPr="00571974">
        <w:rPr>
          <w:lang w:val="en-GB"/>
        </w:rPr>
        <w:t>ventures</w:t>
      </w:r>
      <w:r w:rsidRPr="00571974">
        <w:rPr>
          <w:lang w:val="en-GB"/>
        </w:rPr>
        <w:t xml:space="preserve"> and/or the manager or operator of the joint venture, partnership or similar undertaking as security for the due payment of amounts payable under or in respect of such joint venture, partnership or similar undertaking;</w:t>
      </w:r>
    </w:p>
    <w:p w14:paraId="4A83DFB3"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(11)</w:t>
      </w:r>
      <w:r w:rsidRPr="00571974">
        <w:rPr>
          <w:lang w:val="en-GB"/>
        </w:rPr>
        <w:tab/>
        <w:t>Mortgages arising in connection with any Project Financing;</w:t>
      </w:r>
    </w:p>
    <w:p w14:paraId="4029B4D0"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(12)</w:t>
      </w:r>
      <w:r w:rsidRPr="00571974">
        <w:rPr>
          <w:lang w:val="en-GB"/>
        </w:rPr>
        <w:tab/>
        <w:t xml:space="preserve">any Mortgage on any Principal Property or other assets of the Company or any Restricted Subsidiary created for the sole purpose of extending, renewing, altering or refunding any of the foregoing Mortgages (or any successive extension, renewal, alteration or refunding thereof); </w:t>
      </w:r>
      <w:r w:rsidRPr="00571974">
        <w:rPr>
          <w:i/>
          <w:iCs/>
          <w:lang w:val="en-GB"/>
        </w:rPr>
        <w:t>provided</w:t>
      </w:r>
      <w:r w:rsidRPr="00571974">
        <w:rPr>
          <w:lang w:val="en-GB"/>
        </w:rPr>
        <w:t xml:space="preserve"> that the Indebtedness secured thereby will not exceed the principal amount of Indebtedness so secured at the time of such extension, renewal, alteration or refunding, plus an amount necessary to pay fees and expenses, including premiums, related to such extensions, renewals, alterations or </w:t>
      </w:r>
      <w:r w:rsidR="00C14736" w:rsidRPr="00571974">
        <w:rPr>
          <w:lang w:val="en-GB"/>
        </w:rPr>
        <w:t>refundings</w:t>
      </w:r>
      <w:r w:rsidRPr="00571974">
        <w:rPr>
          <w:lang w:val="en-GB"/>
        </w:rPr>
        <w:t>, and that such extension, renewal, alteration or refunding Mortgage will be limited to all or any part of the same Principal Property and improvements and additions to improvements thereon and/or shares of stock and Indebtedness of a Restricted Subsidiary which secured the Mortgage extended, renewed, altered or refunded either of such property or shares of stock or Indebtedness;</w:t>
      </w:r>
    </w:p>
    <w:p w14:paraId="1B0A60CA" w14:textId="7C4DD16B"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(13)</w:t>
      </w:r>
      <w:r w:rsidRPr="00571974">
        <w:rPr>
          <w:lang w:val="en-GB"/>
        </w:rPr>
        <w:tab/>
        <w:t xml:space="preserve">Mortgages on any Principal Property subject to Sale and Leaseback Transactions described below in clause (1) or (3) of the section headed </w:t>
      </w:r>
      <w:r w:rsidR="00A311D8">
        <w:rPr>
          <w:lang w:val="en-GB"/>
        </w:rPr>
        <w:t>“</w:t>
      </w:r>
      <w:r w:rsidRPr="00571974">
        <w:rPr>
          <w:lang w:val="en-GB"/>
        </w:rPr>
        <w:t>Limitation on Sale and Leaseback Transactions</w:t>
      </w:r>
      <w:r w:rsidR="00A311D8">
        <w:rPr>
          <w:lang w:val="en-GB"/>
        </w:rPr>
        <w:t>”</w:t>
      </w:r>
      <w:r w:rsidRPr="00571974">
        <w:rPr>
          <w:lang w:val="en-GB"/>
        </w:rPr>
        <w:t>; or</w:t>
      </w:r>
    </w:p>
    <w:p w14:paraId="782FD4F6" w14:textId="6BF70E4B"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(14)</w:t>
      </w:r>
      <w:r w:rsidRPr="00571974">
        <w:rPr>
          <w:lang w:val="en-GB"/>
        </w:rPr>
        <w:tab/>
        <w:t xml:space="preserve">any Mortgage on any Principal Property or on any shares of stock or Indebtedness of any Restricted Subsidiary created, incurred, issued or assumed to secure Indebtedness of the Company or any Restricted Subsidiary, which would otherwise be subject to the foregoing restrictions, in an aggregate amount which, together with the aggregate principal amount of other Indebtedness secured by </w:t>
      </w:r>
      <w:r w:rsidRPr="00571974">
        <w:rPr>
          <w:lang w:val="en-GB"/>
        </w:rPr>
        <w:lastRenderedPageBreak/>
        <w:t xml:space="preserve">Mortgages on any Principal Property or on any shares of stock or Indebtedness of any Restricted Subsidiary then outstanding (excluding Indebtedness secured by Mortgages permitted under the foregoing exceptions) and the Attributable Debt in respect of all Sale and Leaseback Transactions entered into after the date of the Indenture (not including Attributable Debt in respect of any such Sale and Leaseback Transactions described below in clause (1) or (3) of the section headed </w:t>
      </w:r>
      <w:r w:rsidR="00A311D8">
        <w:rPr>
          <w:lang w:val="en-GB"/>
        </w:rPr>
        <w:t>“</w:t>
      </w:r>
      <w:r w:rsidRPr="00571974">
        <w:rPr>
          <w:lang w:val="en-GB"/>
        </w:rPr>
        <w:t>Limitation on Sale and Leaseback Transactions</w:t>
      </w:r>
      <w:r w:rsidR="00A311D8">
        <w:rPr>
          <w:lang w:val="en-GB"/>
        </w:rPr>
        <w:t>”</w:t>
      </w:r>
      <w:r w:rsidRPr="00571974">
        <w:rPr>
          <w:lang w:val="en-GB"/>
        </w:rPr>
        <w:t xml:space="preserve">) would not then exceed the greater of </w:t>
      </w:r>
      <w:r w:rsidR="003E1CBD" w:rsidRPr="00571974">
        <w:rPr>
          <w:lang w:val="en-GB"/>
        </w:rPr>
        <w:t>US$</w:t>
      </w:r>
      <w:r w:rsidRPr="00571974">
        <w:rPr>
          <w:lang w:val="en-GB"/>
        </w:rPr>
        <w:t>4 billion or 15% of Consolidated Net Tangible Assets of the Company.</w:t>
      </w:r>
    </w:p>
    <w:p w14:paraId="5E09C851" w14:textId="77777777" w:rsidR="00542FF4" w:rsidRPr="00571974" w:rsidRDefault="003D4D89" w:rsidP="007B1404">
      <w:pPr>
        <w:pStyle w:val="Heading3"/>
        <w:rPr>
          <w:lang w:val="en-GB"/>
        </w:rPr>
      </w:pPr>
      <w:r w:rsidRPr="00571974">
        <w:rPr>
          <w:lang w:val="en-GB"/>
        </w:rPr>
        <w:t>Limitation on Sale and Leaseback Transactions</w:t>
      </w:r>
    </w:p>
    <w:p w14:paraId="3856BB72" w14:textId="77777777" w:rsidR="00542FF4" w:rsidRPr="00571974" w:rsidRDefault="003D4D89" w:rsidP="00542FF4">
      <w:pPr>
        <w:pStyle w:val="BodyText"/>
        <w:widowControl/>
        <w:autoSpaceDE/>
        <w:autoSpaceDN/>
        <w:adjustRightInd/>
        <w:ind w:firstLine="360"/>
        <w:rPr>
          <w:lang w:val="en-GB"/>
        </w:rPr>
      </w:pPr>
      <w:r w:rsidRPr="00571974">
        <w:rPr>
          <w:lang w:val="en-GB"/>
        </w:rPr>
        <w:t>Each of the Issuer and the Company will covenant under the Indenture that for so long as any of the Notes are outstanding under the Indenture, and subject to the provisions of the Indenture, it will not, and the Company will not permit any Restricted Subsidiary to, enter into any Sale and Leaseback Transaction unless (1) such transaction involves a lease or right to possession or use for a temporary period not to exceed three years following such transaction, by the end of which it is intended that the use of such property by the lessee will be discontinued; (2) immediately prior to the entering into of such transaction, the Company or such Restricted Subsidiary could create a Mortgage on Principal Property subject to the Sale and Leaseback Transaction securing Indebtedness in an amount equal to the Attributable Debt with respect to the particular Sale and Leaseback Transaction; or (3) the proceeds of such transaction within 180 days after such transaction, are applied to either (A) the payment of all or any part of the purchase price, cost of acquisition, cost of development, cost of expansion or cost of construction of a Principal Property or cost of improvements or additions to improvements thereon or (B) the retirement of long-term debt ranking at least ratably with the Notes.</w:t>
      </w:r>
    </w:p>
    <w:p w14:paraId="7261CD17" w14:textId="77777777" w:rsidR="00542FF4" w:rsidRPr="00571974" w:rsidRDefault="003D4D89" w:rsidP="007B1404">
      <w:pPr>
        <w:pStyle w:val="Heading3"/>
        <w:rPr>
          <w:lang w:val="en-GB"/>
        </w:rPr>
      </w:pPr>
      <w:r w:rsidRPr="00571974">
        <w:rPr>
          <w:lang w:val="en-GB"/>
        </w:rPr>
        <w:t>Limitation on Mergers and Consolidations</w:t>
      </w:r>
    </w:p>
    <w:p w14:paraId="2D05F2E7" w14:textId="77777777" w:rsidR="00542FF4" w:rsidRPr="00571974" w:rsidRDefault="003D4D89" w:rsidP="00542FF4">
      <w:pPr>
        <w:pStyle w:val="BodyText"/>
        <w:widowControl/>
        <w:autoSpaceDE/>
        <w:autoSpaceDN/>
        <w:adjustRightInd/>
        <w:ind w:firstLine="360"/>
        <w:rPr>
          <w:lang w:val="en-GB"/>
        </w:rPr>
      </w:pPr>
      <w:r w:rsidRPr="00571974">
        <w:rPr>
          <w:lang w:val="en-GB"/>
        </w:rPr>
        <w:t>The Indenture will provide that for so long as any of the Notes are outstanding under the Indenture, each of the Issuer and the Company may not consolidate or amalgamate with or merge (including by way of a scheme of arrangement) into or with any other Person, or, directly or indirectly, sell, convey, transfer or lease its properties and assets as an entirety or substantially as an entirety to any Person (other than a Person satisfying the condition set forth in clause (i), below, that is directly or indirectly wholly owned by the Company), unless:</w:t>
      </w:r>
    </w:p>
    <w:p w14:paraId="58445205" w14:textId="2C9978FC"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(i)</w:t>
      </w:r>
      <w:r w:rsidRPr="00571974">
        <w:rPr>
          <w:lang w:val="en-GB"/>
        </w:rPr>
        <w:tab/>
        <w:t>the Person formed by or continuing from such consolidation or amalgamation or into which the Issuer or the Company is merged or the Person which acquires or leases the Issuer</w:t>
      </w:r>
      <w:r w:rsidR="00A311D8">
        <w:rPr>
          <w:lang w:val="en-GB"/>
        </w:rPr>
        <w:t>’</w:t>
      </w:r>
      <w:r w:rsidRPr="00571974">
        <w:rPr>
          <w:lang w:val="en-GB"/>
        </w:rPr>
        <w:t>s or the Company</w:t>
      </w:r>
      <w:r w:rsidR="00A311D8">
        <w:rPr>
          <w:lang w:val="en-GB"/>
        </w:rPr>
        <w:t>’</w:t>
      </w:r>
      <w:r w:rsidRPr="00571974">
        <w:rPr>
          <w:lang w:val="en-GB"/>
        </w:rPr>
        <w:t>s properties and assets as an entirety or substantially as an entirety is organized and existing under the laws of the United States, the United Kingdom or any other country that is a member of the Organization for Economic Cooperation and Development, or the Republic of South Africa, Brazil or India;</w:t>
      </w:r>
    </w:p>
    <w:p w14:paraId="500B7C4E" w14:textId="7E7F68F6"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(ii)</w:t>
      </w:r>
      <w:r w:rsidRPr="00571974">
        <w:rPr>
          <w:lang w:val="en-GB"/>
        </w:rPr>
        <w:tab/>
        <w:t>the successor Person assumes, or assumes by operation of law, the Issuer</w:t>
      </w:r>
      <w:r w:rsidR="00A311D8">
        <w:rPr>
          <w:lang w:val="en-GB"/>
        </w:rPr>
        <w:t>’</w:t>
      </w:r>
      <w:r w:rsidRPr="00571974">
        <w:rPr>
          <w:lang w:val="en-GB"/>
        </w:rPr>
        <w:t>s or the Company</w:t>
      </w:r>
      <w:r w:rsidR="00A311D8">
        <w:rPr>
          <w:lang w:val="en-GB"/>
        </w:rPr>
        <w:t>’</w:t>
      </w:r>
      <w:r w:rsidRPr="00571974">
        <w:rPr>
          <w:lang w:val="en-GB"/>
        </w:rPr>
        <w:t>s obligations under the Notes, the Guarantees and the Indenture to pay Additional Amounts;</w:t>
      </w:r>
    </w:p>
    <w:p w14:paraId="63ACAB27" w14:textId="345F57BD"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(iii)</w:t>
      </w:r>
      <w:r w:rsidRPr="00571974">
        <w:rPr>
          <w:lang w:val="en-GB"/>
        </w:rPr>
        <w:tab/>
        <w:t>if the Issuer or Company, as applicable, is not the continuing entity, the successor Person expressly assumes or assumes by operation of law all of the Issuer</w:t>
      </w:r>
      <w:r w:rsidR="00A311D8">
        <w:rPr>
          <w:lang w:val="en-GB"/>
        </w:rPr>
        <w:t>’</w:t>
      </w:r>
      <w:r w:rsidRPr="00571974">
        <w:rPr>
          <w:lang w:val="en-GB"/>
        </w:rPr>
        <w:t>s or the Company</w:t>
      </w:r>
      <w:r w:rsidR="00A311D8">
        <w:rPr>
          <w:lang w:val="en-GB"/>
        </w:rPr>
        <w:t>’</w:t>
      </w:r>
      <w:r w:rsidRPr="00571974">
        <w:rPr>
          <w:lang w:val="en-GB"/>
        </w:rPr>
        <w:t>s obligations under the Notes, the Guarantees and under the Indenture;</w:t>
      </w:r>
    </w:p>
    <w:p w14:paraId="722EE9CE"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(iv)</w:t>
      </w:r>
      <w:r w:rsidRPr="00571974">
        <w:rPr>
          <w:lang w:val="en-GB"/>
        </w:rPr>
        <w:tab/>
        <w:t>immediately before and after giving effect to such transaction, no Event of Default (as defined below) and no event which, after notice or lapse of time or both, would become an Event of Default, will have happened and be continuing; and</w:t>
      </w:r>
    </w:p>
    <w:p w14:paraId="0CCC8098"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(v)</w:t>
      </w:r>
      <w:r w:rsidRPr="00571974">
        <w:rPr>
          <w:lang w:val="en-GB"/>
        </w:rPr>
        <w:tab/>
        <w:t>certain other conditions are met.</w:t>
      </w:r>
    </w:p>
    <w:p w14:paraId="1C6E0B55" w14:textId="1BBAF512" w:rsidR="00542FF4" w:rsidRPr="00571974" w:rsidRDefault="003D4D89" w:rsidP="00542FF4">
      <w:pPr>
        <w:pStyle w:val="BodyText"/>
        <w:widowControl/>
        <w:autoSpaceDE/>
        <w:autoSpaceDN/>
        <w:adjustRightInd/>
        <w:ind w:firstLine="360"/>
        <w:rPr>
          <w:lang w:val="en-GB"/>
        </w:rPr>
      </w:pPr>
      <w:r w:rsidRPr="00571974">
        <w:rPr>
          <w:lang w:val="en-GB"/>
        </w:rPr>
        <w:t>If, as a result of any such transaction, any of the Issuer</w:t>
      </w:r>
      <w:r w:rsidR="00A311D8">
        <w:rPr>
          <w:lang w:val="en-GB"/>
        </w:rPr>
        <w:t>’</w:t>
      </w:r>
      <w:r w:rsidRPr="00571974">
        <w:rPr>
          <w:lang w:val="en-GB"/>
        </w:rPr>
        <w:t>s or the Company</w:t>
      </w:r>
      <w:r w:rsidR="00A311D8">
        <w:rPr>
          <w:lang w:val="en-GB"/>
        </w:rPr>
        <w:t>’</w:t>
      </w:r>
      <w:r w:rsidRPr="00571974">
        <w:rPr>
          <w:lang w:val="en-GB"/>
        </w:rPr>
        <w:t xml:space="preserve">s Principal Properties become subject to a Mortgage, then, unless such Mortgage could be created pursuant to the Indenture provisions described under the section headed </w:t>
      </w:r>
      <w:r w:rsidR="00A311D8">
        <w:rPr>
          <w:lang w:val="en-GB"/>
        </w:rPr>
        <w:t>“</w:t>
      </w:r>
      <w:r w:rsidRPr="00571974">
        <w:rPr>
          <w:lang w:val="en-GB"/>
        </w:rPr>
        <w:t>Negative Pledge</w:t>
      </w:r>
      <w:r w:rsidR="00A311D8">
        <w:rPr>
          <w:lang w:val="en-GB"/>
        </w:rPr>
        <w:t>”</w:t>
      </w:r>
      <w:r w:rsidRPr="00571974">
        <w:rPr>
          <w:lang w:val="en-GB"/>
        </w:rPr>
        <w:t xml:space="preserve"> without equally and ratably securing the Notes, the Issuer or the Company, simultaneously with or prior to such transaction, will cause the Notes to be secured equally and ratably with or prior to the Indebtedness secured by such Mortgage.</w:t>
      </w:r>
    </w:p>
    <w:p w14:paraId="44B573A0" w14:textId="77777777" w:rsidR="00542FF4" w:rsidRPr="00571974" w:rsidRDefault="003D4D89" w:rsidP="00542FF4">
      <w:pPr>
        <w:pStyle w:val="BodyText"/>
        <w:widowControl/>
        <w:autoSpaceDE/>
        <w:autoSpaceDN/>
        <w:adjustRightInd/>
        <w:ind w:firstLine="360"/>
        <w:rPr>
          <w:lang w:val="en-GB"/>
        </w:rPr>
      </w:pPr>
      <w:r w:rsidRPr="00571974">
        <w:rPr>
          <w:lang w:val="en-GB"/>
        </w:rPr>
        <w:t>The Notes will not contain covenants or other provisions to afford protection to Holders in the event of a highly leveraged transaction or a change in control of the Issuer or the Company except as provided herein.</w:t>
      </w:r>
    </w:p>
    <w:p w14:paraId="0021A05D" w14:textId="7E0AA2E3" w:rsidR="00542FF4" w:rsidRPr="00571974" w:rsidRDefault="003D4D89" w:rsidP="00542FF4">
      <w:pPr>
        <w:pStyle w:val="BodyText"/>
        <w:widowControl/>
        <w:autoSpaceDE/>
        <w:autoSpaceDN/>
        <w:adjustRightInd/>
        <w:ind w:firstLine="360"/>
        <w:rPr>
          <w:lang w:val="en-GB"/>
        </w:rPr>
      </w:pPr>
      <w:r w:rsidRPr="00571974">
        <w:rPr>
          <w:lang w:val="en-GB"/>
        </w:rPr>
        <w:lastRenderedPageBreak/>
        <w:t xml:space="preserve">Upon certain mergers or consolidations involving the Issuer or the Company, or upon certain sales or conveyances of the respective properties of the Issuer or the Company as an entirety or substantially as an entirety, the obligations of the Issuer or the Company, as the case may be, under the Notes or the Guarantees, as the case may be, shall be assumed by the Person formed by such merger or consolidation or which shall have acquired such property (except in the case of an acquisition of such property, for any such Person that meets the condition set forth in clause (i), above, that is directly or indirectly wholly owned by the Company) and upon such assumptions such Person shall succeed to and be substituted for the Issuer or the Company, as the case may be, and then the Issuer or the Company, as the case may be, will be relieved from all obligations under the Notes or the Guarantee, as the case may be. The terms </w:t>
      </w:r>
      <w:r w:rsidR="00A311D8">
        <w:rPr>
          <w:lang w:val="en-GB"/>
        </w:rPr>
        <w:t>“</w:t>
      </w:r>
      <w:r w:rsidRPr="00571974">
        <w:rPr>
          <w:lang w:val="en-GB"/>
        </w:rPr>
        <w:t>Issuer</w:t>
      </w:r>
      <w:r w:rsidR="00A311D8">
        <w:rPr>
          <w:lang w:val="en-GB"/>
        </w:rPr>
        <w:t>”</w:t>
      </w:r>
      <w:r w:rsidRPr="00571974">
        <w:rPr>
          <w:lang w:val="en-GB"/>
        </w:rPr>
        <w:t xml:space="preserve"> and </w:t>
      </w:r>
      <w:r w:rsidR="00A311D8">
        <w:rPr>
          <w:lang w:val="en-GB"/>
        </w:rPr>
        <w:t>“</w:t>
      </w:r>
      <w:r w:rsidRPr="00571974">
        <w:rPr>
          <w:lang w:val="en-GB"/>
        </w:rPr>
        <w:t>Company</w:t>
      </w:r>
      <w:r w:rsidR="00A311D8">
        <w:rPr>
          <w:lang w:val="en-GB"/>
        </w:rPr>
        <w:t>”</w:t>
      </w:r>
      <w:r w:rsidRPr="00571974">
        <w:rPr>
          <w:lang w:val="en-GB"/>
        </w:rPr>
        <w:t>, as used in the Notes, the Guarantees and the Indenture, also refer to any such successors or assigns so substituted.</w:t>
      </w:r>
    </w:p>
    <w:p w14:paraId="2511BE18" w14:textId="77777777" w:rsidR="00542FF4" w:rsidRPr="00571974" w:rsidRDefault="003D4D89" w:rsidP="007B1404">
      <w:pPr>
        <w:pStyle w:val="Heading3"/>
        <w:rPr>
          <w:lang w:val="en-GB"/>
        </w:rPr>
      </w:pPr>
      <w:r w:rsidRPr="00571974">
        <w:rPr>
          <w:lang w:val="en-GB"/>
        </w:rPr>
        <w:t>Provision of Financial Information</w:t>
      </w:r>
    </w:p>
    <w:p w14:paraId="34B65BF0" w14:textId="3425FECD" w:rsidR="00542FF4" w:rsidRPr="00571974" w:rsidRDefault="003D4D89" w:rsidP="00542FF4">
      <w:pPr>
        <w:pStyle w:val="BodyText"/>
        <w:widowControl/>
        <w:autoSpaceDE/>
        <w:autoSpaceDN/>
        <w:adjustRightInd/>
        <w:ind w:firstLine="360"/>
        <w:rPr>
          <w:lang w:val="en-GB"/>
        </w:rPr>
      </w:pPr>
      <w:r w:rsidRPr="00571974">
        <w:rPr>
          <w:lang w:val="en-GB"/>
        </w:rPr>
        <w:t xml:space="preserve">For so long as any Notes are outstanding, each Issuer and the Company shall deliver to the Trustee, or post on its website copies of any annual reports or periodic results announcements it files with each of the United Kingdom Financial Conduct Authority and the London Stock Exchange within 30 days after it files such documents with the United Kingdom Financial Conduct Authority or London Stock Exchange, as the case may be; </w:t>
      </w:r>
      <w:r w:rsidRPr="00571974">
        <w:rPr>
          <w:i/>
          <w:iCs/>
          <w:lang w:val="en-GB"/>
        </w:rPr>
        <w:t>provided</w:t>
      </w:r>
      <w:r w:rsidRPr="00571974">
        <w:rPr>
          <w:lang w:val="en-GB"/>
        </w:rPr>
        <w:t xml:space="preserve">, </w:t>
      </w:r>
      <w:r w:rsidRPr="00571974">
        <w:rPr>
          <w:i/>
          <w:iCs/>
          <w:lang w:val="en-GB"/>
        </w:rPr>
        <w:t>however</w:t>
      </w:r>
      <w:r w:rsidRPr="00571974">
        <w:rPr>
          <w:lang w:val="en-GB"/>
        </w:rPr>
        <w:t xml:space="preserve">, that this covenant shall not create any obligation under the Indenture to make any such filings or to make such filings in a timely manner. This covenant relates solely to the obligations of the Issuer and the Company under the Notes and is not intended to affect any obligations the Issuer or the Company may have under the UK Disclosure and Transparency Rules. </w:t>
      </w:r>
    </w:p>
    <w:p w14:paraId="52F1D769" w14:textId="0A24D4E2" w:rsidR="00542FF4" w:rsidRPr="00571974" w:rsidRDefault="00F7022D" w:rsidP="00542FF4">
      <w:pPr>
        <w:pStyle w:val="Heading2"/>
        <w:rPr>
          <w:lang w:val="en-GB"/>
        </w:rPr>
      </w:pPr>
      <w:r w:rsidRPr="00571974">
        <w:rPr>
          <w:lang w:val="en-GB"/>
        </w:rPr>
        <w:t>Change of Control Repurchase Event</w:t>
      </w:r>
    </w:p>
    <w:p w14:paraId="22E1AD17" w14:textId="5A0D6E33" w:rsidR="00542FF4" w:rsidRPr="00571974" w:rsidRDefault="003D4D89" w:rsidP="00542FF4">
      <w:pPr>
        <w:spacing w:after="240"/>
        <w:ind w:firstLine="720"/>
        <w:rPr>
          <w:szCs w:val="20"/>
          <w:lang w:val="en-GB"/>
        </w:rPr>
      </w:pPr>
      <w:r w:rsidRPr="00571974">
        <w:rPr>
          <w:szCs w:val="20"/>
          <w:lang w:val="en-GB"/>
        </w:rPr>
        <w:t>I</w:t>
      </w:r>
      <w:r w:rsidR="00F7022D" w:rsidRPr="00571974">
        <w:rPr>
          <w:szCs w:val="20"/>
          <w:lang w:val="en-GB"/>
        </w:rPr>
        <w:t xml:space="preserve">f a Change of Control Repurchase Event occurs, unless the Issuer has exercised its right to redeem the Notes as described above, the Issuer or the Company will be required to make an offer to each holder of Notes to repurchase all or any part (equal to </w:t>
      </w:r>
      <w:r w:rsidR="003E1CBD" w:rsidRPr="00571974">
        <w:rPr>
          <w:szCs w:val="20"/>
          <w:lang w:val="en-GB"/>
        </w:rPr>
        <w:t>US$</w:t>
      </w:r>
      <w:r w:rsidR="00F7022D" w:rsidRPr="00571974">
        <w:rPr>
          <w:szCs w:val="20"/>
          <w:lang w:val="en-GB"/>
        </w:rPr>
        <w:t xml:space="preserve">200,000 or an integral multiple of </w:t>
      </w:r>
      <w:r w:rsidR="003E1CBD" w:rsidRPr="00571974">
        <w:rPr>
          <w:szCs w:val="20"/>
          <w:lang w:val="en-GB"/>
        </w:rPr>
        <w:t>US$</w:t>
      </w:r>
      <w:r w:rsidR="00F7022D" w:rsidRPr="00571974">
        <w:rPr>
          <w:szCs w:val="20"/>
          <w:lang w:val="en-GB"/>
        </w:rPr>
        <w:t>1,000 in excess thereof) of that holder</w:t>
      </w:r>
      <w:r w:rsidR="00A311D8">
        <w:rPr>
          <w:szCs w:val="20"/>
          <w:lang w:val="en-GB"/>
        </w:rPr>
        <w:t>’</w:t>
      </w:r>
      <w:r w:rsidR="00F7022D" w:rsidRPr="00571974">
        <w:rPr>
          <w:szCs w:val="20"/>
          <w:lang w:val="en-GB"/>
        </w:rPr>
        <w:t>s Notes at a repurchase price in cash equal to 101% of the aggregate principal amount of Notes repurchased plus any accrued and unpaid interest on the Notes repurchased to, but not including, the date of repurchase.</w:t>
      </w:r>
    </w:p>
    <w:p w14:paraId="46BA0BF2" w14:textId="77777777" w:rsidR="00542FF4" w:rsidRPr="00571974" w:rsidRDefault="003D4D89" w:rsidP="00542FF4">
      <w:pPr>
        <w:spacing w:after="240"/>
        <w:ind w:firstLine="720"/>
        <w:rPr>
          <w:szCs w:val="20"/>
          <w:lang w:val="en-GB"/>
        </w:rPr>
      </w:pPr>
      <w:r w:rsidRPr="00571974">
        <w:rPr>
          <w:szCs w:val="20"/>
          <w:lang w:val="en-GB"/>
        </w:rPr>
        <w:t xml:space="preserve">Within 30 days following any Change of Control Repurchase Event or, at the option of the Issuer or the Company, prior to any Change of Control, but after the public announcement of the Change of Control, the Issuer or the Company will mail, by first class mail or equivalent, a notice to each holder, with a copy to the Trustee, describing the transaction or transactions that constitute or may constitute the Change of Control Repurchase Event and offering to repurchase Notes on the payment date specified in the notice, which date will be no earlier than 30 days and no later than 60 days from the date such notice is mailed.  The notice shall, if mailed prior to the date of consummation of the Change of Control, state that the offer to purchase is conditioned on a Change of Control Repurchase Event occurring on or prior to the payment date specified in the notice. </w:t>
      </w:r>
    </w:p>
    <w:p w14:paraId="6A690C6B" w14:textId="77777777" w:rsidR="00542FF4" w:rsidRPr="00571974" w:rsidRDefault="003D4D89" w:rsidP="00542FF4">
      <w:pPr>
        <w:spacing w:after="240"/>
        <w:ind w:firstLine="720"/>
        <w:rPr>
          <w:szCs w:val="20"/>
          <w:lang w:val="en-GB"/>
        </w:rPr>
      </w:pPr>
      <w:r w:rsidRPr="00571974">
        <w:rPr>
          <w:szCs w:val="20"/>
          <w:lang w:val="en-GB"/>
        </w:rPr>
        <w:t>The Issuer and the Company will comply with the requirements of the Exchange Act, and any other securities laws and regulations thereunder to the extent those laws and regulations are applicable in connection with the repurchase of the Notes as a result of a Change of Control Repurchase Event.  To the extent that the provisions of any securities laws or regulations conflict with the Change of Control Repurchase Event provisions of the Notes, the Issuer and the Company will comply with the applicable securities laws and regulations and will not be deemed to have breached their respective obligations under the Change of Control Repurchase Event provisions of the Notes by virtue of such conflict.</w:t>
      </w:r>
    </w:p>
    <w:p w14:paraId="5B0E45FA" w14:textId="77777777" w:rsidR="00542FF4" w:rsidRPr="00571974" w:rsidRDefault="003D4D89" w:rsidP="00542FF4">
      <w:pPr>
        <w:keepNext/>
        <w:spacing w:after="240"/>
        <w:ind w:firstLine="720"/>
        <w:rPr>
          <w:szCs w:val="20"/>
          <w:lang w:val="en-GB"/>
        </w:rPr>
      </w:pPr>
      <w:r w:rsidRPr="00571974">
        <w:rPr>
          <w:szCs w:val="20"/>
          <w:lang w:val="en-GB"/>
        </w:rPr>
        <w:t>On the repurchase date following a Change of Control Repurchase Event, the Issuer or the Company will, to the extent lawful:</w:t>
      </w:r>
    </w:p>
    <w:p w14:paraId="4D9F713E" w14:textId="75AC9ED1" w:rsidR="00542FF4" w:rsidRPr="00571974" w:rsidRDefault="003D4D89" w:rsidP="00542FF4">
      <w:pPr>
        <w:tabs>
          <w:tab w:val="left" w:pos="1080"/>
        </w:tabs>
        <w:spacing w:after="240"/>
        <w:ind w:left="1080" w:hanging="360"/>
        <w:rPr>
          <w:szCs w:val="20"/>
          <w:lang w:val="en-GB"/>
        </w:rPr>
      </w:pPr>
      <w:r w:rsidRPr="00571974">
        <w:rPr>
          <w:szCs w:val="20"/>
          <w:lang w:val="en-GB"/>
        </w:rPr>
        <w:t>1.</w:t>
      </w:r>
      <w:r w:rsidRPr="00571974">
        <w:rPr>
          <w:szCs w:val="20"/>
          <w:lang w:val="en-GB"/>
        </w:rPr>
        <w:tab/>
        <w:t>accept for payment all Notes or portions of Notes properly tendered pursuant to the Issuer</w:t>
      </w:r>
      <w:r w:rsidR="00A311D8">
        <w:rPr>
          <w:szCs w:val="20"/>
          <w:lang w:val="en-GB"/>
        </w:rPr>
        <w:t>’</w:t>
      </w:r>
      <w:r w:rsidRPr="00571974">
        <w:rPr>
          <w:szCs w:val="20"/>
          <w:lang w:val="en-GB"/>
        </w:rPr>
        <w:t>s or the Company</w:t>
      </w:r>
      <w:r w:rsidR="00A311D8">
        <w:rPr>
          <w:szCs w:val="20"/>
          <w:lang w:val="en-GB"/>
        </w:rPr>
        <w:t>’</w:t>
      </w:r>
      <w:r w:rsidRPr="00571974">
        <w:rPr>
          <w:szCs w:val="20"/>
          <w:lang w:val="en-GB"/>
        </w:rPr>
        <w:t>s offer;</w:t>
      </w:r>
    </w:p>
    <w:p w14:paraId="78C8472A" w14:textId="77777777" w:rsidR="00542FF4" w:rsidRPr="00571974" w:rsidRDefault="003D4D89" w:rsidP="00542FF4">
      <w:pPr>
        <w:tabs>
          <w:tab w:val="left" w:pos="1080"/>
        </w:tabs>
        <w:spacing w:after="240"/>
        <w:ind w:left="1080" w:hanging="360"/>
        <w:rPr>
          <w:szCs w:val="20"/>
          <w:lang w:val="en-GB"/>
        </w:rPr>
      </w:pPr>
      <w:r w:rsidRPr="00571974">
        <w:rPr>
          <w:szCs w:val="20"/>
          <w:lang w:val="en-GB"/>
        </w:rPr>
        <w:t>2.</w:t>
      </w:r>
      <w:r w:rsidRPr="00571974">
        <w:rPr>
          <w:szCs w:val="20"/>
          <w:lang w:val="en-GB"/>
        </w:rPr>
        <w:tab/>
        <w:t>deposit an amount equal to the aggregate purchase price and accrued interest in respect of all Notes or portions of Notes properly tendered with the Agent (or with such other agent as agreed upon at such time); and</w:t>
      </w:r>
    </w:p>
    <w:p w14:paraId="365F08D3" w14:textId="4312F7EE" w:rsidR="00542FF4" w:rsidRPr="00571974" w:rsidRDefault="003D4D89" w:rsidP="00542FF4">
      <w:pPr>
        <w:tabs>
          <w:tab w:val="left" w:pos="1080"/>
        </w:tabs>
        <w:spacing w:after="240"/>
        <w:ind w:left="1080" w:hanging="360"/>
        <w:rPr>
          <w:szCs w:val="20"/>
          <w:lang w:val="en-GB"/>
        </w:rPr>
      </w:pPr>
      <w:r w:rsidRPr="00571974">
        <w:rPr>
          <w:szCs w:val="20"/>
          <w:lang w:val="en-GB"/>
        </w:rPr>
        <w:t>3.</w:t>
      </w:r>
      <w:r w:rsidRPr="00571974">
        <w:rPr>
          <w:szCs w:val="20"/>
          <w:lang w:val="en-GB"/>
        </w:rPr>
        <w:tab/>
        <w:t>deliver or cause to be delivered to the Trustee the Notes properly accepted, together with an officers</w:t>
      </w:r>
      <w:r w:rsidR="00A311D8">
        <w:rPr>
          <w:szCs w:val="20"/>
          <w:lang w:val="en-GB"/>
        </w:rPr>
        <w:t>’</w:t>
      </w:r>
      <w:r w:rsidRPr="00571974">
        <w:rPr>
          <w:szCs w:val="20"/>
          <w:lang w:val="en-GB"/>
        </w:rPr>
        <w:t xml:space="preserve"> certificate stating the aggregate principal amount of Notes being purchased by the Issuer or the </w:t>
      </w:r>
      <w:r w:rsidRPr="00571974">
        <w:rPr>
          <w:szCs w:val="20"/>
          <w:lang w:val="en-GB"/>
        </w:rPr>
        <w:lastRenderedPageBreak/>
        <w:t>Company.</w:t>
      </w:r>
    </w:p>
    <w:p w14:paraId="76E25626" w14:textId="77777777" w:rsidR="00542FF4" w:rsidRPr="00571974" w:rsidRDefault="003D4D89" w:rsidP="00542FF4">
      <w:pPr>
        <w:spacing w:after="240"/>
        <w:ind w:firstLine="720"/>
        <w:rPr>
          <w:szCs w:val="20"/>
          <w:lang w:val="en-GB"/>
        </w:rPr>
      </w:pPr>
      <w:r w:rsidRPr="00571974">
        <w:rPr>
          <w:szCs w:val="20"/>
          <w:lang w:val="en-GB"/>
        </w:rPr>
        <w:t xml:space="preserve">The Agent will promptly mail to each holder of Notes properly tendered the purchase price for the Notes, and the Trustee will promptly authenticate and mail (or cause to be transferred by book-entry) to each holder a new note equal in principal amount to any un-purchased portion of any Notes surrendered; </w:t>
      </w:r>
      <w:r w:rsidRPr="00571974">
        <w:rPr>
          <w:i/>
          <w:szCs w:val="20"/>
          <w:lang w:val="en-GB"/>
        </w:rPr>
        <w:t>provided that</w:t>
      </w:r>
      <w:r w:rsidRPr="00571974">
        <w:rPr>
          <w:szCs w:val="20"/>
          <w:lang w:val="en-GB"/>
        </w:rPr>
        <w:t xml:space="preserve"> each new note will be in a principal amount of </w:t>
      </w:r>
      <w:r w:rsidR="003E1CBD" w:rsidRPr="00571974">
        <w:rPr>
          <w:szCs w:val="20"/>
          <w:lang w:val="en-GB"/>
        </w:rPr>
        <w:t>US$</w:t>
      </w:r>
      <w:r w:rsidRPr="00571974">
        <w:rPr>
          <w:szCs w:val="20"/>
          <w:lang w:val="en-GB"/>
        </w:rPr>
        <w:t xml:space="preserve">200,000 or an integral multiple of </w:t>
      </w:r>
      <w:r w:rsidR="003E1CBD" w:rsidRPr="00571974">
        <w:rPr>
          <w:szCs w:val="20"/>
          <w:lang w:val="en-GB"/>
        </w:rPr>
        <w:t>US$</w:t>
      </w:r>
      <w:r w:rsidRPr="00571974">
        <w:rPr>
          <w:szCs w:val="20"/>
          <w:lang w:val="en-GB"/>
        </w:rPr>
        <w:t>l,000 in excess thereof.</w:t>
      </w:r>
    </w:p>
    <w:p w14:paraId="640FE54A" w14:textId="77777777" w:rsidR="00542FF4" w:rsidRPr="00571974" w:rsidRDefault="003D4D89" w:rsidP="00542FF4">
      <w:pPr>
        <w:spacing w:after="240"/>
        <w:ind w:firstLine="720"/>
        <w:rPr>
          <w:szCs w:val="20"/>
          <w:lang w:val="en-GB"/>
        </w:rPr>
      </w:pPr>
      <w:r w:rsidRPr="00571974">
        <w:rPr>
          <w:szCs w:val="20"/>
          <w:lang w:val="en-GB"/>
        </w:rPr>
        <w:t>The Issuer or the Company will not be required to make an offer to repurchase the Notes upon a Change of Control Repurchase Event if a third party makes such an offer in the manner, at the times and otherwise in compliance with the requirement for an offer made by the Issuer or the Company and such third party purchases all Notes properly tendered and not withdrawn under its offer.</w:t>
      </w:r>
    </w:p>
    <w:p w14:paraId="50DC40E4" w14:textId="77777777" w:rsidR="00542FF4" w:rsidRPr="00571974" w:rsidRDefault="003D4D89" w:rsidP="00542FF4">
      <w:pPr>
        <w:spacing w:after="240"/>
        <w:ind w:firstLine="720"/>
        <w:rPr>
          <w:szCs w:val="20"/>
          <w:lang w:val="en-GB"/>
        </w:rPr>
      </w:pPr>
      <w:r w:rsidRPr="00571974">
        <w:rPr>
          <w:szCs w:val="20"/>
          <w:lang w:val="en-GB"/>
        </w:rPr>
        <w:t>For purposes of the foregoing description of a repurchase at the option of the holders, the following definitions are applicable:</w:t>
      </w:r>
    </w:p>
    <w:p w14:paraId="2CB25215" w14:textId="45CE6E8E"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Below Investment Grade Ratings Event</w:t>
      </w:r>
      <w:r>
        <w:rPr>
          <w:szCs w:val="20"/>
          <w:lang w:val="en-GB"/>
        </w:rPr>
        <w:t>”</w:t>
      </w:r>
      <w:r w:rsidR="003D4D89" w:rsidRPr="00571974">
        <w:rPr>
          <w:szCs w:val="20"/>
          <w:lang w:val="en-GB"/>
        </w:rPr>
        <w:t xml:space="preserve"> means that the Notes cease to be rated Investment Grade by at least two of the three Rating Agencies on any date during the period commencing 60 days prior to, and ending 60 days after (which 60-day period will be extended so long as the rating of the notes is under publicly announced consideration for a possible downgrade by any Rating Agency) the earlier of (1) the occurrence of a Change of Control; or (2) public notice of the occurrence of a Change of Control or the intention of the Company to effect a Change of Control.  Notwithstanding any of the foregoing, a Below Investment Grade Ratings Event otherwise arising by virtue of a particular reduction in rating shall not be deemed to have occurred in respect of a particular Change of Control (and thus shall not be deemed a Below Investment Grade Ratings Event for purposes of the definition of Change of Control Repurchase Event hereunder) if the Rating Agencies making the reduction in rating to which this definition would otherwise apply do not announce or publicly confirm or inform the Trustee in writing at its request that the reduction was the result, in whole or in part, of any event or circumstance comprised of or arising as a result of, or in respect of, the applicable Change of Control (whether or not the applicable Change of Control shall have occurred at the time of the ratings event).</w:t>
      </w:r>
    </w:p>
    <w:p w14:paraId="5003AEA5" w14:textId="14777AB9" w:rsidR="00542FF4" w:rsidRPr="00571974" w:rsidRDefault="00A311D8" w:rsidP="00542FF4">
      <w:pPr>
        <w:keepNext/>
        <w:spacing w:after="240"/>
        <w:ind w:firstLine="720"/>
        <w:rPr>
          <w:szCs w:val="20"/>
          <w:lang w:val="en-GB"/>
        </w:rPr>
      </w:pPr>
      <w:r>
        <w:rPr>
          <w:szCs w:val="20"/>
          <w:lang w:val="en-GB"/>
        </w:rPr>
        <w:t>“</w:t>
      </w:r>
      <w:r w:rsidR="003D4D89" w:rsidRPr="00571974">
        <w:rPr>
          <w:szCs w:val="20"/>
          <w:lang w:val="en-GB"/>
        </w:rPr>
        <w:t>Change of Control</w:t>
      </w:r>
      <w:r>
        <w:rPr>
          <w:szCs w:val="20"/>
          <w:lang w:val="en-GB"/>
        </w:rPr>
        <w:t>”</w:t>
      </w:r>
      <w:r w:rsidR="003D4D89" w:rsidRPr="00571974">
        <w:rPr>
          <w:szCs w:val="20"/>
          <w:lang w:val="en-GB"/>
        </w:rPr>
        <w:t xml:space="preserve"> means the occurrence of one or more of the following:</w:t>
      </w:r>
    </w:p>
    <w:p w14:paraId="384FC091" w14:textId="3420C3BB" w:rsidR="00542FF4" w:rsidRPr="00571974" w:rsidRDefault="003D4D89" w:rsidP="00542FF4">
      <w:pPr>
        <w:tabs>
          <w:tab w:val="left" w:pos="1080"/>
        </w:tabs>
        <w:spacing w:after="240"/>
        <w:ind w:left="1080" w:hanging="360"/>
        <w:rPr>
          <w:szCs w:val="20"/>
          <w:lang w:val="en-GB"/>
        </w:rPr>
      </w:pPr>
      <w:r w:rsidRPr="00571974">
        <w:rPr>
          <w:szCs w:val="20"/>
          <w:lang w:val="en-GB"/>
        </w:rPr>
        <w:t>1.</w:t>
      </w:r>
      <w:r w:rsidRPr="00571974">
        <w:rPr>
          <w:szCs w:val="20"/>
          <w:lang w:val="en-GB"/>
        </w:rPr>
        <w:tab/>
        <w:t xml:space="preserve">the direct or indirect sale, lease, transfer, conveyance or other disposition (other than by way of consolidation, amalgamation or merger), in one or a series of related transactions, of all or substantially all of the assets of the Company and its Subsidiaries taken as a whole to any </w:t>
      </w:r>
      <w:r w:rsidR="00A311D8">
        <w:rPr>
          <w:szCs w:val="20"/>
          <w:lang w:val="en-GB"/>
        </w:rPr>
        <w:t>“</w:t>
      </w:r>
      <w:r w:rsidRPr="00571974">
        <w:rPr>
          <w:szCs w:val="20"/>
          <w:lang w:val="en-GB"/>
        </w:rPr>
        <w:t>person</w:t>
      </w:r>
      <w:r w:rsidR="00A311D8">
        <w:rPr>
          <w:szCs w:val="20"/>
          <w:lang w:val="en-GB"/>
        </w:rPr>
        <w:t>”</w:t>
      </w:r>
      <w:r w:rsidRPr="00571974">
        <w:rPr>
          <w:szCs w:val="20"/>
          <w:lang w:val="en-GB"/>
        </w:rPr>
        <w:t xml:space="preserve"> (as that term is used in Section 13(d)(3) of the Exchange Act), other than to the Company or one of its Subsidiaries;</w:t>
      </w:r>
    </w:p>
    <w:p w14:paraId="669B3F3C" w14:textId="5B3A7A26" w:rsidR="00542FF4" w:rsidRPr="00571974" w:rsidRDefault="003D4D89" w:rsidP="00542FF4">
      <w:pPr>
        <w:tabs>
          <w:tab w:val="left" w:pos="1080"/>
        </w:tabs>
        <w:spacing w:after="240"/>
        <w:ind w:left="1080" w:hanging="360"/>
        <w:rPr>
          <w:szCs w:val="20"/>
          <w:lang w:val="en-GB"/>
        </w:rPr>
      </w:pPr>
      <w:r w:rsidRPr="00571974">
        <w:rPr>
          <w:szCs w:val="20"/>
          <w:lang w:val="en-GB"/>
        </w:rPr>
        <w:t>2.</w:t>
      </w:r>
      <w:r w:rsidRPr="00571974">
        <w:rPr>
          <w:szCs w:val="20"/>
          <w:lang w:val="en-GB"/>
        </w:rPr>
        <w:tab/>
        <w:t xml:space="preserve">the consummation of any transaction (including, without limitation, any consolidation, amalgamation, or merger or other combination (including by way of a scheme of arrangement)) the result of which is that any </w:t>
      </w:r>
      <w:r w:rsidR="00A311D8">
        <w:rPr>
          <w:szCs w:val="20"/>
          <w:lang w:val="en-GB"/>
        </w:rPr>
        <w:t>“</w:t>
      </w:r>
      <w:r w:rsidRPr="00571974">
        <w:rPr>
          <w:szCs w:val="20"/>
          <w:lang w:val="en-GB"/>
        </w:rPr>
        <w:t>person</w:t>
      </w:r>
      <w:r w:rsidR="00A311D8">
        <w:rPr>
          <w:szCs w:val="20"/>
          <w:lang w:val="en-GB"/>
        </w:rPr>
        <w:t>”</w:t>
      </w:r>
      <w:r w:rsidRPr="00571974">
        <w:rPr>
          <w:szCs w:val="20"/>
          <w:lang w:val="en-GB"/>
        </w:rPr>
        <w:t xml:space="preserve"> (as that term is used in Section 13(d)(3) of the Exchange Act) becomes the beneficial owner (as defined in Rules 13d-3 and 13d-5 under the Exchange Act), directly or indirectly, of more than 50% of the outstanding Voting Stock of the Company, measured by voting power rather than number of shares;</w:t>
      </w:r>
    </w:p>
    <w:p w14:paraId="6CD5C25A" w14:textId="77777777" w:rsidR="00542FF4" w:rsidRPr="00571974" w:rsidRDefault="003D4D89" w:rsidP="00542FF4">
      <w:pPr>
        <w:tabs>
          <w:tab w:val="left" w:pos="1080"/>
        </w:tabs>
        <w:spacing w:after="240"/>
        <w:ind w:left="1080" w:hanging="360"/>
        <w:rPr>
          <w:szCs w:val="20"/>
          <w:lang w:val="en-GB"/>
        </w:rPr>
      </w:pPr>
      <w:r w:rsidRPr="00571974">
        <w:rPr>
          <w:szCs w:val="20"/>
          <w:lang w:val="en-GB"/>
        </w:rPr>
        <w:t>3.</w:t>
      </w:r>
      <w:r w:rsidRPr="00571974">
        <w:rPr>
          <w:szCs w:val="20"/>
          <w:lang w:val="en-GB"/>
        </w:rPr>
        <w:tab/>
        <w:t>the Company consolidates with, or merges with or into, any Person, or any Person consolidates with, or merges with or into, the Company, in any such event pursuant to a transaction in which any of the outstanding Voting Stock of the Company or such other Person is converted into or exchanged for cash, securities or other property, other than any such transaction where the shares of the Voting Stock of the Company outstanding immediately prior to such transaction constitute, or are converted into or exchanged for, a majority of the Voting Stock of the surviving Person immediately after giving effect to such transaction;</w:t>
      </w:r>
    </w:p>
    <w:p w14:paraId="5F8DE391" w14:textId="77777777" w:rsidR="00542FF4" w:rsidRPr="00571974" w:rsidRDefault="003D4D89" w:rsidP="00542FF4">
      <w:pPr>
        <w:tabs>
          <w:tab w:val="left" w:pos="1080"/>
        </w:tabs>
        <w:spacing w:after="240"/>
        <w:ind w:left="1080" w:hanging="360"/>
        <w:rPr>
          <w:szCs w:val="20"/>
          <w:lang w:val="en-GB"/>
        </w:rPr>
      </w:pPr>
      <w:r w:rsidRPr="00571974">
        <w:rPr>
          <w:szCs w:val="20"/>
          <w:lang w:val="en-GB"/>
        </w:rPr>
        <w:t>4.</w:t>
      </w:r>
      <w:r w:rsidRPr="00571974">
        <w:rPr>
          <w:szCs w:val="20"/>
          <w:lang w:val="en-GB"/>
        </w:rPr>
        <w:tab/>
        <w:t>the first day on which the majority of the members of the board of directors of the Company cease to be Continuing Directors; or</w:t>
      </w:r>
    </w:p>
    <w:p w14:paraId="616008AA" w14:textId="77777777" w:rsidR="00542FF4" w:rsidRPr="00571974" w:rsidRDefault="003D4D89" w:rsidP="00542FF4">
      <w:pPr>
        <w:tabs>
          <w:tab w:val="left" w:pos="1080"/>
        </w:tabs>
        <w:spacing w:after="240"/>
        <w:ind w:left="1080" w:hanging="360"/>
        <w:rPr>
          <w:szCs w:val="20"/>
          <w:lang w:val="en-GB"/>
        </w:rPr>
      </w:pPr>
      <w:r w:rsidRPr="00571974">
        <w:rPr>
          <w:szCs w:val="20"/>
          <w:lang w:val="en-GB"/>
        </w:rPr>
        <w:t>5.</w:t>
      </w:r>
      <w:r w:rsidRPr="00571974">
        <w:rPr>
          <w:szCs w:val="20"/>
          <w:lang w:val="en-GB"/>
        </w:rPr>
        <w:tab/>
        <w:t>the adoption of a plan relating to the liquidation, winding up or dissolution of the Company.</w:t>
      </w:r>
    </w:p>
    <w:p w14:paraId="3C395D8A" w14:textId="203399CE" w:rsidR="00542FF4" w:rsidRPr="00571974" w:rsidRDefault="003D4D89" w:rsidP="00542FF4">
      <w:pPr>
        <w:spacing w:after="240"/>
        <w:ind w:left="720"/>
        <w:rPr>
          <w:szCs w:val="20"/>
          <w:lang w:val="en-GB"/>
        </w:rPr>
      </w:pPr>
      <w:r w:rsidRPr="00571974">
        <w:rPr>
          <w:szCs w:val="20"/>
          <w:lang w:val="en-GB"/>
        </w:rPr>
        <w:t xml:space="preserve">Notwithstanding the foregoing, a transaction will not be deemed to involve a change of control for the purposes of this definition only if (1) the Company becomes a direct or indirect wholly owned subsidiary of a holding company and (2)(A) the direct or indirect holders of the Voting Stock of such holding company </w:t>
      </w:r>
      <w:r w:rsidRPr="00571974">
        <w:rPr>
          <w:szCs w:val="20"/>
          <w:lang w:val="en-GB"/>
        </w:rPr>
        <w:lastRenderedPageBreak/>
        <w:t>immediately following that transaction are substantially the same as the holders of the Company</w:t>
      </w:r>
      <w:r w:rsidR="00A311D8">
        <w:rPr>
          <w:szCs w:val="20"/>
          <w:lang w:val="en-GB"/>
        </w:rPr>
        <w:t>’</w:t>
      </w:r>
      <w:r w:rsidRPr="00571974">
        <w:rPr>
          <w:szCs w:val="20"/>
          <w:lang w:val="en-GB"/>
        </w:rPr>
        <w:t>s Voting Stock immediately prior to that transaction or (B) immediately following that transaction no person (other than a holding company satisfying the requirements of this sentence) is the beneficial owner, directly or indirectly, of more than 50% of the Voting Stock of such holding company.</w:t>
      </w:r>
    </w:p>
    <w:p w14:paraId="7FC653AA" w14:textId="2A2CC2EC"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Change of Control Repurchase Event</w:t>
      </w:r>
      <w:r>
        <w:rPr>
          <w:szCs w:val="20"/>
          <w:lang w:val="en-GB"/>
        </w:rPr>
        <w:t>”</w:t>
      </w:r>
      <w:r w:rsidR="003D4D89" w:rsidRPr="00571974">
        <w:rPr>
          <w:szCs w:val="20"/>
          <w:lang w:val="en-GB"/>
        </w:rPr>
        <w:t xml:space="preserve"> means the occurrence of both a Change of Control and a Below Investment Grade Ratings Event.</w:t>
      </w:r>
    </w:p>
    <w:p w14:paraId="7684AD78" w14:textId="27FEA073"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Continuing Director</w:t>
      </w:r>
      <w:r>
        <w:rPr>
          <w:szCs w:val="20"/>
          <w:lang w:val="en-GB"/>
        </w:rPr>
        <w:t>”</w:t>
      </w:r>
      <w:r w:rsidR="003D4D89" w:rsidRPr="00571974">
        <w:rPr>
          <w:szCs w:val="20"/>
          <w:lang w:val="en-GB"/>
        </w:rPr>
        <w:t xml:space="preserve"> means, as of any date of determination, any member of the board of directors of the Company who:</w:t>
      </w:r>
    </w:p>
    <w:p w14:paraId="5AFFD997" w14:textId="77777777" w:rsidR="00542FF4" w:rsidRPr="00571974" w:rsidRDefault="003D4D89" w:rsidP="00542FF4">
      <w:pPr>
        <w:tabs>
          <w:tab w:val="left" w:pos="1080"/>
        </w:tabs>
        <w:spacing w:after="240"/>
        <w:ind w:left="1080" w:hanging="360"/>
        <w:rPr>
          <w:szCs w:val="20"/>
          <w:lang w:val="en-GB"/>
        </w:rPr>
      </w:pPr>
      <w:r w:rsidRPr="00571974">
        <w:rPr>
          <w:szCs w:val="20"/>
          <w:lang w:val="en-GB"/>
        </w:rPr>
        <w:t>1.</w:t>
      </w:r>
      <w:r w:rsidRPr="00571974">
        <w:rPr>
          <w:szCs w:val="20"/>
          <w:lang w:val="en-GB"/>
        </w:rPr>
        <w:tab/>
        <w:t>was a member of such board of directors on the date of the Indenture; or</w:t>
      </w:r>
    </w:p>
    <w:p w14:paraId="244B5F95" w14:textId="77777777" w:rsidR="00542FF4" w:rsidRPr="00571974" w:rsidRDefault="003D4D89" w:rsidP="00542FF4">
      <w:pPr>
        <w:tabs>
          <w:tab w:val="left" w:pos="1080"/>
        </w:tabs>
        <w:spacing w:after="240"/>
        <w:ind w:left="1080" w:hanging="360"/>
        <w:rPr>
          <w:szCs w:val="20"/>
          <w:lang w:val="en-GB"/>
        </w:rPr>
      </w:pPr>
      <w:r w:rsidRPr="00571974">
        <w:rPr>
          <w:szCs w:val="20"/>
          <w:lang w:val="en-GB"/>
        </w:rPr>
        <w:t>2.</w:t>
      </w:r>
      <w:r w:rsidRPr="00571974">
        <w:rPr>
          <w:szCs w:val="20"/>
          <w:lang w:val="en-GB"/>
        </w:rPr>
        <w:tab/>
        <w:t>was nominated for election or elected to such board of directors with the approval of a majority of the Continuing Directors who were members of such board of directors at the time of such nomination or election.</w:t>
      </w:r>
    </w:p>
    <w:p w14:paraId="7A9E95EA" w14:textId="10578E11"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Exchange Act</w:t>
      </w:r>
      <w:r>
        <w:rPr>
          <w:szCs w:val="20"/>
          <w:lang w:val="en-GB"/>
        </w:rPr>
        <w:t>”</w:t>
      </w:r>
      <w:r w:rsidR="003D4D89" w:rsidRPr="00571974">
        <w:rPr>
          <w:szCs w:val="20"/>
          <w:lang w:val="en-GB"/>
        </w:rPr>
        <w:t xml:space="preserve"> means the United States Securities Exchange Act of 1934, as amended.</w:t>
      </w:r>
    </w:p>
    <w:p w14:paraId="30EA3A74" w14:textId="57850EDE"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Fitch</w:t>
      </w:r>
      <w:r>
        <w:rPr>
          <w:szCs w:val="20"/>
          <w:lang w:val="en-GB"/>
        </w:rPr>
        <w:t>”</w:t>
      </w:r>
      <w:r w:rsidR="003D4D89" w:rsidRPr="00571974">
        <w:rPr>
          <w:szCs w:val="20"/>
          <w:lang w:val="en-GB"/>
        </w:rPr>
        <w:t xml:space="preserve"> means Fitch, Inc., a subsidiary of Fimalac, S.A., and its successors.</w:t>
      </w:r>
    </w:p>
    <w:p w14:paraId="24D14524" w14:textId="10BD396B"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Investment Grade</w:t>
      </w:r>
      <w:r>
        <w:rPr>
          <w:szCs w:val="20"/>
          <w:lang w:val="en-GB"/>
        </w:rPr>
        <w:t>”</w:t>
      </w:r>
      <w:r w:rsidR="003D4D89" w:rsidRPr="00571974">
        <w:rPr>
          <w:szCs w:val="20"/>
          <w:lang w:val="en-GB"/>
        </w:rPr>
        <w:t xml:space="preserve"> means a rating of Baa3 or better by Moody</w:t>
      </w:r>
      <w:r>
        <w:rPr>
          <w:szCs w:val="20"/>
          <w:lang w:val="en-GB"/>
        </w:rPr>
        <w:t>’</w:t>
      </w:r>
      <w:r w:rsidR="003D4D89" w:rsidRPr="00571974">
        <w:rPr>
          <w:szCs w:val="20"/>
          <w:lang w:val="en-GB"/>
        </w:rPr>
        <w:t>s (or its equivalent under any successor rating categories of Moody</w:t>
      </w:r>
      <w:r>
        <w:rPr>
          <w:szCs w:val="20"/>
          <w:lang w:val="en-GB"/>
        </w:rPr>
        <w:t>’</w:t>
      </w:r>
      <w:r w:rsidR="003D4D89" w:rsidRPr="00571974">
        <w:rPr>
          <w:szCs w:val="20"/>
          <w:lang w:val="en-GB"/>
        </w:rPr>
        <w:t>s); a rating of BBB- or better by S&amp;P or Fitch (or its equivalent under any successor rating categories of S&amp;P and Fitch); or the equivalent Investment Grade credit rating from any additional Rating Agency or Rating Agencies selected by the Issuer or the Company.</w:t>
      </w:r>
    </w:p>
    <w:p w14:paraId="0B56371F" w14:textId="3519AAF7"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Moody</w:t>
      </w:r>
      <w:r>
        <w:rPr>
          <w:szCs w:val="20"/>
          <w:lang w:val="en-GB"/>
        </w:rPr>
        <w:t>’</w:t>
      </w:r>
      <w:r w:rsidR="003D4D89" w:rsidRPr="00571974">
        <w:rPr>
          <w:szCs w:val="20"/>
          <w:lang w:val="en-GB"/>
        </w:rPr>
        <w:t>s</w:t>
      </w:r>
      <w:r>
        <w:rPr>
          <w:szCs w:val="20"/>
          <w:lang w:val="en-GB"/>
        </w:rPr>
        <w:t>”</w:t>
      </w:r>
      <w:r w:rsidR="003D4D89" w:rsidRPr="00571974">
        <w:rPr>
          <w:szCs w:val="20"/>
          <w:lang w:val="en-GB"/>
        </w:rPr>
        <w:t xml:space="preserve"> means Moody</w:t>
      </w:r>
      <w:r>
        <w:rPr>
          <w:szCs w:val="20"/>
          <w:lang w:val="en-GB"/>
        </w:rPr>
        <w:t>’</w:t>
      </w:r>
      <w:r w:rsidR="003D4D89" w:rsidRPr="00571974">
        <w:rPr>
          <w:szCs w:val="20"/>
          <w:lang w:val="en-GB"/>
        </w:rPr>
        <w:t>s Investor Services Ltd.</w:t>
      </w:r>
    </w:p>
    <w:p w14:paraId="058D46DB" w14:textId="6A095466"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Person</w:t>
      </w:r>
      <w:r>
        <w:rPr>
          <w:szCs w:val="20"/>
          <w:lang w:val="en-GB"/>
        </w:rPr>
        <w:t>”</w:t>
      </w:r>
      <w:r w:rsidR="003D4D89" w:rsidRPr="00571974">
        <w:rPr>
          <w:szCs w:val="20"/>
          <w:lang w:val="en-GB"/>
        </w:rPr>
        <w:t xml:space="preserve"> means any individual, corporation, partnership, joint venture, association, limited liability company, joint stock company, trust, unincorporated organization or government or any agency or political subdivision thereof.</w:t>
      </w:r>
    </w:p>
    <w:p w14:paraId="17E3E194" w14:textId="0A5666BE"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Rating Agency</w:t>
      </w:r>
      <w:r>
        <w:rPr>
          <w:szCs w:val="20"/>
          <w:lang w:val="en-GB"/>
        </w:rPr>
        <w:t>”</w:t>
      </w:r>
      <w:r w:rsidR="003D4D89" w:rsidRPr="00571974">
        <w:rPr>
          <w:szCs w:val="20"/>
          <w:lang w:val="en-GB"/>
        </w:rPr>
        <w:t xml:space="preserve"> means each of Moody</w:t>
      </w:r>
      <w:r>
        <w:rPr>
          <w:szCs w:val="20"/>
          <w:lang w:val="en-GB"/>
        </w:rPr>
        <w:t>’</w:t>
      </w:r>
      <w:r w:rsidR="003D4D89" w:rsidRPr="00571974">
        <w:rPr>
          <w:szCs w:val="20"/>
          <w:lang w:val="en-GB"/>
        </w:rPr>
        <w:t xml:space="preserve">s, S&amp;P and Fitch; </w:t>
      </w:r>
      <w:r w:rsidR="003D4D89" w:rsidRPr="00571974">
        <w:rPr>
          <w:i/>
          <w:szCs w:val="20"/>
          <w:lang w:val="en-GB"/>
        </w:rPr>
        <w:t>provided that</w:t>
      </w:r>
      <w:r w:rsidR="003D4D89" w:rsidRPr="00571974">
        <w:rPr>
          <w:szCs w:val="20"/>
          <w:lang w:val="en-GB"/>
        </w:rPr>
        <w:t xml:space="preserve"> if any of Moody</w:t>
      </w:r>
      <w:r>
        <w:rPr>
          <w:szCs w:val="20"/>
          <w:lang w:val="en-GB"/>
        </w:rPr>
        <w:t>’</w:t>
      </w:r>
      <w:r w:rsidR="003D4D89" w:rsidRPr="00571974">
        <w:rPr>
          <w:szCs w:val="20"/>
          <w:lang w:val="en-GB"/>
        </w:rPr>
        <w:t>s, S&amp;P or Fitch ceases to rate the Notes or fails to make a rating of the Notes publicly available for reasons outside of the Issuer</w:t>
      </w:r>
      <w:r>
        <w:rPr>
          <w:szCs w:val="20"/>
          <w:lang w:val="en-GB"/>
        </w:rPr>
        <w:t>’</w:t>
      </w:r>
      <w:r w:rsidR="003D4D89" w:rsidRPr="00571974">
        <w:rPr>
          <w:szCs w:val="20"/>
          <w:lang w:val="en-GB"/>
        </w:rPr>
        <w:t>s or the Company</w:t>
      </w:r>
      <w:r>
        <w:rPr>
          <w:szCs w:val="20"/>
          <w:lang w:val="en-GB"/>
        </w:rPr>
        <w:t>’</w:t>
      </w:r>
      <w:r w:rsidR="003D4D89" w:rsidRPr="00571974">
        <w:rPr>
          <w:szCs w:val="20"/>
          <w:lang w:val="en-GB"/>
        </w:rPr>
        <w:t xml:space="preserve">s control, a </w:t>
      </w:r>
      <w:r>
        <w:rPr>
          <w:szCs w:val="20"/>
          <w:lang w:val="en-GB"/>
        </w:rPr>
        <w:t>“</w:t>
      </w:r>
      <w:r w:rsidR="003D4D89" w:rsidRPr="00571974">
        <w:rPr>
          <w:szCs w:val="20"/>
          <w:lang w:val="en-GB"/>
        </w:rPr>
        <w:t>nationally recognized statistical rating organization</w:t>
      </w:r>
      <w:r>
        <w:rPr>
          <w:szCs w:val="20"/>
          <w:lang w:val="en-GB"/>
        </w:rPr>
        <w:t>”</w:t>
      </w:r>
      <w:r w:rsidR="003D4D89" w:rsidRPr="00571974">
        <w:rPr>
          <w:szCs w:val="20"/>
          <w:lang w:val="en-GB"/>
        </w:rPr>
        <w:t xml:space="preserve"> within the meaning of Section 3(a)(62) of the Exchange Act, selected by the Issuer or the Company (as certified by a resolution of the Chief Executive Officer or Chief Financial Officer) as a replacement agency for Moody</w:t>
      </w:r>
      <w:r>
        <w:rPr>
          <w:szCs w:val="20"/>
          <w:lang w:val="en-GB"/>
        </w:rPr>
        <w:t>’</w:t>
      </w:r>
      <w:r w:rsidR="003D4D89" w:rsidRPr="00571974">
        <w:rPr>
          <w:szCs w:val="20"/>
          <w:lang w:val="en-GB"/>
        </w:rPr>
        <w:t>s, S&amp;P or Fitch, or all of them, as the case may be.</w:t>
      </w:r>
    </w:p>
    <w:p w14:paraId="1C51B014" w14:textId="20B8E011"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S&amp;P</w:t>
      </w:r>
      <w:r>
        <w:rPr>
          <w:szCs w:val="20"/>
          <w:lang w:val="en-GB"/>
        </w:rPr>
        <w:t>”</w:t>
      </w:r>
      <w:r w:rsidR="003D4D89" w:rsidRPr="00571974">
        <w:rPr>
          <w:szCs w:val="20"/>
          <w:lang w:val="en-GB"/>
        </w:rPr>
        <w:t xml:space="preserve"> means Standard &amp; Poor</w:t>
      </w:r>
      <w:r>
        <w:rPr>
          <w:szCs w:val="20"/>
          <w:lang w:val="en-GB"/>
        </w:rPr>
        <w:t>’</w:t>
      </w:r>
      <w:r w:rsidR="003D4D89" w:rsidRPr="00571974">
        <w:rPr>
          <w:szCs w:val="20"/>
          <w:lang w:val="en-GB"/>
        </w:rPr>
        <w:t>s Credit Market Services Europe Limited.</w:t>
      </w:r>
    </w:p>
    <w:p w14:paraId="04DCA36B" w14:textId="18642035"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Subsidiary</w:t>
      </w:r>
      <w:r>
        <w:rPr>
          <w:szCs w:val="20"/>
          <w:lang w:val="en-GB"/>
        </w:rPr>
        <w:t>”</w:t>
      </w:r>
      <w:r w:rsidR="003D4D89" w:rsidRPr="00571974">
        <w:rPr>
          <w:szCs w:val="20"/>
          <w:lang w:val="en-GB"/>
        </w:rPr>
        <w:t xml:space="preserve"> means, at any relevant time, any person of which the voting shares or other interests carrying more than 50% of the outstanding voting rights attached to all outstanding voting shares or other interests are owned, directly or indirectly, by or for the Company and/or one or more subsidiaries of the Company.</w:t>
      </w:r>
    </w:p>
    <w:p w14:paraId="1F760389" w14:textId="7A901B81" w:rsidR="00542FF4" w:rsidRPr="00571974" w:rsidRDefault="00A311D8" w:rsidP="00542FF4">
      <w:pPr>
        <w:spacing w:after="240"/>
        <w:ind w:firstLine="720"/>
        <w:rPr>
          <w:szCs w:val="20"/>
          <w:lang w:val="en-GB"/>
        </w:rPr>
      </w:pPr>
      <w:r>
        <w:rPr>
          <w:szCs w:val="20"/>
          <w:lang w:val="en-GB"/>
        </w:rPr>
        <w:t>“</w:t>
      </w:r>
      <w:r w:rsidR="003D4D89" w:rsidRPr="00571974">
        <w:rPr>
          <w:szCs w:val="20"/>
          <w:lang w:val="en-GB"/>
        </w:rPr>
        <w:t>Voting Stock</w:t>
      </w:r>
      <w:r>
        <w:rPr>
          <w:szCs w:val="20"/>
          <w:lang w:val="en-GB"/>
        </w:rPr>
        <w:t>”</w:t>
      </w:r>
      <w:r w:rsidR="003D4D89" w:rsidRPr="00571974">
        <w:rPr>
          <w:szCs w:val="20"/>
          <w:lang w:val="en-GB"/>
        </w:rPr>
        <w:t xml:space="preserve"> of any specified </w:t>
      </w:r>
      <w:r>
        <w:rPr>
          <w:szCs w:val="20"/>
          <w:lang w:val="en-GB"/>
        </w:rPr>
        <w:t>“</w:t>
      </w:r>
      <w:r w:rsidR="003D4D89" w:rsidRPr="00571974">
        <w:rPr>
          <w:szCs w:val="20"/>
          <w:lang w:val="en-GB"/>
        </w:rPr>
        <w:t>person</w:t>
      </w:r>
      <w:r>
        <w:rPr>
          <w:szCs w:val="20"/>
          <w:lang w:val="en-GB"/>
        </w:rPr>
        <w:t>”</w:t>
      </w:r>
      <w:r w:rsidR="003D4D89" w:rsidRPr="00571974">
        <w:rPr>
          <w:szCs w:val="20"/>
          <w:lang w:val="en-GB"/>
        </w:rPr>
        <w:t xml:space="preserve"> (as that term is used in Section 13(d)(3) of the Exchange Act) as of any date means the capital stock of such person that is at the time entitled to vote generally in the election of the board of directors of such person.</w:t>
      </w:r>
    </w:p>
    <w:p w14:paraId="0D725313" w14:textId="55C9BCDC" w:rsidR="00542FF4" w:rsidRPr="00571974" w:rsidRDefault="00FA6858" w:rsidP="00542FF4">
      <w:pPr>
        <w:pStyle w:val="BodyText"/>
        <w:widowControl/>
        <w:autoSpaceDE/>
        <w:autoSpaceDN/>
        <w:adjustRightInd/>
        <w:ind w:firstLine="360"/>
        <w:rPr>
          <w:lang w:val="en-GB"/>
        </w:rPr>
      </w:pPr>
      <w:r w:rsidRPr="00571974">
        <w:rPr>
          <w:noProof/>
          <w:lang w:val="en-GB" w:eastAsia="en-GB" w:bidi="ar-SA"/>
        </w:rPr>
        <mc:AlternateContent>
          <mc:Choice Requires="wps">
            <w:drawing>
              <wp:anchor distT="0" distB="0" distL="114300" distR="114300" simplePos="0" relativeHeight="251673600" behindDoc="0" locked="0" layoutInCell="1" allowOverlap="1" wp14:anchorId="73C0F7A1" wp14:editId="142E8B40">
                <wp:simplePos x="0" y="0"/>
                <wp:positionH relativeFrom="column">
                  <wp:posOffset>6225540</wp:posOffset>
                </wp:positionH>
                <wp:positionV relativeFrom="paragraph">
                  <wp:posOffset>4352290</wp:posOffset>
                </wp:positionV>
                <wp:extent cx="670560" cy="392430"/>
                <wp:effectExtent l="0" t="0" r="15240" b="266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92430"/>
                        </a:xfrm>
                        <a:prstGeom prst="rect">
                          <a:avLst/>
                        </a:prstGeom>
                        <a:solidFill>
                          <a:srgbClr val="FFFFFF"/>
                        </a:solidFill>
                        <a:ln w="9525">
                          <a:solidFill>
                            <a:srgbClr val="000000"/>
                          </a:solidFill>
                          <a:miter lim="800000"/>
                          <a:headEnd/>
                          <a:tailEnd/>
                        </a:ln>
                      </wps:spPr>
                      <wps:txbx>
                        <w:txbxContent>
                          <w:p w14:paraId="06D32415" w14:textId="37305CA9" w:rsidR="00AE0CB4" w:rsidRDefault="00AE0CB4" w:rsidP="007A4A29">
                            <w:r>
                              <w:t>3.4.7</w:t>
                            </w:r>
                          </w:p>
                          <w:p w14:paraId="6D1BE396" w14:textId="687179D4" w:rsidR="00AE0CB4" w:rsidRDefault="00AE0CB4" w:rsidP="007A4A29">
                            <w:r>
                              <w:t>3.4.11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C0F7A1" id="_x0000_t202" coordsize="21600,21600" o:spt="202" path="m,l,21600r21600,l21600,xe">
                <v:stroke joinstyle="miter"/>
                <v:path gradientshapeok="t" o:connecttype="rect"/>
              </v:shapetype>
              <v:shape id="Text Box 2" o:spid="_x0000_s1029" type="#_x0000_t202" style="position:absolute;left:0;text-align:left;margin-left:490.2pt;margin-top:342.7pt;width:52.8pt;height:30.9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">
                <v:textbox style="mso-fit-shape-to-text:t">
                  <w:txbxContent>
                    <w:p w14:paraId="06D32415" w14:textId="37305CA9" w:rsidR="00AE0CB4" w:rsidRDefault="00AE0CB4" w:rsidP="007A4A29">
                      <w:r>
                        <w:t>3.4.7</w:t>
                      </w:r>
                    </w:p>
                    <w:p w14:paraId="6D1BE396" w14:textId="687179D4" w:rsidR="00AE0CB4" w:rsidRDefault="00AE0CB4" w:rsidP="007A4A29">
                      <w:r>
                        <w:t>3.4.11</w:t>
                      </w:r>
                    </w:p>
                  </w:txbxContent>
                </v:textbox>
              </v:shape>
            </w:pict>
          </mc:Fallback>
        </mc:AlternateContent>
      </w:r>
      <w:r w:rsidR="003D4D89" w:rsidRPr="00571974">
        <w:rPr>
          <w:lang w:val="en-GB"/>
        </w:rPr>
        <w:t xml:space="preserve">The Change of Control Repurchase Event feature of the Notes may in certain circumstances make more difficult or discourage a sale or takeover of the Company and, thus, the removal of incumbent management. Subject to the limitations discussed below, the Issuer or the Company could, in the future, enter into certain transactions, including acquisitions, </w:t>
      </w:r>
      <w:r w:rsidR="00C14736" w:rsidRPr="00571974">
        <w:rPr>
          <w:lang w:val="en-GB"/>
        </w:rPr>
        <w:t>refinancing</w:t>
      </w:r>
      <w:r w:rsidR="00E5749D" w:rsidRPr="00571974">
        <w:rPr>
          <w:lang w:val="en-GB"/>
        </w:rPr>
        <w:t>s</w:t>
      </w:r>
      <w:r w:rsidR="003D4D89" w:rsidRPr="00571974">
        <w:rPr>
          <w:lang w:val="en-GB"/>
        </w:rPr>
        <w:t xml:space="preserve"> or other recapitalizations, that would not constitute a Change of Control under the Notes, but that could increase the amount of indebtedness outstanding at such time or otherwise affect the Issuer</w:t>
      </w:r>
      <w:r w:rsidR="00A311D8">
        <w:rPr>
          <w:lang w:val="en-GB"/>
        </w:rPr>
        <w:t>’</w:t>
      </w:r>
      <w:r w:rsidR="003D4D89" w:rsidRPr="00571974">
        <w:rPr>
          <w:lang w:val="en-GB"/>
        </w:rPr>
        <w:t>s or the Company</w:t>
      </w:r>
      <w:r w:rsidR="00A311D8">
        <w:rPr>
          <w:lang w:val="en-GB"/>
        </w:rPr>
        <w:t>’</w:t>
      </w:r>
      <w:r w:rsidR="003D4D89" w:rsidRPr="00571974">
        <w:rPr>
          <w:lang w:val="en-GB"/>
        </w:rPr>
        <w:t>s capital structure or credit ratings on the Notes.</w:t>
      </w:r>
    </w:p>
    <w:p w14:paraId="75E9AB22" w14:textId="524C579B" w:rsidR="00542FF4" w:rsidRPr="00571974" w:rsidRDefault="00F7022D" w:rsidP="00542FF4">
      <w:pPr>
        <w:pStyle w:val="BodyText"/>
        <w:widowControl/>
        <w:autoSpaceDE/>
        <w:autoSpaceDN/>
        <w:adjustRightInd/>
        <w:ind w:firstLine="360"/>
        <w:rPr>
          <w:lang w:val="en-GB"/>
        </w:rPr>
      </w:pPr>
      <w:r w:rsidRPr="00571974">
        <w:rPr>
          <w:lang w:val="en-GB"/>
        </w:rPr>
        <w:t>The Issuer or the Company may not have sufficient funds to repurchase all the Notes, or any other outstanding debt securities that the Issuer or the Company would be required to repurchase, upon a Change of Control Repurchase Event.</w:t>
      </w:r>
    </w:p>
    <w:p w14:paraId="20573023" w14:textId="77777777" w:rsidR="00542FF4" w:rsidRPr="00571974" w:rsidRDefault="003D4D89" w:rsidP="00542FF4">
      <w:pPr>
        <w:pStyle w:val="Heading2"/>
        <w:rPr>
          <w:lang w:val="en-GB"/>
        </w:rPr>
      </w:pPr>
      <w:r w:rsidRPr="00571974">
        <w:rPr>
          <w:lang w:val="en-GB"/>
        </w:rPr>
        <w:lastRenderedPageBreak/>
        <w:t>Events of Default</w:t>
      </w:r>
    </w:p>
    <w:p w14:paraId="4BDE8110" w14:textId="4A3391D8" w:rsidR="00542FF4" w:rsidRPr="00571974" w:rsidRDefault="000F212B" w:rsidP="00542FF4">
      <w:pPr>
        <w:pStyle w:val="BodyText"/>
        <w:widowControl/>
        <w:autoSpaceDE/>
        <w:autoSpaceDN/>
        <w:adjustRightInd/>
        <w:ind w:firstLine="360"/>
        <w:rPr>
          <w:lang w:val="en-GB"/>
        </w:rPr>
      </w:pPr>
      <w:r>
        <w:rPr>
          <w:lang w:val="en-GB"/>
        </w:rPr>
        <w:t>Each series of the Notes</w:t>
      </w:r>
      <w:r w:rsidR="003D4D89" w:rsidRPr="00571974">
        <w:rPr>
          <w:lang w:val="en-GB"/>
        </w:rPr>
        <w:t xml:space="preserve"> </w:t>
      </w:r>
      <w:r>
        <w:rPr>
          <w:lang w:val="en-GB"/>
        </w:rPr>
        <w:t xml:space="preserve">will contain the </w:t>
      </w:r>
      <w:r w:rsidR="003D4D89" w:rsidRPr="00571974">
        <w:rPr>
          <w:lang w:val="en-GB"/>
        </w:rPr>
        <w:t xml:space="preserve">following Events of Default (each an </w:t>
      </w:r>
      <w:r w:rsidR="00A311D8">
        <w:rPr>
          <w:lang w:val="en-GB"/>
        </w:rPr>
        <w:t>“</w:t>
      </w:r>
      <w:r w:rsidR="003D4D89" w:rsidRPr="00571974">
        <w:rPr>
          <w:lang w:val="en-GB"/>
        </w:rPr>
        <w:t>Event of Default</w:t>
      </w:r>
      <w:r w:rsidR="00A311D8">
        <w:rPr>
          <w:lang w:val="en-GB"/>
        </w:rPr>
        <w:t>”</w:t>
      </w:r>
      <w:r w:rsidR="003D4D89" w:rsidRPr="00571974">
        <w:rPr>
          <w:lang w:val="en-GB"/>
        </w:rPr>
        <w:t xml:space="preserve">) with respect to </w:t>
      </w:r>
      <w:r w:rsidR="009700FE">
        <w:rPr>
          <w:lang w:val="en-GB"/>
        </w:rPr>
        <w:t>such</w:t>
      </w:r>
      <w:r w:rsidR="00A62FBD">
        <w:rPr>
          <w:lang w:val="en-GB"/>
        </w:rPr>
        <w:t xml:space="preserve"> </w:t>
      </w:r>
      <w:r w:rsidR="003D4D89" w:rsidRPr="00571974">
        <w:rPr>
          <w:lang w:val="en-GB"/>
        </w:rPr>
        <w:t>Notes:</w:t>
      </w:r>
      <w:r w:rsidR="007A4A29" w:rsidRPr="00571974">
        <w:rPr>
          <w:noProof/>
          <w:lang w:val="en-GB"/>
        </w:rPr>
        <w:t xml:space="preserve"> </w:t>
      </w:r>
    </w:p>
    <w:p w14:paraId="320A0E31" w14:textId="77EACDD4"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(i)</w:t>
      </w:r>
      <w:r w:rsidRPr="00571974">
        <w:rPr>
          <w:lang w:val="en-GB"/>
        </w:rPr>
        <w:tab/>
        <w:t>default in the payment of any installment of interest (excluding Additional Amounts) upon any</w:t>
      </w:r>
      <w:r w:rsidR="00A62FBD">
        <w:rPr>
          <w:lang w:val="en-GB"/>
        </w:rPr>
        <w:t xml:space="preserve"> </w:t>
      </w:r>
      <w:r w:rsidR="000F212B">
        <w:rPr>
          <w:lang w:val="en-GB"/>
        </w:rPr>
        <w:t>such</w:t>
      </w:r>
      <w:r w:rsidRPr="00571974">
        <w:rPr>
          <w:lang w:val="en-GB"/>
        </w:rPr>
        <w:t xml:space="preserve"> Note as and when the same shall become due and payable, and continuance of such default for 30 days; or</w:t>
      </w:r>
    </w:p>
    <w:p w14:paraId="46CF3D4D" w14:textId="77777777"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(ii)</w:t>
      </w:r>
      <w:r w:rsidRPr="00571974">
        <w:rPr>
          <w:lang w:val="en-GB"/>
        </w:rPr>
        <w:tab/>
        <w:t>default in the payment of the applicable Additional Amounts as and when the same shall become due and payable, and continuance of such default for a period of 30 days; or</w:t>
      </w:r>
    </w:p>
    <w:p w14:paraId="176F821A" w14:textId="54BE9EB6"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(iii)</w:t>
      </w:r>
      <w:r w:rsidRPr="00571974">
        <w:rPr>
          <w:lang w:val="en-GB"/>
        </w:rPr>
        <w:tab/>
        <w:t>default in the payment of all or any part of the principal of or premium on any</w:t>
      </w:r>
      <w:r w:rsidR="00A62FBD" w:rsidRPr="00A62FBD">
        <w:rPr>
          <w:lang w:val="en-GB"/>
        </w:rPr>
        <w:t xml:space="preserve"> </w:t>
      </w:r>
      <w:r w:rsidR="000F212B">
        <w:rPr>
          <w:lang w:val="en-GB"/>
        </w:rPr>
        <w:t>such</w:t>
      </w:r>
      <w:r w:rsidRPr="00571974">
        <w:rPr>
          <w:lang w:val="en-GB"/>
        </w:rPr>
        <w:t xml:space="preserve"> Note as and when the same shall become due and payable either at maturity, upon any redemption, by declaration or otherwise; or</w:t>
      </w:r>
    </w:p>
    <w:p w14:paraId="2BDECBBB" w14:textId="782B6A32"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(iv)</w:t>
      </w:r>
      <w:r w:rsidRPr="00571974">
        <w:rPr>
          <w:lang w:val="en-GB"/>
        </w:rPr>
        <w:tab/>
        <w:t xml:space="preserve">default in the performance or breach of any covenant of the Issuer or the Company in respect of </w:t>
      </w:r>
      <w:r w:rsidR="000F212B">
        <w:rPr>
          <w:lang w:val="en-GB"/>
        </w:rPr>
        <w:t>such</w:t>
      </w:r>
      <w:r w:rsidR="00A62FBD">
        <w:rPr>
          <w:lang w:val="en-GB"/>
        </w:rPr>
        <w:t xml:space="preserve"> </w:t>
      </w:r>
      <w:r w:rsidRPr="00571974">
        <w:rPr>
          <w:lang w:val="en-GB"/>
        </w:rPr>
        <w:t xml:space="preserve">Notes or the Indenture (other than those described in paragraphs (i), (ii) and (iii) above), and continuance of such default or breach for a period of 90 days after there has been given a written notice, by registered or certified mail, to the Issuer and the Company by the Trustee or to the Issuer, the Company and the Trustee by the Holders of at least 25% in principal amount of the outstanding Notes affected thereby, specifying such default or breach and requiring it to be remedied and stating that such notice is a </w:t>
      </w:r>
      <w:r w:rsidR="00A311D8">
        <w:rPr>
          <w:lang w:val="en-GB"/>
        </w:rPr>
        <w:t>“</w:t>
      </w:r>
      <w:r w:rsidRPr="00571974">
        <w:rPr>
          <w:lang w:val="en-GB"/>
        </w:rPr>
        <w:t>Notice of Default</w:t>
      </w:r>
      <w:r w:rsidR="00A311D8">
        <w:rPr>
          <w:lang w:val="en-GB"/>
        </w:rPr>
        <w:t>”</w:t>
      </w:r>
      <w:r w:rsidRPr="00571974">
        <w:rPr>
          <w:lang w:val="en-GB"/>
        </w:rPr>
        <w:t xml:space="preserve"> under the Indenture; or</w:t>
      </w:r>
    </w:p>
    <w:p w14:paraId="1D3A85D3" w14:textId="1A90E506"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(v)</w:t>
      </w:r>
      <w:r w:rsidRPr="00571974">
        <w:rPr>
          <w:lang w:val="en-GB"/>
        </w:rPr>
        <w:tab/>
        <w:t xml:space="preserve">(a) any present or future indebtedness of the Issuer, the Company or any Significant Subsidiary, other than </w:t>
      </w:r>
      <w:r w:rsidR="000F212B">
        <w:rPr>
          <w:lang w:val="en-GB"/>
        </w:rPr>
        <w:t>such</w:t>
      </w:r>
      <w:r w:rsidR="00A62FBD">
        <w:rPr>
          <w:lang w:val="en-GB"/>
        </w:rPr>
        <w:t xml:space="preserve"> </w:t>
      </w:r>
      <w:r w:rsidRPr="00571974">
        <w:rPr>
          <w:lang w:val="en-GB"/>
        </w:rPr>
        <w:t xml:space="preserve">Notes, for or in respect of moneys borrowed is declared or becomes due and payable prior to its stated maturity as the result of any event of default (howsoever described), or (b) any such indebtedness is not paid when due or, as the case may be, within any applicable grace period or (c) the Issuer, the Company or any Significant Subsidiary fails to pay, within any applicable grace period therefor, any amount payable by it under any present or future guarantee for, or indemnity in respect of, any moneys borrowed or raised; </w:t>
      </w:r>
      <w:r w:rsidRPr="00571974">
        <w:rPr>
          <w:i/>
          <w:iCs/>
          <w:lang w:val="en-GB"/>
        </w:rPr>
        <w:t>provided</w:t>
      </w:r>
      <w:r w:rsidRPr="00571974">
        <w:rPr>
          <w:lang w:val="en-GB"/>
        </w:rPr>
        <w:t xml:space="preserve"> that the aggregate amount of the relevant indebtedness, guarantees and indemnities in respect of which one or more of the events mentioned in this paragraph (v) will have occurred (which indebtedness, guarantees or indemnities have not been repaid or paid and as to which such default has not been cured or such acceleration has not been rescinded or annulled) exceeds </w:t>
      </w:r>
      <w:r w:rsidR="003E1CBD" w:rsidRPr="00571974">
        <w:rPr>
          <w:lang w:val="en-GB"/>
        </w:rPr>
        <w:t>US$</w:t>
      </w:r>
      <w:r w:rsidRPr="00571974">
        <w:rPr>
          <w:lang w:val="en-GB"/>
        </w:rPr>
        <w:t>100,000,000 or its equivalent; or</w:t>
      </w:r>
    </w:p>
    <w:p w14:paraId="692CAEAA" w14:textId="77777777"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(vi)</w:t>
      </w:r>
      <w:r w:rsidRPr="00571974">
        <w:rPr>
          <w:lang w:val="en-GB"/>
        </w:rPr>
        <w:tab/>
        <w:t xml:space="preserve">a distress, attachment, execution or other legal process is levied or enforced against any assets of the Issuer, the Company or any Significant Subsidiary having a value exceeding </w:t>
      </w:r>
      <w:r w:rsidR="003E1CBD" w:rsidRPr="00571974">
        <w:rPr>
          <w:lang w:val="en-GB"/>
        </w:rPr>
        <w:t>US$</w:t>
      </w:r>
      <w:r w:rsidRPr="00571974">
        <w:rPr>
          <w:lang w:val="en-GB"/>
        </w:rPr>
        <w:t>100,000,000 following upon a decree or judgment of a court of competent jurisdiction and (A) is not discharged or stayed within 90 days or (B) is the subject of a bona fide active dispute (for the avoidance of doubt, any such distress, attachment, execution or other legal process shall be deemed discharged upon any enforcement of a Mortgage on any such assets); or</w:t>
      </w:r>
    </w:p>
    <w:p w14:paraId="7235A6BE" w14:textId="3DDD0A54"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(vii)</w:t>
      </w:r>
      <w:r w:rsidRPr="00571974">
        <w:rPr>
          <w:lang w:val="en-GB"/>
        </w:rPr>
        <w:tab/>
        <w:t>the Issuer, the Company or any Significant Subsidiary admits in writing that it is unable to pay its debts generally; a resolution is passed by the board of directors of the Issuer or the Company for such entity to be wound up or dissolved; the Issuer or Company is unable to pay its debts within the meaning of Section 123(2) of the Insolvency Act of Great Britain or makes a general assignment for the benefit of its creditors; an administrator is appointed in respect of, or an administration order is made in relation to, the Issuer or the Company; the Issuer or the Company stops payment of its obligations generally or ceases to carry on its business or substantially all thereof; or an encumbrancer takes possession or an administrative or other receiver is appointed over the whole or any material part of the either the Issuer</w:t>
      </w:r>
      <w:r w:rsidR="00A311D8">
        <w:rPr>
          <w:lang w:val="en-GB"/>
        </w:rPr>
        <w:t>’</w:t>
      </w:r>
      <w:r w:rsidRPr="00571974">
        <w:rPr>
          <w:lang w:val="en-GB"/>
        </w:rPr>
        <w:t>s or the Company</w:t>
      </w:r>
      <w:r w:rsidR="00A311D8">
        <w:rPr>
          <w:lang w:val="en-GB"/>
        </w:rPr>
        <w:t>’</w:t>
      </w:r>
      <w:r w:rsidRPr="00571974">
        <w:rPr>
          <w:lang w:val="en-GB"/>
        </w:rPr>
        <w:t>s assets; or</w:t>
      </w:r>
    </w:p>
    <w:p w14:paraId="0F4AB1F3" w14:textId="77777777"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(viii)</w:t>
      </w:r>
      <w:r w:rsidRPr="00571974">
        <w:rPr>
          <w:lang w:val="en-GB"/>
        </w:rPr>
        <w:tab/>
        <w:t>certain specified events in bankruptcy, insolvency or reorganization involving the Issuer, the Company or any Significant Subsidiary; or</w:t>
      </w:r>
    </w:p>
    <w:p w14:paraId="3F99728C" w14:textId="77777777" w:rsidR="00542FF4" w:rsidRPr="00571974" w:rsidRDefault="003D4D89" w:rsidP="00542FF4">
      <w:pPr>
        <w:widowControl/>
        <w:tabs>
          <w:tab w:val="left" w:pos="-720"/>
          <w:tab w:val="left" w:pos="0"/>
          <w:tab w:val="left" w:pos="1134"/>
          <w:tab w:val="left" w:pos="1560"/>
          <w:tab w:val="left" w:pos="2160"/>
          <w:tab w:val="left" w:pos="2880"/>
          <w:tab w:val="left" w:pos="3600"/>
        </w:tabs>
        <w:suppressAutoHyphens/>
        <w:spacing w:after="240"/>
        <w:ind w:left="1134" w:hanging="708"/>
        <w:rPr>
          <w:lang w:val="en-GB"/>
        </w:rPr>
      </w:pPr>
      <w:r w:rsidRPr="00571974">
        <w:rPr>
          <w:lang w:val="en-GB"/>
        </w:rPr>
        <w:t>(ix)</w:t>
      </w:r>
      <w:r w:rsidRPr="00571974">
        <w:rPr>
          <w:lang w:val="en-GB"/>
        </w:rPr>
        <w:tab/>
        <w:t>the Company ceases to own, directly or indirectly, all of the Voting Stock of the Issuer.</w:t>
      </w:r>
    </w:p>
    <w:p w14:paraId="7CCC3255" w14:textId="245F329E" w:rsidR="00542FF4" w:rsidRPr="00571974" w:rsidRDefault="00F7022D" w:rsidP="00542FF4">
      <w:pPr>
        <w:pStyle w:val="BodyText"/>
        <w:widowControl/>
        <w:autoSpaceDE/>
        <w:autoSpaceDN/>
        <w:adjustRightInd/>
        <w:ind w:firstLine="360"/>
        <w:rPr>
          <w:lang w:val="en-GB"/>
        </w:rPr>
      </w:pPr>
      <w:r w:rsidRPr="00571974">
        <w:rPr>
          <w:lang w:val="en-GB"/>
        </w:rPr>
        <w:lastRenderedPageBreak/>
        <w:t>The Issuer and/or the Company shall promptly notify the Trustee in writing upon becoming aware of the occurrence of an Event of Default.</w:t>
      </w:r>
      <w:r w:rsidR="003D4D89" w:rsidRPr="00571974">
        <w:rPr>
          <w:noProof/>
          <w:lang w:val="en-GB"/>
        </w:rPr>
        <w:t xml:space="preserve"> </w:t>
      </w:r>
    </w:p>
    <w:p w14:paraId="57605EEC" w14:textId="77777777" w:rsidR="000F212B" w:rsidRPr="00571974" w:rsidRDefault="000F212B" w:rsidP="000F212B">
      <w:pPr>
        <w:pStyle w:val="BodyText"/>
        <w:widowControl/>
        <w:autoSpaceDE/>
        <w:autoSpaceDN/>
        <w:adjustRightInd/>
        <w:ind w:firstLine="360"/>
        <w:rPr>
          <w:lang w:val="en-GB"/>
        </w:rPr>
      </w:pPr>
      <w:r w:rsidRPr="00571974">
        <w:rPr>
          <w:lang w:val="en-GB"/>
        </w:rPr>
        <w:t>The Indenture provides that if an Event of Default occurs and is continuing</w:t>
      </w:r>
      <w:r>
        <w:rPr>
          <w:lang w:val="en-GB"/>
        </w:rPr>
        <w:t xml:space="preserve"> in respect of a series of Notes</w:t>
      </w:r>
      <w:r w:rsidRPr="00571974">
        <w:rPr>
          <w:lang w:val="en-GB"/>
        </w:rPr>
        <w:t xml:space="preserve">, </w:t>
      </w:r>
      <w:r>
        <w:rPr>
          <w:lang w:val="en-GB"/>
        </w:rPr>
        <w:t xml:space="preserve">(x) </w:t>
      </w:r>
      <w:r w:rsidRPr="00571974">
        <w:rPr>
          <w:lang w:val="en-GB"/>
        </w:rPr>
        <w:t xml:space="preserve">then and in each and every such case (other than certain Events of Default specified in paragraphs (vii) and (viii) above with respect to the Issuer or the Company), unless the principal of all </w:t>
      </w:r>
      <w:r>
        <w:rPr>
          <w:lang w:val="en-GB"/>
        </w:rPr>
        <w:t xml:space="preserve">such </w:t>
      </w:r>
      <w:r w:rsidRPr="00571974">
        <w:rPr>
          <w:lang w:val="en-GB"/>
        </w:rPr>
        <w:t xml:space="preserve">Notes shall have already become due and payable, either the Trustee (at the direction of the Holders) or the Holders of not less than 25% in aggregate principal amount of </w:t>
      </w:r>
      <w:r>
        <w:rPr>
          <w:lang w:val="en-GB"/>
        </w:rPr>
        <w:t xml:space="preserve">such </w:t>
      </w:r>
      <w:r w:rsidRPr="00571974">
        <w:rPr>
          <w:lang w:val="en-GB"/>
        </w:rPr>
        <w:t xml:space="preserve">Notes then outstanding, by notice in writing to the Issuer and the Company (and to the Trustee if given by the Holders), may declare the entire principal amount of all </w:t>
      </w:r>
      <w:r>
        <w:rPr>
          <w:lang w:val="en-GB"/>
        </w:rPr>
        <w:t xml:space="preserve">such </w:t>
      </w:r>
      <w:r w:rsidRPr="00571974">
        <w:rPr>
          <w:lang w:val="en-GB"/>
        </w:rPr>
        <w:t>Notes issued pursuant to the Indenture and interest accrued and unpaid thereon, if any, to be due and payable immediately, and upon any such declaration the same shall become immediately due and payable, without any further declaration or other act on the part of the Trustee or any Holder</w:t>
      </w:r>
      <w:r>
        <w:rPr>
          <w:lang w:val="en-GB"/>
        </w:rPr>
        <w:t xml:space="preserve"> and (y) i</w:t>
      </w:r>
      <w:r w:rsidRPr="00571974">
        <w:rPr>
          <w:lang w:val="en-GB"/>
        </w:rPr>
        <w:t xml:space="preserve">f certain Events of Default described in paragraph (vii) or (viii) above occur with respect to the Issuer or the Company and are continuing, the principal amount of and accrued and unpaid interest on all </w:t>
      </w:r>
      <w:r>
        <w:rPr>
          <w:lang w:val="en-GB"/>
        </w:rPr>
        <w:t xml:space="preserve">such </w:t>
      </w:r>
      <w:r w:rsidRPr="00571974">
        <w:rPr>
          <w:lang w:val="en-GB"/>
        </w:rPr>
        <w:t xml:space="preserve">Notes issued pursuant to the Indenture shall become immediately due and payable, without any declaration or other act on the part of the Trustee or any Holder. </w:t>
      </w:r>
      <w:r>
        <w:rPr>
          <w:lang w:val="en-GB"/>
        </w:rPr>
        <w:t xml:space="preserve"> </w:t>
      </w:r>
      <w:r w:rsidRPr="00571974">
        <w:rPr>
          <w:lang w:val="en-GB"/>
        </w:rPr>
        <w:t xml:space="preserve">Under certain circumstances, the Holders of a majority in aggregate principal amount of </w:t>
      </w:r>
      <w:r>
        <w:rPr>
          <w:lang w:val="en-GB"/>
        </w:rPr>
        <w:t xml:space="preserve">such </w:t>
      </w:r>
      <w:r w:rsidRPr="00571974">
        <w:rPr>
          <w:lang w:val="en-GB"/>
        </w:rPr>
        <w:t>Notes then outstanding, by written notice to the Issuer, the Company and the Trustee, may waive defaults and rescind and annul declarations of acceleration and its consequences, but no such waiver or rescission and annulment shall extend to or shall affect any subsequent default or shall impair any right consequent thereon.</w:t>
      </w:r>
    </w:p>
    <w:p w14:paraId="27266572" w14:textId="77777777" w:rsidR="000F212B" w:rsidRPr="00571974" w:rsidRDefault="000F212B" w:rsidP="000F212B">
      <w:pPr>
        <w:pStyle w:val="BodyText"/>
        <w:widowControl/>
        <w:autoSpaceDE/>
        <w:autoSpaceDN/>
        <w:adjustRightInd/>
        <w:ind w:firstLine="360"/>
        <w:rPr>
          <w:lang w:val="en-GB"/>
        </w:rPr>
      </w:pPr>
      <w:r w:rsidRPr="00571974">
        <w:rPr>
          <w:lang w:val="en-GB"/>
        </w:rPr>
        <w:t xml:space="preserve">The Holders of a majority in aggregate principal amount of the Notes </w:t>
      </w:r>
      <w:r>
        <w:rPr>
          <w:lang w:val="en-GB"/>
        </w:rPr>
        <w:t xml:space="preserve">of the relevant series </w:t>
      </w:r>
      <w:r w:rsidRPr="00571974">
        <w:rPr>
          <w:lang w:val="en-GB"/>
        </w:rPr>
        <w:t>then outstanding will have the right to direct the time, method and place of conducting any proceeding for any remedy available to the Trustee, or exercising any trust or power conferred on the Trustee, subject to certain limitations to be specified in the Indenture.</w:t>
      </w:r>
    </w:p>
    <w:p w14:paraId="070E7FF6" w14:textId="77777777" w:rsidR="000F212B" w:rsidRPr="00571974" w:rsidRDefault="000F212B" w:rsidP="000F212B">
      <w:pPr>
        <w:pStyle w:val="BodyText"/>
        <w:widowControl/>
        <w:autoSpaceDE/>
        <w:autoSpaceDN/>
        <w:adjustRightInd/>
        <w:ind w:firstLine="360"/>
        <w:rPr>
          <w:lang w:val="en-GB"/>
        </w:rPr>
      </w:pPr>
      <w:r w:rsidRPr="00571974">
        <w:rPr>
          <w:lang w:val="en-GB"/>
        </w:rPr>
        <w:t xml:space="preserve">The Indenture provides that no Holder of any Note may institute any action or proceeding at law or in equity or in bankruptcy or otherwise upon or under or with respect to the Indenture, or for the appointment of a trustee, receiver, liquidator, custodian or other similar official or for any other remedy under the Indenture (except suits for the enforcement of payment of overdue principal or interest) unless such Holder previously shall have given to the Trustee written notice of an Event of Default and continuance thereof and unless the Holders of not less than 25% in aggregate principal amount of the Notes </w:t>
      </w:r>
      <w:r>
        <w:rPr>
          <w:lang w:val="en-GB"/>
        </w:rPr>
        <w:t xml:space="preserve">of the relevant series </w:t>
      </w:r>
      <w:r w:rsidRPr="00571974">
        <w:rPr>
          <w:lang w:val="en-GB"/>
        </w:rPr>
        <w:t xml:space="preserve">then outstanding shall have made written request upon the Trustee to institute such action or proceedings in its own name as Trustee and shall have offered the Trustee reasonable indemnity, the Trustee shall not have instituted any such action or proceeding within 90 days of its receipt of such notice, request and offer of indemnity and the Trustee shall not have received direction inconsistent with such written request by the Holders of a majority in aggregate principal amount of the </w:t>
      </w:r>
      <w:r>
        <w:rPr>
          <w:lang w:val="en-GB"/>
        </w:rPr>
        <w:t xml:space="preserve"> </w:t>
      </w:r>
      <w:r w:rsidRPr="00571974">
        <w:rPr>
          <w:lang w:val="en-GB"/>
        </w:rPr>
        <w:t>Notes</w:t>
      </w:r>
      <w:r>
        <w:rPr>
          <w:lang w:val="en-GB"/>
        </w:rPr>
        <w:t xml:space="preserve"> of the relevant series</w:t>
      </w:r>
      <w:r w:rsidRPr="00571974">
        <w:rPr>
          <w:lang w:val="en-GB"/>
        </w:rPr>
        <w:t xml:space="preserve"> at the time outstanding.</w:t>
      </w:r>
    </w:p>
    <w:p w14:paraId="50C91DD7" w14:textId="1453F844" w:rsidR="00542FF4" w:rsidRPr="00571974" w:rsidRDefault="003D4D89" w:rsidP="00542FF4">
      <w:pPr>
        <w:pStyle w:val="BodyText"/>
        <w:widowControl/>
        <w:autoSpaceDE/>
        <w:autoSpaceDN/>
        <w:adjustRightInd/>
        <w:ind w:firstLine="360"/>
        <w:rPr>
          <w:lang w:val="en-GB"/>
        </w:rPr>
      </w:pPr>
      <w:r w:rsidRPr="00571974">
        <w:rPr>
          <w:lang w:val="en-GB"/>
        </w:rPr>
        <w:t>An Event of Default with respect to</w:t>
      </w:r>
      <w:r w:rsidR="00A62FBD">
        <w:rPr>
          <w:lang w:val="en-GB"/>
        </w:rPr>
        <w:t xml:space="preserve"> a given series of</w:t>
      </w:r>
      <w:r w:rsidRPr="00571974">
        <w:rPr>
          <w:lang w:val="en-GB"/>
        </w:rPr>
        <w:t xml:space="preserve"> the Notes would not necessarily constitute an event of default with respect to the securities of any other series issued in the future under the Indenture.</w:t>
      </w:r>
    </w:p>
    <w:p w14:paraId="4E8AA55C" w14:textId="5A20F043" w:rsidR="00542FF4" w:rsidRPr="00571974" w:rsidRDefault="003D4D89" w:rsidP="00542FF4">
      <w:pPr>
        <w:pStyle w:val="BodyText"/>
        <w:widowControl/>
        <w:autoSpaceDE/>
        <w:autoSpaceDN/>
        <w:adjustRightInd/>
        <w:ind w:firstLine="360"/>
        <w:rPr>
          <w:lang w:val="en-GB"/>
        </w:rPr>
      </w:pPr>
      <w:r w:rsidRPr="00571974">
        <w:rPr>
          <w:lang w:val="en-GB"/>
        </w:rPr>
        <w:t>The Indenture provides that each of the Issuer and the Company will each furnish to the Trustee on or before June 30 in each year</w:t>
      </w:r>
      <w:r w:rsidR="002B7286" w:rsidRPr="00571974">
        <w:rPr>
          <w:lang w:val="en-GB"/>
        </w:rPr>
        <w:t>,</w:t>
      </w:r>
      <w:r w:rsidRPr="00571974">
        <w:rPr>
          <w:lang w:val="en-GB"/>
        </w:rPr>
        <w:t xml:space="preserve"> if Notes are then outstanding, a certificate from an officer as to his or her knowledge of the Issuer</w:t>
      </w:r>
      <w:r w:rsidR="00A311D8">
        <w:rPr>
          <w:lang w:val="en-GB"/>
        </w:rPr>
        <w:t>’</w:t>
      </w:r>
      <w:r w:rsidRPr="00571974">
        <w:rPr>
          <w:lang w:val="en-GB"/>
        </w:rPr>
        <w:t>s or the Company</w:t>
      </w:r>
      <w:r w:rsidR="00A311D8">
        <w:rPr>
          <w:lang w:val="en-GB"/>
        </w:rPr>
        <w:t>’</w:t>
      </w:r>
      <w:r w:rsidRPr="00571974">
        <w:rPr>
          <w:lang w:val="en-GB"/>
        </w:rPr>
        <w:t>s, as the case may be, compliance with all conditions and covenants under the Indenture.</w:t>
      </w:r>
    </w:p>
    <w:p w14:paraId="37F6959C" w14:textId="77777777" w:rsidR="00542FF4" w:rsidRPr="00571974" w:rsidRDefault="003D4D89" w:rsidP="00542FF4">
      <w:pPr>
        <w:pStyle w:val="Heading2"/>
        <w:rPr>
          <w:lang w:val="en-GB"/>
        </w:rPr>
      </w:pPr>
      <w:r w:rsidRPr="00571974">
        <w:rPr>
          <w:lang w:val="en-GB"/>
        </w:rPr>
        <w:t>Defeasance</w:t>
      </w:r>
    </w:p>
    <w:p w14:paraId="09D65DB0" w14:textId="497ADA35" w:rsidR="00542FF4" w:rsidRPr="00571974" w:rsidRDefault="003D4D89" w:rsidP="00542FF4">
      <w:pPr>
        <w:pStyle w:val="BodyText"/>
        <w:widowControl/>
        <w:autoSpaceDE/>
        <w:autoSpaceDN/>
        <w:adjustRightInd/>
        <w:ind w:firstLine="360"/>
        <w:rPr>
          <w:lang w:val="en-GB"/>
        </w:rPr>
      </w:pPr>
      <w:r w:rsidRPr="00571974">
        <w:rPr>
          <w:lang w:val="en-GB"/>
        </w:rPr>
        <w:t xml:space="preserve">The Indenture provides that the Issuer will have the option either (a) to be deemed (together with the Company) to have paid and discharged the entire indebtedness represented by, and obligations under, the applicable Notes and the Guarantees and to have satisfied all the obligations under the Indenture relating to the Notes, and the Guarantees (except for certain obligations, including those relating to the defeasance trust and obligations to register the transfer or exchange of Notes, to replace mutilated, destroyed, lost or stolen Notes and to maintain paying agencies) on the day after the applicable conditions described below have been satisfied or (b) to cease (together with the Company) to be under any obligation to comply with the covenants described under </w:t>
      </w:r>
      <w:r w:rsidR="00A311D8">
        <w:rPr>
          <w:lang w:val="en-GB"/>
        </w:rPr>
        <w:t>“</w:t>
      </w:r>
      <w:r w:rsidRPr="00571974">
        <w:rPr>
          <w:lang w:val="en-GB"/>
        </w:rPr>
        <w:t>—Covenants of the Issuer and the Company—Negative Pledge</w:t>
      </w:r>
      <w:r w:rsidR="00A311D8">
        <w:rPr>
          <w:lang w:val="en-GB"/>
        </w:rPr>
        <w:t>”</w:t>
      </w:r>
      <w:r w:rsidRPr="00571974">
        <w:rPr>
          <w:lang w:val="en-GB"/>
        </w:rPr>
        <w:t xml:space="preserve">, </w:t>
      </w:r>
      <w:r w:rsidR="00A311D8">
        <w:rPr>
          <w:lang w:val="en-GB"/>
        </w:rPr>
        <w:t>“</w:t>
      </w:r>
      <w:r w:rsidRPr="00571974">
        <w:rPr>
          <w:lang w:val="en-GB"/>
        </w:rPr>
        <w:t>—Covenants of the Issuer and the Company—Provision of Financial Information</w:t>
      </w:r>
      <w:r w:rsidR="00A311D8">
        <w:rPr>
          <w:lang w:val="en-GB"/>
        </w:rPr>
        <w:t>”</w:t>
      </w:r>
      <w:r w:rsidRPr="00571974">
        <w:rPr>
          <w:lang w:val="en-GB"/>
        </w:rPr>
        <w:t xml:space="preserve"> and </w:t>
      </w:r>
      <w:r w:rsidR="00A311D8">
        <w:rPr>
          <w:lang w:val="en-GB"/>
        </w:rPr>
        <w:t>“</w:t>
      </w:r>
      <w:r w:rsidRPr="00571974">
        <w:rPr>
          <w:lang w:val="en-GB"/>
        </w:rPr>
        <w:t>—Covenants of the Issuer and the Company—Limitation on Sale and Leaseback Transactions</w:t>
      </w:r>
      <w:r w:rsidR="00A311D8">
        <w:rPr>
          <w:lang w:val="en-GB"/>
        </w:rPr>
        <w:t>”</w:t>
      </w:r>
      <w:r w:rsidRPr="00571974">
        <w:rPr>
          <w:lang w:val="en-GB"/>
        </w:rPr>
        <w:t xml:space="preserve"> and the condition relating to the absence of any events of default under </w:t>
      </w:r>
      <w:r w:rsidR="00A311D8">
        <w:rPr>
          <w:lang w:val="en-GB"/>
        </w:rPr>
        <w:t>“</w:t>
      </w:r>
      <w:r w:rsidRPr="00571974">
        <w:rPr>
          <w:lang w:val="en-GB"/>
        </w:rPr>
        <w:t>—Covenants of the Issuer and the Company—Limitation on Mergers and Consolidations</w:t>
      </w:r>
      <w:r w:rsidR="00A311D8">
        <w:rPr>
          <w:lang w:val="en-GB"/>
        </w:rPr>
        <w:t>”</w:t>
      </w:r>
      <w:r w:rsidRPr="00571974">
        <w:rPr>
          <w:lang w:val="en-GB"/>
        </w:rPr>
        <w:t xml:space="preserve"> under the Notes, and noncompliance with such covenants and the occurrence of certain events described above under </w:t>
      </w:r>
      <w:r w:rsidR="00A311D8">
        <w:rPr>
          <w:lang w:val="en-GB"/>
        </w:rPr>
        <w:t>“</w:t>
      </w:r>
      <w:r w:rsidRPr="00571974">
        <w:rPr>
          <w:lang w:val="en-GB"/>
        </w:rPr>
        <w:t>Events of Default</w:t>
      </w:r>
      <w:r w:rsidR="00A311D8">
        <w:rPr>
          <w:lang w:val="en-GB"/>
        </w:rPr>
        <w:t>”</w:t>
      </w:r>
      <w:r w:rsidRPr="00571974">
        <w:rPr>
          <w:lang w:val="en-GB"/>
        </w:rPr>
        <w:t xml:space="preserve"> will not give rise to any Event of Default under the Indenture, at any time after the applicable conditions described below have been satisfied.</w:t>
      </w:r>
    </w:p>
    <w:p w14:paraId="7FD4DE82" w14:textId="29800483" w:rsidR="00542FF4" w:rsidRPr="00571974" w:rsidRDefault="003D4D89" w:rsidP="00542FF4">
      <w:pPr>
        <w:pStyle w:val="BodyText"/>
        <w:widowControl/>
        <w:autoSpaceDE/>
        <w:autoSpaceDN/>
        <w:adjustRightInd/>
        <w:ind w:firstLine="360"/>
        <w:rPr>
          <w:lang w:val="en-GB"/>
        </w:rPr>
      </w:pPr>
      <w:r w:rsidRPr="00571974">
        <w:rPr>
          <w:lang w:val="en-GB"/>
        </w:rPr>
        <w:t xml:space="preserve">In order to exercise either defeasance option, the Issuer must deposit with the Trustee, irrevocably in trust, money or Government Obligations for the payment of principal of and interest (including Additional Amounts) on </w:t>
      </w:r>
      <w:r w:rsidRPr="00571974">
        <w:rPr>
          <w:lang w:val="en-GB"/>
        </w:rPr>
        <w:lastRenderedPageBreak/>
        <w:t xml:space="preserve">the outstanding Notes to and including the Redemption Date irrevocably designated by the Issuer on or prior to the date of deposit of such money or Government Obligations, and must (i) comply with certain other conditions, including delivering to the Trustee an opinion of </w:t>
      </w:r>
      <w:r w:rsidR="006D150F" w:rsidRPr="00571974">
        <w:rPr>
          <w:lang w:val="en-GB"/>
        </w:rPr>
        <w:t>U.S.</w:t>
      </w:r>
      <w:r w:rsidRPr="00571974">
        <w:rPr>
          <w:lang w:val="en-GB"/>
        </w:rPr>
        <w:t> counsel, or a ruling received from or published by the U</w:t>
      </w:r>
      <w:r w:rsidR="00AD5AE0" w:rsidRPr="00571974">
        <w:rPr>
          <w:lang w:val="en-GB"/>
        </w:rPr>
        <w:t>.</w:t>
      </w:r>
      <w:r w:rsidRPr="00571974">
        <w:rPr>
          <w:lang w:val="en-GB"/>
        </w:rPr>
        <w:t>S</w:t>
      </w:r>
      <w:r w:rsidR="00AD5AE0" w:rsidRPr="00571974">
        <w:rPr>
          <w:lang w:val="en-GB"/>
        </w:rPr>
        <w:t>.</w:t>
      </w:r>
      <w:r w:rsidRPr="00571974">
        <w:rPr>
          <w:lang w:val="en-GB"/>
        </w:rPr>
        <w:t xml:space="preserve"> Internal Revenue Service, to the effect that beneficial owners of the Notes will not recognize income, gain or loss for United States federal income tax purposes as a result of the exercise of such option and will be subject to U</w:t>
      </w:r>
      <w:r w:rsidR="00AD5AE0" w:rsidRPr="00571974">
        <w:rPr>
          <w:lang w:val="en-GB"/>
        </w:rPr>
        <w:t>.</w:t>
      </w:r>
      <w:r w:rsidRPr="00571974">
        <w:rPr>
          <w:lang w:val="en-GB"/>
        </w:rPr>
        <w:t>S</w:t>
      </w:r>
      <w:r w:rsidR="00AD5AE0" w:rsidRPr="00571974">
        <w:rPr>
          <w:lang w:val="en-GB"/>
        </w:rPr>
        <w:t>.</w:t>
      </w:r>
      <w:r w:rsidRPr="00571974">
        <w:rPr>
          <w:lang w:val="en-GB"/>
        </w:rPr>
        <w:t xml:space="preserve"> federal income tax on the same amount and in the same manner and at the same time as would have been the case if such option had not been exercised and, in the case of (a) above, such opinion must state that it is based on a change of law or final and binding ruling received from or published by the U</w:t>
      </w:r>
      <w:r w:rsidR="00AD5AE0" w:rsidRPr="00571974">
        <w:rPr>
          <w:lang w:val="en-GB"/>
        </w:rPr>
        <w:t>.</w:t>
      </w:r>
      <w:r w:rsidRPr="00571974">
        <w:rPr>
          <w:lang w:val="en-GB"/>
        </w:rPr>
        <w:t>S</w:t>
      </w:r>
      <w:r w:rsidR="00AD5AE0" w:rsidRPr="00571974">
        <w:rPr>
          <w:lang w:val="en-GB"/>
        </w:rPr>
        <w:t>.</w:t>
      </w:r>
      <w:r w:rsidRPr="00571974">
        <w:rPr>
          <w:lang w:val="en-GB"/>
        </w:rPr>
        <w:t xml:space="preserve"> Internal Revenue Service after </w:t>
      </w:r>
      <w:r w:rsidR="00183F92">
        <w:rPr>
          <w:lang w:val="en-GB"/>
        </w:rPr>
        <w:t>March 30</w:t>
      </w:r>
      <w:r w:rsidRPr="00571974">
        <w:rPr>
          <w:lang w:val="en-GB"/>
        </w:rPr>
        <w:t xml:space="preserve">, </w:t>
      </w:r>
      <w:r w:rsidR="007E4C14" w:rsidRPr="00571974">
        <w:rPr>
          <w:lang w:val="en-GB"/>
        </w:rPr>
        <w:t xml:space="preserve">2020 </w:t>
      </w:r>
      <w:r w:rsidRPr="00571974">
        <w:rPr>
          <w:lang w:val="en-GB"/>
        </w:rPr>
        <w:t>and (ii) pay in full all other amounts due and owing under the Indenture.</w:t>
      </w:r>
    </w:p>
    <w:p w14:paraId="24691C90" w14:textId="77777777" w:rsidR="00542FF4" w:rsidRPr="00571974" w:rsidRDefault="003D4D89" w:rsidP="00542FF4">
      <w:pPr>
        <w:pStyle w:val="Heading2"/>
        <w:rPr>
          <w:lang w:val="en-GB"/>
        </w:rPr>
      </w:pPr>
      <w:r w:rsidRPr="00571974">
        <w:rPr>
          <w:lang w:val="en-GB"/>
        </w:rPr>
        <w:t>Modification and Waiver</w:t>
      </w:r>
    </w:p>
    <w:p w14:paraId="6F797330" w14:textId="3535C2C1" w:rsidR="00542FF4" w:rsidRPr="00571974" w:rsidRDefault="00F7022D" w:rsidP="007B1404">
      <w:pPr>
        <w:pStyle w:val="Heading3"/>
        <w:rPr>
          <w:lang w:val="en-GB"/>
        </w:rPr>
      </w:pPr>
      <w:r w:rsidRPr="00571974">
        <w:rPr>
          <w:lang w:val="en-GB"/>
        </w:rPr>
        <w:t xml:space="preserve">Without Consent of Noteholders </w:t>
      </w:r>
    </w:p>
    <w:p w14:paraId="54C721B5" w14:textId="77777777" w:rsidR="000F212B" w:rsidRPr="00571974" w:rsidRDefault="000F212B" w:rsidP="000F212B">
      <w:pPr>
        <w:pStyle w:val="BodyText"/>
        <w:widowControl/>
        <w:autoSpaceDE/>
        <w:autoSpaceDN/>
        <w:adjustRightInd/>
        <w:ind w:firstLine="360"/>
        <w:rPr>
          <w:lang w:val="en-GB"/>
        </w:rPr>
      </w:pPr>
      <w:r w:rsidRPr="00571974">
        <w:rPr>
          <w:lang w:val="en-GB"/>
        </w:rPr>
        <w:t xml:space="preserve">The Indenture provides provisions permitting the Issuer, the Company and the Trustee, without the consent of the Holders of any of the Notes </w:t>
      </w:r>
      <w:r>
        <w:rPr>
          <w:lang w:val="en-GB"/>
        </w:rPr>
        <w:t xml:space="preserve">of the relevant series </w:t>
      </w:r>
      <w:r w:rsidRPr="00571974">
        <w:rPr>
          <w:lang w:val="en-GB"/>
        </w:rPr>
        <w:t>at any time outstanding, from time to time and at any time, to enter into an indenture or indentures supplemental to the Indenture or to otherwise amend the Indenture</w:t>
      </w:r>
      <w:r>
        <w:rPr>
          <w:lang w:val="en-GB"/>
        </w:rPr>
        <w:t xml:space="preserve"> with respect to such Notes</w:t>
      </w:r>
      <w:r w:rsidRPr="00571974">
        <w:rPr>
          <w:lang w:val="en-GB"/>
        </w:rPr>
        <w:t>:</w:t>
      </w:r>
    </w:p>
    <w:p w14:paraId="766505F3" w14:textId="77777777" w:rsidR="000F212B" w:rsidRPr="00571974" w:rsidRDefault="000F212B" w:rsidP="000F212B">
      <w:pPr>
        <w:pStyle w:val="ListBullet"/>
        <w:tabs>
          <w:tab w:val="clear" w:pos="360"/>
          <w:tab w:val="num" w:pos="757"/>
        </w:tabs>
        <w:ind w:left="1163" w:hanging="397"/>
      </w:pPr>
      <w:r w:rsidRPr="00571974">
        <w:t xml:space="preserve">to convey, transfer, assign, mortgage or pledge to the Trustee as security for </w:t>
      </w:r>
      <w:r>
        <w:t>such</w:t>
      </w:r>
      <w:r w:rsidRPr="00571974">
        <w:t xml:space="preserve"> Notes any property or assets;</w:t>
      </w:r>
    </w:p>
    <w:p w14:paraId="1CA23C62" w14:textId="77777777" w:rsidR="000F212B" w:rsidRPr="00571974" w:rsidRDefault="000F212B" w:rsidP="000F212B">
      <w:pPr>
        <w:pStyle w:val="ListBullet"/>
        <w:tabs>
          <w:tab w:val="clear" w:pos="360"/>
          <w:tab w:val="num" w:pos="757"/>
        </w:tabs>
        <w:ind w:left="1163" w:hanging="397"/>
      </w:pPr>
      <w:r w:rsidRPr="00571974">
        <w:t>to evidence the succession of another person to the Issuer or the Company, as the case may be, or successive successions, and the assumption by the successor person of the covenants, agreements and obligations of the Issuer or the Company, as the case may be, pursuant to the Indenture;</w:t>
      </w:r>
    </w:p>
    <w:p w14:paraId="16F32DE2" w14:textId="77777777" w:rsidR="000F212B" w:rsidRPr="00571974" w:rsidRDefault="000F212B" w:rsidP="000F212B">
      <w:pPr>
        <w:pStyle w:val="ListBullet"/>
        <w:tabs>
          <w:tab w:val="clear" w:pos="360"/>
          <w:tab w:val="num" w:pos="757"/>
        </w:tabs>
        <w:ind w:left="1163" w:hanging="397"/>
      </w:pPr>
      <w:r w:rsidRPr="00571974">
        <w:t>to evidence and provide for the acceptance of appointment of a successor trustee, principal paying agent, registrar or transfer agent, as the case may be;</w:t>
      </w:r>
    </w:p>
    <w:p w14:paraId="0A33E603" w14:textId="77777777" w:rsidR="000F212B" w:rsidRPr="00571974" w:rsidRDefault="000F212B" w:rsidP="000F212B">
      <w:pPr>
        <w:pStyle w:val="ListBullet"/>
        <w:tabs>
          <w:tab w:val="clear" w:pos="360"/>
          <w:tab w:val="num" w:pos="757"/>
        </w:tabs>
        <w:ind w:left="1163" w:hanging="397"/>
      </w:pPr>
      <w:r w:rsidRPr="00571974">
        <w:t>to add to the covenants of the Issuer and the Company, as the case may be, such further covenants, restrictions, conditions or provisions as the Issuer and the Company, as the case may be, and the Trustee shall consider to be for the protection of the Holders of</w:t>
      </w:r>
      <w:r>
        <w:t xml:space="preserve"> such</w:t>
      </w:r>
      <w:r w:rsidRPr="00571974">
        <w:t xml:space="preserve"> Notes, and to make the occurrence, or the occurrence and continuance, of a default in any such additional covenants, restrictions, conditions or provisions an Event of Default under the Indenture permitting the enforcement of all or any of the several remedies provided in the Indenture, </w:t>
      </w:r>
      <w:r>
        <w:t xml:space="preserve">such </w:t>
      </w:r>
      <w:r w:rsidRPr="00571974">
        <w:t xml:space="preserve">Notes or </w:t>
      </w:r>
      <w:r>
        <w:t xml:space="preserve">the related </w:t>
      </w:r>
      <w:r w:rsidRPr="00571974">
        <w:t xml:space="preserve">Guarantees; provided that, in respect of any such additional covenant, restriction, condition or provision, such supplemental indenture may provide for a particular period of grace after default (which may be shorter or longer than that allowed in the case of other defaults) or may limit the remedies available to the Trustee upon such an Event of Default or may limit the right of Holders of a majority in aggregate principal amount of </w:t>
      </w:r>
      <w:r>
        <w:t>such</w:t>
      </w:r>
      <w:r w:rsidRPr="00571974">
        <w:t xml:space="preserve"> Notes to waive such an Event of Default;</w:t>
      </w:r>
    </w:p>
    <w:p w14:paraId="040BA955" w14:textId="77777777" w:rsidR="000F212B" w:rsidRPr="00571974" w:rsidRDefault="000F212B" w:rsidP="000F212B">
      <w:pPr>
        <w:pStyle w:val="ListBullet"/>
        <w:tabs>
          <w:tab w:val="clear" w:pos="360"/>
          <w:tab w:val="num" w:pos="757"/>
        </w:tabs>
        <w:ind w:left="1163" w:hanging="397"/>
      </w:pPr>
      <w:r w:rsidRPr="00571974">
        <w:t xml:space="preserve">to modify the restrictions on, and procedures for, resale and other transfers of </w:t>
      </w:r>
      <w:r>
        <w:t>such</w:t>
      </w:r>
      <w:r w:rsidRPr="00571974">
        <w:t xml:space="preserve"> Notes pursuant to law, regulation or practice relating to the resale or transfer of restricted securities generally;</w:t>
      </w:r>
    </w:p>
    <w:p w14:paraId="4E6BC3BF" w14:textId="77777777" w:rsidR="000F212B" w:rsidRPr="00571974" w:rsidRDefault="000F212B" w:rsidP="000F212B">
      <w:pPr>
        <w:pStyle w:val="ListBullet"/>
        <w:tabs>
          <w:tab w:val="clear" w:pos="360"/>
          <w:tab w:val="num" w:pos="757"/>
        </w:tabs>
        <w:ind w:left="1163" w:hanging="397"/>
      </w:pPr>
      <w:r w:rsidRPr="00571974">
        <w:t xml:space="preserve">to cure any ambiguity or to correct or supplement any provision contained in the Indenture which may be defective or inconsistent with any other provision contained therein or to make such other provision in regard to matters or questions arising under the indenture as the Issuer or the Company may deem necessary or desirable and which will not adversely affect the interests of the Holders of </w:t>
      </w:r>
      <w:r>
        <w:t>such</w:t>
      </w:r>
      <w:r w:rsidRPr="00571974">
        <w:t xml:space="preserve"> Notes in any material respect (provided that any modification or amendment to conform language in the Indenture to that appearing in this description of notes shall be deemed not to adversely affect the interests of the Holders of </w:t>
      </w:r>
      <w:r>
        <w:t>such</w:t>
      </w:r>
      <w:r w:rsidRPr="00571974">
        <w:t xml:space="preserve"> Notes in any material respect); or</w:t>
      </w:r>
    </w:p>
    <w:p w14:paraId="17415420" w14:textId="77777777" w:rsidR="000F212B" w:rsidRPr="00571974" w:rsidRDefault="000F212B" w:rsidP="000F212B">
      <w:pPr>
        <w:pStyle w:val="ListBullet"/>
        <w:tabs>
          <w:tab w:val="clear" w:pos="360"/>
          <w:tab w:val="num" w:pos="757"/>
        </w:tabs>
        <w:ind w:left="1163" w:hanging="397"/>
      </w:pPr>
      <w:r w:rsidRPr="00571974">
        <w:t xml:space="preserve">to issue as many distinct series of debt securities under the Indenture as the Issuer wishes or to </w:t>
      </w:r>
      <w:r>
        <w:t>“</w:t>
      </w:r>
      <w:r w:rsidRPr="00571974">
        <w:t>reopen</w:t>
      </w:r>
      <w:r>
        <w:t>”</w:t>
      </w:r>
      <w:r w:rsidRPr="00571974">
        <w:t xml:space="preserve"> each series of notes and create and issue additional notes having identical terms and conditions as an existing series of Notes (or in all respects except for the payment of interest accruing prior to the issue date of such additional notes or except for the first payment of interest following the issue date of such additional notes) so that the additional notes are consolidated and form a single series with the </w:t>
      </w:r>
      <w:r>
        <w:t xml:space="preserve">applicable </w:t>
      </w:r>
      <w:r w:rsidRPr="00571974">
        <w:t>Notes.</w:t>
      </w:r>
    </w:p>
    <w:p w14:paraId="7F0D3CA5" w14:textId="77777777" w:rsidR="00542FF4" w:rsidRPr="00571974" w:rsidRDefault="003D4D89" w:rsidP="007B1404">
      <w:pPr>
        <w:pStyle w:val="Heading3"/>
        <w:rPr>
          <w:lang w:val="en-GB"/>
        </w:rPr>
      </w:pPr>
      <w:r w:rsidRPr="00571974">
        <w:rPr>
          <w:lang w:val="en-GB"/>
        </w:rPr>
        <w:t>With Consent of Noteholders</w:t>
      </w:r>
    </w:p>
    <w:p w14:paraId="48412D98" w14:textId="77777777" w:rsidR="000F212B" w:rsidRPr="00571974" w:rsidRDefault="000F212B" w:rsidP="000F212B">
      <w:pPr>
        <w:pStyle w:val="BodyText"/>
        <w:widowControl/>
        <w:autoSpaceDE/>
        <w:autoSpaceDN/>
        <w:adjustRightInd/>
        <w:ind w:firstLine="360"/>
        <w:rPr>
          <w:lang w:val="en-GB"/>
        </w:rPr>
      </w:pPr>
      <w:r w:rsidRPr="00571974">
        <w:rPr>
          <w:lang w:val="en-GB"/>
        </w:rPr>
        <w:t xml:space="preserve">The Indenture provides provisions permitting the Issuer, the Company and the Trustee, with the consent of the Holders of not less than a majority in aggregate principal amount of the Notes </w:t>
      </w:r>
      <w:r>
        <w:rPr>
          <w:lang w:val="en-GB"/>
        </w:rPr>
        <w:t xml:space="preserve">of a series </w:t>
      </w:r>
      <w:r w:rsidRPr="00571974">
        <w:rPr>
          <w:lang w:val="en-GB"/>
        </w:rPr>
        <w:t xml:space="preserve">at the time outstanding </w:t>
      </w:r>
      <w:r w:rsidRPr="00571974">
        <w:rPr>
          <w:lang w:val="en-GB"/>
        </w:rPr>
        <w:lastRenderedPageBreak/>
        <w:t>(including consents obtained in connection with a tender offer or exchange offer for the Notes), from time to time and at any time, to enter into an indenture or indentures supplemental hereto for the purpose of adding any provisions to or changing in any manner or eliminating any of the provisions of the Indenture or any supplementary indenture or of modifying in any manner the rights of the Holders of the Notes or the Guarantees</w:t>
      </w:r>
      <w:r>
        <w:rPr>
          <w:lang w:val="en-GB"/>
        </w:rPr>
        <w:t xml:space="preserve"> with respect to such Notes</w:t>
      </w:r>
      <w:r w:rsidRPr="00571974">
        <w:rPr>
          <w:lang w:val="en-GB"/>
        </w:rPr>
        <w:t xml:space="preserve">; </w:t>
      </w:r>
      <w:r w:rsidRPr="00571974">
        <w:rPr>
          <w:i/>
          <w:iCs/>
          <w:lang w:val="en-GB"/>
        </w:rPr>
        <w:t>provided</w:t>
      </w:r>
      <w:r w:rsidRPr="00571974">
        <w:rPr>
          <w:lang w:val="en-GB"/>
        </w:rPr>
        <w:t xml:space="preserve"> that no such indenture may, without the consent of the Holder of each of the Notes so affected:</w:t>
      </w:r>
    </w:p>
    <w:p w14:paraId="077F0800" w14:textId="77777777" w:rsidR="000F212B" w:rsidRPr="00571974" w:rsidRDefault="000F212B" w:rsidP="000F212B">
      <w:pPr>
        <w:pStyle w:val="ListBullet"/>
        <w:tabs>
          <w:tab w:val="clear" w:pos="360"/>
          <w:tab w:val="num" w:pos="757"/>
        </w:tabs>
        <w:ind w:left="1163" w:hanging="397"/>
      </w:pPr>
      <w:r w:rsidRPr="00571974">
        <w:t>change the stated maturity of the principal of or the date for payment of any instalment of interest on any Note;</w:t>
      </w:r>
    </w:p>
    <w:p w14:paraId="2F628B11" w14:textId="77777777" w:rsidR="000F212B" w:rsidRPr="00571974" w:rsidRDefault="000F212B" w:rsidP="000F212B">
      <w:pPr>
        <w:pStyle w:val="ListBullet"/>
        <w:tabs>
          <w:tab w:val="clear" w:pos="360"/>
          <w:tab w:val="num" w:pos="757"/>
        </w:tabs>
        <w:ind w:left="1163" w:hanging="397"/>
      </w:pPr>
      <w:r w:rsidRPr="00571974">
        <w:t>reduce the principal amount of or interest on any Note or Additional Amounts payable with respect thereto or reduce the amount payable thereon in the event of redemption or default;</w:t>
      </w:r>
    </w:p>
    <w:p w14:paraId="727DE550" w14:textId="77777777" w:rsidR="000F212B" w:rsidRPr="00571974" w:rsidRDefault="000F212B" w:rsidP="000F212B">
      <w:pPr>
        <w:pStyle w:val="ListBullet"/>
        <w:tabs>
          <w:tab w:val="clear" w:pos="360"/>
          <w:tab w:val="num" w:pos="757"/>
        </w:tabs>
        <w:ind w:left="1163" w:hanging="397"/>
      </w:pPr>
      <w:r w:rsidRPr="00571974">
        <w:t>change the currency of payment of principal of or interest on any Note or Additional Amounts payable with respect thereto;</w:t>
      </w:r>
    </w:p>
    <w:p w14:paraId="62D31B9B" w14:textId="77777777" w:rsidR="000F212B" w:rsidRPr="00571974" w:rsidRDefault="000F212B" w:rsidP="000F212B">
      <w:pPr>
        <w:pStyle w:val="ListBullet"/>
        <w:tabs>
          <w:tab w:val="clear" w:pos="360"/>
          <w:tab w:val="num" w:pos="757"/>
        </w:tabs>
        <w:ind w:left="1163" w:hanging="397"/>
      </w:pPr>
      <w:r w:rsidRPr="00571974">
        <w:t>change the obligation of the Issuer or the Company, as the case may be, to pay Additional Amounts;</w:t>
      </w:r>
    </w:p>
    <w:p w14:paraId="57D6F8BA" w14:textId="77777777" w:rsidR="000F212B" w:rsidRPr="00571974" w:rsidRDefault="000F212B" w:rsidP="000F212B">
      <w:pPr>
        <w:pStyle w:val="ListBullet"/>
        <w:tabs>
          <w:tab w:val="clear" w:pos="360"/>
          <w:tab w:val="num" w:pos="757"/>
        </w:tabs>
        <w:ind w:left="1163" w:hanging="397"/>
      </w:pPr>
      <w:r w:rsidRPr="00571974">
        <w:t>impair the right to institute suit for the enforcement of any such payment on or with respect to any Note;</w:t>
      </w:r>
    </w:p>
    <w:p w14:paraId="6D10D53A" w14:textId="77777777" w:rsidR="000F212B" w:rsidRPr="00571974" w:rsidRDefault="000F212B" w:rsidP="000F212B">
      <w:pPr>
        <w:pStyle w:val="ListBullet"/>
        <w:tabs>
          <w:tab w:val="clear" w:pos="360"/>
          <w:tab w:val="num" w:pos="757"/>
        </w:tabs>
        <w:ind w:left="1163" w:hanging="397"/>
      </w:pPr>
      <w:r w:rsidRPr="00571974">
        <w:t>reduce the aforesaid percentage in principal amount of the outstanding Notes, the consent of whose Holders is required for any such supplemental indenture; or</w:t>
      </w:r>
    </w:p>
    <w:p w14:paraId="39D11439" w14:textId="77777777" w:rsidR="000F212B" w:rsidRPr="00571974" w:rsidRDefault="000F212B" w:rsidP="000F212B">
      <w:pPr>
        <w:pStyle w:val="ListBullet"/>
        <w:tabs>
          <w:tab w:val="clear" w:pos="360"/>
          <w:tab w:val="num" w:pos="757"/>
        </w:tabs>
        <w:ind w:left="1163" w:hanging="397"/>
      </w:pPr>
      <w:r w:rsidRPr="00571974">
        <w:t xml:space="preserve">reduce the aforestated aggregate principal amount of any Note outstanding necessary to modify or amend the Indenture or any such Notes or to waive any future compliance or past default or reduce the quorum requirements or the percentage of aggregate principal amount of any Notes outstanding required for the adoption of any action at a meeting of holders of such Notes or reduce the percentage of the aggregate principal amount of such Notes outstanding necessary to rescind or annul any declaration of the principal of and all accrued and unpaid interest on any Notes to be due and payable; provided that no consent of any Holder of any Note shall be necessary to permit the Trustee, the Issuer and the Company to execute supplemental indentures described under </w:t>
      </w:r>
      <w:r>
        <w:t>“</w:t>
      </w:r>
      <w:r w:rsidRPr="00571974">
        <w:t>Modification and Waiver—Without Consent of Noteholders</w:t>
      </w:r>
      <w:r>
        <w:t>”</w:t>
      </w:r>
      <w:r w:rsidRPr="00571974">
        <w:t xml:space="preserve"> above.</w:t>
      </w:r>
    </w:p>
    <w:p w14:paraId="250195D1" w14:textId="77777777" w:rsidR="000F212B" w:rsidRPr="00571974" w:rsidRDefault="000F212B" w:rsidP="000F212B">
      <w:pPr>
        <w:pStyle w:val="BodyText"/>
        <w:widowControl/>
        <w:autoSpaceDE/>
        <w:autoSpaceDN/>
        <w:adjustRightInd/>
        <w:ind w:firstLine="360"/>
        <w:rPr>
          <w:lang w:val="en-GB"/>
        </w:rPr>
      </w:pPr>
      <w:r w:rsidRPr="00571974">
        <w:rPr>
          <w:lang w:val="en-GB"/>
        </w:rPr>
        <w:t>Any modifications, amendments or waivers to the Indenture or to the conditions of the Notes will be conclusive and binding on all Holders of the Notes</w:t>
      </w:r>
      <w:r>
        <w:rPr>
          <w:lang w:val="en-GB"/>
        </w:rPr>
        <w:t xml:space="preserve"> of the applicable series</w:t>
      </w:r>
      <w:r w:rsidRPr="00571974">
        <w:rPr>
          <w:lang w:val="en-GB"/>
        </w:rPr>
        <w:t xml:space="preserve">, whether or not they have consented to such action or were present at the meeting at which such action was taken, and on all future holders of </w:t>
      </w:r>
      <w:r>
        <w:rPr>
          <w:lang w:val="en-GB"/>
        </w:rPr>
        <w:t>such</w:t>
      </w:r>
      <w:r w:rsidRPr="00571974">
        <w:rPr>
          <w:lang w:val="en-GB"/>
        </w:rPr>
        <w:t xml:space="preserve"> Notes, whether or not notation of such modifications, amendments or waivers is made upon such Notes. </w:t>
      </w:r>
      <w:r>
        <w:rPr>
          <w:lang w:val="en-GB"/>
        </w:rPr>
        <w:t xml:space="preserve"> </w:t>
      </w:r>
      <w:r w:rsidRPr="00571974">
        <w:rPr>
          <w:lang w:val="en-GB"/>
        </w:rPr>
        <w:t>Any instrument given by or on behalf of any Holder of such a Note in connection with any consent to any such modification, amendment or waiver will be irrevocable once given and will be conclusive and binding on all subsequent registered holders of such Note.</w:t>
      </w:r>
    </w:p>
    <w:p w14:paraId="32041658" w14:textId="47239293" w:rsidR="00542FF4" w:rsidRPr="00571974" w:rsidRDefault="00F7022D" w:rsidP="00542FF4">
      <w:pPr>
        <w:pStyle w:val="Heading2"/>
        <w:rPr>
          <w:lang w:val="en-GB"/>
        </w:rPr>
      </w:pPr>
      <w:r w:rsidRPr="00571974">
        <w:rPr>
          <w:lang w:val="en-GB"/>
        </w:rPr>
        <w:t>Prescription</w:t>
      </w:r>
    </w:p>
    <w:p w14:paraId="61DA0389" w14:textId="7FDB3CC3" w:rsidR="00542FF4" w:rsidRPr="00571974" w:rsidRDefault="003D4D89" w:rsidP="00542FF4">
      <w:pPr>
        <w:pStyle w:val="BodyText"/>
        <w:widowControl/>
        <w:autoSpaceDE/>
        <w:autoSpaceDN/>
        <w:adjustRightInd/>
        <w:ind w:firstLine="360"/>
        <w:rPr>
          <w:lang w:val="en-GB"/>
        </w:rPr>
      </w:pPr>
      <w:r w:rsidRPr="00571974">
        <w:rPr>
          <w:lang w:val="en-GB"/>
        </w:rPr>
        <w:t>Under New York</w:t>
      </w:r>
      <w:r w:rsidR="00A311D8">
        <w:rPr>
          <w:lang w:val="en-GB"/>
        </w:rPr>
        <w:t>’</w:t>
      </w:r>
      <w:r w:rsidRPr="00571974">
        <w:rPr>
          <w:lang w:val="en-GB"/>
        </w:rPr>
        <w:t>s statute of limitations, any legal action upon the Notes in respect of interest or principal must be commenced within six years after the payment thereof is due. Thereafter the Notes and the Guarantees will become generally unenforceable.</w:t>
      </w:r>
    </w:p>
    <w:p w14:paraId="03C6893F" w14:textId="77777777" w:rsidR="00542FF4" w:rsidRPr="00571974" w:rsidRDefault="003D4D89" w:rsidP="00542FF4">
      <w:pPr>
        <w:pStyle w:val="Heading2"/>
        <w:rPr>
          <w:lang w:val="en-GB"/>
        </w:rPr>
      </w:pPr>
      <w:r w:rsidRPr="00571974">
        <w:rPr>
          <w:lang w:val="en-GB"/>
        </w:rPr>
        <w:t>Listing</w:t>
      </w:r>
    </w:p>
    <w:p w14:paraId="728BEDA1" w14:textId="42854F15" w:rsidR="00542FF4" w:rsidRPr="00571974" w:rsidRDefault="003D4D89" w:rsidP="00542FF4">
      <w:pPr>
        <w:pStyle w:val="BodyText"/>
        <w:widowControl/>
        <w:autoSpaceDE/>
        <w:autoSpaceDN/>
        <w:adjustRightInd/>
        <w:ind w:firstLine="360"/>
        <w:rPr>
          <w:lang w:val="en-GB"/>
        </w:rPr>
      </w:pPr>
      <w:r w:rsidRPr="00571974">
        <w:rPr>
          <w:lang w:val="en-GB"/>
        </w:rPr>
        <w:t>The Issuer expects to make an application for Admission of</w:t>
      </w:r>
      <w:r w:rsidR="00A62FBD">
        <w:rPr>
          <w:lang w:val="en-GB"/>
        </w:rPr>
        <w:t xml:space="preserve"> each series of</w:t>
      </w:r>
      <w:r w:rsidRPr="00571974">
        <w:rPr>
          <w:lang w:val="en-GB"/>
        </w:rPr>
        <w:t xml:space="preserve"> the Notes to listing on the Official List and to trading on the London Stock Exchange</w:t>
      </w:r>
      <w:r w:rsidR="00A311D8">
        <w:rPr>
          <w:lang w:val="en-GB"/>
        </w:rPr>
        <w:t>’</w:t>
      </w:r>
      <w:r w:rsidRPr="00571974">
        <w:rPr>
          <w:lang w:val="en-GB"/>
        </w:rPr>
        <w:t>s Regulated Market, a regulated market.</w:t>
      </w:r>
    </w:p>
    <w:p w14:paraId="7D283F15" w14:textId="77777777" w:rsidR="00542FF4" w:rsidRPr="00571974" w:rsidRDefault="003D4D89" w:rsidP="00542FF4">
      <w:pPr>
        <w:pStyle w:val="BodyText"/>
        <w:widowControl/>
        <w:autoSpaceDE/>
        <w:autoSpaceDN/>
        <w:adjustRightInd/>
        <w:ind w:firstLine="360"/>
        <w:rPr>
          <w:lang w:val="en-GB"/>
        </w:rPr>
      </w:pPr>
      <w:r w:rsidRPr="00571974">
        <w:rPr>
          <w:lang w:val="en-GB"/>
        </w:rPr>
        <w:t>The Issuer and the Company will use their reasonable best efforts to have such (i) Admission of the Notes to trading on the regulated market of the London Stock Exchange and (ii) listing of such Notes on the Official List become effective and then maintain such listing for so long as any of the Notes remain outstanding.</w:t>
      </w:r>
    </w:p>
    <w:p w14:paraId="0C0903BD" w14:textId="77777777" w:rsidR="00542FF4" w:rsidRPr="00571974" w:rsidRDefault="003D4D89" w:rsidP="00542FF4">
      <w:pPr>
        <w:pStyle w:val="Heading2"/>
        <w:rPr>
          <w:lang w:val="en-GB"/>
        </w:rPr>
      </w:pPr>
      <w:r w:rsidRPr="00571974">
        <w:rPr>
          <w:lang w:val="en-GB"/>
        </w:rPr>
        <w:t>Notices</w:t>
      </w:r>
    </w:p>
    <w:p w14:paraId="50E12DEB" w14:textId="77777777" w:rsidR="00542FF4" w:rsidRPr="00571974" w:rsidRDefault="003D4D89" w:rsidP="00542FF4">
      <w:pPr>
        <w:pStyle w:val="BodyText"/>
        <w:widowControl/>
        <w:autoSpaceDE/>
        <w:autoSpaceDN/>
        <w:adjustRightInd/>
        <w:ind w:firstLine="360"/>
        <w:rPr>
          <w:lang w:val="en-GB"/>
        </w:rPr>
      </w:pPr>
      <w:r w:rsidRPr="00571974">
        <w:rPr>
          <w:lang w:val="en-GB"/>
        </w:rPr>
        <w:t>Notices to Holders of Notes will be mailed by first</w:t>
      </w:r>
      <w:r w:rsidRPr="00571974">
        <w:rPr>
          <w:lang w:val="en-GB"/>
        </w:rPr>
        <w:noBreakHyphen/>
        <w:t>class mail (or equivalent) postage prepaid to Holders of Notes at their last registered addresses as they appear in the Notes register. The Issuer and the Company will consider any mailed notice to have been given two Business Days after it has been sent.</w:t>
      </w:r>
    </w:p>
    <w:p w14:paraId="69AB7C6A" w14:textId="66A118F2" w:rsidR="00542FF4" w:rsidRPr="00571974" w:rsidRDefault="003D4D89" w:rsidP="00542FF4">
      <w:pPr>
        <w:pStyle w:val="BodyText"/>
        <w:widowControl/>
        <w:autoSpaceDE/>
        <w:autoSpaceDN/>
        <w:adjustRightInd/>
        <w:ind w:firstLine="360"/>
        <w:rPr>
          <w:lang w:val="en-GB"/>
        </w:rPr>
      </w:pPr>
      <w:r w:rsidRPr="00571974">
        <w:rPr>
          <w:lang w:val="en-GB"/>
        </w:rPr>
        <w:t xml:space="preserve">In addition, for so long as </w:t>
      </w:r>
      <w:r w:rsidR="00402BFF">
        <w:rPr>
          <w:lang w:val="en-GB"/>
        </w:rPr>
        <w:t xml:space="preserve">a given series of </w:t>
      </w:r>
      <w:r w:rsidRPr="00571974">
        <w:rPr>
          <w:lang w:val="en-GB"/>
        </w:rPr>
        <w:t xml:space="preserve">the Notes </w:t>
      </w:r>
      <w:r w:rsidR="00402BFF">
        <w:rPr>
          <w:lang w:val="en-GB"/>
        </w:rPr>
        <w:t>is</w:t>
      </w:r>
      <w:r w:rsidR="00402BFF" w:rsidRPr="00571974">
        <w:rPr>
          <w:lang w:val="en-GB"/>
        </w:rPr>
        <w:t xml:space="preserve"> </w:t>
      </w:r>
      <w:r w:rsidRPr="00571974">
        <w:rPr>
          <w:lang w:val="en-GB"/>
        </w:rPr>
        <w:t>listed on the Official List and admitted to trading on the London Stock Exchange</w:t>
      </w:r>
      <w:r w:rsidR="00A311D8">
        <w:rPr>
          <w:lang w:val="en-GB"/>
        </w:rPr>
        <w:t>’</w:t>
      </w:r>
      <w:r w:rsidRPr="00571974">
        <w:rPr>
          <w:lang w:val="en-GB"/>
        </w:rPr>
        <w:t xml:space="preserve">s Regulated Market, </w:t>
      </w:r>
      <w:r w:rsidR="002B7286" w:rsidRPr="00571974">
        <w:rPr>
          <w:lang w:val="en-GB"/>
        </w:rPr>
        <w:t xml:space="preserve">and the rules of the London Stock Exchange so require, </w:t>
      </w:r>
      <w:r w:rsidRPr="00571974">
        <w:rPr>
          <w:lang w:val="en-GB"/>
        </w:rPr>
        <w:t xml:space="preserve">the Issuer and </w:t>
      </w:r>
      <w:r w:rsidRPr="00571974">
        <w:rPr>
          <w:lang w:val="en-GB"/>
        </w:rPr>
        <w:lastRenderedPageBreak/>
        <w:t xml:space="preserve">the Company will publish notices to the Holders of such Notes in a leading newspaper having general circulation in London, England (which is initially expected to be the </w:t>
      </w:r>
      <w:r w:rsidRPr="00571974">
        <w:rPr>
          <w:i/>
          <w:iCs/>
          <w:lang w:val="en-GB"/>
        </w:rPr>
        <w:t>Financial Times</w:t>
      </w:r>
      <w:r w:rsidRPr="00571974">
        <w:rPr>
          <w:lang w:val="en-GB"/>
        </w:rPr>
        <w:t>) and immediately provide a copy thereof to the Trustee. The Issuer and the Company will consider any published notice to be given on the date of its first publication.</w:t>
      </w:r>
    </w:p>
    <w:p w14:paraId="72D0EBDC" w14:textId="77777777" w:rsidR="00542FF4" w:rsidRPr="00571974" w:rsidRDefault="003D4D89" w:rsidP="00542FF4">
      <w:pPr>
        <w:pStyle w:val="Heading2"/>
        <w:rPr>
          <w:lang w:val="en-GB"/>
        </w:rPr>
      </w:pPr>
      <w:r w:rsidRPr="00571974">
        <w:rPr>
          <w:lang w:val="en-GB"/>
        </w:rPr>
        <w:t>Consent to Service, Submission to Jurisdiction; Enforceability of Judgments</w:t>
      </w:r>
    </w:p>
    <w:p w14:paraId="53F552B4" w14:textId="77777777" w:rsidR="00542FF4" w:rsidRPr="00571974" w:rsidRDefault="003D4D89" w:rsidP="00542FF4">
      <w:pPr>
        <w:pStyle w:val="BodyText"/>
        <w:widowControl/>
        <w:autoSpaceDE/>
        <w:autoSpaceDN/>
        <w:adjustRightInd/>
        <w:ind w:firstLine="360"/>
        <w:rPr>
          <w:lang w:val="en-GB"/>
        </w:rPr>
      </w:pPr>
      <w:r w:rsidRPr="00571974">
        <w:rPr>
          <w:lang w:val="en-GB"/>
        </w:rPr>
        <w:t>Each of the Issuer and the Company will appoint CT Corporation System, as its process agent for any action brought by a holder based on the Indenture or the Notes or Guarantees, as applicable, instituted in any state or federal court in the Borough of Manhattan, The City of New York.</w:t>
      </w:r>
    </w:p>
    <w:p w14:paraId="05729FEE" w14:textId="77777777" w:rsidR="00542FF4" w:rsidRPr="00571974" w:rsidRDefault="003D4D89" w:rsidP="00542FF4">
      <w:pPr>
        <w:pStyle w:val="BodyText"/>
        <w:widowControl/>
        <w:autoSpaceDE/>
        <w:autoSpaceDN/>
        <w:adjustRightInd/>
        <w:ind w:firstLine="360"/>
        <w:rPr>
          <w:lang w:val="en-GB"/>
        </w:rPr>
      </w:pPr>
      <w:r w:rsidRPr="00571974">
        <w:rPr>
          <w:lang w:val="en-GB"/>
        </w:rPr>
        <w:t>Each of the Issuer and the Company will irrevocably submit to the non-exclusive jurisdiction of any state or federal court in the Borough of Manhattan, The City of New York in respect of any action brought by a holder based on the Notes, the Guarantees or the Indenture. Each of the Issuer and the Company will also irrevocably waive, to the extent permitted by applicable law, any objection to the venue of any of these courts in an action of that type. Holders of the Notes may, however, be precluded from initiating actions based on the Notes, the Guarantees or the Indenture in courts other than those mentioned above.</w:t>
      </w:r>
    </w:p>
    <w:p w14:paraId="196E2D74" w14:textId="77777777" w:rsidR="00542FF4" w:rsidRPr="00571974" w:rsidRDefault="003D4D89" w:rsidP="00542FF4">
      <w:pPr>
        <w:pStyle w:val="BodyText"/>
        <w:widowControl/>
        <w:autoSpaceDE/>
        <w:autoSpaceDN/>
        <w:adjustRightInd/>
        <w:ind w:firstLine="360"/>
        <w:rPr>
          <w:lang w:val="en-GB"/>
        </w:rPr>
      </w:pPr>
      <w:r w:rsidRPr="00571974">
        <w:rPr>
          <w:lang w:val="en-GB"/>
        </w:rPr>
        <w:t>Each of the Issuer and the Company will, to the fullest extent permitted by law, irrevocably waive and agree not to plead any immunity from the jurisdiction of any of the above courts in any action based upon the Notes, the Guarantees or the Indenture.</w:t>
      </w:r>
    </w:p>
    <w:p w14:paraId="32D27343" w14:textId="77777777" w:rsidR="00542FF4" w:rsidRPr="00571974" w:rsidRDefault="003D4D89" w:rsidP="00542FF4">
      <w:pPr>
        <w:pStyle w:val="BodyText"/>
        <w:widowControl/>
        <w:autoSpaceDE/>
        <w:autoSpaceDN/>
        <w:adjustRightInd/>
        <w:ind w:firstLine="360"/>
        <w:rPr>
          <w:lang w:val="en-GB"/>
        </w:rPr>
      </w:pPr>
      <w:r w:rsidRPr="00571974">
        <w:rPr>
          <w:lang w:val="en-GB"/>
        </w:rPr>
        <w:t>Since a substantial portion of the assets of each of the Issuer and the Company is outside the United States, any judgment obtained in the United States against the Issuer or the Company, including judgments with respect to the payment of principal, premium, interest and any redemption price and any purchase price with respect to the Notes or payments due under the Guarantee, may not be collectable within the United States.</w:t>
      </w:r>
    </w:p>
    <w:p w14:paraId="4E9CAD0D" w14:textId="77777777" w:rsidR="00542FF4" w:rsidRPr="00571974" w:rsidRDefault="003D4D89" w:rsidP="00542FF4">
      <w:pPr>
        <w:pStyle w:val="Heading2"/>
        <w:rPr>
          <w:lang w:val="en-GB"/>
        </w:rPr>
      </w:pPr>
      <w:r w:rsidRPr="00571974">
        <w:rPr>
          <w:lang w:val="en-GB"/>
        </w:rPr>
        <w:t>Governing Law</w:t>
      </w:r>
    </w:p>
    <w:p w14:paraId="6BA7B226" w14:textId="34B1C81E" w:rsidR="00542FF4" w:rsidRPr="00571974" w:rsidRDefault="00F7022D" w:rsidP="00542FF4">
      <w:pPr>
        <w:pStyle w:val="BodyText"/>
        <w:widowControl/>
        <w:autoSpaceDE/>
        <w:autoSpaceDN/>
        <w:adjustRightInd/>
        <w:ind w:firstLine="360"/>
        <w:rPr>
          <w:lang w:val="en-GB"/>
        </w:rPr>
      </w:pPr>
      <w:r w:rsidRPr="00571974">
        <w:rPr>
          <w:lang w:val="en-GB"/>
        </w:rPr>
        <w:t>The Indenture, the Notes and the Guarantees shall be governed by and construed in accordance with the laws of the State of New York, without regard to principles of conflicts of laws thereof.</w:t>
      </w:r>
    </w:p>
    <w:p w14:paraId="1B6A4143" w14:textId="77777777" w:rsidR="00542FF4" w:rsidRPr="00571974" w:rsidRDefault="003D4D89" w:rsidP="00542FF4">
      <w:pPr>
        <w:pStyle w:val="Heading2"/>
        <w:rPr>
          <w:lang w:val="en-GB"/>
        </w:rPr>
      </w:pPr>
      <w:r w:rsidRPr="00571974">
        <w:rPr>
          <w:lang w:val="en-GB"/>
        </w:rPr>
        <w:t>Book-Entry System; Delivery and Form</w:t>
      </w:r>
    </w:p>
    <w:p w14:paraId="565658B7" w14:textId="77777777" w:rsidR="00542FF4" w:rsidRPr="00571974" w:rsidRDefault="003D4D89" w:rsidP="00542FF4">
      <w:pPr>
        <w:pStyle w:val="BodyText"/>
        <w:widowControl/>
        <w:autoSpaceDE/>
        <w:autoSpaceDN/>
        <w:adjustRightInd/>
        <w:ind w:firstLine="360"/>
        <w:rPr>
          <w:lang w:val="en-GB"/>
        </w:rPr>
      </w:pPr>
      <w:r w:rsidRPr="00571974">
        <w:rPr>
          <w:lang w:val="en-GB"/>
        </w:rPr>
        <w:t>Upon issuance, the Notes will be represented by beneficial interests in Global Notes. Each Global Note will be deposited with, or on behalf of, DTC and registered in the name of Cede &amp; Co., as nominee of DTC. Except under the circumstances described below, Global Notes will not be exchangeable at the option of the holder for certificated notes and Global Notes will not otherwise be issuable in definitive form.</w:t>
      </w:r>
    </w:p>
    <w:p w14:paraId="49965938" w14:textId="33B9654F" w:rsidR="00542FF4" w:rsidRPr="00571974" w:rsidRDefault="003D4D89" w:rsidP="00542FF4">
      <w:pPr>
        <w:pStyle w:val="BodyText"/>
        <w:widowControl/>
        <w:autoSpaceDE/>
        <w:autoSpaceDN/>
        <w:adjustRightInd/>
        <w:ind w:firstLine="360"/>
        <w:rPr>
          <w:lang w:val="en-GB"/>
        </w:rPr>
      </w:pPr>
      <w:r w:rsidRPr="00571974">
        <w:rPr>
          <w:lang w:val="en-GB"/>
        </w:rPr>
        <w:t>Upon issuance of the Global Notes, DTC will credit the respective principal amounts of the Notes represented by the Global Notes to the accounts of institutions that have accounts with DTC or its nominee (called participants of DTC), including Euroclear and Clearstream. The accounts to be credited shall be designated by the Initial Purchasers. Ownership of beneficial interests in the Global Notes will be limited to participants or persons that may hold interests through participants. Ownership of beneficial interest in the Global Notes will be shown on, and the transfer of that ownership will be effected only through, records maintained by DTC or its nominee (with respect to participants</w:t>
      </w:r>
      <w:r w:rsidR="00A311D8">
        <w:rPr>
          <w:lang w:val="en-GB"/>
        </w:rPr>
        <w:t>’</w:t>
      </w:r>
      <w:r w:rsidRPr="00571974">
        <w:rPr>
          <w:lang w:val="en-GB"/>
        </w:rPr>
        <w:t xml:space="preserve"> interests) or by participants or persons that hold through participants. Such beneficial interest shall be in denominations of </w:t>
      </w:r>
      <w:r w:rsidR="003E1CBD" w:rsidRPr="00571974">
        <w:rPr>
          <w:lang w:val="en-GB"/>
        </w:rPr>
        <w:t>US$</w:t>
      </w:r>
      <w:r w:rsidRPr="00571974">
        <w:rPr>
          <w:lang w:val="en-GB"/>
        </w:rPr>
        <w:t xml:space="preserve">200,000 and in multiples of </w:t>
      </w:r>
      <w:r w:rsidR="003E1CBD" w:rsidRPr="00571974">
        <w:rPr>
          <w:lang w:val="en-GB"/>
        </w:rPr>
        <w:t>US$</w:t>
      </w:r>
      <w:r w:rsidRPr="00571974">
        <w:rPr>
          <w:lang w:val="en-GB"/>
        </w:rPr>
        <w:t>1,000 in excess thereof.</w:t>
      </w:r>
    </w:p>
    <w:p w14:paraId="27E99309" w14:textId="77777777" w:rsidR="00542FF4" w:rsidRPr="00571974" w:rsidRDefault="003D4D89" w:rsidP="00542FF4">
      <w:pPr>
        <w:pStyle w:val="BodyText"/>
        <w:widowControl/>
        <w:autoSpaceDE/>
        <w:autoSpaceDN/>
        <w:adjustRightInd/>
        <w:ind w:firstLine="360"/>
        <w:rPr>
          <w:lang w:val="en-GB"/>
        </w:rPr>
      </w:pPr>
      <w:r w:rsidRPr="00571974">
        <w:rPr>
          <w:lang w:val="en-GB"/>
        </w:rPr>
        <w:t>So long as DTC, or its nominee, is the registered owner or holder of the Global Notes, DTC or its nominee, as the case may be, will be considered the sole owner and holder of the Global Notes for all purposes under the Indenture.</w:t>
      </w:r>
    </w:p>
    <w:p w14:paraId="46BA8401" w14:textId="77777777" w:rsidR="00542FF4" w:rsidRPr="00571974" w:rsidRDefault="003D4D89" w:rsidP="00542FF4">
      <w:pPr>
        <w:pStyle w:val="BodyText"/>
        <w:widowControl/>
        <w:autoSpaceDE/>
        <w:autoSpaceDN/>
        <w:adjustRightInd/>
        <w:ind w:firstLine="360"/>
        <w:rPr>
          <w:lang w:val="en-GB"/>
        </w:rPr>
      </w:pPr>
      <w:r w:rsidRPr="00571974">
        <w:rPr>
          <w:lang w:val="en-GB"/>
        </w:rPr>
        <w:t>Except as set forth below, owners of beneficial interests in the Global Notes:</w:t>
      </w:r>
    </w:p>
    <w:p w14:paraId="7C66FBFE" w14:textId="77777777" w:rsidR="00542FF4" w:rsidRPr="00571974" w:rsidRDefault="003D4D89" w:rsidP="00542FF4">
      <w:pPr>
        <w:pStyle w:val="ListBullet"/>
        <w:tabs>
          <w:tab w:val="clear" w:pos="360"/>
          <w:tab w:val="num" w:pos="757"/>
        </w:tabs>
        <w:ind w:left="1163" w:hanging="397"/>
      </w:pPr>
      <w:r w:rsidRPr="00571974">
        <w:t>will not be entitled to have the Notes represented by the Global Notes registered in their names, and</w:t>
      </w:r>
    </w:p>
    <w:p w14:paraId="15DE331E" w14:textId="77777777" w:rsidR="00542FF4" w:rsidRPr="00571974" w:rsidRDefault="003D4D89" w:rsidP="00542FF4">
      <w:pPr>
        <w:pStyle w:val="ListBullet"/>
        <w:tabs>
          <w:tab w:val="clear" w:pos="360"/>
          <w:tab w:val="num" w:pos="757"/>
        </w:tabs>
        <w:ind w:left="1163" w:hanging="397"/>
      </w:pPr>
      <w:r w:rsidRPr="00571974">
        <w:t>will not receive or be entitled to receive physical delivery of Notes in definitive form and will not be considered the owners or holders thereof under the Indenture.</w:t>
      </w:r>
    </w:p>
    <w:p w14:paraId="085BB27C" w14:textId="77777777" w:rsidR="00542FF4" w:rsidRPr="00571974" w:rsidRDefault="003D4D89" w:rsidP="00542FF4">
      <w:pPr>
        <w:pStyle w:val="BodyText"/>
        <w:widowControl/>
        <w:autoSpaceDE/>
        <w:autoSpaceDN/>
        <w:adjustRightInd/>
        <w:ind w:firstLine="360"/>
        <w:rPr>
          <w:lang w:val="en-GB"/>
        </w:rPr>
      </w:pPr>
      <w:r w:rsidRPr="00571974">
        <w:rPr>
          <w:lang w:val="en-GB"/>
        </w:rPr>
        <w:t>Accordingly, each person owning a beneficial interest in the Global Notes must rely on the procedures of DTC, and indirectly Euroclear and Clearstream, and, if such person is not a participant, on the procedures of the participant through which such person owns its interest, to exercise any rights of a holder under the Indenture.</w:t>
      </w:r>
    </w:p>
    <w:p w14:paraId="40DAF572"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Principal and interest payments on Global Notes registered in the name of or held by DTC or its nominee will be made to DTC or its nominee, as the case may be, as the registered owner or holder of the Global Note. None of </w:t>
      </w:r>
      <w:r w:rsidRPr="00571974">
        <w:rPr>
          <w:lang w:val="en-GB"/>
        </w:rPr>
        <w:lastRenderedPageBreak/>
        <w:t>the Issuer, the Company, the Trustee or any paying agent for such Global Notes will have any responsibility or liability for any aspect of the records relating to or payments made on account of beneficial ownership interests in Global Notes or for maintaining, supervising or reviewing any records relating to such beneficial ownership interests.</w:t>
      </w:r>
    </w:p>
    <w:p w14:paraId="2B06EB4F" w14:textId="796AE23A" w:rsidR="00542FF4" w:rsidRPr="00571974" w:rsidRDefault="003D4D89" w:rsidP="00542FF4">
      <w:pPr>
        <w:pStyle w:val="BodyText"/>
        <w:widowControl/>
        <w:autoSpaceDE/>
        <w:autoSpaceDN/>
        <w:adjustRightInd/>
        <w:ind w:firstLine="360"/>
        <w:rPr>
          <w:lang w:val="en-GB"/>
        </w:rPr>
      </w:pPr>
      <w:r w:rsidRPr="00571974">
        <w:rPr>
          <w:lang w:val="en-GB"/>
        </w:rPr>
        <w:t xml:space="preserve">The Issuer expects that DTC, upon receipt of any payments of principal or interest in respect of the Global Notes, will credit the accounts of the related participants (including Euroclear and Clearstream), with payments in amounts proportionate to their respective beneficial interests in the principal amount of the Global Notes as shown on the records of DTC. Payments by participants to owners of beneficial interest in the Global Notes held through such participants will be the responsibility of the participants, as is now the case with securities held for the accounts of customers in bearer form or registered in </w:t>
      </w:r>
      <w:r w:rsidR="00A311D8">
        <w:rPr>
          <w:lang w:val="en-GB"/>
        </w:rPr>
        <w:t>“</w:t>
      </w:r>
      <w:r w:rsidRPr="00571974">
        <w:rPr>
          <w:lang w:val="en-GB"/>
        </w:rPr>
        <w:t>street name</w:t>
      </w:r>
      <w:r w:rsidR="00A311D8">
        <w:rPr>
          <w:lang w:val="en-GB"/>
        </w:rPr>
        <w:t>”</w:t>
      </w:r>
      <w:r w:rsidRPr="00571974">
        <w:rPr>
          <w:lang w:val="en-GB"/>
        </w:rPr>
        <w:t>.</w:t>
      </w:r>
    </w:p>
    <w:p w14:paraId="437E07D2" w14:textId="77777777" w:rsidR="00542FF4" w:rsidRPr="00571974" w:rsidRDefault="003D4D89" w:rsidP="00542FF4">
      <w:pPr>
        <w:pStyle w:val="BodyText"/>
        <w:widowControl/>
        <w:autoSpaceDE/>
        <w:autoSpaceDN/>
        <w:adjustRightInd/>
        <w:ind w:firstLine="360"/>
        <w:rPr>
          <w:lang w:val="en-GB"/>
        </w:rPr>
      </w:pPr>
      <w:r w:rsidRPr="00571974">
        <w:rPr>
          <w:lang w:val="en-GB"/>
        </w:rPr>
        <w:t>Unless and until it is exchanged in whole or in part for Notes in definitive form in accordance with the terms of the Indenture, a Global Note may not be transferred except as a whole by the depositary to a nominee of the depositary or by a nominee of DTC to DTC or another nominee of DTC.</w:t>
      </w:r>
    </w:p>
    <w:p w14:paraId="54FEE020" w14:textId="77777777" w:rsidR="00542FF4" w:rsidRPr="00571974" w:rsidRDefault="003D4D89" w:rsidP="00542FF4">
      <w:pPr>
        <w:pStyle w:val="BodyText"/>
        <w:widowControl/>
        <w:autoSpaceDE/>
        <w:autoSpaceDN/>
        <w:adjustRightInd/>
        <w:ind w:firstLine="360"/>
        <w:rPr>
          <w:lang w:val="en-GB"/>
        </w:rPr>
      </w:pPr>
      <w:r w:rsidRPr="00571974">
        <w:rPr>
          <w:lang w:val="en-GB"/>
        </w:rPr>
        <w:t>If any note, including a Global Note, is mutilated, defaced, stolen, destroyed or lost, such note may be replaced with a replacement note at the office of the registrar or any successor registrar or transfer agent, on payment by the Noteholder of such costs and expenses as may be incurred in connection with the replacement, and on such terms as to evidence and indemnity as we may reasonably require. Mutilated or defaced Notes must be surrendered before replacement Notes will be issued.</w:t>
      </w:r>
    </w:p>
    <w:p w14:paraId="50E9077D" w14:textId="77777777" w:rsidR="00542FF4" w:rsidRPr="00571974" w:rsidRDefault="003D4D89" w:rsidP="007B1404">
      <w:pPr>
        <w:pStyle w:val="Heading3"/>
        <w:rPr>
          <w:lang w:val="en-GB"/>
        </w:rPr>
      </w:pPr>
      <w:r w:rsidRPr="00571974">
        <w:rPr>
          <w:lang w:val="en-GB"/>
        </w:rPr>
        <w:t>Exchanges of Global Notes for Definitive Notes</w:t>
      </w:r>
    </w:p>
    <w:p w14:paraId="16D1146A" w14:textId="77777777" w:rsidR="00542FF4" w:rsidRPr="00571974" w:rsidRDefault="003D4D89" w:rsidP="00542FF4">
      <w:pPr>
        <w:pStyle w:val="BodyText"/>
        <w:widowControl/>
        <w:autoSpaceDE/>
        <w:autoSpaceDN/>
        <w:adjustRightInd/>
        <w:ind w:firstLine="360"/>
        <w:rPr>
          <w:lang w:val="en-GB"/>
        </w:rPr>
      </w:pPr>
      <w:r w:rsidRPr="00571974">
        <w:rPr>
          <w:lang w:val="en-GB"/>
        </w:rPr>
        <w:t>Global Notes shall be exchangeable for definitive notes registered in the names of persons other than DTC or its nominee for such Global Notes only if:</w:t>
      </w:r>
    </w:p>
    <w:p w14:paraId="6E08DD5A" w14:textId="77777777" w:rsidR="00542FF4" w:rsidRPr="00571974" w:rsidRDefault="003D4D89" w:rsidP="00542FF4">
      <w:pPr>
        <w:pStyle w:val="ListBullet"/>
        <w:tabs>
          <w:tab w:val="clear" w:pos="360"/>
          <w:tab w:val="num" w:pos="757"/>
        </w:tabs>
        <w:ind w:left="1163" w:hanging="397"/>
      </w:pPr>
      <w:r w:rsidRPr="00571974">
        <w:t>DTC has notified the Issuer that it is unwilling or unable to continue as depositary or has ceased to be a clearing agency registered under the Exchange Act, and in either case, we have failed to appoint a successor depositary within 90 days of such notice, or</w:t>
      </w:r>
    </w:p>
    <w:p w14:paraId="6520C466" w14:textId="77777777" w:rsidR="00542FF4" w:rsidRPr="00571974" w:rsidRDefault="003D4D89" w:rsidP="00542FF4">
      <w:pPr>
        <w:pStyle w:val="ListBullet"/>
        <w:tabs>
          <w:tab w:val="clear" w:pos="360"/>
          <w:tab w:val="num" w:pos="757"/>
        </w:tabs>
        <w:ind w:left="1163" w:hanging="397"/>
      </w:pPr>
      <w:r w:rsidRPr="00571974">
        <w:t>there shall have occurred and be continuing an Event of Default (as defined in the Indenture) with respect to the Notes; or</w:t>
      </w:r>
    </w:p>
    <w:p w14:paraId="351B5CE4" w14:textId="77777777" w:rsidR="00542FF4" w:rsidRPr="00571974" w:rsidRDefault="003D4D89" w:rsidP="00542FF4">
      <w:pPr>
        <w:pStyle w:val="ListBullet"/>
        <w:tabs>
          <w:tab w:val="clear" w:pos="360"/>
          <w:tab w:val="num" w:pos="757"/>
        </w:tabs>
        <w:ind w:left="1163" w:hanging="397"/>
      </w:pPr>
      <w:r w:rsidRPr="00571974">
        <w:t>the Issuer shall have determined in its sole discretion that the Notes shall no longer be represented by the applicable Global Notes.</w:t>
      </w:r>
    </w:p>
    <w:p w14:paraId="75C75684"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Any Global Note that is exchangeable for definitive notes pursuant to the preceding sentence shall be exchangeable for Notes issuable in denominations of </w:t>
      </w:r>
      <w:r w:rsidR="003E1CBD" w:rsidRPr="00571974">
        <w:rPr>
          <w:lang w:val="en-GB"/>
        </w:rPr>
        <w:t>US$</w:t>
      </w:r>
      <w:r w:rsidRPr="00571974">
        <w:rPr>
          <w:lang w:val="en-GB"/>
        </w:rPr>
        <w:t xml:space="preserve">200,000 and in multiples of </w:t>
      </w:r>
      <w:r w:rsidR="003E1CBD" w:rsidRPr="00571974">
        <w:rPr>
          <w:lang w:val="en-GB"/>
        </w:rPr>
        <w:t>US$</w:t>
      </w:r>
      <w:r w:rsidRPr="00571974">
        <w:rPr>
          <w:lang w:val="en-GB"/>
        </w:rPr>
        <w:t>1,000 in excess thereof and registered in such names as DTC shall direct. Subject to the foregoing, a Global Note shall not be exchangeable, except for a Global Note of like denomination to be registered in the name of DTC or its nominee. Bearer notes will not be issued.</w:t>
      </w:r>
    </w:p>
    <w:p w14:paraId="7B4EEEED" w14:textId="77777777" w:rsidR="00542FF4" w:rsidRPr="00571974" w:rsidRDefault="003D4D89" w:rsidP="007B1404">
      <w:pPr>
        <w:pStyle w:val="Heading3"/>
        <w:rPr>
          <w:lang w:val="en-GB"/>
        </w:rPr>
      </w:pPr>
      <w:r w:rsidRPr="00571974">
        <w:rPr>
          <w:lang w:val="en-GB"/>
        </w:rPr>
        <w:t>Exchanges Between and Among Global Notes</w:t>
      </w:r>
    </w:p>
    <w:p w14:paraId="1E30E65F" w14:textId="75FF409D" w:rsidR="00542FF4" w:rsidRPr="00571974" w:rsidRDefault="003D4D89" w:rsidP="00542FF4">
      <w:pPr>
        <w:pStyle w:val="BodyText"/>
        <w:widowControl/>
        <w:autoSpaceDE/>
        <w:autoSpaceDN/>
        <w:adjustRightInd/>
        <w:ind w:firstLine="360"/>
        <w:rPr>
          <w:lang w:val="en-GB"/>
        </w:rPr>
      </w:pPr>
      <w:r w:rsidRPr="00571974">
        <w:rPr>
          <w:lang w:val="en-GB"/>
        </w:rPr>
        <w:t xml:space="preserve">The </w:t>
      </w:r>
      <w:r w:rsidR="00A311D8">
        <w:rPr>
          <w:lang w:val="en-GB"/>
        </w:rPr>
        <w:t>“</w:t>
      </w:r>
      <w:r w:rsidRPr="00571974">
        <w:rPr>
          <w:lang w:val="en-GB"/>
        </w:rPr>
        <w:t>distribution compliance period</w:t>
      </w:r>
      <w:r w:rsidR="00A311D8">
        <w:rPr>
          <w:lang w:val="en-GB"/>
        </w:rPr>
        <w:t>”</w:t>
      </w:r>
      <w:r w:rsidRPr="00571974">
        <w:rPr>
          <w:lang w:val="en-GB"/>
        </w:rPr>
        <w:t>, as defined in Regulation S, will begin on the closing date and end 40 days after the closing date of the offering.</w:t>
      </w:r>
    </w:p>
    <w:p w14:paraId="5502901F" w14:textId="77777777" w:rsidR="00542FF4" w:rsidRPr="00571974" w:rsidRDefault="003D4D89" w:rsidP="00542FF4">
      <w:pPr>
        <w:pStyle w:val="BodyText"/>
        <w:widowControl/>
        <w:autoSpaceDE/>
        <w:autoSpaceDN/>
        <w:adjustRightInd/>
        <w:ind w:firstLine="360"/>
        <w:rPr>
          <w:lang w:val="en-GB"/>
        </w:rPr>
      </w:pPr>
      <w:r w:rsidRPr="00571974">
        <w:rPr>
          <w:lang w:val="en-GB"/>
        </w:rPr>
        <w:t>Beneficial interests in one Global Note may generally be exchanged for interests in another Global Note. Depending on whether the transfer is being made during or after the distribution compliance period, and to which Global Note the transfer is being made, the Trustee may require the seller to provide certain written certifications in the form provided in the Indenture.</w:t>
      </w:r>
    </w:p>
    <w:p w14:paraId="5E5FC549" w14:textId="77777777" w:rsidR="00542FF4" w:rsidRPr="00571974" w:rsidRDefault="003D4D89" w:rsidP="00542FF4">
      <w:pPr>
        <w:pStyle w:val="BodyText"/>
        <w:widowControl/>
        <w:autoSpaceDE/>
        <w:autoSpaceDN/>
        <w:adjustRightInd/>
        <w:ind w:firstLine="360"/>
        <w:rPr>
          <w:lang w:val="en-GB"/>
        </w:rPr>
      </w:pPr>
      <w:r w:rsidRPr="00571974">
        <w:rPr>
          <w:lang w:val="en-GB"/>
        </w:rPr>
        <w:t>A beneficial interest in a Global Note that is transferred to a person who takes delivery through another Global Note will, upon transfer, become subject to any transfer restrictions and other procedures applicable to beneficial interests in the other Global Note.</w:t>
      </w:r>
    </w:p>
    <w:p w14:paraId="1B205B10" w14:textId="77777777" w:rsidR="00542FF4" w:rsidRPr="00571974" w:rsidRDefault="003D4D89" w:rsidP="007B1404">
      <w:pPr>
        <w:pStyle w:val="Heading3"/>
        <w:rPr>
          <w:lang w:val="en-GB"/>
        </w:rPr>
      </w:pPr>
      <w:r w:rsidRPr="00571974">
        <w:rPr>
          <w:lang w:val="en-GB"/>
        </w:rPr>
        <w:t>Transfers from Definitive Notes to Global Notes</w:t>
      </w:r>
    </w:p>
    <w:p w14:paraId="43522A9C" w14:textId="77777777" w:rsidR="00542FF4" w:rsidRPr="00571974" w:rsidRDefault="003D4D89" w:rsidP="00542FF4">
      <w:pPr>
        <w:pStyle w:val="BodyText"/>
        <w:widowControl/>
        <w:autoSpaceDE/>
        <w:autoSpaceDN/>
        <w:adjustRightInd/>
        <w:ind w:firstLine="360"/>
        <w:rPr>
          <w:lang w:val="en-GB"/>
        </w:rPr>
      </w:pPr>
      <w:r w:rsidRPr="00571974">
        <w:rPr>
          <w:lang w:val="en-GB"/>
        </w:rPr>
        <w:t>Definitive notes, if any, may be transferred or exchanged for a beneficial interest in the relevant Global Note in accordance with the procedures described in the Indenture.</w:t>
      </w:r>
    </w:p>
    <w:p w14:paraId="42398C8C" w14:textId="77777777" w:rsidR="00542FF4" w:rsidRPr="00571974" w:rsidRDefault="003D4D89" w:rsidP="00542FF4">
      <w:pPr>
        <w:pStyle w:val="Heading1"/>
        <w:ind w:firstLine="709"/>
        <w:rPr>
          <w:lang w:val="en-GB"/>
        </w:rPr>
      </w:pPr>
      <w:r w:rsidRPr="00571974">
        <w:rPr>
          <w:lang w:val="en-GB"/>
        </w:rPr>
        <w:br w:type="page"/>
      </w:r>
    </w:p>
    <w:p w14:paraId="34D1A396" w14:textId="77777777" w:rsidR="00542FF4" w:rsidRPr="00571974" w:rsidRDefault="003D4D89" w:rsidP="00542FF4">
      <w:pPr>
        <w:pStyle w:val="Heading1"/>
        <w:rPr>
          <w:lang w:val="en-GB"/>
        </w:rPr>
      </w:pPr>
      <w:bookmarkStart w:id="92" w:name="_Toc475546291"/>
      <w:bookmarkStart w:id="93" w:name="_Toc36388970"/>
      <w:r w:rsidRPr="00571974">
        <w:rPr>
          <w:lang w:val="en-GB"/>
        </w:rPr>
        <w:lastRenderedPageBreak/>
        <w:t>BOOK-ENTRY SETTLEMENT AND CLEARANCE</w:t>
      </w:r>
      <w:bookmarkEnd w:id="92"/>
      <w:bookmarkEnd w:id="93"/>
    </w:p>
    <w:p w14:paraId="697D8B54" w14:textId="77777777" w:rsidR="00542FF4" w:rsidRPr="00571974" w:rsidRDefault="003D4D89" w:rsidP="00542FF4">
      <w:pPr>
        <w:pStyle w:val="Heading2"/>
        <w:rPr>
          <w:lang w:val="en-GB"/>
        </w:rPr>
      </w:pPr>
      <w:r w:rsidRPr="00571974">
        <w:rPr>
          <w:lang w:val="en-GB"/>
        </w:rPr>
        <w:t>The Global Notes</w:t>
      </w:r>
    </w:p>
    <w:p w14:paraId="10570D8E" w14:textId="34D8FD1B" w:rsidR="00542FF4" w:rsidRPr="00571974" w:rsidRDefault="00402BFF" w:rsidP="00542FF4">
      <w:pPr>
        <w:pStyle w:val="BodyText"/>
        <w:widowControl/>
        <w:autoSpaceDE/>
        <w:autoSpaceDN/>
        <w:adjustRightInd/>
        <w:ind w:firstLine="360"/>
        <w:rPr>
          <w:lang w:val="en-GB"/>
        </w:rPr>
      </w:pPr>
      <w:r>
        <w:rPr>
          <w:lang w:val="en-GB"/>
        </w:rPr>
        <w:t>Each series of t</w:t>
      </w:r>
      <w:r w:rsidR="003D4D89" w:rsidRPr="00571974">
        <w:rPr>
          <w:lang w:val="en-GB"/>
        </w:rPr>
        <w:t>he</w:t>
      </w:r>
      <w:r w:rsidR="00F7022D" w:rsidRPr="00571974">
        <w:rPr>
          <w:lang w:val="en-GB"/>
        </w:rPr>
        <w:t xml:space="preserve"> Notes will be issued in the form of several registered notes in global form, without interest coupons, which we refer to as the Global Notes, as follows:</w:t>
      </w:r>
    </w:p>
    <w:p w14:paraId="76AFB39C" w14:textId="77777777" w:rsidR="00542FF4" w:rsidRPr="00571974" w:rsidRDefault="003D4D89" w:rsidP="00542FF4">
      <w:pPr>
        <w:pStyle w:val="ListBullet"/>
        <w:tabs>
          <w:tab w:val="clear" w:pos="360"/>
          <w:tab w:val="num" w:pos="757"/>
        </w:tabs>
        <w:ind w:left="1163" w:hanging="397"/>
      </w:pPr>
      <w:r w:rsidRPr="00571974">
        <w:t>Notes sold to qualified institutional buyers under Rule 144A will be represented by one or more Rule 144A Global Notes; and</w:t>
      </w:r>
    </w:p>
    <w:p w14:paraId="4D8A5C43" w14:textId="77777777" w:rsidR="00542FF4" w:rsidRPr="00571974" w:rsidRDefault="003D4D89" w:rsidP="00542FF4">
      <w:pPr>
        <w:pStyle w:val="ListBullet"/>
        <w:tabs>
          <w:tab w:val="clear" w:pos="360"/>
          <w:tab w:val="num" w:pos="757"/>
        </w:tabs>
        <w:ind w:left="1163" w:hanging="397"/>
      </w:pPr>
      <w:r w:rsidRPr="00571974">
        <w:t>Notes sold in offshore transactions to non-</w:t>
      </w:r>
      <w:r w:rsidR="006D150F" w:rsidRPr="00571974">
        <w:t>U.S.</w:t>
      </w:r>
      <w:r w:rsidRPr="00571974">
        <w:t xml:space="preserve"> persons in reliance on Regulation S will be represented by one or more Regulation S Global Notes.</w:t>
      </w:r>
    </w:p>
    <w:p w14:paraId="50024217" w14:textId="77777777" w:rsidR="00542FF4" w:rsidRPr="00571974" w:rsidRDefault="003D4D89" w:rsidP="00542FF4">
      <w:pPr>
        <w:pStyle w:val="BodyText"/>
        <w:widowControl/>
        <w:autoSpaceDE/>
        <w:autoSpaceDN/>
        <w:adjustRightInd/>
        <w:ind w:firstLine="360"/>
        <w:rPr>
          <w:lang w:val="en-GB"/>
        </w:rPr>
      </w:pPr>
      <w:r w:rsidRPr="00571974">
        <w:rPr>
          <w:lang w:val="en-GB"/>
        </w:rPr>
        <w:t>Upon issuance, each of the Global Notes will be deposited with the Registrar and Transfer Agent as custodian for DTC and registered in the name of Cede &amp; Co., as nominee of DTC.</w:t>
      </w:r>
    </w:p>
    <w:p w14:paraId="01AE5EB3" w14:textId="77777777" w:rsidR="00542FF4" w:rsidRPr="00571974" w:rsidRDefault="003D4D89" w:rsidP="00542FF4">
      <w:pPr>
        <w:pStyle w:val="BodyText"/>
        <w:widowControl/>
        <w:autoSpaceDE/>
        <w:autoSpaceDN/>
        <w:adjustRightInd/>
        <w:ind w:firstLine="360"/>
        <w:rPr>
          <w:lang w:val="en-GB"/>
        </w:rPr>
      </w:pPr>
      <w:r w:rsidRPr="00571974">
        <w:rPr>
          <w:lang w:val="en-GB"/>
        </w:rPr>
        <w:t>Ownership of beneficial interests in each Global Note will be limited to persons who have accounts with DTC, or DTC participants, or persons who hold interests through DTC participants. We expect that under procedures established by DTC:</w:t>
      </w:r>
    </w:p>
    <w:p w14:paraId="1973B38D" w14:textId="735AE850" w:rsidR="00542FF4" w:rsidRPr="00571974" w:rsidRDefault="003D4D89" w:rsidP="00542FF4">
      <w:pPr>
        <w:pStyle w:val="ListBullet"/>
        <w:tabs>
          <w:tab w:val="clear" w:pos="360"/>
          <w:tab w:val="num" w:pos="757"/>
        </w:tabs>
        <w:ind w:left="1163" w:hanging="397"/>
      </w:pPr>
      <w:r w:rsidRPr="00571974">
        <w:t>upon deposit of each Global Note with DTC</w:t>
      </w:r>
      <w:r w:rsidR="00A311D8">
        <w:t>’</w:t>
      </w:r>
      <w:r w:rsidRPr="00571974">
        <w:t>s custodian, DTC will credit portions of the principal amount of the Global Note to the accounts of the DTC participants designated by the Initial Purchasers; and</w:t>
      </w:r>
    </w:p>
    <w:p w14:paraId="06BBD662" w14:textId="77777777" w:rsidR="00542FF4" w:rsidRPr="00571974" w:rsidRDefault="003D4D89" w:rsidP="00542FF4">
      <w:pPr>
        <w:pStyle w:val="ListBullet"/>
        <w:tabs>
          <w:tab w:val="clear" w:pos="360"/>
          <w:tab w:val="num" w:pos="757"/>
        </w:tabs>
        <w:ind w:left="1163" w:hanging="397"/>
      </w:pPr>
      <w:r w:rsidRPr="00571974">
        <w:t>ownership of beneficial interests in each Global Note will be shown on, and transfer of ownership of those interests will be effected only through, records maintained by DTC (with respect to interests of DTC participants) and the records of DTC participants (with respect to other owners of beneficial interests in the Global Note).</w:t>
      </w:r>
    </w:p>
    <w:p w14:paraId="6F1C33E2" w14:textId="19AC964D" w:rsidR="00542FF4" w:rsidRPr="00571974" w:rsidRDefault="003D4D89" w:rsidP="00542FF4">
      <w:pPr>
        <w:pStyle w:val="BodyText"/>
        <w:widowControl/>
        <w:autoSpaceDE/>
        <w:autoSpaceDN/>
        <w:adjustRightInd/>
        <w:ind w:firstLine="360"/>
        <w:rPr>
          <w:lang w:val="en-GB"/>
        </w:rPr>
      </w:pPr>
      <w:r w:rsidRPr="00571974">
        <w:rPr>
          <w:lang w:val="en-GB"/>
        </w:rPr>
        <w:t xml:space="preserve">Each Global Note and beneficial interests in each Global Note will be subject to restrictions on transfer as described under </w:t>
      </w:r>
      <w:r w:rsidR="00A311D8">
        <w:rPr>
          <w:lang w:val="en-GB"/>
        </w:rPr>
        <w:t>“</w:t>
      </w:r>
      <w:r w:rsidRPr="00571974">
        <w:rPr>
          <w:lang w:val="en-GB"/>
        </w:rPr>
        <w:t>Transfer Restrictions</w:t>
      </w:r>
      <w:r w:rsidR="00A311D8">
        <w:rPr>
          <w:lang w:val="en-GB"/>
        </w:rPr>
        <w:t>”</w:t>
      </w:r>
      <w:r w:rsidRPr="00571974">
        <w:rPr>
          <w:lang w:val="en-GB"/>
        </w:rPr>
        <w:t>.</w:t>
      </w:r>
    </w:p>
    <w:p w14:paraId="27FF4D7A" w14:textId="5BEB2A3F" w:rsidR="00542FF4" w:rsidRPr="00571974" w:rsidRDefault="003D4D89" w:rsidP="00542FF4">
      <w:pPr>
        <w:pStyle w:val="BodyText"/>
        <w:widowControl/>
        <w:autoSpaceDE/>
        <w:autoSpaceDN/>
        <w:adjustRightInd/>
        <w:ind w:firstLine="360"/>
        <w:rPr>
          <w:lang w:val="en-GB"/>
        </w:rPr>
      </w:pPr>
      <w:r w:rsidRPr="00571974">
        <w:rPr>
          <w:lang w:val="en-GB"/>
        </w:rPr>
        <w:t xml:space="preserve">See </w:t>
      </w:r>
      <w:r w:rsidR="00A311D8">
        <w:rPr>
          <w:lang w:val="en-GB"/>
        </w:rPr>
        <w:t>“</w:t>
      </w:r>
      <w:r w:rsidRPr="00571974">
        <w:rPr>
          <w:lang w:val="en-GB"/>
        </w:rPr>
        <w:t>Description of the Notes and the Guarantees—Book-Entry System; Delivery and Form</w:t>
      </w:r>
      <w:r w:rsidR="00A311D8">
        <w:rPr>
          <w:lang w:val="en-GB"/>
        </w:rPr>
        <w:t>”</w:t>
      </w:r>
      <w:r w:rsidRPr="00571974">
        <w:rPr>
          <w:lang w:val="en-GB"/>
        </w:rPr>
        <w:t>.</w:t>
      </w:r>
    </w:p>
    <w:p w14:paraId="084C1C36" w14:textId="77777777" w:rsidR="00542FF4" w:rsidRPr="00571974" w:rsidRDefault="003D4D89" w:rsidP="00542FF4">
      <w:pPr>
        <w:pStyle w:val="Heading2"/>
        <w:rPr>
          <w:lang w:val="en-GB"/>
        </w:rPr>
      </w:pPr>
      <w:r w:rsidRPr="00571974">
        <w:rPr>
          <w:lang w:val="en-GB"/>
        </w:rPr>
        <w:t>Book-Entry Procedures for the Global Notes</w:t>
      </w:r>
    </w:p>
    <w:p w14:paraId="6AE303C1" w14:textId="77777777" w:rsidR="00542FF4" w:rsidRPr="00571974" w:rsidRDefault="003D4D89" w:rsidP="00542FF4">
      <w:pPr>
        <w:pStyle w:val="BodyText"/>
        <w:widowControl/>
        <w:autoSpaceDE/>
        <w:autoSpaceDN/>
        <w:adjustRightInd/>
        <w:ind w:firstLine="360"/>
        <w:rPr>
          <w:lang w:val="en-GB"/>
        </w:rPr>
      </w:pPr>
      <w:r w:rsidRPr="00571974">
        <w:rPr>
          <w:lang w:val="en-GB"/>
        </w:rPr>
        <w:t>All interests in the Global Notes will be subject to the operations and procedures of DTC, Euroclear and Clearstream. We provide the following summaries of those operations and procedures solely for the convenience of investors. The information in this section concerning DTC, Euroclear and Clearstream, Luxembourg (referred to herein as Clearstream) and their book-entry systems has been obtained from sources that we believe to be reliable, but neither we nor the Initial Purchasers take any responsibility for or make any representation or warranty with respect to the accuracy of this information. DTC, Euroclear and Clearstream are under no obligation to follow the procedures described herein to facilitate the transfer of interest in Global Notes among participants and account holders of DTC, Euroclear and Clearstream, and such procedures may be discontinued or modified at any time. Neither we, the Company, the Trustee nor any paying agent will have any responsibility for the performance of DTC, Euroclear and Clearstream or their respective participants or indirect participants of their respective obligations under the rules and procedures governing their operations.</w:t>
      </w:r>
    </w:p>
    <w:p w14:paraId="2213EF89" w14:textId="77777777" w:rsidR="00542FF4" w:rsidRPr="00571974" w:rsidRDefault="003D4D89" w:rsidP="00542FF4">
      <w:pPr>
        <w:pStyle w:val="BodyText"/>
        <w:widowControl/>
        <w:autoSpaceDE/>
        <w:autoSpaceDN/>
        <w:adjustRightInd/>
        <w:ind w:firstLine="360"/>
        <w:rPr>
          <w:lang w:val="en-GB"/>
        </w:rPr>
      </w:pPr>
      <w:r w:rsidRPr="00571974">
        <w:rPr>
          <w:lang w:val="en-GB"/>
        </w:rPr>
        <w:t>DTC has advised us that it is:</w:t>
      </w:r>
    </w:p>
    <w:p w14:paraId="71D92E50" w14:textId="77777777" w:rsidR="00542FF4" w:rsidRPr="00571974" w:rsidRDefault="003D4D89" w:rsidP="00542FF4">
      <w:pPr>
        <w:pStyle w:val="ListBullet"/>
        <w:tabs>
          <w:tab w:val="clear" w:pos="360"/>
          <w:tab w:val="num" w:pos="757"/>
        </w:tabs>
        <w:ind w:left="1163" w:hanging="397"/>
      </w:pPr>
      <w:r w:rsidRPr="00571974">
        <w:t>a limited purpose trust company organized under the laws of the State of New York;</w:t>
      </w:r>
    </w:p>
    <w:p w14:paraId="33D2A135" w14:textId="205EFCB1" w:rsidR="00542FF4" w:rsidRPr="00571974" w:rsidRDefault="003D4D89" w:rsidP="00542FF4">
      <w:pPr>
        <w:pStyle w:val="ListBullet"/>
        <w:tabs>
          <w:tab w:val="clear" w:pos="360"/>
          <w:tab w:val="num" w:pos="757"/>
        </w:tabs>
        <w:ind w:left="1163" w:hanging="397"/>
      </w:pPr>
      <w:r w:rsidRPr="00571974">
        <w:t xml:space="preserve">a </w:t>
      </w:r>
      <w:r w:rsidR="00A311D8">
        <w:t>“</w:t>
      </w:r>
      <w:r w:rsidRPr="00571974">
        <w:t>banking organization</w:t>
      </w:r>
      <w:r w:rsidR="00A311D8">
        <w:t>”</w:t>
      </w:r>
      <w:r w:rsidRPr="00571974">
        <w:t xml:space="preserve"> within the meaning of the New York State Banking Law;</w:t>
      </w:r>
    </w:p>
    <w:p w14:paraId="327F48B2" w14:textId="77777777" w:rsidR="00542FF4" w:rsidRPr="00571974" w:rsidRDefault="003D4D89" w:rsidP="00542FF4">
      <w:pPr>
        <w:pStyle w:val="ListBullet"/>
        <w:tabs>
          <w:tab w:val="clear" w:pos="360"/>
          <w:tab w:val="num" w:pos="757"/>
        </w:tabs>
        <w:ind w:left="1163" w:hanging="397"/>
      </w:pPr>
      <w:r w:rsidRPr="00571974">
        <w:t>a member of the Federal Reserve System;</w:t>
      </w:r>
    </w:p>
    <w:p w14:paraId="5814915B" w14:textId="504672D8" w:rsidR="00542FF4" w:rsidRPr="00571974" w:rsidRDefault="003D4D89" w:rsidP="00542FF4">
      <w:pPr>
        <w:pStyle w:val="ListBullet"/>
        <w:tabs>
          <w:tab w:val="clear" w:pos="360"/>
          <w:tab w:val="num" w:pos="757"/>
        </w:tabs>
        <w:ind w:left="1163" w:hanging="397"/>
      </w:pPr>
      <w:r w:rsidRPr="00571974">
        <w:t xml:space="preserve">a </w:t>
      </w:r>
      <w:r w:rsidR="00A311D8">
        <w:t>“</w:t>
      </w:r>
      <w:r w:rsidRPr="00571974">
        <w:t>clearing corporation</w:t>
      </w:r>
      <w:r w:rsidR="00A311D8">
        <w:t>”</w:t>
      </w:r>
      <w:r w:rsidRPr="00571974">
        <w:t xml:space="preserve"> within the meaning of the Uniform Commercial Code; and</w:t>
      </w:r>
    </w:p>
    <w:p w14:paraId="28192ED8" w14:textId="587E447D" w:rsidR="00542FF4" w:rsidRPr="00571974" w:rsidRDefault="003D4D89" w:rsidP="00542FF4">
      <w:pPr>
        <w:pStyle w:val="ListBullet"/>
        <w:tabs>
          <w:tab w:val="clear" w:pos="360"/>
          <w:tab w:val="num" w:pos="757"/>
        </w:tabs>
        <w:ind w:left="1163" w:hanging="397"/>
      </w:pPr>
      <w:r w:rsidRPr="00571974">
        <w:t xml:space="preserve">a </w:t>
      </w:r>
      <w:r w:rsidR="00A311D8">
        <w:t>“</w:t>
      </w:r>
      <w:r w:rsidRPr="00571974">
        <w:t>clearing agency</w:t>
      </w:r>
      <w:r w:rsidR="00A311D8">
        <w:t>”</w:t>
      </w:r>
      <w:r w:rsidRPr="00571974">
        <w:t xml:space="preserve"> registered under Section 17A of the Securities Exchange Act of 1934.</w:t>
      </w:r>
    </w:p>
    <w:p w14:paraId="6926E5B0" w14:textId="194662A2" w:rsidR="00542FF4" w:rsidRPr="00571974" w:rsidRDefault="003D4D89" w:rsidP="00542FF4">
      <w:pPr>
        <w:pStyle w:val="BodyText"/>
        <w:widowControl/>
        <w:autoSpaceDE/>
        <w:autoSpaceDN/>
        <w:adjustRightInd/>
        <w:ind w:firstLine="360"/>
        <w:rPr>
          <w:lang w:val="en-GB"/>
        </w:rPr>
      </w:pPr>
      <w:r w:rsidRPr="00571974">
        <w:rPr>
          <w:lang w:val="en-GB"/>
        </w:rPr>
        <w:t>DTC was created to hold securities for its participants and to facilitate the clearance and settlement of securities transactions between its participants through electronic book-entry changes to the accounts of its participants. DTC</w:t>
      </w:r>
      <w:r w:rsidR="00A311D8">
        <w:rPr>
          <w:lang w:val="en-GB"/>
        </w:rPr>
        <w:t>’</w:t>
      </w:r>
      <w:r w:rsidRPr="00571974">
        <w:rPr>
          <w:lang w:val="en-GB"/>
        </w:rPr>
        <w:t>s participants include securities brokers and dealers, including the Initial Purchasers; banks and trust companies; clearing corporations and other organizations. Indirect access to DTC</w:t>
      </w:r>
      <w:r w:rsidR="00A311D8">
        <w:rPr>
          <w:lang w:val="en-GB"/>
        </w:rPr>
        <w:t>’</w:t>
      </w:r>
      <w:r w:rsidRPr="00571974">
        <w:rPr>
          <w:lang w:val="en-GB"/>
        </w:rPr>
        <w:t xml:space="preserve">s system is also available to others such as banks, brokers, dealers and trust companies; these indirect participants clear through or maintain a custodial relationship with a DTC participant, either directly or indirectly. Investors who are not DTC participants may </w:t>
      </w:r>
      <w:r w:rsidRPr="00571974">
        <w:rPr>
          <w:lang w:val="en-GB"/>
        </w:rPr>
        <w:lastRenderedPageBreak/>
        <w:t>beneficially own securities held by or on behalf of DTC only through DTC participants or indirect participants in DTC.</w:t>
      </w:r>
    </w:p>
    <w:p w14:paraId="14468D3F" w14:textId="602A58BB" w:rsidR="00542FF4" w:rsidRPr="00571974" w:rsidRDefault="003D4D89" w:rsidP="00542FF4">
      <w:pPr>
        <w:pStyle w:val="BodyText"/>
        <w:widowControl/>
        <w:autoSpaceDE/>
        <w:autoSpaceDN/>
        <w:adjustRightInd/>
        <w:ind w:firstLine="360"/>
        <w:rPr>
          <w:lang w:val="en-GB"/>
        </w:rPr>
      </w:pPr>
      <w:r w:rsidRPr="00571974">
        <w:rPr>
          <w:lang w:val="en-GB"/>
        </w:rPr>
        <w:t>So long as DTC</w:t>
      </w:r>
      <w:r w:rsidR="00A311D8">
        <w:rPr>
          <w:lang w:val="en-GB"/>
        </w:rPr>
        <w:t>’</w:t>
      </w:r>
      <w:r w:rsidRPr="00571974">
        <w:rPr>
          <w:lang w:val="en-GB"/>
        </w:rPr>
        <w:t>s nominee is the registered owner of a Global Note, that nominee will be considered the sole owner or holder of the Notes represented by that Global Note for all purposes under the Indenture.</w:t>
      </w:r>
    </w:p>
    <w:p w14:paraId="71A56A79" w14:textId="77777777" w:rsidR="00542FF4" w:rsidRPr="00571974" w:rsidRDefault="003D4D89" w:rsidP="00542FF4">
      <w:pPr>
        <w:pStyle w:val="BodyText"/>
        <w:widowControl/>
        <w:autoSpaceDE/>
        <w:autoSpaceDN/>
        <w:adjustRightInd/>
        <w:ind w:firstLine="360"/>
        <w:rPr>
          <w:lang w:val="en-GB"/>
        </w:rPr>
      </w:pPr>
      <w:r w:rsidRPr="00571974">
        <w:rPr>
          <w:lang w:val="en-GB"/>
        </w:rPr>
        <w:t>As a result, each investor who owns a beneficial interest in a Global Note must rely on the procedures of DTC to exercise any rights of a holder of Notes under the Indenture (and, if the investor is not a participant or an indirect participant in DTC, on the procedures of the DTC participant through which the investor owns its interest).</w:t>
      </w:r>
    </w:p>
    <w:p w14:paraId="71F293D2" w14:textId="78AD5D92" w:rsidR="00542FF4" w:rsidRPr="00571974" w:rsidRDefault="003D4D89" w:rsidP="00542FF4">
      <w:pPr>
        <w:pStyle w:val="BodyText"/>
        <w:widowControl/>
        <w:autoSpaceDE/>
        <w:autoSpaceDN/>
        <w:adjustRightInd/>
        <w:ind w:firstLine="360"/>
        <w:rPr>
          <w:lang w:val="en-GB"/>
        </w:rPr>
      </w:pPr>
      <w:r w:rsidRPr="00571974">
        <w:rPr>
          <w:lang w:val="en-GB"/>
        </w:rPr>
        <w:t>Payments of principal, premium (if any) and interest with respect to the Notes represented by a Global Note will be made by the Paying Agent to DTC</w:t>
      </w:r>
      <w:r w:rsidR="00A311D8">
        <w:rPr>
          <w:lang w:val="en-GB"/>
        </w:rPr>
        <w:t>’</w:t>
      </w:r>
      <w:r w:rsidRPr="00571974">
        <w:rPr>
          <w:lang w:val="en-GB"/>
        </w:rPr>
        <w:t>s nominee as the registered holder of the Global Note. Neither we nor the Paying Agent will have any responsibility or liability for the payment of amounts to owners of beneficial interests in a Global Note, for any aspect of the records relating to or payments made on account of those interests by DTC, or for maintaining, supervising or reviewing any records of DTC relating to those interests.</w:t>
      </w:r>
    </w:p>
    <w:p w14:paraId="021DE6D7" w14:textId="77777777" w:rsidR="00542FF4" w:rsidRPr="00571974" w:rsidRDefault="003D4D89" w:rsidP="00542FF4">
      <w:pPr>
        <w:pStyle w:val="BodyText"/>
        <w:widowControl/>
        <w:autoSpaceDE/>
        <w:autoSpaceDN/>
        <w:adjustRightInd/>
        <w:ind w:firstLine="360"/>
        <w:rPr>
          <w:lang w:val="en-GB"/>
        </w:rPr>
      </w:pPr>
      <w:r w:rsidRPr="00571974">
        <w:rPr>
          <w:lang w:val="en-GB"/>
        </w:rPr>
        <w:t>Payments by participants and indirect participants in DTC to the owners of beneficial interests in a Global Note will be governed by standing instructions and customary industry practice and will be the responsibility of those participants or indirect participants and DTC.</w:t>
      </w:r>
    </w:p>
    <w:p w14:paraId="502D69D8" w14:textId="42459CFF" w:rsidR="00542FF4" w:rsidRPr="00571974" w:rsidRDefault="003D4D89" w:rsidP="00542FF4">
      <w:pPr>
        <w:pStyle w:val="BodyText"/>
        <w:widowControl/>
        <w:autoSpaceDE/>
        <w:autoSpaceDN/>
        <w:adjustRightInd/>
        <w:ind w:firstLine="360"/>
        <w:rPr>
          <w:lang w:val="en-GB"/>
        </w:rPr>
      </w:pPr>
      <w:r w:rsidRPr="00571974">
        <w:rPr>
          <w:lang w:val="en-GB"/>
        </w:rPr>
        <w:t>Transfers between participants in DTC will be effected under DTC</w:t>
      </w:r>
      <w:r w:rsidR="00A311D8">
        <w:rPr>
          <w:lang w:val="en-GB"/>
        </w:rPr>
        <w:t>’</w:t>
      </w:r>
      <w:r w:rsidRPr="00571974">
        <w:rPr>
          <w:lang w:val="en-GB"/>
        </w:rPr>
        <w:t>s procedures and will be settled in same-day funds. Transfers between participants in Euroclear or Clearstream will be effected in the ordinary way under the rules and operating procedures of those systems.</w:t>
      </w:r>
    </w:p>
    <w:p w14:paraId="794275F5" w14:textId="77777777" w:rsidR="00542FF4" w:rsidRPr="00571974" w:rsidRDefault="003D4D89" w:rsidP="00542FF4">
      <w:pPr>
        <w:pStyle w:val="BodyText"/>
        <w:widowControl/>
        <w:autoSpaceDE/>
        <w:autoSpaceDN/>
        <w:adjustRightInd/>
        <w:ind w:firstLine="360"/>
        <w:rPr>
          <w:lang w:val="en-GB"/>
        </w:rPr>
      </w:pPr>
      <w:r w:rsidRPr="00571974">
        <w:rPr>
          <w:lang w:val="en-GB"/>
        </w:rPr>
        <w:t>Cross-market transfers between DTC participants, on the one hand, and Euroclear or Clearstream participants, on the other hand, will be effected within DTC through the DTC participants that are acting as depositaries for Euroclear and Clearstream. To deliver or receive an interest in a Global Note held in a Euroclear or Clearstream account, an investor must send transfer instructions to Euroclear or Clearstream, as the case may be, under the rules and procedures of that system and within the established deadlines of that system. If the transaction meets its settlement requirements, Euroclear or Clearstream, as the case may be, will send instructions to its DTC depositary to take action to effect final settlement by delivering or receiving interests in the relevant Global Notes in DTC, and making or receiving payment under normal procedures for same-day funds settlement applicable to DTC. Euroclear and Clearstream participants may not deliver instructions directly to the DTC depositaries that are acting for Euroclear or Clearstream.</w:t>
      </w:r>
    </w:p>
    <w:p w14:paraId="05B43DD4" w14:textId="77777777" w:rsidR="00542FF4" w:rsidRPr="00571974" w:rsidRDefault="003D4D89" w:rsidP="00542FF4">
      <w:pPr>
        <w:pStyle w:val="BodyText"/>
        <w:widowControl/>
        <w:autoSpaceDE/>
        <w:autoSpaceDN/>
        <w:adjustRightInd/>
        <w:ind w:firstLine="360"/>
        <w:rPr>
          <w:lang w:val="en-GB"/>
        </w:rPr>
      </w:pPr>
      <w:r w:rsidRPr="00571974">
        <w:rPr>
          <w:lang w:val="en-GB"/>
        </w:rPr>
        <w:t>Because of time zone differences, the securities account of a Euroclear or Clearstream participant that purchases an interest in a Global Note from a DTC participant will be credited on the business day for Euroclear or Clearstream immediately following the DTC settlement date. Cash received in Euroclear or Clearstream from the sale of an interest in a Global Note to a DTC participant will be received with value on the DTC settlement date but will be available in the relevant Euroclear or Clearstream cash account as of the business day for Euroclear or Clearstream following the DTC settlement date.</w:t>
      </w:r>
    </w:p>
    <w:p w14:paraId="6EB4B160" w14:textId="77777777" w:rsidR="00542FF4" w:rsidRPr="00571974" w:rsidRDefault="003D4D89" w:rsidP="00542FF4">
      <w:pPr>
        <w:pStyle w:val="BodyText"/>
        <w:widowControl/>
        <w:autoSpaceDE/>
        <w:autoSpaceDN/>
        <w:adjustRightInd/>
        <w:ind w:firstLine="360"/>
        <w:rPr>
          <w:lang w:val="en-GB"/>
        </w:rPr>
      </w:pPr>
      <w:r w:rsidRPr="00571974">
        <w:rPr>
          <w:lang w:val="en-GB"/>
        </w:rPr>
        <w:t>DTC, Euroclear and Clearstream have agreed to the above procedures to facilitate transfers of interests in the Global Notes among participants in those settlement systems. However, the settlement systems are not obligated to perform these procedures and may discontinue or change these procedures at any time. Neither we nor the Trustee will have any responsibility for the performance by DTC, Euroclear or Clearstream or their participants or indirect participants of their obligations under the rules and procedures governing their operations.</w:t>
      </w:r>
    </w:p>
    <w:p w14:paraId="25059508" w14:textId="77777777" w:rsidR="00084527" w:rsidRPr="00571974" w:rsidRDefault="003D4D89" w:rsidP="00542FF4">
      <w:pPr>
        <w:pStyle w:val="Heading1"/>
        <w:rPr>
          <w:lang w:val="en-GB"/>
        </w:rPr>
      </w:pPr>
      <w:r w:rsidRPr="00571974">
        <w:rPr>
          <w:lang w:val="en-GB"/>
        </w:rPr>
        <w:br w:type="page"/>
      </w:r>
      <w:bookmarkStart w:id="94" w:name="_Toc475546292"/>
    </w:p>
    <w:p w14:paraId="62330FC6" w14:textId="7D9C230C" w:rsidR="00084527" w:rsidRPr="00FC1448" w:rsidRDefault="003D4D89" w:rsidP="00542FF4">
      <w:pPr>
        <w:pStyle w:val="Heading1"/>
        <w:rPr>
          <w:i/>
          <w:iCs/>
          <w:lang w:val="en-GB"/>
        </w:rPr>
      </w:pPr>
      <w:bookmarkStart w:id="95" w:name="_Toc36388971"/>
      <w:r w:rsidRPr="00571974">
        <w:rPr>
          <w:lang w:val="en-GB"/>
        </w:rPr>
        <w:lastRenderedPageBreak/>
        <w:t>TAXATION</w:t>
      </w:r>
      <w:bookmarkEnd w:id="95"/>
    </w:p>
    <w:p w14:paraId="5BF0FDCA" w14:textId="60C89289" w:rsidR="00084527" w:rsidRPr="00571974" w:rsidRDefault="003D4D89" w:rsidP="00084527">
      <w:pPr>
        <w:pStyle w:val="BodyText"/>
        <w:widowControl/>
        <w:autoSpaceDE/>
        <w:autoSpaceDN/>
        <w:adjustRightInd/>
        <w:ind w:firstLine="360"/>
        <w:rPr>
          <w:lang w:val="en-GB"/>
        </w:rPr>
      </w:pPr>
      <w:r w:rsidRPr="00571974">
        <w:rPr>
          <w:lang w:val="en-GB"/>
        </w:rPr>
        <w:t>Tax legislation, including in the country where the investor is domiciled or tax resident and in the Issuer</w:t>
      </w:r>
      <w:r w:rsidR="00A311D8">
        <w:rPr>
          <w:lang w:val="en-GB"/>
        </w:rPr>
        <w:t>’</w:t>
      </w:r>
      <w:r w:rsidRPr="00571974">
        <w:rPr>
          <w:lang w:val="en-GB"/>
        </w:rPr>
        <w:t>s country of incorporation, may have an impact on the income that an investor receives from the Notes.  Prospective holders of Notes are advised to consult their own tax advisors as to the tax consequences, under the tax laws of the country of which they are resident, of a purchase of the Notes, including, without limitation, the consequences of the receipt of interest and premium, if any, on any sale or redemption of the Notes or any interest therein.</w:t>
      </w:r>
    </w:p>
    <w:p w14:paraId="47450693" w14:textId="77777777" w:rsidR="00542FF4" w:rsidRPr="00571974" w:rsidRDefault="003D4D89" w:rsidP="00084527">
      <w:pPr>
        <w:pStyle w:val="Heading2"/>
        <w:rPr>
          <w:lang w:val="en-GB"/>
        </w:rPr>
      </w:pPr>
      <w:r w:rsidRPr="00571974">
        <w:rPr>
          <w:lang w:val="en-GB"/>
        </w:rPr>
        <w:t>UK Tax Considerations</w:t>
      </w:r>
      <w:bookmarkEnd w:id="94"/>
    </w:p>
    <w:p w14:paraId="3E1A0739" w14:textId="73C337EE" w:rsidR="00542FF4" w:rsidRPr="00571974" w:rsidRDefault="003D4D89" w:rsidP="00542FF4">
      <w:pPr>
        <w:pStyle w:val="BodyText"/>
        <w:widowControl/>
        <w:autoSpaceDE/>
        <w:autoSpaceDN/>
        <w:adjustRightInd/>
        <w:ind w:firstLine="360"/>
        <w:rPr>
          <w:lang w:val="en-GB"/>
        </w:rPr>
      </w:pPr>
      <w:r w:rsidRPr="00571974">
        <w:rPr>
          <w:lang w:val="en-GB"/>
        </w:rPr>
        <w:t>The summary below is of a general nature and describes certain UK tax implications of acquiring, holding or disposing of Notes. It is not tax advice and is not intended to be exhaustive. The summary is based on current UK tax law, current UK H.M. Revenue and Customs (</w:t>
      </w:r>
      <w:r w:rsidR="00A311D8">
        <w:rPr>
          <w:lang w:val="en-GB"/>
        </w:rPr>
        <w:t>“</w:t>
      </w:r>
      <w:r w:rsidRPr="00571974">
        <w:rPr>
          <w:lang w:val="en-GB"/>
        </w:rPr>
        <w:t>HMRC</w:t>
      </w:r>
      <w:r w:rsidR="00A311D8">
        <w:rPr>
          <w:lang w:val="en-GB"/>
        </w:rPr>
        <w:t>”</w:t>
      </w:r>
      <w:r w:rsidRPr="00571974">
        <w:rPr>
          <w:lang w:val="en-GB"/>
        </w:rPr>
        <w:t xml:space="preserve">) published practice, which may not be binding on HMRC and the terms of the double taxation treaty between the United States and the United Kingdom which entered into force on </w:t>
      </w:r>
      <w:bookmarkStart w:id="96" w:name="_GoBack"/>
      <w:r w:rsidRPr="00571974">
        <w:rPr>
          <w:lang w:val="en-GB"/>
        </w:rPr>
        <w:t>March 31</w:t>
      </w:r>
      <w:bookmarkEnd w:id="96"/>
      <w:r w:rsidRPr="00571974">
        <w:rPr>
          <w:lang w:val="en-GB"/>
        </w:rPr>
        <w:t xml:space="preserve">, 2003 (the </w:t>
      </w:r>
      <w:r w:rsidR="00A311D8">
        <w:rPr>
          <w:lang w:val="en-GB"/>
        </w:rPr>
        <w:t>“</w:t>
      </w:r>
      <w:r w:rsidRPr="00571974">
        <w:rPr>
          <w:lang w:val="en-GB"/>
        </w:rPr>
        <w:t>Treaty</w:t>
      </w:r>
      <w:r w:rsidR="00A311D8">
        <w:rPr>
          <w:lang w:val="en-GB"/>
        </w:rPr>
        <w:t>”</w:t>
      </w:r>
      <w:r w:rsidRPr="00571974">
        <w:rPr>
          <w:lang w:val="en-GB"/>
        </w:rPr>
        <w:t>), all of which are subject to change at any time, possibly with retrospective effect. The comments relate only to the position of persons who are the absolute beneficial owners of their Notes and may not apply to certain classes of holders, such as dealers in securities and holders who are connected with the Issuer for UK tax purposes, and do not necessarily apply where the income in respect of the Notes is deemed for UK tax purposes to be the income of any person other than the holder of the Notes.</w:t>
      </w:r>
    </w:p>
    <w:p w14:paraId="0793FD09" w14:textId="77777777" w:rsidR="00542FF4" w:rsidRPr="00571974" w:rsidRDefault="003D4D89" w:rsidP="00542FF4">
      <w:pPr>
        <w:pStyle w:val="BodyText"/>
        <w:widowControl/>
        <w:autoSpaceDE/>
        <w:autoSpaceDN/>
        <w:adjustRightInd/>
        <w:ind w:firstLine="360"/>
        <w:rPr>
          <w:lang w:val="en-GB"/>
        </w:rPr>
      </w:pPr>
      <w:r w:rsidRPr="00571974">
        <w:rPr>
          <w:b/>
          <w:bCs/>
          <w:lang w:val="en-GB"/>
        </w:rPr>
        <w:t>Please consult your own tax advisor concerning the consequences of acquiring, owning and disposing of the Notes under UK tax law and the laws of any other jurisdiction in which you may be subject to tax.</w:t>
      </w:r>
    </w:p>
    <w:p w14:paraId="535F0840" w14:textId="405F8FC9" w:rsidR="00542FF4" w:rsidRPr="00571974" w:rsidRDefault="003D4D89" w:rsidP="00542FF4">
      <w:pPr>
        <w:pStyle w:val="BodyText"/>
        <w:widowControl/>
        <w:autoSpaceDE/>
        <w:autoSpaceDN/>
        <w:adjustRightInd/>
        <w:ind w:firstLine="360"/>
        <w:rPr>
          <w:b/>
          <w:bCs/>
          <w:i/>
          <w:iCs/>
          <w:lang w:val="en-GB"/>
        </w:rPr>
      </w:pPr>
      <w:r w:rsidRPr="00571974">
        <w:rPr>
          <w:b/>
          <w:bCs/>
          <w:i/>
          <w:iCs/>
          <w:lang w:val="en-GB"/>
        </w:rPr>
        <w:t xml:space="preserve">Interest Payments: </w:t>
      </w:r>
      <w:r w:rsidRPr="00571974">
        <w:rPr>
          <w:lang w:val="en-GB"/>
        </w:rPr>
        <w:t xml:space="preserve">Any premium payable on a redemption of the Notes at the option of the Issuer may, in certain circumstances, constitute interest for UK tax purposes and so be treated in the manner described below. References to </w:t>
      </w:r>
      <w:r w:rsidR="00A311D8">
        <w:rPr>
          <w:lang w:val="en-GB"/>
        </w:rPr>
        <w:t>“</w:t>
      </w:r>
      <w:r w:rsidRPr="00571974">
        <w:rPr>
          <w:lang w:val="en-GB"/>
        </w:rPr>
        <w:t>interest</w:t>
      </w:r>
      <w:r w:rsidR="00A311D8">
        <w:rPr>
          <w:lang w:val="en-GB"/>
        </w:rPr>
        <w:t>”</w:t>
      </w:r>
      <w:r w:rsidRPr="00571974">
        <w:rPr>
          <w:lang w:val="en-GB"/>
        </w:rPr>
        <w:t xml:space="preserve"> in this section mean interest as understood in UK tax law. The statements below do not take account of any different definitions of interest which may prevail under any other law.</w:t>
      </w:r>
    </w:p>
    <w:p w14:paraId="7FCC721D" w14:textId="4BA9EB06" w:rsidR="00542FF4" w:rsidRPr="00571974" w:rsidRDefault="003D4D89" w:rsidP="00542FF4">
      <w:pPr>
        <w:pStyle w:val="BodyText"/>
        <w:widowControl/>
        <w:autoSpaceDE/>
        <w:autoSpaceDN/>
        <w:adjustRightInd/>
        <w:ind w:firstLine="360"/>
        <w:rPr>
          <w:lang w:val="en-GB"/>
        </w:rPr>
      </w:pPr>
      <w:r w:rsidRPr="00571974">
        <w:rPr>
          <w:lang w:val="en-GB"/>
        </w:rPr>
        <w:t xml:space="preserve">Payments of interest on Notes issued by the Issuer will not be subject to withholding or deduction for or on account of UK income tax because the Notes will be treated as </w:t>
      </w:r>
      <w:r w:rsidR="00A311D8">
        <w:rPr>
          <w:lang w:val="en-GB"/>
        </w:rPr>
        <w:t>“</w:t>
      </w:r>
      <w:r w:rsidRPr="00571974">
        <w:rPr>
          <w:lang w:val="en-GB"/>
        </w:rPr>
        <w:t>quoted Eurobonds</w:t>
      </w:r>
      <w:r w:rsidR="00A311D8">
        <w:rPr>
          <w:lang w:val="en-GB"/>
        </w:rPr>
        <w:t>”</w:t>
      </w:r>
      <w:r w:rsidRPr="00571974">
        <w:rPr>
          <w:lang w:val="en-GB"/>
        </w:rPr>
        <w:t xml:space="preserve"> (within the meaning of section 987 of the Income Tax Act 2007 (</w:t>
      </w:r>
      <w:r w:rsidR="00A311D8">
        <w:rPr>
          <w:lang w:val="en-GB"/>
        </w:rPr>
        <w:t>“</w:t>
      </w:r>
      <w:r w:rsidRPr="00571974">
        <w:rPr>
          <w:lang w:val="en-GB"/>
        </w:rPr>
        <w:t>ITA 2007</w:t>
      </w:r>
      <w:r w:rsidR="00A311D8">
        <w:rPr>
          <w:lang w:val="en-GB"/>
        </w:rPr>
        <w:t>”</w:t>
      </w:r>
      <w:r w:rsidRPr="00571974">
        <w:rPr>
          <w:lang w:val="en-GB"/>
        </w:rPr>
        <w:t xml:space="preserve">)), so long as the Notes are </w:t>
      </w:r>
      <w:r w:rsidR="00A311D8">
        <w:rPr>
          <w:lang w:val="en-GB"/>
        </w:rPr>
        <w:t>“</w:t>
      </w:r>
      <w:r w:rsidRPr="00571974">
        <w:rPr>
          <w:lang w:val="en-GB"/>
        </w:rPr>
        <w:t xml:space="preserve">listed on a </w:t>
      </w:r>
      <w:r w:rsidR="009101AA" w:rsidRPr="00571974">
        <w:rPr>
          <w:lang w:val="en-GB"/>
        </w:rPr>
        <w:t>recognis</w:t>
      </w:r>
      <w:r w:rsidR="00A35370" w:rsidRPr="00571974">
        <w:rPr>
          <w:lang w:val="en-GB"/>
        </w:rPr>
        <w:t>ed</w:t>
      </w:r>
      <w:r w:rsidRPr="00571974">
        <w:rPr>
          <w:lang w:val="en-GB"/>
        </w:rPr>
        <w:t xml:space="preserve"> stock exchange</w:t>
      </w:r>
      <w:r w:rsidR="00A311D8">
        <w:rPr>
          <w:lang w:val="en-GB"/>
        </w:rPr>
        <w:t>”</w:t>
      </w:r>
      <w:r w:rsidR="008C0B6E" w:rsidRPr="00571974">
        <w:rPr>
          <w:lang w:val="en-GB"/>
        </w:rPr>
        <w:t xml:space="preserve"> (within the meaning of section 1005 ITA 2007) or admitted to trading on a </w:t>
      </w:r>
      <w:r w:rsidR="00A311D8">
        <w:rPr>
          <w:lang w:val="en-GB"/>
        </w:rPr>
        <w:t>“</w:t>
      </w:r>
      <w:r w:rsidR="008C0B6E" w:rsidRPr="00571974">
        <w:rPr>
          <w:lang w:val="en-GB"/>
        </w:rPr>
        <w:t>multilateral trading facility</w:t>
      </w:r>
      <w:r w:rsidR="00A311D8">
        <w:rPr>
          <w:lang w:val="en-GB"/>
        </w:rPr>
        <w:t>”</w:t>
      </w:r>
      <w:r w:rsidR="008C0B6E" w:rsidRPr="00571974">
        <w:rPr>
          <w:lang w:val="en-GB"/>
        </w:rPr>
        <w:t xml:space="preserve"> (within the meaning of section 987 ITA 2007)</w:t>
      </w:r>
      <w:r w:rsidRPr="00571974">
        <w:rPr>
          <w:lang w:val="en-GB"/>
        </w:rPr>
        <w:t xml:space="preserve">. Section 1005 ITA 2007 provides that securities will be treated as </w:t>
      </w:r>
      <w:r w:rsidR="00A311D8">
        <w:rPr>
          <w:lang w:val="en-GB"/>
        </w:rPr>
        <w:t>“</w:t>
      </w:r>
      <w:r w:rsidRPr="00571974">
        <w:rPr>
          <w:lang w:val="en-GB"/>
        </w:rPr>
        <w:t xml:space="preserve">listed on a </w:t>
      </w:r>
      <w:r w:rsidR="009101AA" w:rsidRPr="00571974">
        <w:rPr>
          <w:lang w:val="en-GB"/>
        </w:rPr>
        <w:t>recognis</w:t>
      </w:r>
      <w:r w:rsidR="00A35370" w:rsidRPr="00571974">
        <w:rPr>
          <w:lang w:val="en-GB"/>
        </w:rPr>
        <w:t>ed</w:t>
      </w:r>
      <w:r w:rsidRPr="00571974">
        <w:rPr>
          <w:lang w:val="en-GB"/>
        </w:rPr>
        <w:t xml:space="preserve"> stock exchange</w:t>
      </w:r>
      <w:r w:rsidR="00A311D8">
        <w:rPr>
          <w:lang w:val="en-GB"/>
        </w:rPr>
        <w:t>”</w:t>
      </w:r>
      <w:r w:rsidRPr="00571974">
        <w:rPr>
          <w:lang w:val="en-GB"/>
        </w:rPr>
        <w:t xml:space="preserve"> if (and only if) they are admitted to trading on that exchange, and either they are included in the United Kingdom official list (within the meaning of Part 6 of the Financial Services and Markets Act 2000) or they are officially listed, in accordance with provisions corresponding to those generally applicable in European Economic Area states, in a country outside the United Kingdom in which there is a </w:t>
      </w:r>
      <w:r w:rsidR="00A311D8">
        <w:rPr>
          <w:lang w:val="en-GB"/>
        </w:rPr>
        <w:t>“</w:t>
      </w:r>
      <w:r w:rsidR="009101AA" w:rsidRPr="00571974">
        <w:rPr>
          <w:lang w:val="en-GB"/>
        </w:rPr>
        <w:t>recognis</w:t>
      </w:r>
      <w:r w:rsidR="00A35370" w:rsidRPr="00571974">
        <w:rPr>
          <w:lang w:val="en-GB"/>
        </w:rPr>
        <w:t>ed</w:t>
      </w:r>
      <w:r w:rsidRPr="00571974">
        <w:rPr>
          <w:lang w:val="en-GB"/>
        </w:rPr>
        <w:t xml:space="preserve"> stock exchange</w:t>
      </w:r>
      <w:r w:rsidR="00A311D8">
        <w:rPr>
          <w:lang w:val="en-GB"/>
        </w:rPr>
        <w:t>”</w:t>
      </w:r>
      <w:r w:rsidRPr="00571974">
        <w:rPr>
          <w:lang w:val="en-GB"/>
        </w:rPr>
        <w:t xml:space="preserve">. The London Stock Exchange is a </w:t>
      </w:r>
      <w:r w:rsidR="00A311D8">
        <w:rPr>
          <w:lang w:val="en-GB"/>
        </w:rPr>
        <w:t>“</w:t>
      </w:r>
      <w:r w:rsidR="009101AA" w:rsidRPr="00571974">
        <w:rPr>
          <w:lang w:val="en-GB"/>
        </w:rPr>
        <w:t>recognis</w:t>
      </w:r>
      <w:r w:rsidR="00A35370" w:rsidRPr="00571974">
        <w:rPr>
          <w:lang w:val="en-GB"/>
        </w:rPr>
        <w:t>ed</w:t>
      </w:r>
      <w:r w:rsidRPr="00571974">
        <w:rPr>
          <w:lang w:val="en-GB"/>
        </w:rPr>
        <w:t xml:space="preserve"> stock exchange</w:t>
      </w:r>
      <w:r w:rsidR="00A311D8">
        <w:rPr>
          <w:lang w:val="en-GB"/>
        </w:rPr>
        <w:t>”</w:t>
      </w:r>
      <w:r w:rsidRPr="00571974">
        <w:rPr>
          <w:lang w:val="en-GB"/>
        </w:rPr>
        <w:t xml:space="preserve"> for these purposes.</w:t>
      </w:r>
    </w:p>
    <w:p w14:paraId="6142ADD5" w14:textId="54E031C2" w:rsidR="00542FF4" w:rsidRPr="00571974" w:rsidRDefault="003D4D89" w:rsidP="00542FF4">
      <w:pPr>
        <w:pStyle w:val="BodyText"/>
        <w:widowControl/>
        <w:autoSpaceDE/>
        <w:autoSpaceDN/>
        <w:adjustRightInd/>
        <w:ind w:firstLine="360"/>
        <w:rPr>
          <w:lang w:val="en-GB"/>
        </w:rPr>
      </w:pPr>
      <w:r w:rsidRPr="00571974">
        <w:rPr>
          <w:lang w:val="en-GB"/>
        </w:rPr>
        <w:t xml:space="preserve">Even if the Notes do not qualify as </w:t>
      </w:r>
      <w:r w:rsidR="00A311D8">
        <w:rPr>
          <w:lang w:val="en-GB"/>
        </w:rPr>
        <w:t>“</w:t>
      </w:r>
      <w:r w:rsidRPr="00571974">
        <w:rPr>
          <w:lang w:val="en-GB"/>
        </w:rPr>
        <w:t>quoted Eurobonds</w:t>
      </w:r>
      <w:r w:rsidR="00A311D8">
        <w:rPr>
          <w:lang w:val="en-GB"/>
        </w:rPr>
        <w:t>”</w:t>
      </w:r>
      <w:r w:rsidRPr="00571974">
        <w:rPr>
          <w:lang w:val="en-GB"/>
        </w:rPr>
        <w:t>, no withholding or deduction for or on account of UK income tax is required (subject to contrary direction from HMRC) in respect of payments to a holder who the Issuer reasonably believes is the beneficial owner of the interest payable on the Notes and is either a UK resident company or a non-UK resident company carrying on a trade in the United Kingdom through a UK permanent establishment where the payment is taken into account in calculating the UK corporation tax liability of that company, or falls within various categories enjoying a special tax status (including charities and certain pension funds), or is a partnership consisting of such persons.</w:t>
      </w:r>
    </w:p>
    <w:p w14:paraId="5613A26A" w14:textId="77777777" w:rsidR="00542FF4" w:rsidRPr="00571974" w:rsidRDefault="003D4D89" w:rsidP="00542FF4">
      <w:pPr>
        <w:pStyle w:val="BodyText"/>
        <w:widowControl/>
        <w:autoSpaceDE/>
        <w:autoSpaceDN/>
        <w:adjustRightInd/>
        <w:ind w:firstLine="360"/>
        <w:rPr>
          <w:lang w:val="en-GB"/>
        </w:rPr>
      </w:pPr>
      <w:r w:rsidRPr="00571974">
        <w:rPr>
          <w:lang w:val="en-GB"/>
        </w:rPr>
        <w:t>In most other cases, payments of interest will generally be subject to withholding or deduction for or on account of UK income tax at the basic rate, which is currently 20%. Certain holders of Notes who are resident in the United States may be entitled to receive payments free of withholding or deduction for or on account of UK tax under the Treaty and HMRC may issue a direction to the Issuer to that effect. Holders of Notes who are resident in other jurisdictions may also be able to receive payment free of withholding or deduction for or on account of UK tax or subject to a lower rate of such withholding or deduction under an appropriate double taxation treaty and HMRC may issue a direction to that effect. However, any such direction will, in any case, be issued only on prior application to the relevant tax authorities by the holder in question. If such a direction is not in place at the time a payment of interest is made, the Issuer will be required to withhold or deduct for or on account of UK tax, although a holder of Notes resident in another jurisdiction who is entitled to relief may subsequently claim from HMRC the amount, or proportion of the amount, withheld or deducted.</w:t>
      </w:r>
    </w:p>
    <w:p w14:paraId="4A4A94C6"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The interest on Notes issued by the Issuer will have a UK source for UK tax purposes and, as such, may be subject to UK tax by direct assessment (including self-assessment) even where paid without withholding or deduction for or on account of UK income tax. However, interest with a UK source received without withholding or </w:t>
      </w:r>
      <w:r w:rsidRPr="00571974">
        <w:rPr>
          <w:lang w:val="en-GB"/>
        </w:rPr>
        <w:lastRenderedPageBreak/>
        <w:t>deduction for or on account of UK income tax will not be chargeable to UK tax in the hands of a person (other than certain trustees) who is not resident for tax purposes in the United Kingdom unless that person carries on a trade, profession or vocation in the United Kingdom through a branch or agency (or, for holders who are companies, carries on a trade through a permanent establishment) in the United Kingdom in connection with which the interest is received or to which the Notes are attributable, in which case (subject to exemptions for interest received by certain categories of agent) tax may be levied on the UK branch, agency or permanent establishment.</w:t>
      </w:r>
    </w:p>
    <w:p w14:paraId="2A3A48B9" w14:textId="77777777" w:rsidR="00542FF4" w:rsidRPr="00571974" w:rsidRDefault="003D4D89" w:rsidP="00542FF4">
      <w:pPr>
        <w:pStyle w:val="BodyText"/>
        <w:widowControl/>
        <w:autoSpaceDE/>
        <w:autoSpaceDN/>
        <w:adjustRightInd/>
        <w:ind w:firstLine="360"/>
        <w:rPr>
          <w:b/>
          <w:bCs/>
          <w:i/>
          <w:iCs/>
          <w:lang w:val="en-GB"/>
        </w:rPr>
      </w:pPr>
      <w:r w:rsidRPr="00571974">
        <w:rPr>
          <w:b/>
          <w:bCs/>
          <w:i/>
          <w:iCs/>
          <w:lang w:val="en-GB"/>
        </w:rPr>
        <w:t xml:space="preserve">Disposal (including redemption): </w:t>
      </w:r>
      <w:r w:rsidRPr="00571974">
        <w:rPr>
          <w:lang w:val="en-GB"/>
        </w:rPr>
        <w:t>In general, a holder of Notes who is resident in a jurisdiction outside the United Kingdom will not be liable to UK chargeable gains taxation in respect of a disposal (including redemption) of a Note, any gain accrued in respect of a Note or any change in the value of a Note, unless at the time of the disposal, the holder carries on a trade, profession or vocation in the United Kingdom through a branch or agency (or, for holders who are companies, carries on a trade through a permanent establishment) and the Note was used in or for the purposes of that trade, profession or vocation or is attributable to the branch or agency or permanent establishment.</w:t>
      </w:r>
    </w:p>
    <w:p w14:paraId="19049E0D" w14:textId="0E88B1A5" w:rsidR="00542FF4" w:rsidRPr="00571974" w:rsidRDefault="003D4D89" w:rsidP="00542FF4">
      <w:pPr>
        <w:pStyle w:val="BodyText"/>
        <w:widowControl/>
        <w:autoSpaceDE/>
        <w:autoSpaceDN/>
        <w:adjustRightInd/>
        <w:ind w:firstLine="360"/>
        <w:rPr>
          <w:b/>
          <w:bCs/>
          <w:i/>
          <w:iCs/>
          <w:lang w:val="en-GB"/>
        </w:rPr>
      </w:pPr>
      <w:r w:rsidRPr="00571974">
        <w:rPr>
          <w:b/>
          <w:bCs/>
          <w:i/>
          <w:iCs/>
          <w:lang w:val="en-GB"/>
        </w:rPr>
        <w:t xml:space="preserve">UK Corporation Tax Payers: </w:t>
      </w:r>
      <w:r w:rsidRPr="00571974">
        <w:rPr>
          <w:lang w:val="en-GB"/>
        </w:rPr>
        <w:t xml:space="preserve">In general, holders within the charge to UK corporation tax (other than certain </w:t>
      </w:r>
      <w:r w:rsidR="00A77F57" w:rsidRPr="00571974">
        <w:rPr>
          <w:lang w:val="en-GB"/>
        </w:rPr>
        <w:t>authori</w:t>
      </w:r>
      <w:r w:rsidR="001751C3">
        <w:rPr>
          <w:lang w:val="en-GB"/>
        </w:rPr>
        <w:t>z</w:t>
      </w:r>
      <w:r w:rsidR="00A77F57" w:rsidRPr="00571974">
        <w:rPr>
          <w:lang w:val="en-GB"/>
        </w:rPr>
        <w:t xml:space="preserve">ed </w:t>
      </w:r>
      <w:r w:rsidRPr="00571974">
        <w:rPr>
          <w:lang w:val="en-GB"/>
        </w:rPr>
        <w:t>investment funds) will be treated for UK tax purposes as realizing profits, gains or losses in respect of the Notes on a basis which is broadly in accordance with their accounting treatment, so long as that accounting treatment is in accordance with generally accepted accounting practice (as that term is defined for UK tax purposes). Such profits, gains and losses whether attributable to currency fluctuations or otherwise will be taken into account in computing taxable income for UK corporation tax purposes.</w:t>
      </w:r>
    </w:p>
    <w:p w14:paraId="61301F14" w14:textId="77777777" w:rsidR="00542FF4" w:rsidRPr="00571974" w:rsidRDefault="003D4D89" w:rsidP="00542FF4">
      <w:pPr>
        <w:pStyle w:val="BodyText"/>
        <w:widowControl/>
        <w:autoSpaceDE/>
        <w:autoSpaceDN/>
        <w:adjustRightInd/>
        <w:ind w:firstLine="360"/>
        <w:rPr>
          <w:b/>
          <w:bCs/>
          <w:i/>
          <w:iCs/>
          <w:lang w:val="en-GB"/>
        </w:rPr>
      </w:pPr>
      <w:r w:rsidRPr="00571974">
        <w:rPr>
          <w:b/>
          <w:bCs/>
          <w:i/>
          <w:iCs/>
          <w:lang w:val="en-GB"/>
        </w:rPr>
        <w:t xml:space="preserve">Other UK Tax Payers: </w:t>
      </w:r>
      <w:r w:rsidRPr="00571974">
        <w:rPr>
          <w:lang w:val="en-GB"/>
        </w:rPr>
        <w:t>If the holder is an individual resident in the United Kingdom for UK tax purposes, he or she may have to account for UK capital gains tax in respect of any gains arising on a disposal (including a redemption) of a Note. Any such capital gains would be calculated by comparing the British pound values on purchase and disposal of the Notes, so a liability to UK tax could arise even where the non-British pound amount received on a disposal was less than or the same as the amount paid for the Notes.</w:t>
      </w:r>
    </w:p>
    <w:p w14:paraId="0E25319D" w14:textId="5D5162FE" w:rsidR="00542FF4" w:rsidRPr="00571974" w:rsidRDefault="003D4D89" w:rsidP="00542FF4">
      <w:pPr>
        <w:pStyle w:val="BodyText"/>
        <w:widowControl/>
        <w:autoSpaceDE/>
        <w:autoSpaceDN/>
        <w:adjustRightInd/>
        <w:ind w:firstLine="360"/>
        <w:rPr>
          <w:lang w:val="en-GB"/>
        </w:rPr>
      </w:pPr>
      <w:r w:rsidRPr="00571974">
        <w:rPr>
          <w:lang w:val="en-GB"/>
        </w:rPr>
        <w:t xml:space="preserve">The rules relating to </w:t>
      </w:r>
      <w:r w:rsidR="00A311D8">
        <w:rPr>
          <w:lang w:val="en-GB"/>
        </w:rPr>
        <w:t>“</w:t>
      </w:r>
      <w:r w:rsidRPr="00571974">
        <w:rPr>
          <w:lang w:val="en-GB"/>
        </w:rPr>
        <w:t>accrued income profits and losses</w:t>
      </w:r>
      <w:r w:rsidR="00A311D8">
        <w:rPr>
          <w:lang w:val="en-GB"/>
        </w:rPr>
        <w:t>”</w:t>
      </w:r>
      <w:r w:rsidRPr="00571974">
        <w:rPr>
          <w:lang w:val="en-GB"/>
        </w:rPr>
        <w:t xml:space="preserve"> (contained in Part 12 ITA 2007) may apply to certain holders who are not subject to UK corporation tax, in relation to a transfer of the Notes. On a transfer of securities with accrued interest, the rules usually apply to deem the transferor to receive an amount of income equal to the accrued interest and to treat the deemed or actual interest subsequently received by the transferee as reduced by a corresponding amount.</w:t>
      </w:r>
    </w:p>
    <w:p w14:paraId="43ED045D" w14:textId="77777777" w:rsidR="00542FF4" w:rsidRPr="00571974" w:rsidRDefault="003D4D89" w:rsidP="00542FF4">
      <w:pPr>
        <w:pStyle w:val="BodyText"/>
        <w:widowControl/>
        <w:autoSpaceDE/>
        <w:autoSpaceDN/>
        <w:adjustRightInd/>
        <w:ind w:firstLine="360"/>
        <w:rPr>
          <w:lang w:val="en-GB"/>
        </w:rPr>
      </w:pPr>
      <w:r w:rsidRPr="00571974">
        <w:rPr>
          <w:lang w:val="en-GB"/>
        </w:rPr>
        <w:t>Generally, persons who are not resident in the UK and who do not carry on a trade in the United Kingdom through a branch or agency in the United Kingdom for the purposes of which the Notes were used, held or acquired will not be subject to the rules relating to accrued income profits and losses.</w:t>
      </w:r>
    </w:p>
    <w:p w14:paraId="76CD43B1" w14:textId="4C0ED454" w:rsidR="00542FF4" w:rsidRPr="00571974" w:rsidRDefault="003D4D89" w:rsidP="00542FF4">
      <w:pPr>
        <w:pStyle w:val="BodyText"/>
        <w:widowControl/>
        <w:autoSpaceDE/>
        <w:autoSpaceDN/>
        <w:adjustRightInd/>
        <w:ind w:firstLine="360"/>
        <w:rPr>
          <w:iCs/>
          <w:lang w:val="en-GB"/>
        </w:rPr>
      </w:pPr>
      <w:r w:rsidRPr="00571974">
        <w:rPr>
          <w:lang w:val="en-GB"/>
        </w:rPr>
        <w:t xml:space="preserve">Dependent, among other things, on the discount (if any) at which the Notes are issued, the Notes may be deemed to constitute </w:t>
      </w:r>
      <w:r w:rsidR="00A311D8">
        <w:rPr>
          <w:lang w:val="en-GB"/>
        </w:rPr>
        <w:t>“</w:t>
      </w:r>
      <w:r w:rsidRPr="00571974">
        <w:rPr>
          <w:lang w:val="en-GB"/>
        </w:rPr>
        <w:t>deeply discounted securities</w:t>
      </w:r>
      <w:r w:rsidR="00A311D8">
        <w:rPr>
          <w:lang w:val="en-GB"/>
        </w:rPr>
        <w:t>”</w:t>
      </w:r>
      <w:r w:rsidRPr="00571974">
        <w:rPr>
          <w:lang w:val="en-GB"/>
        </w:rPr>
        <w:t xml:space="preserve"> for the purposes of Chapter 8 of Part 4 of the Income Tax (Trading and Other Income) Act 2005. If the Notes are deemed to constitute deeply discounted securities, individual holders of Notes who are resident for tax purposes in the United Kingdom or who carry on a trade, profession or vocation in the United Kingdom through a branch or agency to which the Notes are attributable generally will be liable to UK income tax on any gain made on the sale or other disposal (including redemption) of the Notes. Holders of Notes are advised to consult their own professional </w:t>
      </w:r>
      <w:r w:rsidR="00A77F57" w:rsidRPr="00571974">
        <w:rPr>
          <w:lang w:val="en-GB"/>
        </w:rPr>
        <w:t xml:space="preserve">advisors </w:t>
      </w:r>
      <w:r w:rsidRPr="00571974">
        <w:rPr>
          <w:lang w:val="en-GB"/>
        </w:rPr>
        <w:t xml:space="preserve">if they require any advice or further information relating to </w:t>
      </w:r>
      <w:r w:rsidR="00A311D8">
        <w:rPr>
          <w:lang w:val="en-GB"/>
        </w:rPr>
        <w:t>“</w:t>
      </w:r>
      <w:r w:rsidRPr="00571974">
        <w:rPr>
          <w:lang w:val="en-GB"/>
        </w:rPr>
        <w:t>deeply discounted securities</w:t>
      </w:r>
      <w:r w:rsidR="00A311D8">
        <w:rPr>
          <w:lang w:val="en-GB"/>
        </w:rPr>
        <w:t>”</w:t>
      </w:r>
      <w:r w:rsidRPr="00571974">
        <w:rPr>
          <w:lang w:val="en-GB"/>
        </w:rPr>
        <w:t>.</w:t>
      </w:r>
    </w:p>
    <w:p w14:paraId="3BAACA52" w14:textId="77777777" w:rsidR="00542FF4" w:rsidRPr="00571974" w:rsidRDefault="003D4D89" w:rsidP="00542FF4">
      <w:pPr>
        <w:pStyle w:val="BodyText"/>
        <w:widowControl/>
        <w:autoSpaceDE/>
        <w:autoSpaceDN/>
        <w:adjustRightInd/>
        <w:ind w:firstLine="360"/>
        <w:rPr>
          <w:lang w:val="en-GB"/>
        </w:rPr>
      </w:pPr>
      <w:r w:rsidRPr="00571974">
        <w:rPr>
          <w:lang w:val="en-GB"/>
        </w:rPr>
        <w:t>Special rules may apply to individual holders who have ceased to be resident for UK tax purposes in the United Kingdom and once again become resident for UK tax purposes in the United Kingdom after a period of non</w:t>
      </w:r>
      <w:r w:rsidRPr="00571974">
        <w:rPr>
          <w:lang w:val="en-GB"/>
        </w:rPr>
        <w:noBreakHyphen/>
        <w:t xml:space="preserve">residence. </w:t>
      </w:r>
      <w:r w:rsidRPr="00571974">
        <w:rPr>
          <w:iCs/>
          <w:lang w:val="en-GB"/>
        </w:rPr>
        <w:t>Such</w:t>
      </w:r>
      <w:r w:rsidRPr="00571974">
        <w:rPr>
          <w:lang w:val="en-GB"/>
        </w:rPr>
        <w:t xml:space="preserve"> holders should consult their own tax advisors.</w:t>
      </w:r>
    </w:p>
    <w:p w14:paraId="222090B8" w14:textId="676A356E" w:rsidR="00542FF4" w:rsidRPr="00571974" w:rsidRDefault="003D4D89" w:rsidP="00542FF4">
      <w:pPr>
        <w:pStyle w:val="BodyText"/>
        <w:widowControl/>
        <w:autoSpaceDE/>
        <w:autoSpaceDN/>
        <w:adjustRightInd/>
        <w:ind w:firstLine="360"/>
        <w:rPr>
          <w:b/>
          <w:bCs/>
          <w:i/>
          <w:iCs/>
          <w:lang w:val="en-GB"/>
        </w:rPr>
      </w:pPr>
      <w:r w:rsidRPr="00571974">
        <w:rPr>
          <w:b/>
          <w:bCs/>
          <w:i/>
          <w:iCs/>
          <w:lang w:val="en-GB"/>
        </w:rPr>
        <w:t>Stamp Duty and Stamp Duty Reserve Tax (</w:t>
      </w:r>
      <w:r w:rsidR="00A311D8">
        <w:rPr>
          <w:b/>
          <w:bCs/>
          <w:i/>
          <w:iCs/>
          <w:lang w:val="en-GB"/>
        </w:rPr>
        <w:t>“</w:t>
      </w:r>
      <w:r w:rsidRPr="00571974">
        <w:rPr>
          <w:b/>
          <w:bCs/>
          <w:i/>
          <w:iCs/>
          <w:lang w:val="en-GB"/>
        </w:rPr>
        <w:t>SDRT</w:t>
      </w:r>
      <w:r w:rsidR="00A311D8">
        <w:rPr>
          <w:b/>
          <w:bCs/>
          <w:i/>
          <w:iCs/>
          <w:lang w:val="en-GB"/>
        </w:rPr>
        <w:t>”</w:t>
      </w:r>
      <w:r w:rsidRPr="00571974">
        <w:rPr>
          <w:b/>
          <w:bCs/>
          <w:i/>
          <w:iCs/>
          <w:lang w:val="en-GB"/>
        </w:rPr>
        <w:t xml:space="preserve">): </w:t>
      </w:r>
      <w:r w:rsidRPr="00571974">
        <w:rPr>
          <w:lang w:val="en-GB"/>
        </w:rPr>
        <w:t>No UK stamp duty or SDRT should arise on the issue or transfer of a Note, or on its redemption.</w:t>
      </w:r>
    </w:p>
    <w:p w14:paraId="565CB005" w14:textId="669BC9B6" w:rsidR="00542FF4" w:rsidRPr="00571974" w:rsidRDefault="003D4D89" w:rsidP="00542FF4">
      <w:pPr>
        <w:pStyle w:val="BodyText"/>
        <w:widowControl/>
        <w:autoSpaceDE/>
        <w:autoSpaceDN/>
        <w:adjustRightInd/>
        <w:ind w:firstLine="360"/>
        <w:rPr>
          <w:b/>
          <w:bCs/>
          <w:i/>
          <w:iCs/>
          <w:lang w:val="en-GB"/>
        </w:rPr>
      </w:pPr>
      <w:r w:rsidRPr="00571974">
        <w:rPr>
          <w:b/>
          <w:bCs/>
          <w:i/>
          <w:iCs/>
          <w:lang w:val="en-GB"/>
        </w:rPr>
        <w:t xml:space="preserve">Provision of Information: </w:t>
      </w:r>
      <w:r w:rsidRPr="00571974">
        <w:rPr>
          <w:iCs/>
          <w:lang w:val="en-GB"/>
        </w:rPr>
        <w:t xml:space="preserve">Holders of Notes should note that, in certain circumstances, HMRC has </w:t>
      </w:r>
      <w:r w:rsidR="001751C3">
        <w:rPr>
          <w:iCs/>
          <w:lang w:val="en-GB"/>
        </w:rPr>
        <w:t xml:space="preserve">the </w:t>
      </w:r>
      <w:r w:rsidRPr="00571974">
        <w:rPr>
          <w:iCs/>
          <w:lang w:val="en-GB"/>
        </w:rPr>
        <w:t xml:space="preserve">power to obtain information (including details of the </w:t>
      </w:r>
      <w:r w:rsidRPr="00571974">
        <w:rPr>
          <w:lang w:val="en-GB"/>
        </w:rPr>
        <w:t>beneficial</w:t>
      </w:r>
      <w:r w:rsidRPr="00571974">
        <w:rPr>
          <w:iCs/>
          <w:lang w:val="en-GB"/>
        </w:rPr>
        <w:t xml:space="preserve"> owners of the Notes (or the persons for whom the Notes are held) or the persons to whom payments derived from the Notes are or may be paid and information and documents in connection with transactions relating to the Notes) from, amongst others, the holders of the Notes, persons by or through whom payments derived from the Notes are made, persons who receive (or would be entitled to receive) such payments, persons who effect or are a party to transactions relating to the Notes on behalf of others and certain registrars or administrators. HMRC also has the power, in certain circumstances, to obtain information from any person in the UK who pays amounts payable on the redemption of notes that are deeply discounted securities for the purposes of the Income Tax (Trading and Other Income) Act 2005, or receives such amounts for the benefit of </w:t>
      </w:r>
      <w:r w:rsidRPr="00571974">
        <w:rPr>
          <w:iCs/>
          <w:lang w:val="en-GB"/>
        </w:rPr>
        <w:lastRenderedPageBreak/>
        <w:t xml:space="preserve">another person (although HMRC published </w:t>
      </w:r>
      <w:r w:rsidR="00084527" w:rsidRPr="00571974">
        <w:rPr>
          <w:iCs/>
          <w:lang w:val="en-GB"/>
        </w:rPr>
        <w:t xml:space="preserve">guidance </w:t>
      </w:r>
      <w:r w:rsidRPr="00571974">
        <w:rPr>
          <w:iCs/>
          <w:lang w:val="en-GB"/>
        </w:rPr>
        <w:t xml:space="preserve">indicates that it will </w:t>
      </w:r>
      <w:r w:rsidR="00084527" w:rsidRPr="00571974">
        <w:rPr>
          <w:iCs/>
          <w:lang w:val="en-GB"/>
        </w:rPr>
        <w:t xml:space="preserve">only </w:t>
      </w:r>
      <w:r w:rsidRPr="00571974">
        <w:rPr>
          <w:iCs/>
          <w:lang w:val="en-GB"/>
        </w:rPr>
        <w:t xml:space="preserve">exercise its power </w:t>
      </w:r>
      <w:r w:rsidR="00084527" w:rsidRPr="00571974">
        <w:rPr>
          <w:iCs/>
          <w:lang w:val="en-GB"/>
        </w:rPr>
        <w:t xml:space="preserve">having first announced widely that it will begin </w:t>
      </w:r>
      <w:r w:rsidRPr="00571974">
        <w:rPr>
          <w:iCs/>
          <w:lang w:val="en-GB"/>
        </w:rPr>
        <w:t xml:space="preserve">to require </w:t>
      </w:r>
      <w:r w:rsidR="009C0AD8">
        <w:rPr>
          <w:iCs/>
          <w:lang w:val="en-GB"/>
        </w:rPr>
        <w:t xml:space="preserve">the reporting of </w:t>
      </w:r>
      <w:r w:rsidRPr="00571974">
        <w:rPr>
          <w:iCs/>
          <w:lang w:val="en-GB"/>
        </w:rPr>
        <w:t>this information). Any such information referred to in this paragraph may, in certain circumstances, be exchanged by HMRC with the tax authorities in other countries.</w:t>
      </w:r>
    </w:p>
    <w:p w14:paraId="3CD98D1A" w14:textId="77777777" w:rsidR="00542FF4" w:rsidRPr="00571974" w:rsidRDefault="003D4D89" w:rsidP="00084527">
      <w:pPr>
        <w:pStyle w:val="Heading2"/>
        <w:rPr>
          <w:lang w:val="en-GB"/>
        </w:rPr>
      </w:pPr>
      <w:bookmarkStart w:id="97" w:name="_Toc475546293"/>
      <w:r w:rsidRPr="00571974">
        <w:rPr>
          <w:lang w:val="en-GB"/>
        </w:rPr>
        <w:t>C</w:t>
      </w:r>
      <w:r w:rsidR="00084527" w:rsidRPr="00571974">
        <w:rPr>
          <w:lang w:val="en-GB"/>
        </w:rPr>
        <w:t xml:space="preserve">ertain </w:t>
      </w:r>
      <w:r w:rsidR="006D150F" w:rsidRPr="00571974">
        <w:rPr>
          <w:lang w:val="en-GB"/>
        </w:rPr>
        <w:t>U.S.</w:t>
      </w:r>
      <w:r w:rsidR="00F7022D" w:rsidRPr="00571974">
        <w:rPr>
          <w:lang w:val="en-GB"/>
        </w:rPr>
        <w:t xml:space="preserve"> F</w:t>
      </w:r>
      <w:r w:rsidR="00084527" w:rsidRPr="00571974">
        <w:rPr>
          <w:lang w:val="en-GB"/>
        </w:rPr>
        <w:t>ederal Tax</w:t>
      </w:r>
      <w:r w:rsidR="00F7022D" w:rsidRPr="00571974">
        <w:rPr>
          <w:lang w:val="en-GB"/>
        </w:rPr>
        <w:t xml:space="preserve"> C</w:t>
      </w:r>
      <w:bookmarkEnd w:id="97"/>
      <w:r w:rsidR="00084527" w:rsidRPr="00571974">
        <w:rPr>
          <w:lang w:val="en-GB"/>
        </w:rPr>
        <w:t>onsiderations</w:t>
      </w:r>
    </w:p>
    <w:p w14:paraId="0106FDC2"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This section describes </w:t>
      </w:r>
      <w:r w:rsidR="00E5749D" w:rsidRPr="00571974">
        <w:rPr>
          <w:lang w:val="en-GB"/>
        </w:rPr>
        <w:t>certain</w:t>
      </w:r>
      <w:r w:rsidRPr="00571974">
        <w:rPr>
          <w:lang w:val="en-GB"/>
        </w:rPr>
        <w:t xml:space="preserve"> </w:t>
      </w:r>
      <w:r w:rsidR="006D150F" w:rsidRPr="00571974">
        <w:rPr>
          <w:lang w:val="en-GB"/>
        </w:rPr>
        <w:t>U.S.</w:t>
      </w:r>
      <w:r w:rsidRPr="00571974">
        <w:rPr>
          <w:lang w:val="en-GB"/>
        </w:rPr>
        <w:t xml:space="preserve"> federal income tax consequences to a </w:t>
      </w:r>
      <w:r w:rsidR="006D150F" w:rsidRPr="00571974">
        <w:rPr>
          <w:lang w:val="en-GB"/>
        </w:rPr>
        <w:t>U.S.</w:t>
      </w:r>
      <w:r w:rsidRPr="00571974">
        <w:rPr>
          <w:lang w:val="en-GB"/>
        </w:rPr>
        <w:t xml:space="preserve"> holder (as defined below) of owning or disposing of the Notes we are offering. It applies to you only if you acquire Notes in the offering at the initial offering price and you hold your Notes as capital assets for </w:t>
      </w:r>
      <w:r w:rsidR="006D150F" w:rsidRPr="00571974">
        <w:rPr>
          <w:lang w:val="en-GB"/>
        </w:rPr>
        <w:t>U.S.</w:t>
      </w:r>
      <w:r w:rsidRPr="00571974">
        <w:rPr>
          <w:lang w:val="en-GB"/>
        </w:rPr>
        <w:t xml:space="preserve"> federal income tax purposes. This section does not describe all the </w:t>
      </w:r>
      <w:r w:rsidR="006D150F" w:rsidRPr="00571974">
        <w:rPr>
          <w:lang w:val="en-GB"/>
        </w:rPr>
        <w:t>U.S.</w:t>
      </w:r>
      <w:r w:rsidRPr="00571974">
        <w:rPr>
          <w:lang w:val="en-GB"/>
        </w:rPr>
        <w:t xml:space="preserve"> federal income tax considerations that may apply to you if you are a member of a class of owners subject to special rules, such as:</w:t>
      </w:r>
    </w:p>
    <w:p w14:paraId="0441B0C1" w14:textId="77777777" w:rsidR="00542FF4" w:rsidRPr="00571974" w:rsidRDefault="003D4D89" w:rsidP="00542FF4">
      <w:pPr>
        <w:pStyle w:val="ListBullet"/>
        <w:tabs>
          <w:tab w:val="clear" w:pos="360"/>
          <w:tab w:val="num" w:pos="757"/>
        </w:tabs>
        <w:ind w:left="1163" w:hanging="397"/>
      </w:pPr>
      <w:r w:rsidRPr="00571974">
        <w:t>a dealer in securities or currencies;</w:t>
      </w:r>
    </w:p>
    <w:p w14:paraId="67269535" w14:textId="77777777" w:rsidR="00542FF4" w:rsidRPr="00571974" w:rsidRDefault="003D4D89" w:rsidP="00542FF4">
      <w:pPr>
        <w:pStyle w:val="ListBullet"/>
        <w:tabs>
          <w:tab w:val="clear" w:pos="360"/>
          <w:tab w:val="num" w:pos="757"/>
        </w:tabs>
        <w:ind w:left="1163" w:hanging="397"/>
      </w:pPr>
      <w:r w:rsidRPr="00571974">
        <w:t>a trader in securities that elects to use a mark-to-market method of accounting for your securities holdings;</w:t>
      </w:r>
    </w:p>
    <w:p w14:paraId="4E370753" w14:textId="77777777" w:rsidR="00542FF4" w:rsidRPr="00571974" w:rsidRDefault="003D4D89" w:rsidP="00542FF4">
      <w:pPr>
        <w:pStyle w:val="ListBullet"/>
        <w:tabs>
          <w:tab w:val="clear" w:pos="360"/>
          <w:tab w:val="num" w:pos="757"/>
        </w:tabs>
        <w:ind w:left="1163" w:hanging="397"/>
      </w:pPr>
      <w:r w:rsidRPr="00571974">
        <w:t>a bank;</w:t>
      </w:r>
    </w:p>
    <w:p w14:paraId="3020D96A" w14:textId="77777777" w:rsidR="00542FF4" w:rsidRPr="00571974" w:rsidRDefault="003D4D89" w:rsidP="00542FF4">
      <w:pPr>
        <w:pStyle w:val="ListBullet"/>
        <w:tabs>
          <w:tab w:val="clear" w:pos="360"/>
          <w:tab w:val="num" w:pos="757"/>
        </w:tabs>
        <w:ind w:left="1163" w:hanging="397"/>
      </w:pPr>
      <w:r w:rsidRPr="00571974">
        <w:t>a life insurance company;</w:t>
      </w:r>
    </w:p>
    <w:p w14:paraId="77417E50" w14:textId="77777777" w:rsidR="00542FF4" w:rsidRPr="00571974" w:rsidRDefault="003D4D89" w:rsidP="00542FF4">
      <w:pPr>
        <w:pStyle w:val="ListBullet"/>
        <w:tabs>
          <w:tab w:val="clear" w:pos="360"/>
          <w:tab w:val="num" w:pos="757"/>
        </w:tabs>
        <w:ind w:left="1163" w:hanging="397"/>
      </w:pPr>
      <w:r w:rsidRPr="00571974">
        <w:t>a tax-exempt organization;</w:t>
      </w:r>
    </w:p>
    <w:p w14:paraId="2697B5DB" w14:textId="77777777" w:rsidR="00542FF4" w:rsidRPr="00571974" w:rsidRDefault="003D4D89" w:rsidP="00542FF4">
      <w:pPr>
        <w:pStyle w:val="ListBullet"/>
        <w:tabs>
          <w:tab w:val="clear" w:pos="360"/>
          <w:tab w:val="num" w:pos="757"/>
        </w:tabs>
        <w:ind w:left="1163" w:hanging="397"/>
      </w:pPr>
      <w:r w:rsidRPr="00571974">
        <w:t>a real estate investment trust;</w:t>
      </w:r>
    </w:p>
    <w:p w14:paraId="25285087" w14:textId="77777777" w:rsidR="00542FF4" w:rsidRPr="00571974" w:rsidRDefault="003D4D89" w:rsidP="00542FF4">
      <w:pPr>
        <w:pStyle w:val="ListBullet"/>
        <w:tabs>
          <w:tab w:val="clear" w:pos="360"/>
          <w:tab w:val="num" w:pos="757"/>
        </w:tabs>
        <w:ind w:left="1163" w:hanging="397"/>
      </w:pPr>
      <w:r w:rsidRPr="00571974">
        <w:t>a regulated investment company;</w:t>
      </w:r>
    </w:p>
    <w:p w14:paraId="16A606D7" w14:textId="77777777" w:rsidR="00542FF4" w:rsidRPr="00571974" w:rsidRDefault="003D4D89" w:rsidP="00542FF4">
      <w:pPr>
        <w:pStyle w:val="ListBullet"/>
        <w:tabs>
          <w:tab w:val="clear" w:pos="360"/>
          <w:tab w:val="num" w:pos="757"/>
        </w:tabs>
        <w:ind w:left="1163" w:hanging="397"/>
      </w:pPr>
      <w:r w:rsidRPr="00571974">
        <w:t xml:space="preserve">a </w:t>
      </w:r>
      <w:r w:rsidR="006D150F" w:rsidRPr="00571974">
        <w:t>U.S.</w:t>
      </w:r>
      <w:r w:rsidRPr="00571974">
        <w:t xml:space="preserve"> expatriate;</w:t>
      </w:r>
    </w:p>
    <w:p w14:paraId="7A6117A1" w14:textId="77777777" w:rsidR="00542FF4" w:rsidRPr="00571974" w:rsidRDefault="003D4D89" w:rsidP="00542FF4">
      <w:pPr>
        <w:pStyle w:val="ListBullet"/>
        <w:tabs>
          <w:tab w:val="clear" w:pos="360"/>
          <w:tab w:val="num" w:pos="757"/>
        </w:tabs>
        <w:ind w:left="1163" w:hanging="397"/>
      </w:pPr>
      <w:r w:rsidRPr="00571974">
        <w:t>a person that owns Notes that are a hedge or that are hedged against interest rate risks;</w:t>
      </w:r>
    </w:p>
    <w:p w14:paraId="79D47E29" w14:textId="77777777" w:rsidR="00F82828" w:rsidRPr="00571974" w:rsidRDefault="003D4D89" w:rsidP="00583BDA">
      <w:pPr>
        <w:pStyle w:val="ListBullet"/>
        <w:tabs>
          <w:tab w:val="clear" w:pos="360"/>
          <w:tab w:val="num" w:pos="757"/>
        </w:tabs>
        <w:ind w:left="1163" w:hanging="397"/>
      </w:pPr>
      <w:r w:rsidRPr="00571974">
        <w:t xml:space="preserve">an accrual method taxpayer required to recognize income for </w:t>
      </w:r>
      <w:r w:rsidR="006D150F" w:rsidRPr="00571974">
        <w:t>U.S.</w:t>
      </w:r>
      <w:r w:rsidRPr="00571974">
        <w:t xml:space="preserve"> federal income tax purposes no later than when such income is taken into account in applicable financial statements;</w:t>
      </w:r>
    </w:p>
    <w:p w14:paraId="67F8E2B4" w14:textId="3D8A2F96" w:rsidR="00583BDA" w:rsidRDefault="003D4D89" w:rsidP="00583BDA">
      <w:pPr>
        <w:pStyle w:val="ListBullet"/>
        <w:tabs>
          <w:tab w:val="clear" w:pos="360"/>
          <w:tab w:val="num" w:pos="757"/>
        </w:tabs>
        <w:ind w:left="1163" w:hanging="397"/>
      </w:pPr>
      <w:r w:rsidRPr="00571974">
        <w:t>a person who holds the Notes in connection with a trade or business outside the United States;</w:t>
      </w:r>
    </w:p>
    <w:p w14:paraId="521DFE50" w14:textId="77777777" w:rsidR="00542FF4" w:rsidRPr="00571974" w:rsidRDefault="003D4D89" w:rsidP="00583BDA">
      <w:pPr>
        <w:pStyle w:val="ListBullet"/>
        <w:tabs>
          <w:tab w:val="clear" w:pos="360"/>
          <w:tab w:val="num" w:pos="757"/>
        </w:tabs>
        <w:ind w:left="1163" w:hanging="397"/>
      </w:pPr>
      <w:r w:rsidRPr="00571974">
        <w:t>a person that owns Notes as part of a straddle or conversion transaction for tax purposes; or</w:t>
      </w:r>
    </w:p>
    <w:p w14:paraId="63B2249E" w14:textId="77777777" w:rsidR="00542FF4" w:rsidRPr="00571974" w:rsidRDefault="003D4D89" w:rsidP="00542FF4">
      <w:pPr>
        <w:pStyle w:val="ListBullet"/>
        <w:tabs>
          <w:tab w:val="clear" w:pos="360"/>
          <w:tab w:val="num" w:pos="757"/>
        </w:tabs>
        <w:ind w:left="1163" w:hanging="397"/>
      </w:pPr>
      <w:r w:rsidRPr="00571974">
        <w:t xml:space="preserve">a person whose functional currency for tax purposes is not the </w:t>
      </w:r>
      <w:r w:rsidR="006D150F" w:rsidRPr="00571974">
        <w:t>U.S. dollar</w:t>
      </w:r>
      <w:r w:rsidRPr="00571974">
        <w:t>.</w:t>
      </w:r>
    </w:p>
    <w:p w14:paraId="4433AE45"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If a partnership (or an entity or arrangement treated as a partnership for </w:t>
      </w:r>
      <w:r w:rsidR="006D150F" w:rsidRPr="00571974">
        <w:rPr>
          <w:lang w:val="en-GB"/>
        </w:rPr>
        <w:t>U.S.</w:t>
      </w:r>
      <w:r w:rsidRPr="00571974">
        <w:rPr>
          <w:lang w:val="en-GB"/>
        </w:rPr>
        <w:t xml:space="preserve"> federal income tax purposes) holds Notes, the </w:t>
      </w:r>
      <w:r w:rsidR="006D150F" w:rsidRPr="00571974">
        <w:rPr>
          <w:lang w:val="en-GB"/>
        </w:rPr>
        <w:t>U.S.</w:t>
      </w:r>
      <w:r w:rsidRPr="00571974">
        <w:rPr>
          <w:lang w:val="en-GB"/>
        </w:rPr>
        <w:t xml:space="preserve"> federal income tax treatment of a partner will generally depend on the status of the partner and the tax treatment of the partnership. Partnerships holding Notes and their partners should consult their tax advisors with regard to the </w:t>
      </w:r>
      <w:r w:rsidR="006D150F" w:rsidRPr="00571974">
        <w:rPr>
          <w:lang w:val="en-GB"/>
        </w:rPr>
        <w:t>U.S.</w:t>
      </w:r>
      <w:r w:rsidRPr="00571974">
        <w:rPr>
          <w:lang w:val="en-GB"/>
        </w:rPr>
        <w:t xml:space="preserve"> federal income tax treatment of an investment in the Notes.</w:t>
      </w:r>
    </w:p>
    <w:p w14:paraId="0DB163FD" w14:textId="3609D171" w:rsidR="00542FF4" w:rsidRPr="00571974" w:rsidRDefault="003D4D89" w:rsidP="00542FF4">
      <w:pPr>
        <w:pStyle w:val="BodyText"/>
        <w:widowControl/>
        <w:autoSpaceDE/>
        <w:autoSpaceDN/>
        <w:adjustRightInd/>
        <w:ind w:firstLine="360"/>
        <w:rPr>
          <w:lang w:val="en-GB"/>
        </w:rPr>
      </w:pPr>
      <w:r w:rsidRPr="00571974">
        <w:rPr>
          <w:lang w:val="en-GB"/>
        </w:rPr>
        <w:t xml:space="preserve">This section is based on the Internal Revenue Code of 1986, as amended (the </w:t>
      </w:r>
      <w:r w:rsidR="00A311D8">
        <w:rPr>
          <w:lang w:val="en-GB"/>
        </w:rPr>
        <w:t>“</w:t>
      </w:r>
      <w:r w:rsidRPr="00571974">
        <w:rPr>
          <w:lang w:val="en-GB"/>
        </w:rPr>
        <w:t>Code</w:t>
      </w:r>
      <w:r w:rsidR="00A311D8">
        <w:rPr>
          <w:lang w:val="en-GB"/>
        </w:rPr>
        <w:t>”</w:t>
      </w:r>
      <w:r w:rsidRPr="00571974">
        <w:rPr>
          <w:lang w:val="en-GB"/>
        </w:rPr>
        <w:t xml:space="preserve">), its legislative history, existing and proposed regulations under the Code, published rulings and court decisions, all as of the date hereof. These laws are subject to change, possibly on a retroactive basis. This section does not address alternative minimum tax consequences, </w:t>
      </w:r>
      <w:r w:rsidR="006D150F" w:rsidRPr="00571974">
        <w:rPr>
          <w:lang w:val="en-GB"/>
        </w:rPr>
        <w:t>U.S.</w:t>
      </w:r>
      <w:r w:rsidRPr="00571974">
        <w:rPr>
          <w:lang w:val="en-GB"/>
        </w:rPr>
        <w:t xml:space="preserve"> federal estate and gift tax consequences, the applicability of the Medicare tax on net investment income or any </w:t>
      </w:r>
      <w:r w:rsidR="006D150F" w:rsidRPr="00571974">
        <w:rPr>
          <w:lang w:val="en-GB"/>
        </w:rPr>
        <w:t>U.S.</w:t>
      </w:r>
      <w:r w:rsidRPr="00571974">
        <w:rPr>
          <w:lang w:val="en-GB"/>
        </w:rPr>
        <w:t xml:space="preserve"> state and local or non-</w:t>
      </w:r>
      <w:r w:rsidR="006D150F" w:rsidRPr="00571974">
        <w:rPr>
          <w:lang w:val="en-GB"/>
        </w:rPr>
        <w:t>U.S.</w:t>
      </w:r>
      <w:r w:rsidRPr="00571974">
        <w:rPr>
          <w:lang w:val="en-GB"/>
        </w:rPr>
        <w:t xml:space="preserve"> tax consequences of acquiring, owning or disposing of Notes.</w:t>
      </w:r>
    </w:p>
    <w:p w14:paraId="695588FF" w14:textId="77777777" w:rsidR="00542FF4" w:rsidRPr="00571974" w:rsidRDefault="003D4D89" w:rsidP="00542FF4">
      <w:pPr>
        <w:pStyle w:val="BodyText"/>
        <w:widowControl/>
        <w:autoSpaceDE/>
        <w:autoSpaceDN/>
        <w:adjustRightInd/>
        <w:ind w:firstLine="360"/>
        <w:rPr>
          <w:b/>
          <w:lang w:val="en-GB"/>
        </w:rPr>
      </w:pPr>
      <w:r w:rsidRPr="00571974">
        <w:rPr>
          <w:b/>
          <w:iCs/>
          <w:lang w:val="en-GB"/>
        </w:rPr>
        <w:t>Please consult your own tax advisor concerning the consequences of owning these Notes in your particular circumstances under the Code and the laws of any other taxing jurisdiction.</w:t>
      </w:r>
    </w:p>
    <w:p w14:paraId="11757F4C"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You are a </w:t>
      </w:r>
      <w:r w:rsidR="006D150F" w:rsidRPr="00571974">
        <w:rPr>
          <w:lang w:val="en-GB"/>
        </w:rPr>
        <w:t>U.S.</w:t>
      </w:r>
      <w:r w:rsidRPr="00571974">
        <w:rPr>
          <w:lang w:val="en-GB"/>
        </w:rPr>
        <w:t xml:space="preserve"> holder if you are a beneficial owner of a Note and you are for </w:t>
      </w:r>
      <w:r w:rsidR="006D150F" w:rsidRPr="00571974">
        <w:rPr>
          <w:lang w:val="en-GB"/>
        </w:rPr>
        <w:t>U.S.</w:t>
      </w:r>
      <w:r w:rsidRPr="00571974">
        <w:rPr>
          <w:lang w:val="en-GB"/>
        </w:rPr>
        <w:t xml:space="preserve"> federal income tax purposes:</w:t>
      </w:r>
    </w:p>
    <w:p w14:paraId="63A14639" w14:textId="77777777" w:rsidR="00542FF4" w:rsidRPr="00571974" w:rsidRDefault="003D4D89" w:rsidP="00542FF4">
      <w:pPr>
        <w:pStyle w:val="ListBullet"/>
        <w:tabs>
          <w:tab w:val="clear" w:pos="360"/>
          <w:tab w:val="num" w:pos="757"/>
        </w:tabs>
        <w:ind w:left="1163" w:hanging="397"/>
      </w:pPr>
      <w:r w:rsidRPr="00571974">
        <w:t>a citizen or individual resident of the United States;</w:t>
      </w:r>
    </w:p>
    <w:p w14:paraId="3D0FDAB7" w14:textId="77777777" w:rsidR="00542FF4" w:rsidRPr="00571974" w:rsidRDefault="003D4D89" w:rsidP="00542FF4">
      <w:pPr>
        <w:pStyle w:val="ListBullet"/>
        <w:tabs>
          <w:tab w:val="clear" w:pos="360"/>
          <w:tab w:val="num" w:pos="757"/>
        </w:tabs>
        <w:ind w:left="1163" w:hanging="397"/>
      </w:pPr>
      <w:r w:rsidRPr="00571974">
        <w:t xml:space="preserve">a corporation, or other entity treated as a corporation for </w:t>
      </w:r>
      <w:r w:rsidR="006D150F" w:rsidRPr="00571974">
        <w:t>U.S.</w:t>
      </w:r>
      <w:r w:rsidRPr="00571974">
        <w:t xml:space="preserve"> federal income tax purposes, created or organized in or under the laws of the United States, any state thereof or the District of Columbia;</w:t>
      </w:r>
    </w:p>
    <w:p w14:paraId="24466870" w14:textId="77777777" w:rsidR="00542FF4" w:rsidRPr="00571974" w:rsidRDefault="003D4D89" w:rsidP="00542FF4">
      <w:pPr>
        <w:pStyle w:val="ListBullet"/>
        <w:tabs>
          <w:tab w:val="clear" w:pos="360"/>
          <w:tab w:val="num" w:pos="757"/>
        </w:tabs>
        <w:ind w:left="1163" w:hanging="397"/>
      </w:pPr>
      <w:r w:rsidRPr="00571974">
        <w:t xml:space="preserve">an estate whose income is subject to </w:t>
      </w:r>
      <w:r w:rsidR="006D150F" w:rsidRPr="00571974">
        <w:t>U.S.</w:t>
      </w:r>
      <w:r w:rsidRPr="00571974">
        <w:t xml:space="preserve"> federal income tax regardless of its source; or</w:t>
      </w:r>
    </w:p>
    <w:p w14:paraId="3C214EE1" w14:textId="5B2E00DE" w:rsidR="00542FF4" w:rsidRPr="00571974" w:rsidRDefault="003D4D89" w:rsidP="00542FF4">
      <w:pPr>
        <w:pStyle w:val="ListBullet"/>
        <w:tabs>
          <w:tab w:val="clear" w:pos="360"/>
          <w:tab w:val="num" w:pos="757"/>
        </w:tabs>
        <w:ind w:left="1163" w:hanging="397"/>
      </w:pPr>
      <w:r w:rsidRPr="00571974">
        <w:t xml:space="preserve">a trust if (i) a </w:t>
      </w:r>
      <w:r w:rsidR="006D150F" w:rsidRPr="00571974">
        <w:t>U.S.</w:t>
      </w:r>
      <w:r w:rsidRPr="00571974">
        <w:t xml:space="preserve"> court can exercise primary supervision over the trust</w:t>
      </w:r>
      <w:r w:rsidR="00A311D8">
        <w:t>’</w:t>
      </w:r>
      <w:r w:rsidRPr="00571974">
        <w:t xml:space="preserve">s administration and one or more </w:t>
      </w:r>
      <w:r w:rsidR="006D150F" w:rsidRPr="00571974">
        <w:t>U.S.</w:t>
      </w:r>
      <w:r w:rsidRPr="00571974">
        <w:t xml:space="preserve"> persons are authorized to control all substantial decisions of the trust or (ii) a valid election is in place to treat the trust as a </w:t>
      </w:r>
      <w:r w:rsidR="006D150F" w:rsidRPr="00571974">
        <w:t>U.S.</w:t>
      </w:r>
      <w:r w:rsidRPr="00571974">
        <w:t xml:space="preserve"> person.</w:t>
      </w:r>
    </w:p>
    <w:p w14:paraId="64DBDE6F" w14:textId="77777777" w:rsidR="00542FF4" w:rsidRPr="00571974" w:rsidRDefault="003D4D89" w:rsidP="00542FF4">
      <w:pPr>
        <w:pStyle w:val="BodyText"/>
        <w:widowControl/>
        <w:autoSpaceDE/>
        <w:autoSpaceDN/>
        <w:adjustRightInd/>
        <w:ind w:firstLine="360"/>
        <w:rPr>
          <w:lang w:val="en-GB"/>
        </w:rPr>
      </w:pPr>
      <w:r w:rsidRPr="00571974">
        <w:rPr>
          <w:b/>
          <w:bCs/>
          <w:i/>
          <w:iCs/>
          <w:lang w:val="en-GB"/>
        </w:rPr>
        <w:lastRenderedPageBreak/>
        <w:t xml:space="preserve">Payments of Interest: </w:t>
      </w:r>
      <w:r w:rsidRPr="00571974">
        <w:rPr>
          <w:lang w:val="en-GB"/>
        </w:rPr>
        <w:t xml:space="preserve">You will be taxed on interest on your Notes (without reduction for any withholding tax) and, without duplication, any Additional Amounts, including the amount of any withholding tax on payments of Additional Amounts, as ordinary income at the time you actually or constructively receive the interest or when it accrues, depending on your method of accounting for </w:t>
      </w:r>
      <w:r w:rsidR="006D150F" w:rsidRPr="00571974">
        <w:rPr>
          <w:lang w:val="en-GB"/>
        </w:rPr>
        <w:t>U.S.</w:t>
      </w:r>
      <w:r w:rsidRPr="00571974">
        <w:rPr>
          <w:lang w:val="en-GB"/>
        </w:rPr>
        <w:t xml:space="preserve"> federal income tax purposes.</w:t>
      </w:r>
    </w:p>
    <w:p w14:paraId="61F13A37" w14:textId="10A40F16" w:rsidR="00542FF4" w:rsidRPr="00571974" w:rsidRDefault="003D4D89" w:rsidP="00542FF4">
      <w:pPr>
        <w:pStyle w:val="BodyText"/>
        <w:widowControl/>
        <w:autoSpaceDE/>
        <w:autoSpaceDN/>
        <w:adjustRightInd/>
        <w:ind w:firstLine="360"/>
        <w:rPr>
          <w:lang w:val="en-GB"/>
        </w:rPr>
      </w:pPr>
      <w:r w:rsidRPr="00571974">
        <w:rPr>
          <w:lang w:val="en-GB"/>
        </w:rPr>
        <w:t xml:space="preserve">Interest paid by us on the Notes is income from sources outside the United States for the purposes of the rules regarding the foreign tax credit allowable to a </w:t>
      </w:r>
      <w:r w:rsidR="006D150F" w:rsidRPr="00571974">
        <w:rPr>
          <w:lang w:val="en-GB"/>
        </w:rPr>
        <w:t>U.S.</w:t>
      </w:r>
      <w:r w:rsidRPr="00571974">
        <w:rPr>
          <w:lang w:val="en-GB"/>
        </w:rPr>
        <w:t xml:space="preserve"> holder. The interest will, depending on your circumstances, be either </w:t>
      </w:r>
      <w:r w:rsidR="00A311D8">
        <w:rPr>
          <w:lang w:val="en-GB"/>
        </w:rPr>
        <w:t>“</w:t>
      </w:r>
      <w:r w:rsidRPr="00571974">
        <w:rPr>
          <w:lang w:val="en-GB"/>
        </w:rPr>
        <w:t>passive</w:t>
      </w:r>
      <w:r w:rsidR="00A311D8">
        <w:rPr>
          <w:lang w:val="en-GB"/>
        </w:rPr>
        <w:t>”</w:t>
      </w:r>
      <w:r w:rsidRPr="00571974">
        <w:rPr>
          <w:lang w:val="en-GB"/>
        </w:rPr>
        <w:t xml:space="preserve"> or </w:t>
      </w:r>
      <w:r w:rsidR="00A311D8">
        <w:rPr>
          <w:lang w:val="en-GB"/>
        </w:rPr>
        <w:t>“</w:t>
      </w:r>
      <w:r w:rsidRPr="00571974">
        <w:rPr>
          <w:lang w:val="en-GB"/>
        </w:rPr>
        <w:t>general</w:t>
      </w:r>
      <w:r w:rsidR="00A311D8">
        <w:rPr>
          <w:lang w:val="en-GB"/>
        </w:rPr>
        <w:t>”</w:t>
      </w:r>
      <w:r w:rsidRPr="00571974">
        <w:rPr>
          <w:lang w:val="en-GB"/>
        </w:rPr>
        <w:t xml:space="preserve"> income for purposes of computing the foreign tax credit.</w:t>
      </w:r>
    </w:p>
    <w:p w14:paraId="7E532D6A" w14:textId="5627A8B3" w:rsidR="00542FF4" w:rsidRPr="00571974" w:rsidRDefault="003D4D89" w:rsidP="00542FF4">
      <w:pPr>
        <w:pStyle w:val="BodyText"/>
        <w:widowControl/>
        <w:autoSpaceDE/>
        <w:autoSpaceDN/>
        <w:adjustRightInd/>
        <w:ind w:firstLine="360"/>
        <w:rPr>
          <w:lang w:val="en-GB"/>
        </w:rPr>
      </w:pPr>
      <w:r w:rsidRPr="00571974">
        <w:rPr>
          <w:lang w:val="en-GB"/>
        </w:rPr>
        <w:t>If a Change of Control Repurchase Event occurs, the Issuer or Company will be required to make an offer to each holder of Notes to repurchase all or any part of that holder</w:t>
      </w:r>
      <w:r w:rsidR="00A311D8">
        <w:rPr>
          <w:lang w:val="en-GB"/>
        </w:rPr>
        <w:t>’</w:t>
      </w:r>
      <w:r w:rsidRPr="00571974">
        <w:rPr>
          <w:lang w:val="en-GB"/>
        </w:rPr>
        <w:t xml:space="preserve">s Notes at a repurchase price in cash equal to 101% of the aggregate principal amount of Notes repurchased and any accrued interest (see </w:t>
      </w:r>
      <w:r w:rsidR="00A311D8">
        <w:rPr>
          <w:lang w:val="en-GB"/>
        </w:rPr>
        <w:t>“</w:t>
      </w:r>
      <w:r w:rsidRPr="00571974">
        <w:rPr>
          <w:lang w:val="en-GB"/>
        </w:rPr>
        <w:t>Description of the Notes and the Guarantees—Change of Control Repurchase Event</w:t>
      </w:r>
      <w:r w:rsidR="00A311D8">
        <w:rPr>
          <w:lang w:val="en-GB"/>
        </w:rPr>
        <w:t>”</w:t>
      </w:r>
      <w:r w:rsidRPr="00571974">
        <w:rPr>
          <w:lang w:val="en-GB"/>
        </w:rPr>
        <w:t xml:space="preserve">). Notwithstanding this possibility, we do not believe that the Notes are contingent payment debt instruments for </w:t>
      </w:r>
      <w:r w:rsidR="006D150F" w:rsidRPr="00571974">
        <w:rPr>
          <w:lang w:val="en-GB"/>
        </w:rPr>
        <w:t>U.S.</w:t>
      </w:r>
      <w:r w:rsidRPr="00571974">
        <w:rPr>
          <w:lang w:val="en-GB"/>
        </w:rPr>
        <w:t xml:space="preserve"> federal income tax purposes, and, consequently, we do not intend to treat the Notes as contingent payment debt instruments. If, notwithstanding our view, any of the Notes were treated as contingent payment debt instruments, a </w:t>
      </w:r>
      <w:r w:rsidR="006D150F" w:rsidRPr="00571974">
        <w:rPr>
          <w:lang w:val="en-GB"/>
        </w:rPr>
        <w:t>U.S.</w:t>
      </w:r>
      <w:r w:rsidRPr="00571974">
        <w:rPr>
          <w:lang w:val="en-GB"/>
        </w:rPr>
        <w:t xml:space="preserve"> holder may be required to accrue ordinary income at a rate that is different to the stated interest rate on such Notes and to treat as ordinary income (rather than capital gain) any gain recognized on a sale or other taxable disposition of such Notes. The remainder of this discussion assumes that the Notes will not be treated as contingent payment debt instruments for </w:t>
      </w:r>
      <w:r w:rsidR="006D150F" w:rsidRPr="00571974">
        <w:rPr>
          <w:lang w:val="en-GB"/>
        </w:rPr>
        <w:t>U.S.</w:t>
      </w:r>
      <w:r w:rsidRPr="00571974">
        <w:rPr>
          <w:lang w:val="en-GB"/>
        </w:rPr>
        <w:t xml:space="preserve"> federal income tax purposes.</w:t>
      </w:r>
    </w:p>
    <w:p w14:paraId="580228C1" w14:textId="77777777" w:rsidR="00542FF4" w:rsidRPr="00571974" w:rsidRDefault="003D4D89" w:rsidP="00542FF4">
      <w:pPr>
        <w:pStyle w:val="BodyText"/>
        <w:widowControl/>
        <w:autoSpaceDE/>
        <w:autoSpaceDN/>
        <w:adjustRightInd/>
        <w:ind w:firstLine="360"/>
        <w:rPr>
          <w:lang w:val="en-GB"/>
        </w:rPr>
      </w:pPr>
      <w:r w:rsidRPr="00571974">
        <w:rPr>
          <w:b/>
          <w:bCs/>
          <w:i/>
          <w:iCs/>
          <w:lang w:val="en-GB"/>
        </w:rPr>
        <w:t xml:space="preserve">Disposition of a Note: </w:t>
      </w:r>
      <w:r w:rsidRPr="00571974">
        <w:rPr>
          <w:lang w:val="en-GB"/>
        </w:rPr>
        <w:t>You generally will recognize capital gain or loss on the sale, exchange, redemption, retirement or other taxable disposition of your Notes equal to the difference between the amount you realize on the sale, exchange, redemption, retirement or other taxable disposition, excluding any amounts attributable to accrued but unpaid interest, which will be taxed as described above, and your tax basis in your Notes. Your tax basis in your Notes generally will be their cost. Capital gain of a non</w:t>
      </w:r>
      <w:r w:rsidRPr="00571974">
        <w:rPr>
          <w:lang w:val="en-GB"/>
        </w:rPr>
        <w:noBreakHyphen/>
        <w:t xml:space="preserve">corporate </w:t>
      </w:r>
      <w:r w:rsidR="006D150F" w:rsidRPr="00571974">
        <w:rPr>
          <w:lang w:val="en-GB"/>
        </w:rPr>
        <w:t>U.S.</w:t>
      </w:r>
      <w:r w:rsidRPr="00571974">
        <w:rPr>
          <w:lang w:val="en-GB"/>
        </w:rPr>
        <w:t xml:space="preserve"> holder is generally taxed at preferential rates where the property is held for more than one year. The deductibility of capital losses is subject to limitations.</w:t>
      </w:r>
    </w:p>
    <w:p w14:paraId="65E247A8" w14:textId="797E514E" w:rsidR="00542FF4" w:rsidRPr="00571974" w:rsidRDefault="003D4D89" w:rsidP="00542FF4">
      <w:pPr>
        <w:pStyle w:val="BodyText"/>
        <w:widowControl/>
        <w:autoSpaceDE/>
        <w:autoSpaceDN/>
        <w:adjustRightInd/>
        <w:ind w:firstLine="360"/>
        <w:rPr>
          <w:lang w:val="en-GB"/>
        </w:rPr>
      </w:pPr>
      <w:r w:rsidRPr="00571974">
        <w:rPr>
          <w:b/>
          <w:bCs/>
          <w:i/>
          <w:iCs/>
          <w:lang w:val="en-GB"/>
        </w:rPr>
        <w:t xml:space="preserve">Information with Respect to Foreign Financial Assets: </w:t>
      </w:r>
      <w:r w:rsidRPr="00571974">
        <w:rPr>
          <w:lang w:val="en-GB"/>
        </w:rPr>
        <w:t xml:space="preserve">Certain owners of </w:t>
      </w:r>
      <w:r w:rsidR="00A311D8">
        <w:rPr>
          <w:lang w:val="en-GB"/>
        </w:rPr>
        <w:t>“</w:t>
      </w:r>
      <w:r w:rsidRPr="00571974">
        <w:rPr>
          <w:lang w:val="en-GB"/>
        </w:rPr>
        <w:t>specified foreign financial assets</w:t>
      </w:r>
      <w:r w:rsidR="00A311D8">
        <w:rPr>
          <w:lang w:val="en-GB"/>
        </w:rPr>
        <w:t>”</w:t>
      </w:r>
      <w:r w:rsidRPr="00571974">
        <w:rPr>
          <w:lang w:val="en-GB"/>
        </w:rPr>
        <w:t xml:space="preserve"> with an aggregate value in excess of </w:t>
      </w:r>
      <w:r w:rsidR="003E1CBD" w:rsidRPr="00571974">
        <w:rPr>
          <w:lang w:val="en-GB"/>
        </w:rPr>
        <w:t>US$</w:t>
      </w:r>
      <w:r w:rsidRPr="00571974">
        <w:rPr>
          <w:lang w:val="en-GB"/>
        </w:rPr>
        <w:t xml:space="preserve">50,000 (and in some circumstances, a higher threshold) may be required to file an information report with respect to such assets with their </w:t>
      </w:r>
      <w:r w:rsidR="006D150F" w:rsidRPr="00571974">
        <w:rPr>
          <w:lang w:val="en-GB"/>
        </w:rPr>
        <w:t>U.S.</w:t>
      </w:r>
      <w:r w:rsidRPr="00571974">
        <w:rPr>
          <w:lang w:val="en-GB"/>
        </w:rPr>
        <w:t xml:space="preserve"> federal income tax returns. </w:t>
      </w:r>
      <w:r w:rsidR="00A311D8">
        <w:rPr>
          <w:lang w:val="en-GB"/>
        </w:rPr>
        <w:t>“</w:t>
      </w:r>
      <w:r w:rsidRPr="00571974">
        <w:rPr>
          <w:lang w:val="en-GB"/>
        </w:rPr>
        <w:t>Specified foreign financial assets</w:t>
      </w:r>
      <w:r w:rsidR="00A311D8">
        <w:rPr>
          <w:lang w:val="en-GB"/>
        </w:rPr>
        <w:t>”</w:t>
      </w:r>
      <w:r w:rsidRPr="00571974">
        <w:rPr>
          <w:lang w:val="en-GB"/>
        </w:rPr>
        <w:t xml:space="preserve"> generally include financial accounts maintained by foreign financial institutions, including those in which Notes may be held, and securities issued by non-</w:t>
      </w:r>
      <w:r w:rsidR="006D150F" w:rsidRPr="00571974">
        <w:rPr>
          <w:lang w:val="en-GB"/>
        </w:rPr>
        <w:t>U.S.</w:t>
      </w:r>
      <w:r w:rsidRPr="00571974">
        <w:rPr>
          <w:lang w:val="en-GB"/>
        </w:rPr>
        <w:t xml:space="preserve"> persons, such as the Notes, if they are not held in accounts maintained by financial institutions. Holders are urged to consult their tax advisors regarding the application of this reporting requirement to their ownership of the Notes.</w:t>
      </w:r>
    </w:p>
    <w:p w14:paraId="34E3E62D" w14:textId="6074A3CD" w:rsidR="00542FF4" w:rsidRPr="00571974" w:rsidRDefault="003D4D89" w:rsidP="00542FF4">
      <w:pPr>
        <w:pStyle w:val="BodyText"/>
        <w:widowControl/>
        <w:autoSpaceDE/>
        <w:autoSpaceDN/>
        <w:adjustRightInd/>
        <w:ind w:firstLine="360"/>
        <w:rPr>
          <w:lang w:val="en-GB"/>
        </w:rPr>
      </w:pPr>
      <w:r w:rsidRPr="00571974">
        <w:rPr>
          <w:b/>
          <w:bCs/>
          <w:i/>
          <w:iCs/>
          <w:lang w:val="en-GB"/>
        </w:rPr>
        <w:t xml:space="preserve">Backup Withholding and Information Reporting: </w:t>
      </w:r>
      <w:r w:rsidRPr="00571974">
        <w:rPr>
          <w:lang w:val="en-GB"/>
        </w:rPr>
        <w:t xml:space="preserve">Backup withholding and information reporting requirements may apply to certain payments to </w:t>
      </w:r>
      <w:r w:rsidR="006D150F" w:rsidRPr="00571974">
        <w:rPr>
          <w:lang w:val="en-GB"/>
        </w:rPr>
        <w:t>U.S.</w:t>
      </w:r>
      <w:r w:rsidRPr="00571974">
        <w:rPr>
          <w:lang w:val="en-GB"/>
        </w:rPr>
        <w:t xml:space="preserve"> holders of interest on the Notes and to the proceeds of a sale or other disposition of a Note. Backup withholding (currently at a rate of </w:t>
      </w:r>
      <w:r w:rsidR="002B7286" w:rsidRPr="00571974">
        <w:rPr>
          <w:lang w:val="en-GB"/>
        </w:rPr>
        <w:t>24</w:t>
      </w:r>
      <w:r w:rsidRPr="00571974">
        <w:rPr>
          <w:lang w:val="en-GB"/>
        </w:rPr>
        <w:t xml:space="preserve">%) may be required if you fail (i) to furnish your taxpayer identification number, (ii) to certify that you are not subject to backup withholding or (iii) to otherwise comply with the applicable requirements of the backup withholding rules. Certain </w:t>
      </w:r>
      <w:r w:rsidR="006D150F" w:rsidRPr="00571974">
        <w:rPr>
          <w:lang w:val="en-GB"/>
        </w:rPr>
        <w:t>U.S.</w:t>
      </w:r>
      <w:r w:rsidRPr="00571974">
        <w:rPr>
          <w:lang w:val="en-GB"/>
        </w:rPr>
        <w:t xml:space="preserve"> holders (including, among others, corporations) are not currently subject to the backup withholding and information reporting requirements. Backup withholding is not an additional tax. Any amounts withheld under the backup withholding rules from a payment to a </w:t>
      </w:r>
      <w:r w:rsidR="006D150F" w:rsidRPr="00571974">
        <w:rPr>
          <w:lang w:val="en-GB"/>
        </w:rPr>
        <w:t>U.S.</w:t>
      </w:r>
      <w:r w:rsidRPr="00571974">
        <w:rPr>
          <w:lang w:val="en-GB"/>
        </w:rPr>
        <w:t xml:space="preserve"> holder generally may be claimed as a credit against such </w:t>
      </w:r>
      <w:r w:rsidR="006D150F" w:rsidRPr="00571974">
        <w:rPr>
          <w:lang w:val="en-GB"/>
        </w:rPr>
        <w:t>U.S.</w:t>
      </w:r>
      <w:r w:rsidRPr="00571974">
        <w:rPr>
          <w:lang w:val="en-GB"/>
        </w:rPr>
        <w:t xml:space="preserve"> holder</w:t>
      </w:r>
      <w:r w:rsidR="00A311D8">
        <w:rPr>
          <w:lang w:val="en-GB"/>
        </w:rPr>
        <w:t>’</w:t>
      </w:r>
      <w:r w:rsidRPr="00571974">
        <w:rPr>
          <w:lang w:val="en-GB"/>
        </w:rPr>
        <w:t xml:space="preserve">s </w:t>
      </w:r>
      <w:r w:rsidR="006D150F" w:rsidRPr="00571974">
        <w:rPr>
          <w:lang w:val="en-GB"/>
        </w:rPr>
        <w:t>U.S.</w:t>
      </w:r>
      <w:r w:rsidRPr="00571974">
        <w:rPr>
          <w:lang w:val="en-GB"/>
        </w:rPr>
        <w:t xml:space="preserve"> federal income tax liability and any excess may result in a refund, provided that the required information is timely furnished to the Internal Revenue Service.</w:t>
      </w:r>
    </w:p>
    <w:p w14:paraId="260226A3" w14:textId="77777777" w:rsidR="00542FF4" w:rsidRPr="00571974" w:rsidRDefault="003D4D89" w:rsidP="00542FF4">
      <w:pPr>
        <w:pStyle w:val="Heading1"/>
        <w:rPr>
          <w:lang w:val="en-GB"/>
        </w:rPr>
      </w:pPr>
      <w:r w:rsidRPr="00571974">
        <w:rPr>
          <w:lang w:val="en-GB"/>
        </w:rPr>
        <w:br w:type="page"/>
      </w:r>
      <w:bookmarkStart w:id="98" w:name="_Toc475546294"/>
      <w:bookmarkStart w:id="99" w:name="_Toc36388972"/>
      <w:r w:rsidRPr="00571974">
        <w:rPr>
          <w:lang w:val="en-GB"/>
        </w:rPr>
        <w:lastRenderedPageBreak/>
        <w:t>PLAN OF DISTRIBUTION</w:t>
      </w:r>
      <w:bookmarkEnd w:id="98"/>
      <w:bookmarkEnd w:id="99"/>
    </w:p>
    <w:p w14:paraId="3B911055" w14:textId="77777777" w:rsidR="00542FF4" w:rsidRPr="00571974" w:rsidRDefault="003D4D89" w:rsidP="00542FF4">
      <w:pPr>
        <w:pStyle w:val="BodyText"/>
        <w:widowControl/>
        <w:autoSpaceDE/>
        <w:autoSpaceDN/>
        <w:adjustRightInd/>
        <w:ind w:firstLine="360"/>
        <w:rPr>
          <w:lang w:val="en-GB"/>
        </w:rPr>
      </w:pPr>
      <w:r w:rsidRPr="00571974">
        <w:rPr>
          <w:lang w:val="en-GB"/>
        </w:rPr>
        <w:t>Subject to the terms and conditions of a purchase agreement among the Issuer, the Company and the Initial Purchasers, the Issuer has agreed to sell to the Initial Purchasers, and each Initial Purchaser has severally agreed to purchase from the Issuer, the principal amount of Notes indicated in the following table.</w:t>
      </w:r>
    </w:p>
    <w:tbl>
      <w:tblPr>
        <w:tblW w:w="5000" w:type="pct"/>
        <w:jc w:val="center"/>
        <w:tblCellMar>
          <w:left w:w="72" w:type="dxa"/>
          <w:right w:w="72" w:type="dxa"/>
        </w:tblCellMar>
        <w:tblLook w:val="0000" w:firstRow="0" w:lastRow="0" w:firstColumn="0" w:lastColumn="0" w:noHBand="0" w:noVBand="0"/>
      </w:tblPr>
      <w:tblGrid>
        <w:gridCol w:w="5865"/>
        <w:gridCol w:w="1745"/>
        <w:gridCol w:w="1746"/>
      </w:tblGrid>
      <w:tr w:rsidR="00402BFF" w14:paraId="0B37D81A" w14:textId="77777777" w:rsidTr="00183F92">
        <w:trPr>
          <w:cantSplit/>
          <w:jc w:val="center"/>
        </w:trPr>
        <w:tc>
          <w:tcPr>
            <w:tcW w:w="3134" w:type="pct"/>
            <w:tcBorders>
              <w:top w:val="nil"/>
              <w:left w:val="nil"/>
              <w:bottom w:val="nil"/>
              <w:right w:val="nil"/>
            </w:tcBorders>
            <w:vAlign w:val="bottom"/>
          </w:tcPr>
          <w:p w14:paraId="472C73E8" w14:textId="77777777" w:rsidR="00402BFF" w:rsidRPr="00571974" w:rsidRDefault="00402BFF" w:rsidP="00402BFF">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lang w:val="en-GB" w:eastAsia="en-GB" w:bidi="ar-SA"/>
              </w:rPr>
            </w:pPr>
            <w:r w:rsidRPr="00571974">
              <w:rPr>
                <w:b/>
                <w:bCs/>
                <w:sz w:val="18"/>
                <w:szCs w:val="18"/>
                <w:lang w:val="en-GB" w:eastAsia="en-GB" w:bidi="ar-SA"/>
              </w:rPr>
              <w:t>Initial Purchasers</w:t>
            </w:r>
          </w:p>
        </w:tc>
        <w:tc>
          <w:tcPr>
            <w:tcW w:w="933" w:type="pct"/>
            <w:tcBorders>
              <w:top w:val="nil"/>
              <w:left w:val="nil"/>
              <w:bottom w:val="nil"/>
              <w:right w:val="nil"/>
            </w:tcBorders>
            <w:vAlign w:val="bottom"/>
          </w:tcPr>
          <w:p w14:paraId="2FA9DF86" w14:textId="2F39F1AE" w:rsidR="00402BFF" w:rsidRPr="00571974" w:rsidRDefault="00402BFF" w:rsidP="00786296">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 xml:space="preserve">Principal Amount of </w:t>
            </w:r>
            <w:r>
              <w:rPr>
                <w:b/>
                <w:bCs/>
                <w:sz w:val="18"/>
                <w:szCs w:val="18"/>
                <w:lang w:val="en-GB" w:eastAsia="en-GB" w:bidi="ar-SA"/>
              </w:rPr>
              <w:t>20</w:t>
            </w:r>
            <w:r w:rsidR="00183F92">
              <w:rPr>
                <w:b/>
                <w:bCs/>
                <w:sz w:val="18"/>
                <w:szCs w:val="18"/>
                <w:lang w:val="en-GB" w:eastAsia="en-GB" w:bidi="ar-SA"/>
              </w:rPr>
              <w:t>25</w:t>
            </w:r>
            <w:r>
              <w:rPr>
                <w:b/>
                <w:bCs/>
                <w:sz w:val="18"/>
                <w:szCs w:val="18"/>
                <w:lang w:val="en-GB" w:eastAsia="en-GB" w:bidi="ar-SA"/>
              </w:rPr>
              <w:t xml:space="preserve"> </w:t>
            </w:r>
            <w:r w:rsidRPr="00571974">
              <w:rPr>
                <w:b/>
                <w:bCs/>
                <w:sz w:val="18"/>
                <w:szCs w:val="18"/>
                <w:lang w:val="en-GB" w:eastAsia="en-GB" w:bidi="ar-SA"/>
              </w:rPr>
              <w:t>Notes</w:t>
            </w:r>
          </w:p>
        </w:tc>
        <w:tc>
          <w:tcPr>
            <w:tcW w:w="933" w:type="pct"/>
            <w:tcBorders>
              <w:top w:val="nil"/>
              <w:left w:val="nil"/>
              <w:bottom w:val="nil"/>
              <w:right w:val="nil"/>
            </w:tcBorders>
            <w:vAlign w:val="bottom"/>
          </w:tcPr>
          <w:p w14:paraId="0F675BC2" w14:textId="5CF95CC0" w:rsidR="00402BFF" w:rsidRPr="00571974" w:rsidRDefault="00402BFF" w:rsidP="00786296">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 xml:space="preserve">Principal Amount of </w:t>
            </w:r>
            <w:r>
              <w:rPr>
                <w:b/>
                <w:bCs/>
                <w:sz w:val="18"/>
                <w:szCs w:val="18"/>
                <w:lang w:val="en-GB" w:eastAsia="en-GB" w:bidi="ar-SA"/>
              </w:rPr>
              <w:t>20</w:t>
            </w:r>
            <w:r w:rsidR="00183F92">
              <w:rPr>
                <w:b/>
                <w:bCs/>
                <w:sz w:val="18"/>
                <w:szCs w:val="18"/>
                <w:lang w:val="en-GB" w:eastAsia="en-GB" w:bidi="ar-SA"/>
              </w:rPr>
              <w:t>30</w:t>
            </w:r>
            <w:r>
              <w:rPr>
                <w:b/>
                <w:bCs/>
                <w:sz w:val="18"/>
                <w:szCs w:val="18"/>
                <w:lang w:val="en-GB" w:eastAsia="en-GB" w:bidi="ar-SA"/>
              </w:rPr>
              <w:t xml:space="preserve"> </w:t>
            </w:r>
            <w:r w:rsidRPr="00571974">
              <w:rPr>
                <w:b/>
                <w:bCs/>
                <w:sz w:val="18"/>
                <w:szCs w:val="18"/>
                <w:lang w:val="en-GB" w:eastAsia="en-GB" w:bidi="ar-SA"/>
              </w:rPr>
              <w:t>Notes</w:t>
            </w:r>
          </w:p>
        </w:tc>
      </w:tr>
      <w:tr w:rsidR="00183F92" w14:paraId="2C442CF5" w14:textId="77777777" w:rsidTr="00183F92">
        <w:trPr>
          <w:cantSplit/>
          <w:jc w:val="center"/>
        </w:trPr>
        <w:tc>
          <w:tcPr>
            <w:tcW w:w="3134" w:type="pct"/>
            <w:tcBorders>
              <w:top w:val="nil"/>
              <w:left w:val="nil"/>
              <w:bottom w:val="nil"/>
              <w:right w:val="nil"/>
            </w:tcBorders>
          </w:tcPr>
          <w:p w14:paraId="786A20E1" w14:textId="77777777" w:rsidR="00183F92" w:rsidRPr="00571974" w:rsidRDefault="00183F92" w:rsidP="00183F92">
            <w:pPr>
              <w:widowControl/>
              <w:tabs>
                <w:tab w:val="right" w:leader="dot" w:pos="5900"/>
              </w:tabs>
              <w:suppressAutoHyphens/>
              <w:ind w:left="200" w:hanging="200"/>
              <w:rPr>
                <w:lang w:val="en-GB" w:eastAsia="en-GB" w:bidi="ar-SA"/>
              </w:rPr>
            </w:pPr>
            <w:r w:rsidRPr="00571974">
              <w:rPr>
                <w:lang w:val="en-GB" w:eastAsia="en-GB" w:bidi="ar-SA"/>
              </w:rPr>
              <w:t>Citigroup Global Markets Inc.</w:t>
            </w:r>
            <w:r w:rsidRPr="00571974">
              <w:rPr>
                <w:lang w:val="en-GB" w:eastAsia="en-GB" w:bidi="ar-SA"/>
              </w:rPr>
              <w:tab/>
            </w:r>
          </w:p>
        </w:tc>
        <w:tc>
          <w:tcPr>
            <w:tcW w:w="933" w:type="pct"/>
            <w:tcBorders>
              <w:top w:val="nil"/>
              <w:left w:val="nil"/>
              <w:bottom w:val="nil"/>
              <w:right w:val="nil"/>
            </w:tcBorders>
          </w:tcPr>
          <w:p w14:paraId="0E8B62B8" w14:textId="03A5C54D" w:rsidR="00183F92" w:rsidRPr="00571974" w:rsidRDefault="00183F92" w:rsidP="00183F92">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szCs w:val="18"/>
                <w:lang w:val="en-GB" w:eastAsia="en-GB" w:bidi="ar-SA"/>
              </w:rPr>
            </w:pPr>
            <w:r w:rsidRPr="00081BA5">
              <w:rPr>
                <w:sz w:val="18"/>
                <w:szCs w:val="18"/>
                <w:lang w:val="en-GB" w:eastAsia="en-GB" w:bidi="ar-SA"/>
              </w:rPr>
              <w:t>$150,000,000</w:t>
            </w:r>
          </w:p>
        </w:tc>
        <w:tc>
          <w:tcPr>
            <w:tcW w:w="933" w:type="pct"/>
            <w:tcBorders>
              <w:top w:val="nil"/>
              <w:left w:val="nil"/>
              <w:bottom w:val="nil"/>
              <w:right w:val="nil"/>
            </w:tcBorders>
          </w:tcPr>
          <w:p w14:paraId="1A7C43DD" w14:textId="058FD974" w:rsidR="00183F92" w:rsidRPr="00571974" w:rsidRDefault="00183F92" w:rsidP="00183F92">
            <w:pPr>
              <w:widowControl/>
              <w:tabs>
                <w:tab w:val="left" w:pos="0"/>
                <w:tab w:val="left" w:pos="216"/>
                <w:tab w:val="left" w:pos="432"/>
                <w:tab w:val="left" w:pos="648"/>
                <w:tab w:val="left" w:pos="864"/>
                <w:tab w:val="left" w:pos="1080"/>
                <w:tab w:val="left" w:pos="1296"/>
                <w:tab w:val="left" w:pos="1512"/>
                <w:tab w:val="left" w:pos="1728"/>
                <w:tab w:val="left" w:pos="1944"/>
              </w:tabs>
              <w:suppressAutoHyphens/>
              <w:jc w:val="center"/>
              <w:rPr>
                <w:sz w:val="18"/>
                <w:szCs w:val="18"/>
                <w:lang w:val="en-GB" w:eastAsia="en-GB" w:bidi="ar-SA"/>
              </w:rPr>
            </w:pPr>
            <w:r w:rsidRPr="00081BA5">
              <w:rPr>
                <w:sz w:val="18"/>
                <w:szCs w:val="18"/>
                <w:lang w:val="en-GB" w:eastAsia="en-GB" w:bidi="ar-SA"/>
              </w:rPr>
              <w:t>$150,000,000</w:t>
            </w:r>
          </w:p>
        </w:tc>
      </w:tr>
      <w:tr w:rsidR="00183F92" w14:paraId="68C4EAC3" w14:textId="77777777" w:rsidTr="00183F92">
        <w:trPr>
          <w:cantSplit/>
          <w:jc w:val="center"/>
        </w:trPr>
        <w:tc>
          <w:tcPr>
            <w:tcW w:w="3134" w:type="pct"/>
            <w:tcBorders>
              <w:top w:val="nil"/>
              <w:left w:val="nil"/>
              <w:bottom w:val="nil"/>
              <w:right w:val="nil"/>
            </w:tcBorders>
          </w:tcPr>
          <w:p w14:paraId="4E7D8B45" w14:textId="77777777" w:rsidR="00183F92" w:rsidRPr="00571974" w:rsidRDefault="00183F92" w:rsidP="00183F92">
            <w:pPr>
              <w:widowControl/>
              <w:tabs>
                <w:tab w:val="right" w:leader="dot" w:pos="5900"/>
              </w:tabs>
              <w:suppressAutoHyphens/>
              <w:ind w:left="200" w:hanging="200"/>
              <w:rPr>
                <w:lang w:val="en-GB" w:eastAsia="en-GB" w:bidi="ar-SA"/>
              </w:rPr>
            </w:pPr>
            <w:r w:rsidRPr="00571974">
              <w:rPr>
                <w:lang w:val="en-GB" w:eastAsia="en-GB" w:bidi="ar-SA"/>
              </w:rPr>
              <w:t>Mizuho Securities USA LLC</w:t>
            </w:r>
            <w:r w:rsidRPr="00571974">
              <w:rPr>
                <w:lang w:val="en-GB" w:eastAsia="en-GB" w:bidi="ar-SA"/>
              </w:rPr>
              <w:tab/>
            </w:r>
          </w:p>
        </w:tc>
        <w:tc>
          <w:tcPr>
            <w:tcW w:w="933" w:type="pct"/>
            <w:tcBorders>
              <w:top w:val="nil"/>
              <w:left w:val="nil"/>
              <w:bottom w:val="nil"/>
              <w:right w:val="nil"/>
            </w:tcBorders>
          </w:tcPr>
          <w:p w14:paraId="641C3922" w14:textId="098ED964" w:rsidR="00183F92" w:rsidRPr="00571974" w:rsidRDefault="00183F92" w:rsidP="00183F92">
            <w:pPr>
              <w:jc w:val="center"/>
              <w:rPr>
                <w:sz w:val="18"/>
                <w:szCs w:val="18"/>
                <w:lang w:val="en-GB" w:eastAsia="en-GB" w:bidi="ar-SA"/>
              </w:rPr>
            </w:pPr>
            <w:r w:rsidRPr="00081BA5">
              <w:rPr>
                <w:sz w:val="18"/>
                <w:szCs w:val="18"/>
                <w:lang w:val="en-GB" w:eastAsia="en-GB" w:bidi="ar-SA"/>
              </w:rPr>
              <w:t>$150,000,000</w:t>
            </w:r>
          </w:p>
        </w:tc>
        <w:tc>
          <w:tcPr>
            <w:tcW w:w="933" w:type="pct"/>
            <w:tcBorders>
              <w:top w:val="nil"/>
              <w:left w:val="nil"/>
              <w:bottom w:val="nil"/>
              <w:right w:val="nil"/>
            </w:tcBorders>
          </w:tcPr>
          <w:p w14:paraId="4154AEDB" w14:textId="7A95F39B" w:rsidR="00183F92" w:rsidRPr="00571974" w:rsidRDefault="00183F92" w:rsidP="00183F92">
            <w:pPr>
              <w:jc w:val="center"/>
              <w:rPr>
                <w:sz w:val="18"/>
                <w:szCs w:val="18"/>
                <w:lang w:val="en-GB" w:eastAsia="en-GB" w:bidi="ar-SA"/>
              </w:rPr>
            </w:pPr>
            <w:r w:rsidRPr="00081BA5">
              <w:rPr>
                <w:sz w:val="18"/>
                <w:szCs w:val="18"/>
                <w:lang w:val="en-GB" w:eastAsia="en-GB" w:bidi="ar-SA"/>
              </w:rPr>
              <w:t>$150,000,000</w:t>
            </w:r>
          </w:p>
        </w:tc>
      </w:tr>
      <w:tr w:rsidR="00183F92" w14:paraId="5D727BF0" w14:textId="77777777" w:rsidTr="00183F92">
        <w:trPr>
          <w:cantSplit/>
          <w:jc w:val="center"/>
        </w:trPr>
        <w:tc>
          <w:tcPr>
            <w:tcW w:w="3134" w:type="pct"/>
            <w:tcBorders>
              <w:top w:val="nil"/>
              <w:left w:val="nil"/>
              <w:bottom w:val="nil"/>
              <w:right w:val="nil"/>
            </w:tcBorders>
          </w:tcPr>
          <w:p w14:paraId="656F278F" w14:textId="77777777" w:rsidR="00183F92" w:rsidRPr="00571974" w:rsidRDefault="00183F92" w:rsidP="00183F92">
            <w:pPr>
              <w:widowControl/>
              <w:tabs>
                <w:tab w:val="right" w:leader="dot" w:pos="5900"/>
              </w:tabs>
              <w:suppressAutoHyphens/>
              <w:ind w:left="200" w:hanging="200"/>
              <w:rPr>
                <w:lang w:val="en-GB" w:eastAsia="en-GB" w:bidi="ar-SA"/>
              </w:rPr>
            </w:pPr>
            <w:r w:rsidRPr="00571974">
              <w:rPr>
                <w:lang w:val="en-GB" w:eastAsia="en-GB" w:bidi="ar-SA"/>
              </w:rPr>
              <w:t>RBC Capital Markets, LLC</w:t>
            </w:r>
            <w:r w:rsidRPr="00571974">
              <w:rPr>
                <w:lang w:val="en-GB" w:eastAsia="en-GB" w:bidi="ar-SA"/>
              </w:rPr>
              <w:tab/>
            </w:r>
          </w:p>
        </w:tc>
        <w:tc>
          <w:tcPr>
            <w:tcW w:w="933" w:type="pct"/>
            <w:tcBorders>
              <w:top w:val="nil"/>
              <w:left w:val="nil"/>
              <w:bottom w:val="nil"/>
              <w:right w:val="nil"/>
            </w:tcBorders>
          </w:tcPr>
          <w:p w14:paraId="121350DB" w14:textId="48369091" w:rsidR="00183F92" w:rsidRPr="00571974" w:rsidRDefault="00183F92" w:rsidP="00183F92">
            <w:pPr>
              <w:jc w:val="center"/>
              <w:rPr>
                <w:sz w:val="18"/>
                <w:szCs w:val="18"/>
                <w:lang w:val="en-GB" w:eastAsia="en-GB" w:bidi="ar-SA"/>
              </w:rPr>
            </w:pPr>
            <w:r w:rsidRPr="00081BA5">
              <w:rPr>
                <w:sz w:val="18"/>
                <w:szCs w:val="18"/>
                <w:lang w:val="en-GB" w:eastAsia="en-GB" w:bidi="ar-SA"/>
              </w:rPr>
              <w:t>$150,000,000</w:t>
            </w:r>
          </w:p>
        </w:tc>
        <w:tc>
          <w:tcPr>
            <w:tcW w:w="933" w:type="pct"/>
            <w:tcBorders>
              <w:top w:val="nil"/>
              <w:left w:val="nil"/>
              <w:bottom w:val="nil"/>
              <w:right w:val="nil"/>
            </w:tcBorders>
          </w:tcPr>
          <w:p w14:paraId="744D884A" w14:textId="65AF718D" w:rsidR="00183F92" w:rsidRPr="00571974" w:rsidRDefault="00183F92" w:rsidP="00183F92">
            <w:pPr>
              <w:jc w:val="center"/>
              <w:rPr>
                <w:sz w:val="18"/>
                <w:szCs w:val="18"/>
                <w:lang w:val="en-GB" w:eastAsia="en-GB" w:bidi="ar-SA"/>
              </w:rPr>
            </w:pPr>
            <w:r w:rsidRPr="00081BA5">
              <w:rPr>
                <w:sz w:val="18"/>
                <w:szCs w:val="18"/>
                <w:lang w:val="en-GB" w:eastAsia="en-GB" w:bidi="ar-SA"/>
              </w:rPr>
              <w:t>$150,000,000</w:t>
            </w:r>
          </w:p>
        </w:tc>
      </w:tr>
      <w:tr w:rsidR="00183F92" w14:paraId="47962867" w14:textId="77777777" w:rsidTr="00183F92">
        <w:trPr>
          <w:cantSplit/>
          <w:jc w:val="center"/>
        </w:trPr>
        <w:tc>
          <w:tcPr>
            <w:tcW w:w="3134" w:type="pct"/>
            <w:tcBorders>
              <w:top w:val="nil"/>
              <w:left w:val="nil"/>
              <w:bottom w:val="nil"/>
              <w:right w:val="nil"/>
            </w:tcBorders>
          </w:tcPr>
          <w:p w14:paraId="0C09862D" w14:textId="77777777" w:rsidR="00183F92" w:rsidRPr="00571974" w:rsidRDefault="00183F92" w:rsidP="00183F92">
            <w:pPr>
              <w:widowControl/>
              <w:tabs>
                <w:tab w:val="right" w:leader="dot" w:pos="5900"/>
              </w:tabs>
              <w:suppressAutoHyphens/>
              <w:ind w:left="200" w:hanging="200"/>
              <w:rPr>
                <w:sz w:val="18"/>
                <w:szCs w:val="18"/>
                <w:lang w:val="en-GB" w:eastAsia="en-GB" w:bidi="ar-SA"/>
              </w:rPr>
            </w:pPr>
            <w:r w:rsidRPr="00571974">
              <w:rPr>
                <w:sz w:val="18"/>
                <w:szCs w:val="18"/>
                <w:lang w:val="en-GB" w:eastAsia="en-GB" w:bidi="ar-SA"/>
              </w:rPr>
              <w:t>Standard Chartered Bank</w:t>
            </w:r>
            <w:r w:rsidRPr="00571974">
              <w:rPr>
                <w:sz w:val="18"/>
                <w:szCs w:val="18"/>
                <w:lang w:val="en-GB" w:eastAsia="en-GB" w:bidi="ar-SA"/>
              </w:rPr>
              <w:tab/>
            </w:r>
          </w:p>
        </w:tc>
        <w:tc>
          <w:tcPr>
            <w:tcW w:w="933" w:type="pct"/>
            <w:tcBorders>
              <w:top w:val="nil"/>
              <w:left w:val="nil"/>
              <w:bottom w:val="nil"/>
              <w:right w:val="nil"/>
            </w:tcBorders>
          </w:tcPr>
          <w:p w14:paraId="5F728D3C" w14:textId="7054F033" w:rsidR="00183F92" w:rsidRPr="00571974" w:rsidRDefault="00183F92" w:rsidP="00183F92">
            <w:pPr>
              <w:jc w:val="center"/>
              <w:rPr>
                <w:sz w:val="18"/>
                <w:szCs w:val="18"/>
                <w:lang w:val="en-GB" w:eastAsia="en-GB" w:bidi="ar-SA"/>
              </w:rPr>
            </w:pPr>
            <w:r w:rsidRPr="00081BA5">
              <w:rPr>
                <w:sz w:val="18"/>
                <w:szCs w:val="18"/>
                <w:lang w:val="en-GB" w:eastAsia="en-GB" w:bidi="ar-SA"/>
              </w:rPr>
              <w:t>$150,000,000</w:t>
            </w:r>
          </w:p>
        </w:tc>
        <w:tc>
          <w:tcPr>
            <w:tcW w:w="933" w:type="pct"/>
            <w:tcBorders>
              <w:top w:val="nil"/>
              <w:left w:val="nil"/>
              <w:bottom w:val="nil"/>
              <w:right w:val="nil"/>
            </w:tcBorders>
          </w:tcPr>
          <w:p w14:paraId="646D139C" w14:textId="16A40BF6" w:rsidR="00183F92" w:rsidRPr="00571974" w:rsidRDefault="00183F92" w:rsidP="00183F92">
            <w:pPr>
              <w:jc w:val="center"/>
              <w:rPr>
                <w:sz w:val="18"/>
                <w:szCs w:val="18"/>
                <w:lang w:val="en-GB" w:eastAsia="en-GB" w:bidi="ar-SA"/>
              </w:rPr>
            </w:pPr>
            <w:r w:rsidRPr="00081BA5">
              <w:rPr>
                <w:sz w:val="18"/>
                <w:szCs w:val="18"/>
                <w:lang w:val="en-GB" w:eastAsia="en-GB" w:bidi="ar-SA"/>
              </w:rPr>
              <w:t>$150,000,000</w:t>
            </w:r>
          </w:p>
        </w:tc>
      </w:tr>
      <w:tr w:rsidR="00183F92" w14:paraId="78B00DCF" w14:textId="77777777" w:rsidTr="00183F92">
        <w:trPr>
          <w:cantSplit/>
          <w:jc w:val="center"/>
        </w:trPr>
        <w:tc>
          <w:tcPr>
            <w:tcW w:w="3134" w:type="pct"/>
            <w:tcBorders>
              <w:top w:val="nil"/>
              <w:left w:val="nil"/>
              <w:bottom w:val="nil"/>
              <w:right w:val="nil"/>
            </w:tcBorders>
          </w:tcPr>
          <w:p w14:paraId="6698E45D" w14:textId="75936B63" w:rsidR="00183F92" w:rsidRPr="00571974" w:rsidRDefault="00183F92" w:rsidP="00183F92">
            <w:pPr>
              <w:widowControl/>
              <w:tabs>
                <w:tab w:val="right" w:leader="dot" w:pos="5900"/>
              </w:tabs>
              <w:suppressAutoHyphens/>
              <w:ind w:left="200" w:hanging="200"/>
              <w:rPr>
                <w:rFonts w:ascii="Arial" w:hAnsi="Arial"/>
                <w:sz w:val="18"/>
                <w:szCs w:val="18"/>
                <w:lang w:val="en-GB" w:eastAsia="en-GB" w:bidi="ar-SA"/>
              </w:rPr>
            </w:pPr>
            <w:r w:rsidRPr="00571974">
              <w:rPr>
                <w:sz w:val="18"/>
                <w:szCs w:val="18"/>
                <w:lang w:val="en-GB" w:eastAsia="en-GB" w:bidi="ar-SA"/>
              </w:rPr>
              <w:t>BMO Capital Markets Corp</w:t>
            </w:r>
            <w:r w:rsidRPr="00571974">
              <w:rPr>
                <w:sz w:val="18"/>
                <w:szCs w:val="18"/>
                <w:lang w:val="en-GB" w:eastAsia="en-GB" w:bidi="ar-SA"/>
              </w:rPr>
              <w:tab/>
            </w:r>
          </w:p>
        </w:tc>
        <w:tc>
          <w:tcPr>
            <w:tcW w:w="933" w:type="pct"/>
            <w:tcBorders>
              <w:top w:val="nil"/>
              <w:left w:val="nil"/>
              <w:bottom w:val="nil"/>
              <w:right w:val="nil"/>
            </w:tcBorders>
          </w:tcPr>
          <w:p w14:paraId="66640ABF" w14:textId="30A1EF43" w:rsidR="00183F92" w:rsidRPr="00571974" w:rsidRDefault="00183F92" w:rsidP="00786296">
            <w:pPr>
              <w:jc w:val="center"/>
              <w:rPr>
                <w:sz w:val="18"/>
                <w:szCs w:val="18"/>
                <w:lang w:val="en-GB" w:eastAsia="en-GB" w:bidi="ar-SA"/>
              </w:rPr>
            </w:pPr>
            <w:r w:rsidRPr="00436F96">
              <w:rPr>
                <w:sz w:val="18"/>
                <w:szCs w:val="18"/>
                <w:lang w:val="en-GB" w:eastAsia="en-GB" w:bidi="ar-SA"/>
              </w:rPr>
              <w:t>$75,000,000</w:t>
            </w:r>
          </w:p>
        </w:tc>
        <w:tc>
          <w:tcPr>
            <w:tcW w:w="933" w:type="pct"/>
            <w:tcBorders>
              <w:top w:val="nil"/>
              <w:left w:val="nil"/>
              <w:bottom w:val="nil"/>
              <w:right w:val="nil"/>
            </w:tcBorders>
          </w:tcPr>
          <w:p w14:paraId="127DA1AC" w14:textId="64A37F17" w:rsidR="00183F92" w:rsidRPr="00571974" w:rsidRDefault="00183F92" w:rsidP="00183F92">
            <w:pPr>
              <w:jc w:val="center"/>
              <w:rPr>
                <w:sz w:val="18"/>
                <w:szCs w:val="18"/>
                <w:lang w:val="en-GB" w:eastAsia="en-GB" w:bidi="ar-SA"/>
              </w:rPr>
            </w:pPr>
            <w:r w:rsidRPr="00436F96">
              <w:rPr>
                <w:sz w:val="18"/>
                <w:szCs w:val="18"/>
                <w:lang w:val="en-GB" w:eastAsia="en-GB" w:bidi="ar-SA"/>
              </w:rPr>
              <w:t>$75,000,000</w:t>
            </w:r>
          </w:p>
        </w:tc>
      </w:tr>
      <w:tr w:rsidR="00183F92" w14:paraId="2D3DAC1F" w14:textId="77777777" w:rsidTr="00183F92">
        <w:trPr>
          <w:cantSplit/>
          <w:jc w:val="center"/>
        </w:trPr>
        <w:tc>
          <w:tcPr>
            <w:tcW w:w="3134" w:type="pct"/>
            <w:tcBorders>
              <w:top w:val="nil"/>
              <w:left w:val="nil"/>
              <w:bottom w:val="nil"/>
              <w:right w:val="nil"/>
            </w:tcBorders>
          </w:tcPr>
          <w:p w14:paraId="150EC599" w14:textId="0EE92472" w:rsidR="00183F92" w:rsidRPr="00571974" w:rsidRDefault="00183F92" w:rsidP="00183F92">
            <w:pPr>
              <w:widowControl/>
              <w:tabs>
                <w:tab w:val="right" w:leader="dot" w:pos="5900"/>
              </w:tabs>
              <w:suppressAutoHyphens/>
              <w:ind w:left="200" w:hanging="200"/>
              <w:rPr>
                <w:sz w:val="18"/>
                <w:szCs w:val="18"/>
                <w:lang w:val="en-GB" w:eastAsia="en-GB" w:bidi="ar-SA"/>
              </w:rPr>
            </w:pPr>
            <w:r w:rsidRPr="00571974">
              <w:rPr>
                <w:sz w:val="18"/>
                <w:szCs w:val="18"/>
                <w:lang w:val="en-GB" w:eastAsia="en-GB" w:bidi="ar-SA"/>
              </w:rPr>
              <w:t>TD Securities (USA) LLC</w:t>
            </w:r>
            <w:r w:rsidRPr="00571974">
              <w:rPr>
                <w:sz w:val="18"/>
                <w:szCs w:val="18"/>
                <w:lang w:val="en-GB" w:eastAsia="en-GB" w:bidi="ar-SA"/>
              </w:rPr>
              <w:tab/>
            </w:r>
          </w:p>
        </w:tc>
        <w:tc>
          <w:tcPr>
            <w:tcW w:w="933" w:type="pct"/>
            <w:tcBorders>
              <w:top w:val="nil"/>
              <w:left w:val="nil"/>
              <w:bottom w:val="nil"/>
              <w:right w:val="nil"/>
            </w:tcBorders>
          </w:tcPr>
          <w:p w14:paraId="5A34ED45" w14:textId="4F64AF3C" w:rsidR="00183F92" w:rsidRPr="00571974" w:rsidRDefault="00183F92" w:rsidP="00183F92">
            <w:pPr>
              <w:jc w:val="center"/>
              <w:rPr>
                <w:sz w:val="18"/>
                <w:szCs w:val="18"/>
                <w:lang w:val="en-GB" w:eastAsia="en-GB" w:bidi="ar-SA"/>
              </w:rPr>
            </w:pPr>
            <w:r w:rsidRPr="00436F96">
              <w:rPr>
                <w:sz w:val="18"/>
                <w:szCs w:val="18"/>
                <w:lang w:val="en-GB" w:eastAsia="en-GB" w:bidi="ar-SA"/>
              </w:rPr>
              <w:t>$75,000,000</w:t>
            </w:r>
          </w:p>
        </w:tc>
        <w:tc>
          <w:tcPr>
            <w:tcW w:w="933" w:type="pct"/>
            <w:tcBorders>
              <w:top w:val="nil"/>
              <w:left w:val="nil"/>
              <w:bottom w:val="nil"/>
              <w:right w:val="nil"/>
            </w:tcBorders>
          </w:tcPr>
          <w:p w14:paraId="72BF3ABF" w14:textId="6F4F7D94" w:rsidR="00183F92" w:rsidRPr="00571974" w:rsidRDefault="00183F92" w:rsidP="00183F92">
            <w:pPr>
              <w:jc w:val="center"/>
              <w:rPr>
                <w:sz w:val="18"/>
                <w:szCs w:val="18"/>
                <w:lang w:val="en-GB" w:eastAsia="en-GB" w:bidi="ar-SA"/>
              </w:rPr>
            </w:pPr>
            <w:r w:rsidRPr="00436F96">
              <w:rPr>
                <w:sz w:val="18"/>
                <w:szCs w:val="18"/>
                <w:lang w:val="en-GB" w:eastAsia="en-GB" w:bidi="ar-SA"/>
              </w:rPr>
              <w:t>$75,000,000</w:t>
            </w:r>
          </w:p>
        </w:tc>
      </w:tr>
      <w:tr w:rsidR="00183F92" w14:paraId="4A5EA087" w14:textId="77777777" w:rsidTr="00183F92">
        <w:trPr>
          <w:cantSplit/>
          <w:jc w:val="center"/>
        </w:trPr>
        <w:tc>
          <w:tcPr>
            <w:tcW w:w="3134" w:type="pct"/>
            <w:tcBorders>
              <w:top w:val="nil"/>
              <w:left w:val="nil"/>
              <w:bottom w:val="nil"/>
              <w:right w:val="nil"/>
            </w:tcBorders>
          </w:tcPr>
          <w:p w14:paraId="3200E91E" w14:textId="77777777" w:rsidR="00183F92" w:rsidRPr="00571974" w:rsidRDefault="00183F92" w:rsidP="00183F92">
            <w:pPr>
              <w:widowControl/>
              <w:tabs>
                <w:tab w:val="right" w:leader="dot" w:pos="5900"/>
              </w:tabs>
              <w:suppressAutoHyphens/>
              <w:spacing w:after="40"/>
              <w:ind w:left="400" w:hanging="200"/>
              <w:rPr>
                <w:sz w:val="18"/>
                <w:szCs w:val="18"/>
                <w:lang w:val="en-GB" w:eastAsia="en-GB" w:bidi="ar-SA"/>
              </w:rPr>
            </w:pPr>
            <w:r w:rsidRPr="00571974">
              <w:rPr>
                <w:sz w:val="18"/>
                <w:szCs w:val="18"/>
                <w:lang w:val="en-GB" w:eastAsia="en-GB" w:bidi="ar-SA"/>
              </w:rPr>
              <w:t>Total</w:t>
            </w:r>
            <w:r w:rsidRPr="00571974">
              <w:rPr>
                <w:sz w:val="18"/>
                <w:szCs w:val="18"/>
                <w:lang w:val="en-GB" w:eastAsia="en-GB" w:bidi="ar-SA"/>
              </w:rPr>
              <w:tab/>
            </w:r>
          </w:p>
        </w:tc>
        <w:tc>
          <w:tcPr>
            <w:tcW w:w="933" w:type="pct"/>
            <w:tcBorders>
              <w:top w:val="single" w:sz="4" w:space="0" w:color="auto"/>
              <w:left w:val="nil"/>
              <w:bottom w:val="nil"/>
              <w:right w:val="nil"/>
            </w:tcBorders>
          </w:tcPr>
          <w:p w14:paraId="21426CEA" w14:textId="7EC49667" w:rsidR="00183F92" w:rsidRPr="00571974" w:rsidRDefault="00183F92" w:rsidP="00183F92">
            <w:pPr>
              <w:widowControl/>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center"/>
              <w:rPr>
                <w:sz w:val="18"/>
                <w:szCs w:val="18"/>
                <w:lang w:val="en-GB" w:eastAsia="en-GB" w:bidi="ar-SA"/>
              </w:rPr>
            </w:pPr>
            <w:r w:rsidRPr="00821DF5">
              <w:rPr>
                <w:sz w:val="18"/>
                <w:szCs w:val="18"/>
                <w:lang w:val="en-GB" w:eastAsia="en-GB" w:bidi="ar-SA"/>
              </w:rPr>
              <w:t>$750,000,000</w:t>
            </w:r>
          </w:p>
        </w:tc>
        <w:tc>
          <w:tcPr>
            <w:tcW w:w="933" w:type="pct"/>
            <w:tcBorders>
              <w:top w:val="single" w:sz="4" w:space="0" w:color="auto"/>
              <w:left w:val="nil"/>
              <w:bottom w:val="nil"/>
              <w:right w:val="nil"/>
            </w:tcBorders>
          </w:tcPr>
          <w:p w14:paraId="67FC0527" w14:textId="56CAF603" w:rsidR="00183F92" w:rsidRPr="00571974" w:rsidRDefault="00183F92" w:rsidP="00183F92">
            <w:pPr>
              <w:widowControl/>
              <w:pBdr>
                <w:bottom w:val="doub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40"/>
              <w:jc w:val="center"/>
              <w:rPr>
                <w:sz w:val="18"/>
                <w:szCs w:val="18"/>
                <w:lang w:val="en-GB" w:eastAsia="en-GB" w:bidi="ar-SA"/>
              </w:rPr>
            </w:pPr>
            <w:r w:rsidRPr="00821DF5">
              <w:rPr>
                <w:sz w:val="18"/>
                <w:szCs w:val="18"/>
                <w:lang w:val="en-GB" w:eastAsia="en-GB" w:bidi="ar-SA"/>
              </w:rPr>
              <w:t>$750,000,000</w:t>
            </w:r>
          </w:p>
        </w:tc>
      </w:tr>
    </w:tbl>
    <w:p w14:paraId="2B414272" w14:textId="77777777" w:rsidR="00542FF4" w:rsidRPr="00571974" w:rsidRDefault="003D4D89" w:rsidP="00542FF4">
      <w:pPr>
        <w:pStyle w:val="BodyText"/>
        <w:widowControl/>
        <w:autoSpaceDE/>
        <w:autoSpaceDN/>
        <w:adjustRightInd/>
        <w:ind w:firstLine="360"/>
        <w:rPr>
          <w:lang w:val="en-GB"/>
        </w:rPr>
      </w:pPr>
      <w:r w:rsidRPr="00571974">
        <w:rPr>
          <w:lang w:val="en-GB"/>
        </w:rPr>
        <w:t>The obligations of the Initial Purchasers under the purchase agreement, including their agreement to purchase Notes from the Issuer, are several and not joint. The purchase agreement provides that the Initial Purchasers will purchase all the Notes if any of them are purchased.</w:t>
      </w:r>
    </w:p>
    <w:p w14:paraId="019EDC5F" w14:textId="68BFD9FF" w:rsidR="00542FF4" w:rsidRPr="00571974" w:rsidRDefault="003D4D89" w:rsidP="00542FF4">
      <w:pPr>
        <w:pStyle w:val="BodyText"/>
        <w:widowControl/>
        <w:autoSpaceDE/>
        <w:autoSpaceDN/>
        <w:adjustRightInd/>
        <w:ind w:firstLine="360"/>
        <w:rPr>
          <w:lang w:val="en-GB"/>
        </w:rPr>
      </w:pPr>
      <w:r w:rsidRPr="00571974">
        <w:rPr>
          <w:lang w:val="en-GB"/>
        </w:rPr>
        <w:t>The Initial Purchasers initially propose to offer and sell the Notes at the respective prices set forth on the cover page of this document. The Initial Purchasers may change such offering prices and any other selling terms at any time without notice. The offering of the Notes by the Initial Purchasers is subject to receipt and acceptance and subject to the Initial Purchasers</w:t>
      </w:r>
      <w:r w:rsidR="00A311D8">
        <w:rPr>
          <w:lang w:val="en-GB"/>
        </w:rPr>
        <w:t>’</w:t>
      </w:r>
      <w:r w:rsidRPr="00571974">
        <w:rPr>
          <w:lang w:val="en-GB"/>
        </w:rPr>
        <w:t xml:space="preserve"> right to reject any order in whole or part. The Initial Purchasers may offer and sell Notes through certain of their affiliates.</w:t>
      </w:r>
    </w:p>
    <w:p w14:paraId="4678CA87" w14:textId="77777777" w:rsidR="00542FF4" w:rsidRPr="00571974" w:rsidRDefault="003D4D89" w:rsidP="00542FF4">
      <w:pPr>
        <w:pStyle w:val="BodyText"/>
        <w:widowControl/>
        <w:autoSpaceDE/>
        <w:autoSpaceDN/>
        <w:adjustRightInd/>
        <w:ind w:firstLine="360"/>
        <w:rPr>
          <w:lang w:val="en-GB"/>
        </w:rPr>
      </w:pPr>
      <w:r w:rsidRPr="00571974">
        <w:rPr>
          <w:lang w:val="en-GB"/>
        </w:rPr>
        <w:t>In the purchase agreement, the Issuer and the Company have agreed to indemnify the several Initial Purchasers, their affiliates, directors, officers, employees and controlling persons against certain liabilities in connection with this offering, including liabilities under the Securities Act, and to contribute to payments that the several Initial Purchasers may be required to make in respect thereof.</w:t>
      </w:r>
    </w:p>
    <w:p w14:paraId="22FE88B8" w14:textId="352EA4BC" w:rsidR="000447B9" w:rsidRPr="00571974" w:rsidRDefault="003D4D89" w:rsidP="004C5423">
      <w:pPr>
        <w:pStyle w:val="BodyText"/>
        <w:widowControl/>
        <w:autoSpaceDE/>
        <w:autoSpaceDN/>
        <w:adjustRightInd/>
        <w:ind w:firstLine="360"/>
        <w:rPr>
          <w:lang w:val="en-GB"/>
        </w:rPr>
      </w:pPr>
      <w:r w:rsidRPr="00571974">
        <w:rPr>
          <w:lang w:val="en-GB"/>
        </w:rPr>
        <w:t xml:space="preserve">The Initial Purchasers expect that delivery of the Notes will be made against payment therefore on the Settlement Date, which will be the </w:t>
      </w:r>
      <w:r w:rsidR="00DB52B4">
        <w:rPr>
          <w:lang w:val="en-GB"/>
        </w:rPr>
        <w:t>second</w:t>
      </w:r>
      <w:r w:rsidRPr="00571974">
        <w:rPr>
          <w:lang w:val="en-GB"/>
        </w:rPr>
        <w:t xml:space="preserve"> business day following the pricing date of the offering (this settlement cycle being referred to as </w:t>
      </w:r>
      <w:r w:rsidR="00A311D8">
        <w:rPr>
          <w:lang w:val="en-GB"/>
        </w:rPr>
        <w:t>“</w:t>
      </w:r>
      <w:r w:rsidRPr="00571974">
        <w:rPr>
          <w:lang w:val="en-GB"/>
        </w:rPr>
        <w:t>T+</w:t>
      </w:r>
      <w:r w:rsidR="00DB52B4">
        <w:rPr>
          <w:lang w:val="en-GB"/>
        </w:rPr>
        <w:t>2</w:t>
      </w:r>
      <w:r w:rsidR="00A311D8">
        <w:rPr>
          <w:lang w:val="en-GB"/>
        </w:rPr>
        <w:t>”</w:t>
      </w:r>
      <w:r w:rsidRPr="00571974">
        <w:rPr>
          <w:lang w:val="en-GB"/>
        </w:rPr>
        <w:t xml:space="preserve">). </w:t>
      </w:r>
    </w:p>
    <w:p w14:paraId="19CFBA76" w14:textId="2DFB40EB" w:rsidR="00542FF4" w:rsidRPr="00571974" w:rsidRDefault="003D4D89" w:rsidP="00542FF4">
      <w:pPr>
        <w:pStyle w:val="BodyText"/>
        <w:widowControl/>
        <w:autoSpaceDE/>
        <w:autoSpaceDN/>
        <w:adjustRightInd/>
        <w:ind w:firstLine="360"/>
        <w:rPr>
          <w:lang w:val="en-GB"/>
        </w:rPr>
      </w:pPr>
      <w:r w:rsidRPr="00571974">
        <w:rPr>
          <w:lang w:val="en-GB"/>
        </w:rPr>
        <w:t>The Notes and the Guarantees have not been, and will not be, registered under the Securities Act or qualified for sale under the securities laws of any state or any jurisdiction inside or outside the United States. The Initial Purchasers propose to resell the Notes and the Guarantees to qualified institutional buyers in reliance on Rule 144A and outside the United States to certain non-</w:t>
      </w:r>
      <w:r w:rsidR="006D150F" w:rsidRPr="00571974">
        <w:rPr>
          <w:lang w:val="en-GB"/>
        </w:rPr>
        <w:t>U.S.</w:t>
      </w:r>
      <w:r w:rsidRPr="00571974">
        <w:rPr>
          <w:lang w:val="en-GB"/>
        </w:rPr>
        <w:t xml:space="preserve"> persons in reliance on Regulation S. Each purchaser of the Notes offered hereby in making its purchase will be deemed to have made by its purchase certain acknowledgments, representations, warranties and agreements as set forth under the sections entitled </w:t>
      </w:r>
      <w:r w:rsidR="00A311D8">
        <w:rPr>
          <w:lang w:val="en-GB"/>
        </w:rPr>
        <w:t>“</w:t>
      </w:r>
      <w:r w:rsidRPr="00571974">
        <w:rPr>
          <w:lang w:val="en-GB"/>
        </w:rPr>
        <w:t>Notice to Investors</w:t>
      </w:r>
      <w:r w:rsidR="00A311D8">
        <w:rPr>
          <w:lang w:val="en-GB"/>
        </w:rPr>
        <w:t>”</w:t>
      </w:r>
      <w:r w:rsidRPr="00571974">
        <w:rPr>
          <w:lang w:val="en-GB"/>
        </w:rPr>
        <w:t xml:space="preserve"> and </w:t>
      </w:r>
      <w:r w:rsidR="00A311D8">
        <w:rPr>
          <w:lang w:val="en-GB"/>
        </w:rPr>
        <w:t>“</w:t>
      </w:r>
      <w:r w:rsidRPr="00571974">
        <w:rPr>
          <w:lang w:val="en-GB"/>
        </w:rPr>
        <w:t>Transfer Restrictions</w:t>
      </w:r>
      <w:r w:rsidR="00A311D8">
        <w:rPr>
          <w:lang w:val="en-GB"/>
        </w:rPr>
        <w:t>”</w:t>
      </w:r>
      <w:r w:rsidRPr="00571974">
        <w:rPr>
          <w:lang w:val="en-GB"/>
        </w:rPr>
        <w:t>.</w:t>
      </w:r>
    </w:p>
    <w:p w14:paraId="5130FC82" w14:textId="5D68E262" w:rsidR="00542FF4" w:rsidRPr="00571974" w:rsidRDefault="003D4D89" w:rsidP="00542FF4">
      <w:pPr>
        <w:pStyle w:val="BodyText"/>
        <w:widowControl/>
        <w:autoSpaceDE/>
        <w:autoSpaceDN/>
        <w:adjustRightInd/>
        <w:ind w:firstLine="360"/>
        <w:rPr>
          <w:lang w:val="en-GB"/>
        </w:rPr>
      </w:pPr>
      <w:r w:rsidRPr="00571974">
        <w:rPr>
          <w:lang w:val="en-GB"/>
        </w:rPr>
        <w:t xml:space="preserve">In connection with sales outside the United States, the Initial Purchasers have agreed that they will not offer, sell or deliver the Notes to, or for the account or benefit of, </w:t>
      </w:r>
      <w:r w:rsidR="006D150F" w:rsidRPr="00571974">
        <w:rPr>
          <w:lang w:val="en-GB"/>
        </w:rPr>
        <w:t>U.S.</w:t>
      </w:r>
      <w:r w:rsidRPr="00571974">
        <w:rPr>
          <w:lang w:val="en-GB"/>
        </w:rPr>
        <w:t xml:space="preserve"> persons (i) as a part of the Initial Purchasers</w:t>
      </w:r>
      <w:r w:rsidR="00A311D8">
        <w:rPr>
          <w:lang w:val="en-GB"/>
        </w:rPr>
        <w:t>’</w:t>
      </w:r>
      <w:r w:rsidRPr="00571974">
        <w:rPr>
          <w:lang w:val="en-GB"/>
        </w:rPr>
        <w:t xml:space="preserve"> distribution at any time or (ii) otherwise until 40 days after the later of the commencement of the offering or the date the Notes are originally issued other than in accordance with Regulation S or another exemption from the registration requirements of the Securities Act. The Initial Purchasers will send to each broker or dealer to whom they sell such Notes during such 40-day distribution compliance period a confirmation or other notice setting forth the restrictions on offers and sales of the Notes within the United States or to, or for the account or benefit of, </w:t>
      </w:r>
      <w:r w:rsidR="006D150F" w:rsidRPr="00571974">
        <w:rPr>
          <w:lang w:val="en-GB"/>
        </w:rPr>
        <w:t>U.S.</w:t>
      </w:r>
      <w:r w:rsidRPr="00571974">
        <w:rPr>
          <w:lang w:val="en-GB"/>
        </w:rPr>
        <w:t xml:space="preserve"> persons.</w:t>
      </w:r>
    </w:p>
    <w:p w14:paraId="5F53F78B" w14:textId="77777777" w:rsidR="00542FF4" w:rsidRPr="00571974" w:rsidRDefault="003D4D89" w:rsidP="00542FF4">
      <w:pPr>
        <w:pStyle w:val="BodyText"/>
        <w:widowControl/>
        <w:autoSpaceDE/>
        <w:autoSpaceDN/>
        <w:adjustRightInd/>
        <w:ind w:firstLine="360"/>
        <w:rPr>
          <w:lang w:val="en-GB"/>
        </w:rPr>
      </w:pPr>
      <w:r w:rsidRPr="00571974">
        <w:rPr>
          <w:lang w:val="en-GB"/>
        </w:rPr>
        <w:t>In addition, until the expiration of the 40-day distribution compliance period referred to above, an offer or sale of the Notes within the United States by a broker/dealer, whether or not participating in this offering, may violate the registration requirements of the Securities Act if such sale is made otherwise than in accordance with Rule 144A or pursuant to another exemption from registration under the Securities Act.</w:t>
      </w:r>
    </w:p>
    <w:p w14:paraId="334C740D" w14:textId="702366A6" w:rsidR="00542FF4" w:rsidRPr="00571974" w:rsidRDefault="003D4D89" w:rsidP="00542FF4">
      <w:pPr>
        <w:pStyle w:val="BodyText"/>
        <w:widowControl/>
        <w:autoSpaceDE/>
        <w:autoSpaceDN/>
        <w:adjustRightInd/>
        <w:ind w:firstLine="360"/>
        <w:rPr>
          <w:lang w:val="en-GB"/>
        </w:rPr>
      </w:pPr>
      <w:r w:rsidRPr="00571974">
        <w:rPr>
          <w:lang w:val="en-GB"/>
        </w:rPr>
        <w:t>The</w:t>
      </w:r>
      <w:r w:rsidR="00F7022D" w:rsidRPr="00571974">
        <w:rPr>
          <w:lang w:val="en-GB"/>
        </w:rPr>
        <w:t xml:space="preserve"> Notes </w:t>
      </w:r>
      <w:r w:rsidR="00F400D2">
        <w:rPr>
          <w:lang w:val="en-GB"/>
        </w:rPr>
        <w:t>are</w:t>
      </w:r>
      <w:r w:rsidR="00F400D2" w:rsidRPr="00571974">
        <w:rPr>
          <w:lang w:val="en-GB"/>
        </w:rPr>
        <w:t xml:space="preserve"> </w:t>
      </w:r>
      <w:r w:rsidR="00F7022D" w:rsidRPr="00571974">
        <w:rPr>
          <w:lang w:val="en-GB"/>
        </w:rPr>
        <w:t>a new issue of securities for which there currently is no market. The Issuer intends to make an application for Admission of</w:t>
      </w:r>
      <w:r w:rsidR="00F400D2">
        <w:rPr>
          <w:lang w:val="en-GB"/>
        </w:rPr>
        <w:t xml:space="preserve"> each series of</w:t>
      </w:r>
      <w:r w:rsidR="00F7022D" w:rsidRPr="00571974">
        <w:rPr>
          <w:lang w:val="en-GB"/>
        </w:rPr>
        <w:t xml:space="preserve"> the Notes to listing on the Official List and to trading on the London Stock Exchange</w:t>
      </w:r>
      <w:r w:rsidR="00A311D8">
        <w:rPr>
          <w:lang w:val="en-GB"/>
        </w:rPr>
        <w:t>’</w:t>
      </w:r>
      <w:r w:rsidR="00F7022D" w:rsidRPr="00571974">
        <w:rPr>
          <w:lang w:val="en-GB"/>
        </w:rPr>
        <w:t>s Regulated Market, a regulated market. The Initial Purchasers have advised the Issuer that following the completion of this offering, they presently intend to make a market in the Notes. They are not obligated to do so, however, and any market</w:t>
      </w:r>
      <w:r w:rsidR="00F7022D" w:rsidRPr="00571974">
        <w:rPr>
          <w:lang w:val="en-GB"/>
        </w:rPr>
        <w:noBreakHyphen/>
        <w:t>making activities with respect to the Notes may be discontinued at any time at their sole discretion without notice. In addition, such market</w:t>
      </w:r>
      <w:r w:rsidR="00F7022D" w:rsidRPr="00571974">
        <w:rPr>
          <w:lang w:val="en-GB"/>
        </w:rPr>
        <w:noBreakHyphen/>
        <w:t xml:space="preserve">making activity will be subject to the limits </w:t>
      </w:r>
      <w:r w:rsidR="00F7022D" w:rsidRPr="00571974">
        <w:rPr>
          <w:lang w:val="en-GB"/>
        </w:rPr>
        <w:lastRenderedPageBreak/>
        <w:t>imposed by the Securities Act and the Exchange Act. Accordingly, the Issuer cannot give any assurance as to the development of any market or the liquidity of any market for the Notes.</w:t>
      </w:r>
    </w:p>
    <w:p w14:paraId="170CE76C" w14:textId="77777777" w:rsidR="00542FF4" w:rsidRPr="00571974" w:rsidRDefault="003D4D89" w:rsidP="00542FF4">
      <w:pPr>
        <w:pStyle w:val="BodyText"/>
        <w:widowControl/>
        <w:autoSpaceDE/>
        <w:autoSpaceDN/>
        <w:adjustRightInd/>
        <w:ind w:firstLine="360"/>
        <w:rPr>
          <w:lang w:val="en-GB"/>
        </w:rPr>
      </w:pPr>
      <w:r w:rsidRPr="00571974">
        <w:rPr>
          <w:lang w:val="en-GB"/>
        </w:rPr>
        <w:t>In connection with this offering, the Stabilizing Managers may engage in over-allotment, stabilizing transactions, syndicate covering transactions and penalty bids. Over-allotment involves sales in excess of the offering size, which creates a short position for the Initial Purchasers. Stabilizing transactions involve bids to purchase the Notes in the open market for the purpose of pegging, fixing or maintaining the price of the Notes. Syndicate covering transactions involve purchases of the Notes in the open market after the distribution has been completed in order to cover short positions. Penalty bids permit the Stabilizing Managers to reclaim a selling concession from a broker/dealer when the Notes originally sold by such broker/dealer are purchased in a stabilizing or syndicate covering transaction to cover short positions. Any of these activities may prevent a decline in the market price of such Notes, and may also cause the price of such Notes to be higher than it would otherwise be in the absence of these transactions. The Stabilizing Managers may conduct these transactions in the over-the-counter market or otherwise. If the Stabilizing Managers commence any of these transactions, they may discontinue them at any time.</w:t>
      </w:r>
    </w:p>
    <w:p w14:paraId="6516E5C3" w14:textId="77777777" w:rsidR="00542FF4" w:rsidRPr="00571974" w:rsidRDefault="003D4D89" w:rsidP="00542FF4">
      <w:pPr>
        <w:pStyle w:val="BodyText"/>
        <w:widowControl/>
        <w:autoSpaceDE/>
        <w:autoSpaceDN/>
        <w:adjustRightInd/>
        <w:ind w:firstLine="360"/>
        <w:rPr>
          <w:lang w:val="en-GB"/>
        </w:rPr>
      </w:pPr>
      <w:r w:rsidRPr="00571974">
        <w:rPr>
          <w:lang w:val="en-GB"/>
        </w:rPr>
        <w:t>The Issuer and the Company have each agreed not to, for a period from the date hereof until the date of delivery of the Notes, without the prior written consent of the Initial Purchasers, directly or indirectly, issue, sell, offer to sell, grant any option for the sale of, or otherwise dispose of, any securities similar to the Notes, or any securities convertible into or exchangeable for the Notes or any such similar securities or the Guarantees, except for the Notes sold to the Initial Purchasers pursuant to the purchase agreement.</w:t>
      </w:r>
    </w:p>
    <w:p w14:paraId="3A794747" w14:textId="77777777" w:rsidR="00542FF4" w:rsidRPr="00571974" w:rsidRDefault="003D4D89" w:rsidP="00542FF4">
      <w:pPr>
        <w:pStyle w:val="BodyText"/>
        <w:widowControl/>
        <w:autoSpaceDE/>
        <w:autoSpaceDN/>
        <w:adjustRightInd/>
        <w:ind w:firstLine="360"/>
        <w:rPr>
          <w:lang w:val="en-GB"/>
        </w:rPr>
      </w:pPr>
      <w:r w:rsidRPr="00571974">
        <w:rPr>
          <w:lang w:val="en-GB"/>
        </w:rPr>
        <w:t>The Initial Purchasers and their respective affiliates are full service financial institutions engaged in various activities, which may include sales and trading, commercial and investment banking, advisory, investment management, investment research, principal investment, hedging, market making, brokerage and other financial and non-financial activities and services. Certain of the Initial Purchasers and their respective affiliates have provided, and may in the future provide, a variety of these services to the Issuer and the Company and to persons and entities with relationships with the Issuer and the Company, for which they received or will receive customary fees expenses. In particular, affiliates of certain of the Initial Purchasers are lenders under certain of our existing credit facilities, and proceeds from the sale of the Notes may be used to service or repay these facilities.</w:t>
      </w:r>
    </w:p>
    <w:p w14:paraId="59B035AD" w14:textId="77777777" w:rsidR="00542FF4" w:rsidRPr="00571974" w:rsidRDefault="003D4D89" w:rsidP="00542FF4">
      <w:pPr>
        <w:pStyle w:val="BodyText"/>
        <w:widowControl/>
        <w:autoSpaceDE/>
        <w:autoSpaceDN/>
        <w:adjustRightInd/>
        <w:ind w:firstLine="360"/>
        <w:rPr>
          <w:lang w:val="en-GB"/>
        </w:rPr>
      </w:pPr>
      <w:r w:rsidRPr="00571974">
        <w:rPr>
          <w:lang w:val="en-GB"/>
        </w:rPr>
        <w:t>In the ordinary course of their various business activities, the Initial Purchasers and their respective affiliates, officers, directors and employees may purchase, sell or hold a broad array of investments, including serving as counterparties to certain derivatives and hedging instruments, and actively trade securities, derivatives, loans, commodities, currencies, credit default swaps and other financial instruments for their own account and for the accounts of their customers, and such investment and trading activities may involve or relate to assets, securities and/or instruments of the Issuer or the Company (directly, as collateral securing other obligations or otherwise) and/or persons and entities with relationships with the Issuer or the Company. Certain of the Initial Purchasers or their affiliates that have a lending relationship with the Issuer or the Company routinely hedge their credit exposure to the Issuer or the Company consistent with their customary risk management policies. Typically, such Initial Purchasers and their affiliates would hedge such exposure by entering into transactions which consist of either the purchase of credit default swaps or the creation of short positions in the securities of the Issuer or the Company, including potentially the Notes offered hereby. Any such credit default swaps or short positions could adversely affect future trading prices of the Notes offered hereby. The Initial Purchasers and their respective affiliates may also communicate independent investment recommendations, market color or trading ideas and/or publish or express independent research views in respect of such assets, securities or instruments and may at any time hold, or recommend to clients that they should acquire, long and/or short positions in such assets, securities and instruments.</w:t>
      </w:r>
    </w:p>
    <w:p w14:paraId="5808013E" w14:textId="77777777" w:rsidR="00542FF4" w:rsidRPr="00571974" w:rsidRDefault="003D4D89" w:rsidP="00542FF4">
      <w:pPr>
        <w:pStyle w:val="BodyText"/>
        <w:widowControl/>
        <w:autoSpaceDE/>
        <w:autoSpaceDN/>
        <w:adjustRightInd/>
        <w:ind w:firstLine="360"/>
        <w:rPr>
          <w:lang w:val="en-GB"/>
        </w:rPr>
      </w:pPr>
      <w:r w:rsidRPr="00571974">
        <w:rPr>
          <w:lang w:val="en-GB"/>
        </w:rPr>
        <w:t>In connection with the offering, the Initial Purchasers are not acting for anyone other than the Issuer and will not be responsible to anyone other than the Issuer for providing advice in relation to the offering.</w:t>
      </w:r>
    </w:p>
    <w:p w14:paraId="462487BB" w14:textId="77777777" w:rsidR="00B75E56" w:rsidRPr="00571974" w:rsidRDefault="003D4D89" w:rsidP="004963A8">
      <w:pPr>
        <w:pStyle w:val="BodyText"/>
        <w:widowControl/>
        <w:autoSpaceDE/>
        <w:autoSpaceDN/>
        <w:adjustRightInd/>
        <w:ind w:firstLine="360"/>
        <w:rPr>
          <w:lang w:val="en-GB"/>
        </w:rPr>
      </w:pPr>
      <w:r w:rsidRPr="00571974">
        <w:rPr>
          <w:lang w:val="en-GB"/>
        </w:rPr>
        <w:t>To the extent any Initial Purchaser that is not a U.S. registered broker dealer intends to effect any offers or sales of any Notes in the United States, it will do so through one or more U.S. registered broker dealers in accordance with the applicable U.S. securities laws and regulations.</w:t>
      </w:r>
    </w:p>
    <w:p w14:paraId="0277F378" w14:textId="07E95AC5" w:rsidR="00B75E56" w:rsidRPr="00571974" w:rsidRDefault="003D4D89" w:rsidP="00EA3F32">
      <w:pPr>
        <w:pStyle w:val="Heading4"/>
      </w:pPr>
      <w:r w:rsidRPr="00571974">
        <w:t>European Economic Area</w:t>
      </w:r>
      <w:r w:rsidR="00BA1675" w:rsidRPr="00571974">
        <w:t xml:space="preserve"> and UK Retail Investors</w:t>
      </w:r>
    </w:p>
    <w:p w14:paraId="4EC3F099" w14:textId="00DF55BE" w:rsidR="00B75E56" w:rsidRDefault="003D4D89" w:rsidP="00B75E56">
      <w:pPr>
        <w:pStyle w:val="BodyText"/>
        <w:widowControl/>
        <w:autoSpaceDE/>
        <w:autoSpaceDN/>
        <w:adjustRightInd/>
        <w:ind w:firstLine="360"/>
        <w:rPr>
          <w:lang w:val="en-GB"/>
        </w:rPr>
      </w:pPr>
      <w:r w:rsidRPr="00571974">
        <w:rPr>
          <w:lang w:val="en-GB"/>
        </w:rPr>
        <w:t>Each Initial Purchaser has represented and agreed that it has not offered, sold or otherwise made available and will not offer, sell or otherwise make available any Notes to any retail investor in the EEA</w:t>
      </w:r>
      <w:r w:rsidR="00BA1675" w:rsidRPr="00571974">
        <w:rPr>
          <w:lang w:val="en-GB"/>
        </w:rPr>
        <w:t xml:space="preserve"> or in the UK</w:t>
      </w:r>
      <w:r w:rsidRPr="00571974">
        <w:rPr>
          <w:lang w:val="en-GB"/>
        </w:rPr>
        <w:t xml:space="preserve">. For these purposes, a retail investor means a person who is one (or more) of: (i) a retail client as defined in point (11) of Article 4(1) of Directive 2014/65/EU (as amended, </w:t>
      </w:r>
      <w:r w:rsidR="00A311D8">
        <w:rPr>
          <w:lang w:val="en-GB"/>
        </w:rPr>
        <w:t>“</w:t>
      </w:r>
      <w:r w:rsidRPr="00571974">
        <w:rPr>
          <w:lang w:val="en-GB"/>
        </w:rPr>
        <w:t>MiFID II</w:t>
      </w:r>
      <w:r w:rsidR="00A311D8">
        <w:rPr>
          <w:lang w:val="en-GB"/>
        </w:rPr>
        <w:t>”</w:t>
      </w:r>
      <w:r w:rsidRPr="00571974">
        <w:rPr>
          <w:lang w:val="en-GB"/>
        </w:rPr>
        <w:t xml:space="preserve">); or (ii) a customer within the meaning of Directive </w:t>
      </w:r>
      <w:r w:rsidR="00D6714C" w:rsidRPr="00571974">
        <w:rPr>
          <w:lang w:val="en-GB"/>
        </w:rPr>
        <w:lastRenderedPageBreak/>
        <w:t xml:space="preserve">EU 2016/97 </w:t>
      </w:r>
      <w:r w:rsidRPr="00571974">
        <w:rPr>
          <w:lang w:val="en-GB"/>
        </w:rPr>
        <w:t>(as amended</w:t>
      </w:r>
      <w:r w:rsidR="00286370" w:rsidRPr="00571974">
        <w:rPr>
          <w:lang w:val="en-GB"/>
        </w:rPr>
        <w:t xml:space="preserve"> or superseded</w:t>
      </w:r>
      <w:r w:rsidRPr="00571974">
        <w:rPr>
          <w:lang w:val="en-GB"/>
        </w:rPr>
        <w:t xml:space="preserve">, the </w:t>
      </w:r>
      <w:r w:rsidR="00A311D8">
        <w:rPr>
          <w:lang w:val="en-GB"/>
        </w:rPr>
        <w:t>“</w:t>
      </w:r>
      <w:r w:rsidRPr="00571974">
        <w:rPr>
          <w:lang w:val="en-GB"/>
        </w:rPr>
        <w:t xml:space="preserve">Insurance </w:t>
      </w:r>
      <w:r w:rsidR="00D6714C" w:rsidRPr="00571974">
        <w:rPr>
          <w:lang w:val="en-GB"/>
        </w:rPr>
        <w:t xml:space="preserve">Distribution </w:t>
      </w:r>
      <w:r w:rsidRPr="00571974">
        <w:rPr>
          <w:lang w:val="en-GB"/>
        </w:rPr>
        <w:t>Directive</w:t>
      </w:r>
      <w:r w:rsidR="00A311D8">
        <w:rPr>
          <w:lang w:val="en-GB"/>
        </w:rPr>
        <w:t>”</w:t>
      </w:r>
      <w:r w:rsidRPr="00571974">
        <w:rPr>
          <w:lang w:val="en-GB"/>
        </w:rPr>
        <w:t>), where that customer would not qualify as a professional client as defined in point (10) of Article 4(1) of MiFID II.</w:t>
      </w:r>
    </w:p>
    <w:p w14:paraId="2BF48D26" w14:textId="7C1AB196" w:rsidR="00903052" w:rsidRPr="00571974" w:rsidRDefault="00903052" w:rsidP="00B75E56">
      <w:pPr>
        <w:pStyle w:val="BodyText"/>
        <w:widowControl/>
        <w:autoSpaceDE/>
        <w:autoSpaceDN/>
        <w:adjustRightInd/>
        <w:ind w:firstLine="360"/>
        <w:rPr>
          <w:lang w:val="en-GB"/>
        </w:rPr>
      </w:pPr>
      <w:r w:rsidRPr="003D06A5">
        <w:t>References to Regulations or Directives include, in relation to the UK, those Regulations or Directives as they form part of UK domestic law by virtue of the European Union (Withdrawal) Act 2018 or have been implemented in UK domestic law, as appropriate.</w:t>
      </w:r>
    </w:p>
    <w:p w14:paraId="4DF20BA7" w14:textId="77777777" w:rsidR="00542FF4" w:rsidRPr="00571974" w:rsidRDefault="003D4D89" w:rsidP="00EA3F32">
      <w:pPr>
        <w:pStyle w:val="Heading4"/>
      </w:pPr>
      <w:r w:rsidRPr="00571974">
        <w:t>United Kingdom</w:t>
      </w:r>
    </w:p>
    <w:p w14:paraId="59B5EFFD" w14:textId="77777777" w:rsidR="00542FF4" w:rsidRPr="00571974" w:rsidRDefault="003D4D89" w:rsidP="00542FF4">
      <w:pPr>
        <w:pStyle w:val="BodyText"/>
        <w:widowControl/>
        <w:autoSpaceDE/>
        <w:autoSpaceDN/>
        <w:adjustRightInd/>
        <w:ind w:firstLine="360"/>
        <w:rPr>
          <w:lang w:val="en-GB"/>
        </w:rPr>
      </w:pPr>
      <w:r w:rsidRPr="00571974">
        <w:rPr>
          <w:lang w:val="en-GB"/>
        </w:rPr>
        <w:t>Each Initial Purchaser has represented and agreed that (a) it has only communicated or caused to be communicated and will only communicate or cause to be communicated an invitation or inducement to engage in investment activity (within the meaning of Section 21 of the FSMA) received by it in connection with the issue or sale of the Notes in circumstances in which Section 21(1) of the FSMA does not apply to the Issuer or the Company; and (b) it has complied and will comply with all applicable provisions of the FSMA with respect to anything in relation to the Notes in, from or otherwise involving the United Kingdom.</w:t>
      </w:r>
    </w:p>
    <w:p w14:paraId="33C4B373" w14:textId="77777777" w:rsidR="00542FF4" w:rsidRPr="00571974" w:rsidRDefault="003D4D89" w:rsidP="00EA3F32">
      <w:pPr>
        <w:pStyle w:val="Heading4"/>
      </w:pPr>
      <w:r w:rsidRPr="00571974">
        <w:t>Hong Kong</w:t>
      </w:r>
    </w:p>
    <w:p w14:paraId="1C2503E4" w14:textId="77777777" w:rsidR="00542FF4" w:rsidRPr="00571974" w:rsidRDefault="003D4D89" w:rsidP="00542FF4">
      <w:pPr>
        <w:pStyle w:val="BodyText"/>
        <w:widowControl/>
        <w:autoSpaceDE/>
        <w:autoSpaceDN/>
        <w:adjustRightInd/>
        <w:ind w:firstLine="360"/>
        <w:rPr>
          <w:b/>
          <w:lang w:val="en-GB"/>
        </w:rPr>
      </w:pPr>
      <w:r w:rsidRPr="00571974">
        <w:rPr>
          <w:lang w:val="en-GB"/>
        </w:rPr>
        <w:t>The contents of this document have not been reviewed by any regulatory authority in Hong Kong. You are advised to exercise caution in relation to the offer. If you are in any doubt about any of the contents of this document, you should obtain independent professional advice.</w:t>
      </w:r>
    </w:p>
    <w:p w14:paraId="531315BF" w14:textId="555F660F" w:rsidR="00542FF4" w:rsidRPr="00571974" w:rsidRDefault="003D4D89" w:rsidP="00542FF4">
      <w:pPr>
        <w:pStyle w:val="BodyText"/>
        <w:widowControl/>
        <w:autoSpaceDE/>
        <w:autoSpaceDN/>
        <w:adjustRightInd/>
        <w:ind w:firstLine="360"/>
        <w:rPr>
          <w:lang w:val="en-GB"/>
        </w:rPr>
      </w:pPr>
      <w:r w:rsidRPr="00571974">
        <w:rPr>
          <w:lang w:val="en-GB"/>
        </w:rPr>
        <w:t xml:space="preserve">The Notes may not be offered or sold in Hong Kong by means of any document other than (i) to </w:t>
      </w:r>
      <w:r w:rsidR="00A311D8">
        <w:rPr>
          <w:lang w:val="en-GB"/>
        </w:rPr>
        <w:t>“</w:t>
      </w:r>
      <w:r w:rsidRPr="00571974">
        <w:rPr>
          <w:lang w:val="en-GB"/>
        </w:rPr>
        <w:t>professional investors</w:t>
      </w:r>
      <w:r w:rsidR="00A311D8">
        <w:rPr>
          <w:lang w:val="en-GB"/>
        </w:rPr>
        <w:t>”</w:t>
      </w:r>
      <w:r w:rsidRPr="00571974">
        <w:rPr>
          <w:lang w:val="en-GB"/>
        </w:rPr>
        <w:t xml:space="preserve"> as defined in the Securities and Futures Ordinance (Cap. 571 of the Laws of Hong Kong) and any rules made under that Ordinance, or (ii) in other circumstances which do not result in the document being a </w:t>
      </w:r>
      <w:r w:rsidR="00A311D8">
        <w:rPr>
          <w:lang w:val="en-GB"/>
        </w:rPr>
        <w:t>“</w:t>
      </w:r>
      <w:r w:rsidRPr="00571974">
        <w:rPr>
          <w:lang w:val="en-GB"/>
        </w:rPr>
        <w:t>prospectus</w:t>
      </w:r>
      <w:r w:rsidR="00A311D8">
        <w:rPr>
          <w:lang w:val="en-GB"/>
        </w:rPr>
        <w:t>”</w:t>
      </w:r>
      <w:r w:rsidRPr="00571974">
        <w:rPr>
          <w:lang w:val="en-GB"/>
        </w:rPr>
        <w:t xml:space="preserve"> as defined in the Companies (Winding Up and Miscellaneous Provisions) Ordinance (Cap. 32 of the Laws of Hong Kong) or which do not constitute an offer to the public within the meaning of that Ordinance; and no advertisement, invitation or document relating to the Notes may be issued or may be in the possession of any person for the purposes of issue (in each case whether in Hong Kong or elsewhere), which is directed at, or the contents of which are likely to be accessed or read by, the public in Hong Kong (except if permitted to do so under the laws of Hong Kong) other than with respect to Notes which are or are intended to be disposed of only to persons outside Hong Kong or only to </w:t>
      </w:r>
      <w:r w:rsidR="00A311D8">
        <w:rPr>
          <w:lang w:val="en-GB"/>
        </w:rPr>
        <w:t>“</w:t>
      </w:r>
      <w:r w:rsidRPr="00571974">
        <w:rPr>
          <w:lang w:val="en-GB"/>
        </w:rPr>
        <w:t>professional investors</w:t>
      </w:r>
      <w:r w:rsidR="00A311D8">
        <w:rPr>
          <w:lang w:val="en-GB"/>
        </w:rPr>
        <w:t>”</w:t>
      </w:r>
      <w:r w:rsidRPr="00571974">
        <w:rPr>
          <w:lang w:val="en-GB"/>
        </w:rPr>
        <w:t xml:space="preserve"> as defined in the Securities and Futures Ordinance (Cap. 571 of the Laws of Hong Kong) and any rules made under that Ordinance.</w:t>
      </w:r>
    </w:p>
    <w:p w14:paraId="1E362B03" w14:textId="77777777" w:rsidR="00542FF4" w:rsidRPr="00571974" w:rsidRDefault="003D4D89" w:rsidP="00EA3F32">
      <w:pPr>
        <w:pStyle w:val="Heading4"/>
      </w:pPr>
      <w:r w:rsidRPr="00571974">
        <w:t>Singapore</w:t>
      </w:r>
    </w:p>
    <w:p w14:paraId="1F1CD7C7" w14:textId="289222C3" w:rsidR="00286370" w:rsidRPr="00571974" w:rsidRDefault="003D4D89" w:rsidP="00286370">
      <w:pPr>
        <w:pStyle w:val="BodyText"/>
        <w:widowControl/>
        <w:autoSpaceDE/>
        <w:autoSpaceDN/>
        <w:adjustRightInd/>
        <w:ind w:firstLine="360"/>
        <w:rPr>
          <w:lang w:val="en-GB"/>
        </w:rPr>
      </w:pPr>
      <w:r w:rsidRPr="00571974">
        <w:rPr>
          <w:lang w:val="en-GB"/>
        </w:rPr>
        <w:t xml:space="preserve">This document has not been registered as a prospectus under the Securities and Futures Act, Chapter 289 of Singapore (the </w:t>
      </w:r>
      <w:r w:rsidR="00A311D8">
        <w:rPr>
          <w:lang w:val="en-GB"/>
        </w:rPr>
        <w:t>“</w:t>
      </w:r>
      <w:r w:rsidRPr="00571974">
        <w:rPr>
          <w:lang w:val="en-GB"/>
        </w:rPr>
        <w:t>SFA</w:t>
      </w:r>
      <w:r w:rsidR="00A311D8">
        <w:rPr>
          <w:lang w:val="en-GB"/>
        </w:rPr>
        <w:t>”</w:t>
      </w:r>
      <w:r w:rsidRPr="00571974">
        <w:rPr>
          <w:lang w:val="en-GB"/>
        </w:rPr>
        <w:t xml:space="preserve">) by the Monetary Authority of Singapore, and the offer of the Notes in Singapore is made primarily pursuant to the exemptions under Sections 274 and 275 of the SFA. Accordingly, this document and any other document or material in connection with the offer or sale, or invitation for subscription or purchase, of the Notes may not be circulated or distributed, nor may the Notes be offered or sold, or made the subject of an invitation for subscription or purchase, whether directly or indirectly, to any person in Singapore other than (i) to an institutional investor as defined in Section 4A of the SFA (an </w:t>
      </w:r>
      <w:r w:rsidR="00A311D8">
        <w:rPr>
          <w:lang w:val="en-GB"/>
        </w:rPr>
        <w:t>“</w:t>
      </w:r>
      <w:r w:rsidRPr="00571974">
        <w:rPr>
          <w:lang w:val="en-GB"/>
        </w:rPr>
        <w:t>Institutional Investor</w:t>
      </w:r>
      <w:r w:rsidR="00A311D8">
        <w:rPr>
          <w:lang w:val="en-GB"/>
        </w:rPr>
        <w:t>”</w:t>
      </w:r>
      <w:r w:rsidRPr="00571974">
        <w:rPr>
          <w:lang w:val="en-GB"/>
        </w:rPr>
        <w:t xml:space="preserve">) pursuant to Section 274 of the SFA, (ii) to an accredited investor as defined in Section 4A of the SFA (an </w:t>
      </w:r>
      <w:r w:rsidR="00A311D8">
        <w:rPr>
          <w:lang w:val="en-GB"/>
        </w:rPr>
        <w:t>“</w:t>
      </w:r>
      <w:r w:rsidRPr="00571974">
        <w:rPr>
          <w:lang w:val="en-GB"/>
        </w:rPr>
        <w:t>Accredited Investor</w:t>
      </w:r>
      <w:r w:rsidR="00A311D8">
        <w:rPr>
          <w:lang w:val="en-GB"/>
        </w:rPr>
        <w:t>”</w:t>
      </w:r>
      <w:r w:rsidRPr="00571974">
        <w:rPr>
          <w:lang w:val="en-GB"/>
        </w:rPr>
        <w:t xml:space="preserve">) or other relevant person as defined in Section 275(2) of the SFA (a </w:t>
      </w:r>
      <w:r w:rsidR="00A311D8">
        <w:rPr>
          <w:lang w:val="en-GB"/>
        </w:rPr>
        <w:t>“</w:t>
      </w:r>
      <w:r w:rsidRPr="00571974">
        <w:rPr>
          <w:lang w:val="en-GB"/>
        </w:rPr>
        <w:t>Relevant Person</w:t>
      </w:r>
      <w:r w:rsidR="00A311D8">
        <w:rPr>
          <w:lang w:val="en-GB"/>
        </w:rPr>
        <w:t>”</w:t>
      </w:r>
      <w:r w:rsidRPr="00571974">
        <w:rPr>
          <w:lang w:val="en-GB"/>
        </w:rPr>
        <w:t xml:space="preserve">) and pursuant to Section 275(1) of the SFA, or to any person pursuant to an offer referred to in Section 275(1A) of the SFA, and in accordance with the conditions specified in Section 275 of the SFA or (iii) otherwise pursuant to, and in accordance with, the conditions of any other applicable exemption or provision of the SFA. </w:t>
      </w:r>
    </w:p>
    <w:p w14:paraId="308E9DEC" w14:textId="77777777" w:rsidR="00286370" w:rsidRPr="00571974" w:rsidRDefault="003D4D89" w:rsidP="00286370">
      <w:pPr>
        <w:pStyle w:val="BodyText"/>
        <w:widowControl/>
        <w:autoSpaceDE/>
        <w:autoSpaceDN/>
        <w:adjustRightInd/>
        <w:ind w:firstLine="360"/>
        <w:rPr>
          <w:lang w:val="en-GB"/>
        </w:rPr>
      </w:pPr>
      <w:r w:rsidRPr="00571974">
        <w:rPr>
          <w:lang w:val="en-GB"/>
        </w:rPr>
        <w:t xml:space="preserve">It is a condition of the offer that where the Notes are subscribed for or acquired pursuant to an offer made in reliance on Section 275 of the SFA by a Relevant Person which is: </w:t>
      </w:r>
    </w:p>
    <w:p w14:paraId="6A4D3C26" w14:textId="77777777" w:rsidR="00286370" w:rsidRPr="00571974" w:rsidRDefault="003D4D89" w:rsidP="00286370">
      <w:pPr>
        <w:pStyle w:val="BodyText"/>
        <w:widowControl/>
        <w:autoSpaceDE/>
        <w:autoSpaceDN/>
        <w:adjustRightInd/>
        <w:ind w:firstLine="360"/>
        <w:rPr>
          <w:lang w:val="en-GB"/>
        </w:rPr>
      </w:pPr>
      <w:r w:rsidRPr="00571974">
        <w:rPr>
          <w:lang w:val="en-GB"/>
        </w:rPr>
        <w:t xml:space="preserve"> </w:t>
      </w:r>
    </w:p>
    <w:p w14:paraId="300980B5" w14:textId="77777777" w:rsidR="00286370" w:rsidRPr="00571974" w:rsidRDefault="003D4D89" w:rsidP="00286370">
      <w:pPr>
        <w:pStyle w:val="BodyText"/>
        <w:widowControl/>
        <w:autoSpaceDE/>
        <w:autoSpaceDN/>
        <w:adjustRightInd/>
        <w:ind w:left="1080" w:hanging="540"/>
        <w:rPr>
          <w:lang w:val="en-GB"/>
        </w:rPr>
      </w:pPr>
      <w:r w:rsidRPr="00571974">
        <w:rPr>
          <w:lang w:val="en-GB"/>
        </w:rPr>
        <w:t>(a)</w:t>
      </w:r>
      <w:r w:rsidRPr="00571974">
        <w:rPr>
          <w:lang w:val="en-GB"/>
        </w:rPr>
        <w:tab/>
        <w:t xml:space="preserve">a corporation (which is not an Accredited Investor), the sole business of which is to hold investments and the entire share capital of which is owned by one or more individuals, each of whom is an Accredited Investor; or </w:t>
      </w:r>
    </w:p>
    <w:p w14:paraId="779B5FBD" w14:textId="77777777" w:rsidR="00286370" w:rsidRPr="00571974" w:rsidRDefault="003D4D89" w:rsidP="00286370">
      <w:pPr>
        <w:pStyle w:val="BodyText"/>
        <w:widowControl/>
        <w:autoSpaceDE/>
        <w:autoSpaceDN/>
        <w:adjustRightInd/>
        <w:ind w:left="1080" w:hanging="540"/>
        <w:rPr>
          <w:lang w:val="en-GB"/>
        </w:rPr>
      </w:pPr>
      <w:r w:rsidRPr="00571974">
        <w:rPr>
          <w:lang w:val="en-GB"/>
        </w:rPr>
        <w:t>(b)</w:t>
      </w:r>
      <w:r w:rsidRPr="00571974">
        <w:rPr>
          <w:lang w:val="en-GB"/>
        </w:rPr>
        <w:tab/>
        <w:t xml:space="preserve">a trust (where the trustee is not an Accredited Investor), the sole purpose of which is to hold investments and each beneficiary of the trust is an individual who is an Accredited Investor, </w:t>
      </w:r>
    </w:p>
    <w:p w14:paraId="1EB4DA83" w14:textId="5E220FA5" w:rsidR="00286370" w:rsidRPr="00571974" w:rsidRDefault="003D4D89" w:rsidP="00286370">
      <w:pPr>
        <w:pStyle w:val="BodyText"/>
        <w:widowControl/>
        <w:autoSpaceDE/>
        <w:autoSpaceDN/>
        <w:adjustRightInd/>
        <w:ind w:left="540"/>
        <w:rPr>
          <w:lang w:val="en-GB"/>
        </w:rPr>
      </w:pPr>
      <w:r w:rsidRPr="00571974">
        <w:rPr>
          <w:lang w:val="en-GB"/>
        </w:rPr>
        <w:t>the securities or securities-based derivatives contracts (each as defined in Section 2(1) of the SFA) of that corporation and the beneficiaries</w:t>
      </w:r>
      <w:r w:rsidR="00A311D8">
        <w:rPr>
          <w:lang w:val="en-GB"/>
        </w:rPr>
        <w:t>’</w:t>
      </w:r>
      <w:r w:rsidRPr="00571974">
        <w:rPr>
          <w:lang w:val="en-GB"/>
        </w:rPr>
        <w:t xml:space="preserve"> rights and interest (howsoever described) in that trust, shall not be transferred within 6 months after that corporation or that trust has subscribed for or acquired the notes except: </w:t>
      </w:r>
    </w:p>
    <w:p w14:paraId="1B2F8904" w14:textId="77777777" w:rsidR="00286370" w:rsidRPr="00571974" w:rsidRDefault="003D4D89" w:rsidP="00286370">
      <w:pPr>
        <w:pStyle w:val="BodyText"/>
        <w:widowControl/>
        <w:autoSpaceDE/>
        <w:autoSpaceDN/>
        <w:adjustRightInd/>
        <w:ind w:left="1620" w:hanging="540"/>
        <w:rPr>
          <w:lang w:val="en-GB"/>
        </w:rPr>
      </w:pPr>
      <w:r w:rsidRPr="00571974">
        <w:rPr>
          <w:lang w:val="en-GB"/>
        </w:rPr>
        <w:lastRenderedPageBreak/>
        <w:t>(1)</w:t>
      </w:r>
      <w:r w:rsidRPr="00571974">
        <w:rPr>
          <w:lang w:val="en-GB"/>
        </w:rPr>
        <w:tab/>
        <w:t xml:space="preserve">to an Institutional Investor, an Accredited Investor, a Relevant Person, or which arises from an offer referred to in Section 275(1A) of the SFA (in the case of that corporation) or Section 276(4)(i)(B) of the SFA (in the case of that trust); </w:t>
      </w:r>
    </w:p>
    <w:p w14:paraId="09A8257D" w14:textId="77777777" w:rsidR="00286370" w:rsidRPr="00571974" w:rsidRDefault="003D4D89" w:rsidP="00286370">
      <w:pPr>
        <w:pStyle w:val="BodyText"/>
        <w:widowControl/>
        <w:autoSpaceDE/>
        <w:autoSpaceDN/>
        <w:adjustRightInd/>
        <w:ind w:left="1620" w:hanging="540"/>
        <w:rPr>
          <w:lang w:val="en-GB"/>
        </w:rPr>
      </w:pPr>
      <w:r w:rsidRPr="00571974">
        <w:rPr>
          <w:lang w:val="en-GB"/>
        </w:rPr>
        <w:t>(2)</w:t>
      </w:r>
      <w:r w:rsidRPr="00571974">
        <w:rPr>
          <w:lang w:val="en-GB"/>
        </w:rPr>
        <w:tab/>
        <w:t xml:space="preserve">where no consideration is or will be given for the transfer; </w:t>
      </w:r>
    </w:p>
    <w:p w14:paraId="12B2E762" w14:textId="77777777" w:rsidR="00286370" w:rsidRPr="00571974" w:rsidRDefault="003D4D89" w:rsidP="00286370">
      <w:pPr>
        <w:pStyle w:val="BodyText"/>
        <w:widowControl/>
        <w:autoSpaceDE/>
        <w:autoSpaceDN/>
        <w:adjustRightInd/>
        <w:ind w:left="1620" w:hanging="540"/>
        <w:rPr>
          <w:lang w:val="en-GB"/>
        </w:rPr>
      </w:pPr>
      <w:r w:rsidRPr="00571974">
        <w:rPr>
          <w:lang w:val="en-GB"/>
        </w:rPr>
        <w:t>(3)</w:t>
      </w:r>
      <w:r w:rsidRPr="00571974">
        <w:rPr>
          <w:lang w:val="en-GB"/>
        </w:rPr>
        <w:tab/>
        <w:t xml:space="preserve">where the transfer is by operation of law; </w:t>
      </w:r>
    </w:p>
    <w:p w14:paraId="74634C34" w14:textId="77777777" w:rsidR="00286370" w:rsidRPr="00571974" w:rsidRDefault="003D4D89" w:rsidP="00286370">
      <w:pPr>
        <w:pStyle w:val="BodyText"/>
        <w:widowControl/>
        <w:autoSpaceDE/>
        <w:autoSpaceDN/>
        <w:adjustRightInd/>
        <w:ind w:left="1620" w:hanging="540"/>
        <w:rPr>
          <w:lang w:val="en-GB"/>
        </w:rPr>
      </w:pPr>
      <w:r w:rsidRPr="00571974">
        <w:rPr>
          <w:lang w:val="en-GB"/>
        </w:rPr>
        <w:t>(4)</w:t>
      </w:r>
      <w:r w:rsidRPr="00571974">
        <w:rPr>
          <w:lang w:val="en-GB"/>
        </w:rPr>
        <w:tab/>
        <w:t xml:space="preserve">as specified in Section 276(7) of the SFA; or </w:t>
      </w:r>
    </w:p>
    <w:p w14:paraId="206F4A2C" w14:textId="77777777" w:rsidR="00286370" w:rsidRPr="00571974" w:rsidRDefault="003D4D89" w:rsidP="00286370">
      <w:pPr>
        <w:pStyle w:val="BodyText"/>
        <w:widowControl/>
        <w:autoSpaceDE/>
        <w:autoSpaceDN/>
        <w:adjustRightInd/>
        <w:ind w:left="1620" w:hanging="540"/>
        <w:rPr>
          <w:lang w:val="en-GB"/>
        </w:rPr>
      </w:pPr>
      <w:r w:rsidRPr="00571974">
        <w:rPr>
          <w:lang w:val="en-GB"/>
        </w:rPr>
        <w:t>(5)</w:t>
      </w:r>
      <w:r w:rsidRPr="00571974">
        <w:rPr>
          <w:lang w:val="en-GB"/>
        </w:rPr>
        <w:tab/>
        <w:t xml:space="preserve">as specified in Regulation 37A of the Securities and Futures (Offers of Investments) (Securities and Securities-based Derivatives Contracts) Regulations 2018. </w:t>
      </w:r>
    </w:p>
    <w:p w14:paraId="687D4762" w14:textId="4434953E" w:rsidR="00E3516C" w:rsidRDefault="003D4D89" w:rsidP="00286370">
      <w:pPr>
        <w:pStyle w:val="BodyText"/>
        <w:widowControl/>
        <w:autoSpaceDE/>
        <w:autoSpaceDN/>
        <w:adjustRightInd/>
        <w:ind w:firstLine="360"/>
        <w:rPr>
          <w:lang w:val="en-GB"/>
        </w:rPr>
      </w:pPr>
      <w:r w:rsidRPr="00571974">
        <w:rPr>
          <w:b/>
          <w:bCs/>
          <w:lang w:val="en-GB"/>
        </w:rPr>
        <w:t xml:space="preserve">Singapore Securities and Futures Act Product Classification </w:t>
      </w:r>
      <w:r w:rsidRPr="00571974">
        <w:rPr>
          <w:lang w:val="en-GB"/>
        </w:rPr>
        <w:t xml:space="preserve">– Solely for the purposes of our obligations pursuant to Sections 309(B)(1)(a) and 309(B)(1)(c) of the SFA, we have determined, and hereby notify all relevant persons (as defined in Section 309A of the SFA) that the Notes are </w:t>
      </w:r>
      <w:r w:rsidR="00A311D8">
        <w:rPr>
          <w:lang w:val="en-GB"/>
        </w:rPr>
        <w:t>“</w:t>
      </w:r>
      <w:r w:rsidRPr="00571974">
        <w:rPr>
          <w:lang w:val="en-GB"/>
        </w:rPr>
        <w:t>prescribed capital markets products</w:t>
      </w:r>
      <w:r w:rsidR="00A311D8">
        <w:rPr>
          <w:lang w:val="en-GB"/>
        </w:rPr>
        <w:t>”</w:t>
      </w:r>
      <w:r w:rsidRPr="00571974">
        <w:rPr>
          <w:lang w:val="en-GB"/>
        </w:rPr>
        <w:t xml:space="preserve"> (as defined in the Securities and Futures (Capital Markets Products) Regulations 2018) and </w:t>
      </w:r>
      <w:r w:rsidR="00A311D8">
        <w:rPr>
          <w:lang w:val="en-GB"/>
        </w:rPr>
        <w:t>“</w:t>
      </w:r>
      <w:r w:rsidRPr="00571974">
        <w:rPr>
          <w:lang w:val="en-GB"/>
        </w:rPr>
        <w:t>Excluded Investment Products</w:t>
      </w:r>
      <w:r w:rsidR="00A311D8">
        <w:rPr>
          <w:lang w:val="en-GB"/>
        </w:rPr>
        <w:t>”</w:t>
      </w:r>
      <w:r w:rsidRPr="00571974">
        <w:rPr>
          <w:lang w:val="en-GB"/>
        </w:rPr>
        <w:t xml:space="preserve"> (as defined in MAS Notice SFA 04-N12: Notice on the Sale of Investment Products and MAS Notice FAA-N16: Notice on Recommendations on Investment Products). </w:t>
      </w:r>
      <w:r>
        <w:rPr>
          <w:lang w:val="en-GB"/>
        </w:rPr>
        <w:t xml:space="preserve"> </w:t>
      </w:r>
    </w:p>
    <w:p w14:paraId="29286CCB" w14:textId="77777777" w:rsidR="00286370" w:rsidRPr="00E3516C" w:rsidRDefault="003D4D89" w:rsidP="00EA3F32">
      <w:pPr>
        <w:pStyle w:val="Heading4"/>
      </w:pPr>
      <w:r w:rsidRPr="00E3516C">
        <w:t>Switzerland</w:t>
      </w:r>
    </w:p>
    <w:p w14:paraId="0EE27AB2" w14:textId="5481FB60" w:rsidR="00286370" w:rsidRPr="00571974" w:rsidRDefault="003D4D89" w:rsidP="00816EAB">
      <w:pPr>
        <w:pStyle w:val="BodyText"/>
        <w:widowControl/>
        <w:autoSpaceDE/>
        <w:autoSpaceDN/>
        <w:adjustRightInd/>
        <w:ind w:firstLine="360"/>
        <w:rPr>
          <w:lang w:val="en-GB"/>
        </w:rPr>
      </w:pPr>
      <w:r w:rsidRPr="008E22EC">
        <w:rPr>
          <w:szCs w:val="20"/>
        </w:rPr>
        <w:t>We have not and will not register with the Swiss Financial Market Supervisory Authority (</w:t>
      </w:r>
      <w:r w:rsidR="00A311D8">
        <w:rPr>
          <w:szCs w:val="20"/>
        </w:rPr>
        <w:t>“</w:t>
      </w:r>
      <w:r w:rsidRPr="008E22EC">
        <w:rPr>
          <w:szCs w:val="20"/>
        </w:rPr>
        <w:t>FINMA</w:t>
      </w:r>
      <w:r w:rsidR="00A311D8">
        <w:rPr>
          <w:szCs w:val="20"/>
        </w:rPr>
        <w:t>”</w:t>
      </w:r>
      <w:r w:rsidRPr="008E22EC">
        <w:rPr>
          <w:szCs w:val="20"/>
        </w:rPr>
        <w:t>) as a foreign collective investment scheme pursuant to Article 119 of the Federal Act on Collective Investment Scheme of 23 June 2006, as amended (</w:t>
      </w:r>
      <w:r w:rsidR="00A311D8">
        <w:rPr>
          <w:szCs w:val="20"/>
        </w:rPr>
        <w:t>“</w:t>
      </w:r>
      <w:r w:rsidRPr="008E22EC">
        <w:rPr>
          <w:szCs w:val="20"/>
        </w:rPr>
        <w:t>CISA</w:t>
      </w:r>
      <w:r w:rsidR="00A311D8">
        <w:rPr>
          <w:szCs w:val="20"/>
        </w:rPr>
        <w:t>”</w:t>
      </w:r>
      <w:r w:rsidRPr="008E22EC">
        <w:rPr>
          <w:szCs w:val="20"/>
        </w:rPr>
        <w:t xml:space="preserve">), and accordingly the securities being offered pursuant to this prospectus have not and will not be approved, and may not be licenseable, with FINMA.  Therefore, the securities have not been authorized for distribution by FINMA as a foreign collective investment scheme pursuant to Article 119 CISA and the securities offered hereby may not be offered to the public (as this term is defined in Article 3 CISA) in or from Switzerland. The securities may solely be offered to </w:t>
      </w:r>
      <w:r w:rsidR="00A311D8">
        <w:rPr>
          <w:szCs w:val="20"/>
        </w:rPr>
        <w:t>“</w:t>
      </w:r>
      <w:r w:rsidRPr="008E22EC">
        <w:rPr>
          <w:szCs w:val="20"/>
        </w:rPr>
        <w:t>qualified investors,</w:t>
      </w:r>
      <w:r w:rsidR="00A311D8">
        <w:rPr>
          <w:szCs w:val="20"/>
        </w:rPr>
        <w:t>”</w:t>
      </w:r>
      <w:r w:rsidRPr="008E22EC">
        <w:rPr>
          <w:szCs w:val="20"/>
        </w:rPr>
        <w:t xml:space="preserve"> as this term is defined in Article 10 CISA, and in the circumstances set out in Article 3 of the Ordinance on Collective Investment Scheme of 22 November 2006, as amended (</w:t>
      </w:r>
      <w:r w:rsidR="00A311D8">
        <w:rPr>
          <w:szCs w:val="20"/>
        </w:rPr>
        <w:t>“</w:t>
      </w:r>
      <w:r w:rsidRPr="008E22EC">
        <w:rPr>
          <w:szCs w:val="20"/>
        </w:rPr>
        <w:t>CISO</w:t>
      </w:r>
      <w:r w:rsidR="00A311D8">
        <w:rPr>
          <w:szCs w:val="20"/>
        </w:rPr>
        <w:t>”</w:t>
      </w:r>
      <w:r w:rsidRPr="008E22EC">
        <w:rPr>
          <w:szCs w:val="20"/>
        </w:rPr>
        <w:t>), such tha</w:t>
      </w:r>
      <w:r>
        <w:rPr>
          <w:szCs w:val="20"/>
        </w:rPr>
        <w:t xml:space="preserve">t there is no public offer. </w:t>
      </w:r>
      <w:r w:rsidRPr="008E22EC">
        <w:rPr>
          <w:szCs w:val="20"/>
        </w:rPr>
        <w:t xml:space="preserve">Investors, however, do not benefit from protection under CISA or CISO or supervision by FINMA. This prospectus and any other materials relating to the securities are strictly personal and confidential to each offeree and do not constitute an offer to any other person. This prospectus may only be used by those qualified investors to whom it has been handed out in connection with the offer described herein and may neither directly or indirectly be distributed or made available to any person or entity other than its recipients. </w:t>
      </w:r>
      <w:r w:rsidRPr="008E22EC">
        <w:rPr>
          <w:szCs w:val="20"/>
          <w:lang w:val="en-GB"/>
        </w:rPr>
        <w:t>It may not be used in connection with any other offer and shall in particular not be copied and/or distributed to the public in Switzerland or from Switzerland</w:t>
      </w:r>
      <w:r w:rsidRPr="008E22EC">
        <w:rPr>
          <w:caps/>
          <w:szCs w:val="20"/>
          <w:lang w:val="en-GB"/>
        </w:rPr>
        <w:t xml:space="preserve">. </w:t>
      </w:r>
      <w:r w:rsidRPr="008E22EC">
        <w:rPr>
          <w:szCs w:val="20"/>
        </w:rPr>
        <w:t>This prospectus does not constitute an issue prospectus as that term is understood pursuant to Article 652a and/or 1156 of the Swiss Federal Code of Obligations. We have not applied for a listing of the securities on the SIX Swiss Exchange or any other regulated securities market in Switzerland, and consequently, the information presented in this prospectus does not necessarily comply with the information standards set out in the listing rules of the SIX Swiss Exchange and corresponding prospectus schemes annexed to the listing rules of the SIX Swiss Exchange</w:t>
      </w:r>
      <w:r w:rsidRPr="008E22EC">
        <w:rPr>
          <w:caps/>
          <w:szCs w:val="20"/>
        </w:rPr>
        <w:t>.</w:t>
      </w:r>
      <w:r w:rsidR="006D61C0" w:rsidRPr="00571974">
        <w:rPr>
          <w:lang w:val="en-GB"/>
        </w:rPr>
        <w:t xml:space="preserve"> </w:t>
      </w:r>
    </w:p>
    <w:p w14:paraId="2189B510" w14:textId="77777777" w:rsidR="00286370" w:rsidRPr="00E3516C" w:rsidRDefault="003D4D89" w:rsidP="00EA3F32">
      <w:pPr>
        <w:pStyle w:val="Heading4"/>
      </w:pPr>
      <w:r w:rsidRPr="00E3516C">
        <w:t>Taiwan</w:t>
      </w:r>
    </w:p>
    <w:p w14:paraId="3AF3FBB5" w14:textId="4E762A28" w:rsidR="00286370" w:rsidRPr="00571974" w:rsidRDefault="003D4D89" w:rsidP="00286370">
      <w:pPr>
        <w:pStyle w:val="BodyText"/>
        <w:widowControl/>
        <w:autoSpaceDE/>
        <w:autoSpaceDN/>
        <w:adjustRightInd/>
        <w:ind w:firstLine="360"/>
        <w:rPr>
          <w:lang w:val="en-GB"/>
        </w:rPr>
      </w:pPr>
      <w:r w:rsidRPr="00571974">
        <w:rPr>
          <w:lang w:val="en-GB"/>
        </w:rPr>
        <w:t>The Notes have not been and will not be registered or filed with, or approved by, the Financial Supervisory Commission of Taiwan and/or any other regulatory authority of Taiwan pursuant to relevant securities laws and regulations and may not be sold, issued or offered within Taiwan through a public offering or in circumstances which could constitute an offer within the meaning of the Securities and Exchange Act of Taiwan or relevant laws and regulations that require a registration, filing or approval of the Financial Supervisory Commission of Taiwan and/or any other regulatory authority of Taiwan. No person or entity in Taiwan has been authorized to offer or sell the Notes in Taiwan through a public offering or in any offering that requires registration, filing or approval of the Financial Supervisory Commission of Taiwan except pursuant to the applicable laws and regulations of Taiwan and the competent authority</w:t>
      </w:r>
      <w:r w:rsidR="00A311D8">
        <w:rPr>
          <w:lang w:val="en-GB"/>
        </w:rPr>
        <w:t>’</w:t>
      </w:r>
      <w:r w:rsidRPr="00571974">
        <w:rPr>
          <w:lang w:val="en-GB"/>
        </w:rPr>
        <w:t>s rulings thereunder.</w:t>
      </w:r>
    </w:p>
    <w:p w14:paraId="3D0C20E0" w14:textId="77777777" w:rsidR="00542FF4" w:rsidRPr="00571974" w:rsidRDefault="003D4D89" w:rsidP="00EA3F32">
      <w:pPr>
        <w:pStyle w:val="Heading4"/>
      </w:pPr>
      <w:r w:rsidRPr="00571974">
        <w:t>Japan</w:t>
      </w:r>
    </w:p>
    <w:p w14:paraId="15560E37" w14:textId="69D154BC" w:rsidR="00542FF4" w:rsidRPr="00571974" w:rsidRDefault="003D4D89" w:rsidP="00542FF4">
      <w:pPr>
        <w:pStyle w:val="BodyText"/>
        <w:widowControl/>
        <w:autoSpaceDE/>
        <w:autoSpaceDN/>
        <w:adjustRightInd/>
        <w:ind w:firstLine="360"/>
        <w:rPr>
          <w:b/>
          <w:lang w:val="en-GB"/>
        </w:rPr>
      </w:pPr>
      <w:r w:rsidRPr="00571974">
        <w:rPr>
          <w:lang w:val="en-GB"/>
        </w:rPr>
        <w:t xml:space="preserve">The securities offered hereby have not been and will not be registered under the Financial Instruments and Exchange Law of Japan (Law No. 25 of 1948 as amended, the </w:t>
      </w:r>
      <w:r w:rsidR="00A311D8">
        <w:rPr>
          <w:lang w:val="en-GB"/>
        </w:rPr>
        <w:t>“</w:t>
      </w:r>
      <w:r w:rsidRPr="00571974">
        <w:rPr>
          <w:lang w:val="en-GB"/>
        </w:rPr>
        <w:t>FIEL</w:t>
      </w:r>
      <w:r w:rsidR="00A311D8">
        <w:rPr>
          <w:lang w:val="en-GB"/>
        </w:rPr>
        <w:t>”</w:t>
      </w:r>
      <w:r w:rsidRPr="00571974">
        <w:rPr>
          <w:lang w:val="en-GB"/>
        </w:rPr>
        <w:t xml:space="preserve">) and each Initial Purchaser has agreed that it will not offer or sell any securities, directly or indirectly, in Japan or to, or for the benefit of, any resident of Japan (which term as used herein means any person resident in Japan, including any corporation or other entity organized under the laws of Japan), or to others for re-offering or resale, directly or indirectly, in Japan or to a resident of </w:t>
      </w:r>
      <w:r w:rsidRPr="00571974">
        <w:rPr>
          <w:lang w:val="en-GB"/>
        </w:rPr>
        <w:lastRenderedPageBreak/>
        <w:t>Japan, except pursuant to an exemption from the registration requirements of, and otherwise in compliance with, the FIEL and any other applicable laws, regulations and ministerial guidelines of Japan.</w:t>
      </w:r>
    </w:p>
    <w:p w14:paraId="216C097B" w14:textId="77777777" w:rsidR="007A0F1F" w:rsidRPr="00571974" w:rsidRDefault="003D4D89" w:rsidP="00542FF4">
      <w:pPr>
        <w:pStyle w:val="Heading1"/>
        <w:rPr>
          <w:lang w:val="en-GB"/>
        </w:rPr>
      </w:pPr>
      <w:bookmarkStart w:id="100" w:name="_Toc475546295"/>
      <w:r w:rsidRPr="00571974">
        <w:rPr>
          <w:lang w:val="en-GB"/>
        </w:rPr>
        <w:br w:type="page"/>
      </w:r>
    </w:p>
    <w:p w14:paraId="48B481AF" w14:textId="51396A38" w:rsidR="00542FF4" w:rsidRPr="00571974" w:rsidRDefault="00F7022D" w:rsidP="00542FF4">
      <w:pPr>
        <w:pStyle w:val="Heading1"/>
        <w:rPr>
          <w:lang w:val="en-GB"/>
        </w:rPr>
      </w:pPr>
      <w:bookmarkStart w:id="101" w:name="_Toc36388973"/>
      <w:r w:rsidRPr="00571974">
        <w:rPr>
          <w:lang w:val="en-GB"/>
        </w:rPr>
        <w:lastRenderedPageBreak/>
        <w:t>TRANSFER RESTRICTIONS</w:t>
      </w:r>
      <w:bookmarkEnd w:id="100"/>
      <w:bookmarkEnd w:id="101"/>
    </w:p>
    <w:p w14:paraId="4FDFF3C9" w14:textId="77777777" w:rsidR="00542FF4" w:rsidRPr="00571974" w:rsidRDefault="003D4D89" w:rsidP="00542FF4">
      <w:pPr>
        <w:pStyle w:val="BodyText"/>
        <w:widowControl/>
        <w:autoSpaceDE/>
        <w:autoSpaceDN/>
        <w:adjustRightInd/>
        <w:ind w:firstLine="360"/>
        <w:rPr>
          <w:lang w:val="en-GB"/>
        </w:rPr>
      </w:pPr>
      <w:r w:rsidRPr="00571974">
        <w:rPr>
          <w:lang w:val="en-GB"/>
        </w:rPr>
        <w:t xml:space="preserve">The Notes and the Guarantees have not been registered under the Securities Act or any other applicable securities laws, and may not be offered, sold or delivered in the United States or to, or for the account or benefit of, any </w:t>
      </w:r>
      <w:r w:rsidR="006D150F" w:rsidRPr="00571974">
        <w:rPr>
          <w:lang w:val="en-GB"/>
        </w:rPr>
        <w:t>U.S.</w:t>
      </w:r>
      <w:r w:rsidRPr="00571974">
        <w:rPr>
          <w:lang w:val="en-GB"/>
        </w:rPr>
        <w:t xml:space="preserve"> person, except pursuant to an effective registration statement or in a transaction not subject to the registration requirements of the Securities Act or in accordance with an applicable exemption from the registration requirements and those other laws. Accordingly, the Notes and the Guarantees are being offered and sold only (i) to qualified institutional buyers in a private sale exempt from the registration requirements of the Securities Act pursuant to Rule 144A and any other applicable securities laws or (ii) outside the United States to non-</w:t>
      </w:r>
      <w:r w:rsidR="006D150F" w:rsidRPr="00571974">
        <w:rPr>
          <w:lang w:val="en-GB"/>
        </w:rPr>
        <w:t>U.S.</w:t>
      </w:r>
      <w:r w:rsidRPr="00571974">
        <w:rPr>
          <w:lang w:val="en-GB"/>
        </w:rPr>
        <w:t xml:space="preserve"> persons in compliance with Regulation S.</w:t>
      </w:r>
    </w:p>
    <w:p w14:paraId="5D983E5C" w14:textId="77777777" w:rsidR="00542FF4" w:rsidRPr="00571974" w:rsidRDefault="003D4D89" w:rsidP="00542FF4">
      <w:pPr>
        <w:pStyle w:val="BodyText"/>
        <w:widowControl/>
        <w:autoSpaceDE/>
        <w:autoSpaceDN/>
        <w:adjustRightInd/>
        <w:ind w:firstLine="360"/>
        <w:rPr>
          <w:lang w:val="en-GB"/>
        </w:rPr>
      </w:pPr>
      <w:r w:rsidRPr="00571974">
        <w:rPr>
          <w:lang w:val="en-GB"/>
        </w:rPr>
        <w:t>Each purchase of Notes is subject to restrictions on transfer as summarized below. By purchasing Notes, each purchaser will be deemed to have made the following acknowledgements, representations to and agreements with us and the Initial Purchasers:</w:t>
      </w:r>
    </w:p>
    <w:p w14:paraId="349D2F2E" w14:textId="77777777"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The purchaser understands and acknowledges that:</w:t>
      </w:r>
    </w:p>
    <w:p w14:paraId="0D27D6CC" w14:textId="77777777" w:rsidR="00542FF4" w:rsidRPr="00571974" w:rsidRDefault="003D4D89" w:rsidP="00542FF4">
      <w:pPr>
        <w:pStyle w:val="ListBullet"/>
        <w:tabs>
          <w:tab w:val="clear" w:pos="360"/>
          <w:tab w:val="num" w:pos="757"/>
        </w:tabs>
        <w:ind w:left="1163" w:hanging="397"/>
      </w:pPr>
      <w:r w:rsidRPr="00571974">
        <w:t>each of the Notes and the Guarantees have not been registered under the Securities Act or any other securities laws and are being offered for resale in transactions that do not require registration under the Securities Act or any other securities laws; and</w:t>
      </w:r>
    </w:p>
    <w:p w14:paraId="4C6816D7" w14:textId="77777777" w:rsidR="00542FF4" w:rsidRPr="00571974" w:rsidRDefault="003D4D89" w:rsidP="00542FF4">
      <w:pPr>
        <w:pStyle w:val="ListBullet"/>
        <w:tabs>
          <w:tab w:val="clear" w:pos="360"/>
          <w:tab w:val="num" w:pos="757"/>
        </w:tabs>
        <w:ind w:left="1163" w:hanging="397"/>
      </w:pPr>
      <w:r w:rsidRPr="00571974">
        <w:t>unless so registered, the Notes and the Guarantees may not be offered, sold or otherwise transferred except under an exemption from, or in a transaction not subject to, the registration requirements of the Securities Act or any other applicable securities laws, and in each case in compliance with the conditions for transfer set forth in paragraph (3) below.</w:t>
      </w:r>
    </w:p>
    <w:p w14:paraId="504121ED" w14:textId="77777777"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The purchaser represents that it is not an affiliate (as defined in Rule 144 under the Securities Act) of the Company or the Issuer, that the purchaser is not acting on behalf of such persons and that either:</w:t>
      </w:r>
    </w:p>
    <w:p w14:paraId="6DBF698C" w14:textId="77777777" w:rsidR="00542FF4" w:rsidRPr="00571974" w:rsidRDefault="003D4D89" w:rsidP="00542FF4">
      <w:pPr>
        <w:pStyle w:val="ListBullet"/>
        <w:tabs>
          <w:tab w:val="clear" w:pos="360"/>
          <w:tab w:val="num" w:pos="757"/>
        </w:tabs>
        <w:ind w:left="1163" w:hanging="397"/>
      </w:pPr>
      <w:r w:rsidRPr="00571974">
        <w:t>the purchaser is a qualified institutional buyer (as defined in Rule 144A), is aware that the sale to it is being made in reliance on Rule 144A and is purchasing Notes for its own account or for the account of another qualified institutional buyer; or</w:t>
      </w:r>
    </w:p>
    <w:p w14:paraId="634101A4" w14:textId="77777777" w:rsidR="00542FF4" w:rsidRPr="00571974" w:rsidRDefault="003D4D89" w:rsidP="00542FF4">
      <w:pPr>
        <w:pStyle w:val="ListBullet"/>
        <w:tabs>
          <w:tab w:val="clear" w:pos="360"/>
          <w:tab w:val="num" w:pos="757"/>
        </w:tabs>
        <w:ind w:left="1163" w:hanging="397"/>
      </w:pPr>
      <w:r w:rsidRPr="00571974">
        <w:t xml:space="preserve">the purchaser is not a </w:t>
      </w:r>
      <w:r w:rsidR="006D150F" w:rsidRPr="00571974">
        <w:t>U.S.</w:t>
      </w:r>
      <w:r w:rsidRPr="00571974">
        <w:t xml:space="preserve"> person (as defined in Regulation S) or is acquiring the Notes for its own account or as a fiduciary or agent for others in a transaction outside the United States pursuant to Regulation S.</w:t>
      </w:r>
    </w:p>
    <w:p w14:paraId="4FE8CC11" w14:textId="6C8F9982"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 xml:space="preserve">The purchaser represents that it is purchasing Notes for its own account, or for one or more investor accounts for which it is acting as a fiduciary or agent, in each case not with a view to, or for offer or sale in connection with, any distribution of the Notes in violation of the Securities Act, subject to any requirement of law that the disposition of its property or the property of that investor account or accounts be at all times within its or their control and subject to its or their ability to resell the Notes pursuant to Rule 144A or any other available exemption from registration under the Securities Act. The purchaser agrees on its own behalf and on behalf of any investor account for which it is purchasing Notes, and each subsequent holder of the Notes by its acceptance of the Notes will agree, that until the end of the Resale Restriction Period (as defined below), the Notes may be offered, sold or otherwise transferred only: (a) to us; (b) under a registration statement that has been declared or has become effective under the Securities Act; (c) for so long as the Notes are eligible for resale under Rule 144A, to a person the seller reasonably believes is a qualified institutional buyer that is purchasing for its own account or for the account of another qualified institutional buyer and to whom notice is given that the transfer is being made in reliance on Rule 144A; (d) through offers and sales that occur outside the United States within the meaning of Regulation S; (e) to an institutional accredited investor (within the meaning of Rule 501(a)(1), (2), (3) or (7) under the Securities Act) that is purchasing for its own account or for the account of another institutional accredited investor, in each case in a minimum principal amount of Notes of </w:t>
      </w:r>
      <w:r w:rsidR="003E1CBD" w:rsidRPr="00571974">
        <w:rPr>
          <w:lang w:val="en-GB"/>
        </w:rPr>
        <w:t>US$</w:t>
      </w:r>
      <w:r w:rsidRPr="00571974">
        <w:rPr>
          <w:lang w:val="en-GB"/>
        </w:rPr>
        <w:t>250,000; or (f) under any other available exemption from the registration requirements of the Securities Act; in each case in compliance with any applicable state securities laws; subject in each of the above cases to any requirement of law that the disposition of the seller</w:t>
      </w:r>
      <w:r w:rsidR="00A311D8">
        <w:rPr>
          <w:lang w:val="en-GB"/>
        </w:rPr>
        <w:t>’</w:t>
      </w:r>
      <w:r w:rsidRPr="00571974">
        <w:rPr>
          <w:lang w:val="en-GB"/>
        </w:rPr>
        <w:t>s property or the property of an investor account or accounts be at all times within the seller</w:t>
      </w:r>
      <w:r w:rsidR="00A311D8">
        <w:rPr>
          <w:lang w:val="en-GB"/>
        </w:rPr>
        <w:t>’</w:t>
      </w:r>
      <w:r w:rsidRPr="00571974">
        <w:rPr>
          <w:lang w:val="en-GB"/>
        </w:rPr>
        <w:t>s or account</w:t>
      </w:r>
      <w:r w:rsidR="00A311D8">
        <w:rPr>
          <w:lang w:val="en-GB"/>
        </w:rPr>
        <w:t>’</w:t>
      </w:r>
      <w:r w:rsidRPr="00571974">
        <w:rPr>
          <w:lang w:val="en-GB"/>
        </w:rPr>
        <w:t>s control.</w:t>
      </w:r>
    </w:p>
    <w:p w14:paraId="30E979B3" w14:textId="77777777" w:rsidR="00542FF4" w:rsidRPr="00571974" w:rsidRDefault="003D4D89" w:rsidP="00542FF4">
      <w:pPr>
        <w:widowControl/>
        <w:tabs>
          <w:tab w:val="left" w:pos="-720"/>
        </w:tabs>
        <w:suppressAutoHyphens/>
        <w:spacing w:after="240"/>
        <w:ind w:firstLine="720"/>
        <w:rPr>
          <w:lang w:val="en-GB"/>
        </w:rPr>
      </w:pPr>
      <w:r w:rsidRPr="00571974">
        <w:rPr>
          <w:lang w:val="en-GB"/>
        </w:rPr>
        <w:t>The purchaser also acknowledges that:</w:t>
      </w:r>
    </w:p>
    <w:p w14:paraId="07EE937C" w14:textId="433E8DA8" w:rsidR="00542FF4" w:rsidRPr="00571974" w:rsidRDefault="003D4D89" w:rsidP="00542FF4">
      <w:pPr>
        <w:pStyle w:val="ListBullet"/>
        <w:tabs>
          <w:tab w:val="clear" w:pos="360"/>
          <w:tab w:val="num" w:pos="757"/>
        </w:tabs>
        <w:ind w:left="1163" w:hanging="397"/>
      </w:pPr>
      <w:r w:rsidRPr="00571974">
        <w:lastRenderedPageBreak/>
        <w:t xml:space="preserve">the above restrictions on resale will apply from the closing date until the date after which such Notes may be freely transferred pursuant to Rule 144 under the Securities Act (in the case of the Notes sold pursuant to Rule 144A) or 40 days (in the case of the Notes sold pursuant to Regulation S) after the later of the closing date and the last date that we or any of our affiliates were the owner of the Notes or any predecessor of the Notes (the </w:t>
      </w:r>
      <w:r w:rsidR="00A311D8">
        <w:t>“</w:t>
      </w:r>
      <w:r w:rsidRPr="00571974">
        <w:t>Resale Restriction Period</w:t>
      </w:r>
      <w:r w:rsidR="00A311D8">
        <w:t>”</w:t>
      </w:r>
      <w:r w:rsidRPr="00571974">
        <w:t>), and will not apply after the applicable Resale Restriction Period ends;</w:t>
      </w:r>
    </w:p>
    <w:p w14:paraId="669CAC26" w14:textId="77777777" w:rsidR="00542FF4" w:rsidRPr="00571974" w:rsidRDefault="003D4D89" w:rsidP="00542FF4">
      <w:pPr>
        <w:pStyle w:val="ListBullet"/>
        <w:tabs>
          <w:tab w:val="clear" w:pos="360"/>
          <w:tab w:val="num" w:pos="757"/>
        </w:tabs>
        <w:ind w:left="1163" w:hanging="397"/>
      </w:pPr>
      <w:r w:rsidRPr="00571974">
        <w:t>if a holder of Notes proposes to resell or transfer Notes under clause (e) above before the applicable Resale Restriction Period ends, the seller must deliver to us and the Trustee a letter from the purchaser in the form set forth in the indenture which must provide, among other things, that the purchaser is an institutional accredited investor that is not acquiring the Notes for distribution in violation of the Securities Act;</w:t>
      </w:r>
    </w:p>
    <w:p w14:paraId="23851F2C" w14:textId="77777777" w:rsidR="00542FF4" w:rsidRPr="00571974" w:rsidRDefault="003D4D89" w:rsidP="00542FF4">
      <w:pPr>
        <w:pStyle w:val="ListBullet"/>
        <w:tabs>
          <w:tab w:val="clear" w:pos="360"/>
          <w:tab w:val="num" w:pos="757"/>
        </w:tabs>
        <w:ind w:left="1163" w:hanging="397"/>
      </w:pPr>
      <w:r w:rsidRPr="00571974">
        <w:t>we and the Trustee reserve the right to require in connection with any offer, sale or other transfer of Notes under clauses (d), (e) and (f) above the delivery of an opinion of counsel, certifications and/or other information satisfactory to us and the Trustee; and</w:t>
      </w:r>
    </w:p>
    <w:p w14:paraId="4509AE01" w14:textId="77777777" w:rsidR="00542FF4" w:rsidRPr="00571974" w:rsidRDefault="003D4D89" w:rsidP="00542FF4">
      <w:pPr>
        <w:pStyle w:val="ListBullet"/>
        <w:tabs>
          <w:tab w:val="clear" w:pos="360"/>
          <w:tab w:val="num" w:pos="757"/>
        </w:tabs>
        <w:ind w:left="1163" w:hanging="397"/>
      </w:pPr>
      <w:r w:rsidRPr="00571974">
        <w:t>each Note being sold pursuant to Rule 144A will contain a legend substantially to the following effect:</w:t>
      </w:r>
    </w:p>
    <w:p w14:paraId="1F654018" w14:textId="75F883C4" w:rsidR="00542FF4" w:rsidRPr="00571974" w:rsidRDefault="003D4D89" w:rsidP="00542FF4">
      <w:pPr>
        <w:widowControl/>
        <w:tabs>
          <w:tab w:val="left" w:pos="-720"/>
          <w:tab w:val="left" w:pos="0"/>
        </w:tabs>
        <w:suppressAutoHyphens/>
        <w:spacing w:after="240"/>
        <w:ind w:left="720"/>
        <w:rPr>
          <w:lang w:val="en-GB"/>
        </w:rPr>
      </w:pPr>
      <w:r w:rsidRPr="00571974">
        <w:rPr>
          <w:lang w:val="en-GB"/>
        </w:rPr>
        <w:t xml:space="preserve">THIS SECURITY HAS NOT BEEN REGISTERED UNDER THE SECURITIES ACT OF 1933, AS AMENDED (THE </w:t>
      </w:r>
      <w:r w:rsidR="00A311D8">
        <w:rPr>
          <w:lang w:val="en-GB"/>
        </w:rPr>
        <w:t>“</w:t>
      </w:r>
      <w:r w:rsidRPr="00571974">
        <w:rPr>
          <w:lang w:val="en-GB"/>
        </w:rPr>
        <w:t>SECURITIES ACT</w:t>
      </w:r>
      <w:r w:rsidR="00A311D8">
        <w:rPr>
          <w:lang w:val="en-GB"/>
        </w:rPr>
        <w:t>”</w:t>
      </w:r>
      <w:r w:rsidRPr="00571974">
        <w:rPr>
          <w:lang w:val="en-GB"/>
        </w:rPr>
        <w:t xml:space="preserve">), OR THE SECURITIES LAWS OF ANY STATE OR OTHER JURISDICTION. NEITHER THIS SECURITY NOR ANY INTEREST OR PARTICIPATION HEREIN MAY BE REOFFERED, SOLD, ASSIGNED, TRANSFERRED, PLEDGED, ENCUMBERED OR OTHERWISE DISPOSED OF IN THE ABSENCE OF SUCH REGISTRATION OR UNLESS SUCH TRANSACTION IS EXEMPT FROM, OR NOT SUBJECT TO, SUCH REGISTRATION. THE HOLDER OF THIS SECURITY, BY ITS ACCEPTANCE HEREOF, AGREES ON ITS OWN BEHALF AND ON BEHALF OF ANY INVESTOR ACCOUNT FOR WHICH IT HAS PURCHASED SECURITIES, TO OFFER, SELL OR OTHERWISE TRANSFER SUCH SECURITY, ONLY (A) TO THE ISSUER, (B) PURSUANT TO A REGISTRATION STATEMENT THAT HAS BECOME OR BEEN DECLARED EFFECTIVE UNDER THE SECURITIES ACT, (C) FOR SO LONG AS THE SECURITIES ARE ELIGIBLE FOR RESALE PURSUANT TO RULE 144A UNDER THE SECURITIES ACT, TO A PERSON IT REASONABLY BELIEVES IS A </w:t>
      </w:r>
      <w:r w:rsidR="00A311D8">
        <w:rPr>
          <w:lang w:val="en-GB"/>
        </w:rPr>
        <w:t>“</w:t>
      </w:r>
      <w:r w:rsidRPr="00571974">
        <w:rPr>
          <w:lang w:val="en-GB"/>
        </w:rPr>
        <w:t>QUALIFIED INSTITUTIONAL BUYER</w:t>
      </w:r>
      <w:r w:rsidR="00A311D8">
        <w:rPr>
          <w:lang w:val="en-GB"/>
        </w:rPr>
        <w:t>”</w:t>
      </w:r>
      <w:r w:rsidRPr="00571974">
        <w:rPr>
          <w:lang w:val="en-GB"/>
        </w:rPr>
        <w:t xml:space="preserve"> AS DEFINED IN RULE 144A UNDER THE SECURITIES ACT THAT PURCHASES FOR ITS OWN ACCOUNT OR FOR THE ACCOUNT OF ANOTHER QUALIFIED INSTITUTIONAL BUYER AND TO WHOM NOTICE IS GIVEN THAT THE TRANSFER IS BEING MADE IN RELIANCE ON RULE 144A, (D) PURSUANT TO OFFERS AND SALES THAT OCCUR OUTSIDE THE UNITED STATES IN ACCORDANCE WITH REGULATION S UNDER THE SECURITIES ACT, (E) TO AN INSTITUTIONAL </w:t>
      </w:r>
      <w:r w:rsidR="00A311D8">
        <w:rPr>
          <w:lang w:val="en-GB"/>
        </w:rPr>
        <w:t>“</w:t>
      </w:r>
      <w:r w:rsidRPr="00571974">
        <w:rPr>
          <w:lang w:val="en-GB"/>
        </w:rPr>
        <w:t>ACCREDITED INVESTOR</w:t>
      </w:r>
      <w:r w:rsidR="00A311D8">
        <w:rPr>
          <w:lang w:val="en-GB"/>
        </w:rPr>
        <w:t>”</w:t>
      </w:r>
      <w:r w:rsidRPr="00571974">
        <w:rPr>
          <w:lang w:val="en-GB"/>
        </w:rPr>
        <w:t xml:space="preserve"> WITHIN THE MEANING OF RULE 501(a)(1), (2), (3) OR (7) UNDER THE SECURITIES ACT THAT IS ACQUIRING THE SECURITY FOR ITS OWN ACCOUNT OR FOR THE ACCOUNT OF ANOTHER INSTITUTIONAL ACCREDITED INVESTOR, IN EACH CASE IN A MINIMUM PRINCIPAL AMOUNT OF THE SECURITIES OF </w:t>
      </w:r>
      <w:r w:rsidR="003E1CBD" w:rsidRPr="00571974">
        <w:rPr>
          <w:lang w:val="en-GB"/>
        </w:rPr>
        <w:t>US$</w:t>
      </w:r>
      <w:r w:rsidRPr="00571974">
        <w:rPr>
          <w:lang w:val="en-GB"/>
        </w:rPr>
        <w:t>250,000, FOR INVESTMENT PURPOSES AND NOT WITH A VIEW TO OR FOR OFFER OR SALE IN CONNECTION WITH ANY DISTRIBUTION IN VIOLATION OF THE SECURITIES ACT, (F) PURSUANT TO THE EXEMPTION FROM REGISTRATION PROVIDED BY RULE 144 UNDER THE SECURITIES ACT (IF AVAILABLE) OR (G) PURSUANT TO ANOTHER AVAILABLE EXEMPTION FROM THE REGISTRATION REQUIREMENTS OF THE SECURITIES ACT, SUBJECT TO THE ISSUER</w:t>
      </w:r>
      <w:r w:rsidR="00A311D8">
        <w:rPr>
          <w:lang w:val="en-GB"/>
        </w:rPr>
        <w:t>’</w:t>
      </w:r>
      <w:r w:rsidRPr="00571974">
        <w:rPr>
          <w:lang w:val="en-GB"/>
        </w:rPr>
        <w:t>S AND THE TRUSTEE</w:t>
      </w:r>
      <w:r w:rsidR="00A311D8">
        <w:rPr>
          <w:lang w:val="en-GB"/>
        </w:rPr>
        <w:t>’</w:t>
      </w:r>
      <w:r w:rsidRPr="00571974">
        <w:rPr>
          <w:lang w:val="en-GB"/>
        </w:rPr>
        <w:t>S RIGHT PRIOR TO ANY SUCH OFFER, SALE OR TRANSFER PURSUANT TO CLAUSES (D), (E), (F) OR (G) TO REQUIRE THE DELIVERY OF AN OPINION OF COUNSEL, CERTIFICATION AND/ OR OTHER INFORMATION SATISFACTORY TO EACH OF THEM. THIS LEGEND WILL BE REMOVED UPON THE REQUEST OF THE HOLDER AFTER THE RESALE RESTRICTION TERMINATION DATE.</w:t>
      </w:r>
    </w:p>
    <w:p w14:paraId="0A58A97F" w14:textId="77777777" w:rsidR="00542FF4" w:rsidRPr="00571974" w:rsidRDefault="003D4D89" w:rsidP="00542FF4">
      <w:pPr>
        <w:pStyle w:val="ListBullet"/>
        <w:tabs>
          <w:tab w:val="clear" w:pos="360"/>
          <w:tab w:val="num" w:pos="757"/>
        </w:tabs>
        <w:ind w:left="1163" w:hanging="397"/>
      </w:pPr>
      <w:r w:rsidRPr="00571974">
        <w:t>each Note being sold pursuant to Regulation S will contain a legend substantially to the following effect:</w:t>
      </w:r>
    </w:p>
    <w:p w14:paraId="066B1946" w14:textId="5D9A62D4" w:rsidR="00542FF4" w:rsidRPr="00571974" w:rsidRDefault="003D4D89" w:rsidP="00542FF4">
      <w:pPr>
        <w:widowControl/>
        <w:tabs>
          <w:tab w:val="left" w:pos="-720"/>
          <w:tab w:val="left" w:pos="0"/>
        </w:tabs>
        <w:suppressAutoHyphens/>
        <w:spacing w:after="240"/>
        <w:ind w:left="720"/>
        <w:rPr>
          <w:lang w:val="en-GB"/>
        </w:rPr>
      </w:pPr>
      <w:r w:rsidRPr="00571974">
        <w:rPr>
          <w:lang w:val="en-GB"/>
        </w:rPr>
        <w:t xml:space="preserve">THIS SECURITY HAS NOT BEEN REGISTERED UNDER THE SECURITIES ACT OF 1933, AS AMENDED (THE </w:t>
      </w:r>
      <w:r w:rsidR="00A311D8">
        <w:rPr>
          <w:lang w:val="en-GB"/>
        </w:rPr>
        <w:t>“</w:t>
      </w:r>
      <w:r w:rsidRPr="00571974">
        <w:rPr>
          <w:lang w:val="en-GB"/>
        </w:rPr>
        <w:t>SECURITIES ACT</w:t>
      </w:r>
      <w:r w:rsidR="00A311D8">
        <w:rPr>
          <w:lang w:val="en-GB"/>
        </w:rPr>
        <w:t>”</w:t>
      </w:r>
      <w:r w:rsidRPr="00571974">
        <w:rPr>
          <w:lang w:val="en-GB"/>
        </w:rPr>
        <w:t xml:space="preserve">), OR THE SECURITIES LAWS OF ANY STATE OR OTHER JURISDICTION, AND MAY NOT BE OFFERED, SOLD OR DELIVERED IN THE UNITED STATES OR TO, OR FOR THE ACCOUNT OR BENEFIT OF, ANY </w:t>
      </w:r>
      <w:r w:rsidR="006D150F" w:rsidRPr="00571974">
        <w:rPr>
          <w:lang w:val="en-GB"/>
        </w:rPr>
        <w:t>U.S.</w:t>
      </w:r>
      <w:r w:rsidRPr="00571974">
        <w:rPr>
          <w:lang w:val="en-GB"/>
        </w:rPr>
        <w:t xml:space="preserve"> PERSON, UNLESS SUCH NOTES ARE REGISTERED UNDER THE SECURITIES ACT OR AN EXEMPTION FROM THE </w:t>
      </w:r>
      <w:r w:rsidRPr="00571974">
        <w:rPr>
          <w:lang w:val="en-GB"/>
        </w:rPr>
        <w:lastRenderedPageBreak/>
        <w:t>REGISTRATION REQUIREMENTS THEREOF IS AVAILABLE. THIS LEGEND WILL BE REMOVED AFTER THE EXPIRATION OF FORTY DAYS FROM THE LATER OF (i) THE DATE ON WHICH THESE NOTES WERE FIRST OFFERED AND (ii) THE DATE OF ISSUE OF THESE NOTES.</w:t>
      </w:r>
    </w:p>
    <w:p w14:paraId="55B54561" w14:textId="77777777"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 xml:space="preserve">The purchaser has received a copy of the </w:t>
      </w:r>
      <w:r w:rsidR="009716E8" w:rsidRPr="00571974">
        <w:rPr>
          <w:lang w:val="en-GB"/>
        </w:rPr>
        <w:t>prospectus</w:t>
      </w:r>
      <w:r w:rsidRPr="00571974">
        <w:rPr>
          <w:lang w:val="en-GB"/>
        </w:rPr>
        <w:t xml:space="preserve"> relating to the offering of the Notes and the Guarantees and acknowledges that (a) neither we nor the Initial Purchasers or any person representing us or the Initial Purchasers have made any representation to it with respect to us or the offering and the sale of the Notes and the Guarantees other than the information contained in and incorporated by reference into this document and (b) it has had access to such financial and other information and has been offered the opportunity to ask questions of us and received answers thereto, as it deemed necessary in connection with the decision to purchase Notes.</w:t>
      </w:r>
    </w:p>
    <w:p w14:paraId="263387DC" w14:textId="77777777"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The purchaser understands that we, the Company, the Initial Purchasers and others will rely upon the truth and accuracy of the foregoing representations, acknowledgements and agreements and agrees that if any of the representations and acknowledgements deemed to have been made by it by its purchase of the Notes are no longer accurate, the purchaser shall promptly notify us and the Initial Purchasers. If the purchaser is acquiring the Notes as a fiduciary or agent for one or more investor accounts, it represents that it has sole investment discretion with respect to each such account and it has full power to make the foregoing representations, acknowledgements and agreements on behalf of such account.</w:t>
      </w:r>
    </w:p>
    <w:p w14:paraId="21EFD2CC" w14:textId="77777777"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The purchaser: (a) is able to fend for itself in the transactions contemplated by this document; (b) has such knowledge and experience in financial and business matters as to be capable of evaluating the merits and risks of its prospective investment in the Notes; and (c) has the ability to bear the economic risks of its prospective investment and can afford the complete loss of such investment.</w:t>
      </w:r>
    </w:p>
    <w:p w14:paraId="0876A7B7" w14:textId="139F7CAD" w:rsidR="00542FF4" w:rsidRPr="00571974" w:rsidRDefault="003D4D89" w:rsidP="003D4D89">
      <w:pPr>
        <w:pStyle w:val="ListParagraph"/>
        <w:widowControl/>
        <w:numPr>
          <w:ilvl w:val="0"/>
          <w:numId w:val="13"/>
        </w:numPr>
        <w:tabs>
          <w:tab w:val="left" w:pos="-720"/>
          <w:tab w:val="left" w:pos="0"/>
        </w:tabs>
        <w:suppressAutoHyphens/>
        <w:spacing w:after="240"/>
        <w:ind w:left="709" w:hanging="425"/>
        <w:rPr>
          <w:lang w:val="en-GB"/>
        </w:rPr>
      </w:pPr>
      <w:r w:rsidRPr="00571974">
        <w:rPr>
          <w:lang w:val="en-GB"/>
        </w:rPr>
        <w:t>By acceptance of a Note, each purchaser and subsequent transferee will be deemed to have represented and warranted that either (a) no portion of the assets used by such purchaser or transferee to acquire or hold the Notes constitutes assets of any employee benefit plan that is subject to Title I of the United States Employee Retirement Income Security Act of 1974, as amended (</w:t>
      </w:r>
      <w:r w:rsidR="00A311D8">
        <w:rPr>
          <w:lang w:val="en-GB"/>
        </w:rPr>
        <w:t>“</w:t>
      </w:r>
      <w:r w:rsidRPr="00571974">
        <w:rPr>
          <w:lang w:val="en-GB"/>
        </w:rPr>
        <w:t>ERISA</w:t>
      </w:r>
      <w:r w:rsidR="00A311D8">
        <w:rPr>
          <w:lang w:val="en-GB"/>
        </w:rPr>
        <w:t>”</w:t>
      </w:r>
      <w:r w:rsidRPr="00571974">
        <w:rPr>
          <w:lang w:val="en-GB"/>
        </w:rPr>
        <w:t xml:space="preserve">), a plan, individual retirement account or other arrangement that is subject to Section 4975 of the United States Internal Revenue Code of 1986, as amended (the </w:t>
      </w:r>
      <w:r w:rsidR="00A311D8">
        <w:rPr>
          <w:lang w:val="en-GB"/>
        </w:rPr>
        <w:t>“</w:t>
      </w:r>
      <w:r w:rsidRPr="00571974">
        <w:rPr>
          <w:lang w:val="en-GB"/>
        </w:rPr>
        <w:t>Code</w:t>
      </w:r>
      <w:r w:rsidR="00A311D8">
        <w:rPr>
          <w:lang w:val="en-GB"/>
        </w:rPr>
        <w:t>”</w:t>
      </w:r>
      <w:r w:rsidRPr="00571974">
        <w:rPr>
          <w:lang w:val="en-GB"/>
        </w:rPr>
        <w:t>) or provision under any federal, state, local, non-</w:t>
      </w:r>
      <w:r w:rsidR="006D150F" w:rsidRPr="00571974">
        <w:rPr>
          <w:lang w:val="en-GB"/>
        </w:rPr>
        <w:t>U.S.</w:t>
      </w:r>
      <w:r w:rsidRPr="00571974">
        <w:rPr>
          <w:lang w:val="en-GB"/>
        </w:rPr>
        <w:t xml:space="preserve"> or other laws, rules or regulations that are similar to such provisions or ERISA or the Code (collectively, </w:t>
      </w:r>
      <w:r w:rsidR="00A311D8">
        <w:rPr>
          <w:lang w:val="en-GB"/>
        </w:rPr>
        <w:t>“</w:t>
      </w:r>
      <w:r w:rsidRPr="00571974">
        <w:rPr>
          <w:lang w:val="en-GB"/>
        </w:rPr>
        <w:t>Similar Laws</w:t>
      </w:r>
      <w:r w:rsidR="00A311D8">
        <w:rPr>
          <w:lang w:val="en-GB"/>
        </w:rPr>
        <w:t>”</w:t>
      </w:r>
      <w:r w:rsidRPr="00571974">
        <w:rPr>
          <w:lang w:val="en-GB"/>
        </w:rPr>
        <w:t xml:space="preserve">) or entity whose underlying assets are considered to include </w:t>
      </w:r>
      <w:r w:rsidR="00A311D8">
        <w:rPr>
          <w:lang w:val="en-GB"/>
        </w:rPr>
        <w:t>“</w:t>
      </w:r>
      <w:r w:rsidRPr="00571974">
        <w:rPr>
          <w:lang w:val="en-GB"/>
        </w:rPr>
        <w:t>plan assets</w:t>
      </w:r>
      <w:r w:rsidR="00A311D8">
        <w:rPr>
          <w:lang w:val="en-GB"/>
        </w:rPr>
        <w:t>”</w:t>
      </w:r>
      <w:r w:rsidRPr="00571974">
        <w:rPr>
          <w:lang w:val="en-GB"/>
        </w:rPr>
        <w:t xml:space="preserve"> of any such plan, account or arrangement or (b) the purchase and holding of the Notes will not constitute a non-exempt prohibited transaction under Section 406 of ERISA or Section 4975 of the Code or a violation under any applicable Similar Laws.</w:t>
      </w:r>
    </w:p>
    <w:p w14:paraId="4B0CD585" w14:textId="77777777" w:rsidR="00542FF4" w:rsidRPr="00571974" w:rsidRDefault="003D4D89" w:rsidP="00542FF4">
      <w:pPr>
        <w:pStyle w:val="Heading1"/>
        <w:rPr>
          <w:lang w:val="en-GB"/>
        </w:rPr>
      </w:pPr>
      <w:r w:rsidRPr="00571974">
        <w:rPr>
          <w:lang w:val="en-GB"/>
        </w:rPr>
        <w:br w:type="page"/>
      </w:r>
      <w:bookmarkStart w:id="102" w:name="_Toc475546296"/>
      <w:bookmarkStart w:id="103" w:name="_Toc36388974"/>
      <w:r w:rsidRPr="00571974">
        <w:rPr>
          <w:lang w:val="en-GB"/>
        </w:rPr>
        <w:lastRenderedPageBreak/>
        <w:t>LEGAL MATTERS</w:t>
      </w:r>
      <w:bookmarkEnd w:id="102"/>
      <w:bookmarkEnd w:id="103"/>
    </w:p>
    <w:p w14:paraId="46683871" w14:textId="288ADDAA" w:rsidR="00542FF4" w:rsidRPr="00571974" w:rsidRDefault="00F7022D" w:rsidP="00542FF4">
      <w:pPr>
        <w:pStyle w:val="BodyText"/>
        <w:widowControl/>
        <w:autoSpaceDE/>
        <w:autoSpaceDN/>
        <w:adjustRightInd/>
        <w:ind w:firstLine="360"/>
        <w:rPr>
          <w:lang w:val="en-GB"/>
        </w:rPr>
      </w:pPr>
      <w:r w:rsidRPr="00571974">
        <w:rPr>
          <w:lang w:val="en-GB"/>
        </w:rPr>
        <w:t>Certain legal matters in connection with this offering will be passed upon for us by Shearman &amp; Sterling (London) LLP, as to matters of United States federal law, New York State law and English law. Certain legal matters in connection with this offering will be passed upon for the Initial Purchasers by Davis Polk &amp; Wardwell London LLP, as to matters of United States federal and New York State law.</w:t>
      </w:r>
    </w:p>
    <w:p w14:paraId="274A1AD3" w14:textId="77777777" w:rsidR="003A1501" w:rsidRPr="00571974" w:rsidRDefault="003D4D89" w:rsidP="003A1501">
      <w:pPr>
        <w:pStyle w:val="Heading1"/>
        <w:rPr>
          <w:lang w:val="en-GB"/>
        </w:rPr>
      </w:pPr>
      <w:r w:rsidRPr="00571974">
        <w:rPr>
          <w:lang w:val="en-GB"/>
        </w:rPr>
        <w:br w:type="page"/>
      </w:r>
      <w:bookmarkStart w:id="104" w:name="_Toc36388975"/>
      <w:bookmarkStart w:id="105" w:name="_Toc349210436"/>
      <w:bookmarkStart w:id="106" w:name="_Hlk31706755"/>
      <w:r w:rsidRPr="00571974">
        <w:rPr>
          <w:lang w:val="en-GB"/>
        </w:rPr>
        <w:lastRenderedPageBreak/>
        <w:t>INDEPENDENT AUDITORS</w:t>
      </w:r>
      <w:bookmarkEnd w:id="104"/>
    </w:p>
    <w:p w14:paraId="60F3C6F9" w14:textId="30B55825" w:rsidR="003A1501" w:rsidRPr="00571974" w:rsidRDefault="003D4D89" w:rsidP="003A1501">
      <w:pPr>
        <w:pStyle w:val="BodyText"/>
        <w:widowControl/>
        <w:autoSpaceDE/>
        <w:autoSpaceDN/>
        <w:adjustRightInd/>
        <w:ind w:firstLine="360"/>
        <w:rPr>
          <w:lang w:val="en-GB"/>
        </w:rPr>
      </w:pPr>
      <w:r w:rsidRPr="00571974">
        <w:rPr>
          <w:lang w:val="en-GB"/>
        </w:rPr>
        <w:t>The consolidated financial statements of the Group as at and for the year-ended December 31, 2019, for the year-ended December 31, 2018 and for the year-ended December 31, 2017, prepared in accordance with IFRS as adopted by the European Union have been audited by Deloitte LLP, independent auditors, as stated in their reports incorporated by reference herein.</w:t>
      </w:r>
      <w:r w:rsidRPr="00571974">
        <w:rPr>
          <w:noProof/>
          <w:lang w:val="en-GB"/>
        </w:rPr>
        <w:t xml:space="preserve"> </w:t>
      </w:r>
    </w:p>
    <w:p w14:paraId="032532C0" w14:textId="668C3AF8" w:rsidR="003A1501" w:rsidRPr="00571974" w:rsidRDefault="003D4D89" w:rsidP="003A1501">
      <w:pPr>
        <w:pStyle w:val="BodyText"/>
        <w:widowControl/>
        <w:autoSpaceDE/>
        <w:autoSpaceDN/>
        <w:adjustRightInd/>
        <w:ind w:firstLine="360"/>
        <w:rPr>
          <w:lang w:val="en-GB"/>
        </w:rPr>
      </w:pPr>
      <w:r w:rsidRPr="00571974">
        <w:rPr>
          <w:lang w:val="en-GB"/>
        </w:rPr>
        <w:t>The auditor</w:t>
      </w:r>
      <w:r w:rsidR="00A311D8">
        <w:rPr>
          <w:lang w:val="en-GB"/>
        </w:rPr>
        <w:t>’</w:t>
      </w:r>
      <w:r w:rsidRPr="00571974">
        <w:rPr>
          <w:lang w:val="en-GB"/>
        </w:rPr>
        <w:t xml:space="preserve">s reports, in accordance with guidance issued by The Institute of Chartered Accountants in England and Wales, include the following limitations: </w:t>
      </w:r>
      <w:r w:rsidR="00A311D8">
        <w:rPr>
          <w:lang w:val="en-GB"/>
        </w:rPr>
        <w:t>“</w:t>
      </w:r>
      <w:r w:rsidRPr="00571974">
        <w:rPr>
          <w:lang w:val="en-GB"/>
        </w:rPr>
        <w:t>This report is made solely to the company</w:t>
      </w:r>
      <w:r w:rsidR="00A311D8">
        <w:rPr>
          <w:lang w:val="en-GB"/>
        </w:rPr>
        <w:t>’</w:t>
      </w:r>
      <w:r w:rsidRPr="00571974">
        <w:rPr>
          <w:lang w:val="en-GB"/>
        </w:rPr>
        <w:t>s members, as a body, in accordance with Chapter 3 of Part 16 of the Companies Act 2006. Our audit work has been undertaken so that we might state to the company</w:t>
      </w:r>
      <w:r w:rsidR="00A311D8">
        <w:rPr>
          <w:lang w:val="en-GB"/>
        </w:rPr>
        <w:t>’</w:t>
      </w:r>
      <w:r w:rsidRPr="00571974">
        <w:rPr>
          <w:lang w:val="en-GB"/>
        </w:rPr>
        <w:t>s members those matters we are required to state to them in an auditor</w:t>
      </w:r>
      <w:r w:rsidR="00A311D8">
        <w:rPr>
          <w:lang w:val="en-GB"/>
        </w:rPr>
        <w:t>’</w:t>
      </w:r>
      <w:r w:rsidRPr="00571974">
        <w:rPr>
          <w:lang w:val="en-GB"/>
        </w:rPr>
        <w:t>s report and for no other purpose. To the fullest extent permitted by law, we do not accept or assume responsibility to anyone other than the company and the company</w:t>
      </w:r>
      <w:r w:rsidR="00A311D8">
        <w:rPr>
          <w:lang w:val="en-GB"/>
        </w:rPr>
        <w:t>’</w:t>
      </w:r>
      <w:r w:rsidRPr="00571974">
        <w:rPr>
          <w:lang w:val="en-GB"/>
        </w:rPr>
        <w:t>s members as a body, for our audit work, for this report, or for the opinions we have formed.</w:t>
      </w:r>
      <w:r w:rsidR="00A311D8">
        <w:rPr>
          <w:lang w:val="en-GB"/>
        </w:rPr>
        <w:t>”</w:t>
      </w:r>
    </w:p>
    <w:bookmarkEnd w:id="105"/>
    <w:p w14:paraId="45189FA1" w14:textId="77777777" w:rsidR="009850C2" w:rsidRPr="00571974" w:rsidRDefault="009850C2" w:rsidP="003A1501">
      <w:pPr>
        <w:pStyle w:val="Heading1"/>
        <w:rPr>
          <w:lang w:val="en-GB"/>
        </w:rPr>
      </w:pPr>
    </w:p>
    <w:p w14:paraId="5CB0BFF3" w14:textId="77777777" w:rsidR="00542FF4" w:rsidRPr="00571974" w:rsidRDefault="003D4D89" w:rsidP="00542FF4">
      <w:pPr>
        <w:pStyle w:val="Heading1"/>
        <w:rPr>
          <w:lang w:val="en-GB"/>
        </w:rPr>
      </w:pPr>
      <w:r w:rsidRPr="00571974">
        <w:rPr>
          <w:lang w:val="en-GB"/>
        </w:rPr>
        <w:br w:type="page"/>
      </w:r>
      <w:bookmarkStart w:id="107" w:name="_Toc349210437"/>
      <w:bookmarkStart w:id="108" w:name="_Toc36388976"/>
      <w:bookmarkEnd w:id="106"/>
      <w:r w:rsidRPr="00571974">
        <w:rPr>
          <w:lang w:val="en-GB"/>
        </w:rPr>
        <w:lastRenderedPageBreak/>
        <w:t>DESCRIPTION OF ANGLO AMERICAN CAPITAL PLC</w:t>
      </w:r>
      <w:bookmarkEnd w:id="107"/>
      <w:bookmarkEnd w:id="108"/>
    </w:p>
    <w:p w14:paraId="03C0C3AB" w14:textId="77777777" w:rsidR="00542FF4" w:rsidRPr="00571974" w:rsidRDefault="003D4D89" w:rsidP="00542FF4">
      <w:pPr>
        <w:pStyle w:val="Heading2"/>
        <w:rPr>
          <w:lang w:val="en-GB"/>
        </w:rPr>
      </w:pPr>
      <w:r w:rsidRPr="00571974">
        <w:rPr>
          <w:lang w:val="en-GB"/>
        </w:rPr>
        <w:t>Incorporation, Registered Office and Purpose</w:t>
      </w:r>
    </w:p>
    <w:p w14:paraId="151F2A4D" w14:textId="52CF4F94" w:rsidR="00542FF4" w:rsidRPr="00571974" w:rsidRDefault="00542FF4" w:rsidP="00542FF4">
      <w:pPr>
        <w:pStyle w:val="BodyText"/>
        <w:widowControl/>
        <w:autoSpaceDE/>
        <w:autoSpaceDN/>
        <w:adjustRightInd/>
        <w:ind w:firstLine="360"/>
        <w:rPr>
          <w:lang w:val="en-GB"/>
        </w:rPr>
      </w:pPr>
      <w:r w:rsidRPr="00571974">
        <w:rPr>
          <w:lang w:val="en-GB"/>
        </w:rPr>
        <w:t>Anglo American Capital, a wholly owned subsidiary of Anglo American, was incorporated and registered in England and Wales under the registered number 04658814 on February 6, 2003 and operates under the Companies Act 2006 as a public limited company. Its registered office is at 20 Carlton House Terrace, London SW1Y 5AN. Anglo American Capital was formed as a special purpose company solely for the purposes of issuing debt securities and has no subsidiaries.</w:t>
      </w:r>
    </w:p>
    <w:p w14:paraId="67A681C5" w14:textId="3FDA7CCA" w:rsidR="00542FF4" w:rsidRPr="00571974" w:rsidRDefault="003D4D89" w:rsidP="00542FF4">
      <w:pPr>
        <w:pStyle w:val="BodyText"/>
        <w:widowControl/>
        <w:autoSpaceDE/>
        <w:autoSpaceDN/>
        <w:adjustRightInd/>
        <w:ind w:firstLine="360"/>
        <w:rPr>
          <w:lang w:val="en-GB"/>
        </w:rPr>
      </w:pPr>
      <w:r w:rsidRPr="00571974">
        <w:rPr>
          <w:lang w:val="en-GB"/>
        </w:rPr>
        <w:t>Anglo American Capital</w:t>
      </w:r>
      <w:r w:rsidR="00A311D8">
        <w:rPr>
          <w:lang w:val="en-GB"/>
        </w:rPr>
        <w:t>’</w:t>
      </w:r>
      <w:r w:rsidRPr="00571974">
        <w:rPr>
          <w:lang w:val="en-GB"/>
        </w:rPr>
        <w:t xml:space="preserve">s authorized share capital is £50,000 and </w:t>
      </w:r>
      <w:r w:rsidR="003E1CBD" w:rsidRPr="00571974">
        <w:rPr>
          <w:lang w:val="en-GB"/>
        </w:rPr>
        <w:t>US$</w:t>
      </w:r>
      <w:r w:rsidRPr="00571974">
        <w:rPr>
          <w:lang w:val="en-GB"/>
        </w:rPr>
        <w:t xml:space="preserve">1,000,000,000 divided into 50,000 3% cumulative preference shares of £1.00 each and 1,000,000,000 ordinary shares of </w:t>
      </w:r>
      <w:r w:rsidR="003E1CBD" w:rsidRPr="00571974">
        <w:rPr>
          <w:lang w:val="en-GB"/>
        </w:rPr>
        <w:t>US$</w:t>
      </w:r>
      <w:r w:rsidRPr="00571974">
        <w:rPr>
          <w:lang w:val="en-GB"/>
        </w:rPr>
        <w:t xml:space="preserve">1.00 each, of which 50,000 cumulative preference shares and </w:t>
      </w:r>
      <w:r w:rsidR="00331240" w:rsidRPr="00571974">
        <w:rPr>
          <w:lang w:val="en-GB"/>
        </w:rPr>
        <w:t>5,700</w:t>
      </w:r>
      <w:r w:rsidRPr="00571974">
        <w:rPr>
          <w:lang w:val="en-GB"/>
        </w:rPr>
        <w:t xml:space="preserve"> ordinary shares are in issue and fully paid up. All of Anglo American Capital</w:t>
      </w:r>
      <w:r w:rsidR="00A311D8">
        <w:rPr>
          <w:lang w:val="en-GB"/>
        </w:rPr>
        <w:t>’</w:t>
      </w:r>
      <w:r w:rsidRPr="00571974">
        <w:rPr>
          <w:lang w:val="en-GB"/>
        </w:rPr>
        <w:t>s issued shares are beneficially owned by Anglo American.</w:t>
      </w:r>
    </w:p>
    <w:p w14:paraId="79CD4C70" w14:textId="77777777" w:rsidR="00542FF4" w:rsidRPr="00571974" w:rsidRDefault="003D4D89" w:rsidP="00542FF4">
      <w:pPr>
        <w:pStyle w:val="Heading2"/>
        <w:rPr>
          <w:lang w:val="en-GB"/>
        </w:rPr>
      </w:pPr>
      <w:r w:rsidRPr="00571974">
        <w:rPr>
          <w:lang w:val="en-GB"/>
        </w:rPr>
        <w:t>Board of Directors</w:t>
      </w:r>
    </w:p>
    <w:p w14:paraId="53FA57C7" w14:textId="3426D028" w:rsidR="00542FF4" w:rsidRPr="00571974" w:rsidRDefault="00542FF4" w:rsidP="00542FF4">
      <w:pPr>
        <w:pStyle w:val="BodyText"/>
        <w:widowControl/>
        <w:autoSpaceDE/>
        <w:autoSpaceDN/>
        <w:adjustRightInd/>
        <w:ind w:firstLine="360"/>
        <w:rPr>
          <w:lang w:val="en-GB"/>
        </w:rPr>
      </w:pPr>
      <w:r w:rsidRPr="00571974">
        <w:rPr>
          <w:lang w:val="en-GB"/>
        </w:rPr>
        <w:t>The Directors of Anglo American Capital and their functions and principal directorships outside Anglo American Capital are as follows:</w:t>
      </w:r>
    </w:p>
    <w:tbl>
      <w:tblPr>
        <w:tblW w:w="5000" w:type="pct"/>
        <w:jc w:val="center"/>
        <w:tblCellMar>
          <w:left w:w="72" w:type="dxa"/>
          <w:right w:w="72" w:type="dxa"/>
        </w:tblCellMar>
        <w:tblLook w:val="0000" w:firstRow="0" w:lastRow="0" w:firstColumn="0" w:lastColumn="0" w:noHBand="0" w:noVBand="0"/>
      </w:tblPr>
      <w:tblGrid>
        <w:gridCol w:w="3120"/>
        <w:gridCol w:w="3119"/>
        <w:gridCol w:w="3117"/>
      </w:tblGrid>
      <w:tr w:rsidR="002228B8" w14:paraId="54E52F57" w14:textId="77777777" w:rsidTr="007C63D0">
        <w:trPr>
          <w:cantSplit/>
          <w:jc w:val="center"/>
        </w:trPr>
        <w:tc>
          <w:tcPr>
            <w:tcW w:w="1667" w:type="pct"/>
            <w:tcBorders>
              <w:top w:val="nil"/>
              <w:left w:val="nil"/>
              <w:bottom w:val="nil"/>
              <w:right w:val="nil"/>
            </w:tcBorders>
            <w:vAlign w:val="bottom"/>
          </w:tcPr>
          <w:p w14:paraId="46064722" w14:textId="77777777" w:rsidR="00542FF4" w:rsidRPr="00571974" w:rsidRDefault="003D4D89" w:rsidP="007C63D0">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lang w:val="en-GB" w:eastAsia="en-GB" w:bidi="ar-SA"/>
              </w:rPr>
            </w:pPr>
            <w:r w:rsidRPr="00571974">
              <w:rPr>
                <w:b/>
                <w:bCs/>
                <w:sz w:val="18"/>
                <w:szCs w:val="18"/>
                <w:lang w:val="en-GB" w:eastAsia="en-GB" w:bidi="ar-SA"/>
              </w:rPr>
              <w:t>Name</w:t>
            </w:r>
            <w:r w:rsidR="003E0621" w:rsidRPr="00571974">
              <w:rPr>
                <w:vertAlign w:val="superscript"/>
                <w:lang w:val="en-GB" w:eastAsia="en-GB" w:bidi="ar-SA"/>
              </w:rPr>
              <w:t>(1)</w:t>
            </w:r>
          </w:p>
        </w:tc>
        <w:tc>
          <w:tcPr>
            <w:tcW w:w="1667" w:type="pct"/>
            <w:tcBorders>
              <w:top w:val="nil"/>
              <w:left w:val="nil"/>
              <w:bottom w:val="nil"/>
              <w:right w:val="nil"/>
            </w:tcBorders>
            <w:vAlign w:val="bottom"/>
          </w:tcPr>
          <w:p w14:paraId="79E3B505" w14:textId="77777777" w:rsidR="00542FF4" w:rsidRPr="00571974" w:rsidRDefault="003D4D89" w:rsidP="007C63D0">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Title</w:t>
            </w:r>
          </w:p>
        </w:tc>
        <w:tc>
          <w:tcPr>
            <w:tcW w:w="1666" w:type="pct"/>
            <w:tcBorders>
              <w:top w:val="nil"/>
              <w:left w:val="nil"/>
              <w:bottom w:val="nil"/>
              <w:right w:val="nil"/>
            </w:tcBorders>
            <w:vAlign w:val="bottom"/>
          </w:tcPr>
          <w:p w14:paraId="2FA48092" w14:textId="77777777" w:rsidR="00542FF4" w:rsidRPr="00571974" w:rsidRDefault="003D4D89" w:rsidP="007C63D0">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8"/>
                <w:szCs w:val="18"/>
                <w:lang w:val="en-GB" w:eastAsia="en-GB" w:bidi="ar-SA"/>
              </w:rPr>
            </w:pPr>
            <w:r w:rsidRPr="00571974">
              <w:rPr>
                <w:b/>
                <w:bCs/>
                <w:sz w:val="18"/>
                <w:szCs w:val="18"/>
                <w:lang w:val="en-GB" w:eastAsia="en-GB" w:bidi="ar-SA"/>
              </w:rPr>
              <w:t xml:space="preserve">Principal </w:t>
            </w:r>
            <w:r w:rsidR="00286370" w:rsidRPr="00571974">
              <w:rPr>
                <w:b/>
                <w:bCs/>
                <w:sz w:val="18"/>
                <w:szCs w:val="18"/>
                <w:lang w:val="en-GB" w:eastAsia="en-GB" w:bidi="ar-SA"/>
              </w:rPr>
              <w:t>D</w:t>
            </w:r>
            <w:r w:rsidRPr="00571974">
              <w:rPr>
                <w:b/>
                <w:bCs/>
                <w:sz w:val="18"/>
                <w:szCs w:val="18"/>
                <w:lang w:val="en-GB" w:eastAsia="en-GB" w:bidi="ar-SA"/>
              </w:rPr>
              <w:t>irectorships outside</w:t>
            </w:r>
            <w:r w:rsidRPr="00571974">
              <w:rPr>
                <w:b/>
                <w:bCs/>
                <w:sz w:val="18"/>
                <w:szCs w:val="18"/>
                <w:lang w:val="en-GB" w:eastAsia="en-GB" w:bidi="ar-SA"/>
              </w:rPr>
              <w:br/>
              <w:t>Anglo American Capital</w:t>
            </w:r>
          </w:p>
        </w:tc>
      </w:tr>
      <w:tr w:rsidR="002228B8" w14:paraId="120B3870" w14:textId="77777777" w:rsidTr="007C63D0">
        <w:trPr>
          <w:cantSplit/>
          <w:jc w:val="center"/>
        </w:trPr>
        <w:tc>
          <w:tcPr>
            <w:tcW w:w="1667" w:type="pct"/>
            <w:tcBorders>
              <w:top w:val="nil"/>
              <w:left w:val="nil"/>
              <w:bottom w:val="nil"/>
              <w:right w:val="nil"/>
            </w:tcBorders>
          </w:tcPr>
          <w:p w14:paraId="7755EF53" w14:textId="77777777" w:rsidR="00542FF4" w:rsidRPr="00571974" w:rsidRDefault="00542FF4" w:rsidP="007C63D0">
            <w:pPr>
              <w:widowControl/>
              <w:tabs>
                <w:tab w:val="right" w:leader="dot" w:pos="3260"/>
              </w:tabs>
              <w:suppressAutoHyphens/>
              <w:ind w:left="200" w:hanging="200"/>
              <w:rPr>
                <w:sz w:val="18"/>
                <w:szCs w:val="18"/>
                <w:lang w:val="en-GB" w:eastAsia="en-GB" w:bidi="ar-SA"/>
              </w:rPr>
            </w:pPr>
          </w:p>
        </w:tc>
        <w:tc>
          <w:tcPr>
            <w:tcW w:w="1667" w:type="pct"/>
            <w:tcBorders>
              <w:top w:val="nil"/>
              <w:left w:val="nil"/>
              <w:bottom w:val="nil"/>
              <w:right w:val="nil"/>
            </w:tcBorders>
            <w:vAlign w:val="bottom"/>
          </w:tcPr>
          <w:p w14:paraId="36CB315F" w14:textId="77777777" w:rsidR="00542FF4" w:rsidRPr="00571974" w:rsidRDefault="00542FF4"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p>
        </w:tc>
        <w:tc>
          <w:tcPr>
            <w:tcW w:w="1666" w:type="pct"/>
            <w:tcBorders>
              <w:top w:val="nil"/>
              <w:left w:val="nil"/>
              <w:bottom w:val="nil"/>
              <w:right w:val="nil"/>
            </w:tcBorders>
            <w:vAlign w:val="bottom"/>
          </w:tcPr>
          <w:p w14:paraId="2C31EAD8" w14:textId="77777777" w:rsidR="00542FF4" w:rsidRPr="00571974" w:rsidRDefault="00542FF4"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p>
        </w:tc>
      </w:tr>
      <w:tr w:rsidR="002228B8" w14:paraId="139FA9F9" w14:textId="77777777" w:rsidTr="007C63D0">
        <w:trPr>
          <w:cantSplit/>
          <w:jc w:val="center"/>
        </w:trPr>
        <w:tc>
          <w:tcPr>
            <w:tcW w:w="1667" w:type="pct"/>
            <w:tcBorders>
              <w:top w:val="nil"/>
              <w:left w:val="nil"/>
              <w:bottom w:val="nil"/>
              <w:right w:val="nil"/>
            </w:tcBorders>
          </w:tcPr>
          <w:p w14:paraId="5380DD9A" w14:textId="77777777" w:rsidR="00542FF4" w:rsidRPr="00571974" w:rsidRDefault="003D4D89" w:rsidP="007C63D0">
            <w:pPr>
              <w:widowControl/>
              <w:tabs>
                <w:tab w:val="right" w:leader="dot" w:pos="3260"/>
              </w:tabs>
              <w:suppressAutoHyphens/>
              <w:ind w:left="200" w:hanging="200"/>
              <w:rPr>
                <w:sz w:val="18"/>
                <w:szCs w:val="18"/>
                <w:highlight w:val="yellow"/>
                <w:lang w:val="en-GB" w:eastAsia="en-GB" w:bidi="ar-SA"/>
              </w:rPr>
            </w:pPr>
            <w:r w:rsidRPr="00571974">
              <w:rPr>
                <w:sz w:val="18"/>
                <w:szCs w:val="18"/>
                <w:lang w:val="en-GB" w:eastAsia="en-GB" w:bidi="ar-SA"/>
              </w:rPr>
              <w:t>Alan Macpherson</w:t>
            </w:r>
            <w:r w:rsidRPr="00571974">
              <w:rPr>
                <w:sz w:val="18"/>
                <w:szCs w:val="18"/>
                <w:lang w:val="en-GB" w:eastAsia="en-GB" w:bidi="ar-SA"/>
              </w:rPr>
              <w:tab/>
            </w:r>
          </w:p>
        </w:tc>
        <w:tc>
          <w:tcPr>
            <w:tcW w:w="1667" w:type="pct"/>
            <w:tcBorders>
              <w:top w:val="nil"/>
              <w:left w:val="nil"/>
              <w:bottom w:val="nil"/>
              <w:right w:val="nil"/>
            </w:tcBorders>
            <w:vAlign w:val="bottom"/>
          </w:tcPr>
          <w:p w14:paraId="11C250A3" w14:textId="77777777" w:rsidR="00542FF4" w:rsidRPr="00571974" w:rsidRDefault="003D4D89"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highlight w:val="yellow"/>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669C4212" w14:textId="77777777" w:rsidR="00542FF4" w:rsidRPr="00571974" w:rsidRDefault="003D4D89"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highlight w:val="yellow"/>
                <w:lang w:val="en-GB" w:eastAsia="en-GB" w:bidi="ar-SA"/>
              </w:rPr>
            </w:pPr>
            <w:r w:rsidRPr="00571974">
              <w:rPr>
                <w:sz w:val="18"/>
                <w:szCs w:val="18"/>
                <w:lang w:val="en-GB" w:eastAsia="en-GB" w:bidi="ar-SA"/>
              </w:rPr>
              <w:t>None</w:t>
            </w:r>
          </w:p>
        </w:tc>
      </w:tr>
      <w:tr w:rsidR="002228B8" w14:paraId="35B1A72A" w14:textId="77777777" w:rsidTr="007C63D0">
        <w:trPr>
          <w:cantSplit/>
          <w:jc w:val="center"/>
        </w:trPr>
        <w:tc>
          <w:tcPr>
            <w:tcW w:w="1667" w:type="pct"/>
            <w:tcBorders>
              <w:top w:val="nil"/>
              <w:left w:val="nil"/>
              <w:bottom w:val="nil"/>
              <w:right w:val="nil"/>
            </w:tcBorders>
          </w:tcPr>
          <w:p w14:paraId="6F486B7A" w14:textId="77777777" w:rsidR="00C856D9" w:rsidRPr="00571974" w:rsidRDefault="003D4D89" w:rsidP="00C856D9">
            <w:pPr>
              <w:widowControl/>
              <w:tabs>
                <w:tab w:val="right" w:leader="dot" w:pos="3260"/>
              </w:tabs>
              <w:suppressAutoHyphens/>
              <w:ind w:left="200" w:hanging="200"/>
              <w:rPr>
                <w:sz w:val="18"/>
                <w:szCs w:val="18"/>
                <w:lang w:val="en-GB" w:eastAsia="en-GB" w:bidi="ar-SA"/>
              </w:rPr>
            </w:pPr>
            <w:r w:rsidRPr="00571974">
              <w:rPr>
                <w:sz w:val="18"/>
                <w:szCs w:val="18"/>
                <w:lang w:val="en-GB" w:eastAsia="en-GB" w:bidi="ar-SA"/>
              </w:rPr>
              <w:t>Stephen Pearce</w:t>
            </w:r>
            <w:r w:rsidRPr="00571974">
              <w:rPr>
                <w:sz w:val="18"/>
                <w:szCs w:val="18"/>
                <w:lang w:val="en-GB" w:eastAsia="en-GB" w:bidi="ar-SA"/>
              </w:rPr>
              <w:tab/>
            </w:r>
          </w:p>
        </w:tc>
        <w:tc>
          <w:tcPr>
            <w:tcW w:w="1667" w:type="pct"/>
            <w:tcBorders>
              <w:top w:val="nil"/>
              <w:left w:val="nil"/>
              <w:bottom w:val="nil"/>
              <w:right w:val="nil"/>
            </w:tcBorders>
            <w:vAlign w:val="bottom"/>
          </w:tcPr>
          <w:p w14:paraId="48502619" w14:textId="77777777" w:rsidR="00C856D9"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45D273CF" w14:textId="77777777" w:rsidR="00C856D9"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 xml:space="preserve">Anglo </w:t>
            </w:r>
            <w:r w:rsidR="00A35370" w:rsidRPr="00571974">
              <w:rPr>
                <w:sz w:val="18"/>
                <w:szCs w:val="18"/>
                <w:lang w:val="en-GB" w:eastAsia="en-GB" w:bidi="ar-SA"/>
              </w:rPr>
              <w:t>American</w:t>
            </w:r>
            <w:r w:rsidR="009101AA" w:rsidRPr="00571974">
              <w:rPr>
                <w:sz w:val="18"/>
                <w:szCs w:val="18"/>
                <w:lang w:val="en-GB" w:eastAsia="en-GB" w:bidi="ar-SA"/>
              </w:rPr>
              <w:t xml:space="preserve"> p</w:t>
            </w:r>
            <w:r w:rsidRPr="00571974">
              <w:rPr>
                <w:sz w:val="18"/>
                <w:szCs w:val="18"/>
                <w:lang w:val="en-GB" w:eastAsia="en-GB" w:bidi="ar-SA"/>
              </w:rPr>
              <w:t>lc</w:t>
            </w:r>
          </w:p>
        </w:tc>
      </w:tr>
      <w:tr w:rsidR="002228B8" w14:paraId="09D78167" w14:textId="77777777" w:rsidTr="007C63D0">
        <w:trPr>
          <w:cantSplit/>
          <w:jc w:val="center"/>
        </w:trPr>
        <w:tc>
          <w:tcPr>
            <w:tcW w:w="1667" w:type="pct"/>
            <w:tcBorders>
              <w:top w:val="nil"/>
              <w:left w:val="nil"/>
              <w:bottom w:val="nil"/>
              <w:right w:val="nil"/>
            </w:tcBorders>
          </w:tcPr>
          <w:p w14:paraId="7B66BD5D" w14:textId="77777777" w:rsidR="00C856D9" w:rsidRPr="00571974" w:rsidRDefault="003D4D89" w:rsidP="00C856D9">
            <w:pPr>
              <w:widowControl/>
              <w:tabs>
                <w:tab w:val="right" w:leader="dot" w:pos="3260"/>
              </w:tabs>
              <w:suppressAutoHyphens/>
              <w:ind w:left="200" w:hanging="200"/>
              <w:rPr>
                <w:sz w:val="18"/>
                <w:szCs w:val="18"/>
                <w:highlight w:val="yellow"/>
                <w:lang w:val="en-GB" w:eastAsia="en-GB" w:bidi="ar-SA"/>
              </w:rPr>
            </w:pPr>
            <w:r w:rsidRPr="00571974">
              <w:rPr>
                <w:sz w:val="18"/>
                <w:szCs w:val="18"/>
                <w:lang w:val="en-GB" w:eastAsia="en-GB" w:bidi="ar-SA"/>
              </w:rPr>
              <w:t>Clare Davage</w:t>
            </w:r>
            <w:r w:rsidRPr="00571974">
              <w:rPr>
                <w:sz w:val="18"/>
                <w:szCs w:val="18"/>
                <w:lang w:val="en-GB" w:eastAsia="en-GB" w:bidi="ar-SA"/>
              </w:rPr>
              <w:tab/>
            </w:r>
          </w:p>
        </w:tc>
        <w:tc>
          <w:tcPr>
            <w:tcW w:w="1667" w:type="pct"/>
            <w:tcBorders>
              <w:top w:val="nil"/>
              <w:left w:val="nil"/>
              <w:bottom w:val="nil"/>
              <w:right w:val="nil"/>
            </w:tcBorders>
            <w:vAlign w:val="bottom"/>
          </w:tcPr>
          <w:p w14:paraId="2F7B8116" w14:textId="77777777" w:rsidR="00C856D9"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3013FCD7" w14:textId="77777777" w:rsidR="00C856D9"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None</w:t>
            </w:r>
          </w:p>
        </w:tc>
      </w:tr>
      <w:tr w:rsidR="002228B8" w14:paraId="73C817AE" w14:textId="77777777" w:rsidTr="007C63D0">
        <w:trPr>
          <w:cantSplit/>
          <w:jc w:val="center"/>
        </w:trPr>
        <w:tc>
          <w:tcPr>
            <w:tcW w:w="1667" w:type="pct"/>
            <w:tcBorders>
              <w:top w:val="nil"/>
              <w:left w:val="nil"/>
              <w:bottom w:val="nil"/>
              <w:right w:val="nil"/>
            </w:tcBorders>
          </w:tcPr>
          <w:p w14:paraId="2B8BEFDC" w14:textId="77777777" w:rsidR="00DD11F1" w:rsidRPr="00571974" w:rsidRDefault="003D4D89" w:rsidP="00C856D9">
            <w:pPr>
              <w:widowControl/>
              <w:tabs>
                <w:tab w:val="right" w:leader="dot" w:pos="3260"/>
              </w:tabs>
              <w:suppressAutoHyphens/>
              <w:ind w:left="200" w:hanging="200"/>
              <w:rPr>
                <w:sz w:val="18"/>
                <w:szCs w:val="18"/>
                <w:lang w:val="en-GB" w:eastAsia="en-GB" w:bidi="ar-SA"/>
              </w:rPr>
            </w:pPr>
            <w:r w:rsidRPr="00571974">
              <w:rPr>
                <w:sz w:val="18"/>
                <w:szCs w:val="18"/>
                <w:lang w:val="en-GB" w:eastAsia="en-GB" w:bidi="ar-SA"/>
              </w:rPr>
              <w:t>Ellie Klonarides</w:t>
            </w:r>
            <w:r w:rsidRPr="00571974">
              <w:rPr>
                <w:sz w:val="18"/>
                <w:szCs w:val="18"/>
                <w:lang w:val="en-GB" w:eastAsia="en-GB" w:bidi="ar-SA"/>
              </w:rPr>
              <w:tab/>
            </w:r>
          </w:p>
        </w:tc>
        <w:tc>
          <w:tcPr>
            <w:tcW w:w="1667" w:type="pct"/>
            <w:tcBorders>
              <w:top w:val="nil"/>
              <w:left w:val="nil"/>
              <w:bottom w:val="nil"/>
              <w:right w:val="nil"/>
            </w:tcBorders>
            <w:vAlign w:val="bottom"/>
          </w:tcPr>
          <w:p w14:paraId="327DA18A" w14:textId="77777777" w:rsidR="00DD11F1"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18AB0413" w14:textId="77777777" w:rsidR="00DD11F1"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None</w:t>
            </w:r>
          </w:p>
        </w:tc>
      </w:tr>
      <w:tr w:rsidR="002228B8" w14:paraId="6F0FB289" w14:textId="77777777" w:rsidTr="007C63D0">
        <w:trPr>
          <w:cantSplit/>
          <w:jc w:val="center"/>
        </w:trPr>
        <w:tc>
          <w:tcPr>
            <w:tcW w:w="1667" w:type="pct"/>
            <w:tcBorders>
              <w:top w:val="nil"/>
              <w:left w:val="nil"/>
              <w:bottom w:val="nil"/>
              <w:right w:val="nil"/>
            </w:tcBorders>
          </w:tcPr>
          <w:p w14:paraId="5E4152B0" w14:textId="67457F2A" w:rsidR="00D85AF2" w:rsidRPr="00571974" w:rsidRDefault="003D4D89" w:rsidP="00C856D9">
            <w:pPr>
              <w:widowControl/>
              <w:tabs>
                <w:tab w:val="right" w:leader="dot" w:pos="3260"/>
              </w:tabs>
              <w:suppressAutoHyphens/>
              <w:ind w:left="200" w:hanging="200"/>
              <w:rPr>
                <w:sz w:val="18"/>
                <w:szCs w:val="18"/>
                <w:lang w:val="en-GB" w:eastAsia="en-GB" w:bidi="ar-SA"/>
              </w:rPr>
            </w:pPr>
            <w:r w:rsidRPr="00571974">
              <w:rPr>
                <w:sz w:val="18"/>
                <w:szCs w:val="18"/>
                <w:lang w:val="en-GB" w:eastAsia="en-GB" w:bidi="ar-SA"/>
              </w:rPr>
              <w:t>Richard Price</w:t>
            </w:r>
            <w:r w:rsidR="003E0621" w:rsidRPr="00571974">
              <w:rPr>
                <w:sz w:val="18"/>
                <w:szCs w:val="18"/>
                <w:lang w:val="en-GB" w:eastAsia="en-GB" w:bidi="ar-SA"/>
              </w:rPr>
              <w:tab/>
            </w:r>
          </w:p>
        </w:tc>
        <w:tc>
          <w:tcPr>
            <w:tcW w:w="1667" w:type="pct"/>
            <w:tcBorders>
              <w:top w:val="nil"/>
              <w:left w:val="nil"/>
              <w:bottom w:val="nil"/>
              <w:right w:val="nil"/>
            </w:tcBorders>
            <w:vAlign w:val="bottom"/>
          </w:tcPr>
          <w:p w14:paraId="0B0E1A1C" w14:textId="77777777" w:rsidR="00D85AF2"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370C546D" w14:textId="77777777" w:rsidR="00D85AF2" w:rsidRPr="00571974" w:rsidRDefault="003D4D89" w:rsidP="00C856D9">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None</w:t>
            </w:r>
          </w:p>
        </w:tc>
      </w:tr>
      <w:tr w:rsidR="002228B8" w14:paraId="505A987D" w14:textId="77777777" w:rsidTr="007C63D0">
        <w:trPr>
          <w:cantSplit/>
          <w:jc w:val="center"/>
        </w:trPr>
        <w:tc>
          <w:tcPr>
            <w:tcW w:w="1667" w:type="pct"/>
            <w:tcBorders>
              <w:top w:val="nil"/>
              <w:left w:val="nil"/>
              <w:bottom w:val="nil"/>
              <w:right w:val="nil"/>
            </w:tcBorders>
          </w:tcPr>
          <w:p w14:paraId="484122E9" w14:textId="70775A7D" w:rsidR="005356C6" w:rsidRPr="00571974" w:rsidRDefault="003D4D89" w:rsidP="005356C6">
            <w:pPr>
              <w:widowControl/>
              <w:tabs>
                <w:tab w:val="right" w:leader="dot" w:pos="3260"/>
              </w:tabs>
              <w:suppressAutoHyphens/>
              <w:ind w:left="200" w:hanging="200"/>
              <w:rPr>
                <w:sz w:val="18"/>
                <w:szCs w:val="18"/>
                <w:lang w:val="en-GB" w:eastAsia="en-GB" w:bidi="ar-SA"/>
              </w:rPr>
            </w:pPr>
            <w:r w:rsidRPr="00571974">
              <w:rPr>
                <w:sz w:val="18"/>
                <w:szCs w:val="18"/>
                <w:lang w:val="en-GB" w:eastAsia="en-GB" w:bidi="ar-SA"/>
              </w:rPr>
              <w:t>Matthew Walker</w:t>
            </w:r>
            <w:r w:rsidR="003E0621" w:rsidRPr="00571974">
              <w:rPr>
                <w:sz w:val="18"/>
                <w:szCs w:val="18"/>
                <w:lang w:val="en-GB" w:eastAsia="en-GB" w:bidi="ar-SA"/>
              </w:rPr>
              <w:tab/>
            </w:r>
          </w:p>
        </w:tc>
        <w:tc>
          <w:tcPr>
            <w:tcW w:w="1667" w:type="pct"/>
            <w:tcBorders>
              <w:top w:val="nil"/>
              <w:left w:val="nil"/>
              <w:bottom w:val="nil"/>
              <w:right w:val="nil"/>
            </w:tcBorders>
            <w:vAlign w:val="bottom"/>
          </w:tcPr>
          <w:p w14:paraId="05E52947" w14:textId="77777777" w:rsidR="005356C6" w:rsidRPr="00571974" w:rsidRDefault="003D4D89" w:rsidP="005356C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436D3A19" w14:textId="77777777" w:rsidR="005356C6" w:rsidRPr="00571974" w:rsidRDefault="003D4D89" w:rsidP="005356C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None</w:t>
            </w:r>
          </w:p>
        </w:tc>
      </w:tr>
      <w:tr w:rsidR="00DD2997" w14:paraId="0EA1F5B0" w14:textId="77777777" w:rsidTr="007C63D0">
        <w:trPr>
          <w:cantSplit/>
          <w:jc w:val="center"/>
        </w:trPr>
        <w:tc>
          <w:tcPr>
            <w:tcW w:w="1667" w:type="pct"/>
            <w:tcBorders>
              <w:top w:val="nil"/>
              <w:left w:val="nil"/>
              <w:bottom w:val="nil"/>
              <w:right w:val="nil"/>
            </w:tcBorders>
          </w:tcPr>
          <w:p w14:paraId="772070B2" w14:textId="2DD767EB" w:rsidR="00DD2997" w:rsidRPr="00571974" w:rsidRDefault="00A85CF9" w:rsidP="00DD2997">
            <w:pPr>
              <w:widowControl/>
              <w:tabs>
                <w:tab w:val="right" w:leader="dot" w:pos="3260"/>
              </w:tabs>
              <w:suppressAutoHyphens/>
              <w:ind w:left="200" w:hanging="200"/>
              <w:rPr>
                <w:sz w:val="18"/>
                <w:szCs w:val="18"/>
                <w:lang w:val="en-GB" w:eastAsia="en-GB" w:bidi="ar-SA"/>
              </w:rPr>
            </w:pPr>
            <w:r>
              <w:rPr>
                <w:sz w:val="18"/>
                <w:szCs w:val="18"/>
                <w:lang w:val="en-GB" w:eastAsia="en-GB" w:bidi="ar-SA"/>
              </w:rPr>
              <w:t xml:space="preserve">Zahira Quattrocchi </w:t>
            </w:r>
            <w:r w:rsidR="00DD2997" w:rsidRPr="00571974">
              <w:rPr>
                <w:vertAlign w:val="superscript"/>
                <w:lang w:val="en-GB" w:eastAsia="en-GB" w:bidi="ar-SA"/>
              </w:rPr>
              <w:t>(2)</w:t>
            </w:r>
            <w:r w:rsidR="00DD2997">
              <w:rPr>
                <w:vertAlign w:val="superscript"/>
                <w:lang w:val="en-GB" w:eastAsia="en-GB" w:bidi="ar-SA"/>
              </w:rPr>
              <w:t xml:space="preserve"> </w:t>
            </w:r>
            <w:r w:rsidR="00DD2997" w:rsidRPr="00571974">
              <w:rPr>
                <w:sz w:val="18"/>
                <w:szCs w:val="18"/>
                <w:lang w:val="en-GB" w:eastAsia="en-GB" w:bidi="ar-SA"/>
              </w:rPr>
              <w:tab/>
            </w:r>
          </w:p>
        </w:tc>
        <w:tc>
          <w:tcPr>
            <w:tcW w:w="1667" w:type="pct"/>
            <w:tcBorders>
              <w:top w:val="nil"/>
              <w:left w:val="nil"/>
              <w:bottom w:val="nil"/>
              <w:right w:val="nil"/>
            </w:tcBorders>
            <w:vAlign w:val="bottom"/>
          </w:tcPr>
          <w:p w14:paraId="329047F6" w14:textId="3E8BB2C2" w:rsidR="00DD2997" w:rsidRPr="00571974" w:rsidRDefault="00DD2997" w:rsidP="00DD2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64258666" w14:textId="10559E30" w:rsidR="00DD2997" w:rsidRPr="00571974" w:rsidRDefault="00DD2997" w:rsidP="00DD2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None</w:t>
            </w:r>
          </w:p>
        </w:tc>
      </w:tr>
      <w:tr w:rsidR="00DD2997" w14:paraId="1340844F" w14:textId="77777777" w:rsidTr="007C63D0">
        <w:trPr>
          <w:cantSplit/>
          <w:jc w:val="center"/>
        </w:trPr>
        <w:tc>
          <w:tcPr>
            <w:tcW w:w="1667" w:type="pct"/>
            <w:tcBorders>
              <w:top w:val="nil"/>
              <w:left w:val="nil"/>
              <w:bottom w:val="nil"/>
              <w:right w:val="nil"/>
            </w:tcBorders>
          </w:tcPr>
          <w:p w14:paraId="6B190ED4" w14:textId="3BBA7B9C" w:rsidR="00DD2997" w:rsidRPr="00571974" w:rsidRDefault="00A85CF9" w:rsidP="00DD2997">
            <w:pPr>
              <w:widowControl/>
              <w:tabs>
                <w:tab w:val="right" w:leader="dot" w:pos="3260"/>
              </w:tabs>
              <w:suppressAutoHyphens/>
              <w:ind w:left="200" w:hanging="200"/>
              <w:rPr>
                <w:sz w:val="18"/>
                <w:szCs w:val="18"/>
                <w:lang w:val="en-GB" w:eastAsia="en-GB" w:bidi="ar-SA"/>
              </w:rPr>
            </w:pPr>
            <w:r>
              <w:rPr>
                <w:sz w:val="18"/>
                <w:szCs w:val="18"/>
                <w:lang w:val="en-GB" w:eastAsia="en-GB" w:bidi="ar-SA"/>
              </w:rPr>
              <w:t>Aaron Field</w:t>
            </w:r>
            <w:r w:rsidDel="00A85CF9">
              <w:rPr>
                <w:sz w:val="18"/>
                <w:szCs w:val="18"/>
                <w:lang w:val="en-GB" w:eastAsia="en-GB" w:bidi="ar-SA"/>
              </w:rPr>
              <w:t xml:space="preserve"> </w:t>
            </w:r>
            <w:r w:rsidR="00DD2997" w:rsidRPr="00571974">
              <w:rPr>
                <w:vertAlign w:val="superscript"/>
                <w:lang w:val="en-GB" w:eastAsia="en-GB" w:bidi="ar-SA"/>
              </w:rPr>
              <w:t>(3)</w:t>
            </w:r>
            <w:r w:rsidR="00DD2997">
              <w:rPr>
                <w:vertAlign w:val="superscript"/>
                <w:lang w:val="en-GB" w:eastAsia="en-GB" w:bidi="ar-SA"/>
              </w:rPr>
              <w:t xml:space="preserve"> </w:t>
            </w:r>
            <w:r w:rsidR="00DD2997" w:rsidRPr="00571974">
              <w:rPr>
                <w:sz w:val="18"/>
                <w:szCs w:val="18"/>
                <w:lang w:val="en-GB" w:eastAsia="en-GB" w:bidi="ar-SA"/>
              </w:rPr>
              <w:tab/>
            </w:r>
          </w:p>
        </w:tc>
        <w:tc>
          <w:tcPr>
            <w:tcW w:w="1667" w:type="pct"/>
            <w:tcBorders>
              <w:top w:val="nil"/>
              <w:left w:val="nil"/>
              <w:bottom w:val="nil"/>
              <w:right w:val="nil"/>
            </w:tcBorders>
            <w:vAlign w:val="bottom"/>
          </w:tcPr>
          <w:p w14:paraId="3B5AD812" w14:textId="44FB0B2B" w:rsidR="00DD2997" w:rsidRPr="00571974" w:rsidRDefault="00DD2997" w:rsidP="00DD2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Director</w:t>
            </w:r>
          </w:p>
        </w:tc>
        <w:tc>
          <w:tcPr>
            <w:tcW w:w="1666" w:type="pct"/>
            <w:tcBorders>
              <w:top w:val="nil"/>
              <w:left w:val="nil"/>
              <w:bottom w:val="nil"/>
              <w:right w:val="nil"/>
            </w:tcBorders>
            <w:vAlign w:val="bottom"/>
          </w:tcPr>
          <w:p w14:paraId="27200A86" w14:textId="6DE8565F" w:rsidR="00DD2997" w:rsidRPr="00571974" w:rsidRDefault="00DD2997" w:rsidP="00DD2997">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sz w:val="18"/>
                <w:szCs w:val="18"/>
                <w:lang w:val="en-GB" w:eastAsia="en-GB" w:bidi="ar-SA"/>
              </w:rPr>
            </w:pPr>
            <w:r w:rsidRPr="00571974">
              <w:rPr>
                <w:sz w:val="18"/>
                <w:szCs w:val="18"/>
                <w:lang w:val="en-GB" w:eastAsia="en-GB" w:bidi="ar-SA"/>
              </w:rPr>
              <w:t>None</w:t>
            </w:r>
          </w:p>
        </w:tc>
      </w:tr>
    </w:tbl>
    <w:p w14:paraId="3E98D139" w14:textId="77777777" w:rsidR="000B4C47" w:rsidRPr="00571974" w:rsidRDefault="00836D74" w:rsidP="00672ABA">
      <w:pPr>
        <w:pStyle w:val="BodyText"/>
        <w:widowControl/>
        <w:autoSpaceDE/>
        <w:autoSpaceDN/>
        <w:adjustRightInd/>
        <w:rPr>
          <w:sz w:val="16"/>
          <w:szCs w:val="18"/>
          <w:highlight w:val="yellow"/>
          <w:lang w:val="en-GB"/>
        </w:rPr>
      </w:pPr>
      <w:r>
        <w:rPr>
          <w:lang w:val="en-GB"/>
        </w:rPr>
        <w:pict w14:anchorId="2E76B985">
          <v:rect id="_x0000_i1059" style="width:184.5pt;height:1pt" o:hrpct="250" o:hrstd="t" o:hrnoshade="t" o:hr="t" fillcolor="black" stroked="f"/>
        </w:pict>
      </w:r>
    </w:p>
    <w:p w14:paraId="079F3B12" w14:textId="7FFB571B" w:rsidR="004C704E" w:rsidRPr="00571974" w:rsidRDefault="000772BD" w:rsidP="003D4D89">
      <w:pPr>
        <w:widowControl/>
        <w:numPr>
          <w:ilvl w:val="0"/>
          <w:numId w:val="42"/>
        </w:numPr>
        <w:tabs>
          <w:tab w:val="left" w:pos="-720"/>
          <w:tab w:val="left" w:pos="0"/>
        </w:tabs>
        <w:suppressAutoHyphens/>
        <w:ind w:left="284" w:hanging="284"/>
        <w:rPr>
          <w:sz w:val="16"/>
          <w:szCs w:val="18"/>
          <w:lang w:val="en-GB"/>
        </w:rPr>
      </w:pPr>
      <w:r w:rsidRPr="00571974">
        <w:rPr>
          <w:sz w:val="16"/>
          <w:szCs w:val="18"/>
          <w:lang w:val="en-GB"/>
        </w:rPr>
        <w:t xml:space="preserve">Douglas Smailes resigned </w:t>
      </w:r>
      <w:r w:rsidR="00DD2997">
        <w:rPr>
          <w:sz w:val="16"/>
          <w:szCs w:val="18"/>
          <w:lang w:val="en-GB"/>
        </w:rPr>
        <w:t>July 31,</w:t>
      </w:r>
      <w:r w:rsidRPr="00571974">
        <w:rPr>
          <w:sz w:val="16"/>
          <w:szCs w:val="18"/>
          <w:lang w:val="en-GB"/>
        </w:rPr>
        <w:t xml:space="preserve"> 2019</w:t>
      </w:r>
    </w:p>
    <w:p w14:paraId="106B5ECA" w14:textId="77777777" w:rsidR="00A85CF9" w:rsidRPr="00571974" w:rsidRDefault="00A85CF9" w:rsidP="00A85CF9">
      <w:pPr>
        <w:widowControl/>
        <w:numPr>
          <w:ilvl w:val="0"/>
          <w:numId w:val="42"/>
        </w:numPr>
        <w:tabs>
          <w:tab w:val="left" w:pos="-720"/>
          <w:tab w:val="left" w:pos="0"/>
        </w:tabs>
        <w:suppressAutoHyphens/>
        <w:ind w:left="284" w:hanging="284"/>
        <w:rPr>
          <w:sz w:val="16"/>
          <w:szCs w:val="18"/>
          <w:lang w:val="en-GB"/>
        </w:rPr>
      </w:pPr>
      <w:r>
        <w:rPr>
          <w:sz w:val="18"/>
          <w:szCs w:val="18"/>
          <w:lang w:val="en-GB" w:eastAsia="en-GB" w:bidi="ar-SA"/>
        </w:rPr>
        <w:t>Zahira Quattrocchi</w:t>
      </w:r>
      <w:r w:rsidRPr="00571974" w:rsidDel="00DD2997">
        <w:rPr>
          <w:sz w:val="16"/>
          <w:szCs w:val="18"/>
          <w:lang w:val="en-GB"/>
        </w:rPr>
        <w:t xml:space="preserve"> </w:t>
      </w:r>
      <w:r w:rsidRPr="00571974">
        <w:rPr>
          <w:sz w:val="16"/>
          <w:szCs w:val="18"/>
          <w:lang w:val="en-GB"/>
        </w:rPr>
        <w:t xml:space="preserve">appointed </w:t>
      </w:r>
      <w:r>
        <w:rPr>
          <w:sz w:val="16"/>
          <w:szCs w:val="18"/>
          <w:lang w:val="en-GB"/>
        </w:rPr>
        <w:t>August 2, 2019</w:t>
      </w:r>
    </w:p>
    <w:p w14:paraId="02A9E055" w14:textId="6A00EDA2" w:rsidR="00D85AF2" w:rsidRPr="00571974" w:rsidRDefault="00DD2997" w:rsidP="003D4D89">
      <w:pPr>
        <w:widowControl/>
        <w:numPr>
          <w:ilvl w:val="0"/>
          <w:numId w:val="42"/>
        </w:numPr>
        <w:tabs>
          <w:tab w:val="left" w:pos="-720"/>
          <w:tab w:val="left" w:pos="0"/>
        </w:tabs>
        <w:suppressAutoHyphens/>
        <w:ind w:left="284" w:hanging="284"/>
        <w:rPr>
          <w:sz w:val="16"/>
          <w:szCs w:val="18"/>
          <w:lang w:val="en-GB"/>
        </w:rPr>
      </w:pPr>
      <w:r>
        <w:rPr>
          <w:sz w:val="16"/>
          <w:szCs w:val="18"/>
          <w:lang w:val="en-GB"/>
        </w:rPr>
        <w:t xml:space="preserve">Aaron Field </w:t>
      </w:r>
      <w:r w:rsidR="003D4D89" w:rsidRPr="00571974">
        <w:rPr>
          <w:sz w:val="16"/>
          <w:szCs w:val="18"/>
          <w:lang w:val="en-GB"/>
        </w:rPr>
        <w:t xml:space="preserve">appointed </w:t>
      </w:r>
      <w:r>
        <w:rPr>
          <w:sz w:val="16"/>
          <w:szCs w:val="18"/>
          <w:lang w:val="en-GB"/>
        </w:rPr>
        <w:t>August 23, 2019</w:t>
      </w:r>
    </w:p>
    <w:p w14:paraId="5CF53681" w14:textId="77777777" w:rsidR="00D85AF2" w:rsidRPr="00571974" w:rsidRDefault="00D85AF2" w:rsidP="001A578D">
      <w:pPr>
        <w:pStyle w:val="BodyText"/>
        <w:widowControl/>
        <w:autoSpaceDE/>
        <w:autoSpaceDN/>
        <w:adjustRightInd/>
        <w:ind w:left="360"/>
        <w:rPr>
          <w:sz w:val="16"/>
          <w:szCs w:val="18"/>
          <w:highlight w:val="yellow"/>
          <w:lang w:val="en-GB"/>
        </w:rPr>
      </w:pPr>
    </w:p>
    <w:p w14:paraId="4638EA4D" w14:textId="541ABF42" w:rsidR="00542FF4" w:rsidRPr="00571974" w:rsidRDefault="003D4D89" w:rsidP="00542FF4">
      <w:pPr>
        <w:pStyle w:val="BodyText"/>
        <w:widowControl/>
        <w:autoSpaceDE/>
        <w:autoSpaceDN/>
        <w:adjustRightInd/>
        <w:ind w:firstLine="360"/>
        <w:rPr>
          <w:lang w:val="en-GB"/>
        </w:rPr>
      </w:pPr>
      <w:r w:rsidRPr="00571974">
        <w:rPr>
          <w:lang w:val="en-GB"/>
        </w:rPr>
        <w:t>The business address of each of the above is 20 Carlton House Terrace, London SW1Y 5AN and the telephone number of Anglo American Capital</w:t>
      </w:r>
      <w:r w:rsidR="00A311D8">
        <w:rPr>
          <w:lang w:val="en-GB"/>
        </w:rPr>
        <w:t>’</w:t>
      </w:r>
      <w:r w:rsidRPr="00571974">
        <w:rPr>
          <w:lang w:val="en-GB"/>
        </w:rPr>
        <w:t>s registered office is: +44 (0) 20 7968 8888.</w:t>
      </w:r>
    </w:p>
    <w:p w14:paraId="108153FB" w14:textId="1CB635A2" w:rsidR="00542FF4" w:rsidRPr="00571974" w:rsidRDefault="003D4D89" w:rsidP="00542FF4">
      <w:pPr>
        <w:pStyle w:val="BodyText"/>
        <w:widowControl/>
        <w:autoSpaceDE/>
        <w:autoSpaceDN/>
        <w:adjustRightInd/>
        <w:ind w:firstLine="360"/>
        <w:rPr>
          <w:lang w:val="en-GB"/>
        </w:rPr>
      </w:pPr>
      <w:r w:rsidRPr="00571974">
        <w:rPr>
          <w:lang w:val="en-GB"/>
        </w:rPr>
        <w:t>No potential conflicts of interest exist between the Directors</w:t>
      </w:r>
      <w:r w:rsidR="00A311D8">
        <w:rPr>
          <w:lang w:val="en-GB"/>
        </w:rPr>
        <w:t>’</w:t>
      </w:r>
      <w:r w:rsidRPr="00571974">
        <w:rPr>
          <w:lang w:val="en-GB"/>
        </w:rPr>
        <w:t xml:space="preserve"> duties to Anglo American Capital and their private interests or other duties.</w:t>
      </w:r>
    </w:p>
    <w:p w14:paraId="4C7F8D03" w14:textId="77777777" w:rsidR="00542FF4" w:rsidRPr="00571974" w:rsidRDefault="003D4D89" w:rsidP="00542FF4">
      <w:pPr>
        <w:pStyle w:val="Heading2"/>
        <w:rPr>
          <w:lang w:val="en-GB"/>
        </w:rPr>
      </w:pPr>
      <w:r w:rsidRPr="00571974">
        <w:rPr>
          <w:lang w:val="en-GB"/>
        </w:rPr>
        <w:t>Financial Statements</w:t>
      </w:r>
    </w:p>
    <w:p w14:paraId="54519B35" w14:textId="71CE0C63" w:rsidR="00542FF4" w:rsidRPr="00571974" w:rsidRDefault="003D4D89" w:rsidP="00542FF4">
      <w:pPr>
        <w:pStyle w:val="BodyText"/>
        <w:widowControl/>
        <w:autoSpaceDE/>
        <w:autoSpaceDN/>
        <w:adjustRightInd/>
        <w:ind w:firstLine="360"/>
        <w:rPr>
          <w:lang w:val="en-GB"/>
        </w:rPr>
      </w:pPr>
      <w:r w:rsidRPr="00571974">
        <w:rPr>
          <w:lang w:val="en-GB"/>
        </w:rPr>
        <w:t>Deloitte audited Anglo American Capital</w:t>
      </w:r>
      <w:r w:rsidR="00A311D8">
        <w:rPr>
          <w:lang w:val="en-GB"/>
        </w:rPr>
        <w:t>’</w:t>
      </w:r>
      <w:r w:rsidRPr="00571974">
        <w:rPr>
          <w:lang w:val="en-GB"/>
        </w:rPr>
        <w:t>s accounts in accordance with generally accepted auditing standards in the United Kingdom for the period from February 6, 2003 (Anglo American Capital</w:t>
      </w:r>
      <w:r w:rsidR="00A311D8">
        <w:rPr>
          <w:lang w:val="en-GB"/>
        </w:rPr>
        <w:t>’</w:t>
      </w:r>
      <w:r w:rsidRPr="00571974">
        <w:rPr>
          <w:lang w:val="en-GB"/>
        </w:rPr>
        <w:t xml:space="preserve">s date of incorporation) to December 31, 2004 and in accordance with International Standards on Auditing (UK and Ireland) from December 31, 2005 to December 31, </w:t>
      </w:r>
      <w:r w:rsidR="00A55433" w:rsidRPr="00571974">
        <w:rPr>
          <w:lang w:val="en-GB"/>
        </w:rPr>
        <w:t>201</w:t>
      </w:r>
      <w:r w:rsidR="00D6714C" w:rsidRPr="00571974">
        <w:rPr>
          <w:lang w:val="en-GB"/>
        </w:rPr>
        <w:t>9</w:t>
      </w:r>
      <w:r w:rsidRPr="00571974">
        <w:rPr>
          <w:lang w:val="en-GB"/>
        </w:rPr>
        <w:t>. Audit reports issued by Deloitte on these financial statements were without qualification.</w:t>
      </w:r>
    </w:p>
    <w:p w14:paraId="59BC2867" w14:textId="77777777" w:rsidR="00542FF4" w:rsidRPr="00571974" w:rsidRDefault="003D4D89" w:rsidP="00542FF4">
      <w:pPr>
        <w:pStyle w:val="Heading1"/>
        <w:rPr>
          <w:lang w:val="en-GB"/>
        </w:rPr>
      </w:pPr>
      <w:r w:rsidRPr="00571974">
        <w:rPr>
          <w:lang w:val="en-GB"/>
        </w:rPr>
        <w:br w:type="page"/>
      </w:r>
      <w:bookmarkStart w:id="109" w:name="_Toc36388977"/>
      <w:bookmarkStart w:id="110" w:name="_Toc349210438"/>
      <w:r w:rsidR="00F7022D" w:rsidRPr="00571974">
        <w:rPr>
          <w:lang w:val="en-GB"/>
        </w:rPr>
        <w:lastRenderedPageBreak/>
        <w:t>GENERAL INFORMATION</w:t>
      </w:r>
      <w:bookmarkEnd w:id="109"/>
    </w:p>
    <w:p w14:paraId="2266E3B1" w14:textId="0BB1DA8A" w:rsidR="00542FF4" w:rsidRPr="00571974" w:rsidRDefault="00F7022D" w:rsidP="00542FF4">
      <w:pPr>
        <w:pStyle w:val="Heading2"/>
        <w:rPr>
          <w:lang w:val="en-GB"/>
        </w:rPr>
      </w:pPr>
      <w:r w:rsidRPr="00571974">
        <w:rPr>
          <w:lang w:val="en-GB"/>
        </w:rPr>
        <w:t>Authorization</w:t>
      </w:r>
    </w:p>
    <w:p w14:paraId="6039C2D5" w14:textId="7C5AAF6E" w:rsidR="00542FF4" w:rsidRPr="00571974" w:rsidRDefault="003D4D89" w:rsidP="00542FF4">
      <w:pPr>
        <w:pStyle w:val="BodyText"/>
        <w:widowControl/>
        <w:autoSpaceDE/>
        <w:autoSpaceDN/>
        <w:adjustRightInd/>
        <w:ind w:firstLine="360"/>
        <w:rPr>
          <w:lang w:val="en-GB"/>
        </w:rPr>
      </w:pPr>
      <w:r w:rsidRPr="00571974">
        <w:rPr>
          <w:lang w:val="en-GB"/>
        </w:rPr>
        <w:t xml:space="preserve">The issue of the Notes, or, in the case of the Company, the giving of the guarantee, has been duly authorized by the resolutions of the Board of Directors of Anglo American plc </w:t>
      </w:r>
      <w:r w:rsidR="00252A85" w:rsidRPr="00571974">
        <w:rPr>
          <w:lang w:val="en-GB"/>
        </w:rPr>
        <w:t xml:space="preserve">dated </w:t>
      </w:r>
      <w:r w:rsidR="00252A85">
        <w:rPr>
          <w:lang w:val="en-GB"/>
        </w:rPr>
        <w:t>March 5</w:t>
      </w:r>
      <w:r w:rsidRPr="00571974">
        <w:rPr>
          <w:lang w:val="en-GB"/>
        </w:rPr>
        <w:t>, 20</w:t>
      </w:r>
      <w:r w:rsidR="00252A85">
        <w:rPr>
          <w:lang w:val="en-GB"/>
        </w:rPr>
        <w:t>20</w:t>
      </w:r>
      <w:r w:rsidRPr="00571974">
        <w:rPr>
          <w:lang w:val="en-GB"/>
        </w:rPr>
        <w:t xml:space="preserve"> and of the Board of Directors of Anglo American Capital plc </w:t>
      </w:r>
      <w:r w:rsidR="00252A85" w:rsidRPr="00571974">
        <w:rPr>
          <w:lang w:val="en-GB"/>
        </w:rPr>
        <w:t>dated</w:t>
      </w:r>
      <w:r w:rsidR="00252A85">
        <w:rPr>
          <w:lang w:val="en-GB"/>
        </w:rPr>
        <w:t xml:space="preserve"> March 5</w:t>
      </w:r>
      <w:r w:rsidRPr="00571974">
        <w:rPr>
          <w:lang w:val="en-GB"/>
        </w:rPr>
        <w:t>, 20</w:t>
      </w:r>
      <w:r w:rsidR="00252A85">
        <w:rPr>
          <w:lang w:val="en-GB"/>
        </w:rPr>
        <w:t>20</w:t>
      </w:r>
      <w:r w:rsidRPr="00571974">
        <w:rPr>
          <w:lang w:val="en-GB"/>
        </w:rPr>
        <w:t>.</w:t>
      </w:r>
    </w:p>
    <w:p w14:paraId="22F454CD" w14:textId="77777777" w:rsidR="00542FF4" w:rsidRPr="00571974" w:rsidRDefault="003D4D89" w:rsidP="00542FF4">
      <w:pPr>
        <w:pStyle w:val="Heading2"/>
        <w:rPr>
          <w:lang w:val="en-GB"/>
        </w:rPr>
      </w:pPr>
      <w:r w:rsidRPr="00571974">
        <w:rPr>
          <w:lang w:val="en-GB"/>
        </w:rPr>
        <w:t>Listing</w:t>
      </w:r>
    </w:p>
    <w:p w14:paraId="1265F3C6" w14:textId="67F83ED4" w:rsidR="00542FF4" w:rsidRPr="00571974" w:rsidRDefault="003D4D89" w:rsidP="00542FF4">
      <w:pPr>
        <w:pStyle w:val="BodyText"/>
        <w:widowControl/>
        <w:autoSpaceDE/>
        <w:autoSpaceDN/>
        <w:adjustRightInd/>
        <w:ind w:firstLine="360"/>
        <w:rPr>
          <w:lang w:val="en-GB"/>
        </w:rPr>
      </w:pPr>
      <w:r w:rsidRPr="00571974">
        <w:rPr>
          <w:lang w:val="en-GB"/>
        </w:rPr>
        <w:t xml:space="preserve">Application has been made to the </w:t>
      </w:r>
      <w:r w:rsidR="00912965" w:rsidRPr="00571974">
        <w:rPr>
          <w:lang w:val="en-GB"/>
        </w:rPr>
        <w:t>FCA</w:t>
      </w:r>
      <w:r w:rsidRPr="00571974">
        <w:rPr>
          <w:lang w:val="en-GB"/>
        </w:rPr>
        <w:t xml:space="preserve"> for the Notes to be admitted to the Official List and to the London Stock Exchange for the Notes to be admitted to trading on the London Stock Exchange</w:t>
      </w:r>
      <w:r w:rsidR="00A311D8">
        <w:rPr>
          <w:lang w:val="en-GB"/>
        </w:rPr>
        <w:t>’</w:t>
      </w:r>
      <w:r w:rsidRPr="00571974">
        <w:rPr>
          <w:lang w:val="en-GB"/>
        </w:rPr>
        <w:t xml:space="preserve">s Regulated Market and is expected to be effective as </w:t>
      </w:r>
      <w:r w:rsidR="00183F92" w:rsidRPr="00571974">
        <w:rPr>
          <w:lang w:val="en-GB"/>
        </w:rPr>
        <w:t xml:space="preserve">of </w:t>
      </w:r>
      <w:r w:rsidR="00183F92">
        <w:rPr>
          <w:lang w:val="en-GB"/>
        </w:rPr>
        <w:t>April 1</w:t>
      </w:r>
      <w:r w:rsidRPr="00571974">
        <w:rPr>
          <w:lang w:val="en-GB"/>
        </w:rPr>
        <w:t xml:space="preserve">, </w:t>
      </w:r>
      <w:r w:rsidR="00E21126" w:rsidRPr="00571974">
        <w:rPr>
          <w:lang w:val="en-GB"/>
        </w:rPr>
        <w:t>20</w:t>
      </w:r>
      <w:r w:rsidR="00D6714C" w:rsidRPr="00571974">
        <w:rPr>
          <w:lang w:val="en-GB"/>
        </w:rPr>
        <w:t>20</w:t>
      </w:r>
      <w:r w:rsidRPr="00571974">
        <w:rPr>
          <w:lang w:val="en-GB"/>
        </w:rPr>
        <w:t>, subject only to the issuance of the Global Notes. The listing of the Notes on the Official List will be expressed as a percentage of their nominal amount (exclusive of accrued interest). Prior to listing of the Notes on the Official List and Admission to trading, however, dealings will be permitted by the London Stock Exchange in accordance with its rules. Transactions will normally be effected for delivery on the third working date after the day of the transaction.</w:t>
      </w:r>
    </w:p>
    <w:p w14:paraId="6C45A85A" w14:textId="36B369A5" w:rsidR="00542FF4" w:rsidRPr="00571974" w:rsidRDefault="003D4D89" w:rsidP="00542FF4">
      <w:pPr>
        <w:pStyle w:val="BodyText"/>
        <w:widowControl/>
        <w:autoSpaceDE/>
        <w:autoSpaceDN/>
        <w:adjustRightInd/>
        <w:ind w:firstLine="360"/>
        <w:rPr>
          <w:lang w:val="en-GB"/>
        </w:rPr>
      </w:pPr>
      <w:r w:rsidRPr="00571974">
        <w:rPr>
          <w:lang w:val="en-GB"/>
        </w:rPr>
        <w:t>The Issuer</w:t>
      </w:r>
      <w:r w:rsidR="00A311D8">
        <w:rPr>
          <w:lang w:val="en-GB"/>
        </w:rPr>
        <w:t>’</w:t>
      </w:r>
      <w:r w:rsidRPr="00571974">
        <w:rPr>
          <w:lang w:val="en-GB"/>
        </w:rPr>
        <w:t>s and the Company</w:t>
      </w:r>
      <w:r w:rsidR="00A311D8">
        <w:rPr>
          <w:lang w:val="en-GB"/>
        </w:rPr>
        <w:t>’</w:t>
      </w:r>
      <w:r w:rsidRPr="00571974">
        <w:rPr>
          <w:lang w:val="en-GB"/>
        </w:rPr>
        <w:t>s out-of-pocket expenses in relation to Admission to trading of the Notes on the London Stock Exchange</w:t>
      </w:r>
      <w:r w:rsidR="00A311D8">
        <w:rPr>
          <w:lang w:val="en-GB"/>
        </w:rPr>
        <w:t>’</w:t>
      </w:r>
      <w:r w:rsidRPr="00571974">
        <w:rPr>
          <w:lang w:val="en-GB"/>
        </w:rPr>
        <w:t>s Regulated Market are expected to amount to approximately £</w:t>
      </w:r>
      <w:r w:rsidR="00326B6A">
        <w:rPr>
          <w:lang w:val="en-GB"/>
        </w:rPr>
        <w:t>300,000</w:t>
      </w:r>
      <w:r w:rsidRPr="00571974">
        <w:rPr>
          <w:lang w:val="en-GB"/>
        </w:rPr>
        <w:t>.</w:t>
      </w:r>
    </w:p>
    <w:p w14:paraId="47587217" w14:textId="77777777" w:rsidR="00542FF4" w:rsidRPr="00571974" w:rsidRDefault="003D4D89" w:rsidP="00542FF4">
      <w:pPr>
        <w:pStyle w:val="Heading2"/>
        <w:rPr>
          <w:lang w:val="en-GB"/>
        </w:rPr>
      </w:pPr>
      <w:r w:rsidRPr="00571974">
        <w:rPr>
          <w:lang w:val="en-GB"/>
        </w:rPr>
        <w:t>Clearing Reference Numbers</w:t>
      </w:r>
    </w:p>
    <w:p w14:paraId="271DBDB0" w14:textId="498CE7C2" w:rsidR="00542FF4" w:rsidRPr="00571974" w:rsidRDefault="003D4D89" w:rsidP="00542FF4">
      <w:pPr>
        <w:pStyle w:val="BodyText"/>
        <w:widowControl/>
        <w:autoSpaceDE/>
        <w:autoSpaceDN/>
        <w:adjustRightInd/>
        <w:ind w:firstLine="360"/>
        <w:rPr>
          <w:lang w:val="en-GB"/>
        </w:rPr>
      </w:pPr>
      <w:r w:rsidRPr="00571974">
        <w:rPr>
          <w:lang w:val="en-GB"/>
        </w:rPr>
        <w:t>The Notes have been accepted for clearance through DTC</w:t>
      </w:r>
      <w:r w:rsidR="00A311D8">
        <w:rPr>
          <w:lang w:val="en-GB"/>
        </w:rPr>
        <w:t>’</w:t>
      </w:r>
      <w:r w:rsidRPr="00571974">
        <w:rPr>
          <w:lang w:val="en-GB"/>
        </w:rPr>
        <w:t>s book-entry settlement system. The CUSIP and ISIN numbers for the Notes are as follows:</w:t>
      </w:r>
    </w:p>
    <w:p w14:paraId="3B02E0E7" w14:textId="53994E9F" w:rsidR="00542FF4" w:rsidRDefault="00F400D2" w:rsidP="00542FF4">
      <w:pPr>
        <w:widowControl/>
        <w:tabs>
          <w:tab w:val="left" w:pos="-720"/>
          <w:tab w:val="left" w:pos="0"/>
        </w:tabs>
        <w:suppressAutoHyphens/>
        <w:spacing w:after="240"/>
        <w:ind w:left="720"/>
        <w:rPr>
          <w:lang w:val="en-GB"/>
        </w:rPr>
      </w:pPr>
      <w:r>
        <w:rPr>
          <w:lang w:val="en-GB"/>
        </w:rPr>
        <w:t>20</w:t>
      </w:r>
      <w:r w:rsidR="00183F92">
        <w:rPr>
          <w:lang w:val="en-GB"/>
        </w:rPr>
        <w:t>25</w:t>
      </w:r>
      <w:r>
        <w:rPr>
          <w:lang w:val="en-GB"/>
        </w:rPr>
        <w:t xml:space="preserve"> </w:t>
      </w:r>
      <w:r w:rsidR="003D4D89" w:rsidRPr="00571974">
        <w:rPr>
          <w:lang w:val="en-GB"/>
        </w:rPr>
        <w:t xml:space="preserve">Notes distributed pursuant to Rule 144A: CUSIP </w:t>
      </w:r>
      <w:r w:rsidR="00183F92">
        <w:rPr>
          <w:lang w:val="en-GB"/>
        </w:rPr>
        <w:t>034863 AV2</w:t>
      </w:r>
      <w:r w:rsidR="003D4D89" w:rsidRPr="00571974">
        <w:rPr>
          <w:lang w:val="en-GB"/>
        </w:rPr>
        <w:t xml:space="preserve">, ISIN </w:t>
      </w:r>
      <w:r w:rsidR="00183F92">
        <w:rPr>
          <w:lang w:val="en-GB"/>
        </w:rPr>
        <w:t>US034863AV24</w:t>
      </w:r>
      <w:r w:rsidR="003D4D89" w:rsidRPr="00571974">
        <w:rPr>
          <w:lang w:val="en-GB"/>
        </w:rPr>
        <w:t xml:space="preserve"> </w:t>
      </w:r>
    </w:p>
    <w:p w14:paraId="55450E33" w14:textId="318D83A6" w:rsidR="00183F92" w:rsidRDefault="00183F92" w:rsidP="00542FF4">
      <w:pPr>
        <w:widowControl/>
        <w:tabs>
          <w:tab w:val="left" w:pos="-720"/>
          <w:tab w:val="left" w:pos="0"/>
        </w:tabs>
        <w:suppressAutoHyphens/>
        <w:spacing w:after="240"/>
        <w:ind w:left="720"/>
        <w:rPr>
          <w:lang w:val="en-GB"/>
        </w:rPr>
      </w:pPr>
      <w:r>
        <w:rPr>
          <w:lang w:val="en-GB"/>
        </w:rPr>
        <w:t xml:space="preserve">2030 </w:t>
      </w:r>
      <w:r w:rsidR="00F400D2" w:rsidRPr="00571974">
        <w:rPr>
          <w:lang w:val="en-GB"/>
        </w:rPr>
        <w:t xml:space="preserve">Notes distributed pursuant to Rule 144A: CUSIP </w:t>
      </w:r>
      <w:r>
        <w:rPr>
          <w:lang w:val="en-GB"/>
        </w:rPr>
        <w:t>034863 AW0</w:t>
      </w:r>
      <w:r w:rsidR="00F400D2" w:rsidRPr="00571974">
        <w:rPr>
          <w:lang w:val="en-GB"/>
        </w:rPr>
        <w:t xml:space="preserve">, ISIN </w:t>
      </w:r>
      <w:r>
        <w:rPr>
          <w:lang w:val="en-GB"/>
        </w:rPr>
        <w:t>US034863AW07</w:t>
      </w:r>
    </w:p>
    <w:p w14:paraId="787AE132" w14:textId="1098AB2E" w:rsidR="00542FF4" w:rsidRDefault="00183F92" w:rsidP="00542FF4">
      <w:pPr>
        <w:widowControl/>
        <w:tabs>
          <w:tab w:val="left" w:pos="-720"/>
          <w:tab w:val="left" w:pos="0"/>
        </w:tabs>
        <w:suppressAutoHyphens/>
        <w:spacing w:after="240"/>
        <w:ind w:left="720"/>
        <w:rPr>
          <w:lang w:val="en-GB"/>
        </w:rPr>
      </w:pPr>
      <w:r>
        <w:rPr>
          <w:lang w:val="en-GB"/>
        </w:rPr>
        <w:t xml:space="preserve">2025 </w:t>
      </w:r>
      <w:r w:rsidR="003D4D89" w:rsidRPr="00571974">
        <w:rPr>
          <w:lang w:val="en-GB"/>
        </w:rPr>
        <w:t>Notes distributed pursuant to Regulation S: CUSIP</w:t>
      </w:r>
      <w:r>
        <w:rPr>
          <w:lang w:val="en-GB"/>
        </w:rPr>
        <w:t xml:space="preserve"> G0446N AQ7</w:t>
      </w:r>
      <w:r w:rsidR="003D4D89" w:rsidRPr="00571974">
        <w:rPr>
          <w:lang w:val="en-GB"/>
        </w:rPr>
        <w:t xml:space="preserve">, ISIN </w:t>
      </w:r>
      <w:r>
        <w:rPr>
          <w:lang w:val="en-GB"/>
        </w:rPr>
        <w:t>USG0446NAQ72</w:t>
      </w:r>
    </w:p>
    <w:p w14:paraId="6E2ED4A3" w14:textId="1E5928C7" w:rsidR="00F400D2" w:rsidRPr="00571974" w:rsidRDefault="00183F92" w:rsidP="00F400D2">
      <w:pPr>
        <w:widowControl/>
        <w:tabs>
          <w:tab w:val="left" w:pos="-720"/>
          <w:tab w:val="left" w:pos="0"/>
        </w:tabs>
        <w:suppressAutoHyphens/>
        <w:spacing w:after="240"/>
        <w:ind w:left="720"/>
        <w:rPr>
          <w:lang w:val="en-GB"/>
        </w:rPr>
      </w:pPr>
      <w:r>
        <w:rPr>
          <w:lang w:val="en-GB"/>
        </w:rPr>
        <w:t xml:space="preserve">2030 </w:t>
      </w:r>
      <w:r w:rsidR="00F400D2" w:rsidRPr="00571974">
        <w:rPr>
          <w:lang w:val="en-GB"/>
        </w:rPr>
        <w:t xml:space="preserve">Notes distributed pursuant to Regulation S: </w:t>
      </w:r>
      <w:r w:rsidRPr="00571974">
        <w:rPr>
          <w:lang w:val="en-GB"/>
        </w:rPr>
        <w:t>CUSIP</w:t>
      </w:r>
      <w:r>
        <w:rPr>
          <w:lang w:val="en-GB"/>
        </w:rPr>
        <w:t xml:space="preserve"> G0446N AR5</w:t>
      </w:r>
      <w:r w:rsidR="00F400D2" w:rsidRPr="00571974">
        <w:rPr>
          <w:lang w:val="en-GB"/>
        </w:rPr>
        <w:t xml:space="preserve">, ISIN </w:t>
      </w:r>
      <w:r>
        <w:rPr>
          <w:lang w:val="en-GB"/>
        </w:rPr>
        <w:t>USG0446NAR55</w:t>
      </w:r>
    </w:p>
    <w:p w14:paraId="1D1E2EDB" w14:textId="2F2D3D48" w:rsidR="00542FF4" w:rsidRPr="00571974" w:rsidRDefault="00F7022D" w:rsidP="00542FF4">
      <w:pPr>
        <w:pStyle w:val="BodyText"/>
        <w:widowControl/>
        <w:autoSpaceDE/>
        <w:autoSpaceDN/>
        <w:adjustRightInd/>
        <w:ind w:firstLine="360"/>
        <w:rPr>
          <w:lang w:val="en-GB"/>
        </w:rPr>
      </w:pPr>
      <w:r w:rsidRPr="00571974">
        <w:rPr>
          <w:lang w:val="en-GB"/>
        </w:rPr>
        <w:t>The address of DTC is The Depository Trust Company, 55 Water Street, New York, NY 10041-0099, USA.</w:t>
      </w:r>
    </w:p>
    <w:p w14:paraId="29F84C6B" w14:textId="17770F05" w:rsidR="00542FF4" w:rsidRPr="00571974" w:rsidRDefault="003D4D89" w:rsidP="00542FF4">
      <w:pPr>
        <w:pStyle w:val="Heading2"/>
        <w:rPr>
          <w:lang w:val="en-GB"/>
        </w:rPr>
      </w:pPr>
      <w:r w:rsidRPr="00571974">
        <w:rPr>
          <w:lang w:val="en-GB"/>
        </w:rPr>
        <w:t xml:space="preserve">Financial </w:t>
      </w:r>
      <w:r w:rsidR="006B1CAC">
        <w:rPr>
          <w:lang w:val="en-GB"/>
        </w:rPr>
        <w:t xml:space="preserve">Performance </w:t>
      </w:r>
      <w:r w:rsidRPr="00571974">
        <w:rPr>
          <w:lang w:val="en-GB"/>
        </w:rPr>
        <w:t>and Position and Prospects</w:t>
      </w:r>
    </w:p>
    <w:p w14:paraId="0328B01C" w14:textId="50A698E4" w:rsidR="00281319" w:rsidRDefault="00281319" w:rsidP="00281319">
      <w:pPr>
        <w:pStyle w:val="BodyText"/>
        <w:widowControl/>
        <w:autoSpaceDE/>
        <w:autoSpaceDN/>
        <w:adjustRightInd/>
        <w:ind w:firstLine="360"/>
        <w:rPr>
          <w:lang w:val="en-GB"/>
        </w:rPr>
      </w:pPr>
      <w:r w:rsidRPr="00571974">
        <w:rPr>
          <w:lang w:val="en-GB"/>
        </w:rPr>
        <w:t xml:space="preserve">There has been no significant change in the financial </w:t>
      </w:r>
      <w:r>
        <w:rPr>
          <w:lang w:val="en-GB"/>
        </w:rPr>
        <w:t>performance and financial</w:t>
      </w:r>
      <w:r w:rsidRPr="00571974">
        <w:rPr>
          <w:lang w:val="en-GB"/>
        </w:rPr>
        <w:t xml:space="preserve"> position of the Group since December 31, 2019</w:t>
      </w:r>
      <w:r>
        <w:rPr>
          <w:lang w:val="en-GB"/>
        </w:rPr>
        <w:t>,</w:t>
      </w:r>
      <w:r w:rsidRPr="00571974">
        <w:rPr>
          <w:lang w:val="en-GB"/>
        </w:rPr>
        <w:t xml:space="preserve"> being the date of its last published audited financial statements.</w:t>
      </w:r>
    </w:p>
    <w:p w14:paraId="4AF8D366" w14:textId="7D66839A" w:rsidR="00281319" w:rsidRDefault="00281319" w:rsidP="00281319">
      <w:pPr>
        <w:pStyle w:val="BodyText"/>
        <w:widowControl/>
        <w:autoSpaceDE/>
        <w:autoSpaceDN/>
        <w:adjustRightInd/>
        <w:ind w:firstLine="360"/>
        <w:rPr>
          <w:lang w:val="en-GB"/>
        </w:rPr>
      </w:pPr>
      <w:r>
        <w:rPr>
          <w:lang w:eastAsia="en-US"/>
        </w:rPr>
        <w:t xml:space="preserve">Save as discussed under </w:t>
      </w:r>
      <w:r w:rsidR="00A311D8">
        <w:rPr>
          <w:lang w:eastAsia="en-US"/>
        </w:rPr>
        <w:t>“</w:t>
      </w:r>
      <w:r w:rsidRPr="00374BC1">
        <w:rPr>
          <w:iCs/>
          <w:lang w:eastAsia="en-US"/>
        </w:rPr>
        <w:t>Recent Developments</w:t>
      </w:r>
      <w:r>
        <w:rPr>
          <w:lang w:val="en-GB"/>
        </w:rPr>
        <w:t>—</w:t>
      </w:r>
      <w:r w:rsidRPr="00374BC1">
        <w:rPr>
          <w:iCs/>
          <w:lang w:eastAsia="en-US"/>
        </w:rPr>
        <w:t>COVID-19 Pandemic</w:t>
      </w:r>
      <w:r w:rsidR="00A311D8">
        <w:rPr>
          <w:lang w:eastAsia="en-US"/>
        </w:rPr>
        <w:t>”</w:t>
      </w:r>
      <w:r>
        <w:rPr>
          <w:lang w:eastAsia="en-US"/>
        </w:rPr>
        <w:t>, there has been no material adverse change in the prospects of the Group since December 31, 2019, being the date of its last published audited financial statements.</w:t>
      </w:r>
    </w:p>
    <w:p w14:paraId="46D2D6DC" w14:textId="3F085318" w:rsidR="00281319" w:rsidRPr="00571974" w:rsidRDefault="00281319" w:rsidP="00281319">
      <w:pPr>
        <w:pStyle w:val="BodyText"/>
        <w:widowControl/>
        <w:autoSpaceDE/>
        <w:autoSpaceDN/>
        <w:adjustRightInd/>
        <w:ind w:firstLine="360"/>
        <w:rPr>
          <w:lang w:val="en-GB"/>
        </w:rPr>
      </w:pPr>
      <w:r w:rsidRPr="00571974">
        <w:rPr>
          <w:lang w:val="en-GB"/>
        </w:rPr>
        <w:t xml:space="preserve">There has been no significant change in the financial </w:t>
      </w:r>
      <w:r>
        <w:rPr>
          <w:lang w:val="en-GB"/>
        </w:rPr>
        <w:t>performance and financial</w:t>
      </w:r>
      <w:r w:rsidRPr="00571974">
        <w:rPr>
          <w:lang w:val="en-GB"/>
        </w:rPr>
        <w:t xml:space="preserve"> position of the Issuer since December 31, 2019</w:t>
      </w:r>
      <w:r>
        <w:rPr>
          <w:lang w:val="en-GB"/>
        </w:rPr>
        <w:t>,</w:t>
      </w:r>
      <w:r w:rsidRPr="00571974">
        <w:rPr>
          <w:lang w:val="en-GB"/>
        </w:rPr>
        <w:t xml:space="preserve"> being the date of its last published audited financial statements.</w:t>
      </w:r>
    </w:p>
    <w:p w14:paraId="6D9CB25E" w14:textId="24A651B2" w:rsidR="00281319" w:rsidRPr="00571974" w:rsidRDefault="00281319" w:rsidP="00542FF4">
      <w:pPr>
        <w:pStyle w:val="BodyText"/>
        <w:widowControl/>
        <w:autoSpaceDE/>
        <w:autoSpaceDN/>
        <w:adjustRightInd/>
        <w:ind w:firstLine="360"/>
        <w:rPr>
          <w:lang w:val="en-GB"/>
        </w:rPr>
      </w:pPr>
      <w:r>
        <w:rPr>
          <w:lang w:eastAsia="en-US"/>
        </w:rPr>
        <w:t xml:space="preserve">Save as discussed under </w:t>
      </w:r>
      <w:r w:rsidR="00A311D8">
        <w:rPr>
          <w:lang w:eastAsia="en-US"/>
        </w:rPr>
        <w:t>“</w:t>
      </w:r>
      <w:r w:rsidRPr="00374BC1">
        <w:rPr>
          <w:iCs/>
          <w:lang w:eastAsia="en-US"/>
        </w:rPr>
        <w:t>Recent Developments</w:t>
      </w:r>
      <w:r>
        <w:rPr>
          <w:lang w:val="en-GB"/>
        </w:rPr>
        <w:t>—</w:t>
      </w:r>
      <w:r w:rsidRPr="00374BC1">
        <w:rPr>
          <w:iCs/>
          <w:lang w:eastAsia="en-US"/>
        </w:rPr>
        <w:t>COVID-19 Pandemic</w:t>
      </w:r>
      <w:r w:rsidR="00A311D8">
        <w:rPr>
          <w:lang w:eastAsia="en-US"/>
        </w:rPr>
        <w:t>”</w:t>
      </w:r>
      <w:r>
        <w:rPr>
          <w:lang w:eastAsia="en-US"/>
        </w:rPr>
        <w:t>, there</w:t>
      </w:r>
      <w:r w:rsidRPr="00571974">
        <w:rPr>
          <w:noProof/>
          <w:lang w:val="en-GB" w:eastAsia="en-GB" w:bidi="ar-SA"/>
        </w:rPr>
        <w:t xml:space="preserve"> </w:t>
      </w:r>
      <w:r w:rsidRPr="00571974">
        <w:rPr>
          <w:lang w:val="en-GB"/>
        </w:rPr>
        <w:t>has been no material adverse change in the prospects of the Issuer since December 31, 2019</w:t>
      </w:r>
      <w:r>
        <w:rPr>
          <w:lang w:val="en-GB"/>
        </w:rPr>
        <w:t>,</w:t>
      </w:r>
      <w:r w:rsidRPr="00571974">
        <w:rPr>
          <w:lang w:val="en-GB"/>
        </w:rPr>
        <w:t xml:space="preserve"> being the date of its last published audited financial statements.</w:t>
      </w:r>
    </w:p>
    <w:p w14:paraId="03204DA8" w14:textId="77777777" w:rsidR="00542FF4" w:rsidRPr="00571974" w:rsidRDefault="003D4D89" w:rsidP="00542FF4">
      <w:pPr>
        <w:pStyle w:val="Heading2"/>
        <w:rPr>
          <w:lang w:val="en-GB"/>
        </w:rPr>
      </w:pPr>
      <w:r w:rsidRPr="00571974">
        <w:rPr>
          <w:lang w:val="en-GB"/>
        </w:rPr>
        <w:t xml:space="preserve">Litigation </w:t>
      </w:r>
    </w:p>
    <w:p w14:paraId="094FDAA2" w14:textId="77777777" w:rsidR="00542FF4" w:rsidRPr="00571974" w:rsidRDefault="003D4D89" w:rsidP="00542FF4">
      <w:pPr>
        <w:pStyle w:val="Heading5"/>
        <w:rPr>
          <w:lang w:val="en-GB"/>
        </w:rPr>
      </w:pPr>
      <w:r w:rsidRPr="00571974">
        <w:rPr>
          <w:b/>
          <w:lang w:val="en-GB"/>
        </w:rPr>
        <w:t>Proceedings in South Africa</w:t>
      </w:r>
    </w:p>
    <w:p w14:paraId="57833FF6" w14:textId="77777777" w:rsidR="00542FF4" w:rsidRPr="00571974" w:rsidRDefault="003D4D89" w:rsidP="00542FF4">
      <w:pPr>
        <w:pStyle w:val="BodyText"/>
        <w:autoSpaceDE/>
        <w:ind w:firstLine="360"/>
        <w:rPr>
          <w:rFonts w:eastAsia="Calibri"/>
          <w:szCs w:val="20"/>
          <w:u w:val="single"/>
          <w:lang w:val="en-GB"/>
        </w:rPr>
      </w:pPr>
      <w:r w:rsidRPr="00571974">
        <w:rPr>
          <w:u w:val="single"/>
          <w:lang w:val="en-GB"/>
        </w:rPr>
        <w:t>Industry working group</w:t>
      </w:r>
    </w:p>
    <w:p w14:paraId="6139994C" w14:textId="5467EEFD" w:rsidR="00826A34" w:rsidRPr="00571974" w:rsidRDefault="003D4D89" w:rsidP="00826A34">
      <w:pPr>
        <w:pStyle w:val="BodyText"/>
        <w:autoSpaceDE/>
        <w:ind w:firstLine="360"/>
        <w:rPr>
          <w:lang w:val="en-GB"/>
        </w:rPr>
      </w:pPr>
      <w:r w:rsidRPr="00571974">
        <w:rPr>
          <w:lang w:val="en-GB"/>
        </w:rPr>
        <w:t xml:space="preserve">AASA </w:t>
      </w:r>
      <w:r w:rsidR="005F254A" w:rsidRPr="00571974">
        <w:rPr>
          <w:lang w:val="en-GB"/>
        </w:rPr>
        <w:t>was</w:t>
      </w:r>
      <w:r w:rsidRPr="00571974">
        <w:rPr>
          <w:lang w:val="en-GB"/>
        </w:rPr>
        <w:t xml:space="preserve"> named as one of 32 respondents in a consolidated class certification application filed in the South Gauteng High Court (Johannesburg) on behalf of former mineworkers (or their dependants or survivors) who allegedly contracted silicosis or tuberculosis as a result of having worked for various gold mining companies including some in which AASA was a shareholder and to which AASA provided various technical and administrative services. The High Court certified two classes of claimants: those with silicosis or who died from </w:t>
      </w:r>
      <w:r w:rsidRPr="00571974">
        <w:rPr>
          <w:lang w:val="en-GB"/>
        </w:rPr>
        <w:lastRenderedPageBreak/>
        <w:t>silicosis and those with tuberculosis or who died from tuberculosis. AASA and other respondents appeal</w:t>
      </w:r>
      <w:r w:rsidR="005F254A" w:rsidRPr="00571974">
        <w:rPr>
          <w:lang w:val="en-GB"/>
        </w:rPr>
        <w:t>ed</w:t>
      </w:r>
      <w:r w:rsidRPr="00571974">
        <w:rPr>
          <w:lang w:val="en-GB"/>
        </w:rPr>
        <w:t xml:space="preserve"> the ruling which had been set down for hearing from March 19 to 23, 2018, but was subsequently postponed indefinitely based on the progress made in the settlement negotiations with the claimants</w:t>
      </w:r>
      <w:r w:rsidR="00A311D8">
        <w:rPr>
          <w:lang w:val="en-GB"/>
        </w:rPr>
        <w:t>’</w:t>
      </w:r>
      <w:r w:rsidRPr="00571974">
        <w:rPr>
          <w:lang w:val="en-GB"/>
        </w:rPr>
        <w:t xml:space="preserve"> representatives.</w:t>
      </w:r>
    </w:p>
    <w:p w14:paraId="79BADA76" w14:textId="00247D03" w:rsidR="00DD11F1" w:rsidRPr="00571974" w:rsidRDefault="00F7022D" w:rsidP="00DD11F1">
      <w:pPr>
        <w:pStyle w:val="BodyText"/>
        <w:autoSpaceDE/>
        <w:ind w:firstLine="360"/>
        <w:rPr>
          <w:lang w:val="en-GB"/>
        </w:rPr>
      </w:pPr>
      <w:r w:rsidRPr="00571974">
        <w:rPr>
          <w:lang w:val="en-GB"/>
        </w:rPr>
        <w:t xml:space="preserve">AASA, AngloGold Ashanti, Gold Fields, Harmony Gold and Sibanye Gold announced in November 2014 that they had formed an industry working group to address issues relating to compensation and medical care for occupational lung disease in the gold mining industry in South Africa. The </w:t>
      </w:r>
      <w:r w:rsidR="003D4D89" w:rsidRPr="00571974">
        <w:rPr>
          <w:lang w:val="en-GB"/>
        </w:rPr>
        <w:t>working group was subsequently extended in 2015 to include African Rainbow Minerals. At the same time, the industry working</w:t>
      </w:r>
      <w:r w:rsidR="00EF32BB" w:rsidRPr="00571974">
        <w:rPr>
          <w:lang w:val="en-GB"/>
        </w:rPr>
        <w:t xml:space="preserve"> group</w:t>
      </w:r>
      <w:r w:rsidR="003D4D89" w:rsidRPr="00571974">
        <w:rPr>
          <w:lang w:val="en-GB"/>
        </w:rPr>
        <w:t xml:space="preserve"> has been</w:t>
      </w:r>
      <w:r w:rsidRPr="00571974">
        <w:rPr>
          <w:lang w:val="en-GB"/>
        </w:rPr>
        <w:t xml:space="preserve"> engaging all stakeholders on these matters, including government, organized labor, other mining companies and legal representatives of claimants who have filed legal suits against the companies. </w:t>
      </w:r>
      <w:r w:rsidR="003D4D89" w:rsidRPr="00571974">
        <w:rPr>
          <w:lang w:val="en-GB"/>
        </w:rPr>
        <w:t>T</w:t>
      </w:r>
      <w:r w:rsidR="00C464FA" w:rsidRPr="00571974">
        <w:rPr>
          <w:lang w:val="en-GB"/>
        </w:rPr>
        <w:t>h</w:t>
      </w:r>
      <w:r w:rsidR="003D4D89" w:rsidRPr="00571974">
        <w:rPr>
          <w:lang w:val="en-GB"/>
        </w:rPr>
        <w:t>ese engagements have sought</w:t>
      </w:r>
      <w:r w:rsidRPr="00571974">
        <w:rPr>
          <w:lang w:val="en-GB"/>
        </w:rPr>
        <w:t xml:space="preserve"> comprehensive solution</w:t>
      </w:r>
      <w:r w:rsidR="003D4D89" w:rsidRPr="00571974">
        <w:rPr>
          <w:lang w:val="en-GB"/>
        </w:rPr>
        <w:t>s</w:t>
      </w:r>
      <w:r w:rsidRPr="00571974">
        <w:rPr>
          <w:lang w:val="en-GB"/>
        </w:rPr>
        <w:t xml:space="preserve"> to address legacy compensation issues and future legal frameworks that is fair to past and current employees and enables companies to continue to be competitive over the long term.</w:t>
      </w:r>
      <w:r w:rsidR="003D4D89" w:rsidRPr="00571974">
        <w:rPr>
          <w:lang w:val="en-GB"/>
        </w:rPr>
        <w:t xml:space="preserve"> The companies in the working group continue to defend the legal proceedings filed against them. </w:t>
      </w:r>
    </w:p>
    <w:p w14:paraId="105BE99D" w14:textId="77777777" w:rsidR="00E44C4B" w:rsidRPr="00571974" w:rsidRDefault="003D4D89" w:rsidP="00E44C4B">
      <w:pPr>
        <w:pStyle w:val="BodyText"/>
        <w:autoSpaceDE/>
        <w:ind w:firstLine="360"/>
        <w:rPr>
          <w:lang w:val="en-GB"/>
        </w:rPr>
      </w:pPr>
      <w:r w:rsidRPr="00571974">
        <w:rPr>
          <w:lang w:val="en-GB"/>
        </w:rPr>
        <w:t>The parties reached a settlement agreement in May 2018. This settlement (i) required approval by the High Court</w:t>
      </w:r>
      <w:r w:rsidR="00DE1969" w:rsidRPr="00571974">
        <w:rPr>
          <w:lang w:val="en-GB"/>
        </w:rPr>
        <w:t xml:space="preserve"> of South Africa</w:t>
      </w:r>
      <w:r w:rsidRPr="00571974">
        <w:rPr>
          <w:lang w:val="en-GB"/>
        </w:rPr>
        <w:t xml:space="preserve">, and (ii) contained a provision that no more than 2,000 people opt out of the approved settlement agreement. The settlement agreement was approved by the High Court in July 2019, and the final condition precedent was achieved in December 2019, when it was confirmed that fewer than 2,000 persons elected to opt out of the settlement agreement. </w:t>
      </w:r>
    </w:p>
    <w:p w14:paraId="311DF28B" w14:textId="77777777" w:rsidR="00C83C7A" w:rsidRPr="00571974" w:rsidRDefault="003D4D89" w:rsidP="00E44C4B">
      <w:pPr>
        <w:pStyle w:val="BodyText"/>
        <w:autoSpaceDE/>
        <w:ind w:firstLine="360"/>
        <w:rPr>
          <w:lang w:val="en-GB"/>
        </w:rPr>
      </w:pPr>
      <w:r w:rsidRPr="00571974">
        <w:rPr>
          <w:lang w:val="en-GB"/>
        </w:rPr>
        <w:t xml:space="preserve">The settlement accordingly became effective on December 10, 2019. As a result, the independent </w:t>
      </w:r>
      <w:r w:rsidR="00FD1272" w:rsidRPr="00571974">
        <w:rPr>
          <w:lang w:val="en-GB"/>
        </w:rPr>
        <w:t>t</w:t>
      </w:r>
      <w:r w:rsidRPr="00571974">
        <w:rPr>
          <w:lang w:val="en-GB"/>
        </w:rPr>
        <w:t xml:space="preserve">rust has been constituted, and is responsible for tracking and tracing potential claimants, conducting benefit evaluations to determine whether the claimants qualify for benefits and the disbursements of compensation to qualifying claimants. The compensation from the </w:t>
      </w:r>
      <w:r w:rsidR="00FD1272" w:rsidRPr="00571974">
        <w:rPr>
          <w:lang w:val="en-GB"/>
        </w:rPr>
        <w:t>t</w:t>
      </w:r>
      <w:r w:rsidRPr="00571974">
        <w:rPr>
          <w:lang w:val="en-GB"/>
        </w:rPr>
        <w:t xml:space="preserve">rust will be in addition to the statutory benefit the claimants may receive. The </w:t>
      </w:r>
      <w:r w:rsidR="00FD1272" w:rsidRPr="00571974">
        <w:rPr>
          <w:lang w:val="en-GB"/>
        </w:rPr>
        <w:t>t</w:t>
      </w:r>
      <w:r w:rsidRPr="00571974">
        <w:rPr>
          <w:lang w:val="en-GB"/>
        </w:rPr>
        <w:t xml:space="preserve">rust is established on a defined benefit model, with compensation payable to all potentially qualifying claimants. Funding for payment of compensation will be provided on a drip feed model over the 13-year duration of the </w:t>
      </w:r>
      <w:r w:rsidR="00FD1272" w:rsidRPr="00571974">
        <w:rPr>
          <w:lang w:val="en-GB"/>
        </w:rPr>
        <w:t>t</w:t>
      </w:r>
      <w:r w:rsidRPr="00571974">
        <w:rPr>
          <w:lang w:val="en-GB"/>
        </w:rPr>
        <w:t>rust.</w:t>
      </w:r>
    </w:p>
    <w:p w14:paraId="64EE9569" w14:textId="1AAAEC18" w:rsidR="00C83C7A" w:rsidRPr="00571974" w:rsidRDefault="003D4D89" w:rsidP="00C83C7A">
      <w:pPr>
        <w:pStyle w:val="BodyText"/>
        <w:autoSpaceDE/>
        <w:ind w:firstLine="360"/>
        <w:rPr>
          <w:lang w:val="en-GB"/>
        </w:rPr>
      </w:pPr>
      <w:r w:rsidRPr="00571974">
        <w:rPr>
          <w:lang w:val="en-GB"/>
        </w:rPr>
        <w:t>AASA</w:t>
      </w:r>
      <w:r w:rsidR="00A311D8">
        <w:rPr>
          <w:lang w:val="en-GB"/>
        </w:rPr>
        <w:t>’</w:t>
      </w:r>
      <w:r w:rsidRPr="00571974">
        <w:rPr>
          <w:lang w:val="en-GB"/>
        </w:rPr>
        <w:t xml:space="preserve">s anticipated </w:t>
      </w:r>
      <w:r w:rsidR="007B4628" w:rsidRPr="00571974">
        <w:rPr>
          <w:lang w:val="en-GB"/>
        </w:rPr>
        <w:t xml:space="preserve">21% </w:t>
      </w:r>
      <w:r w:rsidRPr="00571974">
        <w:rPr>
          <w:lang w:val="en-GB"/>
        </w:rPr>
        <w:t xml:space="preserve">share of </w:t>
      </w:r>
      <w:r w:rsidR="007B4628" w:rsidRPr="00571974">
        <w:rPr>
          <w:lang w:val="en-GB"/>
        </w:rPr>
        <w:t xml:space="preserve">the total cost of implementing the agreement </w:t>
      </w:r>
      <w:r w:rsidRPr="00571974">
        <w:rPr>
          <w:lang w:val="en-GB"/>
        </w:rPr>
        <w:t xml:space="preserve">is currently estimated at circa </w:t>
      </w:r>
      <w:r w:rsidR="003E1CBD" w:rsidRPr="00571974">
        <w:rPr>
          <w:lang w:val="en-GB"/>
        </w:rPr>
        <w:t>US$</w:t>
      </w:r>
      <w:r w:rsidRPr="00571974">
        <w:rPr>
          <w:lang w:val="en-GB"/>
        </w:rPr>
        <w:t>101 million. The ultimate cost of the settlement will depend on the number of eligible claimants, claim history and disease prevalence.</w:t>
      </w:r>
      <w:r w:rsidR="00F2369E">
        <w:rPr>
          <w:lang w:val="en-GB"/>
        </w:rPr>
        <w:t xml:space="preserve"> </w:t>
      </w:r>
      <w:r w:rsidR="00F2369E" w:rsidRPr="00F2369E">
        <w:rPr>
          <w:lang w:val="en-GB"/>
        </w:rPr>
        <w:t>The assumptions underpinning the financial provisions remain unchanged. The provided amount has been amended to take into account payments made in 2019, foreign exchange fluctuations, discounting to current values, and allocations to current and non-current liabilities.</w:t>
      </w:r>
    </w:p>
    <w:p w14:paraId="2FE6D1F6" w14:textId="77777777" w:rsidR="00542FF4" w:rsidRPr="00571974" w:rsidRDefault="003D4D89" w:rsidP="00542FF4">
      <w:pPr>
        <w:pStyle w:val="BodyText"/>
        <w:autoSpaceDE/>
        <w:ind w:firstLine="360"/>
        <w:rPr>
          <w:u w:val="single"/>
          <w:lang w:val="en-GB"/>
        </w:rPr>
      </w:pPr>
      <w:r w:rsidRPr="00571974">
        <w:rPr>
          <w:u w:val="single"/>
          <w:lang w:val="en-GB"/>
        </w:rPr>
        <w:t>Settled litigation</w:t>
      </w:r>
    </w:p>
    <w:p w14:paraId="451184A9" w14:textId="45B23FCB" w:rsidR="00542FF4" w:rsidRPr="00571974" w:rsidRDefault="00F7022D" w:rsidP="00542FF4">
      <w:pPr>
        <w:pStyle w:val="BodyText"/>
        <w:autoSpaceDE/>
        <w:ind w:firstLine="360"/>
        <w:rPr>
          <w:lang w:val="en-GB"/>
        </w:rPr>
      </w:pPr>
      <w:r w:rsidRPr="00571974">
        <w:rPr>
          <w:lang w:val="en-GB"/>
        </w:rPr>
        <w:t>AASA was also a defendant in approximately 4,400 separate lawsuits filed in the North Gauteng High Court (Pretoria), which were referred to arbitration. These 4,400 claims (approximately 1,200 of which were separately instituted against AngloGold Ashanti) were settled by AASA and AngloGold Ashanti in 2016, without admission of liability, for an amount which is not material to AASA.</w:t>
      </w:r>
    </w:p>
    <w:p w14:paraId="4C1B2D5F" w14:textId="107AAF0C" w:rsidR="00542FF4" w:rsidRPr="00571974" w:rsidRDefault="003D4D89" w:rsidP="00542FF4">
      <w:pPr>
        <w:pStyle w:val="BodyText"/>
        <w:widowControl/>
        <w:autoSpaceDE/>
        <w:autoSpaceDN/>
        <w:adjustRightInd/>
        <w:ind w:firstLine="360"/>
        <w:rPr>
          <w:lang w:val="en-GB"/>
        </w:rPr>
      </w:pPr>
      <w:r w:rsidRPr="00571974">
        <w:rPr>
          <w:lang w:val="en-GB"/>
        </w:rPr>
        <w:t>Other than as disclosed in this section, there are no governmental, legal or arbitration proceedings (including any such proceedings which are pending or th</w:t>
      </w:r>
      <w:r w:rsidR="00653ABD" w:rsidRPr="00571974">
        <w:rPr>
          <w:lang w:val="en-GB"/>
        </w:rPr>
        <w:t xml:space="preserve">reatened of which </w:t>
      </w:r>
      <w:r w:rsidR="00DE1969" w:rsidRPr="00571974">
        <w:rPr>
          <w:lang w:val="en-GB"/>
        </w:rPr>
        <w:t xml:space="preserve">the Company </w:t>
      </w:r>
      <w:r w:rsidR="00653ABD" w:rsidRPr="00571974">
        <w:rPr>
          <w:lang w:val="en-GB"/>
        </w:rPr>
        <w:t>or the Issuer</w:t>
      </w:r>
      <w:r w:rsidRPr="00571974">
        <w:rPr>
          <w:lang w:val="en-GB"/>
        </w:rPr>
        <w:t xml:space="preserve"> is aware), during the 12 months preceding the date of this document which may have, or have had in the recent past, significant effects on the Issuer and/or the Group</w:t>
      </w:r>
      <w:r w:rsidR="00A311D8">
        <w:rPr>
          <w:lang w:val="en-GB"/>
        </w:rPr>
        <w:t>’</w:t>
      </w:r>
      <w:r w:rsidRPr="00571974">
        <w:rPr>
          <w:lang w:val="en-GB"/>
        </w:rPr>
        <w:t>s financial position or profitability.</w:t>
      </w:r>
    </w:p>
    <w:p w14:paraId="49A87785" w14:textId="77777777" w:rsidR="00542FF4" w:rsidRPr="00571974" w:rsidRDefault="003D4D89" w:rsidP="00542FF4">
      <w:pPr>
        <w:pStyle w:val="Heading2"/>
        <w:rPr>
          <w:lang w:val="en-GB"/>
        </w:rPr>
      </w:pPr>
      <w:r w:rsidRPr="00571974">
        <w:rPr>
          <w:lang w:val="en-GB"/>
        </w:rPr>
        <w:t>Nature of Financial Information and Auditors</w:t>
      </w:r>
    </w:p>
    <w:p w14:paraId="5EFDF345" w14:textId="19BB20E2" w:rsidR="00542FF4" w:rsidRPr="00571974" w:rsidRDefault="00E45FE6" w:rsidP="00542FF4">
      <w:pPr>
        <w:pStyle w:val="BodyText"/>
        <w:widowControl/>
        <w:autoSpaceDE/>
        <w:autoSpaceDN/>
        <w:adjustRightInd/>
        <w:ind w:firstLine="360"/>
        <w:rPr>
          <w:lang w:val="en-GB"/>
        </w:rPr>
      </w:pPr>
      <w:r w:rsidRPr="00571974">
        <w:rPr>
          <w:noProof/>
          <w:lang w:val="en-GB"/>
        </w:rPr>
        <w:t>Deloitte</w:t>
      </w:r>
      <w:r w:rsidR="00F7022D" w:rsidRPr="00571974">
        <w:rPr>
          <w:rFonts w:eastAsia="PMingLiU"/>
          <w:szCs w:val="20"/>
          <w:lang w:val="en-GB" w:eastAsia="en-US"/>
        </w:rPr>
        <w:t xml:space="preserve"> </w:t>
      </w:r>
      <w:r w:rsidR="00E66BA2">
        <w:rPr>
          <w:rFonts w:eastAsia="PMingLiU"/>
          <w:szCs w:val="20"/>
          <w:lang w:val="en-GB" w:eastAsia="en-US"/>
        </w:rPr>
        <w:t xml:space="preserve">LLP has </w:t>
      </w:r>
      <w:r w:rsidR="00F7022D" w:rsidRPr="00571974">
        <w:rPr>
          <w:rFonts w:eastAsia="PMingLiU"/>
          <w:szCs w:val="20"/>
          <w:lang w:val="en-GB" w:eastAsia="en-US"/>
        </w:rPr>
        <w:t xml:space="preserve">made reports under Chapter 3 of Part 16 of the Companies Act 2006 on the statutory accounts of the Company and the Issuer for the years ended December 31, </w:t>
      </w:r>
      <w:r w:rsidR="00A55433" w:rsidRPr="00571974">
        <w:rPr>
          <w:rFonts w:eastAsia="PMingLiU"/>
          <w:szCs w:val="20"/>
          <w:lang w:val="en-GB" w:eastAsia="en-US"/>
        </w:rPr>
        <w:t>201</w:t>
      </w:r>
      <w:r w:rsidR="00DB52B4">
        <w:rPr>
          <w:rFonts w:eastAsia="PMingLiU"/>
          <w:szCs w:val="20"/>
          <w:lang w:val="en-GB" w:eastAsia="en-US"/>
        </w:rPr>
        <w:t>9</w:t>
      </w:r>
      <w:r w:rsidR="0056187B" w:rsidRPr="00571974">
        <w:rPr>
          <w:rFonts w:eastAsia="PMingLiU"/>
          <w:szCs w:val="20"/>
          <w:lang w:val="en-GB" w:eastAsia="en-US"/>
        </w:rPr>
        <w:t xml:space="preserve">, </w:t>
      </w:r>
      <w:r w:rsidR="00A55433" w:rsidRPr="00571974">
        <w:rPr>
          <w:rFonts w:eastAsia="PMingLiU"/>
          <w:szCs w:val="20"/>
          <w:lang w:val="en-GB" w:eastAsia="en-US"/>
        </w:rPr>
        <w:t>201</w:t>
      </w:r>
      <w:r w:rsidR="00D6714C" w:rsidRPr="00571974">
        <w:rPr>
          <w:rFonts w:eastAsia="PMingLiU"/>
          <w:szCs w:val="20"/>
          <w:lang w:val="en-GB" w:eastAsia="en-US"/>
        </w:rPr>
        <w:t>8</w:t>
      </w:r>
      <w:r w:rsidR="00A55433" w:rsidRPr="00571974">
        <w:rPr>
          <w:rFonts w:eastAsia="PMingLiU"/>
          <w:szCs w:val="20"/>
          <w:lang w:val="en-GB" w:eastAsia="en-US"/>
        </w:rPr>
        <w:t xml:space="preserve"> </w:t>
      </w:r>
      <w:r w:rsidR="00F7022D" w:rsidRPr="00571974">
        <w:rPr>
          <w:rFonts w:eastAsia="PMingLiU"/>
          <w:szCs w:val="20"/>
          <w:lang w:val="en-GB" w:eastAsia="en-US"/>
        </w:rPr>
        <w:t xml:space="preserve">and </w:t>
      </w:r>
      <w:r w:rsidR="00A55433" w:rsidRPr="00571974">
        <w:rPr>
          <w:rFonts w:eastAsia="PMingLiU"/>
          <w:szCs w:val="20"/>
          <w:lang w:val="en-GB" w:eastAsia="en-US"/>
        </w:rPr>
        <w:t>201</w:t>
      </w:r>
      <w:r w:rsidR="00DB52B4">
        <w:rPr>
          <w:rFonts w:eastAsia="PMingLiU"/>
          <w:szCs w:val="20"/>
          <w:lang w:val="en-GB" w:eastAsia="en-US"/>
        </w:rPr>
        <w:t>7</w:t>
      </w:r>
      <w:r w:rsidR="00A55433" w:rsidRPr="00571974">
        <w:rPr>
          <w:rFonts w:eastAsia="PMingLiU"/>
          <w:szCs w:val="20"/>
          <w:lang w:val="en-GB" w:eastAsia="en-US"/>
        </w:rPr>
        <w:t xml:space="preserve"> </w:t>
      </w:r>
      <w:r w:rsidR="00F7022D" w:rsidRPr="00571974">
        <w:rPr>
          <w:rFonts w:eastAsia="PMingLiU"/>
          <w:szCs w:val="20"/>
          <w:lang w:val="en-GB" w:eastAsia="en-US"/>
        </w:rPr>
        <w:t xml:space="preserve">(each incorporated by reference in this document), which were unqualified and did not contain any statement as is described in Sections 498 (2) or (3) of </w:t>
      </w:r>
      <w:r w:rsidR="00F7022D" w:rsidRPr="00571974">
        <w:rPr>
          <w:lang w:val="en-GB"/>
        </w:rPr>
        <w:t xml:space="preserve">the Companies Act 2006. Any financial information included in this document (other than the statutory accounts incorporated by reference in this document) do not constitute the statutory accounts of the Company or the Issuer within the meaning of Section 435 (1) and (2) of the Companies Act 2006 for any period presented. Statutory accounts of the Company and the Issuer have been delivered to the Registrar of Companies in England and Wales for the year-ended December 31, </w:t>
      </w:r>
      <w:r w:rsidR="00A55433" w:rsidRPr="00571974">
        <w:rPr>
          <w:lang w:val="en-GB"/>
        </w:rPr>
        <w:t>201</w:t>
      </w:r>
      <w:r w:rsidR="00D6714C" w:rsidRPr="00571974">
        <w:rPr>
          <w:lang w:val="en-GB"/>
        </w:rPr>
        <w:t>9</w:t>
      </w:r>
      <w:r w:rsidR="00A55433" w:rsidRPr="00571974">
        <w:rPr>
          <w:lang w:val="en-GB"/>
        </w:rPr>
        <w:t xml:space="preserve"> </w:t>
      </w:r>
      <w:r w:rsidR="00F7022D" w:rsidRPr="00571974">
        <w:rPr>
          <w:lang w:val="en-GB"/>
        </w:rPr>
        <w:t>in accordance with, and as required by, UK law.</w:t>
      </w:r>
    </w:p>
    <w:p w14:paraId="4F6A829F" w14:textId="25F71A76" w:rsidR="00542FF4" w:rsidRPr="00571974" w:rsidRDefault="003D4D89" w:rsidP="00542FF4">
      <w:pPr>
        <w:pStyle w:val="BodyText"/>
        <w:widowControl/>
        <w:autoSpaceDE/>
        <w:autoSpaceDN/>
        <w:adjustRightInd/>
        <w:ind w:firstLine="360"/>
        <w:rPr>
          <w:lang w:val="en-GB"/>
        </w:rPr>
      </w:pPr>
      <w:r w:rsidRPr="00571974">
        <w:rPr>
          <w:lang w:val="en-GB"/>
        </w:rPr>
        <w:t xml:space="preserve">The auditors of the Company and the Issuer </w:t>
      </w:r>
      <w:r w:rsidR="00E66BA2">
        <w:rPr>
          <w:lang w:val="en-GB"/>
        </w:rPr>
        <w:t>for the years ended December 31, 201</w:t>
      </w:r>
      <w:r w:rsidR="00DB52B4">
        <w:rPr>
          <w:lang w:val="en-GB"/>
        </w:rPr>
        <w:t>9</w:t>
      </w:r>
      <w:r w:rsidR="00E66BA2">
        <w:rPr>
          <w:lang w:val="en-GB"/>
        </w:rPr>
        <w:t>, 2018 and 201</w:t>
      </w:r>
      <w:r w:rsidR="00DB52B4">
        <w:rPr>
          <w:lang w:val="en-GB"/>
        </w:rPr>
        <w:t>7</w:t>
      </w:r>
      <w:r w:rsidR="00E66BA2">
        <w:rPr>
          <w:lang w:val="en-GB"/>
        </w:rPr>
        <w:t xml:space="preserve"> were</w:t>
      </w:r>
      <w:r w:rsidR="00D30762" w:rsidRPr="00571974">
        <w:rPr>
          <w:lang w:val="en-GB"/>
        </w:rPr>
        <w:t xml:space="preserve"> </w:t>
      </w:r>
      <w:r w:rsidRPr="00571974">
        <w:rPr>
          <w:lang w:val="en-GB"/>
        </w:rPr>
        <w:t xml:space="preserve">Deloitte of 2 New Street Square, London EC4A 3BZ, who are </w:t>
      </w:r>
      <w:r w:rsidR="00210833" w:rsidRPr="00571974">
        <w:rPr>
          <w:lang w:val="en-GB"/>
        </w:rPr>
        <w:t xml:space="preserve">registered to carry out audit work by the Institute of Chartered Accountants in England and </w:t>
      </w:r>
      <w:r w:rsidR="00A35370" w:rsidRPr="00571974">
        <w:rPr>
          <w:lang w:val="en-GB"/>
        </w:rPr>
        <w:t>Wales and</w:t>
      </w:r>
      <w:r w:rsidRPr="00571974">
        <w:rPr>
          <w:lang w:val="en-GB"/>
        </w:rPr>
        <w:t xml:space="preserve"> regulated by the Audit Inspection Unit of the Professional Oversight Board of the Financial Reporting Council in the United Kingdom, whose address is Eighth Floor, 1 Canada Square, Canary Wharf, London E14 5AG. </w:t>
      </w:r>
      <w:r w:rsidR="00D30762" w:rsidRPr="00571974">
        <w:rPr>
          <w:lang w:val="en-GB"/>
        </w:rPr>
        <w:t>Deloitte</w:t>
      </w:r>
      <w:r w:rsidRPr="00571974">
        <w:rPr>
          <w:lang w:val="en-GB"/>
        </w:rPr>
        <w:t xml:space="preserve"> ha</w:t>
      </w:r>
      <w:r w:rsidR="00D30762" w:rsidRPr="00571974">
        <w:rPr>
          <w:lang w:val="en-GB"/>
        </w:rPr>
        <w:t>s</w:t>
      </w:r>
      <w:r w:rsidRPr="00571974">
        <w:rPr>
          <w:lang w:val="en-GB"/>
        </w:rPr>
        <w:t xml:space="preserve"> no interest in the Issuer or the Company.</w:t>
      </w:r>
    </w:p>
    <w:p w14:paraId="62602065" w14:textId="77777777" w:rsidR="00542FF4" w:rsidRPr="00571974" w:rsidRDefault="003D4D89" w:rsidP="00542FF4">
      <w:pPr>
        <w:pStyle w:val="Heading2"/>
        <w:rPr>
          <w:lang w:val="en-GB"/>
        </w:rPr>
      </w:pPr>
      <w:r w:rsidRPr="00571974">
        <w:rPr>
          <w:lang w:val="en-GB"/>
        </w:rPr>
        <w:lastRenderedPageBreak/>
        <w:t>Yield</w:t>
      </w:r>
    </w:p>
    <w:p w14:paraId="1CC7A021" w14:textId="3D8408B5" w:rsidR="00542FF4" w:rsidRPr="00571974" w:rsidRDefault="00F7022D" w:rsidP="00542FF4">
      <w:pPr>
        <w:pStyle w:val="BodyText"/>
        <w:widowControl/>
        <w:autoSpaceDE/>
        <w:autoSpaceDN/>
        <w:adjustRightInd/>
        <w:ind w:firstLine="360"/>
        <w:rPr>
          <w:lang w:val="en-GB"/>
        </w:rPr>
      </w:pPr>
      <w:r w:rsidRPr="00571974">
        <w:rPr>
          <w:lang w:val="en-GB"/>
        </w:rPr>
        <w:t xml:space="preserve">The projected yield of the </w:t>
      </w:r>
      <w:r w:rsidR="00F400D2">
        <w:rPr>
          <w:lang w:val="en-GB"/>
        </w:rPr>
        <w:t>20</w:t>
      </w:r>
      <w:r w:rsidR="00183F92">
        <w:rPr>
          <w:lang w:val="en-GB"/>
        </w:rPr>
        <w:t xml:space="preserve">25 </w:t>
      </w:r>
      <w:r w:rsidR="00F400D2">
        <w:rPr>
          <w:lang w:val="en-GB"/>
        </w:rPr>
        <w:t xml:space="preserve">Notes will be </w:t>
      </w:r>
      <w:r w:rsidR="00183F92">
        <w:rPr>
          <w:lang w:val="en-GB"/>
        </w:rPr>
        <w:t xml:space="preserve">5.396% </w:t>
      </w:r>
      <w:r w:rsidR="00F400D2">
        <w:rPr>
          <w:lang w:val="en-GB"/>
        </w:rPr>
        <w:t>and of the 20</w:t>
      </w:r>
      <w:r w:rsidR="00183F92">
        <w:rPr>
          <w:lang w:val="en-GB"/>
        </w:rPr>
        <w:t>30</w:t>
      </w:r>
      <w:r w:rsidR="00F400D2">
        <w:rPr>
          <w:lang w:val="en-GB"/>
        </w:rPr>
        <w:t xml:space="preserve"> </w:t>
      </w:r>
      <w:r w:rsidRPr="00571974">
        <w:rPr>
          <w:lang w:val="en-GB"/>
        </w:rPr>
        <w:t xml:space="preserve">Notes will be </w:t>
      </w:r>
      <w:r w:rsidR="00183F92">
        <w:rPr>
          <w:lang w:val="en-GB"/>
        </w:rPr>
        <w:t>5.700</w:t>
      </w:r>
      <w:r w:rsidRPr="00571974">
        <w:rPr>
          <w:lang w:val="en-GB"/>
        </w:rPr>
        <w:t>%. Such projection has been calculated on the basis of the offering prices as at the date of this document and is not an indication of actual future returns for investors.</w:t>
      </w:r>
      <w:r w:rsidR="003D4D89" w:rsidRPr="00571974">
        <w:rPr>
          <w:noProof/>
          <w:lang w:val="en-GB"/>
        </w:rPr>
        <w:t xml:space="preserve"> </w:t>
      </w:r>
    </w:p>
    <w:p w14:paraId="3156D8DF" w14:textId="77777777" w:rsidR="00542FF4" w:rsidRPr="00571974" w:rsidRDefault="003D4D89" w:rsidP="00542FF4">
      <w:pPr>
        <w:pStyle w:val="Heading2"/>
        <w:rPr>
          <w:lang w:val="en-GB"/>
        </w:rPr>
      </w:pPr>
      <w:r w:rsidRPr="00571974">
        <w:rPr>
          <w:lang w:val="en-GB"/>
        </w:rPr>
        <w:t>Interests of Natural and Legal Persons Involved in the Issue</w:t>
      </w:r>
    </w:p>
    <w:p w14:paraId="6BCAB668" w14:textId="77777777" w:rsidR="00542FF4" w:rsidRPr="00571974" w:rsidRDefault="003D4D89" w:rsidP="00542FF4">
      <w:pPr>
        <w:pStyle w:val="BodyText"/>
        <w:widowControl/>
        <w:autoSpaceDE/>
        <w:autoSpaceDN/>
        <w:adjustRightInd/>
        <w:ind w:firstLine="360"/>
        <w:rPr>
          <w:lang w:val="en-GB"/>
        </w:rPr>
      </w:pPr>
      <w:r w:rsidRPr="00571974">
        <w:rPr>
          <w:lang w:val="en-GB"/>
        </w:rPr>
        <w:t>Save for any fees payable to the Initial Purchasers, so far as the Company and the Issuer are aware, no person involved in the issue of the Notes has an interest material to the offer.</w:t>
      </w:r>
    </w:p>
    <w:p w14:paraId="5AC493FD" w14:textId="0C90E526" w:rsidR="00542FF4" w:rsidRPr="00571974" w:rsidRDefault="003D4D89" w:rsidP="00542FF4">
      <w:pPr>
        <w:pStyle w:val="Heading2"/>
        <w:rPr>
          <w:lang w:val="en-GB"/>
        </w:rPr>
      </w:pPr>
      <w:r w:rsidRPr="00571974">
        <w:rPr>
          <w:lang w:val="en-GB"/>
        </w:rPr>
        <w:t>Documents</w:t>
      </w:r>
    </w:p>
    <w:p w14:paraId="426E3371" w14:textId="4050177E" w:rsidR="00542FF4" w:rsidRPr="00571974" w:rsidRDefault="00F7022D" w:rsidP="00542FF4">
      <w:pPr>
        <w:pStyle w:val="BodyText"/>
        <w:widowControl/>
        <w:autoSpaceDE/>
        <w:autoSpaceDN/>
        <w:adjustRightInd/>
        <w:ind w:firstLine="360"/>
        <w:rPr>
          <w:lang w:val="en-GB"/>
        </w:rPr>
      </w:pPr>
      <w:r w:rsidRPr="00571974">
        <w:rPr>
          <w:lang w:val="en-GB"/>
        </w:rPr>
        <w:t xml:space="preserve">For the </w:t>
      </w:r>
      <w:r w:rsidR="00B74757">
        <w:rPr>
          <w:lang w:val="en-GB"/>
        </w:rPr>
        <w:t>life of this document,</w:t>
      </w:r>
      <w:r w:rsidR="00B74757" w:rsidRPr="00571974">
        <w:rPr>
          <w:lang w:val="en-GB"/>
        </w:rPr>
        <w:t xml:space="preserve"> </w:t>
      </w:r>
      <w:r w:rsidRPr="00571974">
        <w:rPr>
          <w:lang w:val="en-GB"/>
        </w:rPr>
        <w:t xml:space="preserve">copies of the following documents will be available for inspection </w:t>
      </w:r>
      <w:r w:rsidR="00B74757">
        <w:rPr>
          <w:lang w:val="en-GB"/>
        </w:rPr>
        <w:t xml:space="preserve">at (i) in the case of the documents listed in (a) and (d), </w:t>
      </w:r>
      <w:hyperlink r:id="rId24" w:history="1">
        <w:r w:rsidR="00F94C96">
          <w:rPr>
            <w:rStyle w:val="Hyperlink"/>
            <w:rFonts w:eastAsia="PMingLiU"/>
          </w:rPr>
          <w:t>https://www.angloamerican.com/investors/fixed-income-investors/usd-investor-downloads</w:t>
        </w:r>
      </w:hyperlink>
      <w:r w:rsidR="00B74757">
        <w:t xml:space="preserve"> (ii) in the case of the documents listed in (b)</w:t>
      </w:r>
      <w:r w:rsidR="00026701">
        <w:t>,</w:t>
      </w:r>
      <w:r w:rsidR="00B74757">
        <w:t xml:space="preserve"> </w:t>
      </w:r>
      <w:hyperlink r:id="rId25" w:history="1">
        <w:r w:rsidR="00F94C96">
          <w:rPr>
            <w:rStyle w:val="Hyperlink"/>
            <w:rFonts w:eastAsia="PMingLiU"/>
          </w:rPr>
          <w:t>https://www.angloamerican.com/investors/fixed-income-investors/issuer-document-downloads</w:t>
        </w:r>
      </w:hyperlink>
      <w:r w:rsidR="00B74757">
        <w:t xml:space="preserve"> and (iii) in the case of the documents listed in (c),</w:t>
      </w:r>
      <w:r w:rsidR="00026701">
        <w:t xml:space="preserve"> at the websites listed in the section entitled </w:t>
      </w:r>
      <w:r w:rsidR="00A311D8">
        <w:t>“</w:t>
      </w:r>
      <w:r w:rsidR="00026701" w:rsidRPr="00C90E17">
        <w:rPr>
          <w:i/>
        </w:rPr>
        <w:t>Incorporation of Certain Information by Reference</w:t>
      </w:r>
      <w:r w:rsidR="00A311D8">
        <w:t>”</w:t>
      </w:r>
      <w:r w:rsidRPr="00571974">
        <w:rPr>
          <w:lang w:val="en-GB"/>
        </w:rPr>
        <w:t>:</w:t>
      </w:r>
    </w:p>
    <w:p w14:paraId="18B84A6C"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(a)</w:t>
      </w:r>
      <w:r w:rsidRPr="00571974">
        <w:rPr>
          <w:lang w:val="en-GB"/>
        </w:rPr>
        <w:tab/>
        <w:t>this document;</w:t>
      </w:r>
      <w:r w:rsidR="00CE2FAD" w:rsidRPr="00571974">
        <w:rPr>
          <w:noProof/>
          <w:lang w:val="en-GB"/>
        </w:rPr>
        <w:t xml:space="preserve"> </w:t>
      </w:r>
    </w:p>
    <w:p w14:paraId="710BD8F0" w14:textId="027881A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(b)</w:t>
      </w:r>
      <w:r w:rsidRPr="00571974">
        <w:rPr>
          <w:lang w:val="en-GB"/>
        </w:rPr>
        <w:tab/>
        <w:t xml:space="preserve">the </w:t>
      </w:r>
      <w:r w:rsidR="0027125A">
        <w:rPr>
          <w:lang w:val="en-GB"/>
        </w:rPr>
        <w:t xml:space="preserve">Memorandum and </w:t>
      </w:r>
      <w:r w:rsidRPr="00571974">
        <w:rPr>
          <w:lang w:val="en-GB"/>
        </w:rPr>
        <w:t>Articles of Association of Anglo American plc and Anglo American Capital plc;</w:t>
      </w:r>
    </w:p>
    <w:p w14:paraId="6E8E68DE" w14:textId="2D1AE3D4" w:rsidR="003F487D" w:rsidRPr="00571974" w:rsidRDefault="003D4D89">
      <w:pPr>
        <w:widowControl/>
        <w:tabs>
          <w:tab w:val="left" w:pos="-720"/>
          <w:tab w:val="left" w:pos="0"/>
        </w:tabs>
        <w:suppressAutoHyphens/>
        <w:spacing w:after="240"/>
        <w:ind w:left="1134" w:hanging="720"/>
        <w:rPr>
          <w:lang w:val="en-GB"/>
        </w:rPr>
      </w:pPr>
      <w:r w:rsidRPr="00571974">
        <w:rPr>
          <w:lang w:val="en-GB"/>
        </w:rPr>
        <w:t>(c)</w:t>
      </w:r>
      <w:r w:rsidRPr="00571974">
        <w:rPr>
          <w:lang w:val="en-GB"/>
        </w:rPr>
        <w:tab/>
        <w:t xml:space="preserve">the Group </w:t>
      </w:r>
      <w:r w:rsidR="00A55433" w:rsidRPr="00571974">
        <w:rPr>
          <w:lang w:val="en-GB"/>
        </w:rPr>
        <w:t>201</w:t>
      </w:r>
      <w:r w:rsidR="001F3E6A">
        <w:rPr>
          <w:lang w:val="en-GB"/>
        </w:rPr>
        <w:t>9</w:t>
      </w:r>
      <w:r w:rsidR="00A55433" w:rsidRPr="00571974">
        <w:rPr>
          <w:lang w:val="en-GB"/>
        </w:rPr>
        <w:t xml:space="preserve"> </w:t>
      </w:r>
      <w:r w:rsidR="00F7022D" w:rsidRPr="00571974">
        <w:rPr>
          <w:lang w:val="en-GB"/>
        </w:rPr>
        <w:t xml:space="preserve">Consolidated Financial Statements, the </w:t>
      </w:r>
      <w:r w:rsidR="000037CA" w:rsidRPr="00571974">
        <w:rPr>
          <w:lang w:val="en-GB"/>
        </w:rPr>
        <w:t xml:space="preserve">Group </w:t>
      </w:r>
      <w:r w:rsidR="00A55433" w:rsidRPr="00571974">
        <w:rPr>
          <w:lang w:val="en-GB"/>
        </w:rPr>
        <w:t>201</w:t>
      </w:r>
      <w:r w:rsidR="00D6714C" w:rsidRPr="00571974">
        <w:rPr>
          <w:lang w:val="en-GB"/>
        </w:rPr>
        <w:t>8</w:t>
      </w:r>
      <w:r w:rsidR="00A55433" w:rsidRPr="00571974">
        <w:rPr>
          <w:lang w:val="en-GB"/>
        </w:rPr>
        <w:t xml:space="preserve"> </w:t>
      </w:r>
      <w:r w:rsidR="00F7022D" w:rsidRPr="00571974">
        <w:rPr>
          <w:lang w:val="en-GB"/>
        </w:rPr>
        <w:t xml:space="preserve">Consolidated Financial Statements, the </w:t>
      </w:r>
      <w:r w:rsidR="000037CA" w:rsidRPr="00571974">
        <w:rPr>
          <w:lang w:val="en-GB"/>
        </w:rPr>
        <w:t xml:space="preserve">Group </w:t>
      </w:r>
      <w:r w:rsidR="00A55433" w:rsidRPr="00571974">
        <w:rPr>
          <w:lang w:val="en-GB"/>
        </w:rPr>
        <w:t>201</w:t>
      </w:r>
      <w:r w:rsidR="001F3E6A">
        <w:rPr>
          <w:lang w:val="en-GB"/>
        </w:rPr>
        <w:t>7</w:t>
      </w:r>
      <w:r w:rsidR="00A55433" w:rsidRPr="00571974">
        <w:rPr>
          <w:lang w:val="en-GB"/>
        </w:rPr>
        <w:t xml:space="preserve"> </w:t>
      </w:r>
      <w:r w:rsidR="00F7022D" w:rsidRPr="00571974">
        <w:rPr>
          <w:lang w:val="en-GB"/>
        </w:rPr>
        <w:t xml:space="preserve">Consolidated Financial Statements, the Issuer </w:t>
      </w:r>
      <w:r w:rsidR="00A55433" w:rsidRPr="00571974">
        <w:rPr>
          <w:lang w:val="en-GB"/>
        </w:rPr>
        <w:t>201</w:t>
      </w:r>
      <w:r w:rsidR="001F3E6A">
        <w:rPr>
          <w:lang w:val="en-GB"/>
        </w:rPr>
        <w:t>9</w:t>
      </w:r>
      <w:r w:rsidR="00A55433" w:rsidRPr="00571974">
        <w:rPr>
          <w:lang w:val="en-GB"/>
        </w:rPr>
        <w:t xml:space="preserve"> </w:t>
      </w:r>
      <w:r w:rsidR="00F7022D" w:rsidRPr="00571974">
        <w:rPr>
          <w:lang w:val="en-GB"/>
        </w:rPr>
        <w:t xml:space="preserve">Financial Statements, the </w:t>
      </w:r>
      <w:r w:rsidR="000037CA" w:rsidRPr="00571974">
        <w:rPr>
          <w:lang w:val="en-GB"/>
        </w:rPr>
        <w:t xml:space="preserve">Issuer </w:t>
      </w:r>
      <w:r w:rsidR="00A55433" w:rsidRPr="00571974">
        <w:rPr>
          <w:lang w:val="en-GB"/>
        </w:rPr>
        <w:t>201</w:t>
      </w:r>
      <w:r w:rsidR="00D6714C" w:rsidRPr="00571974">
        <w:rPr>
          <w:lang w:val="en-GB"/>
        </w:rPr>
        <w:t>8</w:t>
      </w:r>
      <w:r w:rsidR="00A55433" w:rsidRPr="00571974">
        <w:rPr>
          <w:lang w:val="en-GB"/>
        </w:rPr>
        <w:t xml:space="preserve"> </w:t>
      </w:r>
      <w:r w:rsidR="00F7022D" w:rsidRPr="00571974">
        <w:rPr>
          <w:lang w:val="en-GB"/>
        </w:rPr>
        <w:t>Financial State</w:t>
      </w:r>
      <w:r w:rsidR="00EB52B4" w:rsidRPr="00571974">
        <w:rPr>
          <w:lang w:val="en-GB"/>
        </w:rPr>
        <w:t>ments</w:t>
      </w:r>
      <w:r w:rsidR="00F7022D" w:rsidRPr="00571974">
        <w:rPr>
          <w:lang w:val="en-GB"/>
        </w:rPr>
        <w:t xml:space="preserve"> and the </w:t>
      </w:r>
      <w:r w:rsidR="000037CA" w:rsidRPr="00571974">
        <w:rPr>
          <w:lang w:val="en-GB"/>
        </w:rPr>
        <w:t xml:space="preserve">Issuer </w:t>
      </w:r>
      <w:r w:rsidR="00A55433" w:rsidRPr="00571974">
        <w:rPr>
          <w:lang w:val="en-GB"/>
        </w:rPr>
        <w:t>201</w:t>
      </w:r>
      <w:r w:rsidR="001F3E6A">
        <w:rPr>
          <w:lang w:val="en-GB"/>
        </w:rPr>
        <w:t>7</w:t>
      </w:r>
      <w:r w:rsidR="00A55433" w:rsidRPr="00571974">
        <w:rPr>
          <w:lang w:val="en-GB"/>
        </w:rPr>
        <w:t xml:space="preserve"> </w:t>
      </w:r>
      <w:r w:rsidR="00F7022D" w:rsidRPr="00571974">
        <w:rPr>
          <w:lang w:val="en-GB"/>
        </w:rPr>
        <w:t>Financial Statements;</w:t>
      </w:r>
      <w:r w:rsidR="00E66BA2">
        <w:rPr>
          <w:lang w:val="en-GB"/>
        </w:rPr>
        <w:t xml:space="preserve"> and</w:t>
      </w:r>
    </w:p>
    <w:p w14:paraId="685A0C40" w14:textId="77777777" w:rsidR="00542FF4" w:rsidRPr="00571974" w:rsidRDefault="003D4D89" w:rsidP="00542FF4">
      <w:pPr>
        <w:widowControl/>
        <w:tabs>
          <w:tab w:val="left" w:pos="-720"/>
          <w:tab w:val="left" w:pos="0"/>
        </w:tabs>
        <w:suppressAutoHyphens/>
        <w:spacing w:after="240"/>
        <w:ind w:left="1134" w:hanging="720"/>
        <w:rPr>
          <w:lang w:val="en-GB"/>
        </w:rPr>
      </w:pPr>
      <w:r w:rsidRPr="00571974">
        <w:rPr>
          <w:lang w:val="en-GB"/>
        </w:rPr>
        <w:t>(</w:t>
      </w:r>
      <w:r w:rsidR="0056187B" w:rsidRPr="00571974">
        <w:rPr>
          <w:lang w:val="en-GB"/>
        </w:rPr>
        <w:t>d</w:t>
      </w:r>
      <w:r w:rsidRPr="00571974">
        <w:rPr>
          <w:lang w:val="en-GB"/>
        </w:rPr>
        <w:t>)</w:t>
      </w:r>
      <w:r w:rsidRPr="00571974">
        <w:rPr>
          <w:lang w:val="en-GB"/>
        </w:rPr>
        <w:tab/>
        <w:t>the Indenture.</w:t>
      </w:r>
      <w:bookmarkEnd w:id="110"/>
    </w:p>
    <w:p w14:paraId="6194D9FA" w14:textId="77777777" w:rsidR="009135F5" w:rsidRPr="00571974" w:rsidRDefault="009135F5" w:rsidP="00542FF4">
      <w:pPr>
        <w:widowControl/>
        <w:tabs>
          <w:tab w:val="left" w:pos="-720"/>
          <w:tab w:val="left" w:pos="0"/>
        </w:tabs>
        <w:suppressAutoHyphens/>
        <w:spacing w:after="240"/>
        <w:ind w:left="1134" w:hanging="720"/>
        <w:rPr>
          <w:lang w:val="en-GB"/>
        </w:rPr>
      </w:pPr>
    </w:p>
    <w:p w14:paraId="267B26C9" w14:textId="77777777" w:rsidR="009135F5" w:rsidRPr="00571974" w:rsidRDefault="009135F5" w:rsidP="00542FF4">
      <w:pPr>
        <w:widowControl/>
        <w:tabs>
          <w:tab w:val="left" w:pos="-720"/>
          <w:tab w:val="left" w:pos="0"/>
        </w:tabs>
        <w:suppressAutoHyphens/>
        <w:spacing w:after="240"/>
        <w:ind w:left="1134" w:hanging="720"/>
        <w:rPr>
          <w:lang w:val="en-GB"/>
        </w:rPr>
      </w:pPr>
    </w:p>
    <w:p w14:paraId="5D8BB420" w14:textId="2217CE34" w:rsidR="009135F5" w:rsidRPr="00571974" w:rsidRDefault="009135F5" w:rsidP="00542FF4">
      <w:pPr>
        <w:widowControl/>
        <w:tabs>
          <w:tab w:val="left" w:pos="-720"/>
          <w:tab w:val="left" w:pos="0"/>
        </w:tabs>
        <w:suppressAutoHyphens/>
        <w:spacing w:after="240"/>
        <w:ind w:left="1134" w:hanging="720"/>
        <w:rPr>
          <w:lang w:val="en-GB"/>
        </w:rPr>
      </w:pPr>
    </w:p>
    <w:p w14:paraId="538A17ED" w14:textId="77777777" w:rsidR="009135F5" w:rsidRPr="00571974" w:rsidRDefault="009135F5" w:rsidP="00542FF4">
      <w:pPr>
        <w:widowControl/>
        <w:tabs>
          <w:tab w:val="left" w:pos="-720"/>
          <w:tab w:val="left" w:pos="0"/>
        </w:tabs>
        <w:suppressAutoHyphens/>
        <w:spacing w:after="240"/>
        <w:ind w:left="1134" w:hanging="720"/>
        <w:rPr>
          <w:lang w:val="en-GB"/>
        </w:rPr>
      </w:pPr>
    </w:p>
    <w:p w14:paraId="73C4B2F1" w14:textId="77777777" w:rsidR="00E72D61" w:rsidRPr="00571974" w:rsidRDefault="003D4D89">
      <w:pPr>
        <w:widowControl/>
        <w:autoSpaceDE/>
        <w:autoSpaceDN/>
        <w:adjustRightInd/>
        <w:rPr>
          <w:lang w:val="en-GB"/>
        </w:rPr>
      </w:pPr>
      <w:r w:rsidRPr="00571974">
        <w:rPr>
          <w:lang w:val="en-GB"/>
        </w:rPr>
        <w:br w:type="page"/>
      </w:r>
    </w:p>
    <w:p w14:paraId="5C11AB34" w14:textId="7D11EB1F" w:rsidR="00542FF4" w:rsidRPr="00571974" w:rsidRDefault="003D4D89" w:rsidP="00542FF4">
      <w:pPr>
        <w:pStyle w:val="Heading1"/>
        <w:rPr>
          <w:lang w:val="en-GB"/>
        </w:rPr>
      </w:pPr>
      <w:bookmarkStart w:id="111" w:name="_Toc36388978"/>
      <w:r w:rsidRPr="00571974">
        <w:rPr>
          <w:lang w:val="en-GB"/>
        </w:rPr>
        <w:lastRenderedPageBreak/>
        <w:t>DEFINED TERMS</w:t>
      </w:r>
      <w:bookmarkEnd w:id="111"/>
    </w:p>
    <w:tbl>
      <w:tblPr>
        <w:tblW w:w="5000" w:type="pct"/>
        <w:jc w:val="center"/>
        <w:tblCellMar>
          <w:left w:w="72" w:type="dxa"/>
          <w:right w:w="72" w:type="dxa"/>
        </w:tblCellMar>
        <w:tblLook w:val="0000" w:firstRow="0" w:lastRow="0" w:firstColumn="0" w:lastColumn="0" w:noHBand="0" w:noVBand="0"/>
      </w:tblPr>
      <w:tblGrid>
        <w:gridCol w:w="4678"/>
        <w:gridCol w:w="4678"/>
      </w:tblGrid>
      <w:tr w:rsidR="002228B8" w14:paraId="2AA160E6" w14:textId="77777777" w:rsidTr="007C63D0">
        <w:trPr>
          <w:cantSplit/>
          <w:jc w:val="center"/>
        </w:trPr>
        <w:tc>
          <w:tcPr>
            <w:tcW w:w="2500" w:type="pct"/>
            <w:tcBorders>
              <w:top w:val="nil"/>
              <w:left w:val="nil"/>
              <w:bottom w:val="nil"/>
              <w:right w:val="nil"/>
            </w:tcBorders>
            <w:vAlign w:val="bottom"/>
          </w:tcPr>
          <w:p w14:paraId="2CE1DA36" w14:textId="77777777" w:rsidR="00542FF4" w:rsidRPr="00571974" w:rsidRDefault="003D4D89" w:rsidP="007C63D0">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lang w:val="en-GB" w:eastAsia="en-GB" w:bidi="ar-SA"/>
              </w:rPr>
            </w:pPr>
            <w:r w:rsidRPr="00571974">
              <w:rPr>
                <w:b/>
                <w:bCs/>
                <w:sz w:val="16"/>
                <w:szCs w:val="18"/>
                <w:lang w:val="en-GB" w:eastAsia="en-GB" w:bidi="ar-SA"/>
              </w:rPr>
              <w:t>Defined Term</w:t>
            </w:r>
          </w:p>
        </w:tc>
        <w:tc>
          <w:tcPr>
            <w:tcW w:w="2500" w:type="pct"/>
            <w:tcBorders>
              <w:top w:val="nil"/>
              <w:left w:val="nil"/>
              <w:bottom w:val="nil"/>
              <w:right w:val="nil"/>
            </w:tcBorders>
            <w:vAlign w:val="bottom"/>
          </w:tcPr>
          <w:p w14:paraId="6F7D07CE" w14:textId="77777777" w:rsidR="00542FF4" w:rsidRPr="00571974" w:rsidRDefault="003D4D89" w:rsidP="007C63D0">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8"/>
                <w:szCs w:val="18"/>
                <w:lang w:val="en-GB" w:eastAsia="en-GB" w:bidi="ar-SA"/>
              </w:rPr>
            </w:pPr>
            <w:r w:rsidRPr="00571974">
              <w:rPr>
                <w:b/>
                <w:bCs/>
                <w:sz w:val="16"/>
                <w:szCs w:val="18"/>
                <w:lang w:val="en-GB" w:eastAsia="en-GB" w:bidi="ar-SA"/>
              </w:rPr>
              <w:t>Definition</w:t>
            </w:r>
          </w:p>
        </w:tc>
      </w:tr>
      <w:tr w:rsidR="002228B8" w14:paraId="00524EF4" w14:textId="77777777" w:rsidTr="007C63D0">
        <w:trPr>
          <w:cantSplit/>
          <w:jc w:val="center"/>
        </w:trPr>
        <w:tc>
          <w:tcPr>
            <w:tcW w:w="2500" w:type="pct"/>
            <w:tcBorders>
              <w:top w:val="nil"/>
              <w:left w:val="nil"/>
              <w:bottom w:val="nil"/>
              <w:right w:val="nil"/>
            </w:tcBorders>
          </w:tcPr>
          <w:p w14:paraId="0C0F2329" w14:textId="4427C1B4" w:rsidR="00542FF4" w:rsidRPr="00571974" w:rsidRDefault="00A311D8"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Pr>
                <w:lang w:val="en-GB" w:eastAsia="en-GB" w:bidi="ar-SA"/>
              </w:rPr>
              <w:t>20</w:t>
            </w:r>
            <w:r w:rsidR="004B32BB">
              <w:rPr>
                <w:lang w:val="en-GB" w:eastAsia="en-GB" w:bidi="ar-SA"/>
              </w:rPr>
              <w:t>25</w:t>
            </w:r>
            <w:r w:rsidR="00F400D2">
              <w:rPr>
                <w:lang w:val="en-GB" w:eastAsia="en-GB" w:bidi="ar-SA"/>
              </w:rPr>
              <w:t xml:space="preserve"> Notes</w:t>
            </w:r>
            <w:r>
              <w:rPr>
                <w:lang w:val="en-GB" w:eastAsia="en-GB" w:bidi="ar-SA"/>
              </w:rPr>
              <w:t>”</w:t>
            </w:r>
          </w:p>
        </w:tc>
        <w:tc>
          <w:tcPr>
            <w:tcW w:w="2500" w:type="pct"/>
            <w:tcBorders>
              <w:top w:val="nil"/>
              <w:left w:val="nil"/>
              <w:bottom w:val="nil"/>
              <w:right w:val="nil"/>
            </w:tcBorders>
          </w:tcPr>
          <w:p w14:paraId="3BC499F0" w14:textId="3AAA5A9A" w:rsidR="00542FF4" w:rsidRPr="00571974" w:rsidRDefault="004B32BB"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eastAsia="en-GB" w:bidi="ar-SA"/>
              </w:rPr>
              <w:t>5.375</w:t>
            </w:r>
            <w:r w:rsidR="00F400D2">
              <w:rPr>
                <w:lang w:val="en-GB" w:eastAsia="en-GB" w:bidi="ar-SA"/>
              </w:rPr>
              <w:t>% Senior Notes due 20</w:t>
            </w:r>
            <w:r>
              <w:rPr>
                <w:lang w:val="en-GB" w:eastAsia="en-GB" w:bidi="ar-SA"/>
              </w:rPr>
              <w:t>25</w:t>
            </w:r>
          </w:p>
        </w:tc>
      </w:tr>
      <w:tr w:rsidR="00F400D2" w14:paraId="5E500AF6" w14:textId="77777777" w:rsidTr="007C63D0">
        <w:trPr>
          <w:cantSplit/>
          <w:jc w:val="center"/>
        </w:trPr>
        <w:tc>
          <w:tcPr>
            <w:tcW w:w="2500" w:type="pct"/>
            <w:tcBorders>
              <w:top w:val="nil"/>
              <w:left w:val="nil"/>
              <w:bottom w:val="nil"/>
              <w:right w:val="nil"/>
            </w:tcBorders>
          </w:tcPr>
          <w:p w14:paraId="6347EAF0" w14:textId="34629884" w:rsidR="00F400D2" w:rsidRDefault="00A311D8"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Pr>
                <w:lang w:val="en-GB" w:eastAsia="en-GB" w:bidi="ar-SA"/>
              </w:rPr>
              <w:t>20</w:t>
            </w:r>
            <w:r w:rsidR="004B32BB">
              <w:rPr>
                <w:lang w:val="en-GB" w:eastAsia="en-GB" w:bidi="ar-SA"/>
              </w:rPr>
              <w:t>30</w:t>
            </w:r>
            <w:r w:rsidR="00F400D2">
              <w:rPr>
                <w:lang w:val="en-GB" w:eastAsia="en-GB" w:bidi="ar-SA"/>
              </w:rPr>
              <w:t xml:space="preserve"> Notes</w:t>
            </w:r>
            <w:r>
              <w:rPr>
                <w:lang w:val="en-GB" w:eastAsia="en-GB" w:bidi="ar-SA"/>
              </w:rPr>
              <w:t>”</w:t>
            </w:r>
          </w:p>
        </w:tc>
        <w:tc>
          <w:tcPr>
            <w:tcW w:w="2500" w:type="pct"/>
            <w:tcBorders>
              <w:top w:val="nil"/>
              <w:left w:val="nil"/>
              <w:bottom w:val="nil"/>
              <w:right w:val="nil"/>
            </w:tcBorders>
          </w:tcPr>
          <w:p w14:paraId="590CE23C" w14:textId="2284474C" w:rsidR="00F400D2" w:rsidRPr="00571974" w:rsidRDefault="004B32BB"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eastAsia="en-GB" w:bidi="ar-SA"/>
              </w:rPr>
              <w:t>5.625</w:t>
            </w:r>
            <w:r w:rsidR="00F400D2">
              <w:rPr>
                <w:lang w:val="en-GB" w:eastAsia="en-GB" w:bidi="ar-SA"/>
              </w:rPr>
              <w:t xml:space="preserve">% Senior Notes due </w:t>
            </w:r>
            <w:r>
              <w:rPr>
                <w:lang w:val="en-GB" w:eastAsia="en-GB" w:bidi="ar-SA"/>
              </w:rPr>
              <w:t>2030</w:t>
            </w:r>
          </w:p>
        </w:tc>
      </w:tr>
      <w:tr w:rsidR="00F400D2" w14:paraId="6E07D766" w14:textId="77777777" w:rsidTr="007C63D0">
        <w:trPr>
          <w:cantSplit/>
          <w:jc w:val="center"/>
        </w:trPr>
        <w:tc>
          <w:tcPr>
            <w:tcW w:w="2500" w:type="pct"/>
            <w:tcBorders>
              <w:top w:val="nil"/>
              <w:left w:val="nil"/>
              <w:bottom w:val="nil"/>
              <w:right w:val="nil"/>
            </w:tcBorders>
          </w:tcPr>
          <w:p w14:paraId="66618C0A" w14:textId="459849FC" w:rsidR="00F400D2"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AA Sur</w:t>
            </w:r>
            <w:r>
              <w:rPr>
                <w:lang w:val="en-GB" w:eastAsia="en-GB" w:bidi="ar-SA"/>
              </w:rPr>
              <w:t>”</w:t>
            </w:r>
          </w:p>
        </w:tc>
        <w:tc>
          <w:tcPr>
            <w:tcW w:w="2500" w:type="pct"/>
            <w:tcBorders>
              <w:top w:val="nil"/>
              <w:left w:val="nil"/>
              <w:bottom w:val="nil"/>
              <w:right w:val="nil"/>
            </w:tcBorders>
          </w:tcPr>
          <w:p w14:paraId="47464668" w14:textId="710FCC19"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Sur SA</w:t>
            </w:r>
          </w:p>
        </w:tc>
      </w:tr>
      <w:tr w:rsidR="00F400D2" w14:paraId="2B7341BF" w14:textId="77777777" w:rsidTr="007C63D0">
        <w:trPr>
          <w:cantSplit/>
          <w:jc w:val="center"/>
        </w:trPr>
        <w:tc>
          <w:tcPr>
            <w:tcW w:w="2500" w:type="pct"/>
            <w:tcBorders>
              <w:top w:val="nil"/>
              <w:left w:val="nil"/>
              <w:bottom w:val="nil"/>
              <w:right w:val="nil"/>
            </w:tcBorders>
          </w:tcPr>
          <w:p w14:paraId="70AB940B" w14:textId="1A8F109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AAIC</w:t>
            </w:r>
            <w:r>
              <w:rPr>
                <w:lang w:val="en-GB" w:eastAsia="en-GB" w:bidi="ar-SA"/>
              </w:rPr>
              <w:t>”</w:t>
            </w:r>
          </w:p>
        </w:tc>
        <w:tc>
          <w:tcPr>
            <w:tcW w:w="2500" w:type="pct"/>
            <w:tcBorders>
              <w:top w:val="nil"/>
              <w:left w:val="nil"/>
              <w:bottom w:val="nil"/>
              <w:right w:val="nil"/>
            </w:tcBorders>
          </w:tcPr>
          <w:p w14:paraId="015B6D0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Inyosi Coal</w:t>
            </w:r>
          </w:p>
        </w:tc>
      </w:tr>
      <w:tr w:rsidR="00F400D2" w14:paraId="25B232C1" w14:textId="77777777" w:rsidTr="007C63D0">
        <w:trPr>
          <w:cantSplit/>
          <w:jc w:val="center"/>
        </w:trPr>
        <w:tc>
          <w:tcPr>
            <w:tcW w:w="2500" w:type="pct"/>
            <w:tcBorders>
              <w:top w:val="nil"/>
              <w:left w:val="nil"/>
              <w:bottom w:val="nil"/>
              <w:right w:val="nil"/>
            </w:tcBorders>
          </w:tcPr>
          <w:p w14:paraId="7FAE14CD" w14:textId="585803E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AASA</w:t>
            </w:r>
            <w:r>
              <w:rPr>
                <w:lang w:val="en-GB" w:eastAsia="en-GB" w:bidi="ar-SA"/>
              </w:rPr>
              <w:t>”</w:t>
            </w:r>
          </w:p>
        </w:tc>
        <w:tc>
          <w:tcPr>
            <w:tcW w:w="2500" w:type="pct"/>
            <w:tcBorders>
              <w:top w:val="nil"/>
              <w:left w:val="nil"/>
              <w:bottom w:val="nil"/>
              <w:right w:val="nil"/>
            </w:tcBorders>
          </w:tcPr>
          <w:p w14:paraId="5460EEB3" w14:textId="2E3C5C5F"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Anglo American South Africa </w:t>
            </w:r>
            <w:r>
              <w:rPr>
                <w:lang w:val="en-GB" w:eastAsia="en-GB" w:bidi="ar-SA"/>
              </w:rPr>
              <w:t xml:space="preserve">Proprietary </w:t>
            </w:r>
            <w:r w:rsidRPr="00571974">
              <w:rPr>
                <w:lang w:val="en-GB" w:eastAsia="en-GB" w:bidi="ar-SA"/>
              </w:rPr>
              <w:t>Limited</w:t>
            </w:r>
          </w:p>
        </w:tc>
      </w:tr>
      <w:tr w:rsidR="00F400D2" w14:paraId="1E11C4ED" w14:textId="77777777" w:rsidTr="007C63D0">
        <w:trPr>
          <w:cantSplit/>
          <w:jc w:val="center"/>
        </w:trPr>
        <w:tc>
          <w:tcPr>
            <w:tcW w:w="2500" w:type="pct"/>
            <w:tcBorders>
              <w:top w:val="nil"/>
              <w:left w:val="nil"/>
              <w:bottom w:val="nil"/>
              <w:right w:val="nil"/>
            </w:tcBorders>
          </w:tcPr>
          <w:p w14:paraId="4051D4E7" w14:textId="7857536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Agent</w:t>
            </w:r>
            <w:r>
              <w:rPr>
                <w:lang w:val="en-GB" w:eastAsia="en-GB" w:bidi="ar-SA"/>
              </w:rPr>
              <w:t>”</w:t>
            </w:r>
          </w:p>
        </w:tc>
        <w:tc>
          <w:tcPr>
            <w:tcW w:w="2500" w:type="pct"/>
            <w:tcBorders>
              <w:top w:val="nil"/>
              <w:left w:val="nil"/>
              <w:bottom w:val="nil"/>
              <w:right w:val="nil"/>
            </w:tcBorders>
          </w:tcPr>
          <w:p w14:paraId="1E618400"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Citibank, N.A.</w:t>
            </w:r>
          </w:p>
        </w:tc>
      </w:tr>
      <w:tr w:rsidR="00F400D2" w14:paraId="0911F0AD" w14:textId="77777777" w:rsidTr="007C63D0">
        <w:trPr>
          <w:cantSplit/>
          <w:jc w:val="center"/>
        </w:trPr>
        <w:tc>
          <w:tcPr>
            <w:tcW w:w="2500" w:type="pct"/>
            <w:tcBorders>
              <w:top w:val="nil"/>
              <w:left w:val="nil"/>
              <w:bottom w:val="nil"/>
              <w:right w:val="nil"/>
            </w:tcBorders>
          </w:tcPr>
          <w:p w14:paraId="2ABC722B" w14:textId="3A942098"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ANM</w:t>
            </w:r>
            <w:r>
              <w:rPr>
                <w:lang w:val="en-GB" w:eastAsia="en-GB" w:bidi="ar-SA"/>
              </w:rPr>
              <w:t>”</w:t>
            </w:r>
          </w:p>
        </w:tc>
        <w:tc>
          <w:tcPr>
            <w:tcW w:w="2500" w:type="pct"/>
            <w:tcBorders>
              <w:top w:val="nil"/>
              <w:left w:val="nil"/>
              <w:bottom w:val="nil"/>
              <w:right w:val="nil"/>
            </w:tcBorders>
          </w:tcPr>
          <w:p w14:paraId="1A74ACB2"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National Mining Agency</w:t>
            </w:r>
          </w:p>
        </w:tc>
      </w:tr>
      <w:tr w:rsidR="00F400D2" w14:paraId="20DC7FDD" w14:textId="77777777" w:rsidTr="007C63D0">
        <w:trPr>
          <w:cantSplit/>
          <w:jc w:val="center"/>
        </w:trPr>
        <w:tc>
          <w:tcPr>
            <w:tcW w:w="2500" w:type="pct"/>
            <w:tcBorders>
              <w:top w:val="nil"/>
              <w:left w:val="nil"/>
              <w:bottom w:val="nil"/>
              <w:right w:val="nil"/>
            </w:tcBorders>
          </w:tcPr>
          <w:p w14:paraId="104ABF51" w14:textId="73EEF76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AMSA</w:t>
            </w:r>
            <w:r>
              <w:rPr>
                <w:lang w:val="en-GB" w:eastAsia="en-GB" w:bidi="ar-SA"/>
              </w:rPr>
              <w:t>”</w:t>
            </w:r>
          </w:p>
        </w:tc>
        <w:tc>
          <w:tcPr>
            <w:tcW w:w="2500" w:type="pct"/>
            <w:tcBorders>
              <w:top w:val="nil"/>
              <w:left w:val="nil"/>
              <w:bottom w:val="nil"/>
              <w:right w:val="nil"/>
            </w:tcBorders>
          </w:tcPr>
          <w:p w14:paraId="1E9A4F2F"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ArcelorMittal South Africa Limited</w:t>
            </w:r>
          </w:p>
        </w:tc>
      </w:tr>
      <w:tr w:rsidR="00F400D2" w14:paraId="5C587215" w14:textId="77777777" w:rsidTr="007C63D0">
        <w:trPr>
          <w:cantSplit/>
          <w:jc w:val="center"/>
        </w:trPr>
        <w:tc>
          <w:tcPr>
            <w:tcW w:w="2500" w:type="pct"/>
            <w:tcBorders>
              <w:top w:val="nil"/>
              <w:left w:val="nil"/>
              <w:bottom w:val="nil"/>
              <w:right w:val="nil"/>
            </w:tcBorders>
          </w:tcPr>
          <w:p w14:paraId="46220731" w14:textId="3C031D5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Anglo American</w:t>
            </w:r>
            <w:r>
              <w:rPr>
                <w:lang w:val="en-GB" w:eastAsia="en-GB" w:bidi="ar-SA"/>
              </w:rPr>
              <w:t>”</w:t>
            </w:r>
            <w:r w:rsidR="00F400D2" w:rsidRPr="00571974">
              <w:rPr>
                <w:lang w:val="en-GB" w:eastAsia="en-GB" w:bidi="ar-SA"/>
              </w:rPr>
              <w:t xml:space="preserve">, </w:t>
            </w:r>
            <w:r>
              <w:rPr>
                <w:lang w:val="en-GB" w:eastAsia="en-GB" w:bidi="ar-SA"/>
              </w:rPr>
              <w:t>“</w:t>
            </w:r>
            <w:r w:rsidR="00F400D2" w:rsidRPr="00571974">
              <w:rPr>
                <w:lang w:val="en-GB" w:eastAsia="en-GB" w:bidi="ar-SA"/>
              </w:rPr>
              <w:t>Company</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Guarantor</w:t>
            </w:r>
            <w:r>
              <w:rPr>
                <w:lang w:val="en-GB" w:eastAsia="en-GB" w:bidi="ar-SA"/>
              </w:rPr>
              <w:t>”</w:t>
            </w:r>
          </w:p>
        </w:tc>
        <w:tc>
          <w:tcPr>
            <w:tcW w:w="2500" w:type="pct"/>
            <w:tcBorders>
              <w:top w:val="nil"/>
              <w:left w:val="nil"/>
              <w:bottom w:val="nil"/>
              <w:right w:val="nil"/>
            </w:tcBorders>
          </w:tcPr>
          <w:p w14:paraId="227ACEB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plc</w:t>
            </w:r>
          </w:p>
        </w:tc>
      </w:tr>
      <w:tr w:rsidR="00F400D2" w14:paraId="2C590C85" w14:textId="77777777" w:rsidTr="007C63D0">
        <w:trPr>
          <w:cantSplit/>
          <w:jc w:val="center"/>
        </w:trPr>
        <w:tc>
          <w:tcPr>
            <w:tcW w:w="2500" w:type="pct"/>
            <w:tcBorders>
              <w:top w:val="nil"/>
              <w:left w:val="nil"/>
              <w:bottom w:val="nil"/>
              <w:right w:val="nil"/>
            </w:tcBorders>
          </w:tcPr>
          <w:p w14:paraId="481D6D4A" w14:textId="3AF24C6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Anglo American Capital</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Issuer</w:t>
            </w:r>
            <w:r>
              <w:rPr>
                <w:lang w:val="en-GB" w:eastAsia="en-GB" w:bidi="ar-SA"/>
              </w:rPr>
              <w:t>”</w:t>
            </w:r>
          </w:p>
        </w:tc>
        <w:tc>
          <w:tcPr>
            <w:tcW w:w="2500" w:type="pct"/>
            <w:tcBorders>
              <w:top w:val="nil"/>
              <w:left w:val="nil"/>
              <w:bottom w:val="nil"/>
              <w:right w:val="nil"/>
            </w:tcBorders>
          </w:tcPr>
          <w:p w14:paraId="2BF68BAC"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Capital plc</w:t>
            </w:r>
          </w:p>
        </w:tc>
      </w:tr>
      <w:tr w:rsidR="00F400D2" w14:paraId="4DFA0D7A" w14:textId="77777777" w:rsidTr="007C63D0">
        <w:trPr>
          <w:cantSplit/>
          <w:jc w:val="center"/>
        </w:trPr>
        <w:tc>
          <w:tcPr>
            <w:tcW w:w="2500" w:type="pct"/>
            <w:tcBorders>
              <w:top w:val="nil"/>
              <w:left w:val="nil"/>
              <w:bottom w:val="nil"/>
              <w:right w:val="nil"/>
            </w:tcBorders>
          </w:tcPr>
          <w:p w14:paraId="6F420548" w14:textId="10A28D8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Anglo American Group</w:t>
            </w:r>
            <w:r>
              <w:rPr>
                <w:lang w:val="en-GB" w:eastAsia="en-GB" w:bidi="ar-SA"/>
              </w:rPr>
              <w:t>”</w:t>
            </w:r>
            <w:r w:rsidR="00F400D2" w:rsidRPr="00571974">
              <w:rPr>
                <w:lang w:val="en-GB" w:eastAsia="en-GB" w:bidi="ar-SA"/>
              </w:rPr>
              <w:t xml:space="preserve">, </w:t>
            </w:r>
            <w:r>
              <w:rPr>
                <w:lang w:val="en-GB" w:eastAsia="en-GB" w:bidi="ar-SA"/>
              </w:rPr>
              <w:t>“</w:t>
            </w:r>
            <w:r w:rsidR="00F400D2" w:rsidRPr="00571974">
              <w:rPr>
                <w:lang w:val="en-GB" w:eastAsia="en-GB" w:bidi="ar-SA"/>
              </w:rPr>
              <w:t>Group</w:t>
            </w:r>
            <w:r>
              <w:rPr>
                <w:lang w:val="en-GB" w:eastAsia="en-GB" w:bidi="ar-SA"/>
              </w:rPr>
              <w:t>”</w:t>
            </w:r>
            <w:r w:rsidR="00F400D2" w:rsidRPr="00571974">
              <w:rPr>
                <w:lang w:val="en-GB" w:eastAsia="en-GB" w:bidi="ar-SA"/>
              </w:rPr>
              <w:t xml:space="preserve">, </w:t>
            </w:r>
            <w:r>
              <w:rPr>
                <w:lang w:val="en-GB" w:eastAsia="en-GB" w:bidi="ar-SA"/>
              </w:rPr>
              <w:t>“</w:t>
            </w:r>
            <w:r w:rsidR="00F400D2" w:rsidRPr="00571974">
              <w:rPr>
                <w:lang w:val="en-GB" w:eastAsia="en-GB" w:bidi="ar-SA"/>
              </w:rPr>
              <w:t>us</w:t>
            </w:r>
            <w:r>
              <w:rPr>
                <w:lang w:val="en-GB" w:eastAsia="en-GB" w:bidi="ar-SA"/>
              </w:rPr>
              <w:t>”</w:t>
            </w:r>
            <w:r w:rsidR="00F400D2" w:rsidRPr="00571974">
              <w:rPr>
                <w:lang w:val="en-GB" w:eastAsia="en-GB" w:bidi="ar-SA"/>
              </w:rPr>
              <w:t xml:space="preserve">, </w:t>
            </w:r>
            <w:r>
              <w:rPr>
                <w:lang w:val="en-GB" w:eastAsia="en-GB" w:bidi="ar-SA"/>
              </w:rPr>
              <w:t>“</w:t>
            </w:r>
            <w:r w:rsidR="00F400D2" w:rsidRPr="00571974">
              <w:rPr>
                <w:lang w:val="en-GB" w:eastAsia="en-GB" w:bidi="ar-SA"/>
              </w:rPr>
              <w:t>we</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our</w:t>
            </w:r>
            <w:r>
              <w:rPr>
                <w:lang w:val="en-GB" w:eastAsia="en-GB" w:bidi="ar-SA"/>
              </w:rPr>
              <w:t>”</w:t>
            </w:r>
          </w:p>
        </w:tc>
        <w:tc>
          <w:tcPr>
            <w:tcW w:w="2500" w:type="pct"/>
            <w:tcBorders>
              <w:top w:val="nil"/>
              <w:left w:val="nil"/>
              <w:bottom w:val="nil"/>
              <w:right w:val="nil"/>
            </w:tcBorders>
          </w:tcPr>
          <w:p w14:paraId="52D1997C"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together with its subsidiaries, joint ventures and associates</w:t>
            </w:r>
          </w:p>
        </w:tc>
      </w:tr>
      <w:tr w:rsidR="00F400D2" w14:paraId="2D59C0FD" w14:textId="77777777" w:rsidTr="007C63D0">
        <w:trPr>
          <w:cantSplit/>
          <w:jc w:val="center"/>
        </w:trPr>
        <w:tc>
          <w:tcPr>
            <w:tcW w:w="2500" w:type="pct"/>
            <w:tcBorders>
              <w:top w:val="nil"/>
              <w:left w:val="nil"/>
              <w:bottom w:val="nil"/>
              <w:right w:val="nil"/>
            </w:tcBorders>
          </w:tcPr>
          <w:p w14:paraId="0CE3DC96" w14:textId="21D34E3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Anglo American Platinum</w:t>
            </w:r>
            <w:r>
              <w:rPr>
                <w:lang w:val="en-GB" w:eastAsia="en-GB" w:bidi="ar-SA"/>
              </w:rPr>
              <w:t>”</w:t>
            </w:r>
          </w:p>
        </w:tc>
        <w:tc>
          <w:tcPr>
            <w:tcW w:w="2500" w:type="pct"/>
            <w:tcBorders>
              <w:top w:val="nil"/>
              <w:left w:val="nil"/>
              <w:bottom w:val="nil"/>
              <w:right w:val="nil"/>
            </w:tcBorders>
          </w:tcPr>
          <w:p w14:paraId="1C92231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Platinum Limited</w:t>
            </w:r>
          </w:p>
        </w:tc>
      </w:tr>
      <w:tr w:rsidR="00F400D2" w14:paraId="5FB4ED2F" w14:textId="77777777" w:rsidTr="007C63D0">
        <w:trPr>
          <w:cantSplit/>
          <w:jc w:val="center"/>
        </w:trPr>
        <w:tc>
          <w:tcPr>
            <w:tcW w:w="2500" w:type="pct"/>
            <w:tcBorders>
              <w:top w:val="nil"/>
              <w:left w:val="nil"/>
              <w:bottom w:val="nil"/>
              <w:right w:val="nil"/>
            </w:tcBorders>
          </w:tcPr>
          <w:p w14:paraId="674D7F40" w14:textId="6EA64E4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AngloGold Ashanti</w:t>
            </w:r>
            <w:r>
              <w:rPr>
                <w:lang w:val="en-GB" w:eastAsia="en-GB" w:bidi="ar-SA"/>
              </w:rPr>
              <w:t>”</w:t>
            </w:r>
          </w:p>
        </w:tc>
        <w:tc>
          <w:tcPr>
            <w:tcW w:w="2500" w:type="pct"/>
            <w:tcBorders>
              <w:top w:val="nil"/>
              <w:left w:val="nil"/>
              <w:bottom w:val="nil"/>
              <w:right w:val="nil"/>
            </w:tcBorders>
          </w:tcPr>
          <w:p w14:paraId="2317B62F"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AngloGold Ashanti Limited</w:t>
            </w:r>
          </w:p>
        </w:tc>
      </w:tr>
      <w:tr w:rsidR="00F400D2" w14:paraId="41683F5E" w14:textId="77777777" w:rsidTr="007C63D0">
        <w:trPr>
          <w:cantSplit/>
          <w:jc w:val="center"/>
        </w:trPr>
        <w:tc>
          <w:tcPr>
            <w:tcW w:w="2500" w:type="pct"/>
            <w:tcBorders>
              <w:top w:val="nil"/>
              <w:left w:val="nil"/>
              <w:bottom w:val="nil"/>
              <w:right w:val="nil"/>
            </w:tcBorders>
          </w:tcPr>
          <w:p w14:paraId="3AFC022F" w14:textId="51AF95A4"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Atlatsa</w:t>
            </w:r>
            <w:r>
              <w:rPr>
                <w:lang w:val="en-GB" w:eastAsia="en-GB" w:bidi="ar-SA"/>
              </w:rPr>
              <w:t>”</w:t>
            </w:r>
          </w:p>
        </w:tc>
        <w:tc>
          <w:tcPr>
            <w:tcW w:w="2500" w:type="pct"/>
            <w:tcBorders>
              <w:top w:val="nil"/>
              <w:left w:val="nil"/>
              <w:bottom w:val="nil"/>
              <w:right w:val="nil"/>
            </w:tcBorders>
          </w:tcPr>
          <w:p w14:paraId="70ECA44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Atlatsa Resources Corporation</w:t>
            </w:r>
          </w:p>
        </w:tc>
      </w:tr>
      <w:tr w:rsidR="00F400D2" w14:paraId="017B9817" w14:textId="77777777" w:rsidTr="007C63D0">
        <w:trPr>
          <w:cantSplit/>
          <w:jc w:val="center"/>
        </w:trPr>
        <w:tc>
          <w:tcPr>
            <w:tcW w:w="2500" w:type="pct"/>
            <w:tcBorders>
              <w:top w:val="nil"/>
              <w:left w:val="nil"/>
              <w:bottom w:val="nil"/>
              <w:right w:val="nil"/>
            </w:tcBorders>
          </w:tcPr>
          <w:p w14:paraId="5753DCE0" w14:textId="09A36A82"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Australian dollar</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AUD</w:t>
            </w:r>
            <w:r>
              <w:rPr>
                <w:lang w:val="en-GB" w:eastAsia="en-GB" w:bidi="ar-SA"/>
              </w:rPr>
              <w:t>”</w:t>
            </w:r>
          </w:p>
        </w:tc>
        <w:tc>
          <w:tcPr>
            <w:tcW w:w="2500" w:type="pct"/>
            <w:tcBorders>
              <w:top w:val="nil"/>
              <w:left w:val="nil"/>
              <w:bottom w:val="nil"/>
              <w:right w:val="nil"/>
            </w:tcBorders>
          </w:tcPr>
          <w:p w14:paraId="474D748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Australia</w:t>
            </w:r>
          </w:p>
        </w:tc>
      </w:tr>
      <w:tr w:rsidR="00F400D2" w14:paraId="3E98A07E" w14:textId="77777777" w:rsidTr="007C63D0">
        <w:trPr>
          <w:cantSplit/>
          <w:jc w:val="center"/>
        </w:trPr>
        <w:tc>
          <w:tcPr>
            <w:tcW w:w="2500" w:type="pct"/>
            <w:tcBorders>
              <w:top w:val="nil"/>
              <w:left w:val="nil"/>
              <w:bottom w:val="nil"/>
              <w:right w:val="nil"/>
            </w:tcBorders>
          </w:tcPr>
          <w:p w14:paraId="7D865D4E" w14:textId="7288C21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BBBEE</w:t>
            </w:r>
            <w:r>
              <w:rPr>
                <w:lang w:val="en-GB" w:eastAsia="en-GB" w:bidi="ar-SA"/>
              </w:rPr>
              <w:t>”</w:t>
            </w:r>
          </w:p>
        </w:tc>
        <w:tc>
          <w:tcPr>
            <w:tcW w:w="2500" w:type="pct"/>
            <w:tcBorders>
              <w:top w:val="nil"/>
              <w:left w:val="nil"/>
              <w:bottom w:val="nil"/>
              <w:right w:val="nil"/>
            </w:tcBorders>
          </w:tcPr>
          <w:p w14:paraId="26B666F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Broad-Based Black Economic Empowerment</w:t>
            </w:r>
          </w:p>
        </w:tc>
      </w:tr>
      <w:tr w:rsidR="00F400D2" w14:paraId="1FD7FA49" w14:textId="77777777" w:rsidTr="007C63D0">
        <w:trPr>
          <w:cantSplit/>
          <w:jc w:val="center"/>
        </w:trPr>
        <w:tc>
          <w:tcPr>
            <w:tcW w:w="2500" w:type="pct"/>
            <w:tcBorders>
              <w:top w:val="nil"/>
              <w:left w:val="nil"/>
              <w:bottom w:val="nil"/>
              <w:right w:val="nil"/>
            </w:tcBorders>
          </w:tcPr>
          <w:p w14:paraId="0051D34D" w14:textId="51E1AD22"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BEE</w:t>
            </w:r>
            <w:r>
              <w:rPr>
                <w:lang w:val="en-GB" w:eastAsia="en-GB" w:bidi="ar-SA"/>
              </w:rPr>
              <w:t>”</w:t>
            </w:r>
          </w:p>
        </w:tc>
        <w:tc>
          <w:tcPr>
            <w:tcW w:w="2500" w:type="pct"/>
            <w:tcBorders>
              <w:top w:val="nil"/>
              <w:left w:val="nil"/>
              <w:bottom w:val="nil"/>
              <w:right w:val="nil"/>
            </w:tcBorders>
          </w:tcPr>
          <w:p w14:paraId="5E23D610"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Black Economic Empowerment</w:t>
            </w:r>
          </w:p>
        </w:tc>
      </w:tr>
      <w:tr w:rsidR="00F400D2" w14:paraId="3899F9BF" w14:textId="77777777" w:rsidTr="007C63D0">
        <w:trPr>
          <w:cantSplit/>
          <w:jc w:val="center"/>
        </w:trPr>
        <w:tc>
          <w:tcPr>
            <w:tcW w:w="2500" w:type="pct"/>
            <w:tcBorders>
              <w:top w:val="nil"/>
              <w:left w:val="nil"/>
              <w:bottom w:val="nil"/>
              <w:right w:val="nil"/>
            </w:tcBorders>
          </w:tcPr>
          <w:p w14:paraId="3BA9758C" w14:textId="636CB6C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Brazilian real</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BRL</w:t>
            </w:r>
            <w:r>
              <w:rPr>
                <w:lang w:val="en-GB" w:eastAsia="en-GB" w:bidi="ar-SA"/>
              </w:rPr>
              <w:t>”</w:t>
            </w:r>
          </w:p>
        </w:tc>
        <w:tc>
          <w:tcPr>
            <w:tcW w:w="2500" w:type="pct"/>
            <w:tcBorders>
              <w:top w:val="nil"/>
              <w:left w:val="nil"/>
              <w:bottom w:val="nil"/>
              <w:right w:val="nil"/>
            </w:tcBorders>
          </w:tcPr>
          <w:p w14:paraId="6F0F4A15"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Brazil</w:t>
            </w:r>
          </w:p>
        </w:tc>
      </w:tr>
      <w:tr w:rsidR="00F400D2" w14:paraId="25035628" w14:textId="77777777" w:rsidTr="007C63D0">
        <w:trPr>
          <w:cantSplit/>
          <w:jc w:val="center"/>
        </w:trPr>
        <w:tc>
          <w:tcPr>
            <w:tcW w:w="2500" w:type="pct"/>
            <w:tcBorders>
              <w:top w:val="nil"/>
              <w:left w:val="nil"/>
              <w:bottom w:val="nil"/>
              <w:right w:val="nil"/>
            </w:tcBorders>
          </w:tcPr>
          <w:p w14:paraId="03C5108B" w14:textId="169C1137" w:rsidR="00F400D2" w:rsidRPr="00571974" w:rsidRDefault="00A311D8" w:rsidP="00C6002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British pound</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GBP</w:t>
            </w:r>
            <w:r>
              <w:rPr>
                <w:lang w:val="en-GB" w:eastAsia="en-GB" w:bidi="ar-SA"/>
              </w:rPr>
              <w:t>”</w:t>
            </w:r>
          </w:p>
        </w:tc>
        <w:tc>
          <w:tcPr>
            <w:tcW w:w="2500" w:type="pct"/>
            <w:tcBorders>
              <w:top w:val="nil"/>
              <w:left w:val="nil"/>
              <w:bottom w:val="nil"/>
              <w:right w:val="nil"/>
            </w:tcBorders>
          </w:tcPr>
          <w:p w14:paraId="51898D6C" w14:textId="72A059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the United Kingdom</w:t>
            </w:r>
          </w:p>
        </w:tc>
      </w:tr>
      <w:tr w:rsidR="00C60022" w14:paraId="59AE0456" w14:textId="77777777" w:rsidTr="007C63D0">
        <w:trPr>
          <w:cantSplit/>
          <w:jc w:val="center"/>
        </w:trPr>
        <w:tc>
          <w:tcPr>
            <w:tcW w:w="2500" w:type="pct"/>
            <w:tcBorders>
              <w:top w:val="nil"/>
              <w:left w:val="nil"/>
              <w:bottom w:val="nil"/>
              <w:right w:val="nil"/>
            </w:tcBorders>
          </w:tcPr>
          <w:p w14:paraId="24571292" w14:textId="6785E26B" w:rsidR="00C60022" w:rsidRDefault="00C6002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Pr="00571974">
              <w:rPr>
                <w:lang w:val="en-GB" w:eastAsia="en-GB" w:bidi="ar-SA"/>
              </w:rPr>
              <w:t>Canadian dollars</w:t>
            </w:r>
            <w:r>
              <w:rPr>
                <w:lang w:val="en-GB" w:eastAsia="en-GB" w:bidi="ar-SA"/>
              </w:rPr>
              <w:t>”</w:t>
            </w:r>
            <w:r w:rsidRPr="00571974">
              <w:rPr>
                <w:lang w:val="en-GB" w:eastAsia="en-GB" w:bidi="ar-SA"/>
              </w:rPr>
              <w:t xml:space="preserve"> and </w:t>
            </w:r>
            <w:r>
              <w:rPr>
                <w:lang w:val="en-GB" w:eastAsia="en-GB" w:bidi="ar-SA"/>
              </w:rPr>
              <w:t>“</w:t>
            </w:r>
            <w:r w:rsidRPr="00571974">
              <w:rPr>
                <w:lang w:val="en-GB" w:eastAsia="en-GB" w:bidi="ar-SA"/>
              </w:rPr>
              <w:t>CAD</w:t>
            </w:r>
            <w:r>
              <w:rPr>
                <w:lang w:val="en-GB" w:eastAsia="en-GB" w:bidi="ar-SA"/>
              </w:rPr>
              <w:t>”</w:t>
            </w:r>
          </w:p>
        </w:tc>
        <w:tc>
          <w:tcPr>
            <w:tcW w:w="2500" w:type="pct"/>
            <w:tcBorders>
              <w:top w:val="nil"/>
              <w:left w:val="nil"/>
              <w:bottom w:val="nil"/>
              <w:right w:val="nil"/>
            </w:tcBorders>
          </w:tcPr>
          <w:p w14:paraId="3B702E53" w14:textId="53F61B67" w:rsidR="00C60022" w:rsidRPr="00571974" w:rsidRDefault="00C6002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Canada</w:t>
            </w:r>
          </w:p>
        </w:tc>
      </w:tr>
      <w:tr w:rsidR="00F400D2" w14:paraId="6869544F" w14:textId="77777777" w:rsidTr="007C63D0">
        <w:trPr>
          <w:cantSplit/>
          <w:jc w:val="center"/>
        </w:trPr>
        <w:tc>
          <w:tcPr>
            <w:tcW w:w="2500" w:type="pct"/>
            <w:tcBorders>
              <w:top w:val="nil"/>
              <w:left w:val="nil"/>
              <w:bottom w:val="nil"/>
              <w:right w:val="nil"/>
            </w:tcBorders>
          </w:tcPr>
          <w:p w14:paraId="0C0D01EB" w14:textId="37C3CEE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Cerrejón</w:t>
            </w:r>
            <w:r>
              <w:rPr>
                <w:lang w:val="en-GB" w:eastAsia="en-GB" w:bidi="ar-SA"/>
              </w:rPr>
              <w:t>”</w:t>
            </w:r>
          </w:p>
        </w:tc>
        <w:tc>
          <w:tcPr>
            <w:tcW w:w="2500" w:type="pct"/>
            <w:tcBorders>
              <w:top w:val="nil"/>
              <w:left w:val="nil"/>
              <w:bottom w:val="nil"/>
              <w:right w:val="nil"/>
            </w:tcBorders>
          </w:tcPr>
          <w:p w14:paraId="6A0F4F7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Carbones del Cerrejón Limited, Cerrejón Zona Norte SA and CMC - Coal Marketing Company Limited</w:t>
            </w:r>
          </w:p>
        </w:tc>
      </w:tr>
      <w:tr w:rsidR="00F400D2" w14:paraId="406C157F" w14:textId="77777777" w:rsidTr="007C63D0">
        <w:trPr>
          <w:cantSplit/>
          <w:jc w:val="center"/>
        </w:trPr>
        <w:tc>
          <w:tcPr>
            <w:tcW w:w="2500" w:type="pct"/>
            <w:tcBorders>
              <w:top w:val="nil"/>
              <w:left w:val="nil"/>
              <w:bottom w:val="nil"/>
              <w:right w:val="nil"/>
            </w:tcBorders>
          </w:tcPr>
          <w:p w14:paraId="2BD45C1A" w14:textId="00148E5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CFEM</w:t>
            </w:r>
            <w:r>
              <w:rPr>
                <w:lang w:val="en-GB" w:eastAsia="en-GB" w:bidi="ar-SA"/>
              </w:rPr>
              <w:t>”</w:t>
            </w:r>
          </w:p>
        </w:tc>
        <w:tc>
          <w:tcPr>
            <w:tcW w:w="2500" w:type="pct"/>
            <w:tcBorders>
              <w:top w:val="nil"/>
              <w:left w:val="nil"/>
              <w:bottom w:val="nil"/>
              <w:right w:val="nil"/>
            </w:tcBorders>
          </w:tcPr>
          <w:p w14:paraId="0CDE1F8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Calculation of mining royalties</w:t>
            </w:r>
          </w:p>
        </w:tc>
      </w:tr>
      <w:tr w:rsidR="00F400D2" w14:paraId="5A1BEF5D" w14:textId="77777777" w:rsidTr="007C63D0">
        <w:trPr>
          <w:cantSplit/>
          <w:jc w:val="center"/>
        </w:trPr>
        <w:tc>
          <w:tcPr>
            <w:tcW w:w="2500" w:type="pct"/>
            <w:tcBorders>
              <w:top w:val="nil"/>
              <w:left w:val="nil"/>
              <w:bottom w:val="nil"/>
              <w:right w:val="nil"/>
            </w:tcBorders>
          </w:tcPr>
          <w:p w14:paraId="0D817D5C" w14:textId="37D9D3C8"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Chilean peso</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CLP</w:t>
            </w:r>
            <w:r>
              <w:rPr>
                <w:lang w:val="en-GB" w:eastAsia="en-GB" w:bidi="ar-SA"/>
              </w:rPr>
              <w:t>”</w:t>
            </w:r>
          </w:p>
        </w:tc>
        <w:tc>
          <w:tcPr>
            <w:tcW w:w="2500" w:type="pct"/>
            <w:tcBorders>
              <w:top w:val="nil"/>
              <w:left w:val="nil"/>
              <w:bottom w:val="nil"/>
              <w:right w:val="nil"/>
            </w:tcBorders>
          </w:tcPr>
          <w:p w14:paraId="3BB2EC3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Chile</w:t>
            </w:r>
          </w:p>
        </w:tc>
      </w:tr>
      <w:tr w:rsidR="00F400D2" w14:paraId="44683478" w14:textId="77777777" w:rsidTr="007C63D0">
        <w:trPr>
          <w:cantSplit/>
          <w:jc w:val="center"/>
        </w:trPr>
        <w:tc>
          <w:tcPr>
            <w:tcW w:w="2500" w:type="pct"/>
            <w:tcBorders>
              <w:top w:val="nil"/>
              <w:left w:val="nil"/>
              <w:bottom w:val="nil"/>
              <w:right w:val="nil"/>
            </w:tcBorders>
          </w:tcPr>
          <w:p w14:paraId="7CBA9B46" w14:textId="33B17051"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CMA</w:t>
            </w:r>
            <w:r>
              <w:rPr>
                <w:lang w:val="en-GB" w:eastAsia="en-GB" w:bidi="ar-SA"/>
              </w:rPr>
              <w:t>”</w:t>
            </w:r>
          </w:p>
        </w:tc>
        <w:tc>
          <w:tcPr>
            <w:tcW w:w="2500" w:type="pct"/>
            <w:tcBorders>
              <w:top w:val="nil"/>
              <w:left w:val="nil"/>
              <w:bottom w:val="nil"/>
              <w:right w:val="nil"/>
            </w:tcBorders>
          </w:tcPr>
          <w:p w14:paraId="1DE3BA2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Competition and Markets Authority</w:t>
            </w:r>
          </w:p>
        </w:tc>
      </w:tr>
      <w:tr w:rsidR="00F400D2" w14:paraId="5EB3C0E3" w14:textId="77777777" w:rsidTr="007C63D0">
        <w:trPr>
          <w:cantSplit/>
          <w:jc w:val="center"/>
        </w:trPr>
        <w:tc>
          <w:tcPr>
            <w:tcW w:w="2500" w:type="pct"/>
            <w:tcBorders>
              <w:top w:val="nil"/>
              <w:left w:val="nil"/>
              <w:bottom w:val="nil"/>
              <w:right w:val="nil"/>
            </w:tcBorders>
          </w:tcPr>
          <w:p w14:paraId="6CB1A713" w14:textId="1600087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CRA Regulation</w:t>
            </w:r>
            <w:r>
              <w:rPr>
                <w:lang w:val="en-GB" w:eastAsia="en-GB" w:bidi="ar-SA"/>
              </w:rPr>
              <w:t>”</w:t>
            </w:r>
          </w:p>
        </w:tc>
        <w:tc>
          <w:tcPr>
            <w:tcW w:w="2500" w:type="pct"/>
            <w:tcBorders>
              <w:top w:val="nil"/>
              <w:left w:val="nil"/>
              <w:bottom w:val="nil"/>
              <w:right w:val="nil"/>
            </w:tcBorders>
          </w:tcPr>
          <w:p w14:paraId="766368A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Regulation (EC) No. 1060/2009</w:t>
            </w:r>
          </w:p>
        </w:tc>
      </w:tr>
      <w:tr w:rsidR="00F400D2" w14:paraId="6238D6C8" w14:textId="77777777" w:rsidTr="007C63D0">
        <w:trPr>
          <w:cantSplit/>
          <w:jc w:val="center"/>
        </w:trPr>
        <w:tc>
          <w:tcPr>
            <w:tcW w:w="2500" w:type="pct"/>
            <w:tcBorders>
              <w:top w:val="nil"/>
              <w:left w:val="nil"/>
              <w:bottom w:val="nil"/>
              <w:right w:val="nil"/>
            </w:tcBorders>
          </w:tcPr>
          <w:p w14:paraId="30FBB10A" w14:textId="376B7FFC"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c/lb</w:t>
            </w:r>
            <w:r>
              <w:rPr>
                <w:lang w:val="en-GB" w:eastAsia="en-GB" w:bidi="ar-SA"/>
              </w:rPr>
              <w:t>”</w:t>
            </w:r>
          </w:p>
        </w:tc>
        <w:tc>
          <w:tcPr>
            <w:tcW w:w="2500" w:type="pct"/>
            <w:tcBorders>
              <w:top w:val="nil"/>
              <w:left w:val="nil"/>
              <w:bottom w:val="nil"/>
              <w:right w:val="nil"/>
            </w:tcBorders>
          </w:tcPr>
          <w:p w14:paraId="42C387A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U.S. cents per pound</w:t>
            </w:r>
          </w:p>
        </w:tc>
      </w:tr>
      <w:tr w:rsidR="00F400D2" w14:paraId="197021D4" w14:textId="77777777" w:rsidTr="007C63D0">
        <w:trPr>
          <w:cantSplit/>
          <w:jc w:val="center"/>
        </w:trPr>
        <w:tc>
          <w:tcPr>
            <w:tcW w:w="2500" w:type="pct"/>
            <w:tcBorders>
              <w:top w:val="nil"/>
              <w:left w:val="nil"/>
              <w:bottom w:val="nil"/>
              <w:right w:val="nil"/>
            </w:tcBorders>
          </w:tcPr>
          <w:p w14:paraId="399495D1" w14:textId="3D8B2EAD"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DBCM</w:t>
            </w:r>
            <w:r>
              <w:rPr>
                <w:lang w:val="en-GB" w:eastAsia="en-GB" w:bidi="ar-SA"/>
              </w:rPr>
              <w:t>”</w:t>
            </w:r>
          </w:p>
        </w:tc>
        <w:tc>
          <w:tcPr>
            <w:tcW w:w="2500" w:type="pct"/>
            <w:tcBorders>
              <w:top w:val="nil"/>
              <w:left w:val="nil"/>
              <w:bottom w:val="nil"/>
              <w:right w:val="nil"/>
            </w:tcBorders>
          </w:tcPr>
          <w:p w14:paraId="144440A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 Beers Consolidated Mines Limited</w:t>
            </w:r>
          </w:p>
        </w:tc>
      </w:tr>
      <w:tr w:rsidR="00F400D2" w14:paraId="4FB18D16" w14:textId="77777777" w:rsidTr="007C63D0">
        <w:trPr>
          <w:cantSplit/>
          <w:jc w:val="center"/>
        </w:trPr>
        <w:tc>
          <w:tcPr>
            <w:tcW w:w="2500" w:type="pct"/>
            <w:tcBorders>
              <w:top w:val="nil"/>
              <w:left w:val="nil"/>
              <w:bottom w:val="nil"/>
              <w:right w:val="nil"/>
            </w:tcBorders>
          </w:tcPr>
          <w:p w14:paraId="7DCE8479" w14:textId="508344FE"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De Beers</w:t>
            </w:r>
            <w:r>
              <w:rPr>
                <w:lang w:val="en-GB" w:eastAsia="en-GB" w:bidi="ar-SA"/>
              </w:rPr>
              <w:t>”</w:t>
            </w:r>
          </w:p>
        </w:tc>
        <w:tc>
          <w:tcPr>
            <w:tcW w:w="2500" w:type="pct"/>
            <w:tcBorders>
              <w:top w:val="nil"/>
              <w:left w:val="nil"/>
              <w:bottom w:val="nil"/>
              <w:right w:val="nil"/>
            </w:tcBorders>
          </w:tcPr>
          <w:p w14:paraId="76BD1A9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DB Investments Plc and De Beers Plc together with its subsidiaries, joint ventures and associated companies</w:t>
            </w:r>
          </w:p>
        </w:tc>
      </w:tr>
      <w:tr w:rsidR="00F400D2" w14:paraId="522E923D" w14:textId="77777777" w:rsidTr="007C63D0">
        <w:trPr>
          <w:cantSplit/>
          <w:jc w:val="center"/>
        </w:trPr>
        <w:tc>
          <w:tcPr>
            <w:tcW w:w="2500" w:type="pct"/>
            <w:tcBorders>
              <w:top w:val="nil"/>
              <w:left w:val="nil"/>
              <w:bottom w:val="nil"/>
              <w:right w:val="nil"/>
            </w:tcBorders>
          </w:tcPr>
          <w:p w14:paraId="697E5F6E" w14:textId="3C9D2E00"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rFonts w:eastAsia="Calibri"/>
                <w:szCs w:val="20"/>
                <w:lang w:val="en-GB" w:eastAsia="en-US" w:bidi="ar-SA"/>
              </w:rPr>
              <w:t>“</w:t>
            </w:r>
            <w:r w:rsidR="00F400D2" w:rsidRPr="00571974">
              <w:rPr>
                <w:rFonts w:eastAsia="Calibri"/>
                <w:szCs w:val="20"/>
                <w:lang w:val="en-GB" w:eastAsia="en-US" w:bidi="ar-SA"/>
              </w:rPr>
              <w:t>Debswana</w:t>
            </w:r>
            <w:r>
              <w:rPr>
                <w:rFonts w:eastAsia="Calibri"/>
                <w:szCs w:val="20"/>
                <w:lang w:val="en-GB" w:eastAsia="en-US" w:bidi="ar-SA"/>
              </w:rPr>
              <w:t>”</w:t>
            </w:r>
          </w:p>
        </w:tc>
        <w:tc>
          <w:tcPr>
            <w:tcW w:w="2500" w:type="pct"/>
            <w:tcBorders>
              <w:top w:val="nil"/>
              <w:left w:val="nil"/>
              <w:bottom w:val="nil"/>
              <w:right w:val="nil"/>
            </w:tcBorders>
          </w:tcPr>
          <w:p w14:paraId="301FE20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rFonts w:eastAsia="Calibri"/>
                <w:szCs w:val="20"/>
                <w:lang w:val="en-GB" w:eastAsia="en-US" w:bidi="ar-SA"/>
              </w:rPr>
              <w:t>Debswana Diamond Company, a 50:50 joint venture with the GRB</w:t>
            </w:r>
          </w:p>
        </w:tc>
      </w:tr>
      <w:tr w:rsidR="00F400D2" w14:paraId="21F64373" w14:textId="77777777" w:rsidTr="007C63D0">
        <w:trPr>
          <w:cantSplit/>
          <w:jc w:val="center"/>
        </w:trPr>
        <w:tc>
          <w:tcPr>
            <w:tcW w:w="2500" w:type="pct"/>
            <w:tcBorders>
              <w:top w:val="nil"/>
              <w:left w:val="nil"/>
              <w:bottom w:val="nil"/>
              <w:right w:val="nil"/>
            </w:tcBorders>
          </w:tcPr>
          <w:p w14:paraId="5FACFF61" w14:textId="6F23512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Deloitte</w:t>
            </w:r>
            <w:r>
              <w:rPr>
                <w:lang w:val="en-GB" w:eastAsia="en-GB" w:bidi="ar-SA"/>
              </w:rPr>
              <w:t>”</w:t>
            </w:r>
          </w:p>
        </w:tc>
        <w:tc>
          <w:tcPr>
            <w:tcW w:w="2500" w:type="pct"/>
            <w:tcBorders>
              <w:top w:val="nil"/>
              <w:left w:val="nil"/>
              <w:bottom w:val="nil"/>
              <w:right w:val="nil"/>
            </w:tcBorders>
          </w:tcPr>
          <w:p w14:paraId="0ACE288C"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Deloitte LLP</w:t>
            </w:r>
          </w:p>
        </w:tc>
      </w:tr>
      <w:tr w:rsidR="00F400D2" w14:paraId="6C7C4EC3" w14:textId="77777777" w:rsidTr="007C63D0">
        <w:trPr>
          <w:cantSplit/>
          <w:jc w:val="center"/>
        </w:trPr>
        <w:tc>
          <w:tcPr>
            <w:tcW w:w="2500" w:type="pct"/>
            <w:tcBorders>
              <w:top w:val="nil"/>
              <w:left w:val="nil"/>
              <w:bottom w:val="nil"/>
              <w:right w:val="nil"/>
            </w:tcBorders>
          </w:tcPr>
          <w:p w14:paraId="7F865C47" w14:textId="3ADCE53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DNPM</w:t>
            </w:r>
            <w:r>
              <w:rPr>
                <w:lang w:val="en-GB" w:eastAsia="en-GB" w:bidi="ar-SA"/>
              </w:rPr>
              <w:t>”</w:t>
            </w:r>
          </w:p>
        </w:tc>
        <w:tc>
          <w:tcPr>
            <w:tcW w:w="2500" w:type="pct"/>
            <w:tcBorders>
              <w:top w:val="nil"/>
              <w:left w:val="nil"/>
              <w:bottom w:val="nil"/>
              <w:right w:val="nil"/>
            </w:tcBorders>
          </w:tcPr>
          <w:p w14:paraId="608F174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National Department of Mineral Production</w:t>
            </w:r>
          </w:p>
        </w:tc>
      </w:tr>
      <w:tr w:rsidR="00F400D2" w14:paraId="6EE7517D" w14:textId="77777777" w:rsidTr="007C63D0">
        <w:trPr>
          <w:cantSplit/>
          <w:jc w:val="center"/>
        </w:trPr>
        <w:tc>
          <w:tcPr>
            <w:tcW w:w="2500" w:type="pct"/>
            <w:tcBorders>
              <w:top w:val="nil"/>
              <w:left w:val="nil"/>
              <w:bottom w:val="nil"/>
              <w:right w:val="nil"/>
            </w:tcBorders>
          </w:tcPr>
          <w:p w14:paraId="77E67E7B" w14:textId="65FC5A5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DMRE</w:t>
            </w:r>
            <w:r>
              <w:rPr>
                <w:lang w:val="en-GB" w:eastAsia="en-GB" w:bidi="ar-SA"/>
              </w:rPr>
              <w:t>”</w:t>
            </w:r>
          </w:p>
        </w:tc>
        <w:tc>
          <w:tcPr>
            <w:tcW w:w="2500" w:type="pct"/>
            <w:tcBorders>
              <w:top w:val="nil"/>
              <w:left w:val="nil"/>
              <w:bottom w:val="nil"/>
              <w:right w:val="nil"/>
            </w:tcBorders>
          </w:tcPr>
          <w:p w14:paraId="608F276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South African Department of Mineral Resources and Energy</w:t>
            </w:r>
          </w:p>
        </w:tc>
      </w:tr>
      <w:tr w:rsidR="00F400D2" w14:paraId="43A0728C" w14:textId="77777777" w:rsidTr="007C63D0">
        <w:trPr>
          <w:cantSplit/>
          <w:jc w:val="center"/>
        </w:trPr>
        <w:tc>
          <w:tcPr>
            <w:tcW w:w="2500" w:type="pct"/>
            <w:tcBorders>
              <w:top w:val="nil"/>
              <w:left w:val="nil"/>
              <w:bottom w:val="nil"/>
              <w:right w:val="nil"/>
            </w:tcBorders>
          </w:tcPr>
          <w:p w14:paraId="3B2E15A8" w14:textId="457B253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DTC</w:t>
            </w:r>
            <w:r>
              <w:rPr>
                <w:lang w:val="en-GB" w:eastAsia="en-GB" w:bidi="ar-SA"/>
              </w:rPr>
              <w:t>”</w:t>
            </w:r>
          </w:p>
        </w:tc>
        <w:tc>
          <w:tcPr>
            <w:tcW w:w="2500" w:type="pct"/>
            <w:tcBorders>
              <w:top w:val="nil"/>
              <w:left w:val="nil"/>
              <w:bottom w:val="nil"/>
              <w:right w:val="nil"/>
            </w:tcBorders>
          </w:tcPr>
          <w:p w14:paraId="7201A19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Depository Trust Company</w:t>
            </w:r>
          </w:p>
        </w:tc>
      </w:tr>
      <w:tr w:rsidR="00F400D2" w14:paraId="615F3DB1" w14:textId="77777777" w:rsidTr="007C63D0">
        <w:trPr>
          <w:cantSplit/>
          <w:jc w:val="center"/>
        </w:trPr>
        <w:tc>
          <w:tcPr>
            <w:tcW w:w="2500" w:type="pct"/>
            <w:tcBorders>
              <w:top w:val="nil"/>
              <w:left w:val="nil"/>
              <w:bottom w:val="nil"/>
              <w:right w:val="nil"/>
            </w:tcBorders>
          </w:tcPr>
          <w:p w14:paraId="7D573F4B" w14:textId="3BFD2991"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Eskom</w:t>
            </w:r>
            <w:r>
              <w:rPr>
                <w:lang w:val="en-GB" w:eastAsia="en-GB" w:bidi="ar-SA"/>
              </w:rPr>
              <w:t>”</w:t>
            </w:r>
          </w:p>
        </w:tc>
        <w:tc>
          <w:tcPr>
            <w:tcW w:w="2500" w:type="pct"/>
            <w:tcBorders>
              <w:top w:val="nil"/>
              <w:left w:val="nil"/>
              <w:bottom w:val="nil"/>
              <w:right w:val="nil"/>
            </w:tcBorders>
          </w:tcPr>
          <w:p w14:paraId="172429AB"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Eskom Holdings Limited (the South African electrical utility operator)</w:t>
            </w:r>
          </w:p>
        </w:tc>
      </w:tr>
      <w:tr w:rsidR="00F400D2" w14:paraId="53A12C60" w14:textId="77777777" w:rsidTr="007C63D0">
        <w:trPr>
          <w:cantSplit/>
          <w:jc w:val="center"/>
        </w:trPr>
        <w:tc>
          <w:tcPr>
            <w:tcW w:w="2500" w:type="pct"/>
            <w:tcBorders>
              <w:top w:val="nil"/>
              <w:left w:val="nil"/>
              <w:bottom w:val="nil"/>
              <w:right w:val="nil"/>
            </w:tcBorders>
          </w:tcPr>
          <w:p w14:paraId="1DCE8E76" w14:textId="03098D60"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Euro</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EUR</w:t>
            </w:r>
            <w:r>
              <w:rPr>
                <w:lang w:val="en-GB" w:eastAsia="en-GB" w:bidi="ar-SA"/>
              </w:rPr>
              <w:t>”</w:t>
            </w:r>
          </w:p>
        </w:tc>
        <w:tc>
          <w:tcPr>
            <w:tcW w:w="2500" w:type="pct"/>
            <w:tcBorders>
              <w:top w:val="nil"/>
              <w:left w:val="nil"/>
              <w:bottom w:val="nil"/>
              <w:right w:val="nil"/>
            </w:tcBorders>
          </w:tcPr>
          <w:p w14:paraId="183C1292"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common currency of the EU member states who have adopted the Euro as their sole national currency</w:t>
            </w:r>
          </w:p>
        </w:tc>
      </w:tr>
      <w:tr w:rsidR="00F400D2" w14:paraId="111BE9B1" w14:textId="77777777" w:rsidTr="007C63D0">
        <w:trPr>
          <w:cantSplit/>
          <w:jc w:val="center"/>
        </w:trPr>
        <w:tc>
          <w:tcPr>
            <w:tcW w:w="2500" w:type="pct"/>
            <w:tcBorders>
              <w:top w:val="nil"/>
              <w:left w:val="nil"/>
              <w:bottom w:val="nil"/>
              <w:right w:val="nil"/>
            </w:tcBorders>
          </w:tcPr>
          <w:p w14:paraId="693047B3" w14:textId="6A81AD0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Exchange Act</w:t>
            </w:r>
            <w:r>
              <w:rPr>
                <w:lang w:val="en-GB" w:eastAsia="en-GB" w:bidi="ar-SA"/>
              </w:rPr>
              <w:t>”</w:t>
            </w:r>
          </w:p>
        </w:tc>
        <w:tc>
          <w:tcPr>
            <w:tcW w:w="2500" w:type="pct"/>
            <w:tcBorders>
              <w:top w:val="nil"/>
              <w:left w:val="nil"/>
              <w:bottom w:val="nil"/>
              <w:right w:val="nil"/>
            </w:tcBorders>
          </w:tcPr>
          <w:p w14:paraId="7C3B7C4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United States Securities Exchange Act of 1934, as amended, and the rules and regulations promulgated thereunder</w:t>
            </w:r>
          </w:p>
        </w:tc>
      </w:tr>
      <w:tr w:rsidR="00F400D2" w14:paraId="2A33899A" w14:textId="77777777" w:rsidTr="007C63D0">
        <w:trPr>
          <w:cantSplit/>
          <w:jc w:val="center"/>
        </w:trPr>
        <w:tc>
          <w:tcPr>
            <w:tcW w:w="2500" w:type="pct"/>
            <w:tcBorders>
              <w:top w:val="nil"/>
              <w:left w:val="nil"/>
              <w:bottom w:val="nil"/>
              <w:right w:val="nil"/>
            </w:tcBorders>
          </w:tcPr>
          <w:p w14:paraId="76E0F7CD" w14:textId="3866E660"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FCA</w:t>
            </w:r>
            <w:r>
              <w:rPr>
                <w:lang w:val="en-GB" w:eastAsia="en-GB" w:bidi="ar-SA"/>
              </w:rPr>
              <w:t>”</w:t>
            </w:r>
          </w:p>
        </w:tc>
        <w:tc>
          <w:tcPr>
            <w:tcW w:w="2500" w:type="pct"/>
            <w:tcBorders>
              <w:top w:val="nil"/>
              <w:left w:val="nil"/>
              <w:bottom w:val="nil"/>
              <w:right w:val="nil"/>
            </w:tcBorders>
          </w:tcPr>
          <w:p w14:paraId="2F8F5EC5"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Financial Conduct Authority acting under Part VI of the Financial Services and Markets Act 2000</w:t>
            </w:r>
          </w:p>
        </w:tc>
      </w:tr>
      <w:tr w:rsidR="00F400D2" w14:paraId="76D1A1FC" w14:textId="77777777" w:rsidTr="007C63D0">
        <w:trPr>
          <w:cantSplit/>
          <w:jc w:val="center"/>
        </w:trPr>
        <w:tc>
          <w:tcPr>
            <w:tcW w:w="2500" w:type="pct"/>
            <w:tcBorders>
              <w:top w:val="nil"/>
              <w:left w:val="nil"/>
              <w:bottom w:val="nil"/>
              <w:right w:val="nil"/>
            </w:tcBorders>
          </w:tcPr>
          <w:p w14:paraId="1632B137" w14:textId="600F2FA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Ferroport</w:t>
            </w:r>
            <w:r>
              <w:rPr>
                <w:lang w:val="en-GB" w:eastAsia="en-GB" w:bidi="ar-SA"/>
              </w:rPr>
              <w:t>”</w:t>
            </w:r>
          </w:p>
        </w:tc>
        <w:tc>
          <w:tcPr>
            <w:tcW w:w="2500" w:type="pct"/>
            <w:tcBorders>
              <w:top w:val="nil"/>
              <w:left w:val="nil"/>
              <w:bottom w:val="nil"/>
              <w:right w:val="nil"/>
            </w:tcBorders>
          </w:tcPr>
          <w:p w14:paraId="31C53D6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Ferroport Logística Comercial Exportadora SA (formerly referred to as LLX Minas-Rio Logística Comercial Exportadora SA or LLX Minas-Rio Logística SA)</w:t>
            </w:r>
          </w:p>
        </w:tc>
      </w:tr>
      <w:tr w:rsidR="00F400D2" w14:paraId="42D477EC" w14:textId="77777777" w:rsidTr="007C63D0">
        <w:trPr>
          <w:cantSplit/>
          <w:jc w:val="center"/>
        </w:trPr>
        <w:tc>
          <w:tcPr>
            <w:tcW w:w="2500" w:type="pct"/>
            <w:tcBorders>
              <w:top w:val="nil"/>
              <w:left w:val="nil"/>
              <w:bottom w:val="nil"/>
              <w:right w:val="nil"/>
            </w:tcBorders>
          </w:tcPr>
          <w:p w14:paraId="63402D44" w14:textId="4824E4F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FIEL</w:t>
            </w:r>
            <w:r>
              <w:rPr>
                <w:lang w:val="en-GB" w:eastAsia="en-GB" w:bidi="ar-SA"/>
              </w:rPr>
              <w:t>”</w:t>
            </w:r>
          </w:p>
        </w:tc>
        <w:tc>
          <w:tcPr>
            <w:tcW w:w="2500" w:type="pct"/>
            <w:tcBorders>
              <w:top w:val="nil"/>
              <w:left w:val="nil"/>
              <w:bottom w:val="nil"/>
              <w:right w:val="nil"/>
            </w:tcBorders>
          </w:tcPr>
          <w:p w14:paraId="3015791F"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Financial Exchange Law of Japan (Law No. 25 of 1998, as amended)</w:t>
            </w:r>
          </w:p>
        </w:tc>
      </w:tr>
      <w:tr w:rsidR="00F400D2" w14:paraId="30A9CA73" w14:textId="77777777" w:rsidTr="007C63D0">
        <w:trPr>
          <w:cantSplit/>
          <w:jc w:val="center"/>
        </w:trPr>
        <w:tc>
          <w:tcPr>
            <w:tcW w:w="2500" w:type="pct"/>
            <w:tcBorders>
              <w:top w:val="nil"/>
              <w:left w:val="nil"/>
              <w:bottom w:val="nil"/>
              <w:right w:val="nil"/>
            </w:tcBorders>
          </w:tcPr>
          <w:p w14:paraId="6C097485" w14:textId="08086EF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FSMA</w:t>
            </w:r>
            <w:r>
              <w:rPr>
                <w:lang w:val="en-GB" w:eastAsia="en-GB" w:bidi="ar-SA"/>
              </w:rPr>
              <w:t>”</w:t>
            </w:r>
          </w:p>
        </w:tc>
        <w:tc>
          <w:tcPr>
            <w:tcW w:w="2500" w:type="pct"/>
            <w:tcBorders>
              <w:top w:val="nil"/>
              <w:left w:val="nil"/>
              <w:bottom w:val="nil"/>
              <w:right w:val="nil"/>
            </w:tcBorders>
          </w:tcPr>
          <w:p w14:paraId="41C7FFB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Financial Services and Markets Act 2000</w:t>
            </w:r>
          </w:p>
        </w:tc>
      </w:tr>
      <w:tr w:rsidR="00F400D2" w14:paraId="5F8BC6BC" w14:textId="77777777" w:rsidTr="007C63D0">
        <w:trPr>
          <w:cantSplit/>
          <w:jc w:val="center"/>
        </w:trPr>
        <w:tc>
          <w:tcPr>
            <w:tcW w:w="2500" w:type="pct"/>
            <w:tcBorders>
              <w:top w:val="nil"/>
              <w:left w:val="nil"/>
              <w:bottom w:val="nil"/>
              <w:right w:val="nil"/>
            </w:tcBorders>
          </w:tcPr>
          <w:p w14:paraId="7CC875BD" w14:textId="1ECEE4F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GEMCO</w:t>
            </w:r>
            <w:r>
              <w:rPr>
                <w:lang w:val="en-GB" w:eastAsia="en-GB" w:bidi="ar-SA"/>
              </w:rPr>
              <w:t>”</w:t>
            </w:r>
          </w:p>
        </w:tc>
        <w:tc>
          <w:tcPr>
            <w:tcW w:w="2500" w:type="pct"/>
            <w:tcBorders>
              <w:top w:val="nil"/>
              <w:left w:val="nil"/>
              <w:bottom w:val="nil"/>
              <w:right w:val="nil"/>
            </w:tcBorders>
          </w:tcPr>
          <w:p w14:paraId="3159DD4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Groote Eylandt Mining Company Pty Limited</w:t>
            </w:r>
          </w:p>
        </w:tc>
      </w:tr>
      <w:tr w:rsidR="00F400D2" w14:paraId="777E81D1" w14:textId="77777777" w:rsidTr="007C63D0">
        <w:trPr>
          <w:cantSplit/>
          <w:jc w:val="center"/>
        </w:trPr>
        <w:tc>
          <w:tcPr>
            <w:tcW w:w="2500" w:type="pct"/>
            <w:tcBorders>
              <w:top w:val="nil"/>
              <w:left w:val="nil"/>
              <w:bottom w:val="nil"/>
              <w:right w:val="nil"/>
            </w:tcBorders>
          </w:tcPr>
          <w:p w14:paraId="10540C7E" w14:textId="0C5265F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lastRenderedPageBreak/>
              <w:t>“</w:t>
            </w:r>
            <w:r w:rsidR="00F400D2" w:rsidRPr="00571974">
              <w:rPr>
                <w:lang w:val="en-GB" w:eastAsia="en-GB" w:bidi="ar-SA"/>
              </w:rPr>
              <w:t>GMC</w:t>
            </w:r>
            <w:r>
              <w:rPr>
                <w:lang w:val="en-GB" w:eastAsia="en-GB" w:bidi="ar-SA"/>
              </w:rPr>
              <w:t>”</w:t>
            </w:r>
          </w:p>
        </w:tc>
        <w:tc>
          <w:tcPr>
            <w:tcW w:w="2500" w:type="pct"/>
            <w:tcBorders>
              <w:top w:val="nil"/>
              <w:left w:val="nil"/>
              <w:bottom w:val="nil"/>
              <w:right w:val="nil"/>
            </w:tcBorders>
          </w:tcPr>
          <w:p w14:paraId="036FEA5C"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Group Management Committee</w:t>
            </w:r>
          </w:p>
        </w:tc>
      </w:tr>
      <w:tr w:rsidR="00F400D2" w14:paraId="5EFE7DDF" w14:textId="77777777" w:rsidTr="007C63D0">
        <w:trPr>
          <w:cantSplit/>
          <w:jc w:val="center"/>
        </w:trPr>
        <w:tc>
          <w:tcPr>
            <w:tcW w:w="2500" w:type="pct"/>
            <w:tcBorders>
              <w:top w:val="nil"/>
              <w:left w:val="nil"/>
              <w:bottom w:val="nil"/>
              <w:right w:val="nil"/>
            </w:tcBorders>
          </w:tcPr>
          <w:p w14:paraId="4B472A2F" w14:textId="04E7CDC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GRB</w:t>
            </w:r>
            <w:r>
              <w:rPr>
                <w:lang w:val="en-GB" w:eastAsia="en-GB" w:bidi="ar-SA"/>
              </w:rPr>
              <w:t>”</w:t>
            </w:r>
          </w:p>
        </w:tc>
        <w:tc>
          <w:tcPr>
            <w:tcW w:w="2500" w:type="pct"/>
            <w:tcBorders>
              <w:top w:val="nil"/>
              <w:left w:val="nil"/>
              <w:bottom w:val="nil"/>
              <w:right w:val="nil"/>
            </w:tcBorders>
          </w:tcPr>
          <w:p w14:paraId="042A1F4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Government of the Republic of Botswana</w:t>
            </w:r>
          </w:p>
        </w:tc>
      </w:tr>
      <w:tr w:rsidR="00F400D2" w14:paraId="1A906A1A" w14:textId="77777777" w:rsidTr="007C63D0">
        <w:trPr>
          <w:cantSplit/>
          <w:jc w:val="center"/>
        </w:trPr>
        <w:tc>
          <w:tcPr>
            <w:tcW w:w="2500" w:type="pct"/>
            <w:tcBorders>
              <w:top w:val="nil"/>
              <w:left w:val="nil"/>
              <w:bottom w:val="nil"/>
              <w:right w:val="nil"/>
            </w:tcBorders>
          </w:tcPr>
          <w:p w14:paraId="642FABC0" w14:textId="574551A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GRN</w:t>
            </w:r>
            <w:r>
              <w:rPr>
                <w:lang w:val="en-GB" w:eastAsia="en-GB" w:bidi="ar-SA"/>
              </w:rPr>
              <w:t>”</w:t>
            </w:r>
          </w:p>
        </w:tc>
        <w:tc>
          <w:tcPr>
            <w:tcW w:w="2500" w:type="pct"/>
            <w:tcBorders>
              <w:top w:val="nil"/>
              <w:left w:val="nil"/>
              <w:bottom w:val="nil"/>
              <w:right w:val="nil"/>
            </w:tcBorders>
          </w:tcPr>
          <w:p w14:paraId="13DCD97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Government of the Republic of Namibia</w:t>
            </w:r>
          </w:p>
        </w:tc>
      </w:tr>
      <w:tr w:rsidR="00F400D2" w14:paraId="3A28AE72" w14:textId="77777777" w:rsidTr="007C63D0">
        <w:trPr>
          <w:cantSplit/>
          <w:jc w:val="center"/>
        </w:trPr>
        <w:tc>
          <w:tcPr>
            <w:tcW w:w="2500" w:type="pct"/>
            <w:tcBorders>
              <w:top w:val="nil"/>
              <w:left w:val="nil"/>
              <w:bottom w:val="nil"/>
              <w:right w:val="nil"/>
            </w:tcBorders>
          </w:tcPr>
          <w:p w14:paraId="31432B2F" w14:textId="6544B197"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Group 2017 Consolidated Financial Statements</w:t>
            </w:r>
            <w:r>
              <w:rPr>
                <w:lang w:val="en-GB" w:eastAsia="en-GB" w:bidi="ar-SA"/>
              </w:rPr>
              <w:t>”</w:t>
            </w:r>
          </w:p>
        </w:tc>
        <w:tc>
          <w:tcPr>
            <w:tcW w:w="2500" w:type="pct"/>
            <w:tcBorders>
              <w:top w:val="nil"/>
              <w:left w:val="nil"/>
              <w:bottom w:val="nil"/>
              <w:right w:val="nil"/>
            </w:tcBorders>
          </w:tcPr>
          <w:p w14:paraId="78DC6557" w14:textId="7B10F5D2"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audited consolidated financial statements of the Anglo American Group and notes prepared in accordance with IFRS and Company financial statements prepared in accordance with UK GAAP, together with the related independent auditor</w:t>
            </w:r>
            <w:r w:rsidR="00A311D8">
              <w:rPr>
                <w:lang w:val="en-GB" w:eastAsia="en-GB" w:bidi="ar-SA"/>
              </w:rPr>
              <w:t>’</w:t>
            </w:r>
            <w:r w:rsidRPr="00571974">
              <w:rPr>
                <w:lang w:val="en-GB" w:eastAsia="en-GB" w:bidi="ar-SA"/>
              </w:rPr>
              <w:t>s audit report, as at and for the year-ended December 31, 2017</w:t>
            </w:r>
          </w:p>
        </w:tc>
      </w:tr>
      <w:tr w:rsidR="00F400D2" w14:paraId="33E4BBF8" w14:textId="77777777" w:rsidTr="007C63D0">
        <w:trPr>
          <w:cantSplit/>
          <w:jc w:val="center"/>
        </w:trPr>
        <w:tc>
          <w:tcPr>
            <w:tcW w:w="2500" w:type="pct"/>
            <w:tcBorders>
              <w:top w:val="nil"/>
              <w:left w:val="nil"/>
              <w:bottom w:val="nil"/>
              <w:right w:val="nil"/>
            </w:tcBorders>
          </w:tcPr>
          <w:p w14:paraId="45B91E5C" w14:textId="1022C19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Group 2018 Consolidated Financial Statements</w:t>
            </w:r>
            <w:r>
              <w:rPr>
                <w:lang w:val="en-GB" w:eastAsia="en-GB" w:bidi="ar-SA"/>
              </w:rPr>
              <w:t>”</w:t>
            </w:r>
          </w:p>
        </w:tc>
        <w:tc>
          <w:tcPr>
            <w:tcW w:w="2500" w:type="pct"/>
            <w:tcBorders>
              <w:top w:val="nil"/>
              <w:left w:val="nil"/>
              <w:bottom w:val="nil"/>
              <w:right w:val="nil"/>
            </w:tcBorders>
          </w:tcPr>
          <w:p w14:paraId="69CE8C2E" w14:textId="02EFB80B"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audited consolidated financial statements of the Anglo American Group and notes prepared in accordance with IFRS and Company financial statements prepared in accordance with UK GAAP, together with the related independent auditor</w:t>
            </w:r>
            <w:r w:rsidR="00A311D8">
              <w:rPr>
                <w:lang w:val="en-GB" w:eastAsia="en-GB" w:bidi="ar-SA"/>
              </w:rPr>
              <w:t>’</w:t>
            </w:r>
            <w:r w:rsidRPr="00571974">
              <w:rPr>
                <w:lang w:val="en-GB" w:eastAsia="en-GB" w:bidi="ar-SA"/>
              </w:rPr>
              <w:t>s audit report, as at and for the year-ended December 31, 2018</w:t>
            </w:r>
          </w:p>
        </w:tc>
      </w:tr>
      <w:tr w:rsidR="00F400D2" w14:paraId="2F8D22CA" w14:textId="77777777" w:rsidTr="007C63D0">
        <w:trPr>
          <w:cantSplit/>
          <w:jc w:val="center"/>
        </w:trPr>
        <w:tc>
          <w:tcPr>
            <w:tcW w:w="2500" w:type="pct"/>
            <w:tcBorders>
              <w:top w:val="nil"/>
              <w:left w:val="nil"/>
              <w:bottom w:val="nil"/>
              <w:right w:val="nil"/>
            </w:tcBorders>
          </w:tcPr>
          <w:p w14:paraId="690BEB37" w14:textId="2A18A3C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Group 2019 Consolidated Financial Statements</w:t>
            </w:r>
            <w:r>
              <w:rPr>
                <w:lang w:val="en-GB" w:eastAsia="en-GB" w:bidi="ar-SA"/>
              </w:rPr>
              <w:t>”</w:t>
            </w:r>
          </w:p>
        </w:tc>
        <w:tc>
          <w:tcPr>
            <w:tcW w:w="2500" w:type="pct"/>
            <w:tcBorders>
              <w:top w:val="nil"/>
              <w:left w:val="nil"/>
              <w:bottom w:val="nil"/>
              <w:right w:val="nil"/>
            </w:tcBorders>
          </w:tcPr>
          <w:p w14:paraId="094B79D2" w14:textId="21F3DCA0"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audited consolidated financial statements of the Anglo American Group and notes prepared in accordance with IFRS and Company financial statements prepared in accordance with UK GAAP, together with the related independent auditor</w:t>
            </w:r>
            <w:r w:rsidR="00A311D8">
              <w:rPr>
                <w:lang w:val="en-GB" w:eastAsia="en-GB" w:bidi="ar-SA"/>
              </w:rPr>
              <w:t>’</w:t>
            </w:r>
            <w:r w:rsidRPr="00571974">
              <w:rPr>
                <w:lang w:val="en-GB" w:eastAsia="en-GB" w:bidi="ar-SA"/>
              </w:rPr>
              <w:t>s audit report, as at and for the year-ended December 31, 2019</w:t>
            </w:r>
          </w:p>
        </w:tc>
      </w:tr>
      <w:tr w:rsidR="00F400D2" w14:paraId="102074E8" w14:textId="77777777" w:rsidTr="007C63D0">
        <w:trPr>
          <w:cantSplit/>
          <w:jc w:val="center"/>
        </w:trPr>
        <w:tc>
          <w:tcPr>
            <w:tcW w:w="2500" w:type="pct"/>
            <w:tcBorders>
              <w:top w:val="nil"/>
              <w:left w:val="nil"/>
              <w:bottom w:val="nil"/>
              <w:right w:val="nil"/>
            </w:tcBorders>
          </w:tcPr>
          <w:p w14:paraId="547C6D62" w14:textId="1ACA228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HDSA(s)</w:t>
            </w:r>
            <w:r>
              <w:rPr>
                <w:lang w:val="en-GB" w:eastAsia="en-GB" w:bidi="ar-SA"/>
              </w:rPr>
              <w:t>”</w:t>
            </w:r>
          </w:p>
        </w:tc>
        <w:tc>
          <w:tcPr>
            <w:tcW w:w="2500" w:type="pct"/>
            <w:tcBorders>
              <w:top w:val="nil"/>
              <w:left w:val="nil"/>
              <w:bottom w:val="nil"/>
              <w:right w:val="nil"/>
            </w:tcBorders>
          </w:tcPr>
          <w:p w14:paraId="447D25D0"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Historically Disadvantaged South Africans</w:t>
            </w:r>
          </w:p>
        </w:tc>
      </w:tr>
      <w:tr w:rsidR="00F400D2" w14:paraId="2C3EBF8F" w14:textId="77777777" w:rsidTr="007C63D0">
        <w:trPr>
          <w:cantSplit/>
          <w:jc w:val="center"/>
        </w:trPr>
        <w:tc>
          <w:tcPr>
            <w:tcW w:w="2500" w:type="pct"/>
            <w:tcBorders>
              <w:top w:val="nil"/>
              <w:left w:val="nil"/>
              <w:bottom w:val="nil"/>
              <w:right w:val="nil"/>
            </w:tcBorders>
          </w:tcPr>
          <w:p w14:paraId="4831A1AD" w14:textId="43932A2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Hotazel</w:t>
            </w:r>
            <w:r>
              <w:rPr>
                <w:lang w:val="en-GB" w:eastAsia="en-GB" w:bidi="ar-SA"/>
              </w:rPr>
              <w:t>”</w:t>
            </w:r>
          </w:p>
        </w:tc>
        <w:tc>
          <w:tcPr>
            <w:tcW w:w="2500" w:type="pct"/>
            <w:tcBorders>
              <w:top w:val="nil"/>
              <w:left w:val="nil"/>
              <w:bottom w:val="nil"/>
              <w:right w:val="nil"/>
            </w:tcBorders>
          </w:tcPr>
          <w:p w14:paraId="331448EF"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Hotazel Manganese Mined and Metalloys</w:t>
            </w:r>
          </w:p>
        </w:tc>
      </w:tr>
      <w:tr w:rsidR="00F400D2" w14:paraId="1916455E" w14:textId="77777777" w:rsidTr="007C63D0">
        <w:trPr>
          <w:cantSplit/>
          <w:jc w:val="center"/>
        </w:trPr>
        <w:tc>
          <w:tcPr>
            <w:tcW w:w="2500" w:type="pct"/>
            <w:tcBorders>
              <w:top w:val="nil"/>
              <w:left w:val="nil"/>
              <w:bottom w:val="nil"/>
              <w:right w:val="nil"/>
            </w:tcBorders>
          </w:tcPr>
          <w:p w14:paraId="7E479667" w14:textId="4EE14324"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IFRS 11</w:t>
            </w:r>
            <w:r>
              <w:rPr>
                <w:lang w:val="en-GB" w:eastAsia="en-GB" w:bidi="ar-SA"/>
              </w:rPr>
              <w:t>”</w:t>
            </w:r>
          </w:p>
        </w:tc>
        <w:tc>
          <w:tcPr>
            <w:tcW w:w="2500" w:type="pct"/>
            <w:tcBorders>
              <w:top w:val="nil"/>
              <w:left w:val="nil"/>
              <w:bottom w:val="nil"/>
              <w:right w:val="nil"/>
            </w:tcBorders>
          </w:tcPr>
          <w:p w14:paraId="1B61FC3C"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International Financial Reporting Standard 11 Joint Arrangements</w:t>
            </w:r>
          </w:p>
        </w:tc>
      </w:tr>
      <w:tr w:rsidR="00F400D2" w14:paraId="605EF3DD" w14:textId="77777777" w:rsidTr="007C63D0">
        <w:trPr>
          <w:cantSplit/>
          <w:jc w:val="center"/>
        </w:trPr>
        <w:tc>
          <w:tcPr>
            <w:tcW w:w="2500" w:type="pct"/>
            <w:tcBorders>
              <w:top w:val="nil"/>
              <w:left w:val="nil"/>
              <w:bottom w:val="nil"/>
              <w:right w:val="nil"/>
            </w:tcBorders>
          </w:tcPr>
          <w:p w14:paraId="066FEA23" w14:textId="56352F6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IFRS</w:t>
            </w:r>
            <w:r>
              <w:rPr>
                <w:lang w:val="en-GB" w:eastAsia="en-GB" w:bidi="ar-SA"/>
              </w:rPr>
              <w:t>”</w:t>
            </w:r>
          </w:p>
        </w:tc>
        <w:tc>
          <w:tcPr>
            <w:tcW w:w="2500" w:type="pct"/>
            <w:tcBorders>
              <w:top w:val="nil"/>
              <w:left w:val="nil"/>
              <w:bottom w:val="nil"/>
              <w:right w:val="nil"/>
            </w:tcBorders>
          </w:tcPr>
          <w:p w14:paraId="0E760308"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International Financial Reporting Standards as adopted for use by the European Union</w:t>
            </w:r>
          </w:p>
        </w:tc>
      </w:tr>
      <w:tr w:rsidR="00F400D2" w14:paraId="3AE6F4C3" w14:textId="77777777" w:rsidTr="007C63D0">
        <w:trPr>
          <w:cantSplit/>
          <w:jc w:val="center"/>
        </w:trPr>
        <w:tc>
          <w:tcPr>
            <w:tcW w:w="2500" w:type="pct"/>
            <w:tcBorders>
              <w:top w:val="nil"/>
              <w:left w:val="nil"/>
              <w:bottom w:val="nil"/>
              <w:right w:val="nil"/>
            </w:tcBorders>
          </w:tcPr>
          <w:p w14:paraId="35BE5AB3" w14:textId="1D830127"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Indenture</w:t>
            </w:r>
            <w:r>
              <w:rPr>
                <w:lang w:val="en-GB" w:eastAsia="en-GB" w:bidi="ar-SA"/>
              </w:rPr>
              <w:t>”</w:t>
            </w:r>
          </w:p>
        </w:tc>
        <w:tc>
          <w:tcPr>
            <w:tcW w:w="2500" w:type="pct"/>
            <w:tcBorders>
              <w:top w:val="nil"/>
              <w:left w:val="nil"/>
              <w:bottom w:val="nil"/>
              <w:right w:val="nil"/>
            </w:tcBorders>
          </w:tcPr>
          <w:p w14:paraId="62AA50B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Indenture, dated April 8, 2009, as supplemented by first supplemental indenture dated as of April 2, 2012 and the second supplemental indenture dated as of May 14, 2015, under which the Notes will be issued, among the Issuer, Anglo American and Citibank, N.A.</w:t>
            </w:r>
          </w:p>
        </w:tc>
      </w:tr>
      <w:tr w:rsidR="00F400D2" w14:paraId="6F981332" w14:textId="77777777" w:rsidTr="007C63D0">
        <w:trPr>
          <w:cantSplit/>
          <w:jc w:val="center"/>
        </w:trPr>
        <w:tc>
          <w:tcPr>
            <w:tcW w:w="2500" w:type="pct"/>
            <w:tcBorders>
              <w:top w:val="nil"/>
              <w:left w:val="nil"/>
              <w:bottom w:val="nil"/>
              <w:right w:val="nil"/>
            </w:tcBorders>
          </w:tcPr>
          <w:p w14:paraId="4948C1D8" w14:textId="7A6AABA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eastAsia="en-GB" w:bidi="ar-SA"/>
              </w:rPr>
              <w:t>“</w:t>
            </w:r>
            <w:r w:rsidR="00F400D2" w:rsidRPr="00571974">
              <w:rPr>
                <w:lang w:val="en-GB" w:eastAsia="en-GB" w:bidi="ar-SA"/>
              </w:rPr>
              <w:t>Indicated Mineral Resource</w:t>
            </w:r>
            <w:r>
              <w:rPr>
                <w:lang w:val="en-GB" w:eastAsia="en-GB" w:bidi="ar-SA"/>
              </w:rPr>
              <w:t>”</w:t>
            </w:r>
          </w:p>
        </w:tc>
        <w:tc>
          <w:tcPr>
            <w:tcW w:w="2500" w:type="pct"/>
            <w:tcBorders>
              <w:top w:val="nil"/>
              <w:left w:val="nil"/>
              <w:bottom w:val="nil"/>
              <w:right w:val="nil"/>
            </w:tcBorders>
          </w:tcPr>
          <w:p w14:paraId="07414F9E" w14:textId="64E8CDF7" w:rsidR="00F400D2" w:rsidRPr="00571974" w:rsidRDefault="00F400D2" w:rsidP="00F400D2">
            <w:pPr>
              <w:rPr>
                <w:lang w:val="en-GB" w:eastAsia="en-GB" w:bidi="ar-SA"/>
              </w:rPr>
            </w:pPr>
            <w:r w:rsidRPr="00571974">
              <w:rPr>
                <w:lang w:val="en-GB" w:eastAsia="en-GB" w:bidi="ar-SA"/>
              </w:rPr>
              <w:t>An Indicated Mineral Resource is that part of a Mineral Resource for which tonnage, densities, shape, physical characteristics, grade and mineral content can be estimated with a reasonable level of confidence. It is based on exploration, sampling and testing information gathered through appropriate techniques from locations such as outcrops, trenches, pits, workings and drill holes. The locations are too widely or inappropriately spaced to confirm geological and/or grade continuity but are spaced closely enough for continuity to be assumed</w:t>
            </w:r>
          </w:p>
        </w:tc>
      </w:tr>
      <w:tr w:rsidR="00F400D2" w14:paraId="17A0AD06" w14:textId="77777777" w:rsidTr="007C63D0">
        <w:trPr>
          <w:cantSplit/>
          <w:jc w:val="center"/>
        </w:trPr>
        <w:tc>
          <w:tcPr>
            <w:tcW w:w="2500" w:type="pct"/>
            <w:tcBorders>
              <w:top w:val="nil"/>
              <w:left w:val="nil"/>
              <w:bottom w:val="nil"/>
              <w:right w:val="nil"/>
            </w:tcBorders>
          </w:tcPr>
          <w:p w14:paraId="38256B36" w14:textId="60EE3CC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Initial Purchasers</w:t>
            </w:r>
            <w:r>
              <w:rPr>
                <w:lang w:val="en-GB" w:eastAsia="en-GB" w:bidi="ar-SA"/>
              </w:rPr>
              <w:t>”</w:t>
            </w:r>
          </w:p>
        </w:tc>
        <w:tc>
          <w:tcPr>
            <w:tcW w:w="2500" w:type="pct"/>
            <w:tcBorders>
              <w:top w:val="nil"/>
              <w:left w:val="nil"/>
              <w:bottom w:val="nil"/>
              <w:right w:val="nil"/>
            </w:tcBorders>
          </w:tcPr>
          <w:p w14:paraId="0E8ECED0" w14:textId="09B9FE6B" w:rsidR="00F400D2" w:rsidRPr="00571974" w:rsidRDefault="00F400D2" w:rsidP="00F400D2">
            <w:pPr>
              <w:rPr>
                <w:lang w:val="en-GB" w:eastAsia="en-GB" w:bidi="ar-SA"/>
              </w:rPr>
            </w:pPr>
            <w:r w:rsidRPr="00571974">
              <w:rPr>
                <w:lang w:val="en-GB" w:eastAsia="en-GB" w:bidi="ar-SA"/>
              </w:rPr>
              <w:t>Citigroup Global Markets Inc., Mizuho Securities USA LLC, RBC Capital Markets,</w:t>
            </w:r>
            <w:r>
              <w:rPr>
                <w:lang w:val="en-GB" w:eastAsia="en-GB" w:bidi="ar-SA"/>
              </w:rPr>
              <w:t xml:space="preserve"> </w:t>
            </w:r>
            <w:r w:rsidRPr="00571974">
              <w:rPr>
                <w:lang w:val="en-GB" w:eastAsia="en-GB" w:bidi="ar-SA"/>
              </w:rPr>
              <w:t>L</w:t>
            </w:r>
            <w:r>
              <w:rPr>
                <w:lang w:val="en-GB" w:eastAsia="en-GB" w:bidi="ar-SA"/>
              </w:rPr>
              <w:t>L</w:t>
            </w:r>
            <w:r w:rsidRPr="00571974">
              <w:rPr>
                <w:lang w:val="en-GB" w:eastAsia="en-GB" w:bidi="ar-SA"/>
              </w:rPr>
              <w:t>C, Standard Chartered Bank, BMO Capital Markets Corp. and TD Securities (USA) LLC</w:t>
            </w:r>
          </w:p>
        </w:tc>
      </w:tr>
      <w:tr w:rsidR="00F400D2" w14:paraId="28190F1A" w14:textId="77777777" w:rsidTr="007C63D0">
        <w:trPr>
          <w:cantSplit/>
          <w:jc w:val="center"/>
        </w:trPr>
        <w:tc>
          <w:tcPr>
            <w:tcW w:w="2500" w:type="pct"/>
            <w:tcBorders>
              <w:top w:val="nil"/>
              <w:left w:val="nil"/>
              <w:bottom w:val="nil"/>
              <w:right w:val="nil"/>
            </w:tcBorders>
          </w:tcPr>
          <w:p w14:paraId="0A1A8025" w14:textId="0A85D8B2"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Iron Ore Brazil</w:t>
            </w:r>
            <w:r>
              <w:rPr>
                <w:lang w:val="en-GB" w:eastAsia="en-GB" w:bidi="ar-SA"/>
              </w:rPr>
              <w:t>”</w:t>
            </w:r>
          </w:p>
        </w:tc>
        <w:tc>
          <w:tcPr>
            <w:tcW w:w="2500" w:type="pct"/>
            <w:tcBorders>
              <w:top w:val="nil"/>
              <w:left w:val="nil"/>
              <w:bottom w:val="nil"/>
              <w:right w:val="nil"/>
            </w:tcBorders>
          </w:tcPr>
          <w:p w14:paraId="35B2D16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business unit containing the Minas-Rio Project</w:t>
            </w:r>
          </w:p>
        </w:tc>
      </w:tr>
      <w:tr w:rsidR="00F400D2" w14:paraId="222285B3" w14:textId="77777777" w:rsidTr="007C63D0">
        <w:trPr>
          <w:cantSplit/>
          <w:jc w:val="center"/>
        </w:trPr>
        <w:tc>
          <w:tcPr>
            <w:tcW w:w="2500" w:type="pct"/>
            <w:tcBorders>
              <w:top w:val="nil"/>
              <w:left w:val="nil"/>
              <w:bottom w:val="nil"/>
              <w:right w:val="nil"/>
            </w:tcBorders>
          </w:tcPr>
          <w:p w14:paraId="64651D61" w14:textId="70D5ABC4"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Issuer 2017 Financial Statements</w:t>
            </w:r>
            <w:r>
              <w:rPr>
                <w:lang w:val="en-GB" w:eastAsia="en-GB" w:bidi="ar-SA"/>
              </w:rPr>
              <w:t>”</w:t>
            </w:r>
          </w:p>
        </w:tc>
        <w:tc>
          <w:tcPr>
            <w:tcW w:w="2500" w:type="pct"/>
            <w:tcBorders>
              <w:top w:val="nil"/>
              <w:left w:val="nil"/>
              <w:bottom w:val="nil"/>
              <w:right w:val="nil"/>
            </w:tcBorders>
          </w:tcPr>
          <w:p w14:paraId="1624F047" w14:textId="4083E98C"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audited financial statements of Anglo American Capital and notes thereto prepared in accordance with UK GAAP, together with the related independent auditor</w:t>
            </w:r>
            <w:r w:rsidR="00A311D8">
              <w:rPr>
                <w:lang w:val="en-GB" w:eastAsia="en-GB" w:bidi="ar-SA"/>
              </w:rPr>
              <w:t>’</w:t>
            </w:r>
            <w:r w:rsidRPr="00571974">
              <w:rPr>
                <w:lang w:val="en-GB" w:eastAsia="en-GB" w:bidi="ar-SA"/>
              </w:rPr>
              <w:t>s audit report, as at and for the year-ended December 31, 2017</w:t>
            </w:r>
          </w:p>
        </w:tc>
      </w:tr>
      <w:tr w:rsidR="00F400D2" w14:paraId="6F2433B0" w14:textId="77777777" w:rsidTr="007C63D0">
        <w:trPr>
          <w:cantSplit/>
          <w:jc w:val="center"/>
        </w:trPr>
        <w:tc>
          <w:tcPr>
            <w:tcW w:w="2500" w:type="pct"/>
            <w:tcBorders>
              <w:top w:val="nil"/>
              <w:left w:val="nil"/>
              <w:bottom w:val="nil"/>
              <w:right w:val="nil"/>
            </w:tcBorders>
          </w:tcPr>
          <w:p w14:paraId="216FD675" w14:textId="17671C7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Issuer 2018 Financial Statements</w:t>
            </w:r>
            <w:r>
              <w:rPr>
                <w:lang w:val="en-GB" w:eastAsia="en-GB" w:bidi="ar-SA"/>
              </w:rPr>
              <w:t>”</w:t>
            </w:r>
          </w:p>
        </w:tc>
        <w:tc>
          <w:tcPr>
            <w:tcW w:w="2500" w:type="pct"/>
            <w:tcBorders>
              <w:top w:val="nil"/>
              <w:left w:val="nil"/>
              <w:bottom w:val="nil"/>
              <w:right w:val="nil"/>
            </w:tcBorders>
          </w:tcPr>
          <w:p w14:paraId="5A830358" w14:textId="5C66E65F"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audited financial statements of Anglo American Capital and notes thereto prepared in accordance with UK GAAP, together with the related independent auditor</w:t>
            </w:r>
            <w:r w:rsidR="00A311D8">
              <w:rPr>
                <w:lang w:val="en-GB" w:eastAsia="en-GB" w:bidi="ar-SA"/>
              </w:rPr>
              <w:t>’</w:t>
            </w:r>
            <w:r w:rsidRPr="00571974">
              <w:rPr>
                <w:lang w:val="en-GB" w:eastAsia="en-GB" w:bidi="ar-SA"/>
              </w:rPr>
              <w:t>s audit report, as at and for the year-ended December 31, 2018</w:t>
            </w:r>
          </w:p>
        </w:tc>
      </w:tr>
      <w:tr w:rsidR="00F400D2" w14:paraId="39454A7B" w14:textId="77777777" w:rsidTr="007C63D0">
        <w:trPr>
          <w:cantSplit/>
          <w:jc w:val="center"/>
        </w:trPr>
        <w:tc>
          <w:tcPr>
            <w:tcW w:w="2500" w:type="pct"/>
            <w:tcBorders>
              <w:top w:val="nil"/>
              <w:left w:val="nil"/>
              <w:bottom w:val="nil"/>
              <w:right w:val="nil"/>
            </w:tcBorders>
          </w:tcPr>
          <w:p w14:paraId="5ADFD648" w14:textId="2FD49DAD"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lastRenderedPageBreak/>
              <w:t>“</w:t>
            </w:r>
            <w:r w:rsidR="00F400D2" w:rsidRPr="00571974">
              <w:rPr>
                <w:lang w:val="en-GB" w:eastAsia="en-GB" w:bidi="ar-SA"/>
              </w:rPr>
              <w:t>Issuer 2019 Financial Statements</w:t>
            </w:r>
            <w:r>
              <w:rPr>
                <w:lang w:val="en-GB" w:eastAsia="en-GB" w:bidi="ar-SA"/>
              </w:rPr>
              <w:t>”</w:t>
            </w:r>
          </w:p>
        </w:tc>
        <w:tc>
          <w:tcPr>
            <w:tcW w:w="2500" w:type="pct"/>
            <w:tcBorders>
              <w:top w:val="nil"/>
              <w:left w:val="nil"/>
              <w:bottom w:val="nil"/>
              <w:right w:val="nil"/>
            </w:tcBorders>
          </w:tcPr>
          <w:p w14:paraId="582C5EFF" w14:textId="1AC4C03A"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audited financial statements of Anglo American Capital and notes thereto prepared in accordance with UK GAAP, together with the related independent auditor</w:t>
            </w:r>
            <w:r w:rsidR="00A311D8">
              <w:rPr>
                <w:lang w:val="en-GB" w:eastAsia="en-GB" w:bidi="ar-SA"/>
              </w:rPr>
              <w:t>’</w:t>
            </w:r>
            <w:r w:rsidRPr="00571974">
              <w:rPr>
                <w:lang w:val="en-GB" w:eastAsia="en-GB" w:bidi="ar-SA"/>
              </w:rPr>
              <w:t>s audit report, as at and for the year-ended December 31, 2019</w:t>
            </w:r>
          </w:p>
        </w:tc>
      </w:tr>
      <w:tr w:rsidR="00F400D2" w14:paraId="163C4220" w14:textId="77777777" w:rsidTr="007C63D0">
        <w:trPr>
          <w:cantSplit/>
          <w:jc w:val="center"/>
        </w:trPr>
        <w:tc>
          <w:tcPr>
            <w:tcW w:w="2500" w:type="pct"/>
            <w:tcBorders>
              <w:top w:val="nil"/>
              <w:left w:val="nil"/>
              <w:bottom w:val="nil"/>
              <w:right w:val="nil"/>
            </w:tcBorders>
          </w:tcPr>
          <w:p w14:paraId="32473577" w14:textId="4D81D087"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Joint Bookrunners</w:t>
            </w:r>
            <w:r>
              <w:rPr>
                <w:lang w:val="en-GB" w:eastAsia="en-GB" w:bidi="ar-SA"/>
              </w:rPr>
              <w:t>”</w:t>
            </w:r>
          </w:p>
        </w:tc>
        <w:tc>
          <w:tcPr>
            <w:tcW w:w="2500" w:type="pct"/>
            <w:tcBorders>
              <w:top w:val="nil"/>
              <w:left w:val="nil"/>
              <w:bottom w:val="nil"/>
              <w:right w:val="nil"/>
            </w:tcBorders>
          </w:tcPr>
          <w:p w14:paraId="70DAD578" w14:textId="29841352" w:rsidR="00F400D2" w:rsidRPr="00571974" w:rsidRDefault="00F400D2" w:rsidP="00F400D2">
            <w:pPr>
              <w:rPr>
                <w:lang w:val="en-GB" w:eastAsia="en-GB" w:bidi="ar-SA"/>
              </w:rPr>
            </w:pPr>
            <w:r w:rsidRPr="00571974">
              <w:rPr>
                <w:lang w:val="en-GB" w:eastAsia="en-GB" w:bidi="ar-SA"/>
              </w:rPr>
              <w:t>Citigroup Global Markets Inc., Mizuho Securities USA LLC, RBC Capital Markets, L</w:t>
            </w:r>
            <w:r>
              <w:rPr>
                <w:lang w:val="en-GB" w:eastAsia="en-GB" w:bidi="ar-SA"/>
              </w:rPr>
              <w:t>L</w:t>
            </w:r>
            <w:r w:rsidRPr="00571974">
              <w:rPr>
                <w:lang w:val="en-GB" w:eastAsia="en-GB" w:bidi="ar-SA"/>
              </w:rPr>
              <w:t>C, Standard Chartered Bank, BMO Capital Markets Corp. and TD Securities (USA) LLC.</w:t>
            </w:r>
          </w:p>
        </w:tc>
      </w:tr>
      <w:tr w:rsidR="00F400D2" w14:paraId="52254D4A" w14:textId="77777777" w:rsidTr="007C63D0">
        <w:trPr>
          <w:cantSplit/>
          <w:jc w:val="center"/>
        </w:trPr>
        <w:tc>
          <w:tcPr>
            <w:tcW w:w="2500" w:type="pct"/>
            <w:tcBorders>
              <w:top w:val="nil"/>
              <w:left w:val="nil"/>
              <w:bottom w:val="nil"/>
              <w:right w:val="nil"/>
            </w:tcBorders>
          </w:tcPr>
          <w:p w14:paraId="20C17DE6" w14:textId="0393246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JORC Code</w:t>
            </w:r>
            <w:r>
              <w:rPr>
                <w:lang w:val="en-GB" w:eastAsia="en-GB" w:bidi="ar-SA"/>
              </w:rPr>
              <w:t>”</w:t>
            </w:r>
          </w:p>
        </w:tc>
        <w:tc>
          <w:tcPr>
            <w:tcW w:w="2500" w:type="pct"/>
            <w:tcBorders>
              <w:top w:val="nil"/>
              <w:left w:val="nil"/>
              <w:bottom w:val="nil"/>
              <w:right w:val="nil"/>
            </w:tcBorders>
          </w:tcPr>
          <w:p w14:paraId="3A07A3D7"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Australasian Code for Reporting of Exploration Results, Mineral Resources and Ore Reserves, 2012 edition</w:t>
            </w:r>
          </w:p>
        </w:tc>
      </w:tr>
      <w:tr w:rsidR="00F400D2" w14:paraId="48A4E429" w14:textId="77777777" w:rsidTr="007C63D0">
        <w:trPr>
          <w:cantSplit/>
          <w:jc w:val="center"/>
        </w:trPr>
        <w:tc>
          <w:tcPr>
            <w:tcW w:w="2500" w:type="pct"/>
            <w:tcBorders>
              <w:top w:val="nil"/>
              <w:left w:val="nil"/>
              <w:bottom w:val="nil"/>
              <w:right w:val="nil"/>
            </w:tcBorders>
          </w:tcPr>
          <w:p w14:paraId="7C12F615" w14:textId="44AF11F1"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kt</w:t>
            </w:r>
            <w:r>
              <w:rPr>
                <w:lang w:val="en-GB" w:eastAsia="en-GB" w:bidi="ar-SA"/>
              </w:rPr>
              <w:t>”</w:t>
            </w:r>
          </w:p>
        </w:tc>
        <w:tc>
          <w:tcPr>
            <w:tcW w:w="2500" w:type="pct"/>
            <w:tcBorders>
              <w:top w:val="nil"/>
              <w:left w:val="nil"/>
              <w:bottom w:val="nil"/>
              <w:right w:val="nil"/>
            </w:tcBorders>
          </w:tcPr>
          <w:p w14:paraId="7E777A8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Denotes kilotonnes</w:t>
            </w:r>
          </w:p>
        </w:tc>
      </w:tr>
      <w:tr w:rsidR="00F400D2" w14:paraId="0EBC0B15" w14:textId="77777777" w:rsidTr="007C63D0">
        <w:trPr>
          <w:cantSplit/>
          <w:jc w:val="center"/>
        </w:trPr>
        <w:tc>
          <w:tcPr>
            <w:tcW w:w="2500" w:type="pct"/>
            <w:tcBorders>
              <w:top w:val="nil"/>
              <w:left w:val="nil"/>
              <w:bottom w:val="nil"/>
              <w:right w:val="nil"/>
            </w:tcBorders>
          </w:tcPr>
          <w:p w14:paraId="78D1E59D" w14:textId="448DC08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Kumba</w:t>
            </w:r>
            <w:r>
              <w:rPr>
                <w:lang w:val="en-GB" w:eastAsia="en-GB" w:bidi="ar-SA"/>
              </w:rPr>
              <w:t>”</w:t>
            </w:r>
          </w:p>
        </w:tc>
        <w:tc>
          <w:tcPr>
            <w:tcW w:w="2500" w:type="pct"/>
            <w:tcBorders>
              <w:top w:val="nil"/>
              <w:left w:val="nil"/>
              <w:bottom w:val="nil"/>
              <w:right w:val="nil"/>
            </w:tcBorders>
          </w:tcPr>
          <w:p w14:paraId="2762A76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Kumba Iron Ore Limited</w:t>
            </w:r>
          </w:p>
        </w:tc>
      </w:tr>
      <w:tr w:rsidR="00F400D2" w14:paraId="116899E2" w14:textId="77777777" w:rsidTr="007C63D0">
        <w:trPr>
          <w:cantSplit/>
          <w:jc w:val="center"/>
        </w:trPr>
        <w:tc>
          <w:tcPr>
            <w:tcW w:w="2500" w:type="pct"/>
            <w:tcBorders>
              <w:top w:val="nil"/>
              <w:left w:val="nil"/>
              <w:bottom w:val="nil"/>
              <w:right w:val="nil"/>
            </w:tcBorders>
          </w:tcPr>
          <w:p w14:paraId="5F01EC1C" w14:textId="17994812"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Lafarge</w:t>
            </w:r>
            <w:r>
              <w:rPr>
                <w:lang w:val="en-GB" w:eastAsia="en-GB" w:bidi="ar-SA"/>
              </w:rPr>
              <w:t>”</w:t>
            </w:r>
          </w:p>
        </w:tc>
        <w:tc>
          <w:tcPr>
            <w:tcW w:w="2500" w:type="pct"/>
            <w:tcBorders>
              <w:top w:val="nil"/>
              <w:left w:val="nil"/>
              <w:bottom w:val="nil"/>
              <w:right w:val="nil"/>
            </w:tcBorders>
          </w:tcPr>
          <w:p w14:paraId="67CBD2F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Lafarge SA</w:t>
            </w:r>
          </w:p>
        </w:tc>
      </w:tr>
      <w:tr w:rsidR="00F400D2" w14:paraId="6CC6A22B" w14:textId="77777777" w:rsidTr="007C63D0">
        <w:trPr>
          <w:cantSplit/>
          <w:jc w:val="center"/>
        </w:trPr>
        <w:tc>
          <w:tcPr>
            <w:tcW w:w="2500" w:type="pct"/>
            <w:tcBorders>
              <w:top w:val="nil"/>
              <w:left w:val="nil"/>
              <w:bottom w:val="nil"/>
              <w:right w:val="nil"/>
            </w:tcBorders>
          </w:tcPr>
          <w:p w14:paraId="74E43243" w14:textId="3F5752E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Lafarge Tarmac</w:t>
            </w:r>
            <w:r>
              <w:rPr>
                <w:lang w:val="en-GB" w:eastAsia="en-GB" w:bidi="ar-SA"/>
              </w:rPr>
              <w:t>”</w:t>
            </w:r>
          </w:p>
        </w:tc>
        <w:tc>
          <w:tcPr>
            <w:tcW w:w="2500" w:type="pct"/>
            <w:tcBorders>
              <w:top w:val="nil"/>
              <w:left w:val="nil"/>
              <w:bottom w:val="nil"/>
              <w:right w:val="nil"/>
            </w:tcBorders>
          </w:tcPr>
          <w:p w14:paraId="7169394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joint venture between Lafarge and Tarmac</w:t>
            </w:r>
          </w:p>
        </w:tc>
      </w:tr>
      <w:tr w:rsidR="00F400D2" w14:paraId="00B30B99" w14:textId="77777777" w:rsidTr="007C63D0">
        <w:trPr>
          <w:cantSplit/>
          <w:jc w:val="center"/>
        </w:trPr>
        <w:tc>
          <w:tcPr>
            <w:tcW w:w="2500" w:type="pct"/>
            <w:tcBorders>
              <w:top w:val="nil"/>
              <w:left w:val="nil"/>
              <w:bottom w:val="nil"/>
              <w:right w:val="nil"/>
            </w:tcBorders>
          </w:tcPr>
          <w:p w14:paraId="1B483BF1" w14:textId="489266C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lb</w:t>
            </w:r>
            <w:r>
              <w:rPr>
                <w:lang w:val="en-GB" w:eastAsia="en-GB" w:bidi="ar-SA"/>
              </w:rPr>
              <w:t>”</w:t>
            </w:r>
          </w:p>
        </w:tc>
        <w:tc>
          <w:tcPr>
            <w:tcW w:w="2500" w:type="pct"/>
            <w:tcBorders>
              <w:top w:val="nil"/>
              <w:left w:val="nil"/>
              <w:bottom w:val="nil"/>
              <w:right w:val="nil"/>
            </w:tcBorders>
          </w:tcPr>
          <w:p w14:paraId="3D304AD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Denotes pounds</w:t>
            </w:r>
          </w:p>
        </w:tc>
      </w:tr>
      <w:tr w:rsidR="00F400D2" w14:paraId="65549616" w14:textId="77777777" w:rsidTr="007C63D0">
        <w:trPr>
          <w:cantSplit/>
          <w:jc w:val="center"/>
        </w:trPr>
        <w:tc>
          <w:tcPr>
            <w:tcW w:w="2500" w:type="pct"/>
            <w:tcBorders>
              <w:top w:val="nil"/>
              <w:left w:val="nil"/>
              <w:bottom w:val="nil"/>
              <w:right w:val="nil"/>
            </w:tcBorders>
          </w:tcPr>
          <w:p w14:paraId="6FD08D9F" w14:textId="62CD804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Measured Mineral Resource</w:t>
            </w:r>
            <w:r>
              <w:rPr>
                <w:lang w:val="en-GB" w:eastAsia="en-GB" w:bidi="ar-SA"/>
              </w:rPr>
              <w:t>”</w:t>
            </w:r>
          </w:p>
        </w:tc>
        <w:tc>
          <w:tcPr>
            <w:tcW w:w="2500" w:type="pct"/>
            <w:tcBorders>
              <w:top w:val="nil"/>
              <w:left w:val="nil"/>
              <w:bottom w:val="nil"/>
              <w:right w:val="nil"/>
            </w:tcBorders>
          </w:tcPr>
          <w:p w14:paraId="2ED610F0" w14:textId="6D450F41" w:rsidR="00F400D2" w:rsidRPr="00571974" w:rsidRDefault="00F400D2" w:rsidP="00F400D2">
            <w:pPr>
              <w:rPr>
                <w:color w:val="1F497D"/>
                <w:lang w:val="en-GB" w:eastAsia="en-GB" w:bidi="ar-SA"/>
              </w:rPr>
            </w:pPr>
            <w:r w:rsidRPr="00571974">
              <w:rPr>
                <w:lang w:val="en-GB" w:eastAsia="en-GB" w:bidi="ar-SA"/>
              </w:rPr>
              <w:t>A Measured Mineral Resource is that part of a Mineral Resource for which tonnage, densities, shape, physical characteristics, grade and mineral content can be estimated with a high level of confidence. It is based on detailed and reliable exploration, sampling and testing information gathered through appropriate techniques from locations such as outcrops, trenches, pits, workings and drill holes. The locations are spaced closely enough to confirm geological and grade continuity</w:t>
            </w:r>
          </w:p>
        </w:tc>
      </w:tr>
      <w:tr w:rsidR="00F400D2" w14:paraId="19E11B36" w14:textId="77777777" w:rsidTr="007C63D0">
        <w:trPr>
          <w:cantSplit/>
          <w:jc w:val="center"/>
        </w:trPr>
        <w:tc>
          <w:tcPr>
            <w:tcW w:w="2500" w:type="pct"/>
            <w:tcBorders>
              <w:top w:val="nil"/>
              <w:left w:val="nil"/>
              <w:bottom w:val="nil"/>
              <w:right w:val="nil"/>
            </w:tcBorders>
          </w:tcPr>
          <w:p w14:paraId="790EAE18" w14:textId="46F83C6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MiFID II</w:t>
            </w:r>
            <w:r>
              <w:rPr>
                <w:lang w:val="en-GB" w:eastAsia="en-GB" w:bidi="ar-SA"/>
              </w:rPr>
              <w:t>”</w:t>
            </w:r>
          </w:p>
        </w:tc>
        <w:tc>
          <w:tcPr>
            <w:tcW w:w="2500" w:type="pct"/>
            <w:tcBorders>
              <w:top w:val="nil"/>
              <w:left w:val="nil"/>
              <w:bottom w:val="nil"/>
              <w:right w:val="nil"/>
            </w:tcBorders>
          </w:tcPr>
          <w:p w14:paraId="4339C255"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Directive 2014/65/EU</w:t>
            </w:r>
          </w:p>
        </w:tc>
      </w:tr>
      <w:tr w:rsidR="00F400D2" w14:paraId="62062BA8" w14:textId="77777777" w:rsidTr="007C63D0">
        <w:trPr>
          <w:cantSplit/>
          <w:jc w:val="center"/>
        </w:trPr>
        <w:tc>
          <w:tcPr>
            <w:tcW w:w="2500" w:type="pct"/>
            <w:tcBorders>
              <w:top w:val="nil"/>
              <w:left w:val="nil"/>
              <w:bottom w:val="nil"/>
              <w:right w:val="nil"/>
            </w:tcBorders>
          </w:tcPr>
          <w:p w14:paraId="6BDDA268" w14:textId="5B4E9BAD"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Minas-Rio</w:t>
            </w:r>
            <w:r>
              <w:rPr>
                <w:lang w:val="en-GB" w:eastAsia="en-GB" w:bidi="ar-SA"/>
              </w:rPr>
              <w:t>”</w:t>
            </w:r>
          </w:p>
        </w:tc>
        <w:tc>
          <w:tcPr>
            <w:tcW w:w="2500" w:type="pct"/>
            <w:tcBorders>
              <w:top w:val="nil"/>
              <w:left w:val="nil"/>
              <w:bottom w:val="nil"/>
              <w:right w:val="nil"/>
            </w:tcBorders>
          </w:tcPr>
          <w:p w14:paraId="30AC6E0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Minério de Ferro Brasil SA (previously Anglo Ferrous Minas-Rio Mineração SA)</w:t>
            </w:r>
          </w:p>
        </w:tc>
      </w:tr>
      <w:tr w:rsidR="00F400D2" w14:paraId="32A0900B" w14:textId="77777777" w:rsidTr="007C63D0">
        <w:trPr>
          <w:cantSplit/>
          <w:jc w:val="center"/>
        </w:trPr>
        <w:tc>
          <w:tcPr>
            <w:tcW w:w="2500" w:type="pct"/>
            <w:tcBorders>
              <w:top w:val="nil"/>
              <w:left w:val="nil"/>
              <w:bottom w:val="nil"/>
              <w:right w:val="nil"/>
            </w:tcBorders>
          </w:tcPr>
          <w:p w14:paraId="21C5A473" w14:textId="200BBEB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Minas-Rio Project</w:t>
            </w:r>
            <w:r>
              <w:rPr>
                <w:lang w:val="en-GB" w:eastAsia="en-GB" w:bidi="ar-SA"/>
              </w:rPr>
              <w:t>”</w:t>
            </w:r>
          </w:p>
        </w:tc>
        <w:tc>
          <w:tcPr>
            <w:tcW w:w="2500" w:type="pct"/>
            <w:tcBorders>
              <w:top w:val="nil"/>
              <w:left w:val="nil"/>
              <w:bottom w:val="nil"/>
              <w:right w:val="nil"/>
            </w:tcBorders>
          </w:tcPr>
          <w:p w14:paraId="3642902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Minas-Rio together with Ferroport</w:t>
            </w:r>
          </w:p>
        </w:tc>
      </w:tr>
      <w:tr w:rsidR="00F400D2" w14:paraId="4421513B" w14:textId="77777777" w:rsidTr="007C63D0">
        <w:trPr>
          <w:cantSplit/>
          <w:jc w:val="center"/>
        </w:trPr>
        <w:tc>
          <w:tcPr>
            <w:tcW w:w="2500" w:type="pct"/>
            <w:tcBorders>
              <w:top w:val="nil"/>
              <w:left w:val="nil"/>
              <w:bottom w:val="nil"/>
              <w:right w:val="nil"/>
            </w:tcBorders>
          </w:tcPr>
          <w:p w14:paraId="54C2BD1A" w14:textId="38D53262"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Mineral Resource</w:t>
            </w:r>
            <w:r>
              <w:rPr>
                <w:lang w:val="en-GB" w:eastAsia="en-GB" w:bidi="ar-SA"/>
              </w:rPr>
              <w:t>”</w:t>
            </w:r>
          </w:p>
        </w:tc>
        <w:tc>
          <w:tcPr>
            <w:tcW w:w="2500" w:type="pct"/>
            <w:tcBorders>
              <w:top w:val="nil"/>
              <w:left w:val="nil"/>
              <w:bottom w:val="nil"/>
              <w:right w:val="nil"/>
            </w:tcBorders>
          </w:tcPr>
          <w:p w14:paraId="4DDD76BF" w14:textId="289D36A2" w:rsidR="00F400D2" w:rsidRPr="00571974" w:rsidRDefault="00F400D2" w:rsidP="00F400D2">
            <w:pPr>
              <w:rPr>
                <w:color w:val="1F497D"/>
                <w:lang w:val="en-GB" w:eastAsia="en-GB" w:bidi="ar-SA"/>
              </w:rPr>
            </w:pPr>
            <w:r w:rsidRPr="00571974">
              <w:rPr>
                <w:lang w:val="en-GB" w:eastAsia="en-GB" w:bidi="ar-SA"/>
              </w:rPr>
              <w:t>A Mineral Resource is a concentration or occurrence of material of intrinsic economic interest in or on the Earth</w:t>
            </w:r>
            <w:r w:rsidR="00A311D8">
              <w:rPr>
                <w:lang w:val="en-GB" w:eastAsia="en-GB" w:bidi="ar-SA"/>
              </w:rPr>
              <w:t>’</w:t>
            </w:r>
            <w:r w:rsidRPr="00571974">
              <w:rPr>
                <w:lang w:val="en-GB" w:eastAsia="en-GB" w:bidi="ar-SA"/>
              </w:rPr>
              <w:t>s crust in such form, quality and quantity that there are reasonable prospects for eventual economic extraction. The location, quantity, grade, geological characteristics and continuity of a Mineral Resource are known, estimated or interpreted from specific geological evidence and knowledge. Mineral Resources are sub-divided, in order of increasing geological confidence, into Inferred, Indicated and Measured categories</w:t>
            </w:r>
          </w:p>
        </w:tc>
      </w:tr>
      <w:tr w:rsidR="00F400D2" w14:paraId="4BEE2F83" w14:textId="77777777" w:rsidTr="007C63D0">
        <w:trPr>
          <w:cantSplit/>
          <w:jc w:val="center"/>
        </w:trPr>
        <w:tc>
          <w:tcPr>
            <w:tcW w:w="2500" w:type="pct"/>
            <w:tcBorders>
              <w:top w:val="nil"/>
              <w:left w:val="nil"/>
              <w:bottom w:val="nil"/>
              <w:right w:val="nil"/>
            </w:tcBorders>
          </w:tcPr>
          <w:p w14:paraId="4D362816" w14:textId="109267A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Mining Charter</w:t>
            </w:r>
            <w:r>
              <w:rPr>
                <w:lang w:val="en-GB" w:eastAsia="en-GB" w:bidi="ar-SA"/>
              </w:rPr>
              <w:t>”</w:t>
            </w:r>
          </w:p>
        </w:tc>
        <w:tc>
          <w:tcPr>
            <w:tcW w:w="2500" w:type="pct"/>
            <w:tcBorders>
              <w:top w:val="nil"/>
              <w:left w:val="nil"/>
              <w:bottom w:val="nil"/>
              <w:right w:val="nil"/>
            </w:tcBorders>
          </w:tcPr>
          <w:p w14:paraId="31ACC42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Broad-Based Socio-Economic Empowerment Charter for the South African Mining Industry</w:t>
            </w:r>
          </w:p>
        </w:tc>
      </w:tr>
      <w:tr w:rsidR="00F400D2" w14:paraId="7C99A08D" w14:textId="77777777" w:rsidTr="007C63D0">
        <w:trPr>
          <w:cantSplit/>
          <w:jc w:val="center"/>
        </w:trPr>
        <w:tc>
          <w:tcPr>
            <w:tcW w:w="2500" w:type="pct"/>
            <w:tcBorders>
              <w:top w:val="nil"/>
              <w:left w:val="nil"/>
              <w:bottom w:val="nil"/>
              <w:right w:val="nil"/>
            </w:tcBorders>
          </w:tcPr>
          <w:p w14:paraId="0BA18D89" w14:textId="013C39AE"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Mining Right</w:t>
            </w:r>
            <w:r>
              <w:rPr>
                <w:lang w:val="en-GB" w:eastAsia="en-GB" w:bidi="ar-SA"/>
              </w:rPr>
              <w:t>”</w:t>
            </w:r>
          </w:p>
        </w:tc>
        <w:tc>
          <w:tcPr>
            <w:tcW w:w="2500" w:type="pct"/>
            <w:tcBorders>
              <w:top w:val="nil"/>
              <w:left w:val="nil"/>
              <w:bottom w:val="nil"/>
              <w:right w:val="nil"/>
            </w:tcBorders>
          </w:tcPr>
          <w:p w14:paraId="4FBF652F" w14:textId="77777777" w:rsidR="00F400D2" w:rsidRPr="00571974" w:rsidRDefault="00F400D2" w:rsidP="00F400D2">
            <w:pPr>
              <w:rPr>
                <w:lang w:val="en-GB" w:eastAsia="en-GB" w:bidi="ar-SA"/>
              </w:rPr>
            </w:pPr>
            <w:r w:rsidRPr="00571974">
              <w:rPr>
                <w:lang w:val="en-GB" w:eastAsia="en-GB" w:bidi="ar-SA"/>
              </w:rPr>
              <w:t>The Mining Right granted by the South African Department of Mineral Resources in accordance with the provision of MPRDA to undertake or conduct mining activities for a defined period in relation to the area and the mineral to which the Mining Right relates and in accordance with the terms and conditions imposed by the Mining Right and the MPRDA.</w:t>
            </w:r>
          </w:p>
        </w:tc>
      </w:tr>
      <w:tr w:rsidR="00F400D2" w14:paraId="1E7E75F7" w14:textId="77777777" w:rsidTr="007C63D0">
        <w:trPr>
          <w:cantSplit/>
          <w:jc w:val="center"/>
        </w:trPr>
        <w:tc>
          <w:tcPr>
            <w:tcW w:w="2500" w:type="pct"/>
            <w:tcBorders>
              <w:top w:val="nil"/>
              <w:left w:val="nil"/>
              <w:bottom w:val="nil"/>
              <w:right w:val="nil"/>
            </w:tcBorders>
          </w:tcPr>
          <w:p w14:paraId="2CB13151" w14:textId="13DF6B7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Minorco</w:t>
            </w:r>
            <w:r>
              <w:rPr>
                <w:lang w:val="en-GB" w:eastAsia="en-GB" w:bidi="ar-SA"/>
              </w:rPr>
              <w:t>”</w:t>
            </w:r>
          </w:p>
        </w:tc>
        <w:tc>
          <w:tcPr>
            <w:tcW w:w="2500" w:type="pct"/>
            <w:tcBorders>
              <w:top w:val="nil"/>
              <w:left w:val="nil"/>
              <w:bottom w:val="nil"/>
              <w:right w:val="nil"/>
            </w:tcBorders>
          </w:tcPr>
          <w:p w14:paraId="24BDC01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Minorco Société Anonyme, a Luxembourg based company</w:t>
            </w:r>
          </w:p>
        </w:tc>
      </w:tr>
      <w:tr w:rsidR="00F400D2" w14:paraId="40B56208" w14:textId="77777777" w:rsidTr="007C63D0">
        <w:trPr>
          <w:cantSplit/>
          <w:jc w:val="center"/>
        </w:trPr>
        <w:tc>
          <w:tcPr>
            <w:tcW w:w="2500" w:type="pct"/>
            <w:tcBorders>
              <w:top w:val="nil"/>
              <w:left w:val="nil"/>
              <w:bottom w:val="nil"/>
              <w:right w:val="nil"/>
            </w:tcBorders>
          </w:tcPr>
          <w:p w14:paraId="74804F22" w14:textId="71D8710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Mondi</w:t>
            </w:r>
            <w:r>
              <w:rPr>
                <w:lang w:val="en-GB" w:eastAsia="en-GB" w:bidi="ar-SA"/>
              </w:rPr>
              <w:t>”</w:t>
            </w:r>
          </w:p>
        </w:tc>
        <w:tc>
          <w:tcPr>
            <w:tcW w:w="2500" w:type="pct"/>
            <w:tcBorders>
              <w:top w:val="nil"/>
              <w:left w:val="nil"/>
              <w:bottom w:val="nil"/>
              <w:right w:val="nil"/>
            </w:tcBorders>
          </w:tcPr>
          <w:p w14:paraId="7968B35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Mondi Group</w:t>
            </w:r>
          </w:p>
        </w:tc>
      </w:tr>
      <w:tr w:rsidR="00F400D2" w14:paraId="02DF4D56" w14:textId="77777777" w:rsidTr="007C63D0">
        <w:trPr>
          <w:cantSplit/>
          <w:jc w:val="center"/>
        </w:trPr>
        <w:tc>
          <w:tcPr>
            <w:tcW w:w="2500" w:type="pct"/>
            <w:tcBorders>
              <w:top w:val="nil"/>
              <w:left w:val="nil"/>
              <w:bottom w:val="nil"/>
              <w:right w:val="nil"/>
            </w:tcBorders>
          </w:tcPr>
          <w:p w14:paraId="097E9AC3" w14:textId="6FFA490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MPRDA</w:t>
            </w:r>
            <w:r>
              <w:rPr>
                <w:lang w:val="en-GB" w:eastAsia="en-GB" w:bidi="ar-SA"/>
              </w:rPr>
              <w:t>”</w:t>
            </w:r>
          </w:p>
        </w:tc>
        <w:tc>
          <w:tcPr>
            <w:tcW w:w="2500" w:type="pct"/>
            <w:tcBorders>
              <w:top w:val="nil"/>
              <w:left w:val="nil"/>
              <w:bottom w:val="nil"/>
              <w:right w:val="nil"/>
            </w:tcBorders>
          </w:tcPr>
          <w:p w14:paraId="5903D3C0"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South African Mineral and Petroleum Resources Development Act, 2002</w:t>
            </w:r>
          </w:p>
        </w:tc>
      </w:tr>
      <w:tr w:rsidR="00F400D2" w14:paraId="3EF8DDCD" w14:textId="77777777" w:rsidTr="007C63D0">
        <w:trPr>
          <w:cantSplit/>
          <w:jc w:val="center"/>
        </w:trPr>
        <w:tc>
          <w:tcPr>
            <w:tcW w:w="2500" w:type="pct"/>
            <w:tcBorders>
              <w:top w:val="nil"/>
              <w:left w:val="nil"/>
              <w:bottom w:val="nil"/>
              <w:right w:val="nil"/>
            </w:tcBorders>
          </w:tcPr>
          <w:p w14:paraId="4BA694E3" w14:textId="3E3D4154"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Mt</w:t>
            </w:r>
            <w:r>
              <w:rPr>
                <w:lang w:val="en-GB" w:eastAsia="en-GB" w:bidi="ar-SA"/>
              </w:rPr>
              <w:t>”</w:t>
            </w:r>
          </w:p>
        </w:tc>
        <w:tc>
          <w:tcPr>
            <w:tcW w:w="2500" w:type="pct"/>
            <w:tcBorders>
              <w:top w:val="nil"/>
              <w:left w:val="nil"/>
              <w:bottom w:val="nil"/>
              <w:right w:val="nil"/>
            </w:tcBorders>
          </w:tcPr>
          <w:p w14:paraId="50AAAE98"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Denotes million tonnes</w:t>
            </w:r>
          </w:p>
        </w:tc>
      </w:tr>
      <w:tr w:rsidR="00F400D2" w14:paraId="173E5938" w14:textId="77777777" w:rsidTr="007C63D0">
        <w:trPr>
          <w:cantSplit/>
          <w:jc w:val="center"/>
        </w:trPr>
        <w:tc>
          <w:tcPr>
            <w:tcW w:w="2500" w:type="pct"/>
            <w:tcBorders>
              <w:top w:val="nil"/>
              <w:left w:val="nil"/>
              <w:bottom w:val="nil"/>
              <w:right w:val="nil"/>
            </w:tcBorders>
          </w:tcPr>
          <w:p w14:paraId="6C61E07B" w14:textId="7D03CBC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Mtpa</w:t>
            </w:r>
            <w:r>
              <w:rPr>
                <w:lang w:val="en-GB" w:eastAsia="en-GB" w:bidi="ar-SA"/>
              </w:rPr>
              <w:t>”</w:t>
            </w:r>
          </w:p>
        </w:tc>
        <w:tc>
          <w:tcPr>
            <w:tcW w:w="2500" w:type="pct"/>
            <w:tcBorders>
              <w:top w:val="nil"/>
              <w:left w:val="nil"/>
              <w:bottom w:val="nil"/>
              <w:right w:val="nil"/>
            </w:tcBorders>
          </w:tcPr>
          <w:p w14:paraId="01EDB4D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Denotes million tonnes per annum</w:t>
            </w:r>
          </w:p>
        </w:tc>
      </w:tr>
      <w:tr w:rsidR="00F400D2" w14:paraId="7BB18F1C" w14:textId="77777777" w:rsidTr="007C63D0">
        <w:trPr>
          <w:cantSplit/>
          <w:jc w:val="center"/>
        </w:trPr>
        <w:tc>
          <w:tcPr>
            <w:tcW w:w="2500" w:type="pct"/>
            <w:tcBorders>
              <w:top w:val="nil"/>
              <w:left w:val="nil"/>
              <w:bottom w:val="nil"/>
              <w:right w:val="nil"/>
            </w:tcBorders>
          </w:tcPr>
          <w:p w14:paraId="4DF18207" w14:textId="74FAEAE8"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rFonts w:eastAsia="Calibri"/>
                <w:szCs w:val="20"/>
                <w:lang w:val="en-GB" w:eastAsia="en-US" w:bidi="ar-SA"/>
              </w:rPr>
              <w:t>“</w:t>
            </w:r>
            <w:r w:rsidR="00F400D2" w:rsidRPr="00571974">
              <w:rPr>
                <w:rFonts w:eastAsia="Calibri"/>
                <w:szCs w:val="20"/>
                <w:lang w:val="en-GB" w:eastAsia="en-US" w:bidi="ar-SA"/>
              </w:rPr>
              <w:t>Namdeb Holdings</w:t>
            </w:r>
            <w:r>
              <w:rPr>
                <w:rFonts w:eastAsia="Calibri"/>
                <w:szCs w:val="20"/>
                <w:lang w:val="en-GB" w:eastAsia="en-US" w:bidi="ar-SA"/>
              </w:rPr>
              <w:t>”</w:t>
            </w:r>
          </w:p>
        </w:tc>
        <w:tc>
          <w:tcPr>
            <w:tcW w:w="2500" w:type="pct"/>
            <w:tcBorders>
              <w:top w:val="nil"/>
              <w:left w:val="nil"/>
              <w:bottom w:val="nil"/>
              <w:right w:val="nil"/>
            </w:tcBorders>
          </w:tcPr>
          <w:p w14:paraId="4516185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rFonts w:eastAsia="Calibri"/>
                <w:szCs w:val="20"/>
                <w:lang w:val="en-GB" w:eastAsia="en-US" w:bidi="ar-SA"/>
              </w:rPr>
              <w:t>Namdeb Holdings (Proprietary) Limited</w:t>
            </w:r>
          </w:p>
        </w:tc>
      </w:tr>
      <w:tr w:rsidR="00F400D2" w14:paraId="1677E7F8" w14:textId="77777777" w:rsidTr="007C63D0">
        <w:trPr>
          <w:cantSplit/>
          <w:jc w:val="center"/>
        </w:trPr>
        <w:tc>
          <w:tcPr>
            <w:tcW w:w="2500" w:type="pct"/>
            <w:tcBorders>
              <w:top w:val="nil"/>
              <w:left w:val="nil"/>
              <w:bottom w:val="nil"/>
              <w:right w:val="nil"/>
            </w:tcBorders>
          </w:tcPr>
          <w:p w14:paraId="65CC1184" w14:textId="34D11820"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lastRenderedPageBreak/>
              <w:t>“</w:t>
            </w:r>
            <w:r w:rsidR="00F400D2" w:rsidRPr="00571974">
              <w:rPr>
                <w:lang w:val="en-GB" w:eastAsia="en-GB" w:bidi="ar-SA"/>
              </w:rPr>
              <w:t>Niobium</w:t>
            </w:r>
            <w:r>
              <w:rPr>
                <w:lang w:val="en-GB" w:eastAsia="en-GB" w:bidi="ar-SA"/>
              </w:rPr>
              <w:t>”</w:t>
            </w:r>
          </w:p>
        </w:tc>
        <w:tc>
          <w:tcPr>
            <w:tcW w:w="2500" w:type="pct"/>
            <w:tcBorders>
              <w:top w:val="nil"/>
              <w:left w:val="nil"/>
              <w:bottom w:val="nil"/>
              <w:right w:val="nil"/>
            </w:tcBorders>
          </w:tcPr>
          <w:p w14:paraId="60C8E7F7" w14:textId="18A58AF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 xml:space="preserve">Anglo American Nióbio Brasil Limitada (previously Mineração Catalão de Goiás Limitada, </w:t>
            </w:r>
            <w:r w:rsidR="00A311D8">
              <w:rPr>
                <w:lang w:val="en-GB" w:eastAsia="en-GB" w:bidi="ar-SA"/>
              </w:rPr>
              <w:t>“</w:t>
            </w:r>
            <w:r w:rsidRPr="00571974">
              <w:rPr>
                <w:lang w:val="en-GB" w:eastAsia="en-GB" w:bidi="ar-SA"/>
              </w:rPr>
              <w:t>Catalão</w:t>
            </w:r>
            <w:r w:rsidR="00A311D8">
              <w:rPr>
                <w:lang w:val="en-GB" w:eastAsia="en-GB" w:bidi="ar-SA"/>
              </w:rPr>
              <w:t>”</w:t>
            </w:r>
            <w:r w:rsidRPr="00571974">
              <w:rPr>
                <w:lang w:val="en-GB" w:eastAsia="en-GB" w:bidi="ar-SA"/>
              </w:rPr>
              <w:t>)</w:t>
            </w:r>
          </w:p>
        </w:tc>
      </w:tr>
      <w:tr w:rsidR="00F400D2" w14:paraId="69737B69" w14:textId="77777777" w:rsidTr="007C63D0">
        <w:trPr>
          <w:cantSplit/>
          <w:jc w:val="center"/>
        </w:trPr>
        <w:tc>
          <w:tcPr>
            <w:tcW w:w="2500" w:type="pct"/>
            <w:tcBorders>
              <w:top w:val="nil"/>
              <w:left w:val="nil"/>
              <w:bottom w:val="nil"/>
              <w:right w:val="nil"/>
            </w:tcBorders>
          </w:tcPr>
          <w:p w14:paraId="110AC487" w14:textId="7E15B6B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Notes</w:t>
            </w:r>
            <w:r>
              <w:rPr>
                <w:lang w:val="en-GB" w:eastAsia="en-GB" w:bidi="ar-SA"/>
              </w:rPr>
              <w:t>”</w:t>
            </w:r>
          </w:p>
        </w:tc>
        <w:tc>
          <w:tcPr>
            <w:tcW w:w="2500" w:type="pct"/>
            <w:tcBorders>
              <w:top w:val="nil"/>
              <w:left w:val="nil"/>
              <w:bottom w:val="nil"/>
              <w:right w:val="nil"/>
            </w:tcBorders>
          </w:tcPr>
          <w:p w14:paraId="652221B1" w14:textId="7EE02429" w:rsidR="00F400D2" w:rsidRPr="00571974" w:rsidRDefault="00F400D2" w:rsidP="00786296">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20</w:t>
            </w:r>
            <w:r w:rsidR="004B32BB">
              <w:rPr>
                <w:lang w:val="en-GB" w:eastAsia="en-GB" w:bidi="ar-SA"/>
              </w:rPr>
              <w:t>25</w:t>
            </w:r>
            <w:r>
              <w:rPr>
                <w:lang w:val="en-GB" w:eastAsia="en-GB" w:bidi="ar-SA"/>
              </w:rPr>
              <w:t xml:space="preserve"> Notes together with the 20</w:t>
            </w:r>
            <w:r w:rsidR="004B32BB">
              <w:rPr>
                <w:lang w:val="en-GB" w:eastAsia="en-GB" w:bidi="ar-SA"/>
              </w:rPr>
              <w:t>30</w:t>
            </w:r>
            <w:r>
              <w:rPr>
                <w:lang w:val="en-GB" w:eastAsia="en-GB" w:bidi="ar-SA"/>
              </w:rPr>
              <w:t xml:space="preserve"> Notes</w:t>
            </w:r>
          </w:p>
        </w:tc>
      </w:tr>
      <w:tr w:rsidR="00F400D2" w14:paraId="2F4CBF39" w14:textId="77777777" w:rsidTr="007C63D0">
        <w:trPr>
          <w:cantSplit/>
          <w:jc w:val="center"/>
        </w:trPr>
        <w:tc>
          <w:tcPr>
            <w:tcW w:w="2500" w:type="pct"/>
            <w:tcBorders>
              <w:top w:val="nil"/>
              <w:left w:val="nil"/>
              <w:bottom w:val="nil"/>
              <w:right w:val="nil"/>
            </w:tcBorders>
          </w:tcPr>
          <w:p w14:paraId="0E524B81" w14:textId="70B3F6EC"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Official List</w:t>
            </w:r>
            <w:r>
              <w:rPr>
                <w:lang w:val="en-GB" w:eastAsia="en-GB" w:bidi="ar-SA"/>
              </w:rPr>
              <w:t>”</w:t>
            </w:r>
          </w:p>
        </w:tc>
        <w:tc>
          <w:tcPr>
            <w:tcW w:w="2500" w:type="pct"/>
            <w:tcBorders>
              <w:top w:val="nil"/>
              <w:left w:val="nil"/>
              <w:bottom w:val="nil"/>
              <w:right w:val="nil"/>
            </w:tcBorders>
          </w:tcPr>
          <w:p w14:paraId="06275DF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official list of the FCA</w:t>
            </w:r>
          </w:p>
        </w:tc>
      </w:tr>
      <w:tr w:rsidR="00F400D2" w14:paraId="04379F2A" w14:textId="77777777" w:rsidTr="007C63D0">
        <w:trPr>
          <w:cantSplit/>
          <w:jc w:val="center"/>
        </w:trPr>
        <w:tc>
          <w:tcPr>
            <w:tcW w:w="2500" w:type="pct"/>
            <w:tcBorders>
              <w:top w:val="nil"/>
              <w:left w:val="nil"/>
              <w:bottom w:val="nil"/>
              <w:right w:val="nil"/>
            </w:tcBorders>
          </w:tcPr>
          <w:p w14:paraId="2E50B62A" w14:textId="2074959D"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old order</w:t>
            </w:r>
            <w:r>
              <w:rPr>
                <w:lang w:val="en-GB" w:eastAsia="en-GB" w:bidi="ar-SA"/>
              </w:rPr>
              <w:t>”</w:t>
            </w:r>
            <w:r w:rsidR="00F400D2" w:rsidRPr="00571974">
              <w:rPr>
                <w:lang w:val="en-GB" w:eastAsia="en-GB" w:bidi="ar-SA"/>
              </w:rPr>
              <w:t xml:space="preserve"> mining or prospecting rights</w:t>
            </w:r>
            <w:r>
              <w:rPr>
                <w:lang w:val="en-GB" w:eastAsia="en-GB" w:bidi="ar-SA"/>
              </w:rPr>
              <w:t>”</w:t>
            </w:r>
          </w:p>
        </w:tc>
        <w:tc>
          <w:tcPr>
            <w:tcW w:w="2500" w:type="pct"/>
            <w:tcBorders>
              <w:top w:val="nil"/>
              <w:left w:val="nil"/>
              <w:bottom w:val="nil"/>
              <w:right w:val="nil"/>
            </w:tcBorders>
          </w:tcPr>
          <w:p w14:paraId="69693588"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Prospecting, mining and mineral rights formerly regulated under the South African Minerals Act 50 of 1991 of the RSA and South African common law</w:t>
            </w:r>
          </w:p>
        </w:tc>
      </w:tr>
      <w:tr w:rsidR="00F400D2" w14:paraId="212ADF52" w14:textId="77777777" w:rsidTr="007C63D0">
        <w:trPr>
          <w:cantSplit/>
          <w:jc w:val="center"/>
        </w:trPr>
        <w:tc>
          <w:tcPr>
            <w:tcW w:w="2500" w:type="pct"/>
            <w:tcBorders>
              <w:top w:val="nil"/>
              <w:left w:val="nil"/>
              <w:bottom w:val="nil"/>
              <w:right w:val="nil"/>
            </w:tcBorders>
          </w:tcPr>
          <w:p w14:paraId="64E1D24A" w14:textId="032AAB0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Operating Model</w:t>
            </w:r>
            <w:r>
              <w:rPr>
                <w:lang w:val="en-GB" w:eastAsia="en-GB" w:bidi="ar-SA"/>
              </w:rPr>
              <w:t>”</w:t>
            </w:r>
          </w:p>
        </w:tc>
        <w:tc>
          <w:tcPr>
            <w:tcW w:w="2500" w:type="pct"/>
            <w:tcBorders>
              <w:top w:val="nil"/>
              <w:left w:val="nil"/>
              <w:bottom w:val="nil"/>
              <w:right w:val="nil"/>
            </w:tcBorders>
          </w:tcPr>
          <w:p w14:paraId="464D5E6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 model for how we set targets, plan, manage, execute and improve our work, bringing consistency of approach to everything we do</w:t>
            </w:r>
          </w:p>
        </w:tc>
      </w:tr>
      <w:tr w:rsidR="00F400D2" w14:paraId="76B2225F" w14:textId="77777777" w:rsidTr="007C63D0">
        <w:trPr>
          <w:cantSplit/>
          <w:jc w:val="center"/>
        </w:trPr>
        <w:tc>
          <w:tcPr>
            <w:tcW w:w="2500" w:type="pct"/>
            <w:tcBorders>
              <w:top w:val="nil"/>
              <w:left w:val="nil"/>
              <w:bottom w:val="nil"/>
              <w:right w:val="nil"/>
            </w:tcBorders>
          </w:tcPr>
          <w:p w14:paraId="04C62116" w14:textId="2D76F6EC"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Ore Reserves</w:t>
            </w:r>
            <w:r>
              <w:rPr>
                <w:lang w:val="en-GB" w:eastAsia="en-GB" w:bidi="ar-SA"/>
              </w:rPr>
              <w:t>”</w:t>
            </w:r>
          </w:p>
        </w:tc>
        <w:tc>
          <w:tcPr>
            <w:tcW w:w="2500" w:type="pct"/>
            <w:tcBorders>
              <w:top w:val="nil"/>
              <w:left w:val="nil"/>
              <w:bottom w:val="nil"/>
              <w:right w:val="nil"/>
            </w:tcBorders>
          </w:tcPr>
          <w:p w14:paraId="3FF009BB" w14:textId="77777777" w:rsidR="00F400D2" w:rsidRPr="00571974" w:rsidRDefault="00F400D2" w:rsidP="00F400D2">
            <w:pPr>
              <w:rPr>
                <w:lang w:val="en-GB" w:eastAsia="en-GB" w:bidi="ar-SA"/>
              </w:rPr>
            </w:pPr>
            <w:r w:rsidRPr="00571974">
              <w:rPr>
                <w:lang w:val="en-GB" w:eastAsia="en-GB" w:bidi="ar-SA"/>
              </w:rPr>
              <w:t>An Ore Reserve is the economically mineable part of a Measured and/or Indicated Mineral Resource. It includes diluting materials and allowances for losses, which may occur when the material is mined. Appropriate assessments and studies have been carried out and include consideration of and modification by realistically assumed mining, metallurgical, economic, marketing, legal, environmental, social and governmental factors. These assessments demonstrate at the time of reporting that extraction could reasonably be justified. Ore Reserves are sub-divided in order of increasing confidence into Probable Ore Reserves and Proved Ore Reserves.</w:t>
            </w:r>
          </w:p>
        </w:tc>
      </w:tr>
      <w:tr w:rsidR="00F400D2" w14:paraId="02105CB9" w14:textId="77777777" w:rsidTr="007C63D0">
        <w:trPr>
          <w:cantSplit/>
          <w:jc w:val="center"/>
        </w:trPr>
        <w:tc>
          <w:tcPr>
            <w:tcW w:w="2500" w:type="pct"/>
            <w:tcBorders>
              <w:top w:val="nil"/>
              <w:left w:val="nil"/>
              <w:bottom w:val="nil"/>
              <w:right w:val="nil"/>
            </w:tcBorders>
          </w:tcPr>
          <w:p w14:paraId="2ADD95BE" w14:textId="3C38CC6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oz</w:t>
            </w:r>
            <w:r>
              <w:rPr>
                <w:lang w:val="en-GB" w:eastAsia="en-GB" w:bidi="ar-SA"/>
              </w:rPr>
              <w:t>”</w:t>
            </w:r>
          </w:p>
        </w:tc>
        <w:tc>
          <w:tcPr>
            <w:tcW w:w="2500" w:type="pct"/>
            <w:tcBorders>
              <w:top w:val="nil"/>
              <w:left w:val="nil"/>
              <w:bottom w:val="nil"/>
              <w:right w:val="nil"/>
            </w:tcBorders>
          </w:tcPr>
          <w:p w14:paraId="11C65DF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Denotes ounces</w:t>
            </w:r>
          </w:p>
        </w:tc>
      </w:tr>
      <w:tr w:rsidR="00F400D2" w14:paraId="0EA14062" w14:textId="77777777" w:rsidTr="007C63D0">
        <w:trPr>
          <w:cantSplit/>
          <w:jc w:val="center"/>
        </w:trPr>
        <w:tc>
          <w:tcPr>
            <w:tcW w:w="2500" w:type="pct"/>
            <w:tcBorders>
              <w:top w:val="nil"/>
              <w:left w:val="nil"/>
              <w:bottom w:val="nil"/>
              <w:right w:val="nil"/>
            </w:tcBorders>
          </w:tcPr>
          <w:p w14:paraId="48C1E652" w14:textId="0E53F3C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PCI</w:t>
            </w:r>
            <w:r>
              <w:rPr>
                <w:lang w:val="en-GB" w:eastAsia="en-GB" w:bidi="ar-SA"/>
              </w:rPr>
              <w:t>”</w:t>
            </w:r>
          </w:p>
        </w:tc>
        <w:tc>
          <w:tcPr>
            <w:tcW w:w="2500" w:type="pct"/>
            <w:tcBorders>
              <w:top w:val="nil"/>
              <w:left w:val="nil"/>
              <w:bottom w:val="nil"/>
              <w:right w:val="nil"/>
            </w:tcBorders>
          </w:tcPr>
          <w:p w14:paraId="51ADABB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Pulverized coal injection</w:t>
            </w:r>
          </w:p>
        </w:tc>
      </w:tr>
      <w:tr w:rsidR="00F400D2" w14:paraId="371BD23D" w14:textId="77777777" w:rsidTr="007C63D0">
        <w:trPr>
          <w:cantSplit/>
          <w:jc w:val="center"/>
        </w:trPr>
        <w:tc>
          <w:tcPr>
            <w:tcW w:w="2500" w:type="pct"/>
            <w:tcBorders>
              <w:top w:val="nil"/>
              <w:left w:val="nil"/>
              <w:bottom w:val="nil"/>
              <w:right w:val="nil"/>
            </w:tcBorders>
          </w:tcPr>
          <w:p w14:paraId="5B2FAC38" w14:textId="77C2F6B5"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Peace River Coal</w:t>
            </w:r>
            <w:r>
              <w:rPr>
                <w:lang w:val="en-GB" w:eastAsia="en-GB" w:bidi="ar-SA"/>
              </w:rPr>
              <w:t>”</w:t>
            </w:r>
          </w:p>
        </w:tc>
        <w:tc>
          <w:tcPr>
            <w:tcW w:w="2500" w:type="pct"/>
            <w:tcBorders>
              <w:top w:val="nil"/>
              <w:left w:val="nil"/>
              <w:bottom w:val="nil"/>
              <w:right w:val="nil"/>
            </w:tcBorders>
          </w:tcPr>
          <w:p w14:paraId="4EEEB829"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Peace River Coal Incorporated</w:t>
            </w:r>
          </w:p>
        </w:tc>
      </w:tr>
      <w:tr w:rsidR="00F400D2" w14:paraId="308C811B" w14:textId="77777777" w:rsidTr="007C63D0">
        <w:trPr>
          <w:cantSplit/>
          <w:jc w:val="center"/>
        </w:trPr>
        <w:tc>
          <w:tcPr>
            <w:tcW w:w="2500" w:type="pct"/>
            <w:tcBorders>
              <w:top w:val="nil"/>
              <w:left w:val="nil"/>
              <w:bottom w:val="nil"/>
              <w:right w:val="nil"/>
            </w:tcBorders>
          </w:tcPr>
          <w:p w14:paraId="415D43BA" w14:textId="2C4072F1"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PGM(s)</w:t>
            </w:r>
            <w:r>
              <w:rPr>
                <w:lang w:val="en-GB" w:eastAsia="en-GB" w:bidi="ar-SA"/>
              </w:rPr>
              <w:t>”</w:t>
            </w:r>
          </w:p>
        </w:tc>
        <w:tc>
          <w:tcPr>
            <w:tcW w:w="2500" w:type="pct"/>
            <w:tcBorders>
              <w:top w:val="nil"/>
              <w:left w:val="nil"/>
              <w:bottom w:val="nil"/>
              <w:right w:val="nil"/>
            </w:tcBorders>
          </w:tcPr>
          <w:p w14:paraId="31FC210B"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Platinum group metal(s)</w:t>
            </w:r>
          </w:p>
        </w:tc>
      </w:tr>
      <w:tr w:rsidR="00F400D2" w14:paraId="32D2B757" w14:textId="77777777" w:rsidTr="007C63D0">
        <w:trPr>
          <w:cantSplit/>
          <w:jc w:val="center"/>
        </w:trPr>
        <w:tc>
          <w:tcPr>
            <w:tcW w:w="2500" w:type="pct"/>
            <w:tcBorders>
              <w:top w:val="nil"/>
              <w:left w:val="nil"/>
              <w:bottom w:val="nil"/>
              <w:right w:val="nil"/>
            </w:tcBorders>
          </w:tcPr>
          <w:p w14:paraId="1941C80C" w14:textId="40631F9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Phosphates</w:t>
            </w:r>
            <w:r>
              <w:rPr>
                <w:lang w:val="en-GB" w:eastAsia="en-GB" w:bidi="ar-SA"/>
              </w:rPr>
              <w:t>”</w:t>
            </w:r>
          </w:p>
        </w:tc>
        <w:tc>
          <w:tcPr>
            <w:tcW w:w="2500" w:type="pct"/>
            <w:tcBorders>
              <w:top w:val="nil"/>
              <w:left w:val="nil"/>
              <w:bottom w:val="nil"/>
              <w:right w:val="nil"/>
            </w:tcBorders>
          </w:tcPr>
          <w:p w14:paraId="0BA422AB"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Anglo American Fosfatos Brasil Limitada</w:t>
            </w:r>
          </w:p>
        </w:tc>
      </w:tr>
      <w:tr w:rsidR="00F400D2" w14:paraId="59C5E1F2" w14:textId="77777777" w:rsidTr="007C63D0">
        <w:trPr>
          <w:cantSplit/>
          <w:jc w:val="center"/>
        </w:trPr>
        <w:tc>
          <w:tcPr>
            <w:tcW w:w="2500" w:type="pct"/>
            <w:tcBorders>
              <w:top w:val="nil"/>
              <w:left w:val="nil"/>
              <w:bottom w:val="nil"/>
              <w:right w:val="nil"/>
            </w:tcBorders>
          </w:tcPr>
          <w:p w14:paraId="58D04771" w14:textId="51F8C10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Ponahalo Holdings</w:t>
            </w:r>
            <w:r>
              <w:rPr>
                <w:lang w:val="en-GB" w:eastAsia="en-GB" w:bidi="ar-SA"/>
              </w:rPr>
              <w:t>”</w:t>
            </w:r>
          </w:p>
        </w:tc>
        <w:tc>
          <w:tcPr>
            <w:tcW w:w="2500" w:type="pct"/>
            <w:tcBorders>
              <w:top w:val="nil"/>
              <w:left w:val="nil"/>
              <w:bottom w:val="nil"/>
              <w:right w:val="nil"/>
            </w:tcBorders>
          </w:tcPr>
          <w:p w14:paraId="495194CA" w14:textId="77777777" w:rsidR="00F400D2" w:rsidRPr="00571974" w:rsidRDefault="00F400D2" w:rsidP="00F400D2">
            <w:pPr>
              <w:rPr>
                <w:lang w:val="en-GB" w:eastAsia="en-GB" w:bidi="ar-SA"/>
              </w:rPr>
            </w:pPr>
            <w:r w:rsidRPr="00571974">
              <w:rPr>
                <w:lang w:val="en-GB" w:eastAsia="en-GB" w:bidi="ar-SA"/>
              </w:rPr>
              <w:t>Ponahalo Holdings (Proprietary) Limited</w:t>
            </w:r>
          </w:p>
        </w:tc>
      </w:tr>
      <w:tr w:rsidR="00F400D2" w14:paraId="6C78E044" w14:textId="77777777" w:rsidTr="007C63D0">
        <w:trPr>
          <w:cantSplit/>
          <w:jc w:val="center"/>
        </w:trPr>
        <w:tc>
          <w:tcPr>
            <w:tcW w:w="2500" w:type="pct"/>
            <w:tcBorders>
              <w:top w:val="nil"/>
              <w:left w:val="nil"/>
              <w:bottom w:val="nil"/>
              <w:right w:val="nil"/>
            </w:tcBorders>
          </w:tcPr>
          <w:p w14:paraId="1779F595" w14:textId="7295E80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Ponahalo Investments</w:t>
            </w:r>
            <w:r>
              <w:rPr>
                <w:lang w:val="en-GB" w:eastAsia="en-GB" w:bidi="ar-SA"/>
              </w:rPr>
              <w:t>”</w:t>
            </w:r>
          </w:p>
        </w:tc>
        <w:tc>
          <w:tcPr>
            <w:tcW w:w="2500" w:type="pct"/>
            <w:tcBorders>
              <w:top w:val="nil"/>
              <w:left w:val="nil"/>
              <w:bottom w:val="nil"/>
              <w:right w:val="nil"/>
            </w:tcBorders>
          </w:tcPr>
          <w:p w14:paraId="3CCF017D" w14:textId="77777777" w:rsidR="00F400D2" w:rsidRPr="00571974" w:rsidRDefault="00F400D2" w:rsidP="00F400D2">
            <w:pPr>
              <w:rPr>
                <w:lang w:val="en-GB" w:eastAsia="en-GB" w:bidi="ar-SA"/>
              </w:rPr>
            </w:pPr>
            <w:r w:rsidRPr="00571974">
              <w:rPr>
                <w:rFonts w:eastAsia="Calibri"/>
                <w:szCs w:val="20"/>
                <w:lang w:val="en-GB" w:eastAsia="en-GB" w:bidi="ar-SA"/>
              </w:rPr>
              <w:t>Ponahalo Investments (Proprietary) Limited</w:t>
            </w:r>
          </w:p>
        </w:tc>
      </w:tr>
      <w:tr w:rsidR="00F400D2" w14:paraId="05068602" w14:textId="77777777" w:rsidTr="007C63D0">
        <w:trPr>
          <w:cantSplit/>
          <w:jc w:val="center"/>
        </w:trPr>
        <w:tc>
          <w:tcPr>
            <w:tcW w:w="2500" w:type="pct"/>
            <w:tcBorders>
              <w:top w:val="nil"/>
              <w:left w:val="nil"/>
              <w:bottom w:val="nil"/>
              <w:right w:val="nil"/>
            </w:tcBorders>
          </w:tcPr>
          <w:p w14:paraId="744071F5" w14:textId="0D95C32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Probable Ore Reserves</w:t>
            </w:r>
            <w:r>
              <w:rPr>
                <w:lang w:val="en-GB" w:eastAsia="en-GB" w:bidi="ar-SA"/>
              </w:rPr>
              <w:t>”</w:t>
            </w:r>
          </w:p>
        </w:tc>
        <w:tc>
          <w:tcPr>
            <w:tcW w:w="2500" w:type="pct"/>
            <w:tcBorders>
              <w:top w:val="nil"/>
              <w:left w:val="nil"/>
              <w:bottom w:val="nil"/>
              <w:right w:val="nil"/>
            </w:tcBorders>
          </w:tcPr>
          <w:p w14:paraId="6760BB83" w14:textId="77777777" w:rsidR="00F400D2" w:rsidRPr="00571974" w:rsidRDefault="00F400D2" w:rsidP="00F400D2">
            <w:pPr>
              <w:rPr>
                <w:color w:val="1F497D"/>
                <w:lang w:val="en-GB" w:eastAsia="en-GB" w:bidi="ar-SA"/>
              </w:rPr>
            </w:pPr>
            <w:r w:rsidRPr="00571974">
              <w:rPr>
                <w:lang w:val="en-GB" w:eastAsia="en-GB" w:bidi="ar-SA"/>
              </w:rPr>
              <w:t>A Probable Ore Reserve is the economically mineable part of an Indicated, and in some circumstances, a Measured Mineral Resource. It includes diluting materials and allowances for losses which may occur when the material is mined. Appropriate assessments and studies have been carried out and include consideration of and modification by realistically assumed mining, metallurgical, economic, marketing, legal, environmental, social and governmental factors. These assessments demonstrate at the time of reporting that extraction could reasonably be justified.</w:t>
            </w:r>
          </w:p>
        </w:tc>
      </w:tr>
      <w:tr w:rsidR="00F400D2" w14:paraId="10D08A5F" w14:textId="77777777" w:rsidTr="007C63D0">
        <w:trPr>
          <w:cantSplit/>
          <w:jc w:val="center"/>
        </w:trPr>
        <w:tc>
          <w:tcPr>
            <w:tcW w:w="2500" w:type="pct"/>
            <w:tcBorders>
              <w:top w:val="nil"/>
              <w:left w:val="nil"/>
              <w:bottom w:val="nil"/>
              <w:right w:val="nil"/>
            </w:tcBorders>
          </w:tcPr>
          <w:p w14:paraId="664FA00A" w14:textId="07451A0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Proved Ore Reserves</w:t>
            </w:r>
            <w:r>
              <w:rPr>
                <w:lang w:val="en-GB" w:eastAsia="en-GB" w:bidi="ar-SA"/>
              </w:rPr>
              <w:t>”</w:t>
            </w:r>
          </w:p>
        </w:tc>
        <w:tc>
          <w:tcPr>
            <w:tcW w:w="2500" w:type="pct"/>
            <w:tcBorders>
              <w:top w:val="nil"/>
              <w:left w:val="nil"/>
              <w:bottom w:val="nil"/>
              <w:right w:val="nil"/>
            </w:tcBorders>
          </w:tcPr>
          <w:p w14:paraId="17BB8B02" w14:textId="71B9BEFE" w:rsidR="00F400D2" w:rsidRPr="00571974" w:rsidRDefault="00F400D2" w:rsidP="00F400D2">
            <w:pPr>
              <w:rPr>
                <w:lang w:val="en-GB" w:eastAsia="en-GB" w:bidi="ar-SA"/>
              </w:rPr>
            </w:pPr>
            <w:r w:rsidRPr="00571974">
              <w:rPr>
                <w:lang w:val="en-GB" w:eastAsia="en-GB" w:bidi="ar-SA"/>
              </w:rPr>
              <w:t>A Proved Ore Reserve is the economically mineable part of a Measured Mineral Resource. It includes diluting materials and allowances for losses which may occur when the material is mined. Appropriate assessments and studies have been carried out and include consideration of and modification by realistically assumed mining, metallurgical, economic, marketing, legal, environmental, social and governmental factors. These assessments demonstrate at the time of reporting that extraction could reasonably be justified</w:t>
            </w:r>
          </w:p>
        </w:tc>
      </w:tr>
      <w:tr w:rsidR="00F400D2" w14:paraId="40E705D4" w14:textId="77777777" w:rsidTr="007C63D0">
        <w:trPr>
          <w:cantSplit/>
          <w:jc w:val="center"/>
        </w:trPr>
        <w:tc>
          <w:tcPr>
            <w:tcW w:w="2500" w:type="pct"/>
            <w:tcBorders>
              <w:top w:val="nil"/>
              <w:left w:val="nil"/>
              <w:bottom w:val="nil"/>
              <w:right w:val="nil"/>
            </w:tcBorders>
          </w:tcPr>
          <w:p w14:paraId="2B590C4B" w14:textId="3D437DD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RBCT</w:t>
            </w:r>
            <w:r>
              <w:rPr>
                <w:lang w:val="en-GB" w:eastAsia="en-GB" w:bidi="ar-SA"/>
              </w:rPr>
              <w:t>”</w:t>
            </w:r>
          </w:p>
        </w:tc>
        <w:tc>
          <w:tcPr>
            <w:tcW w:w="2500" w:type="pct"/>
            <w:tcBorders>
              <w:top w:val="nil"/>
              <w:left w:val="nil"/>
              <w:bottom w:val="nil"/>
              <w:right w:val="nil"/>
            </w:tcBorders>
          </w:tcPr>
          <w:p w14:paraId="1239726A"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Richards Bay Coal Terminal</w:t>
            </w:r>
          </w:p>
        </w:tc>
      </w:tr>
      <w:tr w:rsidR="00F400D2" w14:paraId="60A18B69" w14:textId="77777777" w:rsidTr="007C63D0">
        <w:trPr>
          <w:cantSplit/>
          <w:jc w:val="center"/>
        </w:trPr>
        <w:tc>
          <w:tcPr>
            <w:tcW w:w="2500" w:type="pct"/>
            <w:tcBorders>
              <w:top w:val="nil"/>
              <w:left w:val="nil"/>
              <w:bottom w:val="nil"/>
              <w:right w:val="nil"/>
            </w:tcBorders>
          </w:tcPr>
          <w:p w14:paraId="79D76E21" w14:textId="58E19CA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RMX</w:t>
            </w:r>
            <w:r>
              <w:rPr>
                <w:lang w:val="en-GB" w:eastAsia="en-GB" w:bidi="ar-SA"/>
              </w:rPr>
              <w:t>”</w:t>
            </w:r>
          </w:p>
        </w:tc>
        <w:tc>
          <w:tcPr>
            <w:tcW w:w="2500" w:type="pct"/>
            <w:tcBorders>
              <w:top w:val="nil"/>
              <w:left w:val="nil"/>
              <w:bottom w:val="nil"/>
              <w:right w:val="nil"/>
            </w:tcBorders>
          </w:tcPr>
          <w:p w14:paraId="58A8D93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Ready mix concrete</w:t>
            </w:r>
          </w:p>
        </w:tc>
      </w:tr>
      <w:tr w:rsidR="00F400D2" w14:paraId="03E9A41C" w14:textId="77777777" w:rsidTr="007C63D0">
        <w:trPr>
          <w:cantSplit/>
          <w:jc w:val="center"/>
        </w:trPr>
        <w:tc>
          <w:tcPr>
            <w:tcW w:w="2500" w:type="pct"/>
            <w:tcBorders>
              <w:top w:val="nil"/>
              <w:left w:val="nil"/>
              <w:bottom w:val="nil"/>
              <w:right w:val="nil"/>
            </w:tcBorders>
          </w:tcPr>
          <w:p w14:paraId="306E2E16" w14:textId="1B5BB598"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RPM</w:t>
            </w:r>
            <w:r>
              <w:rPr>
                <w:lang w:val="en-GB" w:eastAsia="en-GB" w:bidi="ar-SA"/>
              </w:rPr>
              <w:t>”</w:t>
            </w:r>
          </w:p>
        </w:tc>
        <w:tc>
          <w:tcPr>
            <w:tcW w:w="2500" w:type="pct"/>
            <w:tcBorders>
              <w:top w:val="nil"/>
              <w:left w:val="nil"/>
              <w:bottom w:val="nil"/>
              <w:right w:val="nil"/>
            </w:tcBorders>
          </w:tcPr>
          <w:p w14:paraId="0DEACDE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Rustenburg Platinum Mines</w:t>
            </w:r>
          </w:p>
        </w:tc>
      </w:tr>
      <w:tr w:rsidR="00F400D2" w14:paraId="07C7FFF7" w14:textId="77777777" w:rsidTr="007C63D0">
        <w:trPr>
          <w:cantSplit/>
          <w:jc w:val="center"/>
        </w:trPr>
        <w:tc>
          <w:tcPr>
            <w:tcW w:w="2500" w:type="pct"/>
            <w:tcBorders>
              <w:top w:val="nil"/>
              <w:left w:val="nil"/>
              <w:bottom w:val="nil"/>
              <w:right w:val="nil"/>
            </w:tcBorders>
          </w:tcPr>
          <w:p w14:paraId="35497873" w14:textId="13C118E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RSA</w:t>
            </w:r>
            <w:r>
              <w:rPr>
                <w:lang w:val="en-GB" w:eastAsia="en-GB" w:bidi="ar-SA"/>
              </w:rPr>
              <w:t>”</w:t>
            </w:r>
          </w:p>
        </w:tc>
        <w:tc>
          <w:tcPr>
            <w:tcW w:w="2500" w:type="pct"/>
            <w:tcBorders>
              <w:top w:val="nil"/>
              <w:left w:val="nil"/>
              <w:bottom w:val="nil"/>
              <w:right w:val="nil"/>
            </w:tcBorders>
          </w:tcPr>
          <w:p w14:paraId="5E9EA90B"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Republic of South Africa</w:t>
            </w:r>
          </w:p>
        </w:tc>
      </w:tr>
      <w:tr w:rsidR="00F400D2" w14:paraId="76274D2E" w14:textId="77777777" w:rsidTr="007C63D0">
        <w:trPr>
          <w:cantSplit/>
          <w:jc w:val="center"/>
        </w:trPr>
        <w:tc>
          <w:tcPr>
            <w:tcW w:w="2500" w:type="pct"/>
            <w:tcBorders>
              <w:top w:val="nil"/>
              <w:left w:val="nil"/>
              <w:bottom w:val="nil"/>
              <w:right w:val="nil"/>
            </w:tcBorders>
          </w:tcPr>
          <w:p w14:paraId="1EB3489A" w14:textId="5522F8F3"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Samancor</w:t>
            </w:r>
            <w:r>
              <w:rPr>
                <w:lang w:val="en-GB" w:eastAsia="en-GB" w:bidi="ar-SA"/>
              </w:rPr>
              <w:t>”</w:t>
            </w:r>
          </w:p>
        </w:tc>
        <w:tc>
          <w:tcPr>
            <w:tcW w:w="2500" w:type="pct"/>
            <w:tcBorders>
              <w:top w:val="nil"/>
              <w:left w:val="nil"/>
              <w:bottom w:val="nil"/>
              <w:right w:val="nil"/>
            </w:tcBorders>
          </w:tcPr>
          <w:p w14:paraId="5EF4F35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Samancor Holdings together with GEMCO, TEMCO and Samancor Marketing</w:t>
            </w:r>
          </w:p>
        </w:tc>
      </w:tr>
      <w:tr w:rsidR="00F400D2" w14:paraId="4ECED8ED" w14:textId="77777777" w:rsidTr="007C63D0">
        <w:trPr>
          <w:cantSplit/>
          <w:jc w:val="center"/>
        </w:trPr>
        <w:tc>
          <w:tcPr>
            <w:tcW w:w="2500" w:type="pct"/>
            <w:tcBorders>
              <w:top w:val="nil"/>
              <w:left w:val="nil"/>
              <w:bottom w:val="nil"/>
              <w:right w:val="nil"/>
            </w:tcBorders>
          </w:tcPr>
          <w:p w14:paraId="5CC8C6FC" w14:textId="7299BEB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Samancor Holdings</w:t>
            </w:r>
            <w:r>
              <w:rPr>
                <w:lang w:val="en-GB" w:eastAsia="en-GB" w:bidi="ar-SA"/>
              </w:rPr>
              <w:t>”</w:t>
            </w:r>
          </w:p>
        </w:tc>
        <w:tc>
          <w:tcPr>
            <w:tcW w:w="2500" w:type="pct"/>
            <w:tcBorders>
              <w:top w:val="nil"/>
              <w:left w:val="nil"/>
              <w:bottom w:val="nil"/>
              <w:right w:val="nil"/>
            </w:tcBorders>
          </w:tcPr>
          <w:p w14:paraId="1D869355"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Samancor Holdings Proprietary Limited</w:t>
            </w:r>
          </w:p>
        </w:tc>
      </w:tr>
      <w:tr w:rsidR="00F400D2" w14:paraId="01BA1CCA" w14:textId="77777777" w:rsidTr="007C63D0">
        <w:trPr>
          <w:cantSplit/>
          <w:jc w:val="center"/>
        </w:trPr>
        <w:tc>
          <w:tcPr>
            <w:tcW w:w="2500" w:type="pct"/>
            <w:tcBorders>
              <w:top w:val="nil"/>
              <w:left w:val="nil"/>
              <w:bottom w:val="nil"/>
              <w:right w:val="nil"/>
            </w:tcBorders>
          </w:tcPr>
          <w:p w14:paraId="7064ED03" w14:textId="30990B1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lastRenderedPageBreak/>
              <w:t>“</w:t>
            </w:r>
            <w:r w:rsidR="00F400D2" w:rsidRPr="00571974">
              <w:rPr>
                <w:lang w:val="en-GB" w:eastAsia="en-GB" w:bidi="ar-SA"/>
              </w:rPr>
              <w:t>Samancor Marketing</w:t>
            </w:r>
            <w:r>
              <w:rPr>
                <w:lang w:val="en-GB" w:eastAsia="en-GB" w:bidi="ar-SA"/>
              </w:rPr>
              <w:t>”</w:t>
            </w:r>
          </w:p>
        </w:tc>
        <w:tc>
          <w:tcPr>
            <w:tcW w:w="2500" w:type="pct"/>
            <w:tcBorders>
              <w:top w:val="nil"/>
              <w:left w:val="nil"/>
              <w:bottom w:val="nil"/>
              <w:right w:val="nil"/>
            </w:tcBorders>
          </w:tcPr>
          <w:p w14:paraId="6AE5820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Samancor Marketing Pte. Ltd</w:t>
            </w:r>
          </w:p>
        </w:tc>
      </w:tr>
      <w:tr w:rsidR="00F400D2" w14:paraId="60D9E4AC" w14:textId="77777777" w:rsidTr="007C63D0">
        <w:trPr>
          <w:cantSplit/>
          <w:jc w:val="center"/>
        </w:trPr>
        <w:tc>
          <w:tcPr>
            <w:tcW w:w="2500" w:type="pct"/>
            <w:tcBorders>
              <w:top w:val="nil"/>
              <w:left w:val="nil"/>
              <w:bottom w:val="nil"/>
              <w:right w:val="nil"/>
            </w:tcBorders>
          </w:tcPr>
          <w:p w14:paraId="5BEF278E" w14:textId="63E9294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SARB</w:t>
            </w:r>
            <w:r>
              <w:rPr>
                <w:lang w:val="en-GB" w:eastAsia="en-GB" w:bidi="ar-SA"/>
              </w:rPr>
              <w:t>”</w:t>
            </w:r>
          </w:p>
        </w:tc>
        <w:tc>
          <w:tcPr>
            <w:tcW w:w="2500" w:type="pct"/>
            <w:tcBorders>
              <w:top w:val="nil"/>
              <w:left w:val="nil"/>
              <w:bottom w:val="nil"/>
              <w:right w:val="nil"/>
            </w:tcBorders>
          </w:tcPr>
          <w:p w14:paraId="00CD58F2"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South African Reserve Bank</w:t>
            </w:r>
          </w:p>
        </w:tc>
      </w:tr>
      <w:tr w:rsidR="00F400D2" w14:paraId="26F807C6" w14:textId="77777777" w:rsidTr="007C63D0">
        <w:trPr>
          <w:cantSplit/>
          <w:jc w:val="center"/>
        </w:trPr>
        <w:tc>
          <w:tcPr>
            <w:tcW w:w="2500" w:type="pct"/>
            <w:tcBorders>
              <w:top w:val="nil"/>
              <w:left w:val="nil"/>
              <w:bottom w:val="nil"/>
              <w:right w:val="nil"/>
            </w:tcBorders>
          </w:tcPr>
          <w:p w14:paraId="2226937F" w14:textId="2FF84E97"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SARS</w:t>
            </w:r>
            <w:r>
              <w:rPr>
                <w:lang w:val="en-GB" w:eastAsia="en-GB" w:bidi="ar-SA"/>
              </w:rPr>
              <w:t>”</w:t>
            </w:r>
          </w:p>
        </w:tc>
        <w:tc>
          <w:tcPr>
            <w:tcW w:w="2500" w:type="pct"/>
            <w:tcBorders>
              <w:top w:val="nil"/>
              <w:left w:val="nil"/>
              <w:bottom w:val="nil"/>
              <w:right w:val="nil"/>
            </w:tcBorders>
          </w:tcPr>
          <w:p w14:paraId="3CF53B7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rFonts w:cs="Arial"/>
                <w:szCs w:val="20"/>
                <w:lang w:val="en-GB" w:eastAsia="en-GB" w:bidi="ar-SA"/>
              </w:rPr>
              <w:t>South African Revenue Service</w:t>
            </w:r>
          </w:p>
        </w:tc>
      </w:tr>
      <w:tr w:rsidR="00F400D2" w14:paraId="781A0A61" w14:textId="77777777" w:rsidTr="007C63D0">
        <w:trPr>
          <w:cantSplit/>
          <w:jc w:val="center"/>
        </w:trPr>
        <w:tc>
          <w:tcPr>
            <w:tcW w:w="2500" w:type="pct"/>
            <w:tcBorders>
              <w:top w:val="nil"/>
              <w:left w:val="nil"/>
              <w:bottom w:val="nil"/>
              <w:right w:val="nil"/>
            </w:tcBorders>
          </w:tcPr>
          <w:p w14:paraId="144EF6D9" w14:textId="6D5AD7C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Scaw Metals</w:t>
            </w:r>
            <w:r>
              <w:rPr>
                <w:lang w:val="en-GB" w:eastAsia="en-GB" w:bidi="ar-SA"/>
              </w:rPr>
              <w:t>”</w:t>
            </w:r>
          </w:p>
        </w:tc>
        <w:tc>
          <w:tcPr>
            <w:tcW w:w="2500" w:type="pct"/>
            <w:tcBorders>
              <w:top w:val="nil"/>
              <w:left w:val="nil"/>
              <w:bottom w:val="nil"/>
              <w:right w:val="nil"/>
            </w:tcBorders>
          </w:tcPr>
          <w:p w14:paraId="346093FC"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Scaw South Africa (Proprietary) Limited together with, in respect of periods prior to 2011, the Scaw Metals International business</w:t>
            </w:r>
          </w:p>
        </w:tc>
      </w:tr>
      <w:tr w:rsidR="00F400D2" w14:paraId="4B94797F" w14:textId="77777777" w:rsidTr="007C63D0">
        <w:trPr>
          <w:cantSplit/>
          <w:jc w:val="center"/>
        </w:trPr>
        <w:tc>
          <w:tcPr>
            <w:tcW w:w="2500" w:type="pct"/>
            <w:tcBorders>
              <w:top w:val="nil"/>
              <w:left w:val="nil"/>
              <w:bottom w:val="nil"/>
              <w:right w:val="nil"/>
            </w:tcBorders>
          </w:tcPr>
          <w:p w14:paraId="1A0D114B" w14:textId="24DE197C"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SIOC</w:t>
            </w:r>
            <w:r>
              <w:rPr>
                <w:lang w:val="en-GB" w:eastAsia="en-GB" w:bidi="ar-SA"/>
              </w:rPr>
              <w:t>”</w:t>
            </w:r>
          </w:p>
        </w:tc>
        <w:tc>
          <w:tcPr>
            <w:tcW w:w="2500" w:type="pct"/>
            <w:tcBorders>
              <w:top w:val="nil"/>
              <w:left w:val="nil"/>
              <w:bottom w:val="nil"/>
              <w:right w:val="nil"/>
            </w:tcBorders>
          </w:tcPr>
          <w:p w14:paraId="025D2D03"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Sishen Iron Ore Company (Proprietary) Limited</w:t>
            </w:r>
          </w:p>
        </w:tc>
      </w:tr>
      <w:tr w:rsidR="00F400D2" w14:paraId="12EDD577" w14:textId="77777777" w:rsidTr="007C63D0">
        <w:trPr>
          <w:cantSplit/>
          <w:jc w:val="center"/>
        </w:trPr>
        <w:tc>
          <w:tcPr>
            <w:tcW w:w="2500" w:type="pct"/>
            <w:tcBorders>
              <w:top w:val="nil"/>
              <w:left w:val="nil"/>
              <w:bottom w:val="nil"/>
              <w:right w:val="nil"/>
            </w:tcBorders>
          </w:tcPr>
          <w:p w14:paraId="6243644C" w14:textId="4E734C3B"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Pr>
                <w:lang w:val="en-GB" w:eastAsia="en-GB" w:bidi="ar-SA"/>
              </w:rPr>
              <w:t>Sirius</w:t>
            </w:r>
            <w:r>
              <w:rPr>
                <w:lang w:val="en-GB" w:eastAsia="en-GB" w:bidi="ar-SA"/>
              </w:rPr>
              <w:t>”</w:t>
            </w:r>
          </w:p>
        </w:tc>
        <w:tc>
          <w:tcPr>
            <w:tcW w:w="2500" w:type="pct"/>
            <w:tcBorders>
              <w:top w:val="nil"/>
              <w:left w:val="nil"/>
              <w:bottom w:val="nil"/>
              <w:right w:val="nil"/>
            </w:tcBorders>
          </w:tcPr>
          <w:p w14:paraId="4E6BA6E1" w14:textId="70F00C0A"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Pr>
                <w:lang w:val="en-GB" w:eastAsia="en-GB" w:bidi="ar-SA"/>
              </w:rPr>
              <w:t>Sirius Minerals plc</w:t>
            </w:r>
          </w:p>
        </w:tc>
      </w:tr>
      <w:tr w:rsidR="00F400D2" w14:paraId="3C8D194E" w14:textId="77777777" w:rsidTr="007C63D0">
        <w:trPr>
          <w:cantSplit/>
          <w:jc w:val="center"/>
        </w:trPr>
        <w:tc>
          <w:tcPr>
            <w:tcW w:w="2500" w:type="pct"/>
            <w:tcBorders>
              <w:top w:val="nil"/>
              <w:left w:val="nil"/>
              <w:bottom w:val="nil"/>
              <w:right w:val="nil"/>
            </w:tcBorders>
          </w:tcPr>
          <w:p w14:paraId="1A05D9D4" w14:textId="5C2447F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South African rand</w:t>
            </w:r>
            <w:r>
              <w:rPr>
                <w:lang w:val="en-GB" w:eastAsia="en-GB" w:bidi="ar-SA"/>
              </w:rPr>
              <w:t>”</w:t>
            </w:r>
            <w:r w:rsidR="00F400D2" w:rsidRPr="00571974">
              <w:rPr>
                <w:lang w:val="en-GB" w:eastAsia="en-GB" w:bidi="ar-SA"/>
              </w:rPr>
              <w:t xml:space="preserve">, </w:t>
            </w:r>
            <w:r>
              <w:rPr>
                <w:lang w:val="en-GB" w:eastAsia="en-GB" w:bidi="ar-SA"/>
              </w:rPr>
              <w:t>“</w:t>
            </w:r>
            <w:r w:rsidR="00F400D2" w:rsidRPr="00571974">
              <w:rPr>
                <w:lang w:val="en-GB" w:eastAsia="en-GB" w:bidi="ar-SA"/>
              </w:rPr>
              <w:t>ZAR</w:t>
            </w:r>
            <w:r>
              <w:rPr>
                <w:lang w:val="en-GB" w:eastAsia="en-GB" w:bidi="ar-SA"/>
              </w:rPr>
              <w:t>”</w:t>
            </w:r>
          </w:p>
        </w:tc>
        <w:tc>
          <w:tcPr>
            <w:tcW w:w="2500" w:type="pct"/>
            <w:tcBorders>
              <w:top w:val="nil"/>
              <w:left w:val="nil"/>
              <w:bottom w:val="nil"/>
              <w:right w:val="nil"/>
            </w:tcBorders>
          </w:tcPr>
          <w:p w14:paraId="6D825894"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the Republic of South Africa</w:t>
            </w:r>
          </w:p>
        </w:tc>
      </w:tr>
      <w:tr w:rsidR="00F400D2" w14:paraId="652C9AF5" w14:textId="77777777" w:rsidTr="007C63D0">
        <w:trPr>
          <w:cantSplit/>
          <w:jc w:val="center"/>
        </w:trPr>
        <w:tc>
          <w:tcPr>
            <w:tcW w:w="2500" w:type="pct"/>
            <w:tcBorders>
              <w:top w:val="nil"/>
              <w:left w:val="nil"/>
              <w:bottom w:val="nil"/>
              <w:right w:val="nil"/>
            </w:tcBorders>
          </w:tcPr>
          <w:p w14:paraId="0C10A2C6" w14:textId="629E7E16"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Tarmac</w:t>
            </w:r>
            <w:r>
              <w:rPr>
                <w:lang w:val="en-GB" w:eastAsia="en-GB" w:bidi="ar-SA"/>
              </w:rPr>
              <w:t>”</w:t>
            </w:r>
          </w:p>
        </w:tc>
        <w:tc>
          <w:tcPr>
            <w:tcW w:w="2500" w:type="pct"/>
            <w:tcBorders>
              <w:top w:val="nil"/>
              <w:left w:val="nil"/>
              <w:bottom w:val="nil"/>
              <w:right w:val="nil"/>
            </w:tcBorders>
          </w:tcPr>
          <w:p w14:paraId="75414CCF"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group of aggregates and building products companies operating, under the Tarmac brand in the UK, Middle East and prior to its disposal in 2014, Tarmac Building Products Limited</w:t>
            </w:r>
          </w:p>
        </w:tc>
      </w:tr>
      <w:tr w:rsidR="00F400D2" w14:paraId="5CAD5310" w14:textId="77777777" w:rsidTr="007C63D0">
        <w:trPr>
          <w:cantSplit/>
          <w:jc w:val="center"/>
        </w:trPr>
        <w:tc>
          <w:tcPr>
            <w:tcW w:w="2500" w:type="pct"/>
            <w:tcBorders>
              <w:top w:val="nil"/>
              <w:left w:val="nil"/>
              <w:bottom w:val="nil"/>
              <w:right w:val="nil"/>
            </w:tcBorders>
          </w:tcPr>
          <w:p w14:paraId="7B418949" w14:textId="3D39268A"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TEMCO</w:t>
            </w:r>
            <w:r>
              <w:rPr>
                <w:lang w:val="en-GB" w:eastAsia="en-GB" w:bidi="ar-SA"/>
              </w:rPr>
              <w:t>”</w:t>
            </w:r>
          </w:p>
        </w:tc>
        <w:tc>
          <w:tcPr>
            <w:tcW w:w="2500" w:type="pct"/>
            <w:tcBorders>
              <w:top w:val="nil"/>
              <w:left w:val="nil"/>
              <w:bottom w:val="nil"/>
              <w:right w:val="nil"/>
            </w:tcBorders>
          </w:tcPr>
          <w:p w14:paraId="1C3C9F05"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Tasmanian Electro Metallurgical Company Pty Limited</w:t>
            </w:r>
          </w:p>
        </w:tc>
      </w:tr>
      <w:tr w:rsidR="00F400D2" w14:paraId="2E4330EE" w14:textId="77777777" w:rsidTr="007C63D0">
        <w:trPr>
          <w:cantSplit/>
          <w:jc w:val="center"/>
        </w:trPr>
        <w:tc>
          <w:tcPr>
            <w:tcW w:w="2500" w:type="pct"/>
            <w:tcBorders>
              <w:top w:val="nil"/>
              <w:left w:val="nil"/>
              <w:bottom w:val="nil"/>
              <w:right w:val="nil"/>
            </w:tcBorders>
          </w:tcPr>
          <w:p w14:paraId="00587B43" w14:textId="75B3000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tonnes</w:t>
            </w:r>
            <w:r>
              <w:rPr>
                <w:lang w:val="en-GB" w:eastAsia="en-GB" w:bidi="ar-SA"/>
              </w:rPr>
              <w:t>”</w:t>
            </w:r>
          </w:p>
        </w:tc>
        <w:tc>
          <w:tcPr>
            <w:tcW w:w="2500" w:type="pct"/>
            <w:tcBorders>
              <w:top w:val="nil"/>
              <w:left w:val="nil"/>
              <w:bottom w:val="nil"/>
              <w:right w:val="nil"/>
            </w:tcBorders>
          </w:tcPr>
          <w:p w14:paraId="5D7D62C6"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Denotes metric tonnes (1,000 kilograms)</w:t>
            </w:r>
          </w:p>
        </w:tc>
      </w:tr>
      <w:tr w:rsidR="00F400D2" w14:paraId="41C0EBE4" w14:textId="77777777" w:rsidTr="007C63D0">
        <w:trPr>
          <w:cantSplit/>
          <w:jc w:val="center"/>
        </w:trPr>
        <w:tc>
          <w:tcPr>
            <w:tcW w:w="2500" w:type="pct"/>
            <w:tcBorders>
              <w:top w:val="nil"/>
              <w:left w:val="nil"/>
              <w:bottom w:val="nil"/>
              <w:right w:val="nil"/>
            </w:tcBorders>
          </w:tcPr>
          <w:p w14:paraId="62B8EB02" w14:textId="43D8FE0E"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Trustee</w:t>
            </w:r>
            <w:r>
              <w:rPr>
                <w:lang w:val="en-GB" w:eastAsia="en-GB" w:bidi="ar-SA"/>
              </w:rPr>
              <w:t>”</w:t>
            </w:r>
          </w:p>
        </w:tc>
        <w:tc>
          <w:tcPr>
            <w:tcW w:w="2500" w:type="pct"/>
            <w:tcBorders>
              <w:top w:val="nil"/>
              <w:left w:val="nil"/>
              <w:bottom w:val="nil"/>
              <w:right w:val="nil"/>
            </w:tcBorders>
          </w:tcPr>
          <w:p w14:paraId="6B1C8FA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Citibank, N.A.</w:t>
            </w:r>
          </w:p>
        </w:tc>
      </w:tr>
      <w:tr w:rsidR="00F400D2" w14:paraId="0C12ADC9" w14:textId="77777777" w:rsidTr="007C63D0">
        <w:trPr>
          <w:cantSplit/>
          <w:jc w:val="center"/>
        </w:trPr>
        <w:tc>
          <w:tcPr>
            <w:tcW w:w="2500" w:type="pct"/>
            <w:tcBorders>
              <w:top w:val="nil"/>
              <w:left w:val="nil"/>
              <w:bottom w:val="nil"/>
              <w:right w:val="nil"/>
            </w:tcBorders>
          </w:tcPr>
          <w:p w14:paraId="2126500A" w14:textId="2F1F0D3F"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Trust Indenture Act</w:t>
            </w:r>
            <w:r>
              <w:rPr>
                <w:lang w:val="en-GB" w:eastAsia="en-GB" w:bidi="ar-SA"/>
              </w:rPr>
              <w:t>”</w:t>
            </w:r>
          </w:p>
        </w:tc>
        <w:tc>
          <w:tcPr>
            <w:tcW w:w="2500" w:type="pct"/>
            <w:tcBorders>
              <w:top w:val="nil"/>
              <w:left w:val="nil"/>
              <w:bottom w:val="nil"/>
              <w:right w:val="nil"/>
            </w:tcBorders>
          </w:tcPr>
          <w:p w14:paraId="55D94AAD"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U.S. Trust Indenture Act of 1939, as amended</w:t>
            </w:r>
          </w:p>
        </w:tc>
      </w:tr>
      <w:tr w:rsidR="00F400D2" w14:paraId="4FA954D3" w14:textId="77777777" w:rsidTr="007C63D0">
        <w:trPr>
          <w:cantSplit/>
          <w:jc w:val="center"/>
        </w:trPr>
        <w:tc>
          <w:tcPr>
            <w:tcW w:w="2500" w:type="pct"/>
            <w:tcBorders>
              <w:top w:val="nil"/>
              <w:left w:val="nil"/>
              <w:bottom w:val="nil"/>
              <w:right w:val="nil"/>
            </w:tcBorders>
          </w:tcPr>
          <w:p w14:paraId="43A1B0D1" w14:textId="4200F0C7"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UK GAAP</w:t>
            </w:r>
            <w:r>
              <w:rPr>
                <w:lang w:val="en-GB" w:eastAsia="en-GB" w:bidi="ar-SA"/>
              </w:rPr>
              <w:t>”</w:t>
            </w:r>
          </w:p>
        </w:tc>
        <w:tc>
          <w:tcPr>
            <w:tcW w:w="2500" w:type="pct"/>
            <w:tcBorders>
              <w:top w:val="nil"/>
              <w:left w:val="nil"/>
              <w:bottom w:val="nil"/>
              <w:right w:val="nil"/>
            </w:tcBorders>
          </w:tcPr>
          <w:p w14:paraId="2D090FA1"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Generally Accepted Accounting Principles in the United Kingdom</w:t>
            </w:r>
          </w:p>
        </w:tc>
      </w:tr>
      <w:tr w:rsidR="00F400D2" w14:paraId="215582F2" w14:textId="77777777" w:rsidTr="007C63D0">
        <w:trPr>
          <w:cantSplit/>
          <w:jc w:val="center"/>
        </w:trPr>
        <w:tc>
          <w:tcPr>
            <w:tcW w:w="2500" w:type="pct"/>
            <w:tcBorders>
              <w:top w:val="nil"/>
              <w:left w:val="nil"/>
              <w:bottom w:val="nil"/>
              <w:right w:val="nil"/>
            </w:tcBorders>
          </w:tcPr>
          <w:p w14:paraId="11B0429E" w14:textId="73EED909"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U.S. GAAP</w:t>
            </w:r>
            <w:r>
              <w:rPr>
                <w:lang w:val="en-GB" w:eastAsia="en-GB" w:bidi="ar-SA"/>
              </w:rPr>
              <w:t>”</w:t>
            </w:r>
          </w:p>
        </w:tc>
        <w:tc>
          <w:tcPr>
            <w:tcW w:w="2500" w:type="pct"/>
            <w:tcBorders>
              <w:top w:val="nil"/>
              <w:left w:val="nil"/>
              <w:bottom w:val="nil"/>
              <w:right w:val="nil"/>
            </w:tcBorders>
          </w:tcPr>
          <w:p w14:paraId="31F8655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Generally Accepted Accounting Principles in the United States</w:t>
            </w:r>
          </w:p>
        </w:tc>
      </w:tr>
      <w:tr w:rsidR="00F400D2" w14:paraId="3F312D48" w14:textId="77777777" w:rsidTr="007C63D0">
        <w:trPr>
          <w:cantSplit/>
          <w:jc w:val="center"/>
        </w:trPr>
        <w:tc>
          <w:tcPr>
            <w:tcW w:w="2500" w:type="pct"/>
            <w:tcBorders>
              <w:top w:val="nil"/>
              <w:left w:val="nil"/>
              <w:bottom w:val="nil"/>
              <w:right w:val="nil"/>
            </w:tcBorders>
          </w:tcPr>
          <w:p w14:paraId="688D2F71" w14:textId="60663F6E" w:rsidR="00F400D2" w:rsidRPr="00571974" w:rsidRDefault="00A311D8"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ind w:left="200" w:hanging="200"/>
              <w:rPr>
                <w:lang w:val="en-GB" w:eastAsia="en-GB" w:bidi="ar-SA"/>
              </w:rPr>
            </w:pPr>
            <w:r>
              <w:rPr>
                <w:lang w:val="en-GB" w:eastAsia="en-GB" w:bidi="ar-SA"/>
              </w:rPr>
              <w:t>“</w:t>
            </w:r>
            <w:r w:rsidR="00F400D2" w:rsidRPr="00571974">
              <w:rPr>
                <w:lang w:val="en-GB" w:eastAsia="en-GB" w:bidi="ar-SA"/>
              </w:rPr>
              <w:t>US$</w:t>
            </w:r>
            <w:r>
              <w:rPr>
                <w:lang w:val="en-GB" w:eastAsia="en-GB" w:bidi="ar-SA"/>
              </w:rPr>
              <w:t>”</w:t>
            </w:r>
            <w:r w:rsidR="00F400D2" w:rsidRPr="00571974">
              <w:rPr>
                <w:lang w:val="en-GB" w:eastAsia="en-GB" w:bidi="ar-SA"/>
              </w:rPr>
              <w:t xml:space="preserve"> and </w:t>
            </w:r>
            <w:r>
              <w:rPr>
                <w:lang w:val="en-GB" w:eastAsia="en-GB" w:bidi="ar-SA"/>
              </w:rPr>
              <w:t>“</w:t>
            </w:r>
            <w:r w:rsidR="00F400D2" w:rsidRPr="00571974">
              <w:rPr>
                <w:lang w:val="en-GB" w:eastAsia="en-GB" w:bidi="ar-SA"/>
              </w:rPr>
              <w:t>U.S. dollar</w:t>
            </w:r>
            <w:r>
              <w:rPr>
                <w:lang w:val="en-GB" w:eastAsia="en-GB" w:bidi="ar-SA"/>
              </w:rPr>
              <w:t>”</w:t>
            </w:r>
          </w:p>
        </w:tc>
        <w:tc>
          <w:tcPr>
            <w:tcW w:w="2500" w:type="pct"/>
            <w:tcBorders>
              <w:top w:val="nil"/>
              <w:left w:val="nil"/>
              <w:bottom w:val="nil"/>
              <w:right w:val="nil"/>
            </w:tcBorders>
          </w:tcPr>
          <w:p w14:paraId="0B61DE5E"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r w:rsidRPr="00571974">
              <w:rPr>
                <w:lang w:val="en-GB" w:eastAsia="en-GB" w:bidi="ar-SA"/>
              </w:rPr>
              <w:t>The lawful currency of the United States of America</w:t>
            </w:r>
          </w:p>
          <w:p w14:paraId="449C673B" w14:textId="77777777" w:rsidR="00F400D2" w:rsidRPr="00571974" w:rsidRDefault="00F400D2" w:rsidP="00F400D2">
            <w:pPr>
              <w:widowControl/>
              <w:tabs>
                <w:tab w:val="left" w:pos="0"/>
                <w:tab w:val="left" w:pos="216"/>
                <w:tab w:val="left" w:pos="432"/>
                <w:tab w:val="left" w:pos="648"/>
                <w:tab w:val="left" w:pos="864"/>
                <w:tab w:val="left" w:pos="1080"/>
                <w:tab w:val="left" w:pos="1296"/>
                <w:tab w:val="left" w:pos="1512"/>
                <w:tab w:val="left" w:pos="1728"/>
                <w:tab w:val="left" w:pos="1944"/>
              </w:tabs>
              <w:suppressAutoHyphens/>
              <w:rPr>
                <w:lang w:val="en-GB" w:eastAsia="en-GB" w:bidi="ar-SA"/>
              </w:rPr>
            </w:pPr>
          </w:p>
        </w:tc>
      </w:tr>
    </w:tbl>
    <w:p w14:paraId="5CA2FDBE" w14:textId="77777777" w:rsidR="00542FF4" w:rsidRPr="00571974" w:rsidRDefault="00542FF4" w:rsidP="00542FF4">
      <w:pPr>
        <w:widowControl/>
        <w:tabs>
          <w:tab w:val="left" w:pos="-720"/>
        </w:tabs>
        <w:suppressAutoHyphens/>
        <w:rPr>
          <w:lang w:val="en-GB"/>
        </w:rPr>
        <w:sectPr w:rsidR="00542FF4" w:rsidRPr="00571974" w:rsidSect="00321339">
          <w:pgSz w:w="12240" w:h="15840"/>
          <w:pgMar w:top="1077" w:right="1608" w:bottom="1077" w:left="1276" w:header="720" w:footer="720" w:gutter="0"/>
          <w:cols w:space="720"/>
          <w:docGrid w:linePitch="299"/>
        </w:sectPr>
      </w:pPr>
    </w:p>
    <w:tbl>
      <w:tblPr>
        <w:tblW w:w="5094" w:type="pct"/>
        <w:tblInd w:w="-176" w:type="dxa"/>
        <w:tblLook w:val="01E0" w:firstRow="1" w:lastRow="1" w:firstColumn="1" w:lastColumn="1" w:noHBand="0" w:noVBand="0"/>
      </w:tblPr>
      <w:tblGrid>
        <w:gridCol w:w="5046"/>
        <w:gridCol w:w="222"/>
        <w:gridCol w:w="4268"/>
      </w:tblGrid>
      <w:tr w:rsidR="002228B8" w14:paraId="04423BC4" w14:textId="77777777" w:rsidTr="003F6DFE">
        <w:trPr>
          <w:trHeight w:val="531"/>
        </w:trPr>
        <w:tc>
          <w:tcPr>
            <w:tcW w:w="4228" w:type="pct"/>
            <w:tcBorders>
              <w:top w:val="thinThickSmallGap" w:sz="24" w:space="0" w:color="auto"/>
              <w:bottom w:val="thickThinSmallGap" w:sz="24" w:space="0" w:color="auto"/>
            </w:tcBorders>
          </w:tcPr>
          <w:p w14:paraId="73ED5303" w14:textId="77777777" w:rsidR="00542FF4" w:rsidRPr="00571974" w:rsidRDefault="003D4D89" w:rsidP="007C63D0">
            <w:pPr>
              <w:pStyle w:val="BodyText2"/>
              <w:pageBreakBefore/>
              <w:spacing w:after="0" w:line="240" w:lineRule="auto"/>
              <w:ind w:left="-108"/>
              <w:jc w:val="both"/>
              <w:rPr>
                <w:b/>
                <w:sz w:val="18"/>
                <w:lang w:val="en-GB" w:eastAsia="en-GB" w:bidi="ar-SA"/>
              </w:rPr>
            </w:pPr>
            <w:r w:rsidRPr="00571974">
              <w:rPr>
                <w:b/>
                <w:bCs/>
                <w:sz w:val="18"/>
                <w:lang w:val="en-GB" w:eastAsia="en-GB" w:bidi="ar-SA"/>
              </w:rPr>
              <w:lastRenderedPageBreak/>
              <w:t>No dealer, salesperson or other person is authorized to give any information or to represent anything not contained in this document. You must not rely on any unauthorized information or representations. This document constitutes a prospectus that has been prepared solely for the purpose of Admission of the Notes and does not constitute an offer for sale of Notes. The information contained in this document is current only as of its date.</w:t>
            </w:r>
          </w:p>
          <w:p w14:paraId="729696FE" w14:textId="77777777" w:rsidR="00542FF4" w:rsidRPr="00571974" w:rsidRDefault="003D4D89" w:rsidP="007C63D0">
            <w:pPr>
              <w:pageBreakBefore/>
              <w:spacing w:after="120" w:line="240" w:lineRule="atLeast"/>
              <w:jc w:val="center"/>
              <w:rPr>
                <w:b/>
                <w:lang w:val="en-GB" w:eastAsia="en-GB" w:bidi="ar-SA"/>
              </w:rPr>
            </w:pPr>
            <w:r w:rsidRPr="00571974">
              <w:rPr>
                <w:b/>
                <w:lang w:val="en-GB" w:eastAsia="en-GB" w:bidi="ar-SA"/>
              </w:rPr>
              <w:t>_________________</w:t>
            </w:r>
          </w:p>
          <w:p w14:paraId="162B86B0" w14:textId="583E34CA" w:rsidR="00542FF4" w:rsidRPr="00571974" w:rsidRDefault="003D4D89" w:rsidP="007C63D0">
            <w:pPr>
              <w:pStyle w:val="BodyText2"/>
              <w:spacing w:after="240" w:line="240" w:lineRule="auto"/>
              <w:jc w:val="center"/>
              <w:rPr>
                <w:b/>
                <w:sz w:val="19"/>
                <w:szCs w:val="19"/>
                <w:lang w:val="en-GB" w:eastAsia="en-GB" w:bidi="ar-SA"/>
              </w:rPr>
            </w:pPr>
            <w:r w:rsidRPr="00571974">
              <w:rPr>
                <w:b/>
                <w:sz w:val="19"/>
                <w:szCs w:val="19"/>
                <w:lang w:val="en-GB" w:eastAsia="en-GB" w:bidi="ar-SA"/>
              </w:rPr>
              <w:t>TABLE OF CONTENTS</w:t>
            </w:r>
          </w:p>
          <w:tbl>
            <w:tblPr>
              <w:tblW w:w="5097" w:type="dxa"/>
              <w:jc w:val="center"/>
              <w:tblCellMar>
                <w:left w:w="72" w:type="dxa"/>
                <w:right w:w="72" w:type="dxa"/>
              </w:tblCellMar>
              <w:tblLook w:val="0000" w:firstRow="0" w:lastRow="0" w:firstColumn="0" w:lastColumn="0" w:noHBand="0" w:noVBand="0"/>
            </w:tblPr>
            <w:tblGrid>
              <w:gridCol w:w="4436"/>
              <w:gridCol w:w="661"/>
            </w:tblGrid>
            <w:tr w:rsidR="002228B8" w14:paraId="0A2A28CA" w14:textId="77777777" w:rsidTr="00914A1E">
              <w:trPr>
                <w:cantSplit/>
                <w:jc w:val="center"/>
              </w:trPr>
              <w:tc>
                <w:tcPr>
                  <w:tcW w:w="4352" w:type="pct"/>
                  <w:tcBorders>
                    <w:top w:val="nil"/>
                    <w:left w:val="nil"/>
                    <w:bottom w:val="nil"/>
                    <w:right w:val="nil"/>
                  </w:tcBorders>
                  <w:vAlign w:val="bottom"/>
                </w:tcPr>
                <w:p w14:paraId="1EDABD85" w14:textId="77777777" w:rsidR="00542FF4" w:rsidRPr="00571974" w:rsidRDefault="00542FF4" w:rsidP="007C63D0">
                  <w:pPr>
                    <w:widowControl/>
                    <w:tabs>
                      <w:tab w:val="left" w:pos="0"/>
                      <w:tab w:val="left" w:pos="216"/>
                      <w:tab w:val="left" w:pos="432"/>
                      <w:tab w:val="left" w:pos="648"/>
                      <w:tab w:val="left" w:pos="864"/>
                      <w:tab w:val="left" w:pos="1080"/>
                      <w:tab w:val="left" w:pos="1296"/>
                      <w:tab w:val="left" w:pos="1512"/>
                      <w:tab w:val="left" w:pos="1728"/>
                      <w:tab w:val="left" w:pos="1944"/>
                    </w:tabs>
                    <w:suppressAutoHyphens/>
                    <w:spacing w:after="20"/>
                    <w:jc w:val="center"/>
                    <w:rPr>
                      <w:b/>
                      <w:bCs/>
                      <w:sz w:val="19"/>
                      <w:szCs w:val="19"/>
                      <w:lang w:val="en-GB" w:eastAsia="en-GB" w:bidi="ar-SA"/>
                    </w:rPr>
                  </w:pPr>
                </w:p>
              </w:tc>
              <w:tc>
                <w:tcPr>
                  <w:tcW w:w="648" w:type="pct"/>
                  <w:tcBorders>
                    <w:top w:val="nil"/>
                    <w:left w:val="nil"/>
                    <w:bottom w:val="nil"/>
                    <w:right w:val="nil"/>
                  </w:tcBorders>
                  <w:vAlign w:val="bottom"/>
                </w:tcPr>
                <w:p w14:paraId="48A557E8" w14:textId="13E0D7F4" w:rsidR="00542FF4" w:rsidRPr="00571974" w:rsidRDefault="003D4D89" w:rsidP="00AD604D">
                  <w:pPr>
                    <w:widowControl/>
                    <w:pBdr>
                      <w:bottom w:val="single" w:sz="4" w:space="0" w:color="auto"/>
                    </w:pBdr>
                    <w:tabs>
                      <w:tab w:val="left" w:pos="0"/>
                      <w:tab w:val="left" w:pos="216"/>
                      <w:tab w:val="left" w:pos="432"/>
                      <w:tab w:val="left" w:pos="648"/>
                      <w:tab w:val="left" w:pos="864"/>
                      <w:tab w:val="left" w:pos="1080"/>
                      <w:tab w:val="left" w:pos="1296"/>
                      <w:tab w:val="left" w:pos="1512"/>
                      <w:tab w:val="left" w:pos="1728"/>
                      <w:tab w:val="left" w:pos="1944"/>
                    </w:tabs>
                    <w:suppressAutoHyphens/>
                    <w:spacing w:after="20"/>
                    <w:rPr>
                      <w:b/>
                      <w:bCs/>
                      <w:sz w:val="19"/>
                      <w:szCs w:val="19"/>
                      <w:lang w:val="en-GB" w:eastAsia="en-GB" w:bidi="ar-SA"/>
                    </w:rPr>
                  </w:pPr>
                  <w:r w:rsidRPr="00571974">
                    <w:rPr>
                      <w:b/>
                      <w:bCs/>
                      <w:sz w:val="19"/>
                      <w:szCs w:val="19"/>
                      <w:lang w:val="en-GB" w:eastAsia="en-GB" w:bidi="ar-SA"/>
                    </w:rPr>
                    <w:t>Page</w:t>
                  </w:r>
                </w:p>
              </w:tc>
            </w:tr>
            <w:tr w:rsidR="002228B8" w14:paraId="3F314501" w14:textId="77777777" w:rsidTr="00914A1E">
              <w:trPr>
                <w:cantSplit/>
                <w:jc w:val="center"/>
              </w:trPr>
              <w:tc>
                <w:tcPr>
                  <w:tcW w:w="4352" w:type="pct"/>
                  <w:tcBorders>
                    <w:top w:val="nil"/>
                    <w:left w:val="nil"/>
                    <w:bottom w:val="nil"/>
                    <w:right w:val="nil"/>
                  </w:tcBorders>
                </w:tcPr>
                <w:p w14:paraId="0E6B8821" w14:textId="27FF014F"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IMPORTANT INFORMATION</w:t>
                  </w:r>
                  <w:r w:rsidRPr="00571974">
                    <w:rPr>
                      <w:sz w:val="19"/>
                      <w:szCs w:val="19"/>
                      <w:lang w:val="en-GB" w:eastAsia="en-GB" w:bidi="ar-SA"/>
                    </w:rPr>
                    <w:tab/>
                  </w:r>
                </w:p>
              </w:tc>
              <w:tc>
                <w:tcPr>
                  <w:tcW w:w="648" w:type="pct"/>
                  <w:tcBorders>
                    <w:top w:val="nil"/>
                    <w:left w:val="nil"/>
                    <w:bottom w:val="nil"/>
                    <w:right w:val="nil"/>
                  </w:tcBorders>
                </w:tcPr>
                <w:p w14:paraId="4E521D0C" w14:textId="6A18729D" w:rsidR="00542FF4" w:rsidRPr="00571974" w:rsidRDefault="0012220B" w:rsidP="007C63D0">
                  <w:pPr>
                    <w:tabs>
                      <w:tab w:val="left" w:leader="dot" w:pos="4320"/>
                    </w:tabs>
                    <w:rPr>
                      <w:sz w:val="19"/>
                      <w:szCs w:val="19"/>
                      <w:lang w:val="en-GB" w:eastAsia="en-GB" w:bidi="ar-SA"/>
                    </w:rPr>
                  </w:pPr>
                  <w:r>
                    <w:rPr>
                      <w:sz w:val="19"/>
                      <w:szCs w:val="19"/>
                      <w:lang w:val="en-GB" w:eastAsia="en-GB" w:bidi="ar-SA"/>
                    </w:rPr>
                    <w:t>4</w:t>
                  </w:r>
                </w:p>
              </w:tc>
            </w:tr>
            <w:tr w:rsidR="002228B8" w14:paraId="09CB2A9B" w14:textId="77777777" w:rsidTr="00914A1E">
              <w:trPr>
                <w:cantSplit/>
                <w:jc w:val="center"/>
              </w:trPr>
              <w:tc>
                <w:tcPr>
                  <w:tcW w:w="4352" w:type="pct"/>
                  <w:tcBorders>
                    <w:top w:val="nil"/>
                    <w:left w:val="nil"/>
                    <w:bottom w:val="nil"/>
                    <w:right w:val="nil"/>
                  </w:tcBorders>
                </w:tcPr>
                <w:p w14:paraId="60310390" w14:textId="77777777"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PRESENTATION OF FINANCIAL INFORMATION</w:t>
                  </w:r>
                  <w:r w:rsidRPr="00571974">
                    <w:rPr>
                      <w:sz w:val="19"/>
                      <w:szCs w:val="19"/>
                      <w:lang w:val="en-GB" w:eastAsia="en-GB" w:bidi="ar-SA"/>
                    </w:rPr>
                    <w:tab/>
                  </w:r>
                </w:p>
              </w:tc>
              <w:tc>
                <w:tcPr>
                  <w:tcW w:w="648" w:type="pct"/>
                  <w:tcBorders>
                    <w:top w:val="nil"/>
                    <w:left w:val="nil"/>
                    <w:bottom w:val="nil"/>
                    <w:right w:val="nil"/>
                  </w:tcBorders>
                </w:tcPr>
                <w:p w14:paraId="5362A119" w14:textId="64F1E860" w:rsidR="00542FF4" w:rsidRPr="00571974" w:rsidRDefault="0069562C" w:rsidP="007C63D0">
                  <w:pPr>
                    <w:tabs>
                      <w:tab w:val="left" w:leader="dot" w:pos="4320"/>
                    </w:tabs>
                    <w:rPr>
                      <w:sz w:val="19"/>
                      <w:szCs w:val="19"/>
                      <w:lang w:val="en-GB" w:eastAsia="en-GB" w:bidi="ar-SA"/>
                    </w:rPr>
                  </w:pPr>
                  <w:r>
                    <w:rPr>
                      <w:sz w:val="19"/>
                      <w:szCs w:val="19"/>
                      <w:lang w:val="en-GB" w:eastAsia="en-GB" w:bidi="ar-SA"/>
                    </w:rPr>
                    <w:t>9</w:t>
                  </w:r>
                </w:p>
              </w:tc>
            </w:tr>
            <w:tr w:rsidR="002228B8" w14:paraId="02433C9F" w14:textId="77777777" w:rsidTr="00914A1E">
              <w:trPr>
                <w:cantSplit/>
                <w:jc w:val="center"/>
              </w:trPr>
              <w:tc>
                <w:tcPr>
                  <w:tcW w:w="4352" w:type="pct"/>
                  <w:tcBorders>
                    <w:top w:val="nil"/>
                    <w:left w:val="nil"/>
                    <w:bottom w:val="nil"/>
                    <w:right w:val="nil"/>
                  </w:tcBorders>
                </w:tcPr>
                <w:p w14:paraId="4DDB5A36" w14:textId="77777777"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INCORPORATION OF CERTAIN INFORMATION BY REFERENCE</w:t>
                  </w:r>
                  <w:r w:rsidRPr="00571974">
                    <w:rPr>
                      <w:sz w:val="19"/>
                      <w:szCs w:val="19"/>
                      <w:lang w:val="en-GB" w:eastAsia="en-GB" w:bidi="ar-SA"/>
                    </w:rPr>
                    <w:tab/>
                  </w:r>
                </w:p>
              </w:tc>
              <w:tc>
                <w:tcPr>
                  <w:tcW w:w="648" w:type="pct"/>
                  <w:tcBorders>
                    <w:top w:val="nil"/>
                    <w:left w:val="nil"/>
                    <w:bottom w:val="nil"/>
                    <w:right w:val="nil"/>
                  </w:tcBorders>
                  <w:vAlign w:val="bottom"/>
                </w:tcPr>
                <w:p w14:paraId="487316EC" w14:textId="2409854F" w:rsidR="00542FF4" w:rsidRPr="00571974" w:rsidRDefault="0069562C" w:rsidP="0044643D">
                  <w:pPr>
                    <w:tabs>
                      <w:tab w:val="left" w:leader="dot" w:pos="4320"/>
                    </w:tabs>
                    <w:rPr>
                      <w:sz w:val="19"/>
                      <w:szCs w:val="19"/>
                      <w:lang w:val="en-GB" w:eastAsia="en-GB" w:bidi="ar-SA"/>
                    </w:rPr>
                  </w:pPr>
                  <w:r>
                    <w:rPr>
                      <w:sz w:val="19"/>
                      <w:szCs w:val="19"/>
                      <w:lang w:val="en-GB" w:eastAsia="en-GB" w:bidi="ar-SA"/>
                    </w:rPr>
                    <w:t>14</w:t>
                  </w:r>
                </w:p>
              </w:tc>
            </w:tr>
            <w:tr w:rsidR="002228B8" w14:paraId="2586A989" w14:textId="77777777" w:rsidTr="00914A1E">
              <w:trPr>
                <w:cantSplit/>
                <w:jc w:val="center"/>
              </w:trPr>
              <w:tc>
                <w:tcPr>
                  <w:tcW w:w="4352" w:type="pct"/>
                  <w:tcBorders>
                    <w:top w:val="nil"/>
                    <w:left w:val="nil"/>
                    <w:bottom w:val="nil"/>
                    <w:right w:val="nil"/>
                  </w:tcBorders>
                </w:tcPr>
                <w:p w14:paraId="68794DEA" w14:textId="77777777"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OVERVIEW</w:t>
                  </w:r>
                  <w:r w:rsidRPr="00571974">
                    <w:rPr>
                      <w:sz w:val="19"/>
                      <w:szCs w:val="19"/>
                      <w:lang w:val="en-GB" w:eastAsia="en-GB" w:bidi="ar-SA"/>
                    </w:rPr>
                    <w:tab/>
                  </w:r>
                </w:p>
              </w:tc>
              <w:tc>
                <w:tcPr>
                  <w:tcW w:w="648" w:type="pct"/>
                  <w:tcBorders>
                    <w:top w:val="nil"/>
                    <w:left w:val="nil"/>
                    <w:bottom w:val="nil"/>
                    <w:right w:val="nil"/>
                  </w:tcBorders>
                </w:tcPr>
                <w:p w14:paraId="10AF0605" w14:textId="0768B4F6" w:rsidR="00542FF4" w:rsidRPr="00571974" w:rsidRDefault="0069562C" w:rsidP="00027FB3">
                  <w:pPr>
                    <w:tabs>
                      <w:tab w:val="left" w:leader="dot" w:pos="4320"/>
                    </w:tabs>
                    <w:rPr>
                      <w:sz w:val="19"/>
                      <w:szCs w:val="19"/>
                      <w:lang w:val="en-GB" w:eastAsia="en-GB" w:bidi="ar-SA"/>
                    </w:rPr>
                  </w:pPr>
                  <w:r>
                    <w:rPr>
                      <w:sz w:val="19"/>
                      <w:szCs w:val="19"/>
                      <w:lang w:val="en-GB" w:eastAsia="en-GB" w:bidi="ar-SA"/>
                    </w:rPr>
                    <w:t>16</w:t>
                  </w:r>
                </w:p>
              </w:tc>
            </w:tr>
            <w:tr w:rsidR="002228B8" w14:paraId="1F6C705F" w14:textId="77777777" w:rsidTr="00914A1E">
              <w:trPr>
                <w:cantSplit/>
                <w:jc w:val="center"/>
              </w:trPr>
              <w:tc>
                <w:tcPr>
                  <w:tcW w:w="4352" w:type="pct"/>
                  <w:tcBorders>
                    <w:top w:val="nil"/>
                    <w:left w:val="nil"/>
                    <w:bottom w:val="nil"/>
                    <w:right w:val="nil"/>
                  </w:tcBorders>
                </w:tcPr>
                <w:p w14:paraId="3A22BDB1" w14:textId="77777777"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SUMMARY FINANCIAL INFORMATION</w:t>
                  </w:r>
                  <w:r w:rsidRPr="00571974">
                    <w:rPr>
                      <w:sz w:val="19"/>
                      <w:szCs w:val="19"/>
                      <w:lang w:val="en-GB" w:eastAsia="en-GB" w:bidi="ar-SA"/>
                    </w:rPr>
                    <w:tab/>
                  </w:r>
                </w:p>
              </w:tc>
              <w:tc>
                <w:tcPr>
                  <w:tcW w:w="648" w:type="pct"/>
                  <w:tcBorders>
                    <w:top w:val="nil"/>
                    <w:left w:val="nil"/>
                    <w:bottom w:val="nil"/>
                    <w:right w:val="nil"/>
                  </w:tcBorders>
                </w:tcPr>
                <w:p w14:paraId="61D40FBB" w14:textId="4F4E8352" w:rsidR="00542FF4" w:rsidRPr="00571974" w:rsidRDefault="0069562C" w:rsidP="007C63D0">
                  <w:pPr>
                    <w:tabs>
                      <w:tab w:val="left" w:leader="dot" w:pos="4320"/>
                    </w:tabs>
                    <w:rPr>
                      <w:sz w:val="19"/>
                      <w:szCs w:val="19"/>
                      <w:lang w:val="en-GB" w:eastAsia="en-GB" w:bidi="ar-SA"/>
                    </w:rPr>
                  </w:pPr>
                  <w:r>
                    <w:rPr>
                      <w:sz w:val="19"/>
                      <w:szCs w:val="19"/>
                      <w:lang w:val="en-GB" w:eastAsia="en-GB" w:bidi="ar-SA"/>
                    </w:rPr>
                    <w:t>23</w:t>
                  </w:r>
                </w:p>
              </w:tc>
            </w:tr>
            <w:tr w:rsidR="002228B8" w14:paraId="2BE74990" w14:textId="77777777" w:rsidTr="00914A1E">
              <w:trPr>
                <w:cantSplit/>
                <w:jc w:val="center"/>
              </w:trPr>
              <w:tc>
                <w:tcPr>
                  <w:tcW w:w="4352" w:type="pct"/>
                  <w:tcBorders>
                    <w:top w:val="nil"/>
                    <w:left w:val="nil"/>
                    <w:bottom w:val="nil"/>
                    <w:right w:val="nil"/>
                  </w:tcBorders>
                </w:tcPr>
                <w:p w14:paraId="1E1FB485" w14:textId="77777777"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RISK FACTORS</w:t>
                  </w:r>
                  <w:r w:rsidRPr="00571974">
                    <w:rPr>
                      <w:sz w:val="19"/>
                      <w:szCs w:val="19"/>
                      <w:lang w:val="en-GB" w:eastAsia="en-GB" w:bidi="ar-SA"/>
                    </w:rPr>
                    <w:tab/>
                  </w:r>
                </w:p>
              </w:tc>
              <w:tc>
                <w:tcPr>
                  <w:tcW w:w="648" w:type="pct"/>
                  <w:tcBorders>
                    <w:top w:val="nil"/>
                    <w:left w:val="nil"/>
                    <w:bottom w:val="nil"/>
                    <w:right w:val="nil"/>
                  </w:tcBorders>
                </w:tcPr>
                <w:p w14:paraId="415D1B26" w14:textId="5ED9291F" w:rsidR="00542FF4" w:rsidRPr="00571974" w:rsidRDefault="0069562C" w:rsidP="007C63D0">
                  <w:pPr>
                    <w:tabs>
                      <w:tab w:val="left" w:leader="dot" w:pos="4320"/>
                    </w:tabs>
                    <w:rPr>
                      <w:sz w:val="19"/>
                      <w:szCs w:val="19"/>
                      <w:lang w:val="en-GB" w:eastAsia="en-GB" w:bidi="ar-SA"/>
                    </w:rPr>
                  </w:pPr>
                  <w:r>
                    <w:rPr>
                      <w:sz w:val="19"/>
                      <w:szCs w:val="19"/>
                      <w:lang w:val="en-GB" w:eastAsia="en-GB" w:bidi="ar-SA"/>
                    </w:rPr>
                    <w:t>24</w:t>
                  </w:r>
                </w:p>
              </w:tc>
            </w:tr>
            <w:tr w:rsidR="002228B8" w14:paraId="728A7A97" w14:textId="77777777" w:rsidTr="00914A1E">
              <w:trPr>
                <w:cantSplit/>
                <w:jc w:val="center"/>
              </w:trPr>
              <w:tc>
                <w:tcPr>
                  <w:tcW w:w="4352" w:type="pct"/>
                  <w:tcBorders>
                    <w:top w:val="nil"/>
                    <w:left w:val="nil"/>
                    <w:bottom w:val="nil"/>
                    <w:right w:val="nil"/>
                  </w:tcBorders>
                </w:tcPr>
                <w:p w14:paraId="62FDDB19" w14:textId="77777777" w:rsidR="00542FF4" w:rsidRPr="00571974" w:rsidRDefault="003D4D89" w:rsidP="00914A1E">
                  <w:pPr>
                    <w:tabs>
                      <w:tab w:val="left" w:leader="dot" w:pos="4290"/>
                    </w:tabs>
                    <w:rPr>
                      <w:sz w:val="19"/>
                      <w:szCs w:val="19"/>
                      <w:lang w:val="en-GB" w:eastAsia="en-GB" w:bidi="ar-SA"/>
                    </w:rPr>
                  </w:pPr>
                  <w:r w:rsidRPr="00571974">
                    <w:rPr>
                      <w:sz w:val="19"/>
                      <w:szCs w:val="19"/>
                      <w:lang w:val="en-GB" w:eastAsia="en-GB" w:bidi="ar-SA"/>
                    </w:rPr>
                    <w:t>CAPITALIZATION</w:t>
                  </w:r>
                  <w:r w:rsidRPr="00571974">
                    <w:rPr>
                      <w:sz w:val="19"/>
                      <w:szCs w:val="19"/>
                      <w:lang w:val="en-GB" w:eastAsia="en-GB" w:bidi="ar-SA"/>
                    </w:rPr>
                    <w:tab/>
                  </w:r>
                </w:p>
              </w:tc>
              <w:tc>
                <w:tcPr>
                  <w:tcW w:w="648" w:type="pct"/>
                  <w:tcBorders>
                    <w:top w:val="nil"/>
                    <w:left w:val="nil"/>
                    <w:bottom w:val="nil"/>
                    <w:right w:val="nil"/>
                  </w:tcBorders>
                </w:tcPr>
                <w:p w14:paraId="3FCB3A5B" w14:textId="613628C9" w:rsidR="00542FF4" w:rsidRPr="00571974" w:rsidRDefault="0069562C" w:rsidP="007C63D0">
                  <w:pPr>
                    <w:tabs>
                      <w:tab w:val="left" w:leader="dot" w:pos="4320"/>
                    </w:tabs>
                    <w:rPr>
                      <w:sz w:val="19"/>
                      <w:szCs w:val="19"/>
                      <w:lang w:val="en-GB" w:eastAsia="en-GB" w:bidi="ar-SA"/>
                    </w:rPr>
                  </w:pPr>
                  <w:r>
                    <w:rPr>
                      <w:sz w:val="19"/>
                      <w:szCs w:val="19"/>
                      <w:lang w:val="en-GB" w:eastAsia="en-GB" w:bidi="ar-SA"/>
                    </w:rPr>
                    <w:t>36</w:t>
                  </w:r>
                </w:p>
              </w:tc>
            </w:tr>
            <w:tr w:rsidR="002228B8" w14:paraId="6451AF03" w14:textId="77777777" w:rsidTr="00914A1E">
              <w:trPr>
                <w:cantSplit/>
                <w:jc w:val="center"/>
              </w:trPr>
              <w:tc>
                <w:tcPr>
                  <w:tcW w:w="4352" w:type="pct"/>
                  <w:tcBorders>
                    <w:top w:val="nil"/>
                    <w:left w:val="nil"/>
                    <w:bottom w:val="nil"/>
                    <w:right w:val="nil"/>
                  </w:tcBorders>
                </w:tcPr>
                <w:p w14:paraId="458DE246"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RECENT DEVELOPMENTS</w:t>
                  </w:r>
                  <w:r w:rsidRPr="00571974">
                    <w:rPr>
                      <w:sz w:val="19"/>
                      <w:szCs w:val="19"/>
                      <w:lang w:val="en-GB" w:eastAsia="en-GB" w:bidi="ar-SA"/>
                    </w:rPr>
                    <w:tab/>
                  </w:r>
                </w:p>
              </w:tc>
              <w:tc>
                <w:tcPr>
                  <w:tcW w:w="648" w:type="pct"/>
                  <w:tcBorders>
                    <w:top w:val="nil"/>
                    <w:left w:val="nil"/>
                    <w:bottom w:val="nil"/>
                    <w:right w:val="nil"/>
                  </w:tcBorders>
                </w:tcPr>
                <w:p w14:paraId="6F2E752A" w14:textId="7154BDF0" w:rsidR="00644E28" w:rsidRPr="00571974" w:rsidRDefault="0069562C" w:rsidP="00644E28">
                  <w:pPr>
                    <w:tabs>
                      <w:tab w:val="left" w:leader="dot" w:pos="4320"/>
                    </w:tabs>
                    <w:rPr>
                      <w:sz w:val="19"/>
                      <w:szCs w:val="19"/>
                      <w:lang w:val="en-GB" w:eastAsia="en-GB" w:bidi="ar-SA"/>
                    </w:rPr>
                  </w:pPr>
                  <w:r>
                    <w:rPr>
                      <w:sz w:val="19"/>
                      <w:szCs w:val="19"/>
                      <w:lang w:val="en-GB" w:eastAsia="en-GB" w:bidi="ar-SA"/>
                    </w:rPr>
                    <w:t>37</w:t>
                  </w:r>
                </w:p>
              </w:tc>
            </w:tr>
            <w:tr w:rsidR="002228B8" w14:paraId="0D2A1E01" w14:textId="77777777" w:rsidTr="00914A1E">
              <w:trPr>
                <w:cantSplit/>
                <w:jc w:val="center"/>
              </w:trPr>
              <w:tc>
                <w:tcPr>
                  <w:tcW w:w="4352" w:type="pct"/>
                  <w:tcBorders>
                    <w:top w:val="nil"/>
                    <w:left w:val="nil"/>
                    <w:bottom w:val="nil"/>
                    <w:right w:val="nil"/>
                  </w:tcBorders>
                </w:tcPr>
                <w:p w14:paraId="2CB3EF84"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USE OF PROCEEDS</w:t>
                  </w:r>
                  <w:r w:rsidRPr="00571974">
                    <w:rPr>
                      <w:sz w:val="19"/>
                      <w:szCs w:val="19"/>
                      <w:lang w:val="en-GB" w:eastAsia="en-GB" w:bidi="ar-SA"/>
                    </w:rPr>
                    <w:tab/>
                  </w:r>
                </w:p>
              </w:tc>
              <w:tc>
                <w:tcPr>
                  <w:tcW w:w="648" w:type="pct"/>
                  <w:tcBorders>
                    <w:top w:val="nil"/>
                    <w:left w:val="nil"/>
                    <w:bottom w:val="nil"/>
                    <w:right w:val="nil"/>
                  </w:tcBorders>
                </w:tcPr>
                <w:p w14:paraId="0DF8643D" w14:textId="022187A7" w:rsidR="00644E28" w:rsidRPr="00571974" w:rsidRDefault="00786296" w:rsidP="00644E28">
                  <w:pPr>
                    <w:tabs>
                      <w:tab w:val="left" w:leader="dot" w:pos="4320"/>
                    </w:tabs>
                    <w:rPr>
                      <w:sz w:val="19"/>
                      <w:szCs w:val="19"/>
                      <w:lang w:val="en-GB" w:eastAsia="en-GB" w:bidi="ar-SA"/>
                    </w:rPr>
                  </w:pPr>
                  <w:r>
                    <w:rPr>
                      <w:sz w:val="19"/>
                      <w:szCs w:val="19"/>
                      <w:lang w:val="en-GB" w:eastAsia="en-GB" w:bidi="ar-SA"/>
                    </w:rPr>
                    <w:t>39</w:t>
                  </w:r>
                </w:p>
              </w:tc>
            </w:tr>
            <w:tr w:rsidR="002228B8" w14:paraId="4D2F68E1" w14:textId="77777777" w:rsidTr="00914A1E">
              <w:trPr>
                <w:cantSplit/>
                <w:jc w:val="center"/>
              </w:trPr>
              <w:tc>
                <w:tcPr>
                  <w:tcW w:w="4352" w:type="pct"/>
                  <w:tcBorders>
                    <w:top w:val="nil"/>
                    <w:left w:val="nil"/>
                    <w:bottom w:val="nil"/>
                    <w:right w:val="nil"/>
                  </w:tcBorders>
                </w:tcPr>
                <w:p w14:paraId="23CDB56D"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BUSINESS DESCRIPTION</w:t>
                  </w:r>
                  <w:r w:rsidRPr="00571974">
                    <w:rPr>
                      <w:sz w:val="19"/>
                      <w:szCs w:val="19"/>
                      <w:lang w:val="en-GB" w:eastAsia="en-GB" w:bidi="ar-SA"/>
                    </w:rPr>
                    <w:tab/>
                  </w:r>
                </w:p>
              </w:tc>
              <w:tc>
                <w:tcPr>
                  <w:tcW w:w="648" w:type="pct"/>
                  <w:tcBorders>
                    <w:top w:val="nil"/>
                    <w:left w:val="nil"/>
                    <w:bottom w:val="nil"/>
                    <w:right w:val="nil"/>
                  </w:tcBorders>
                </w:tcPr>
                <w:p w14:paraId="25B5DEC1" w14:textId="29B60B5B" w:rsidR="00644E28" w:rsidRPr="00571974" w:rsidRDefault="00786296" w:rsidP="00644E28">
                  <w:pPr>
                    <w:tabs>
                      <w:tab w:val="left" w:leader="dot" w:pos="4320"/>
                    </w:tabs>
                    <w:rPr>
                      <w:sz w:val="19"/>
                      <w:szCs w:val="19"/>
                      <w:lang w:val="en-GB" w:eastAsia="en-GB" w:bidi="ar-SA"/>
                    </w:rPr>
                  </w:pPr>
                  <w:r>
                    <w:rPr>
                      <w:sz w:val="19"/>
                      <w:szCs w:val="19"/>
                      <w:lang w:val="en-GB" w:eastAsia="en-GB" w:bidi="ar-SA"/>
                    </w:rPr>
                    <w:t>40</w:t>
                  </w:r>
                </w:p>
              </w:tc>
            </w:tr>
            <w:tr w:rsidR="002228B8" w14:paraId="47541F0D" w14:textId="77777777" w:rsidTr="00914A1E">
              <w:trPr>
                <w:cantSplit/>
                <w:jc w:val="center"/>
              </w:trPr>
              <w:tc>
                <w:tcPr>
                  <w:tcW w:w="4352" w:type="pct"/>
                  <w:tcBorders>
                    <w:top w:val="nil"/>
                    <w:left w:val="nil"/>
                    <w:bottom w:val="nil"/>
                    <w:right w:val="nil"/>
                  </w:tcBorders>
                </w:tcPr>
                <w:p w14:paraId="2ED7669E" w14:textId="77777777" w:rsidR="00B65FFA" w:rsidRPr="00571974" w:rsidRDefault="003D4D89" w:rsidP="00914A1E">
                  <w:pPr>
                    <w:tabs>
                      <w:tab w:val="left" w:leader="dot" w:pos="4290"/>
                    </w:tabs>
                    <w:rPr>
                      <w:sz w:val="19"/>
                      <w:szCs w:val="19"/>
                      <w:lang w:val="en-GB" w:eastAsia="en-GB" w:bidi="ar-SA"/>
                    </w:rPr>
                  </w:pPr>
                  <w:r w:rsidRPr="00571974">
                    <w:rPr>
                      <w:sz w:val="19"/>
                      <w:szCs w:val="19"/>
                      <w:lang w:val="en-GB" w:eastAsia="en-GB" w:bidi="ar-SA"/>
                    </w:rPr>
                    <w:t>MINERAL PRODUCTION</w:t>
                  </w:r>
                  <w:r w:rsidR="003F6DFE" w:rsidRPr="00571974">
                    <w:rPr>
                      <w:sz w:val="19"/>
                      <w:szCs w:val="19"/>
                      <w:lang w:val="en-GB" w:eastAsia="en-GB" w:bidi="ar-SA"/>
                    </w:rPr>
                    <w:tab/>
                  </w:r>
                </w:p>
              </w:tc>
              <w:tc>
                <w:tcPr>
                  <w:tcW w:w="648" w:type="pct"/>
                  <w:tcBorders>
                    <w:top w:val="nil"/>
                    <w:left w:val="nil"/>
                    <w:bottom w:val="nil"/>
                    <w:right w:val="nil"/>
                  </w:tcBorders>
                </w:tcPr>
                <w:p w14:paraId="18887DF0" w14:textId="2037EBF2" w:rsidR="00B65FFA" w:rsidRPr="00571974" w:rsidRDefault="0069562C" w:rsidP="00644E28">
                  <w:pPr>
                    <w:tabs>
                      <w:tab w:val="left" w:leader="dot" w:pos="4320"/>
                    </w:tabs>
                    <w:rPr>
                      <w:sz w:val="19"/>
                      <w:szCs w:val="19"/>
                      <w:lang w:val="en-GB" w:eastAsia="en-GB" w:bidi="ar-SA"/>
                    </w:rPr>
                  </w:pPr>
                  <w:r>
                    <w:rPr>
                      <w:sz w:val="19"/>
                      <w:szCs w:val="19"/>
                      <w:lang w:val="en-GB" w:eastAsia="en-GB" w:bidi="ar-SA"/>
                    </w:rPr>
                    <w:t>5</w:t>
                  </w:r>
                  <w:r w:rsidR="00786296">
                    <w:rPr>
                      <w:sz w:val="19"/>
                      <w:szCs w:val="19"/>
                      <w:lang w:val="en-GB" w:eastAsia="en-GB" w:bidi="ar-SA"/>
                    </w:rPr>
                    <w:t>5</w:t>
                  </w:r>
                </w:p>
              </w:tc>
            </w:tr>
            <w:tr w:rsidR="002228B8" w14:paraId="0C9C0CBF" w14:textId="77777777" w:rsidTr="00914A1E">
              <w:trPr>
                <w:cantSplit/>
                <w:jc w:val="center"/>
              </w:trPr>
              <w:tc>
                <w:tcPr>
                  <w:tcW w:w="4352" w:type="pct"/>
                  <w:tcBorders>
                    <w:top w:val="nil"/>
                    <w:left w:val="nil"/>
                    <w:bottom w:val="nil"/>
                    <w:right w:val="nil"/>
                  </w:tcBorders>
                </w:tcPr>
                <w:p w14:paraId="01381EC7" w14:textId="740010A5"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INDUSTRY OVERVIEW</w:t>
                  </w:r>
                  <w:r w:rsidRPr="00571974">
                    <w:rPr>
                      <w:sz w:val="19"/>
                      <w:szCs w:val="19"/>
                      <w:lang w:val="en-GB" w:eastAsia="en-GB" w:bidi="ar-SA"/>
                    </w:rPr>
                    <w:tab/>
                  </w:r>
                </w:p>
              </w:tc>
              <w:tc>
                <w:tcPr>
                  <w:tcW w:w="648" w:type="pct"/>
                  <w:tcBorders>
                    <w:top w:val="nil"/>
                    <w:left w:val="nil"/>
                    <w:bottom w:val="nil"/>
                    <w:right w:val="nil"/>
                  </w:tcBorders>
                </w:tcPr>
                <w:p w14:paraId="61015EBB" w14:textId="723A42A1" w:rsidR="00644E28" w:rsidRPr="00571974" w:rsidRDefault="0069562C" w:rsidP="00644E28">
                  <w:pPr>
                    <w:tabs>
                      <w:tab w:val="left" w:leader="dot" w:pos="4320"/>
                    </w:tabs>
                    <w:rPr>
                      <w:sz w:val="19"/>
                      <w:szCs w:val="19"/>
                      <w:lang w:val="en-GB" w:eastAsia="en-GB" w:bidi="ar-SA"/>
                    </w:rPr>
                  </w:pPr>
                  <w:r>
                    <w:rPr>
                      <w:sz w:val="19"/>
                      <w:szCs w:val="19"/>
                      <w:lang w:val="en-GB" w:eastAsia="en-GB" w:bidi="ar-SA"/>
                    </w:rPr>
                    <w:t>5</w:t>
                  </w:r>
                  <w:r w:rsidR="00786296">
                    <w:rPr>
                      <w:sz w:val="19"/>
                      <w:szCs w:val="19"/>
                      <w:lang w:val="en-GB" w:eastAsia="en-GB" w:bidi="ar-SA"/>
                    </w:rPr>
                    <w:t>7</w:t>
                  </w:r>
                </w:p>
              </w:tc>
            </w:tr>
            <w:tr w:rsidR="002228B8" w14:paraId="1EBC7499" w14:textId="77777777" w:rsidTr="00914A1E">
              <w:trPr>
                <w:cantSplit/>
                <w:jc w:val="center"/>
              </w:trPr>
              <w:tc>
                <w:tcPr>
                  <w:tcW w:w="4352" w:type="pct"/>
                  <w:tcBorders>
                    <w:top w:val="nil"/>
                    <w:left w:val="nil"/>
                    <w:bottom w:val="nil"/>
                    <w:right w:val="nil"/>
                  </w:tcBorders>
                </w:tcPr>
                <w:p w14:paraId="59A1AE09"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SELECTED FINANCIAL INFORMATION</w:t>
                  </w:r>
                  <w:r w:rsidRPr="00571974">
                    <w:rPr>
                      <w:sz w:val="19"/>
                      <w:szCs w:val="19"/>
                      <w:lang w:val="en-GB" w:eastAsia="en-GB" w:bidi="ar-SA"/>
                    </w:rPr>
                    <w:tab/>
                  </w:r>
                </w:p>
              </w:tc>
              <w:tc>
                <w:tcPr>
                  <w:tcW w:w="648" w:type="pct"/>
                  <w:tcBorders>
                    <w:top w:val="nil"/>
                    <w:left w:val="nil"/>
                    <w:bottom w:val="nil"/>
                    <w:right w:val="nil"/>
                  </w:tcBorders>
                </w:tcPr>
                <w:p w14:paraId="2A9E8762" w14:textId="732AB79E" w:rsidR="00644E28" w:rsidRPr="00571974" w:rsidRDefault="00786296" w:rsidP="00644E28">
                  <w:pPr>
                    <w:tabs>
                      <w:tab w:val="left" w:leader="dot" w:pos="4320"/>
                    </w:tabs>
                    <w:rPr>
                      <w:sz w:val="19"/>
                      <w:szCs w:val="19"/>
                      <w:lang w:val="en-GB" w:eastAsia="en-GB" w:bidi="ar-SA"/>
                    </w:rPr>
                  </w:pPr>
                  <w:r>
                    <w:rPr>
                      <w:sz w:val="19"/>
                      <w:szCs w:val="19"/>
                      <w:lang w:val="en-GB" w:eastAsia="en-GB" w:bidi="ar-SA"/>
                    </w:rPr>
                    <w:t>60</w:t>
                  </w:r>
                </w:p>
              </w:tc>
            </w:tr>
            <w:tr w:rsidR="002228B8" w14:paraId="6F4643A1" w14:textId="77777777" w:rsidTr="00914A1E">
              <w:trPr>
                <w:cantSplit/>
                <w:jc w:val="center"/>
              </w:trPr>
              <w:tc>
                <w:tcPr>
                  <w:tcW w:w="4352" w:type="pct"/>
                  <w:tcBorders>
                    <w:top w:val="nil"/>
                    <w:left w:val="nil"/>
                    <w:bottom w:val="nil"/>
                    <w:right w:val="nil"/>
                  </w:tcBorders>
                </w:tcPr>
                <w:p w14:paraId="3ED1DBB0"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OPERATING AND FINANCIAL REVIEW</w:t>
                  </w:r>
                  <w:r w:rsidRPr="00571974">
                    <w:rPr>
                      <w:sz w:val="19"/>
                      <w:szCs w:val="19"/>
                      <w:lang w:val="en-GB" w:eastAsia="en-GB" w:bidi="ar-SA"/>
                    </w:rPr>
                    <w:tab/>
                  </w:r>
                </w:p>
              </w:tc>
              <w:tc>
                <w:tcPr>
                  <w:tcW w:w="648" w:type="pct"/>
                  <w:tcBorders>
                    <w:top w:val="nil"/>
                    <w:left w:val="nil"/>
                    <w:bottom w:val="nil"/>
                    <w:right w:val="nil"/>
                  </w:tcBorders>
                </w:tcPr>
                <w:p w14:paraId="13E5BB11" w14:textId="29899C67" w:rsidR="00644E28" w:rsidRPr="00571974" w:rsidRDefault="00187A2C" w:rsidP="00644E28">
                  <w:pPr>
                    <w:tabs>
                      <w:tab w:val="left" w:leader="dot" w:pos="4320"/>
                    </w:tabs>
                    <w:rPr>
                      <w:sz w:val="19"/>
                      <w:szCs w:val="19"/>
                      <w:lang w:val="en-GB" w:eastAsia="en-GB" w:bidi="ar-SA"/>
                    </w:rPr>
                  </w:pPr>
                  <w:r>
                    <w:rPr>
                      <w:sz w:val="19"/>
                      <w:szCs w:val="19"/>
                      <w:lang w:val="en-GB" w:eastAsia="en-GB" w:bidi="ar-SA"/>
                    </w:rPr>
                    <w:t>61</w:t>
                  </w:r>
                </w:p>
              </w:tc>
            </w:tr>
            <w:tr w:rsidR="002228B8" w14:paraId="3A211574" w14:textId="77777777" w:rsidTr="00914A1E">
              <w:trPr>
                <w:cantSplit/>
                <w:jc w:val="center"/>
              </w:trPr>
              <w:tc>
                <w:tcPr>
                  <w:tcW w:w="4352" w:type="pct"/>
                  <w:tcBorders>
                    <w:top w:val="nil"/>
                    <w:left w:val="nil"/>
                    <w:bottom w:val="nil"/>
                    <w:right w:val="nil"/>
                  </w:tcBorders>
                </w:tcPr>
                <w:p w14:paraId="759D6A20"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REGULATION</w:t>
                  </w:r>
                  <w:r w:rsidRPr="00571974">
                    <w:rPr>
                      <w:sz w:val="19"/>
                      <w:szCs w:val="19"/>
                      <w:lang w:val="en-GB" w:eastAsia="en-GB" w:bidi="ar-SA"/>
                    </w:rPr>
                    <w:tab/>
                  </w:r>
                </w:p>
              </w:tc>
              <w:tc>
                <w:tcPr>
                  <w:tcW w:w="648" w:type="pct"/>
                  <w:tcBorders>
                    <w:top w:val="nil"/>
                    <w:left w:val="nil"/>
                    <w:bottom w:val="nil"/>
                    <w:right w:val="nil"/>
                  </w:tcBorders>
                </w:tcPr>
                <w:p w14:paraId="32FD4A88" w14:textId="5BB15869" w:rsidR="00644E28" w:rsidRPr="00571974" w:rsidRDefault="00187A2C" w:rsidP="00644E28">
                  <w:pPr>
                    <w:tabs>
                      <w:tab w:val="left" w:leader="dot" w:pos="4320"/>
                    </w:tabs>
                    <w:rPr>
                      <w:sz w:val="19"/>
                      <w:szCs w:val="19"/>
                      <w:lang w:val="en-GB" w:eastAsia="en-GB" w:bidi="ar-SA"/>
                    </w:rPr>
                  </w:pPr>
                  <w:r>
                    <w:rPr>
                      <w:sz w:val="19"/>
                      <w:szCs w:val="19"/>
                      <w:lang w:val="en-GB" w:eastAsia="en-GB" w:bidi="ar-SA"/>
                    </w:rPr>
                    <w:t>87</w:t>
                  </w:r>
                </w:p>
              </w:tc>
            </w:tr>
            <w:tr w:rsidR="002228B8" w14:paraId="0F9870BF" w14:textId="77777777" w:rsidTr="00914A1E">
              <w:trPr>
                <w:cantSplit/>
                <w:jc w:val="center"/>
              </w:trPr>
              <w:tc>
                <w:tcPr>
                  <w:tcW w:w="4352" w:type="pct"/>
                  <w:tcBorders>
                    <w:top w:val="nil"/>
                    <w:left w:val="nil"/>
                    <w:bottom w:val="nil"/>
                    <w:right w:val="nil"/>
                  </w:tcBorders>
                </w:tcPr>
                <w:p w14:paraId="2240D903"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SUSTAINABLE DEVELOPMENT</w:t>
                  </w:r>
                  <w:r w:rsidRPr="00571974">
                    <w:rPr>
                      <w:sz w:val="19"/>
                      <w:szCs w:val="19"/>
                      <w:lang w:val="en-GB" w:eastAsia="en-GB" w:bidi="ar-SA"/>
                    </w:rPr>
                    <w:tab/>
                  </w:r>
                </w:p>
              </w:tc>
              <w:tc>
                <w:tcPr>
                  <w:tcW w:w="648" w:type="pct"/>
                  <w:tcBorders>
                    <w:top w:val="nil"/>
                    <w:left w:val="nil"/>
                    <w:bottom w:val="nil"/>
                    <w:right w:val="nil"/>
                  </w:tcBorders>
                </w:tcPr>
                <w:p w14:paraId="2CD201B6" w14:textId="48F55897" w:rsidR="00644E28" w:rsidRPr="00571974" w:rsidRDefault="00187A2C" w:rsidP="00644E28">
                  <w:pPr>
                    <w:tabs>
                      <w:tab w:val="left" w:leader="dot" w:pos="4320"/>
                    </w:tabs>
                    <w:rPr>
                      <w:sz w:val="19"/>
                      <w:szCs w:val="19"/>
                      <w:lang w:val="en-GB" w:eastAsia="en-GB" w:bidi="ar-SA"/>
                    </w:rPr>
                  </w:pPr>
                  <w:r>
                    <w:rPr>
                      <w:sz w:val="19"/>
                      <w:szCs w:val="19"/>
                      <w:lang w:val="en-GB" w:eastAsia="en-GB" w:bidi="ar-SA"/>
                    </w:rPr>
                    <w:t>91</w:t>
                  </w:r>
                </w:p>
              </w:tc>
            </w:tr>
            <w:tr w:rsidR="002228B8" w14:paraId="0ECFC4A6" w14:textId="77777777" w:rsidTr="00914A1E">
              <w:trPr>
                <w:cantSplit/>
                <w:jc w:val="center"/>
              </w:trPr>
              <w:tc>
                <w:tcPr>
                  <w:tcW w:w="4352" w:type="pct"/>
                  <w:tcBorders>
                    <w:top w:val="nil"/>
                    <w:left w:val="nil"/>
                    <w:bottom w:val="nil"/>
                    <w:right w:val="nil"/>
                  </w:tcBorders>
                </w:tcPr>
                <w:p w14:paraId="662A09C1"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BOARD OF DIRECTORS AND MANAGEMENT OF ANGLO AMERICAN PLC</w:t>
                  </w:r>
                  <w:r w:rsidRPr="00571974">
                    <w:rPr>
                      <w:sz w:val="19"/>
                      <w:szCs w:val="19"/>
                      <w:lang w:val="en-GB" w:eastAsia="en-GB" w:bidi="ar-SA"/>
                    </w:rPr>
                    <w:tab/>
                  </w:r>
                </w:p>
              </w:tc>
              <w:tc>
                <w:tcPr>
                  <w:tcW w:w="648" w:type="pct"/>
                  <w:tcBorders>
                    <w:top w:val="nil"/>
                    <w:left w:val="nil"/>
                    <w:bottom w:val="nil"/>
                    <w:right w:val="nil"/>
                  </w:tcBorders>
                  <w:vAlign w:val="bottom"/>
                </w:tcPr>
                <w:p w14:paraId="261F0356" w14:textId="15464B12" w:rsidR="00644E28" w:rsidRPr="00571974" w:rsidRDefault="0069562C" w:rsidP="0044643D">
                  <w:pPr>
                    <w:tabs>
                      <w:tab w:val="left" w:leader="dot" w:pos="4320"/>
                    </w:tabs>
                    <w:rPr>
                      <w:sz w:val="19"/>
                      <w:szCs w:val="19"/>
                      <w:lang w:val="en-GB" w:eastAsia="en-GB" w:bidi="ar-SA"/>
                    </w:rPr>
                  </w:pPr>
                  <w:r>
                    <w:rPr>
                      <w:sz w:val="19"/>
                      <w:szCs w:val="19"/>
                      <w:lang w:val="en-GB" w:eastAsia="en-GB" w:bidi="ar-SA"/>
                    </w:rPr>
                    <w:t>9</w:t>
                  </w:r>
                  <w:r w:rsidR="00187A2C">
                    <w:rPr>
                      <w:sz w:val="19"/>
                      <w:szCs w:val="19"/>
                      <w:lang w:val="en-GB" w:eastAsia="en-GB" w:bidi="ar-SA"/>
                    </w:rPr>
                    <w:t>5</w:t>
                  </w:r>
                </w:p>
              </w:tc>
            </w:tr>
            <w:tr w:rsidR="002228B8" w14:paraId="1FD33E3E" w14:textId="77777777" w:rsidTr="00914A1E">
              <w:trPr>
                <w:cantSplit/>
                <w:jc w:val="center"/>
              </w:trPr>
              <w:tc>
                <w:tcPr>
                  <w:tcW w:w="4352" w:type="pct"/>
                  <w:tcBorders>
                    <w:top w:val="nil"/>
                    <w:left w:val="nil"/>
                    <w:bottom w:val="nil"/>
                    <w:right w:val="nil"/>
                  </w:tcBorders>
                </w:tcPr>
                <w:p w14:paraId="53B7D5F1"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RELATED PARTY TRANSACTIONS</w:t>
                  </w:r>
                  <w:r w:rsidRPr="00571974">
                    <w:rPr>
                      <w:sz w:val="19"/>
                      <w:szCs w:val="19"/>
                      <w:lang w:val="en-GB" w:eastAsia="en-GB" w:bidi="ar-SA"/>
                    </w:rPr>
                    <w:tab/>
                  </w:r>
                </w:p>
              </w:tc>
              <w:tc>
                <w:tcPr>
                  <w:tcW w:w="648" w:type="pct"/>
                  <w:tcBorders>
                    <w:top w:val="nil"/>
                    <w:left w:val="nil"/>
                    <w:bottom w:val="nil"/>
                    <w:right w:val="nil"/>
                  </w:tcBorders>
                </w:tcPr>
                <w:p w14:paraId="4E975CE3" w14:textId="7B048CAE" w:rsidR="00644E28" w:rsidRPr="00571974" w:rsidRDefault="0069562C" w:rsidP="00187A2C">
                  <w:pPr>
                    <w:tabs>
                      <w:tab w:val="left" w:leader="dot" w:pos="4320"/>
                    </w:tabs>
                    <w:rPr>
                      <w:sz w:val="19"/>
                      <w:szCs w:val="19"/>
                      <w:lang w:val="en-GB" w:eastAsia="en-GB" w:bidi="ar-SA"/>
                    </w:rPr>
                  </w:pPr>
                  <w:r>
                    <w:rPr>
                      <w:sz w:val="19"/>
                      <w:szCs w:val="19"/>
                      <w:lang w:val="en-GB" w:eastAsia="en-GB" w:bidi="ar-SA"/>
                    </w:rPr>
                    <w:t>10</w:t>
                  </w:r>
                  <w:r w:rsidR="00187A2C">
                    <w:rPr>
                      <w:sz w:val="19"/>
                      <w:szCs w:val="19"/>
                      <w:lang w:val="en-GB" w:eastAsia="en-GB" w:bidi="ar-SA"/>
                    </w:rPr>
                    <w:t>3</w:t>
                  </w:r>
                </w:p>
              </w:tc>
            </w:tr>
            <w:tr w:rsidR="002228B8" w14:paraId="5AA62E7A" w14:textId="77777777" w:rsidTr="00914A1E">
              <w:trPr>
                <w:cantSplit/>
                <w:jc w:val="center"/>
              </w:trPr>
              <w:tc>
                <w:tcPr>
                  <w:tcW w:w="4352" w:type="pct"/>
                  <w:tcBorders>
                    <w:top w:val="nil"/>
                    <w:left w:val="nil"/>
                    <w:bottom w:val="nil"/>
                    <w:right w:val="nil"/>
                  </w:tcBorders>
                </w:tcPr>
                <w:p w14:paraId="060798D5"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DESCRIPTION OF THE NOTES AND THE GUARANTEES</w:t>
                  </w:r>
                  <w:r w:rsidRPr="00571974">
                    <w:rPr>
                      <w:sz w:val="19"/>
                      <w:szCs w:val="19"/>
                      <w:lang w:val="en-GB" w:eastAsia="en-GB" w:bidi="ar-SA"/>
                    </w:rPr>
                    <w:tab/>
                  </w:r>
                </w:p>
              </w:tc>
              <w:tc>
                <w:tcPr>
                  <w:tcW w:w="648" w:type="pct"/>
                  <w:tcBorders>
                    <w:top w:val="nil"/>
                    <w:left w:val="nil"/>
                    <w:bottom w:val="nil"/>
                    <w:right w:val="nil"/>
                  </w:tcBorders>
                  <w:vAlign w:val="bottom"/>
                </w:tcPr>
                <w:p w14:paraId="6C7EE1B8" w14:textId="582AFA28" w:rsidR="00644E28" w:rsidRPr="00571974" w:rsidRDefault="0069562C" w:rsidP="00187A2C">
                  <w:pPr>
                    <w:tabs>
                      <w:tab w:val="left" w:leader="dot" w:pos="4320"/>
                    </w:tabs>
                    <w:rPr>
                      <w:sz w:val="19"/>
                      <w:szCs w:val="19"/>
                      <w:lang w:val="en-GB" w:eastAsia="en-GB" w:bidi="ar-SA"/>
                    </w:rPr>
                  </w:pPr>
                  <w:r>
                    <w:rPr>
                      <w:sz w:val="19"/>
                      <w:szCs w:val="19"/>
                      <w:lang w:val="en-GB" w:eastAsia="en-GB" w:bidi="ar-SA"/>
                    </w:rPr>
                    <w:t>10</w:t>
                  </w:r>
                  <w:r w:rsidR="00187A2C">
                    <w:rPr>
                      <w:sz w:val="19"/>
                      <w:szCs w:val="19"/>
                      <w:lang w:val="en-GB" w:eastAsia="en-GB" w:bidi="ar-SA"/>
                    </w:rPr>
                    <w:t>5</w:t>
                  </w:r>
                </w:p>
              </w:tc>
            </w:tr>
            <w:tr w:rsidR="002228B8" w14:paraId="3C943AE3" w14:textId="77777777" w:rsidTr="00914A1E">
              <w:trPr>
                <w:cantSplit/>
                <w:jc w:val="center"/>
              </w:trPr>
              <w:tc>
                <w:tcPr>
                  <w:tcW w:w="4352" w:type="pct"/>
                  <w:tcBorders>
                    <w:top w:val="nil"/>
                    <w:left w:val="nil"/>
                    <w:bottom w:val="nil"/>
                    <w:right w:val="nil"/>
                  </w:tcBorders>
                </w:tcPr>
                <w:p w14:paraId="3451E80C"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BOOK-ENTRY SETTLEMENT AND CLEARANCE</w:t>
                  </w:r>
                  <w:r w:rsidRPr="00571974">
                    <w:rPr>
                      <w:sz w:val="19"/>
                      <w:szCs w:val="19"/>
                      <w:lang w:val="en-GB" w:eastAsia="en-GB" w:bidi="ar-SA"/>
                    </w:rPr>
                    <w:tab/>
                  </w:r>
                </w:p>
              </w:tc>
              <w:tc>
                <w:tcPr>
                  <w:tcW w:w="648" w:type="pct"/>
                  <w:tcBorders>
                    <w:top w:val="nil"/>
                    <w:left w:val="nil"/>
                    <w:bottom w:val="nil"/>
                    <w:right w:val="nil"/>
                  </w:tcBorders>
                </w:tcPr>
                <w:p w14:paraId="453FD326" w14:textId="50C2261A" w:rsidR="00644E28" w:rsidRPr="00571974" w:rsidRDefault="0069562C" w:rsidP="00187A2C">
                  <w:pPr>
                    <w:tabs>
                      <w:tab w:val="left" w:leader="dot" w:pos="4320"/>
                    </w:tabs>
                    <w:rPr>
                      <w:sz w:val="19"/>
                      <w:szCs w:val="19"/>
                      <w:lang w:val="en-GB" w:eastAsia="en-GB" w:bidi="ar-SA"/>
                    </w:rPr>
                  </w:pPr>
                  <w:r>
                    <w:rPr>
                      <w:sz w:val="19"/>
                      <w:szCs w:val="19"/>
                      <w:lang w:val="en-GB" w:eastAsia="en-GB" w:bidi="ar-SA"/>
                    </w:rPr>
                    <w:t>12</w:t>
                  </w:r>
                  <w:r w:rsidR="00187A2C">
                    <w:rPr>
                      <w:sz w:val="19"/>
                      <w:szCs w:val="19"/>
                      <w:lang w:val="en-GB" w:eastAsia="en-GB" w:bidi="ar-SA"/>
                    </w:rPr>
                    <w:t>3</w:t>
                  </w:r>
                </w:p>
              </w:tc>
            </w:tr>
            <w:tr w:rsidR="002228B8" w14:paraId="2E159B5A" w14:textId="77777777" w:rsidTr="00914A1E">
              <w:trPr>
                <w:cantSplit/>
                <w:jc w:val="center"/>
              </w:trPr>
              <w:tc>
                <w:tcPr>
                  <w:tcW w:w="4352" w:type="pct"/>
                  <w:tcBorders>
                    <w:top w:val="nil"/>
                    <w:left w:val="nil"/>
                    <w:bottom w:val="nil"/>
                    <w:right w:val="nil"/>
                  </w:tcBorders>
                </w:tcPr>
                <w:p w14:paraId="2DEE94FF" w14:textId="1109F61B" w:rsidR="00644E28" w:rsidRPr="00571974" w:rsidRDefault="003460CD" w:rsidP="00914A1E">
                  <w:pPr>
                    <w:tabs>
                      <w:tab w:val="left" w:leader="dot" w:pos="4290"/>
                    </w:tabs>
                    <w:rPr>
                      <w:sz w:val="19"/>
                      <w:szCs w:val="19"/>
                      <w:lang w:val="en-GB" w:eastAsia="en-GB" w:bidi="ar-SA"/>
                    </w:rPr>
                  </w:pPr>
                  <w:r>
                    <w:rPr>
                      <w:sz w:val="19"/>
                      <w:szCs w:val="19"/>
                      <w:lang w:val="en-GB" w:eastAsia="en-GB" w:bidi="ar-SA"/>
                    </w:rPr>
                    <w:t>TAXATION</w:t>
                  </w:r>
                  <w:r w:rsidR="003D4D89" w:rsidRPr="00571974">
                    <w:rPr>
                      <w:sz w:val="19"/>
                      <w:szCs w:val="19"/>
                      <w:lang w:val="en-GB" w:eastAsia="en-GB" w:bidi="ar-SA"/>
                    </w:rPr>
                    <w:tab/>
                  </w:r>
                </w:p>
              </w:tc>
              <w:tc>
                <w:tcPr>
                  <w:tcW w:w="648" w:type="pct"/>
                  <w:tcBorders>
                    <w:top w:val="nil"/>
                    <w:left w:val="nil"/>
                    <w:bottom w:val="nil"/>
                    <w:right w:val="nil"/>
                  </w:tcBorders>
                  <w:vAlign w:val="bottom"/>
                </w:tcPr>
                <w:p w14:paraId="34D6C378" w14:textId="732C52B6" w:rsidR="00644E28" w:rsidRPr="00571974" w:rsidRDefault="0069562C" w:rsidP="00187A2C">
                  <w:pPr>
                    <w:tabs>
                      <w:tab w:val="left" w:leader="dot" w:pos="4320"/>
                    </w:tabs>
                    <w:rPr>
                      <w:sz w:val="19"/>
                      <w:szCs w:val="19"/>
                      <w:lang w:val="en-GB" w:eastAsia="en-GB" w:bidi="ar-SA"/>
                    </w:rPr>
                  </w:pPr>
                  <w:r>
                    <w:rPr>
                      <w:sz w:val="19"/>
                      <w:szCs w:val="19"/>
                      <w:lang w:val="en-GB" w:eastAsia="en-GB" w:bidi="ar-SA"/>
                    </w:rPr>
                    <w:t>12</w:t>
                  </w:r>
                  <w:r w:rsidR="00187A2C">
                    <w:rPr>
                      <w:sz w:val="19"/>
                      <w:szCs w:val="19"/>
                      <w:lang w:val="en-GB" w:eastAsia="en-GB" w:bidi="ar-SA"/>
                    </w:rPr>
                    <w:t>5</w:t>
                  </w:r>
                </w:p>
              </w:tc>
            </w:tr>
            <w:tr w:rsidR="002228B8" w14:paraId="0ED5E38A" w14:textId="77777777" w:rsidTr="00914A1E">
              <w:trPr>
                <w:cantSplit/>
                <w:jc w:val="center"/>
              </w:trPr>
              <w:tc>
                <w:tcPr>
                  <w:tcW w:w="4352" w:type="pct"/>
                  <w:tcBorders>
                    <w:top w:val="nil"/>
                    <w:left w:val="nil"/>
                    <w:bottom w:val="nil"/>
                    <w:right w:val="nil"/>
                  </w:tcBorders>
                </w:tcPr>
                <w:p w14:paraId="0DF58D7C"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PLAN OF DISTRIBUTION</w:t>
                  </w:r>
                  <w:r w:rsidRPr="00571974">
                    <w:rPr>
                      <w:sz w:val="19"/>
                      <w:szCs w:val="19"/>
                      <w:lang w:val="en-GB" w:eastAsia="en-GB" w:bidi="ar-SA"/>
                    </w:rPr>
                    <w:tab/>
                  </w:r>
                </w:p>
              </w:tc>
              <w:tc>
                <w:tcPr>
                  <w:tcW w:w="648" w:type="pct"/>
                  <w:tcBorders>
                    <w:top w:val="nil"/>
                    <w:left w:val="nil"/>
                    <w:bottom w:val="nil"/>
                    <w:right w:val="nil"/>
                  </w:tcBorders>
                </w:tcPr>
                <w:p w14:paraId="204193F5" w14:textId="6D54CAB6" w:rsidR="00644E28" w:rsidRPr="00571974" w:rsidRDefault="0069562C" w:rsidP="00027FB3">
                  <w:pPr>
                    <w:tabs>
                      <w:tab w:val="left" w:leader="dot" w:pos="4320"/>
                    </w:tabs>
                    <w:rPr>
                      <w:sz w:val="19"/>
                      <w:szCs w:val="19"/>
                      <w:lang w:val="en-GB" w:eastAsia="en-GB" w:bidi="ar-SA"/>
                    </w:rPr>
                  </w:pPr>
                  <w:r>
                    <w:rPr>
                      <w:sz w:val="19"/>
                      <w:szCs w:val="19"/>
                      <w:lang w:val="en-GB" w:eastAsia="en-GB" w:bidi="ar-SA"/>
                    </w:rPr>
                    <w:t>12</w:t>
                  </w:r>
                  <w:r w:rsidR="00187A2C">
                    <w:rPr>
                      <w:sz w:val="19"/>
                      <w:szCs w:val="19"/>
                      <w:lang w:val="en-GB" w:eastAsia="en-GB" w:bidi="ar-SA"/>
                    </w:rPr>
                    <w:t>9</w:t>
                  </w:r>
                </w:p>
              </w:tc>
            </w:tr>
            <w:tr w:rsidR="002228B8" w14:paraId="333AEBDF" w14:textId="77777777" w:rsidTr="00914A1E">
              <w:trPr>
                <w:cantSplit/>
                <w:jc w:val="center"/>
              </w:trPr>
              <w:tc>
                <w:tcPr>
                  <w:tcW w:w="4352" w:type="pct"/>
                  <w:tcBorders>
                    <w:top w:val="nil"/>
                    <w:left w:val="nil"/>
                    <w:bottom w:val="nil"/>
                    <w:right w:val="nil"/>
                  </w:tcBorders>
                </w:tcPr>
                <w:p w14:paraId="3E86EE30"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TRANSFER RESTRICTIONS</w:t>
                  </w:r>
                  <w:r w:rsidRPr="00571974">
                    <w:rPr>
                      <w:sz w:val="19"/>
                      <w:szCs w:val="19"/>
                      <w:lang w:val="en-GB" w:eastAsia="en-GB" w:bidi="ar-SA"/>
                    </w:rPr>
                    <w:tab/>
                  </w:r>
                </w:p>
              </w:tc>
              <w:tc>
                <w:tcPr>
                  <w:tcW w:w="648" w:type="pct"/>
                  <w:tcBorders>
                    <w:top w:val="nil"/>
                    <w:left w:val="nil"/>
                    <w:bottom w:val="nil"/>
                    <w:right w:val="nil"/>
                  </w:tcBorders>
                </w:tcPr>
                <w:p w14:paraId="596C8519" w14:textId="0D66F7AB" w:rsidR="00644E28" w:rsidRPr="00571974" w:rsidRDefault="0069562C" w:rsidP="00027FB3">
                  <w:pPr>
                    <w:tabs>
                      <w:tab w:val="left" w:leader="dot" w:pos="4320"/>
                    </w:tabs>
                    <w:rPr>
                      <w:sz w:val="19"/>
                      <w:szCs w:val="19"/>
                      <w:lang w:val="en-GB" w:eastAsia="en-GB" w:bidi="ar-SA"/>
                    </w:rPr>
                  </w:pPr>
                  <w:r>
                    <w:rPr>
                      <w:sz w:val="19"/>
                      <w:szCs w:val="19"/>
                      <w:lang w:val="en-GB" w:eastAsia="en-GB" w:bidi="ar-SA"/>
                    </w:rPr>
                    <w:t>13</w:t>
                  </w:r>
                  <w:r w:rsidR="00187A2C">
                    <w:rPr>
                      <w:sz w:val="19"/>
                      <w:szCs w:val="19"/>
                      <w:lang w:val="en-GB" w:eastAsia="en-GB" w:bidi="ar-SA"/>
                    </w:rPr>
                    <w:t>4</w:t>
                  </w:r>
                </w:p>
              </w:tc>
            </w:tr>
            <w:tr w:rsidR="002228B8" w14:paraId="1058528F" w14:textId="77777777" w:rsidTr="00914A1E">
              <w:trPr>
                <w:cantSplit/>
                <w:jc w:val="center"/>
              </w:trPr>
              <w:tc>
                <w:tcPr>
                  <w:tcW w:w="4352" w:type="pct"/>
                  <w:tcBorders>
                    <w:top w:val="nil"/>
                    <w:left w:val="nil"/>
                    <w:bottom w:val="nil"/>
                    <w:right w:val="nil"/>
                  </w:tcBorders>
                </w:tcPr>
                <w:p w14:paraId="7677910A"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LEGAL MATTERS</w:t>
                  </w:r>
                  <w:r w:rsidRPr="00571974">
                    <w:rPr>
                      <w:sz w:val="19"/>
                      <w:szCs w:val="19"/>
                      <w:lang w:val="en-GB" w:eastAsia="en-GB" w:bidi="ar-SA"/>
                    </w:rPr>
                    <w:tab/>
                  </w:r>
                </w:p>
              </w:tc>
              <w:tc>
                <w:tcPr>
                  <w:tcW w:w="648" w:type="pct"/>
                  <w:tcBorders>
                    <w:top w:val="nil"/>
                    <w:left w:val="nil"/>
                    <w:bottom w:val="nil"/>
                    <w:right w:val="nil"/>
                  </w:tcBorders>
                </w:tcPr>
                <w:p w14:paraId="64043453" w14:textId="5D877366" w:rsidR="00644E28" w:rsidRPr="00571974" w:rsidRDefault="0069562C" w:rsidP="00187A2C">
                  <w:pPr>
                    <w:tabs>
                      <w:tab w:val="left" w:leader="dot" w:pos="4320"/>
                    </w:tabs>
                    <w:rPr>
                      <w:sz w:val="19"/>
                      <w:szCs w:val="19"/>
                      <w:lang w:val="en-GB" w:eastAsia="en-GB" w:bidi="ar-SA"/>
                    </w:rPr>
                  </w:pPr>
                  <w:r>
                    <w:rPr>
                      <w:sz w:val="19"/>
                      <w:szCs w:val="19"/>
                      <w:lang w:val="en-GB" w:eastAsia="en-GB" w:bidi="ar-SA"/>
                    </w:rPr>
                    <w:t>13</w:t>
                  </w:r>
                  <w:r w:rsidR="00187A2C">
                    <w:rPr>
                      <w:sz w:val="19"/>
                      <w:szCs w:val="19"/>
                      <w:lang w:val="en-GB" w:eastAsia="en-GB" w:bidi="ar-SA"/>
                    </w:rPr>
                    <w:t>7</w:t>
                  </w:r>
                </w:p>
              </w:tc>
            </w:tr>
            <w:tr w:rsidR="002228B8" w14:paraId="25A77483" w14:textId="77777777" w:rsidTr="00914A1E">
              <w:trPr>
                <w:cantSplit/>
                <w:jc w:val="center"/>
              </w:trPr>
              <w:tc>
                <w:tcPr>
                  <w:tcW w:w="4352" w:type="pct"/>
                  <w:tcBorders>
                    <w:top w:val="nil"/>
                    <w:left w:val="nil"/>
                    <w:bottom w:val="nil"/>
                    <w:right w:val="nil"/>
                  </w:tcBorders>
                </w:tcPr>
                <w:p w14:paraId="2763FBD6"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INDEPENDENT AUDITORS</w:t>
                  </w:r>
                  <w:r w:rsidRPr="00571974">
                    <w:rPr>
                      <w:sz w:val="19"/>
                      <w:szCs w:val="19"/>
                      <w:lang w:val="en-GB" w:eastAsia="en-GB" w:bidi="ar-SA"/>
                    </w:rPr>
                    <w:tab/>
                  </w:r>
                </w:p>
              </w:tc>
              <w:tc>
                <w:tcPr>
                  <w:tcW w:w="648" w:type="pct"/>
                  <w:tcBorders>
                    <w:top w:val="nil"/>
                    <w:left w:val="nil"/>
                    <w:bottom w:val="nil"/>
                    <w:right w:val="nil"/>
                  </w:tcBorders>
                </w:tcPr>
                <w:p w14:paraId="41C109F3" w14:textId="651D5D45" w:rsidR="00644E28" w:rsidRPr="00571974" w:rsidRDefault="0069562C" w:rsidP="00187A2C">
                  <w:pPr>
                    <w:tabs>
                      <w:tab w:val="left" w:leader="dot" w:pos="4320"/>
                    </w:tabs>
                    <w:rPr>
                      <w:sz w:val="19"/>
                      <w:szCs w:val="19"/>
                      <w:lang w:val="en-GB" w:eastAsia="en-GB" w:bidi="ar-SA"/>
                    </w:rPr>
                  </w:pPr>
                  <w:r>
                    <w:rPr>
                      <w:sz w:val="19"/>
                      <w:szCs w:val="19"/>
                      <w:lang w:val="en-GB" w:eastAsia="en-GB" w:bidi="ar-SA"/>
                    </w:rPr>
                    <w:t>13</w:t>
                  </w:r>
                  <w:r w:rsidR="00187A2C">
                    <w:rPr>
                      <w:sz w:val="19"/>
                      <w:szCs w:val="19"/>
                      <w:lang w:val="en-GB" w:eastAsia="en-GB" w:bidi="ar-SA"/>
                    </w:rPr>
                    <w:t>8</w:t>
                  </w:r>
                </w:p>
              </w:tc>
            </w:tr>
            <w:tr w:rsidR="002228B8" w14:paraId="2A3EF7B8" w14:textId="77777777" w:rsidTr="00914A1E">
              <w:trPr>
                <w:cantSplit/>
                <w:jc w:val="center"/>
              </w:trPr>
              <w:tc>
                <w:tcPr>
                  <w:tcW w:w="4352" w:type="pct"/>
                  <w:tcBorders>
                    <w:top w:val="nil"/>
                    <w:left w:val="nil"/>
                    <w:bottom w:val="nil"/>
                    <w:right w:val="nil"/>
                  </w:tcBorders>
                </w:tcPr>
                <w:p w14:paraId="242D9923"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DESCRIPTION OF ANGLO AMERICAN CAPITAL PLC</w:t>
                  </w:r>
                  <w:r w:rsidRPr="00571974">
                    <w:rPr>
                      <w:sz w:val="19"/>
                      <w:szCs w:val="19"/>
                      <w:lang w:val="en-GB" w:eastAsia="en-GB" w:bidi="ar-SA"/>
                    </w:rPr>
                    <w:tab/>
                  </w:r>
                </w:p>
              </w:tc>
              <w:tc>
                <w:tcPr>
                  <w:tcW w:w="648" w:type="pct"/>
                  <w:tcBorders>
                    <w:top w:val="nil"/>
                    <w:left w:val="nil"/>
                    <w:bottom w:val="nil"/>
                    <w:right w:val="nil"/>
                  </w:tcBorders>
                  <w:vAlign w:val="bottom"/>
                </w:tcPr>
                <w:p w14:paraId="5652316D" w14:textId="7DFAA01C" w:rsidR="00644E28" w:rsidRPr="00571974" w:rsidRDefault="0069562C" w:rsidP="00187A2C">
                  <w:pPr>
                    <w:tabs>
                      <w:tab w:val="left" w:leader="dot" w:pos="4320"/>
                    </w:tabs>
                    <w:rPr>
                      <w:sz w:val="19"/>
                      <w:szCs w:val="19"/>
                      <w:lang w:val="en-GB" w:eastAsia="en-GB" w:bidi="ar-SA"/>
                    </w:rPr>
                  </w:pPr>
                  <w:r>
                    <w:rPr>
                      <w:sz w:val="19"/>
                      <w:szCs w:val="19"/>
                      <w:lang w:val="en-GB" w:eastAsia="en-GB" w:bidi="ar-SA"/>
                    </w:rPr>
                    <w:t>13</w:t>
                  </w:r>
                  <w:r w:rsidR="00187A2C">
                    <w:rPr>
                      <w:sz w:val="19"/>
                      <w:szCs w:val="19"/>
                      <w:lang w:val="en-GB" w:eastAsia="en-GB" w:bidi="ar-SA"/>
                    </w:rPr>
                    <w:t>9</w:t>
                  </w:r>
                </w:p>
              </w:tc>
            </w:tr>
            <w:tr w:rsidR="002228B8" w14:paraId="5F27ED03" w14:textId="77777777" w:rsidTr="00914A1E">
              <w:trPr>
                <w:cantSplit/>
                <w:jc w:val="center"/>
              </w:trPr>
              <w:tc>
                <w:tcPr>
                  <w:tcW w:w="4352" w:type="pct"/>
                  <w:tcBorders>
                    <w:top w:val="nil"/>
                    <w:left w:val="nil"/>
                    <w:bottom w:val="nil"/>
                    <w:right w:val="nil"/>
                  </w:tcBorders>
                </w:tcPr>
                <w:p w14:paraId="4CB20E82"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GENERAL INFORMATION</w:t>
                  </w:r>
                  <w:r w:rsidRPr="00571974">
                    <w:rPr>
                      <w:sz w:val="19"/>
                      <w:szCs w:val="19"/>
                      <w:lang w:val="en-GB" w:eastAsia="en-GB" w:bidi="ar-SA"/>
                    </w:rPr>
                    <w:tab/>
                  </w:r>
                </w:p>
              </w:tc>
              <w:tc>
                <w:tcPr>
                  <w:tcW w:w="648" w:type="pct"/>
                  <w:tcBorders>
                    <w:top w:val="nil"/>
                    <w:left w:val="nil"/>
                    <w:bottom w:val="nil"/>
                    <w:right w:val="nil"/>
                  </w:tcBorders>
                </w:tcPr>
                <w:p w14:paraId="65E361B3" w14:textId="12D62EA5" w:rsidR="00644E28" w:rsidRPr="00571974" w:rsidRDefault="0069562C" w:rsidP="00187A2C">
                  <w:pPr>
                    <w:tabs>
                      <w:tab w:val="left" w:leader="dot" w:pos="4320"/>
                    </w:tabs>
                    <w:rPr>
                      <w:sz w:val="19"/>
                      <w:szCs w:val="19"/>
                      <w:lang w:val="en-GB" w:eastAsia="en-GB" w:bidi="ar-SA"/>
                    </w:rPr>
                  </w:pPr>
                  <w:r>
                    <w:rPr>
                      <w:sz w:val="19"/>
                      <w:szCs w:val="19"/>
                      <w:lang w:val="en-GB" w:eastAsia="en-GB" w:bidi="ar-SA"/>
                    </w:rPr>
                    <w:t>1</w:t>
                  </w:r>
                  <w:r w:rsidR="00187A2C">
                    <w:rPr>
                      <w:sz w:val="19"/>
                      <w:szCs w:val="19"/>
                      <w:lang w:val="en-GB" w:eastAsia="en-GB" w:bidi="ar-SA"/>
                    </w:rPr>
                    <w:t>40</w:t>
                  </w:r>
                </w:p>
              </w:tc>
            </w:tr>
            <w:tr w:rsidR="002228B8" w14:paraId="15296575" w14:textId="77777777" w:rsidTr="00914A1E">
              <w:trPr>
                <w:cantSplit/>
                <w:jc w:val="center"/>
              </w:trPr>
              <w:tc>
                <w:tcPr>
                  <w:tcW w:w="4352" w:type="pct"/>
                  <w:tcBorders>
                    <w:top w:val="nil"/>
                    <w:left w:val="nil"/>
                    <w:bottom w:val="nil"/>
                    <w:right w:val="nil"/>
                  </w:tcBorders>
                </w:tcPr>
                <w:p w14:paraId="19BC75E4" w14:textId="77777777" w:rsidR="00644E28" w:rsidRPr="00571974" w:rsidRDefault="003D4D89" w:rsidP="00914A1E">
                  <w:pPr>
                    <w:tabs>
                      <w:tab w:val="left" w:leader="dot" w:pos="4290"/>
                    </w:tabs>
                    <w:rPr>
                      <w:sz w:val="19"/>
                      <w:szCs w:val="19"/>
                      <w:lang w:val="en-GB" w:eastAsia="en-GB" w:bidi="ar-SA"/>
                    </w:rPr>
                  </w:pPr>
                  <w:r w:rsidRPr="00571974">
                    <w:rPr>
                      <w:sz w:val="19"/>
                      <w:szCs w:val="19"/>
                      <w:lang w:val="en-GB" w:eastAsia="en-GB" w:bidi="ar-SA"/>
                    </w:rPr>
                    <w:t>DEFINED TERMS</w:t>
                  </w:r>
                  <w:r w:rsidRPr="00571974">
                    <w:rPr>
                      <w:sz w:val="19"/>
                      <w:szCs w:val="19"/>
                      <w:lang w:val="en-GB" w:eastAsia="en-GB" w:bidi="ar-SA"/>
                    </w:rPr>
                    <w:tab/>
                  </w:r>
                </w:p>
              </w:tc>
              <w:tc>
                <w:tcPr>
                  <w:tcW w:w="648" w:type="pct"/>
                  <w:tcBorders>
                    <w:top w:val="nil"/>
                    <w:left w:val="nil"/>
                    <w:bottom w:val="nil"/>
                    <w:right w:val="nil"/>
                  </w:tcBorders>
                </w:tcPr>
                <w:p w14:paraId="6E037195" w14:textId="2193C1A2" w:rsidR="00644E28" w:rsidRPr="00571974" w:rsidRDefault="0069562C" w:rsidP="00644E28">
                  <w:pPr>
                    <w:tabs>
                      <w:tab w:val="left" w:leader="dot" w:pos="4320"/>
                    </w:tabs>
                    <w:rPr>
                      <w:sz w:val="19"/>
                      <w:szCs w:val="19"/>
                      <w:lang w:val="en-GB" w:eastAsia="en-GB" w:bidi="ar-SA"/>
                    </w:rPr>
                  </w:pPr>
                  <w:r>
                    <w:rPr>
                      <w:sz w:val="19"/>
                      <w:szCs w:val="19"/>
                      <w:lang w:val="en-GB" w:eastAsia="en-GB" w:bidi="ar-SA"/>
                    </w:rPr>
                    <w:t>14</w:t>
                  </w:r>
                  <w:r w:rsidR="00786296">
                    <w:rPr>
                      <w:sz w:val="19"/>
                      <w:szCs w:val="19"/>
                      <w:lang w:val="en-GB" w:eastAsia="en-GB" w:bidi="ar-SA"/>
                    </w:rPr>
                    <w:t>3</w:t>
                  </w:r>
                </w:p>
              </w:tc>
            </w:tr>
          </w:tbl>
          <w:p w14:paraId="7025E496" w14:textId="77777777" w:rsidR="00542FF4" w:rsidRPr="00571974" w:rsidRDefault="00542FF4" w:rsidP="007C63D0">
            <w:pPr>
              <w:pStyle w:val="TOC2"/>
              <w:ind w:left="0"/>
              <w:rPr>
                <w:lang w:val="en-GB" w:eastAsia="en-GB" w:bidi="ar-SA"/>
              </w:rPr>
            </w:pPr>
          </w:p>
        </w:tc>
        <w:tc>
          <w:tcPr>
            <w:tcW w:w="124" w:type="pct"/>
          </w:tcPr>
          <w:p w14:paraId="78BF3956" w14:textId="77777777" w:rsidR="00542FF4" w:rsidRPr="00571974" w:rsidRDefault="00542FF4" w:rsidP="007C63D0">
            <w:pPr>
              <w:pageBreakBefore/>
              <w:spacing w:line="240" w:lineRule="atLeast"/>
              <w:jc w:val="both"/>
              <w:rPr>
                <w:b/>
                <w:bCs/>
                <w:sz w:val="24"/>
                <w:lang w:val="en-GB" w:eastAsia="en-GB" w:bidi="ar-SA"/>
              </w:rPr>
            </w:pPr>
          </w:p>
        </w:tc>
        <w:tc>
          <w:tcPr>
            <w:tcW w:w="649" w:type="pct"/>
            <w:tcBorders>
              <w:top w:val="thinThickSmallGap" w:sz="24" w:space="0" w:color="auto"/>
              <w:bottom w:val="thickThinSmallGap" w:sz="24" w:space="0" w:color="auto"/>
            </w:tcBorders>
          </w:tcPr>
          <w:p w14:paraId="5B079958" w14:textId="636949A6" w:rsidR="00542FF4" w:rsidRPr="00571974" w:rsidRDefault="003E1CBD" w:rsidP="007C63D0">
            <w:pPr>
              <w:pageBreakBefore/>
              <w:spacing w:before="1040" w:after="960" w:line="240" w:lineRule="atLeast"/>
              <w:jc w:val="center"/>
              <w:rPr>
                <w:rFonts w:ascii="Times New Roman Bold" w:hAnsi="Times New Roman Bold"/>
                <w:b/>
                <w:bCs/>
                <w:sz w:val="28"/>
                <w:szCs w:val="28"/>
                <w:lang w:val="en-GB" w:eastAsia="en-GB" w:bidi="ar-SA"/>
              </w:rPr>
            </w:pPr>
            <w:r w:rsidRPr="00571974">
              <w:rPr>
                <w:rFonts w:ascii="Times New Roman Bold" w:hAnsi="Times New Roman Bold"/>
                <w:b/>
                <w:bCs/>
                <w:sz w:val="28"/>
                <w:szCs w:val="28"/>
                <w:lang w:val="en-GB" w:eastAsia="en-GB" w:bidi="ar-SA"/>
              </w:rPr>
              <w:t>US$</w:t>
            </w:r>
            <w:r w:rsidR="004B32BB">
              <w:rPr>
                <w:rFonts w:ascii="Times New Roman Bold" w:hAnsi="Times New Roman Bold"/>
                <w:b/>
                <w:bCs/>
                <w:sz w:val="28"/>
                <w:szCs w:val="28"/>
                <w:lang w:val="en-GB" w:eastAsia="en-GB" w:bidi="ar-SA"/>
              </w:rPr>
              <w:t>1,500,000,000</w:t>
            </w:r>
          </w:p>
          <w:p w14:paraId="4D929D9C" w14:textId="77777777" w:rsidR="00542FF4" w:rsidRPr="00571974" w:rsidRDefault="00F84A22" w:rsidP="007C63D0">
            <w:pPr>
              <w:pageBreakBefore/>
              <w:spacing w:line="240" w:lineRule="atLeast"/>
              <w:jc w:val="center"/>
              <w:rPr>
                <w:rFonts w:ascii="Times New Roman Bold" w:hAnsi="Times New Roman Bold"/>
                <w:b/>
                <w:lang w:val="en-GB" w:eastAsia="en-GB" w:bidi="ar-SA"/>
              </w:rPr>
            </w:pPr>
            <w:r w:rsidRPr="00571974">
              <w:rPr>
                <w:noProof/>
                <w:lang w:val="en-GB" w:eastAsia="en-GB" w:bidi="ar-SA"/>
              </w:rPr>
              <w:drawing>
                <wp:inline distT="0" distB="0" distL="0" distR="0" wp14:anchorId="2C45DED8" wp14:editId="0F82CB21">
                  <wp:extent cx="2724150" cy="714375"/>
                  <wp:effectExtent l="0" t="0" r="0" b="0"/>
                  <wp:docPr id="6"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a:ln>
                            <a:noFill/>
                          </a:ln>
                        </pic:spPr>
                      </pic:pic>
                    </a:graphicData>
                  </a:graphic>
                </wp:inline>
              </w:drawing>
            </w:r>
          </w:p>
          <w:p w14:paraId="0CB53EF2" w14:textId="39E5CA5B" w:rsidR="00542FF4" w:rsidRPr="00571974" w:rsidRDefault="003D4D89">
            <w:pPr>
              <w:widowControl/>
              <w:tabs>
                <w:tab w:val="center" w:pos="5400"/>
              </w:tabs>
              <w:suppressAutoHyphens/>
              <w:spacing w:before="240" w:after="240"/>
              <w:jc w:val="center"/>
              <w:rPr>
                <w:b/>
                <w:bCs/>
                <w:sz w:val="26"/>
                <w:szCs w:val="26"/>
                <w:lang w:val="en-GB" w:eastAsia="en-GB" w:bidi="ar-SA"/>
              </w:rPr>
            </w:pPr>
            <w:r w:rsidRPr="00571974">
              <w:rPr>
                <w:b/>
                <w:bCs/>
                <w:sz w:val="26"/>
                <w:szCs w:val="26"/>
                <w:lang w:val="en-GB" w:eastAsia="en-GB" w:bidi="ar-SA"/>
              </w:rPr>
              <w:t>Prospectus</w:t>
            </w:r>
          </w:p>
          <w:p w14:paraId="203C7227" w14:textId="77777777" w:rsidR="00542FF4" w:rsidRPr="00571974" w:rsidRDefault="003D4D89" w:rsidP="007C63D0">
            <w:pPr>
              <w:widowControl/>
              <w:tabs>
                <w:tab w:val="center" w:pos="5400"/>
              </w:tabs>
              <w:suppressAutoHyphens/>
              <w:spacing w:after="240"/>
              <w:jc w:val="center"/>
              <w:rPr>
                <w:b/>
                <w:bCs/>
                <w:sz w:val="26"/>
                <w:szCs w:val="26"/>
                <w:lang w:val="en-GB" w:eastAsia="en-GB" w:bidi="ar-SA"/>
              </w:rPr>
            </w:pPr>
            <w:r w:rsidRPr="00571974">
              <w:rPr>
                <w:b/>
                <w:bCs/>
                <w:sz w:val="26"/>
                <w:szCs w:val="26"/>
                <w:lang w:val="en-GB" w:eastAsia="en-GB" w:bidi="ar-SA"/>
              </w:rPr>
              <w:t>Anglo American Capital plc</w:t>
            </w:r>
          </w:p>
          <w:p w14:paraId="76EF8B37" w14:textId="18EC4F93" w:rsidR="00F400D2" w:rsidRPr="00571974" w:rsidRDefault="00F400D2" w:rsidP="00F400D2">
            <w:pPr>
              <w:widowControl/>
              <w:tabs>
                <w:tab w:val="center" w:pos="5400"/>
              </w:tabs>
              <w:suppressAutoHyphens/>
              <w:spacing w:after="240"/>
              <w:jc w:val="center"/>
              <w:rPr>
                <w:b/>
                <w:bCs/>
                <w:sz w:val="26"/>
                <w:szCs w:val="26"/>
                <w:lang w:val="en-GB" w:eastAsia="en-GB" w:bidi="ar-SA"/>
              </w:rPr>
            </w:pPr>
            <w:r w:rsidRPr="00571974">
              <w:rPr>
                <w:b/>
                <w:bCs/>
                <w:sz w:val="26"/>
                <w:szCs w:val="26"/>
                <w:lang w:val="en-GB" w:eastAsia="en-GB" w:bidi="ar-SA"/>
              </w:rPr>
              <w:t>US$</w:t>
            </w:r>
            <w:r w:rsidR="004B32BB">
              <w:rPr>
                <w:b/>
                <w:bCs/>
                <w:sz w:val="26"/>
                <w:szCs w:val="26"/>
                <w:lang w:val="en-GB" w:eastAsia="en-GB" w:bidi="ar-SA"/>
              </w:rPr>
              <w:t>750,000,000 5.375</w:t>
            </w:r>
            <w:r w:rsidRPr="00571974">
              <w:rPr>
                <w:b/>
                <w:bCs/>
                <w:sz w:val="26"/>
                <w:szCs w:val="26"/>
                <w:lang w:val="en-GB" w:eastAsia="en-GB" w:bidi="ar-SA"/>
              </w:rPr>
              <w:t>% Senior Notes due 20</w:t>
            </w:r>
            <w:r w:rsidR="004B32BB">
              <w:rPr>
                <w:b/>
                <w:bCs/>
                <w:sz w:val="26"/>
                <w:szCs w:val="26"/>
                <w:lang w:val="en-GB" w:eastAsia="en-GB" w:bidi="ar-SA"/>
              </w:rPr>
              <w:t>25</w:t>
            </w:r>
          </w:p>
          <w:p w14:paraId="49F40A66" w14:textId="7EB486A6" w:rsidR="00542FF4" w:rsidRPr="00571974" w:rsidRDefault="003D4D89" w:rsidP="007C63D0">
            <w:pPr>
              <w:widowControl/>
              <w:tabs>
                <w:tab w:val="center" w:pos="5400"/>
              </w:tabs>
              <w:suppressAutoHyphens/>
              <w:spacing w:after="240"/>
              <w:jc w:val="center"/>
              <w:rPr>
                <w:b/>
                <w:bCs/>
                <w:sz w:val="26"/>
                <w:szCs w:val="26"/>
                <w:lang w:val="en-GB" w:eastAsia="en-GB" w:bidi="ar-SA"/>
              </w:rPr>
            </w:pPr>
            <w:r w:rsidRPr="00571974">
              <w:rPr>
                <w:b/>
                <w:bCs/>
                <w:sz w:val="26"/>
                <w:szCs w:val="26"/>
                <w:lang w:val="en-GB" w:eastAsia="en-GB" w:bidi="ar-SA"/>
              </w:rPr>
              <w:t>US$</w:t>
            </w:r>
            <w:r w:rsidR="004B32BB">
              <w:rPr>
                <w:b/>
                <w:bCs/>
                <w:sz w:val="26"/>
                <w:szCs w:val="26"/>
                <w:lang w:val="en-GB" w:eastAsia="en-GB" w:bidi="ar-SA"/>
              </w:rPr>
              <w:t>750,000,000 5.625</w:t>
            </w:r>
            <w:r w:rsidRPr="00571974">
              <w:rPr>
                <w:b/>
                <w:bCs/>
                <w:sz w:val="26"/>
                <w:szCs w:val="26"/>
                <w:lang w:val="en-GB" w:eastAsia="en-GB" w:bidi="ar-SA"/>
              </w:rPr>
              <w:t xml:space="preserve">% Senior Notes due </w:t>
            </w:r>
            <w:r w:rsidR="004B32BB" w:rsidRPr="00571974">
              <w:rPr>
                <w:b/>
                <w:bCs/>
                <w:sz w:val="26"/>
                <w:szCs w:val="26"/>
                <w:lang w:val="en-GB" w:eastAsia="en-GB" w:bidi="ar-SA"/>
              </w:rPr>
              <w:t>20</w:t>
            </w:r>
            <w:r w:rsidR="004B32BB">
              <w:rPr>
                <w:b/>
                <w:bCs/>
                <w:sz w:val="26"/>
                <w:szCs w:val="26"/>
                <w:lang w:val="en-GB" w:eastAsia="en-GB" w:bidi="ar-SA"/>
              </w:rPr>
              <w:t>30</w:t>
            </w:r>
          </w:p>
          <w:p w14:paraId="323FC8CB" w14:textId="77777777" w:rsidR="00542FF4" w:rsidRPr="00571974" w:rsidRDefault="003D4D89" w:rsidP="007C63D0">
            <w:pPr>
              <w:widowControl/>
              <w:tabs>
                <w:tab w:val="center" w:pos="5400"/>
              </w:tabs>
              <w:suppressAutoHyphens/>
              <w:spacing w:after="240"/>
              <w:jc w:val="center"/>
              <w:rPr>
                <w:b/>
                <w:bCs/>
                <w:sz w:val="26"/>
                <w:szCs w:val="26"/>
                <w:lang w:val="en-GB" w:eastAsia="en-GB" w:bidi="ar-SA"/>
              </w:rPr>
            </w:pPr>
            <w:r w:rsidRPr="00571974">
              <w:rPr>
                <w:b/>
                <w:bCs/>
                <w:sz w:val="26"/>
                <w:szCs w:val="26"/>
                <w:lang w:val="en-GB" w:eastAsia="en-GB" w:bidi="ar-SA"/>
              </w:rPr>
              <w:t>Guaranteed by Anglo American plc</w:t>
            </w:r>
          </w:p>
          <w:p w14:paraId="5406D023" w14:textId="77777777" w:rsidR="00542FF4" w:rsidRPr="00571974" w:rsidRDefault="00836D74" w:rsidP="007C63D0">
            <w:pPr>
              <w:tabs>
                <w:tab w:val="left" w:pos="-720"/>
              </w:tabs>
              <w:suppressAutoHyphens/>
              <w:spacing w:after="240"/>
              <w:jc w:val="both"/>
              <w:rPr>
                <w:lang w:val="en-GB" w:eastAsia="en-GB" w:bidi="ar-SA"/>
              </w:rPr>
            </w:pPr>
            <w:r>
              <w:rPr>
                <w:lang w:val="en-GB"/>
              </w:rPr>
              <w:pict w14:anchorId="27B76F7B">
                <v:rect id="_x0000_i1060" style="width:184.5pt;height:1pt" o:hrpct="250" o:hralign="center" o:hrstd="t" o:hrnoshade="t" o:hr="t" fillcolor="black" stroked="f"/>
              </w:pict>
            </w:r>
          </w:p>
          <w:p w14:paraId="246BB7FE" w14:textId="77777777" w:rsidR="00542FF4" w:rsidRPr="00571974" w:rsidRDefault="00542FF4" w:rsidP="007C63D0">
            <w:pPr>
              <w:pStyle w:val="BodyText"/>
              <w:spacing w:after="0"/>
              <w:jc w:val="center"/>
              <w:rPr>
                <w:i/>
                <w:iCs/>
                <w:sz w:val="26"/>
                <w:szCs w:val="26"/>
                <w:lang w:val="en-GB" w:eastAsia="en-GB" w:bidi="ar-SA"/>
              </w:rPr>
            </w:pPr>
          </w:p>
          <w:p w14:paraId="537E469E" w14:textId="77777777" w:rsidR="00542FF4" w:rsidRPr="00571974" w:rsidRDefault="003D4D89" w:rsidP="007C63D0">
            <w:pPr>
              <w:pStyle w:val="BodyText"/>
              <w:spacing w:after="0"/>
              <w:jc w:val="center"/>
              <w:rPr>
                <w:i/>
                <w:iCs/>
                <w:sz w:val="26"/>
                <w:szCs w:val="26"/>
                <w:lang w:val="en-GB" w:eastAsia="en-GB" w:bidi="ar-SA"/>
              </w:rPr>
            </w:pPr>
            <w:r w:rsidRPr="00571974">
              <w:rPr>
                <w:i/>
                <w:iCs/>
                <w:sz w:val="26"/>
                <w:szCs w:val="26"/>
                <w:lang w:val="en-GB" w:eastAsia="en-GB" w:bidi="ar-SA"/>
              </w:rPr>
              <w:t>Joint Bookrunners</w:t>
            </w:r>
          </w:p>
          <w:p w14:paraId="2E67EFD8" w14:textId="77777777" w:rsidR="00542FF4" w:rsidRPr="00571974" w:rsidRDefault="00542FF4" w:rsidP="007C63D0">
            <w:pPr>
              <w:pStyle w:val="BodyText"/>
              <w:spacing w:after="0"/>
              <w:jc w:val="center"/>
              <w:rPr>
                <w:b/>
                <w:sz w:val="26"/>
                <w:szCs w:val="26"/>
                <w:lang w:val="en-GB" w:eastAsia="en-GB" w:bidi="ar-SA"/>
              </w:rPr>
            </w:pPr>
          </w:p>
          <w:p w14:paraId="64690024" w14:textId="77777777" w:rsidR="009850C2" w:rsidRPr="00571974" w:rsidRDefault="003D4D89" w:rsidP="006B286C">
            <w:pPr>
              <w:widowControl/>
              <w:tabs>
                <w:tab w:val="center" w:pos="5400"/>
              </w:tabs>
              <w:suppressAutoHyphens/>
              <w:spacing w:after="240"/>
              <w:jc w:val="center"/>
              <w:rPr>
                <w:b/>
                <w:sz w:val="26"/>
                <w:szCs w:val="26"/>
                <w:lang w:val="en-GB" w:eastAsia="en-GB" w:bidi="ar-SA"/>
              </w:rPr>
            </w:pPr>
            <w:r w:rsidRPr="00571974">
              <w:rPr>
                <w:b/>
                <w:sz w:val="26"/>
                <w:szCs w:val="26"/>
                <w:lang w:val="en-GB" w:eastAsia="en-GB" w:bidi="ar-SA"/>
              </w:rPr>
              <w:t>Citigroup</w:t>
            </w:r>
          </w:p>
          <w:p w14:paraId="2B375AA4" w14:textId="77777777" w:rsidR="00EF4825" w:rsidRPr="00571974" w:rsidRDefault="003D4D89" w:rsidP="006B286C">
            <w:pPr>
              <w:widowControl/>
              <w:tabs>
                <w:tab w:val="center" w:pos="5400"/>
              </w:tabs>
              <w:suppressAutoHyphens/>
              <w:spacing w:after="240"/>
              <w:jc w:val="center"/>
              <w:rPr>
                <w:b/>
                <w:sz w:val="26"/>
                <w:szCs w:val="26"/>
                <w:lang w:val="en-GB" w:eastAsia="en-GB" w:bidi="ar-SA"/>
              </w:rPr>
            </w:pPr>
            <w:r w:rsidRPr="00571974">
              <w:rPr>
                <w:b/>
                <w:sz w:val="26"/>
                <w:szCs w:val="26"/>
                <w:lang w:val="en-GB" w:eastAsia="en-GB" w:bidi="ar-SA"/>
              </w:rPr>
              <w:t>Mizuho Securities</w:t>
            </w:r>
          </w:p>
          <w:p w14:paraId="059D1F32" w14:textId="77777777" w:rsidR="00CC0126" w:rsidRPr="00571974" w:rsidRDefault="003D4D89" w:rsidP="006B286C">
            <w:pPr>
              <w:widowControl/>
              <w:tabs>
                <w:tab w:val="center" w:pos="5400"/>
              </w:tabs>
              <w:suppressAutoHyphens/>
              <w:spacing w:after="240"/>
              <w:jc w:val="center"/>
              <w:rPr>
                <w:b/>
                <w:sz w:val="26"/>
                <w:szCs w:val="26"/>
                <w:lang w:val="en-GB" w:eastAsia="en-GB" w:bidi="ar-SA"/>
              </w:rPr>
            </w:pPr>
            <w:r w:rsidRPr="00571974">
              <w:rPr>
                <w:b/>
                <w:sz w:val="26"/>
                <w:szCs w:val="26"/>
                <w:lang w:val="en-GB" w:eastAsia="en-GB" w:bidi="ar-SA"/>
              </w:rPr>
              <w:t>RBC Capital Markets</w:t>
            </w:r>
          </w:p>
          <w:p w14:paraId="77C27DEE" w14:textId="77777777" w:rsidR="00CC0126" w:rsidRPr="00571974" w:rsidRDefault="003D4D89" w:rsidP="006B286C">
            <w:pPr>
              <w:widowControl/>
              <w:tabs>
                <w:tab w:val="center" w:pos="5400"/>
              </w:tabs>
              <w:suppressAutoHyphens/>
              <w:spacing w:after="240"/>
              <w:jc w:val="center"/>
              <w:rPr>
                <w:b/>
                <w:sz w:val="26"/>
                <w:szCs w:val="26"/>
                <w:lang w:val="en-GB" w:eastAsia="en-GB" w:bidi="ar-SA"/>
              </w:rPr>
            </w:pPr>
            <w:r w:rsidRPr="00571974">
              <w:rPr>
                <w:b/>
                <w:sz w:val="26"/>
                <w:szCs w:val="26"/>
                <w:lang w:val="en-GB" w:eastAsia="en-GB" w:bidi="ar-SA"/>
              </w:rPr>
              <w:t>Standard Chartered Bank</w:t>
            </w:r>
          </w:p>
          <w:p w14:paraId="7B65F936" w14:textId="1BC80B88" w:rsidR="00FE55CC" w:rsidRPr="00571974" w:rsidRDefault="003D4D89" w:rsidP="00CC0126">
            <w:pPr>
              <w:widowControl/>
              <w:tabs>
                <w:tab w:val="center" w:pos="5400"/>
              </w:tabs>
              <w:suppressAutoHyphens/>
              <w:spacing w:after="240"/>
              <w:jc w:val="center"/>
              <w:rPr>
                <w:b/>
                <w:sz w:val="26"/>
                <w:szCs w:val="26"/>
                <w:lang w:val="en-GB" w:eastAsia="en-GB" w:bidi="ar-SA"/>
              </w:rPr>
            </w:pPr>
            <w:r w:rsidRPr="00571974">
              <w:rPr>
                <w:b/>
                <w:sz w:val="26"/>
                <w:szCs w:val="26"/>
                <w:lang w:val="en-GB" w:eastAsia="en-GB" w:bidi="ar-SA"/>
              </w:rPr>
              <w:t>BMO Capital Markets</w:t>
            </w:r>
          </w:p>
          <w:p w14:paraId="1216803C" w14:textId="604015E3" w:rsidR="00542FF4" w:rsidRPr="00571974" w:rsidRDefault="00FE55CC" w:rsidP="00F87E10">
            <w:pPr>
              <w:widowControl/>
              <w:tabs>
                <w:tab w:val="center" w:pos="5400"/>
              </w:tabs>
              <w:suppressAutoHyphens/>
              <w:spacing w:after="240"/>
              <w:jc w:val="center"/>
              <w:rPr>
                <w:b/>
                <w:sz w:val="26"/>
                <w:szCs w:val="26"/>
                <w:lang w:val="en-GB" w:eastAsia="en-GB" w:bidi="ar-SA"/>
              </w:rPr>
            </w:pPr>
            <w:r w:rsidRPr="00571974">
              <w:rPr>
                <w:b/>
                <w:sz w:val="26"/>
                <w:szCs w:val="26"/>
                <w:lang w:val="en-GB" w:eastAsia="en-GB" w:bidi="ar-SA"/>
              </w:rPr>
              <w:t>TD Securities</w:t>
            </w:r>
          </w:p>
        </w:tc>
      </w:tr>
    </w:tbl>
    <w:p w14:paraId="7BFB89FE" w14:textId="77777777" w:rsidR="00542FF4" w:rsidRPr="00571974" w:rsidRDefault="00542FF4" w:rsidP="00542FF4">
      <w:pPr>
        <w:widowControl/>
        <w:tabs>
          <w:tab w:val="left" w:pos="-720"/>
        </w:tabs>
        <w:suppressAutoHyphens/>
        <w:rPr>
          <w:lang w:val="en-GB"/>
        </w:rPr>
      </w:pPr>
    </w:p>
    <w:p w14:paraId="7BE9D386" w14:textId="77777777" w:rsidR="00542FF4" w:rsidRPr="00571974" w:rsidRDefault="00542FF4" w:rsidP="00542FF4">
      <w:pPr>
        <w:widowControl/>
        <w:tabs>
          <w:tab w:val="left" w:pos="-720"/>
        </w:tabs>
        <w:suppressAutoHyphens/>
        <w:rPr>
          <w:lang w:val="en-GB"/>
        </w:rPr>
      </w:pPr>
    </w:p>
    <w:p w14:paraId="5464BE6E" w14:textId="77777777" w:rsidR="00542FF4" w:rsidRPr="00571974" w:rsidRDefault="00542FF4" w:rsidP="00542FF4">
      <w:pPr>
        <w:rPr>
          <w:lang w:val="en-GB"/>
        </w:rPr>
      </w:pPr>
    </w:p>
    <w:p w14:paraId="37EA5A74" w14:textId="77777777" w:rsidR="00542FF4" w:rsidRPr="00571974" w:rsidRDefault="00542FF4" w:rsidP="00542FF4">
      <w:pPr>
        <w:rPr>
          <w:lang w:val="en-GB"/>
        </w:rPr>
      </w:pPr>
    </w:p>
    <w:p w14:paraId="349CDB79" w14:textId="77777777" w:rsidR="00542FF4" w:rsidRPr="00571974" w:rsidRDefault="00542FF4" w:rsidP="00542FF4">
      <w:pPr>
        <w:rPr>
          <w:lang w:val="en-GB"/>
        </w:rPr>
      </w:pPr>
    </w:p>
    <w:p w14:paraId="009C87CE" w14:textId="77777777" w:rsidR="007A7A30" w:rsidRDefault="007A7A30" w:rsidP="00542FF4">
      <w:pPr>
        <w:rPr>
          <w:lang w:val="en-GB"/>
        </w:rPr>
      </w:pPr>
    </w:p>
    <w:sectPr w:rsidR="007A7A30" w:rsidSect="00321339">
      <w:headerReference w:type="default" r:id="rId27"/>
      <w:footerReference w:type="default" r:id="rId28"/>
      <w:pgSz w:w="12240" w:h="15840"/>
      <w:pgMar w:top="964" w:right="1440" w:bottom="964" w:left="1440" w:header="720" w:footer="720" w:gutter="0"/>
      <w:pgNumType w:start="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92743" w16cid:durableId="22089627"/>
  <w16cid:commentId w16cid:paraId="03A1C839" w16cid:durableId="220897E1"/>
  <w16cid:commentId w16cid:paraId="57C1775D" w16cid:durableId="22089834"/>
  <w16cid:commentId w16cid:paraId="4FDB9BAE" w16cid:durableId="22050DC9"/>
  <w16cid:commentId w16cid:paraId="3BA34E22" w16cid:durableId="220899A5"/>
  <w16cid:commentId w16cid:paraId="65B289F9" w16cid:durableId="2208AB68"/>
  <w16cid:commentId w16cid:paraId="2552C144" w16cid:durableId="2204DA9B"/>
  <w16cid:commentId w16cid:paraId="516F9FFB" w16cid:durableId="22089F85"/>
  <w16cid:commentId w16cid:paraId="1FDDE53D" w16cid:durableId="2204E0E1"/>
  <w16cid:commentId w16cid:paraId="52093274" w16cid:durableId="220532F8"/>
  <w16cid:commentId w16cid:paraId="1EA10CAF" w16cid:durableId="2208A6DA"/>
  <w16cid:commentId w16cid:paraId="74EAAE6F" w16cid:durableId="2208A4E0"/>
  <w16cid:commentId w16cid:paraId="5FF76853" w16cid:durableId="2208A721"/>
  <w16cid:commentId w16cid:paraId="099FECCA" w16cid:durableId="2208A758"/>
  <w16cid:commentId w16cid:paraId="5CFD5DAF" w16cid:durableId="2208A769"/>
  <w16cid:commentId w16cid:paraId="1FB19F86" w16cid:durableId="220533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4BE16" w14:textId="77777777" w:rsidR="00AE0CB4" w:rsidRDefault="00AE0CB4">
      <w:r>
        <w:separator/>
      </w:r>
    </w:p>
  </w:endnote>
  <w:endnote w:type="continuationSeparator" w:id="0">
    <w:p w14:paraId="0DFF1376" w14:textId="77777777" w:rsidR="00AE0CB4" w:rsidRDefault="00AE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UI"/>
    <w:panose1 w:val="02020500000000000000"/>
    <w:charset w:val="88"/>
    <w:family w:val="roman"/>
    <w:pitch w:val="variable"/>
    <w:sig w:usb0="00000000" w:usb1="28CFFCFA" w:usb2="00000016" w:usb3="00000000" w:csb0="001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ngloSans-Light">
    <w:altName w:val="Times New Roman"/>
    <w:panose1 w:val="00000000000000000000"/>
    <w:charset w:val="00"/>
    <w:family w:val="auto"/>
    <w:notTrueType/>
    <w:pitch w:val="default"/>
    <w:sig w:usb0="03000003" w:usb1="00000000" w:usb2="00000000" w:usb3="00000000" w:csb0="00000001" w:csb1="00000000"/>
  </w:font>
  <w:font w:name="AngloSans Light">
    <w:altName w:val="Cambria"/>
    <w:panose1 w:val="00000000000000000000"/>
    <w:charset w:val="00"/>
    <w:family w:val="roman"/>
    <w:notTrueType/>
    <w:pitch w:val="variable"/>
    <w:sig w:usb0="00000003" w:usb1="00000000" w:usb2="00000000" w:usb3="00000000" w:csb0="00000001" w:csb1="00000000"/>
  </w:font>
  <w:font w:name="AkzidGrtskNext-Med">
    <w:altName w:val="Yu Gothic UI"/>
    <w:panose1 w:val="00000000000000000000"/>
    <w:charset w:val="4D"/>
    <w:family w:val="auto"/>
    <w:notTrueType/>
    <w:pitch w:val="default"/>
    <w:sig w:usb0="00000003" w:usb1="08070000" w:usb2="00000010" w:usb3="00000000" w:csb0="0002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INOT-Bold">
    <w:altName w:val="Calibri"/>
    <w:panose1 w:val="00000000000000000000"/>
    <w:charset w:val="00"/>
    <w:family w:val="swiss"/>
    <w:notTrueType/>
    <w:pitch w:val="default"/>
    <w:sig w:usb0="00000003" w:usb1="00000000" w:usb2="00000000" w:usb3="00000000" w:csb0="00000001" w:csb1="00000000"/>
  </w:font>
  <w:font w:name="DINOT-Regular">
    <w:altName w:val="Calibri"/>
    <w:charset w:val="00"/>
    <w:family w:val="auto"/>
    <w:pitch w:val="variable"/>
    <w:sig w:usb0="800000AF" w:usb1="4000206A" w:usb2="00000000" w:usb3="00000000" w:csb0="00000001" w:csb1="00000000"/>
  </w:font>
  <w:font w:name="Akzidenz-Grotesk Next Light">
    <w:altName w:val="Times New Roman"/>
    <w:charset w:val="00"/>
    <w:family w:val="auto"/>
    <w:pitch w:val="variable"/>
    <w:sig w:usb0="00000001" w:usb1="5000205B" w:usb2="00000000" w:usb3="00000000" w:csb0="0000009B" w:csb1="00000000"/>
  </w:font>
  <w:font w:name="Akzidenz-Grotesk Next Regular">
    <w:altName w:val="Calibri"/>
    <w:charset w:val="00"/>
    <w:family w:val="auto"/>
    <w:pitch w:val="variable"/>
    <w:sig w:usb0="A00000AF" w:usb1="5000205B" w:usb2="00000000" w:usb3="00000000" w:csb0="0000009B" w:csb1="00000000"/>
  </w:font>
  <w:font w:name="HelveticaNeueLTStd-Lt">
    <w:altName w:val="Arial"/>
    <w:panose1 w:val="00000000000000000000"/>
    <w:charset w:val="00"/>
    <w:family w:val="swiss"/>
    <w:notTrueType/>
    <w:pitch w:val="default"/>
    <w:sig w:usb0="00000003" w:usb1="00000000" w:usb2="00000000" w:usb3="00000000" w:csb0="00000001" w:csb1="00000000"/>
  </w:font>
  <w:font w:name="AkzidGrtskNext-Light">
    <w:altName w:val="Calibri"/>
    <w:panose1 w:val="00000000000000000000"/>
    <w:charset w:val="4D"/>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1DF7" w14:textId="77777777" w:rsidR="008529D1" w:rsidRDefault="00852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54A16" w14:textId="54A66122" w:rsidR="00AE0CB4" w:rsidRDefault="00AE0CB4">
    <w:pPr>
      <w:pStyle w:val="Footer"/>
    </w:pPr>
    <w:r>
      <w:tab/>
    </w:r>
    <w:r>
      <w:fldChar w:fldCharType="begin"/>
    </w:r>
    <w:r>
      <w:instrText xml:space="preserve"> PAGE   \* MERGEFORMAT </w:instrText>
    </w:r>
    <w:r>
      <w:fldChar w:fldCharType="separate"/>
    </w:r>
    <w:r w:rsidR="00836D74">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20D2" w14:textId="7CDA385F" w:rsidR="00AE0CB4" w:rsidRPr="007A7A30" w:rsidRDefault="00AE0CB4" w:rsidP="007A7A30">
    <w:pPr>
      <w:tabs>
        <w:tab w:val="right" w:pos="9020"/>
      </w:tabs>
      <w:rPr>
        <w:sz w:val="15"/>
      </w:rPr>
    </w:pPr>
    <w:r w:rsidRPr="007A7A30">
      <w:rPr>
        <w:sz w:val="14"/>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C9EAA" w14:textId="6E5B2610" w:rsidR="00AE0CB4" w:rsidRDefault="00AE0CB4" w:rsidP="007A7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D74">
      <w:rPr>
        <w:rStyle w:val="PageNumber"/>
        <w:noProof/>
      </w:rPr>
      <w:t>15</w:t>
    </w:r>
    <w:r>
      <w:rPr>
        <w:rStyle w:val="PageNumber"/>
      </w:rPr>
      <w:fldChar w:fldCharType="end"/>
    </w:r>
  </w:p>
  <w:p w14:paraId="5C1FAAE9" w14:textId="77777777" w:rsidR="00AE0CB4" w:rsidRDefault="00AE0CB4" w:rsidP="007A7A30">
    <w:pPr>
      <w:pStyle w:val="Footer"/>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2FEE" w14:textId="312CC057" w:rsidR="00AE0CB4" w:rsidRDefault="00AE0CB4" w:rsidP="007A7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D74">
      <w:rPr>
        <w:rStyle w:val="PageNumber"/>
        <w:noProof/>
      </w:rPr>
      <w:t>134</w:t>
    </w:r>
    <w:r>
      <w:rPr>
        <w:rStyle w:val="PageNumber"/>
      </w:rPr>
      <w:fldChar w:fldCharType="end"/>
    </w:r>
  </w:p>
  <w:p w14:paraId="2D83B679" w14:textId="77777777" w:rsidR="00AE0CB4" w:rsidRDefault="00AE0CB4" w:rsidP="007A7A30">
    <w:pPr>
      <w:pStyle w:val="Footer"/>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85A81" w14:textId="77777777" w:rsidR="00AE0CB4" w:rsidRDefault="00AE0CB4" w:rsidP="007A7A30">
    <w:pPr>
      <w:pStyle w:val="Footer"/>
      <w:framePr w:wrap="around" w:vAnchor="text" w:hAnchor="margin" w:xAlign="center" w:y="1"/>
      <w:rPr>
        <w:rStyle w:val="PageNumber"/>
      </w:rPr>
    </w:pPr>
  </w:p>
  <w:p w14:paraId="37E4CF3F" w14:textId="77777777" w:rsidR="00AE0CB4" w:rsidRDefault="00AE0CB4" w:rsidP="007A7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AB96" w14:textId="77777777" w:rsidR="00AE0CB4" w:rsidRDefault="00AE0CB4">
      <w:r>
        <w:separator/>
      </w:r>
    </w:p>
  </w:footnote>
  <w:footnote w:type="continuationSeparator" w:id="0">
    <w:p w14:paraId="2A04AC84" w14:textId="77777777" w:rsidR="00AE0CB4" w:rsidRDefault="00AE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C78E6" w14:textId="77777777" w:rsidR="008529D1" w:rsidRDefault="00852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5EB9" w14:textId="77777777" w:rsidR="00AE0CB4" w:rsidRPr="00F706B0" w:rsidRDefault="00AE0CB4">
    <w:pPr>
      <w:pStyle w:val="Header"/>
      <w:rPr>
        <w:lang w:val="en-GB"/>
      </w:rPr>
    </w:pPr>
    <w:r>
      <w:rPr>
        <w:lang w:val="en-GB"/>
      </w:rPr>
      <w:tab/>
    </w:r>
    <w:r>
      <w:rPr>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0931" w14:textId="77777777" w:rsidR="008529D1" w:rsidRDefault="00852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18312" w14:textId="77777777" w:rsidR="00AE0CB4" w:rsidRPr="009F1E5B" w:rsidRDefault="00AE0CB4" w:rsidP="00321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B246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C468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80F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46CDC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5C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23B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8472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6EAA0DA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472F2AA"/>
    <w:name w:val="(Unnamed Numbering Schem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545FD"/>
    <w:multiLevelType w:val="hybridMultilevel"/>
    <w:tmpl w:val="8A044792"/>
    <w:lvl w:ilvl="0" w:tplc="8F924C68">
      <w:start w:val="1"/>
      <w:numFmt w:val="decimal"/>
      <w:lvlText w:val="(%1)"/>
      <w:lvlJc w:val="left"/>
      <w:pPr>
        <w:ind w:left="720" w:hanging="360"/>
      </w:pPr>
      <w:rPr>
        <w:rFonts w:hint="default"/>
      </w:rPr>
    </w:lvl>
    <w:lvl w:ilvl="1" w:tplc="A4003CA6" w:tentative="1">
      <w:start w:val="1"/>
      <w:numFmt w:val="lowerLetter"/>
      <w:lvlText w:val="%2."/>
      <w:lvlJc w:val="left"/>
      <w:pPr>
        <w:ind w:left="1440" w:hanging="360"/>
      </w:pPr>
    </w:lvl>
    <w:lvl w:ilvl="2" w:tplc="1C1A7926" w:tentative="1">
      <w:start w:val="1"/>
      <w:numFmt w:val="lowerRoman"/>
      <w:lvlText w:val="%3."/>
      <w:lvlJc w:val="right"/>
      <w:pPr>
        <w:ind w:left="2160" w:hanging="180"/>
      </w:pPr>
    </w:lvl>
    <w:lvl w:ilvl="3" w:tplc="2B46A944" w:tentative="1">
      <w:start w:val="1"/>
      <w:numFmt w:val="decimal"/>
      <w:lvlText w:val="%4."/>
      <w:lvlJc w:val="left"/>
      <w:pPr>
        <w:ind w:left="2880" w:hanging="360"/>
      </w:pPr>
    </w:lvl>
    <w:lvl w:ilvl="4" w:tplc="14E4BF4C" w:tentative="1">
      <w:start w:val="1"/>
      <w:numFmt w:val="lowerLetter"/>
      <w:lvlText w:val="%5."/>
      <w:lvlJc w:val="left"/>
      <w:pPr>
        <w:ind w:left="3600" w:hanging="360"/>
      </w:pPr>
    </w:lvl>
    <w:lvl w:ilvl="5" w:tplc="3CA63422" w:tentative="1">
      <w:start w:val="1"/>
      <w:numFmt w:val="lowerRoman"/>
      <w:lvlText w:val="%6."/>
      <w:lvlJc w:val="right"/>
      <w:pPr>
        <w:ind w:left="4320" w:hanging="180"/>
      </w:pPr>
    </w:lvl>
    <w:lvl w:ilvl="6" w:tplc="572CB7B2" w:tentative="1">
      <w:start w:val="1"/>
      <w:numFmt w:val="decimal"/>
      <w:lvlText w:val="%7."/>
      <w:lvlJc w:val="left"/>
      <w:pPr>
        <w:ind w:left="5040" w:hanging="360"/>
      </w:pPr>
    </w:lvl>
    <w:lvl w:ilvl="7" w:tplc="DD9AFE3A" w:tentative="1">
      <w:start w:val="1"/>
      <w:numFmt w:val="lowerLetter"/>
      <w:lvlText w:val="%8."/>
      <w:lvlJc w:val="left"/>
      <w:pPr>
        <w:ind w:left="5760" w:hanging="360"/>
      </w:pPr>
    </w:lvl>
    <w:lvl w:ilvl="8" w:tplc="9F80999C" w:tentative="1">
      <w:start w:val="1"/>
      <w:numFmt w:val="lowerRoman"/>
      <w:lvlText w:val="%9."/>
      <w:lvlJc w:val="right"/>
      <w:pPr>
        <w:ind w:left="6480" w:hanging="180"/>
      </w:pPr>
    </w:lvl>
  </w:abstractNum>
  <w:abstractNum w:abstractNumId="10" w15:restartNumberingAfterBreak="0">
    <w:nsid w:val="02761902"/>
    <w:multiLevelType w:val="hybridMultilevel"/>
    <w:tmpl w:val="019C0382"/>
    <w:lvl w:ilvl="0" w:tplc="D106891C">
      <w:start w:val="1"/>
      <w:numFmt w:val="decimal"/>
      <w:lvlText w:val="(%1)"/>
      <w:lvlJc w:val="left"/>
      <w:pPr>
        <w:ind w:left="720" w:hanging="360"/>
      </w:pPr>
      <w:rPr>
        <w:rFonts w:hint="default"/>
      </w:rPr>
    </w:lvl>
    <w:lvl w:ilvl="1" w:tplc="90CA22D8" w:tentative="1">
      <w:start w:val="1"/>
      <w:numFmt w:val="lowerLetter"/>
      <w:lvlText w:val="%2."/>
      <w:lvlJc w:val="left"/>
      <w:pPr>
        <w:ind w:left="1440" w:hanging="360"/>
      </w:pPr>
    </w:lvl>
    <w:lvl w:ilvl="2" w:tplc="3EAE1A94" w:tentative="1">
      <w:start w:val="1"/>
      <w:numFmt w:val="lowerRoman"/>
      <w:lvlText w:val="%3."/>
      <w:lvlJc w:val="right"/>
      <w:pPr>
        <w:ind w:left="2160" w:hanging="180"/>
      </w:pPr>
    </w:lvl>
    <w:lvl w:ilvl="3" w:tplc="F784351A" w:tentative="1">
      <w:start w:val="1"/>
      <w:numFmt w:val="decimal"/>
      <w:lvlText w:val="%4."/>
      <w:lvlJc w:val="left"/>
      <w:pPr>
        <w:ind w:left="2880" w:hanging="360"/>
      </w:pPr>
    </w:lvl>
    <w:lvl w:ilvl="4" w:tplc="8976F69C" w:tentative="1">
      <w:start w:val="1"/>
      <w:numFmt w:val="lowerLetter"/>
      <w:lvlText w:val="%5."/>
      <w:lvlJc w:val="left"/>
      <w:pPr>
        <w:ind w:left="3600" w:hanging="360"/>
      </w:pPr>
    </w:lvl>
    <w:lvl w:ilvl="5" w:tplc="5F886CC2" w:tentative="1">
      <w:start w:val="1"/>
      <w:numFmt w:val="lowerRoman"/>
      <w:lvlText w:val="%6."/>
      <w:lvlJc w:val="right"/>
      <w:pPr>
        <w:ind w:left="4320" w:hanging="180"/>
      </w:pPr>
    </w:lvl>
    <w:lvl w:ilvl="6" w:tplc="D41E0928" w:tentative="1">
      <w:start w:val="1"/>
      <w:numFmt w:val="decimal"/>
      <w:lvlText w:val="%7."/>
      <w:lvlJc w:val="left"/>
      <w:pPr>
        <w:ind w:left="5040" w:hanging="360"/>
      </w:pPr>
    </w:lvl>
    <w:lvl w:ilvl="7" w:tplc="A5D8DE46" w:tentative="1">
      <w:start w:val="1"/>
      <w:numFmt w:val="lowerLetter"/>
      <w:lvlText w:val="%8."/>
      <w:lvlJc w:val="left"/>
      <w:pPr>
        <w:ind w:left="5760" w:hanging="360"/>
      </w:pPr>
    </w:lvl>
    <w:lvl w:ilvl="8" w:tplc="ACC2012A" w:tentative="1">
      <w:start w:val="1"/>
      <w:numFmt w:val="lowerRoman"/>
      <w:lvlText w:val="%9."/>
      <w:lvlJc w:val="right"/>
      <w:pPr>
        <w:ind w:left="6480" w:hanging="180"/>
      </w:pPr>
    </w:lvl>
  </w:abstractNum>
  <w:abstractNum w:abstractNumId="11" w15:restartNumberingAfterBreak="0">
    <w:nsid w:val="04AC6294"/>
    <w:multiLevelType w:val="hybridMultilevel"/>
    <w:tmpl w:val="4ACCDFA4"/>
    <w:lvl w:ilvl="0" w:tplc="838AA662">
      <w:start w:val="1"/>
      <w:numFmt w:val="decimal"/>
      <w:lvlText w:val="(%1)"/>
      <w:lvlJc w:val="left"/>
      <w:pPr>
        <w:ind w:left="360" w:hanging="360"/>
      </w:pPr>
      <w:rPr>
        <w:rFonts w:hint="default"/>
      </w:rPr>
    </w:lvl>
    <w:lvl w:ilvl="1" w:tplc="ACD4B7A0" w:tentative="1">
      <w:start w:val="1"/>
      <w:numFmt w:val="lowerLetter"/>
      <w:lvlText w:val="%2."/>
      <w:lvlJc w:val="left"/>
      <w:pPr>
        <w:ind w:left="1080" w:hanging="360"/>
      </w:pPr>
    </w:lvl>
    <w:lvl w:ilvl="2" w:tplc="FE188E0E" w:tentative="1">
      <w:start w:val="1"/>
      <w:numFmt w:val="lowerRoman"/>
      <w:lvlText w:val="%3."/>
      <w:lvlJc w:val="right"/>
      <w:pPr>
        <w:ind w:left="1800" w:hanging="180"/>
      </w:pPr>
    </w:lvl>
    <w:lvl w:ilvl="3" w:tplc="1EFAB4E8" w:tentative="1">
      <w:start w:val="1"/>
      <w:numFmt w:val="decimal"/>
      <w:lvlText w:val="%4."/>
      <w:lvlJc w:val="left"/>
      <w:pPr>
        <w:ind w:left="2520" w:hanging="360"/>
      </w:pPr>
    </w:lvl>
    <w:lvl w:ilvl="4" w:tplc="DDCC7452" w:tentative="1">
      <w:start w:val="1"/>
      <w:numFmt w:val="lowerLetter"/>
      <w:lvlText w:val="%5."/>
      <w:lvlJc w:val="left"/>
      <w:pPr>
        <w:ind w:left="3240" w:hanging="360"/>
      </w:pPr>
    </w:lvl>
    <w:lvl w:ilvl="5" w:tplc="E710F9FE" w:tentative="1">
      <w:start w:val="1"/>
      <w:numFmt w:val="lowerRoman"/>
      <w:lvlText w:val="%6."/>
      <w:lvlJc w:val="right"/>
      <w:pPr>
        <w:ind w:left="3960" w:hanging="180"/>
      </w:pPr>
    </w:lvl>
    <w:lvl w:ilvl="6" w:tplc="28080E66" w:tentative="1">
      <w:start w:val="1"/>
      <w:numFmt w:val="decimal"/>
      <w:lvlText w:val="%7."/>
      <w:lvlJc w:val="left"/>
      <w:pPr>
        <w:ind w:left="4680" w:hanging="360"/>
      </w:pPr>
    </w:lvl>
    <w:lvl w:ilvl="7" w:tplc="D338B63A" w:tentative="1">
      <w:start w:val="1"/>
      <w:numFmt w:val="lowerLetter"/>
      <w:lvlText w:val="%8."/>
      <w:lvlJc w:val="left"/>
      <w:pPr>
        <w:ind w:left="5400" w:hanging="360"/>
      </w:pPr>
    </w:lvl>
    <w:lvl w:ilvl="8" w:tplc="42DAF21A" w:tentative="1">
      <w:start w:val="1"/>
      <w:numFmt w:val="lowerRoman"/>
      <w:lvlText w:val="%9."/>
      <w:lvlJc w:val="right"/>
      <w:pPr>
        <w:ind w:left="6120" w:hanging="180"/>
      </w:pPr>
    </w:lvl>
  </w:abstractNum>
  <w:abstractNum w:abstractNumId="12" w15:restartNumberingAfterBreak="0">
    <w:nsid w:val="071E360F"/>
    <w:multiLevelType w:val="hybridMultilevel"/>
    <w:tmpl w:val="B3C2D01A"/>
    <w:lvl w:ilvl="0" w:tplc="82C8C424">
      <w:start w:val="1"/>
      <w:numFmt w:val="decimal"/>
      <w:lvlText w:val="(%1)"/>
      <w:lvlJc w:val="left"/>
      <w:pPr>
        <w:ind w:left="720" w:hanging="360"/>
      </w:pPr>
      <w:rPr>
        <w:rFonts w:hint="default"/>
      </w:rPr>
    </w:lvl>
    <w:lvl w:ilvl="1" w:tplc="21DEC72E" w:tentative="1">
      <w:start w:val="1"/>
      <w:numFmt w:val="lowerLetter"/>
      <w:lvlText w:val="%2."/>
      <w:lvlJc w:val="left"/>
      <w:pPr>
        <w:ind w:left="1440" w:hanging="360"/>
      </w:pPr>
    </w:lvl>
    <w:lvl w:ilvl="2" w:tplc="ED544EB6" w:tentative="1">
      <w:start w:val="1"/>
      <w:numFmt w:val="lowerRoman"/>
      <w:lvlText w:val="%3."/>
      <w:lvlJc w:val="right"/>
      <w:pPr>
        <w:ind w:left="2160" w:hanging="180"/>
      </w:pPr>
    </w:lvl>
    <w:lvl w:ilvl="3" w:tplc="0C70A4C6" w:tentative="1">
      <w:start w:val="1"/>
      <w:numFmt w:val="decimal"/>
      <w:lvlText w:val="%4."/>
      <w:lvlJc w:val="left"/>
      <w:pPr>
        <w:ind w:left="2880" w:hanging="360"/>
      </w:pPr>
    </w:lvl>
    <w:lvl w:ilvl="4" w:tplc="C8FC1096" w:tentative="1">
      <w:start w:val="1"/>
      <w:numFmt w:val="lowerLetter"/>
      <w:lvlText w:val="%5."/>
      <w:lvlJc w:val="left"/>
      <w:pPr>
        <w:ind w:left="3600" w:hanging="360"/>
      </w:pPr>
    </w:lvl>
    <w:lvl w:ilvl="5" w:tplc="A6DE2822" w:tentative="1">
      <w:start w:val="1"/>
      <w:numFmt w:val="lowerRoman"/>
      <w:lvlText w:val="%6."/>
      <w:lvlJc w:val="right"/>
      <w:pPr>
        <w:ind w:left="4320" w:hanging="180"/>
      </w:pPr>
    </w:lvl>
    <w:lvl w:ilvl="6" w:tplc="01E28AD4" w:tentative="1">
      <w:start w:val="1"/>
      <w:numFmt w:val="decimal"/>
      <w:lvlText w:val="%7."/>
      <w:lvlJc w:val="left"/>
      <w:pPr>
        <w:ind w:left="5040" w:hanging="360"/>
      </w:pPr>
    </w:lvl>
    <w:lvl w:ilvl="7" w:tplc="54FE27AE" w:tentative="1">
      <w:start w:val="1"/>
      <w:numFmt w:val="lowerLetter"/>
      <w:lvlText w:val="%8."/>
      <w:lvlJc w:val="left"/>
      <w:pPr>
        <w:ind w:left="5760" w:hanging="360"/>
      </w:pPr>
    </w:lvl>
    <w:lvl w:ilvl="8" w:tplc="99EA255C" w:tentative="1">
      <w:start w:val="1"/>
      <w:numFmt w:val="lowerRoman"/>
      <w:lvlText w:val="%9."/>
      <w:lvlJc w:val="right"/>
      <w:pPr>
        <w:ind w:left="6480" w:hanging="180"/>
      </w:pPr>
    </w:lvl>
  </w:abstractNum>
  <w:abstractNum w:abstractNumId="13" w15:restartNumberingAfterBreak="0">
    <w:nsid w:val="0A673651"/>
    <w:multiLevelType w:val="hybridMultilevel"/>
    <w:tmpl w:val="69F0B30C"/>
    <w:lvl w:ilvl="0" w:tplc="E44A8DF4">
      <w:start w:val="1"/>
      <w:numFmt w:val="decimal"/>
      <w:lvlText w:val="(%1)"/>
      <w:lvlJc w:val="left"/>
      <w:pPr>
        <w:ind w:left="720" w:hanging="360"/>
      </w:pPr>
      <w:rPr>
        <w:rFonts w:hint="default"/>
      </w:rPr>
    </w:lvl>
    <w:lvl w:ilvl="1" w:tplc="541C1522" w:tentative="1">
      <w:start w:val="1"/>
      <w:numFmt w:val="lowerLetter"/>
      <w:lvlText w:val="%2."/>
      <w:lvlJc w:val="left"/>
      <w:pPr>
        <w:ind w:left="1440" w:hanging="360"/>
      </w:pPr>
    </w:lvl>
    <w:lvl w:ilvl="2" w:tplc="FC82AF86" w:tentative="1">
      <w:start w:val="1"/>
      <w:numFmt w:val="lowerRoman"/>
      <w:lvlText w:val="%3."/>
      <w:lvlJc w:val="right"/>
      <w:pPr>
        <w:ind w:left="2160" w:hanging="180"/>
      </w:pPr>
    </w:lvl>
    <w:lvl w:ilvl="3" w:tplc="36721910" w:tentative="1">
      <w:start w:val="1"/>
      <w:numFmt w:val="decimal"/>
      <w:lvlText w:val="%4."/>
      <w:lvlJc w:val="left"/>
      <w:pPr>
        <w:ind w:left="2880" w:hanging="360"/>
      </w:pPr>
    </w:lvl>
    <w:lvl w:ilvl="4" w:tplc="C1F8EC2C" w:tentative="1">
      <w:start w:val="1"/>
      <w:numFmt w:val="lowerLetter"/>
      <w:lvlText w:val="%5."/>
      <w:lvlJc w:val="left"/>
      <w:pPr>
        <w:ind w:left="3600" w:hanging="360"/>
      </w:pPr>
    </w:lvl>
    <w:lvl w:ilvl="5" w:tplc="D83882F6" w:tentative="1">
      <w:start w:val="1"/>
      <w:numFmt w:val="lowerRoman"/>
      <w:lvlText w:val="%6."/>
      <w:lvlJc w:val="right"/>
      <w:pPr>
        <w:ind w:left="4320" w:hanging="180"/>
      </w:pPr>
    </w:lvl>
    <w:lvl w:ilvl="6" w:tplc="92BA8124" w:tentative="1">
      <w:start w:val="1"/>
      <w:numFmt w:val="decimal"/>
      <w:lvlText w:val="%7."/>
      <w:lvlJc w:val="left"/>
      <w:pPr>
        <w:ind w:left="5040" w:hanging="360"/>
      </w:pPr>
    </w:lvl>
    <w:lvl w:ilvl="7" w:tplc="C2B8B958" w:tentative="1">
      <w:start w:val="1"/>
      <w:numFmt w:val="lowerLetter"/>
      <w:lvlText w:val="%8."/>
      <w:lvlJc w:val="left"/>
      <w:pPr>
        <w:ind w:left="5760" w:hanging="360"/>
      </w:pPr>
    </w:lvl>
    <w:lvl w:ilvl="8" w:tplc="0C7665A4" w:tentative="1">
      <w:start w:val="1"/>
      <w:numFmt w:val="lowerRoman"/>
      <w:lvlText w:val="%9."/>
      <w:lvlJc w:val="right"/>
      <w:pPr>
        <w:ind w:left="6480" w:hanging="180"/>
      </w:pPr>
    </w:lvl>
  </w:abstractNum>
  <w:abstractNum w:abstractNumId="14" w15:restartNumberingAfterBreak="0">
    <w:nsid w:val="1A672012"/>
    <w:multiLevelType w:val="multilevel"/>
    <w:tmpl w:val="121C0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DE509C"/>
    <w:multiLevelType w:val="hybridMultilevel"/>
    <w:tmpl w:val="2C981124"/>
    <w:lvl w:ilvl="0" w:tplc="E4E024D0">
      <w:start w:val="1"/>
      <w:numFmt w:val="decimal"/>
      <w:lvlText w:val="(%1)"/>
      <w:lvlJc w:val="left"/>
      <w:pPr>
        <w:ind w:left="360" w:hanging="360"/>
      </w:pPr>
      <w:rPr>
        <w:rFonts w:hint="default"/>
      </w:rPr>
    </w:lvl>
    <w:lvl w:ilvl="1" w:tplc="A3AC97CE" w:tentative="1">
      <w:start w:val="1"/>
      <w:numFmt w:val="lowerLetter"/>
      <w:lvlText w:val="%2."/>
      <w:lvlJc w:val="left"/>
      <w:pPr>
        <w:ind w:left="1080" w:hanging="360"/>
      </w:pPr>
    </w:lvl>
    <w:lvl w:ilvl="2" w:tplc="60DA17FA" w:tentative="1">
      <w:start w:val="1"/>
      <w:numFmt w:val="lowerRoman"/>
      <w:lvlText w:val="%3."/>
      <w:lvlJc w:val="right"/>
      <w:pPr>
        <w:ind w:left="1800" w:hanging="180"/>
      </w:pPr>
    </w:lvl>
    <w:lvl w:ilvl="3" w:tplc="0FCC5954" w:tentative="1">
      <w:start w:val="1"/>
      <w:numFmt w:val="decimal"/>
      <w:lvlText w:val="%4."/>
      <w:lvlJc w:val="left"/>
      <w:pPr>
        <w:ind w:left="2520" w:hanging="360"/>
      </w:pPr>
    </w:lvl>
    <w:lvl w:ilvl="4" w:tplc="7876A8DE" w:tentative="1">
      <w:start w:val="1"/>
      <w:numFmt w:val="lowerLetter"/>
      <w:lvlText w:val="%5."/>
      <w:lvlJc w:val="left"/>
      <w:pPr>
        <w:ind w:left="3240" w:hanging="360"/>
      </w:pPr>
    </w:lvl>
    <w:lvl w:ilvl="5" w:tplc="DFAC74F2" w:tentative="1">
      <w:start w:val="1"/>
      <w:numFmt w:val="lowerRoman"/>
      <w:lvlText w:val="%6."/>
      <w:lvlJc w:val="right"/>
      <w:pPr>
        <w:ind w:left="3960" w:hanging="180"/>
      </w:pPr>
    </w:lvl>
    <w:lvl w:ilvl="6" w:tplc="C32E3E96" w:tentative="1">
      <w:start w:val="1"/>
      <w:numFmt w:val="decimal"/>
      <w:lvlText w:val="%7."/>
      <w:lvlJc w:val="left"/>
      <w:pPr>
        <w:ind w:left="4680" w:hanging="360"/>
      </w:pPr>
    </w:lvl>
    <w:lvl w:ilvl="7" w:tplc="4F9C6240" w:tentative="1">
      <w:start w:val="1"/>
      <w:numFmt w:val="lowerLetter"/>
      <w:lvlText w:val="%8."/>
      <w:lvlJc w:val="left"/>
      <w:pPr>
        <w:ind w:left="5400" w:hanging="360"/>
      </w:pPr>
    </w:lvl>
    <w:lvl w:ilvl="8" w:tplc="C180EE44" w:tentative="1">
      <w:start w:val="1"/>
      <w:numFmt w:val="lowerRoman"/>
      <w:lvlText w:val="%9."/>
      <w:lvlJc w:val="right"/>
      <w:pPr>
        <w:ind w:left="6120" w:hanging="180"/>
      </w:pPr>
    </w:lvl>
  </w:abstractNum>
  <w:abstractNum w:abstractNumId="16" w15:restartNumberingAfterBreak="0">
    <w:nsid w:val="1C70248D"/>
    <w:multiLevelType w:val="hybridMultilevel"/>
    <w:tmpl w:val="B9CE8894"/>
    <w:lvl w:ilvl="0" w:tplc="BED0AE9C">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F0DCB"/>
    <w:multiLevelType w:val="hybridMultilevel"/>
    <w:tmpl w:val="52AE7778"/>
    <w:lvl w:ilvl="0" w:tplc="4FEC8E60">
      <w:start w:val="1"/>
      <w:numFmt w:val="bullet"/>
      <w:pStyle w:val="ListBullet2"/>
      <w:lvlText w:val=""/>
      <w:lvlJc w:val="left"/>
      <w:pPr>
        <w:ind w:left="720" w:hanging="360"/>
      </w:pPr>
      <w:rPr>
        <w:rFonts w:ascii="Symbol" w:hAnsi="Symbol" w:hint="default"/>
      </w:rPr>
    </w:lvl>
    <w:lvl w:ilvl="1" w:tplc="8ED87898" w:tentative="1">
      <w:start w:val="1"/>
      <w:numFmt w:val="bullet"/>
      <w:lvlText w:val="o"/>
      <w:lvlJc w:val="left"/>
      <w:pPr>
        <w:ind w:left="1440" w:hanging="360"/>
      </w:pPr>
      <w:rPr>
        <w:rFonts w:ascii="Courier New" w:hAnsi="Courier New" w:cs="Courier New" w:hint="default"/>
      </w:rPr>
    </w:lvl>
    <w:lvl w:ilvl="2" w:tplc="F8986ACE" w:tentative="1">
      <w:start w:val="1"/>
      <w:numFmt w:val="bullet"/>
      <w:lvlText w:val=""/>
      <w:lvlJc w:val="left"/>
      <w:pPr>
        <w:ind w:left="2160" w:hanging="360"/>
      </w:pPr>
      <w:rPr>
        <w:rFonts w:ascii="Wingdings" w:hAnsi="Wingdings" w:hint="default"/>
      </w:rPr>
    </w:lvl>
    <w:lvl w:ilvl="3" w:tplc="FDE85314" w:tentative="1">
      <w:start w:val="1"/>
      <w:numFmt w:val="bullet"/>
      <w:lvlText w:val=""/>
      <w:lvlJc w:val="left"/>
      <w:pPr>
        <w:ind w:left="2880" w:hanging="360"/>
      </w:pPr>
      <w:rPr>
        <w:rFonts w:ascii="Symbol" w:hAnsi="Symbol" w:hint="default"/>
      </w:rPr>
    </w:lvl>
    <w:lvl w:ilvl="4" w:tplc="A7B0B344" w:tentative="1">
      <w:start w:val="1"/>
      <w:numFmt w:val="bullet"/>
      <w:lvlText w:val="o"/>
      <w:lvlJc w:val="left"/>
      <w:pPr>
        <w:ind w:left="3600" w:hanging="360"/>
      </w:pPr>
      <w:rPr>
        <w:rFonts w:ascii="Courier New" w:hAnsi="Courier New" w:cs="Courier New" w:hint="default"/>
      </w:rPr>
    </w:lvl>
    <w:lvl w:ilvl="5" w:tplc="A538E88C" w:tentative="1">
      <w:start w:val="1"/>
      <w:numFmt w:val="bullet"/>
      <w:lvlText w:val=""/>
      <w:lvlJc w:val="left"/>
      <w:pPr>
        <w:ind w:left="4320" w:hanging="360"/>
      </w:pPr>
      <w:rPr>
        <w:rFonts w:ascii="Wingdings" w:hAnsi="Wingdings" w:hint="default"/>
      </w:rPr>
    </w:lvl>
    <w:lvl w:ilvl="6" w:tplc="01CC365A" w:tentative="1">
      <w:start w:val="1"/>
      <w:numFmt w:val="bullet"/>
      <w:lvlText w:val=""/>
      <w:lvlJc w:val="left"/>
      <w:pPr>
        <w:ind w:left="5040" w:hanging="360"/>
      </w:pPr>
      <w:rPr>
        <w:rFonts w:ascii="Symbol" w:hAnsi="Symbol" w:hint="default"/>
      </w:rPr>
    </w:lvl>
    <w:lvl w:ilvl="7" w:tplc="97564FCE" w:tentative="1">
      <w:start w:val="1"/>
      <w:numFmt w:val="bullet"/>
      <w:lvlText w:val="o"/>
      <w:lvlJc w:val="left"/>
      <w:pPr>
        <w:ind w:left="5760" w:hanging="360"/>
      </w:pPr>
      <w:rPr>
        <w:rFonts w:ascii="Courier New" w:hAnsi="Courier New" w:cs="Courier New" w:hint="default"/>
      </w:rPr>
    </w:lvl>
    <w:lvl w:ilvl="8" w:tplc="250A41E2" w:tentative="1">
      <w:start w:val="1"/>
      <w:numFmt w:val="bullet"/>
      <w:lvlText w:val=""/>
      <w:lvlJc w:val="left"/>
      <w:pPr>
        <w:ind w:left="6480" w:hanging="360"/>
      </w:pPr>
      <w:rPr>
        <w:rFonts w:ascii="Wingdings" w:hAnsi="Wingdings" w:hint="default"/>
      </w:rPr>
    </w:lvl>
  </w:abstractNum>
  <w:abstractNum w:abstractNumId="18" w15:restartNumberingAfterBreak="0">
    <w:nsid w:val="259B542B"/>
    <w:multiLevelType w:val="hybridMultilevel"/>
    <w:tmpl w:val="32740132"/>
    <w:lvl w:ilvl="0" w:tplc="9F0625BC">
      <w:start w:val="1"/>
      <w:numFmt w:val="decimal"/>
      <w:lvlText w:val="(%1)"/>
      <w:lvlJc w:val="left"/>
      <w:pPr>
        <w:ind w:left="720" w:hanging="360"/>
      </w:pPr>
      <w:rPr>
        <w:rFonts w:hint="default"/>
      </w:rPr>
    </w:lvl>
    <w:lvl w:ilvl="1" w:tplc="EEB66330" w:tentative="1">
      <w:start w:val="1"/>
      <w:numFmt w:val="lowerLetter"/>
      <w:lvlText w:val="%2."/>
      <w:lvlJc w:val="left"/>
      <w:pPr>
        <w:ind w:left="1440" w:hanging="360"/>
      </w:pPr>
    </w:lvl>
    <w:lvl w:ilvl="2" w:tplc="B4384E7E" w:tentative="1">
      <w:start w:val="1"/>
      <w:numFmt w:val="lowerRoman"/>
      <w:lvlText w:val="%3."/>
      <w:lvlJc w:val="right"/>
      <w:pPr>
        <w:ind w:left="2160" w:hanging="180"/>
      </w:pPr>
    </w:lvl>
    <w:lvl w:ilvl="3" w:tplc="99B680BC" w:tentative="1">
      <w:start w:val="1"/>
      <w:numFmt w:val="decimal"/>
      <w:lvlText w:val="%4."/>
      <w:lvlJc w:val="left"/>
      <w:pPr>
        <w:ind w:left="2880" w:hanging="360"/>
      </w:pPr>
    </w:lvl>
    <w:lvl w:ilvl="4" w:tplc="3286C77E" w:tentative="1">
      <w:start w:val="1"/>
      <w:numFmt w:val="lowerLetter"/>
      <w:lvlText w:val="%5."/>
      <w:lvlJc w:val="left"/>
      <w:pPr>
        <w:ind w:left="3600" w:hanging="360"/>
      </w:pPr>
    </w:lvl>
    <w:lvl w:ilvl="5" w:tplc="BE7C3600" w:tentative="1">
      <w:start w:val="1"/>
      <w:numFmt w:val="lowerRoman"/>
      <w:lvlText w:val="%6."/>
      <w:lvlJc w:val="right"/>
      <w:pPr>
        <w:ind w:left="4320" w:hanging="180"/>
      </w:pPr>
    </w:lvl>
    <w:lvl w:ilvl="6" w:tplc="ECE00E1A" w:tentative="1">
      <w:start w:val="1"/>
      <w:numFmt w:val="decimal"/>
      <w:lvlText w:val="%7."/>
      <w:lvlJc w:val="left"/>
      <w:pPr>
        <w:ind w:left="5040" w:hanging="360"/>
      </w:pPr>
    </w:lvl>
    <w:lvl w:ilvl="7" w:tplc="3A3C7E04" w:tentative="1">
      <w:start w:val="1"/>
      <w:numFmt w:val="lowerLetter"/>
      <w:lvlText w:val="%8."/>
      <w:lvlJc w:val="left"/>
      <w:pPr>
        <w:ind w:left="5760" w:hanging="360"/>
      </w:pPr>
    </w:lvl>
    <w:lvl w:ilvl="8" w:tplc="BF42C7E6" w:tentative="1">
      <w:start w:val="1"/>
      <w:numFmt w:val="lowerRoman"/>
      <w:lvlText w:val="%9."/>
      <w:lvlJc w:val="right"/>
      <w:pPr>
        <w:ind w:left="6480" w:hanging="180"/>
      </w:pPr>
    </w:lvl>
  </w:abstractNum>
  <w:abstractNum w:abstractNumId="19" w15:restartNumberingAfterBreak="0">
    <w:nsid w:val="2A9D0AA7"/>
    <w:multiLevelType w:val="hybridMultilevel"/>
    <w:tmpl w:val="4ACCDFA4"/>
    <w:lvl w:ilvl="0" w:tplc="6AE2E95C">
      <w:start w:val="1"/>
      <w:numFmt w:val="decimal"/>
      <w:lvlText w:val="(%1)"/>
      <w:lvlJc w:val="left"/>
      <w:pPr>
        <w:ind w:left="360" w:hanging="360"/>
      </w:pPr>
      <w:rPr>
        <w:rFonts w:hint="default"/>
      </w:rPr>
    </w:lvl>
    <w:lvl w:ilvl="1" w:tplc="26FCF284" w:tentative="1">
      <w:start w:val="1"/>
      <w:numFmt w:val="lowerLetter"/>
      <w:lvlText w:val="%2."/>
      <w:lvlJc w:val="left"/>
      <w:pPr>
        <w:ind w:left="1080" w:hanging="360"/>
      </w:pPr>
    </w:lvl>
    <w:lvl w:ilvl="2" w:tplc="6E88DE28" w:tentative="1">
      <w:start w:val="1"/>
      <w:numFmt w:val="lowerRoman"/>
      <w:lvlText w:val="%3."/>
      <w:lvlJc w:val="right"/>
      <w:pPr>
        <w:ind w:left="1800" w:hanging="180"/>
      </w:pPr>
    </w:lvl>
    <w:lvl w:ilvl="3" w:tplc="69D8DB70" w:tentative="1">
      <w:start w:val="1"/>
      <w:numFmt w:val="decimal"/>
      <w:lvlText w:val="%4."/>
      <w:lvlJc w:val="left"/>
      <w:pPr>
        <w:ind w:left="2520" w:hanging="360"/>
      </w:pPr>
    </w:lvl>
    <w:lvl w:ilvl="4" w:tplc="1488F994" w:tentative="1">
      <w:start w:val="1"/>
      <w:numFmt w:val="lowerLetter"/>
      <w:lvlText w:val="%5."/>
      <w:lvlJc w:val="left"/>
      <w:pPr>
        <w:ind w:left="3240" w:hanging="360"/>
      </w:pPr>
    </w:lvl>
    <w:lvl w:ilvl="5" w:tplc="3E30122E" w:tentative="1">
      <w:start w:val="1"/>
      <w:numFmt w:val="lowerRoman"/>
      <w:lvlText w:val="%6."/>
      <w:lvlJc w:val="right"/>
      <w:pPr>
        <w:ind w:left="3960" w:hanging="180"/>
      </w:pPr>
    </w:lvl>
    <w:lvl w:ilvl="6" w:tplc="C9B476D8" w:tentative="1">
      <w:start w:val="1"/>
      <w:numFmt w:val="decimal"/>
      <w:lvlText w:val="%7."/>
      <w:lvlJc w:val="left"/>
      <w:pPr>
        <w:ind w:left="4680" w:hanging="360"/>
      </w:pPr>
    </w:lvl>
    <w:lvl w:ilvl="7" w:tplc="A03CC3B2" w:tentative="1">
      <w:start w:val="1"/>
      <w:numFmt w:val="lowerLetter"/>
      <w:lvlText w:val="%8."/>
      <w:lvlJc w:val="left"/>
      <w:pPr>
        <w:ind w:left="5400" w:hanging="360"/>
      </w:pPr>
    </w:lvl>
    <w:lvl w:ilvl="8" w:tplc="08CE172A" w:tentative="1">
      <w:start w:val="1"/>
      <w:numFmt w:val="lowerRoman"/>
      <w:lvlText w:val="%9."/>
      <w:lvlJc w:val="right"/>
      <w:pPr>
        <w:ind w:left="6120" w:hanging="180"/>
      </w:pPr>
    </w:lvl>
  </w:abstractNum>
  <w:abstractNum w:abstractNumId="20" w15:restartNumberingAfterBreak="0">
    <w:nsid w:val="2AEB3F5A"/>
    <w:multiLevelType w:val="hybridMultilevel"/>
    <w:tmpl w:val="4ACCDFA4"/>
    <w:lvl w:ilvl="0" w:tplc="F1FC1AE0">
      <w:start w:val="1"/>
      <w:numFmt w:val="decimal"/>
      <w:lvlText w:val="(%1)"/>
      <w:lvlJc w:val="left"/>
      <w:pPr>
        <w:ind w:left="360" w:hanging="360"/>
      </w:pPr>
      <w:rPr>
        <w:rFonts w:hint="default"/>
      </w:rPr>
    </w:lvl>
    <w:lvl w:ilvl="1" w:tplc="7FF8C3E6" w:tentative="1">
      <w:start w:val="1"/>
      <w:numFmt w:val="lowerLetter"/>
      <w:lvlText w:val="%2."/>
      <w:lvlJc w:val="left"/>
      <w:pPr>
        <w:ind w:left="1080" w:hanging="360"/>
      </w:pPr>
    </w:lvl>
    <w:lvl w:ilvl="2" w:tplc="F7D698B6" w:tentative="1">
      <w:start w:val="1"/>
      <w:numFmt w:val="lowerRoman"/>
      <w:lvlText w:val="%3."/>
      <w:lvlJc w:val="right"/>
      <w:pPr>
        <w:ind w:left="1800" w:hanging="180"/>
      </w:pPr>
    </w:lvl>
    <w:lvl w:ilvl="3" w:tplc="E582378C" w:tentative="1">
      <w:start w:val="1"/>
      <w:numFmt w:val="decimal"/>
      <w:lvlText w:val="%4."/>
      <w:lvlJc w:val="left"/>
      <w:pPr>
        <w:ind w:left="2520" w:hanging="360"/>
      </w:pPr>
    </w:lvl>
    <w:lvl w:ilvl="4" w:tplc="70561962" w:tentative="1">
      <w:start w:val="1"/>
      <w:numFmt w:val="lowerLetter"/>
      <w:lvlText w:val="%5."/>
      <w:lvlJc w:val="left"/>
      <w:pPr>
        <w:ind w:left="3240" w:hanging="360"/>
      </w:pPr>
    </w:lvl>
    <w:lvl w:ilvl="5" w:tplc="3FD8B994" w:tentative="1">
      <w:start w:val="1"/>
      <w:numFmt w:val="lowerRoman"/>
      <w:lvlText w:val="%6."/>
      <w:lvlJc w:val="right"/>
      <w:pPr>
        <w:ind w:left="3960" w:hanging="180"/>
      </w:pPr>
    </w:lvl>
    <w:lvl w:ilvl="6" w:tplc="D7B861B8" w:tentative="1">
      <w:start w:val="1"/>
      <w:numFmt w:val="decimal"/>
      <w:lvlText w:val="%7."/>
      <w:lvlJc w:val="left"/>
      <w:pPr>
        <w:ind w:left="4680" w:hanging="360"/>
      </w:pPr>
    </w:lvl>
    <w:lvl w:ilvl="7" w:tplc="37E6E742" w:tentative="1">
      <w:start w:val="1"/>
      <w:numFmt w:val="lowerLetter"/>
      <w:lvlText w:val="%8."/>
      <w:lvlJc w:val="left"/>
      <w:pPr>
        <w:ind w:left="5400" w:hanging="360"/>
      </w:pPr>
    </w:lvl>
    <w:lvl w:ilvl="8" w:tplc="6068E7F0" w:tentative="1">
      <w:start w:val="1"/>
      <w:numFmt w:val="lowerRoman"/>
      <w:lvlText w:val="%9."/>
      <w:lvlJc w:val="right"/>
      <w:pPr>
        <w:ind w:left="6120" w:hanging="180"/>
      </w:pPr>
    </w:lvl>
  </w:abstractNum>
  <w:abstractNum w:abstractNumId="21" w15:restartNumberingAfterBreak="0">
    <w:nsid w:val="2BE52A80"/>
    <w:multiLevelType w:val="hybridMultilevel"/>
    <w:tmpl w:val="08F296EC"/>
    <w:lvl w:ilvl="0" w:tplc="4B708168">
      <w:start w:val="1"/>
      <w:numFmt w:val="decimal"/>
      <w:lvlText w:val="(%1)"/>
      <w:lvlJc w:val="left"/>
      <w:pPr>
        <w:ind w:left="720" w:hanging="360"/>
      </w:pPr>
      <w:rPr>
        <w:rFonts w:hint="default"/>
      </w:rPr>
    </w:lvl>
    <w:lvl w:ilvl="1" w:tplc="E9062F04" w:tentative="1">
      <w:start w:val="1"/>
      <w:numFmt w:val="lowerLetter"/>
      <w:lvlText w:val="%2."/>
      <w:lvlJc w:val="left"/>
      <w:pPr>
        <w:ind w:left="1440" w:hanging="360"/>
      </w:pPr>
    </w:lvl>
    <w:lvl w:ilvl="2" w:tplc="36C47778" w:tentative="1">
      <w:start w:val="1"/>
      <w:numFmt w:val="lowerRoman"/>
      <w:lvlText w:val="%3."/>
      <w:lvlJc w:val="right"/>
      <w:pPr>
        <w:ind w:left="2160" w:hanging="180"/>
      </w:pPr>
    </w:lvl>
    <w:lvl w:ilvl="3" w:tplc="98E04730" w:tentative="1">
      <w:start w:val="1"/>
      <w:numFmt w:val="decimal"/>
      <w:lvlText w:val="%4."/>
      <w:lvlJc w:val="left"/>
      <w:pPr>
        <w:ind w:left="2880" w:hanging="360"/>
      </w:pPr>
    </w:lvl>
    <w:lvl w:ilvl="4" w:tplc="92229F84" w:tentative="1">
      <w:start w:val="1"/>
      <w:numFmt w:val="lowerLetter"/>
      <w:lvlText w:val="%5."/>
      <w:lvlJc w:val="left"/>
      <w:pPr>
        <w:ind w:left="3600" w:hanging="360"/>
      </w:pPr>
    </w:lvl>
    <w:lvl w:ilvl="5" w:tplc="1FD6D3E4" w:tentative="1">
      <w:start w:val="1"/>
      <w:numFmt w:val="lowerRoman"/>
      <w:lvlText w:val="%6."/>
      <w:lvlJc w:val="right"/>
      <w:pPr>
        <w:ind w:left="4320" w:hanging="180"/>
      </w:pPr>
    </w:lvl>
    <w:lvl w:ilvl="6" w:tplc="76BC886E" w:tentative="1">
      <w:start w:val="1"/>
      <w:numFmt w:val="decimal"/>
      <w:lvlText w:val="%7."/>
      <w:lvlJc w:val="left"/>
      <w:pPr>
        <w:ind w:left="5040" w:hanging="360"/>
      </w:pPr>
    </w:lvl>
    <w:lvl w:ilvl="7" w:tplc="76306B06" w:tentative="1">
      <w:start w:val="1"/>
      <w:numFmt w:val="lowerLetter"/>
      <w:lvlText w:val="%8."/>
      <w:lvlJc w:val="left"/>
      <w:pPr>
        <w:ind w:left="5760" w:hanging="360"/>
      </w:pPr>
    </w:lvl>
    <w:lvl w:ilvl="8" w:tplc="27FEA3BC" w:tentative="1">
      <w:start w:val="1"/>
      <w:numFmt w:val="lowerRoman"/>
      <w:lvlText w:val="%9."/>
      <w:lvlJc w:val="right"/>
      <w:pPr>
        <w:ind w:left="6480" w:hanging="180"/>
      </w:pPr>
    </w:lvl>
  </w:abstractNum>
  <w:abstractNum w:abstractNumId="22" w15:restartNumberingAfterBreak="0">
    <w:nsid w:val="2C3B149A"/>
    <w:multiLevelType w:val="multilevel"/>
    <w:tmpl w:val="3B7EB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41711"/>
    <w:multiLevelType w:val="multilevel"/>
    <w:tmpl w:val="3EA83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641EE"/>
    <w:multiLevelType w:val="hybridMultilevel"/>
    <w:tmpl w:val="D77E7A3C"/>
    <w:lvl w:ilvl="0" w:tplc="718A308A">
      <w:start w:val="1"/>
      <w:numFmt w:val="decimal"/>
      <w:lvlText w:val="(%1)"/>
      <w:lvlJc w:val="left"/>
      <w:pPr>
        <w:ind w:left="360" w:hanging="360"/>
      </w:pPr>
      <w:rPr>
        <w:rFonts w:hint="default"/>
        <w:sz w:val="16"/>
        <w:szCs w:val="16"/>
      </w:rPr>
    </w:lvl>
    <w:lvl w:ilvl="1" w:tplc="95044060" w:tentative="1">
      <w:start w:val="1"/>
      <w:numFmt w:val="lowerLetter"/>
      <w:lvlText w:val="%2."/>
      <w:lvlJc w:val="left"/>
      <w:pPr>
        <w:ind w:left="1080" w:hanging="360"/>
      </w:pPr>
    </w:lvl>
    <w:lvl w:ilvl="2" w:tplc="08168B62" w:tentative="1">
      <w:start w:val="1"/>
      <w:numFmt w:val="lowerRoman"/>
      <w:lvlText w:val="%3."/>
      <w:lvlJc w:val="right"/>
      <w:pPr>
        <w:ind w:left="1800" w:hanging="180"/>
      </w:pPr>
    </w:lvl>
    <w:lvl w:ilvl="3" w:tplc="93AA7418" w:tentative="1">
      <w:start w:val="1"/>
      <w:numFmt w:val="decimal"/>
      <w:lvlText w:val="%4."/>
      <w:lvlJc w:val="left"/>
      <w:pPr>
        <w:ind w:left="2520" w:hanging="360"/>
      </w:pPr>
    </w:lvl>
    <w:lvl w:ilvl="4" w:tplc="30C6A3CE" w:tentative="1">
      <w:start w:val="1"/>
      <w:numFmt w:val="lowerLetter"/>
      <w:lvlText w:val="%5."/>
      <w:lvlJc w:val="left"/>
      <w:pPr>
        <w:ind w:left="3240" w:hanging="360"/>
      </w:pPr>
    </w:lvl>
    <w:lvl w:ilvl="5" w:tplc="C902F5A0" w:tentative="1">
      <w:start w:val="1"/>
      <w:numFmt w:val="lowerRoman"/>
      <w:lvlText w:val="%6."/>
      <w:lvlJc w:val="right"/>
      <w:pPr>
        <w:ind w:left="3960" w:hanging="180"/>
      </w:pPr>
    </w:lvl>
    <w:lvl w:ilvl="6" w:tplc="9F38C6F2" w:tentative="1">
      <w:start w:val="1"/>
      <w:numFmt w:val="decimal"/>
      <w:lvlText w:val="%7."/>
      <w:lvlJc w:val="left"/>
      <w:pPr>
        <w:ind w:left="4680" w:hanging="360"/>
      </w:pPr>
    </w:lvl>
    <w:lvl w:ilvl="7" w:tplc="D76261E2" w:tentative="1">
      <w:start w:val="1"/>
      <w:numFmt w:val="lowerLetter"/>
      <w:lvlText w:val="%8."/>
      <w:lvlJc w:val="left"/>
      <w:pPr>
        <w:ind w:left="5400" w:hanging="360"/>
      </w:pPr>
    </w:lvl>
    <w:lvl w:ilvl="8" w:tplc="9D08BED6" w:tentative="1">
      <w:start w:val="1"/>
      <w:numFmt w:val="lowerRoman"/>
      <w:lvlText w:val="%9."/>
      <w:lvlJc w:val="right"/>
      <w:pPr>
        <w:ind w:left="6120" w:hanging="180"/>
      </w:pPr>
    </w:lvl>
  </w:abstractNum>
  <w:abstractNum w:abstractNumId="25" w15:restartNumberingAfterBreak="0">
    <w:nsid w:val="3E8C37E2"/>
    <w:multiLevelType w:val="hybridMultilevel"/>
    <w:tmpl w:val="6A7C9068"/>
    <w:lvl w:ilvl="0" w:tplc="CCAEC4EC">
      <w:start w:val="1"/>
      <w:numFmt w:val="lowerRoman"/>
      <w:lvlText w:val="(%1)"/>
      <w:lvlJc w:val="right"/>
      <w:pPr>
        <w:ind w:left="1440" w:hanging="360"/>
      </w:pPr>
      <w:rPr>
        <w:rFonts w:hint="default"/>
      </w:rPr>
    </w:lvl>
    <w:lvl w:ilvl="1" w:tplc="086ED7BE" w:tentative="1">
      <w:start w:val="1"/>
      <w:numFmt w:val="lowerLetter"/>
      <w:lvlText w:val="%2."/>
      <w:lvlJc w:val="left"/>
      <w:pPr>
        <w:ind w:left="2160" w:hanging="360"/>
      </w:pPr>
    </w:lvl>
    <w:lvl w:ilvl="2" w:tplc="25E080A6" w:tentative="1">
      <w:start w:val="1"/>
      <w:numFmt w:val="lowerRoman"/>
      <w:lvlText w:val="%3."/>
      <w:lvlJc w:val="right"/>
      <w:pPr>
        <w:ind w:left="2880" w:hanging="180"/>
      </w:pPr>
    </w:lvl>
    <w:lvl w:ilvl="3" w:tplc="EEAAA31A" w:tentative="1">
      <w:start w:val="1"/>
      <w:numFmt w:val="decimal"/>
      <w:lvlText w:val="%4."/>
      <w:lvlJc w:val="left"/>
      <w:pPr>
        <w:ind w:left="3600" w:hanging="360"/>
      </w:pPr>
    </w:lvl>
    <w:lvl w:ilvl="4" w:tplc="CD64F1E8" w:tentative="1">
      <w:start w:val="1"/>
      <w:numFmt w:val="lowerLetter"/>
      <w:lvlText w:val="%5."/>
      <w:lvlJc w:val="left"/>
      <w:pPr>
        <w:ind w:left="4320" w:hanging="360"/>
      </w:pPr>
    </w:lvl>
    <w:lvl w:ilvl="5" w:tplc="F8B01FFA" w:tentative="1">
      <w:start w:val="1"/>
      <w:numFmt w:val="lowerRoman"/>
      <w:lvlText w:val="%6."/>
      <w:lvlJc w:val="right"/>
      <w:pPr>
        <w:ind w:left="5040" w:hanging="180"/>
      </w:pPr>
    </w:lvl>
    <w:lvl w:ilvl="6" w:tplc="24DA2F5A" w:tentative="1">
      <w:start w:val="1"/>
      <w:numFmt w:val="decimal"/>
      <w:lvlText w:val="%7."/>
      <w:lvlJc w:val="left"/>
      <w:pPr>
        <w:ind w:left="5760" w:hanging="360"/>
      </w:pPr>
    </w:lvl>
    <w:lvl w:ilvl="7" w:tplc="E770521C" w:tentative="1">
      <w:start w:val="1"/>
      <w:numFmt w:val="lowerLetter"/>
      <w:lvlText w:val="%8."/>
      <w:lvlJc w:val="left"/>
      <w:pPr>
        <w:ind w:left="6480" w:hanging="360"/>
      </w:pPr>
    </w:lvl>
    <w:lvl w:ilvl="8" w:tplc="62A0EB9C" w:tentative="1">
      <w:start w:val="1"/>
      <w:numFmt w:val="lowerRoman"/>
      <w:lvlText w:val="%9."/>
      <w:lvlJc w:val="right"/>
      <w:pPr>
        <w:ind w:left="7200" w:hanging="180"/>
      </w:pPr>
    </w:lvl>
  </w:abstractNum>
  <w:abstractNum w:abstractNumId="26" w15:restartNumberingAfterBreak="0">
    <w:nsid w:val="41436DE5"/>
    <w:multiLevelType w:val="hybridMultilevel"/>
    <w:tmpl w:val="95DC8DC0"/>
    <w:lvl w:ilvl="0" w:tplc="BD56127E">
      <w:start w:val="1"/>
      <w:numFmt w:val="decimal"/>
      <w:lvlText w:val="(%1)"/>
      <w:lvlJc w:val="left"/>
      <w:pPr>
        <w:ind w:left="720" w:hanging="360"/>
      </w:pPr>
      <w:rPr>
        <w:rFonts w:hint="default"/>
      </w:rPr>
    </w:lvl>
    <w:lvl w:ilvl="1" w:tplc="D388B938" w:tentative="1">
      <w:start w:val="1"/>
      <w:numFmt w:val="lowerLetter"/>
      <w:lvlText w:val="%2."/>
      <w:lvlJc w:val="left"/>
      <w:pPr>
        <w:ind w:left="1440" w:hanging="360"/>
      </w:pPr>
    </w:lvl>
    <w:lvl w:ilvl="2" w:tplc="500896AE" w:tentative="1">
      <w:start w:val="1"/>
      <w:numFmt w:val="lowerRoman"/>
      <w:lvlText w:val="%3."/>
      <w:lvlJc w:val="right"/>
      <w:pPr>
        <w:ind w:left="2160" w:hanging="180"/>
      </w:pPr>
    </w:lvl>
    <w:lvl w:ilvl="3" w:tplc="03CC092C" w:tentative="1">
      <w:start w:val="1"/>
      <w:numFmt w:val="decimal"/>
      <w:lvlText w:val="%4."/>
      <w:lvlJc w:val="left"/>
      <w:pPr>
        <w:ind w:left="2880" w:hanging="360"/>
      </w:pPr>
    </w:lvl>
    <w:lvl w:ilvl="4" w:tplc="4DA290CC" w:tentative="1">
      <w:start w:val="1"/>
      <w:numFmt w:val="lowerLetter"/>
      <w:lvlText w:val="%5."/>
      <w:lvlJc w:val="left"/>
      <w:pPr>
        <w:ind w:left="3600" w:hanging="360"/>
      </w:pPr>
    </w:lvl>
    <w:lvl w:ilvl="5" w:tplc="64267762" w:tentative="1">
      <w:start w:val="1"/>
      <w:numFmt w:val="lowerRoman"/>
      <w:lvlText w:val="%6."/>
      <w:lvlJc w:val="right"/>
      <w:pPr>
        <w:ind w:left="4320" w:hanging="180"/>
      </w:pPr>
    </w:lvl>
    <w:lvl w:ilvl="6" w:tplc="66BE161C" w:tentative="1">
      <w:start w:val="1"/>
      <w:numFmt w:val="decimal"/>
      <w:lvlText w:val="%7."/>
      <w:lvlJc w:val="left"/>
      <w:pPr>
        <w:ind w:left="5040" w:hanging="360"/>
      </w:pPr>
    </w:lvl>
    <w:lvl w:ilvl="7" w:tplc="7E4A5508" w:tentative="1">
      <w:start w:val="1"/>
      <w:numFmt w:val="lowerLetter"/>
      <w:lvlText w:val="%8."/>
      <w:lvlJc w:val="left"/>
      <w:pPr>
        <w:ind w:left="5760" w:hanging="360"/>
      </w:pPr>
    </w:lvl>
    <w:lvl w:ilvl="8" w:tplc="6A08341E" w:tentative="1">
      <w:start w:val="1"/>
      <w:numFmt w:val="lowerRoman"/>
      <w:lvlText w:val="%9."/>
      <w:lvlJc w:val="right"/>
      <w:pPr>
        <w:ind w:left="6480" w:hanging="180"/>
      </w:pPr>
    </w:lvl>
  </w:abstractNum>
  <w:abstractNum w:abstractNumId="27" w15:restartNumberingAfterBreak="0">
    <w:nsid w:val="453D7D1F"/>
    <w:multiLevelType w:val="hybridMultilevel"/>
    <w:tmpl w:val="E91C73A4"/>
    <w:lvl w:ilvl="0" w:tplc="476C6EF4">
      <w:start w:val="1"/>
      <w:numFmt w:val="decimal"/>
      <w:lvlText w:val="(%1)"/>
      <w:lvlJc w:val="left"/>
      <w:pPr>
        <w:ind w:left="720" w:hanging="360"/>
      </w:pPr>
      <w:rPr>
        <w:rFonts w:hint="default"/>
      </w:rPr>
    </w:lvl>
    <w:lvl w:ilvl="1" w:tplc="1AF2F6D8" w:tentative="1">
      <w:start w:val="1"/>
      <w:numFmt w:val="lowerLetter"/>
      <w:lvlText w:val="%2."/>
      <w:lvlJc w:val="left"/>
      <w:pPr>
        <w:ind w:left="1440" w:hanging="360"/>
      </w:pPr>
    </w:lvl>
    <w:lvl w:ilvl="2" w:tplc="613E155C" w:tentative="1">
      <w:start w:val="1"/>
      <w:numFmt w:val="lowerRoman"/>
      <w:lvlText w:val="%3."/>
      <w:lvlJc w:val="right"/>
      <w:pPr>
        <w:ind w:left="2160" w:hanging="180"/>
      </w:pPr>
    </w:lvl>
    <w:lvl w:ilvl="3" w:tplc="F22E929E" w:tentative="1">
      <w:start w:val="1"/>
      <w:numFmt w:val="decimal"/>
      <w:lvlText w:val="%4."/>
      <w:lvlJc w:val="left"/>
      <w:pPr>
        <w:ind w:left="2880" w:hanging="360"/>
      </w:pPr>
    </w:lvl>
    <w:lvl w:ilvl="4" w:tplc="35FA4958" w:tentative="1">
      <w:start w:val="1"/>
      <w:numFmt w:val="lowerLetter"/>
      <w:lvlText w:val="%5."/>
      <w:lvlJc w:val="left"/>
      <w:pPr>
        <w:ind w:left="3600" w:hanging="360"/>
      </w:pPr>
    </w:lvl>
    <w:lvl w:ilvl="5" w:tplc="246EF41C" w:tentative="1">
      <w:start w:val="1"/>
      <w:numFmt w:val="lowerRoman"/>
      <w:lvlText w:val="%6."/>
      <w:lvlJc w:val="right"/>
      <w:pPr>
        <w:ind w:left="4320" w:hanging="180"/>
      </w:pPr>
    </w:lvl>
    <w:lvl w:ilvl="6" w:tplc="717C209E" w:tentative="1">
      <w:start w:val="1"/>
      <w:numFmt w:val="decimal"/>
      <w:lvlText w:val="%7."/>
      <w:lvlJc w:val="left"/>
      <w:pPr>
        <w:ind w:left="5040" w:hanging="360"/>
      </w:pPr>
    </w:lvl>
    <w:lvl w:ilvl="7" w:tplc="A7107EF0" w:tentative="1">
      <w:start w:val="1"/>
      <w:numFmt w:val="lowerLetter"/>
      <w:lvlText w:val="%8."/>
      <w:lvlJc w:val="left"/>
      <w:pPr>
        <w:ind w:left="5760" w:hanging="360"/>
      </w:pPr>
    </w:lvl>
    <w:lvl w:ilvl="8" w:tplc="19681234" w:tentative="1">
      <w:start w:val="1"/>
      <w:numFmt w:val="lowerRoman"/>
      <w:lvlText w:val="%9."/>
      <w:lvlJc w:val="right"/>
      <w:pPr>
        <w:ind w:left="6480" w:hanging="180"/>
      </w:pPr>
    </w:lvl>
  </w:abstractNum>
  <w:abstractNum w:abstractNumId="28" w15:restartNumberingAfterBreak="0">
    <w:nsid w:val="467111CE"/>
    <w:multiLevelType w:val="hybridMultilevel"/>
    <w:tmpl w:val="5B3CAAA0"/>
    <w:lvl w:ilvl="0" w:tplc="E8F8F852">
      <w:start w:val="1"/>
      <w:numFmt w:val="bullet"/>
      <w:lvlText w:val=""/>
      <w:lvlJc w:val="left"/>
      <w:pPr>
        <w:ind w:left="1080" w:hanging="360"/>
      </w:pPr>
      <w:rPr>
        <w:rFonts w:ascii="Symbol" w:hAnsi="Symbol" w:hint="default"/>
      </w:rPr>
    </w:lvl>
    <w:lvl w:ilvl="1" w:tplc="0A56FD00" w:tentative="1">
      <w:start w:val="1"/>
      <w:numFmt w:val="bullet"/>
      <w:lvlText w:val="o"/>
      <w:lvlJc w:val="left"/>
      <w:pPr>
        <w:ind w:left="1800" w:hanging="360"/>
      </w:pPr>
      <w:rPr>
        <w:rFonts w:ascii="Courier New" w:hAnsi="Courier New" w:cs="Courier New" w:hint="default"/>
      </w:rPr>
    </w:lvl>
    <w:lvl w:ilvl="2" w:tplc="948891B6" w:tentative="1">
      <w:start w:val="1"/>
      <w:numFmt w:val="bullet"/>
      <w:lvlText w:val=""/>
      <w:lvlJc w:val="left"/>
      <w:pPr>
        <w:ind w:left="2520" w:hanging="360"/>
      </w:pPr>
      <w:rPr>
        <w:rFonts w:ascii="Wingdings" w:hAnsi="Wingdings" w:hint="default"/>
      </w:rPr>
    </w:lvl>
    <w:lvl w:ilvl="3" w:tplc="55FAE62C" w:tentative="1">
      <w:start w:val="1"/>
      <w:numFmt w:val="bullet"/>
      <w:lvlText w:val=""/>
      <w:lvlJc w:val="left"/>
      <w:pPr>
        <w:ind w:left="3240" w:hanging="360"/>
      </w:pPr>
      <w:rPr>
        <w:rFonts w:ascii="Symbol" w:hAnsi="Symbol" w:hint="default"/>
      </w:rPr>
    </w:lvl>
    <w:lvl w:ilvl="4" w:tplc="D11A72FA" w:tentative="1">
      <w:start w:val="1"/>
      <w:numFmt w:val="bullet"/>
      <w:lvlText w:val="o"/>
      <w:lvlJc w:val="left"/>
      <w:pPr>
        <w:ind w:left="3960" w:hanging="360"/>
      </w:pPr>
      <w:rPr>
        <w:rFonts w:ascii="Courier New" w:hAnsi="Courier New" w:cs="Courier New" w:hint="default"/>
      </w:rPr>
    </w:lvl>
    <w:lvl w:ilvl="5" w:tplc="6E0C654C" w:tentative="1">
      <w:start w:val="1"/>
      <w:numFmt w:val="bullet"/>
      <w:lvlText w:val=""/>
      <w:lvlJc w:val="left"/>
      <w:pPr>
        <w:ind w:left="4680" w:hanging="360"/>
      </w:pPr>
      <w:rPr>
        <w:rFonts w:ascii="Wingdings" w:hAnsi="Wingdings" w:hint="default"/>
      </w:rPr>
    </w:lvl>
    <w:lvl w:ilvl="6" w:tplc="7048E42E" w:tentative="1">
      <w:start w:val="1"/>
      <w:numFmt w:val="bullet"/>
      <w:lvlText w:val=""/>
      <w:lvlJc w:val="left"/>
      <w:pPr>
        <w:ind w:left="5400" w:hanging="360"/>
      </w:pPr>
      <w:rPr>
        <w:rFonts w:ascii="Symbol" w:hAnsi="Symbol" w:hint="default"/>
      </w:rPr>
    </w:lvl>
    <w:lvl w:ilvl="7" w:tplc="62860E98" w:tentative="1">
      <w:start w:val="1"/>
      <w:numFmt w:val="bullet"/>
      <w:lvlText w:val="o"/>
      <w:lvlJc w:val="left"/>
      <w:pPr>
        <w:ind w:left="6120" w:hanging="360"/>
      </w:pPr>
      <w:rPr>
        <w:rFonts w:ascii="Courier New" w:hAnsi="Courier New" w:cs="Courier New" w:hint="default"/>
      </w:rPr>
    </w:lvl>
    <w:lvl w:ilvl="8" w:tplc="198C8E84" w:tentative="1">
      <w:start w:val="1"/>
      <w:numFmt w:val="bullet"/>
      <w:lvlText w:val=""/>
      <w:lvlJc w:val="left"/>
      <w:pPr>
        <w:ind w:left="6840" w:hanging="360"/>
      </w:pPr>
      <w:rPr>
        <w:rFonts w:ascii="Wingdings" w:hAnsi="Wingdings" w:hint="default"/>
      </w:rPr>
    </w:lvl>
  </w:abstractNum>
  <w:abstractNum w:abstractNumId="29" w15:restartNumberingAfterBreak="0">
    <w:nsid w:val="46C530BF"/>
    <w:multiLevelType w:val="multilevel"/>
    <w:tmpl w:val="B31A9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EE6A68"/>
    <w:multiLevelType w:val="hybridMultilevel"/>
    <w:tmpl w:val="4ACCDFA4"/>
    <w:lvl w:ilvl="0" w:tplc="37F63AD0">
      <w:start w:val="1"/>
      <w:numFmt w:val="decimal"/>
      <w:lvlText w:val="(%1)"/>
      <w:lvlJc w:val="left"/>
      <w:pPr>
        <w:ind w:left="360" w:hanging="360"/>
      </w:pPr>
      <w:rPr>
        <w:rFonts w:hint="default"/>
      </w:rPr>
    </w:lvl>
    <w:lvl w:ilvl="1" w:tplc="BC8E0ACC" w:tentative="1">
      <w:start w:val="1"/>
      <w:numFmt w:val="lowerLetter"/>
      <w:lvlText w:val="%2."/>
      <w:lvlJc w:val="left"/>
      <w:pPr>
        <w:ind w:left="1080" w:hanging="360"/>
      </w:pPr>
    </w:lvl>
    <w:lvl w:ilvl="2" w:tplc="85F8F7A6" w:tentative="1">
      <w:start w:val="1"/>
      <w:numFmt w:val="lowerRoman"/>
      <w:lvlText w:val="%3."/>
      <w:lvlJc w:val="right"/>
      <w:pPr>
        <w:ind w:left="1800" w:hanging="180"/>
      </w:pPr>
    </w:lvl>
    <w:lvl w:ilvl="3" w:tplc="233AE106" w:tentative="1">
      <w:start w:val="1"/>
      <w:numFmt w:val="decimal"/>
      <w:lvlText w:val="%4."/>
      <w:lvlJc w:val="left"/>
      <w:pPr>
        <w:ind w:left="2520" w:hanging="360"/>
      </w:pPr>
    </w:lvl>
    <w:lvl w:ilvl="4" w:tplc="26CA5EC2" w:tentative="1">
      <w:start w:val="1"/>
      <w:numFmt w:val="lowerLetter"/>
      <w:lvlText w:val="%5."/>
      <w:lvlJc w:val="left"/>
      <w:pPr>
        <w:ind w:left="3240" w:hanging="360"/>
      </w:pPr>
    </w:lvl>
    <w:lvl w:ilvl="5" w:tplc="B45CE2B2" w:tentative="1">
      <w:start w:val="1"/>
      <w:numFmt w:val="lowerRoman"/>
      <w:lvlText w:val="%6."/>
      <w:lvlJc w:val="right"/>
      <w:pPr>
        <w:ind w:left="3960" w:hanging="180"/>
      </w:pPr>
    </w:lvl>
    <w:lvl w:ilvl="6" w:tplc="5F7C9272" w:tentative="1">
      <w:start w:val="1"/>
      <w:numFmt w:val="decimal"/>
      <w:lvlText w:val="%7."/>
      <w:lvlJc w:val="left"/>
      <w:pPr>
        <w:ind w:left="4680" w:hanging="360"/>
      </w:pPr>
    </w:lvl>
    <w:lvl w:ilvl="7" w:tplc="B74C4F2E" w:tentative="1">
      <w:start w:val="1"/>
      <w:numFmt w:val="lowerLetter"/>
      <w:lvlText w:val="%8."/>
      <w:lvlJc w:val="left"/>
      <w:pPr>
        <w:ind w:left="5400" w:hanging="360"/>
      </w:pPr>
    </w:lvl>
    <w:lvl w:ilvl="8" w:tplc="E9D2BD8C" w:tentative="1">
      <w:start w:val="1"/>
      <w:numFmt w:val="lowerRoman"/>
      <w:lvlText w:val="%9."/>
      <w:lvlJc w:val="right"/>
      <w:pPr>
        <w:ind w:left="6120" w:hanging="180"/>
      </w:pPr>
    </w:lvl>
  </w:abstractNum>
  <w:abstractNum w:abstractNumId="31" w15:restartNumberingAfterBreak="0">
    <w:nsid w:val="50E17D9F"/>
    <w:multiLevelType w:val="hybridMultilevel"/>
    <w:tmpl w:val="34E6CB6A"/>
    <w:lvl w:ilvl="0" w:tplc="2A520F08">
      <w:start w:val="1"/>
      <w:numFmt w:val="decimal"/>
      <w:lvlText w:val="(%1)"/>
      <w:lvlJc w:val="left"/>
      <w:pPr>
        <w:ind w:left="720" w:hanging="360"/>
      </w:pPr>
      <w:rPr>
        <w:rFonts w:hint="default"/>
      </w:rPr>
    </w:lvl>
    <w:lvl w:ilvl="1" w:tplc="F8EAEDC6" w:tentative="1">
      <w:start w:val="1"/>
      <w:numFmt w:val="lowerLetter"/>
      <w:lvlText w:val="%2."/>
      <w:lvlJc w:val="left"/>
      <w:pPr>
        <w:ind w:left="1440" w:hanging="360"/>
      </w:pPr>
    </w:lvl>
    <w:lvl w:ilvl="2" w:tplc="7F0A41B4" w:tentative="1">
      <w:start w:val="1"/>
      <w:numFmt w:val="lowerRoman"/>
      <w:lvlText w:val="%3."/>
      <w:lvlJc w:val="right"/>
      <w:pPr>
        <w:ind w:left="2160" w:hanging="180"/>
      </w:pPr>
    </w:lvl>
    <w:lvl w:ilvl="3" w:tplc="2190FF1C" w:tentative="1">
      <w:start w:val="1"/>
      <w:numFmt w:val="decimal"/>
      <w:lvlText w:val="%4."/>
      <w:lvlJc w:val="left"/>
      <w:pPr>
        <w:ind w:left="2880" w:hanging="360"/>
      </w:pPr>
    </w:lvl>
    <w:lvl w:ilvl="4" w:tplc="6156BA8A" w:tentative="1">
      <w:start w:val="1"/>
      <w:numFmt w:val="lowerLetter"/>
      <w:lvlText w:val="%5."/>
      <w:lvlJc w:val="left"/>
      <w:pPr>
        <w:ind w:left="3600" w:hanging="360"/>
      </w:pPr>
    </w:lvl>
    <w:lvl w:ilvl="5" w:tplc="F64C8506" w:tentative="1">
      <w:start w:val="1"/>
      <w:numFmt w:val="lowerRoman"/>
      <w:lvlText w:val="%6."/>
      <w:lvlJc w:val="right"/>
      <w:pPr>
        <w:ind w:left="4320" w:hanging="180"/>
      </w:pPr>
    </w:lvl>
    <w:lvl w:ilvl="6" w:tplc="96FEF40C" w:tentative="1">
      <w:start w:val="1"/>
      <w:numFmt w:val="decimal"/>
      <w:lvlText w:val="%7."/>
      <w:lvlJc w:val="left"/>
      <w:pPr>
        <w:ind w:left="5040" w:hanging="360"/>
      </w:pPr>
    </w:lvl>
    <w:lvl w:ilvl="7" w:tplc="28FCAA2A" w:tentative="1">
      <w:start w:val="1"/>
      <w:numFmt w:val="lowerLetter"/>
      <w:lvlText w:val="%8."/>
      <w:lvlJc w:val="left"/>
      <w:pPr>
        <w:ind w:left="5760" w:hanging="360"/>
      </w:pPr>
    </w:lvl>
    <w:lvl w:ilvl="8" w:tplc="B644F91E" w:tentative="1">
      <w:start w:val="1"/>
      <w:numFmt w:val="lowerRoman"/>
      <w:lvlText w:val="%9."/>
      <w:lvlJc w:val="right"/>
      <w:pPr>
        <w:ind w:left="6480" w:hanging="180"/>
      </w:pPr>
    </w:lvl>
  </w:abstractNum>
  <w:abstractNum w:abstractNumId="32" w15:restartNumberingAfterBreak="0">
    <w:nsid w:val="544E0C5E"/>
    <w:multiLevelType w:val="hybridMultilevel"/>
    <w:tmpl w:val="24D8D48A"/>
    <w:lvl w:ilvl="0" w:tplc="DDC44D20">
      <w:numFmt w:val="bullet"/>
      <w:lvlText w:val="•"/>
      <w:lvlJc w:val="left"/>
      <w:pPr>
        <w:ind w:left="780" w:hanging="375"/>
      </w:pPr>
      <w:rPr>
        <w:rFonts w:ascii="Times New Roman" w:eastAsia="Times New Roman" w:hAnsi="Times New Roman" w:cs="Times New Roman" w:hint="default"/>
      </w:rPr>
    </w:lvl>
    <w:lvl w:ilvl="1" w:tplc="386848DC" w:tentative="1">
      <w:start w:val="1"/>
      <w:numFmt w:val="bullet"/>
      <w:lvlText w:val="o"/>
      <w:lvlJc w:val="left"/>
      <w:pPr>
        <w:ind w:left="1485" w:hanging="360"/>
      </w:pPr>
      <w:rPr>
        <w:rFonts w:ascii="Courier New" w:hAnsi="Courier New" w:cs="Courier New" w:hint="default"/>
      </w:rPr>
    </w:lvl>
    <w:lvl w:ilvl="2" w:tplc="A66AC9D6" w:tentative="1">
      <w:start w:val="1"/>
      <w:numFmt w:val="bullet"/>
      <w:lvlText w:val=""/>
      <w:lvlJc w:val="left"/>
      <w:pPr>
        <w:ind w:left="2205" w:hanging="360"/>
      </w:pPr>
      <w:rPr>
        <w:rFonts w:ascii="Wingdings" w:hAnsi="Wingdings" w:hint="default"/>
      </w:rPr>
    </w:lvl>
    <w:lvl w:ilvl="3" w:tplc="CA908F9E" w:tentative="1">
      <w:start w:val="1"/>
      <w:numFmt w:val="bullet"/>
      <w:lvlText w:val=""/>
      <w:lvlJc w:val="left"/>
      <w:pPr>
        <w:ind w:left="2925" w:hanging="360"/>
      </w:pPr>
      <w:rPr>
        <w:rFonts w:ascii="Symbol" w:hAnsi="Symbol" w:hint="default"/>
      </w:rPr>
    </w:lvl>
    <w:lvl w:ilvl="4" w:tplc="2FD6AA98" w:tentative="1">
      <w:start w:val="1"/>
      <w:numFmt w:val="bullet"/>
      <w:lvlText w:val="o"/>
      <w:lvlJc w:val="left"/>
      <w:pPr>
        <w:ind w:left="3645" w:hanging="360"/>
      </w:pPr>
      <w:rPr>
        <w:rFonts w:ascii="Courier New" w:hAnsi="Courier New" w:cs="Courier New" w:hint="default"/>
      </w:rPr>
    </w:lvl>
    <w:lvl w:ilvl="5" w:tplc="24005E42" w:tentative="1">
      <w:start w:val="1"/>
      <w:numFmt w:val="bullet"/>
      <w:lvlText w:val=""/>
      <w:lvlJc w:val="left"/>
      <w:pPr>
        <w:ind w:left="4365" w:hanging="360"/>
      </w:pPr>
      <w:rPr>
        <w:rFonts w:ascii="Wingdings" w:hAnsi="Wingdings" w:hint="default"/>
      </w:rPr>
    </w:lvl>
    <w:lvl w:ilvl="6" w:tplc="A0903716" w:tentative="1">
      <w:start w:val="1"/>
      <w:numFmt w:val="bullet"/>
      <w:lvlText w:val=""/>
      <w:lvlJc w:val="left"/>
      <w:pPr>
        <w:ind w:left="5085" w:hanging="360"/>
      </w:pPr>
      <w:rPr>
        <w:rFonts w:ascii="Symbol" w:hAnsi="Symbol" w:hint="default"/>
      </w:rPr>
    </w:lvl>
    <w:lvl w:ilvl="7" w:tplc="AACE26D6" w:tentative="1">
      <w:start w:val="1"/>
      <w:numFmt w:val="bullet"/>
      <w:lvlText w:val="o"/>
      <w:lvlJc w:val="left"/>
      <w:pPr>
        <w:ind w:left="5805" w:hanging="360"/>
      </w:pPr>
      <w:rPr>
        <w:rFonts w:ascii="Courier New" w:hAnsi="Courier New" w:cs="Courier New" w:hint="default"/>
      </w:rPr>
    </w:lvl>
    <w:lvl w:ilvl="8" w:tplc="3D7E94A0" w:tentative="1">
      <w:start w:val="1"/>
      <w:numFmt w:val="bullet"/>
      <w:lvlText w:val=""/>
      <w:lvlJc w:val="left"/>
      <w:pPr>
        <w:ind w:left="6525" w:hanging="360"/>
      </w:pPr>
      <w:rPr>
        <w:rFonts w:ascii="Wingdings" w:hAnsi="Wingdings" w:hint="default"/>
      </w:rPr>
    </w:lvl>
  </w:abstractNum>
  <w:abstractNum w:abstractNumId="33" w15:restartNumberingAfterBreak="0">
    <w:nsid w:val="548A0577"/>
    <w:multiLevelType w:val="hybridMultilevel"/>
    <w:tmpl w:val="C20E493A"/>
    <w:lvl w:ilvl="0" w:tplc="A80E8C58">
      <w:start w:val="1"/>
      <w:numFmt w:val="decimal"/>
      <w:lvlText w:val="(%1)"/>
      <w:lvlJc w:val="left"/>
      <w:pPr>
        <w:ind w:left="720" w:hanging="360"/>
      </w:pPr>
      <w:rPr>
        <w:rFonts w:hint="default"/>
      </w:rPr>
    </w:lvl>
    <w:lvl w:ilvl="1" w:tplc="B8845828" w:tentative="1">
      <w:start w:val="1"/>
      <w:numFmt w:val="lowerLetter"/>
      <w:lvlText w:val="%2."/>
      <w:lvlJc w:val="left"/>
      <w:pPr>
        <w:ind w:left="1440" w:hanging="360"/>
      </w:pPr>
    </w:lvl>
    <w:lvl w:ilvl="2" w:tplc="8C3A0D00" w:tentative="1">
      <w:start w:val="1"/>
      <w:numFmt w:val="lowerRoman"/>
      <w:lvlText w:val="%3."/>
      <w:lvlJc w:val="right"/>
      <w:pPr>
        <w:ind w:left="2160" w:hanging="180"/>
      </w:pPr>
    </w:lvl>
    <w:lvl w:ilvl="3" w:tplc="2C58A1B2" w:tentative="1">
      <w:start w:val="1"/>
      <w:numFmt w:val="decimal"/>
      <w:lvlText w:val="%4."/>
      <w:lvlJc w:val="left"/>
      <w:pPr>
        <w:ind w:left="2880" w:hanging="360"/>
      </w:pPr>
    </w:lvl>
    <w:lvl w:ilvl="4" w:tplc="AAE242EC" w:tentative="1">
      <w:start w:val="1"/>
      <w:numFmt w:val="lowerLetter"/>
      <w:lvlText w:val="%5."/>
      <w:lvlJc w:val="left"/>
      <w:pPr>
        <w:ind w:left="3600" w:hanging="360"/>
      </w:pPr>
    </w:lvl>
    <w:lvl w:ilvl="5" w:tplc="A878780E" w:tentative="1">
      <w:start w:val="1"/>
      <w:numFmt w:val="lowerRoman"/>
      <w:lvlText w:val="%6."/>
      <w:lvlJc w:val="right"/>
      <w:pPr>
        <w:ind w:left="4320" w:hanging="180"/>
      </w:pPr>
    </w:lvl>
    <w:lvl w:ilvl="6" w:tplc="1A5A76AA" w:tentative="1">
      <w:start w:val="1"/>
      <w:numFmt w:val="decimal"/>
      <w:lvlText w:val="%7."/>
      <w:lvlJc w:val="left"/>
      <w:pPr>
        <w:ind w:left="5040" w:hanging="360"/>
      </w:pPr>
    </w:lvl>
    <w:lvl w:ilvl="7" w:tplc="F5A209D6" w:tentative="1">
      <w:start w:val="1"/>
      <w:numFmt w:val="lowerLetter"/>
      <w:lvlText w:val="%8."/>
      <w:lvlJc w:val="left"/>
      <w:pPr>
        <w:ind w:left="5760" w:hanging="360"/>
      </w:pPr>
    </w:lvl>
    <w:lvl w:ilvl="8" w:tplc="D55CAFF8" w:tentative="1">
      <w:start w:val="1"/>
      <w:numFmt w:val="lowerRoman"/>
      <w:lvlText w:val="%9."/>
      <w:lvlJc w:val="right"/>
      <w:pPr>
        <w:ind w:left="6480" w:hanging="180"/>
      </w:pPr>
    </w:lvl>
  </w:abstractNum>
  <w:abstractNum w:abstractNumId="34" w15:restartNumberingAfterBreak="0">
    <w:nsid w:val="57B16D0B"/>
    <w:multiLevelType w:val="hybridMultilevel"/>
    <w:tmpl w:val="22D0CC32"/>
    <w:lvl w:ilvl="0" w:tplc="F49A4B28">
      <w:start w:val="1"/>
      <w:numFmt w:val="bullet"/>
      <w:lvlText w:val=""/>
      <w:lvlJc w:val="left"/>
      <w:pPr>
        <w:ind w:left="1080" w:hanging="360"/>
      </w:pPr>
      <w:rPr>
        <w:rFonts w:ascii="Symbol" w:hAnsi="Symbol" w:hint="default"/>
      </w:rPr>
    </w:lvl>
    <w:lvl w:ilvl="1" w:tplc="B59E0B70" w:tentative="1">
      <w:start w:val="1"/>
      <w:numFmt w:val="bullet"/>
      <w:lvlText w:val="o"/>
      <w:lvlJc w:val="left"/>
      <w:pPr>
        <w:ind w:left="1800" w:hanging="360"/>
      </w:pPr>
      <w:rPr>
        <w:rFonts w:ascii="Courier New" w:hAnsi="Courier New" w:cs="Courier New" w:hint="default"/>
      </w:rPr>
    </w:lvl>
    <w:lvl w:ilvl="2" w:tplc="4DA08766" w:tentative="1">
      <w:start w:val="1"/>
      <w:numFmt w:val="bullet"/>
      <w:lvlText w:val=""/>
      <w:lvlJc w:val="left"/>
      <w:pPr>
        <w:ind w:left="2520" w:hanging="360"/>
      </w:pPr>
      <w:rPr>
        <w:rFonts w:ascii="Wingdings" w:hAnsi="Wingdings" w:hint="default"/>
      </w:rPr>
    </w:lvl>
    <w:lvl w:ilvl="3" w:tplc="C764C748" w:tentative="1">
      <w:start w:val="1"/>
      <w:numFmt w:val="bullet"/>
      <w:lvlText w:val=""/>
      <w:lvlJc w:val="left"/>
      <w:pPr>
        <w:ind w:left="3240" w:hanging="360"/>
      </w:pPr>
      <w:rPr>
        <w:rFonts w:ascii="Symbol" w:hAnsi="Symbol" w:hint="default"/>
      </w:rPr>
    </w:lvl>
    <w:lvl w:ilvl="4" w:tplc="C602EED8" w:tentative="1">
      <w:start w:val="1"/>
      <w:numFmt w:val="bullet"/>
      <w:lvlText w:val="o"/>
      <w:lvlJc w:val="left"/>
      <w:pPr>
        <w:ind w:left="3960" w:hanging="360"/>
      </w:pPr>
      <w:rPr>
        <w:rFonts w:ascii="Courier New" w:hAnsi="Courier New" w:cs="Courier New" w:hint="default"/>
      </w:rPr>
    </w:lvl>
    <w:lvl w:ilvl="5" w:tplc="8C307E6C" w:tentative="1">
      <w:start w:val="1"/>
      <w:numFmt w:val="bullet"/>
      <w:lvlText w:val=""/>
      <w:lvlJc w:val="left"/>
      <w:pPr>
        <w:ind w:left="4680" w:hanging="360"/>
      </w:pPr>
      <w:rPr>
        <w:rFonts w:ascii="Wingdings" w:hAnsi="Wingdings" w:hint="default"/>
      </w:rPr>
    </w:lvl>
    <w:lvl w:ilvl="6" w:tplc="68B8FCBE" w:tentative="1">
      <w:start w:val="1"/>
      <w:numFmt w:val="bullet"/>
      <w:lvlText w:val=""/>
      <w:lvlJc w:val="left"/>
      <w:pPr>
        <w:ind w:left="5400" w:hanging="360"/>
      </w:pPr>
      <w:rPr>
        <w:rFonts w:ascii="Symbol" w:hAnsi="Symbol" w:hint="default"/>
      </w:rPr>
    </w:lvl>
    <w:lvl w:ilvl="7" w:tplc="BB0E9A5E" w:tentative="1">
      <w:start w:val="1"/>
      <w:numFmt w:val="bullet"/>
      <w:lvlText w:val="o"/>
      <w:lvlJc w:val="left"/>
      <w:pPr>
        <w:ind w:left="6120" w:hanging="360"/>
      </w:pPr>
      <w:rPr>
        <w:rFonts w:ascii="Courier New" w:hAnsi="Courier New" w:cs="Courier New" w:hint="default"/>
      </w:rPr>
    </w:lvl>
    <w:lvl w:ilvl="8" w:tplc="7716FBA6" w:tentative="1">
      <w:start w:val="1"/>
      <w:numFmt w:val="bullet"/>
      <w:lvlText w:val=""/>
      <w:lvlJc w:val="left"/>
      <w:pPr>
        <w:ind w:left="6840" w:hanging="360"/>
      </w:pPr>
      <w:rPr>
        <w:rFonts w:ascii="Wingdings" w:hAnsi="Wingdings" w:hint="default"/>
      </w:rPr>
    </w:lvl>
  </w:abstractNum>
  <w:abstractNum w:abstractNumId="35" w15:restartNumberingAfterBreak="0">
    <w:nsid w:val="5816155B"/>
    <w:multiLevelType w:val="hybridMultilevel"/>
    <w:tmpl w:val="D77E7A3C"/>
    <w:lvl w:ilvl="0" w:tplc="44A4C586">
      <w:start w:val="1"/>
      <w:numFmt w:val="decimal"/>
      <w:lvlText w:val="(%1)"/>
      <w:lvlJc w:val="left"/>
      <w:pPr>
        <w:ind w:left="360" w:hanging="360"/>
      </w:pPr>
      <w:rPr>
        <w:rFonts w:hint="default"/>
        <w:sz w:val="16"/>
        <w:szCs w:val="16"/>
      </w:rPr>
    </w:lvl>
    <w:lvl w:ilvl="1" w:tplc="3D986C18" w:tentative="1">
      <w:start w:val="1"/>
      <w:numFmt w:val="lowerLetter"/>
      <w:lvlText w:val="%2."/>
      <w:lvlJc w:val="left"/>
      <w:pPr>
        <w:ind w:left="1080" w:hanging="360"/>
      </w:pPr>
    </w:lvl>
    <w:lvl w:ilvl="2" w:tplc="543A98FE" w:tentative="1">
      <w:start w:val="1"/>
      <w:numFmt w:val="lowerRoman"/>
      <w:lvlText w:val="%3."/>
      <w:lvlJc w:val="right"/>
      <w:pPr>
        <w:ind w:left="1800" w:hanging="180"/>
      </w:pPr>
    </w:lvl>
    <w:lvl w:ilvl="3" w:tplc="DEA64178" w:tentative="1">
      <w:start w:val="1"/>
      <w:numFmt w:val="decimal"/>
      <w:lvlText w:val="%4."/>
      <w:lvlJc w:val="left"/>
      <w:pPr>
        <w:ind w:left="2520" w:hanging="360"/>
      </w:pPr>
    </w:lvl>
    <w:lvl w:ilvl="4" w:tplc="1F928B5A" w:tentative="1">
      <w:start w:val="1"/>
      <w:numFmt w:val="lowerLetter"/>
      <w:lvlText w:val="%5."/>
      <w:lvlJc w:val="left"/>
      <w:pPr>
        <w:ind w:left="3240" w:hanging="360"/>
      </w:pPr>
    </w:lvl>
    <w:lvl w:ilvl="5" w:tplc="A50AFB2E" w:tentative="1">
      <w:start w:val="1"/>
      <w:numFmt w:val="lowerRoman"/>
      <w:lvlText w:val="%6."/>
      <w:lvlJc w:val="right"/>
      <w:pPr>
        <w:ind w:left="3960" w:hanging="180"/>
      </w:pPr>
    </w:lvl>
    <w:lvl w:ilvl="6" w:tplc="D460F064" w:tentative="1">
      <w:start w:val="1"/>
      <w:numFmt w:val="decimal"/>
      <w:lvlText w:val="%7."/>
      <w:lvlJc w:val="left"/>
      <w:pPr>
        <w:ind w:left="4680" w:hanging="360"/>
      </w:pPr>
    </w:lvl>
    <w:lvl w:ilvl="7" w:tplc="D44025C4" w:tentative="1">
      <w:start w:val="1"/>
      <w:numFmt w:val="lowerLetter"/>
      <w:lvlText w:val="%8."/>
      <w:lvlJc w:val="left"/>
      <w:pPr>
        <w:ind w:left="5400" w:hanging="360"/>
      </w:pPr>
    </w:lvl>
    <w:lvl w:ilvl="8" w:tplc="44BA094A" w:tentative="1">
      <w:start w:val="1"/>
      <w:numFmt w:val="lowerRoman"/>
      <w:lvlText w:val="%9."/>
      <w:lvlJc w:val="right"/>
      <w:pPr>
        <w:ind w:left="6120" w:hanging="180"/>
      </w:pPr>
    </w:lvl>
  </w:abstractNum>
  <w:abstractNum w:abstractNumId="36" w15:restartNumberingAfterBreak="0">
    <w:nsid w:val="581F6197"/>
    <w:multiLevelType w:val="multilevel"/>
    <w:tmpl w:val="4FB8A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84624"/>
    <w:multiLevelType w:val="hybridMultilevel"/>
    <w:tmpl w:val="E91C73A4"/>
    <w:lvl w:ilvl="0" w:tplc="EF3A492E">
      <w:start w:val="1"/>
      <w:numFmt w:val="decimal"/>
      <w:lvlText w:val="(%1)"/>
      <w:lvlJc w:val="left"/>
      <w:pPr>
        <w:ind w:left="360" w:hanging="360"/>
      </w:pPr>
      <w:rPr>
        <w:rFonts w:hint="default"/>
      </w:rPr>
    </w:lvl>
    <w:lvl w:ilvl="1" w:tplc="BE10E238" w:tentative="1">
      <w:start w:val="1"/>
      <w:numFmt w:val="lowerLetter"/>
      <w:lvlText w:val="%2."/>
      <w:lvlJc w:val="left"/>
      <w:pPr>
        <w:ind w:left="1440" w:hanging="360"/>
      </w:pPr>
    </w:lvl>
    <w:lvl w:ilvl="2" w:tplc="4350DF0C" w:tentative="1">
      <w:start w:val="1"/>
      <w:numFmt w:val="lowerRoman"/>
      <w:lvlText w:val="%3."/>
      <w:lvlJc w:val="right"/>
      <w:pPr>
        <w:ind w:left="2160" w:hanging="180"/>
      </w:pPr>
    </w:lvl>
    <w:lvl w:ilvl="3" w:tplc="4C98EBAC" w:tentative="1">
      <w:start w:val="1"/>
      <w:numFmt w:val="decimal"/>
      <w:lvlText w:val="%4."/>
      <w:lvlJc w:val="left"/>
      <w:pPr>
        <w:ind w:left="2880" w:hanging="360"/>
      </w:pPr>
    </w:lvl>
    <w:lvl w:ilvl="4" w:tplc="B7862BA8" w:tentative="1">
      <w:start w:val="1"/>
      <w:numFmt w:val="lowerLetter"/>
      <w:lvlText w:val="%5."/>
      <w:lvlJc w:val="left"/>
      <w:pPr>
        <w:ind w:left="3600" w:hanging="360"/>
      </w:pPr>
    </w:lvl>
    <w:lvl w:ilvl="5" w:tplc="49C468BE" w:tentative="1">
      <w:start w:val="1"/>
      <w:numFmt w:val="lowerRoman"/>
      <w:lvlText w:val="%6."/>
      <w:lvlJc w:val="right"/>
      <w:pPr>
        <w:ind w:left="4320" w:hanging="180"/>
      </w:pPr>
    </w:lvl>
    <w:lvl w:ilvl="6" w:tplc="B63467F0" w:tentative="1">
      <w:start w:val="1"/>
      <w:numFmt w:val="decimal"/>
      <w:lvlText w:val="%7."/>
      <w:lvlJc w:val="left"/>
      <w:pPr>
        <w:ind w:left="5040" w:hanging="360"/>
      </w:pPr>
    </w:lvl>
    <w:lvl w:ilvl="7" w:tplc="CAF82A1A" w:tentative="1">
      <w:start w:val="1"/>
      <w:numFmt w:val="lowerLetter"/>
      <w:lvlText w:val="%8."/>
      <w:lvlJc w:val="left"/>
      <w:pPr>
        <w:ind w:left="5760" w:hanging="360"/>
      </w:pPr>
    </w:lvl>
    <w:lvl w:ilvl="8" w:tplc="A0320446" w:tentative="1">
      <w:start w:val="1"/>
      <w:numFmt w:val="lowerRoman"/>
      <w:lvlText w:val="%9."/>
      <w:lvlJc w:val="right"/>
      <w:pPr>
        <w:ind w:left="6480" w:hanging="180"/>
      </w:pPr>
    </w:lvl>
  </w:abstractNum>
  <w:abstractNum w:abstractNumId="38" w15:restartNumberingAfterBreak="0">
    <w:nsid w:val="609B6C18"/>
    <w:multiLevelType w:val="hybridMultilevel"/>
    <w:tmpl w:val="253000CA"/>
    <w:lvl w:ilvl="0" w:tplc="BA562FE6">
      <w:numFmt w:val="bullet"/>
      <w:lvlText w:val="•"/>
      <w:lvlJc w:val="left"/>
      <w:pPr>
        <w:ind w:left="1800" w:hanging="360"/>
      </w:pPr>
      <w:rPr>
        <w:rFonts w:ascii="Times New Roman" w:eastAsia="Times New Roman" w:hAnsi="Times New Roman" w:cs="Times New Roman" w:hint="default"/>
      </w:rPr>
    </w:lvl>
    <w:lvl w:ilvl="1" w:tplc="F3EE7DA0" w:tentative="1">
      <w:start w:val="1"/>
      <w:numFmt w:val="bullet"/>
      <w:lvlText w:val="o"/>
      <w:lvlJc w:val="left"/>
      <w:pPr>
        <w:ind w:left="2160" w:hanging="360"/>
      </w:pPr>
      <w:rPr>
        <w:rFonts w:ascii="Courier New" w:hAnsi="Courier New" w:cs="Courier New" w:hint="default"/>
      </w:rPr>
    </w:lvl>
    <w:lvl w:ilvl="2" w:tplc="D06C4FFE" w:tentative="1">
      <w:start w:val="1"/>
      <w:numFmt w:val="bullet"/>
      <w:lvlText w:val=""/>
      <w:lvlJc w:val="left"/>
      <w:pPr>
        <w:ind w:left="2880" w:hanging="360"/>
      </w:pPr>
      <w:rPr>
        <w:rFonts w:ascii="Wingdings" w:hAnsi="Wingdings" w:hint="default"/>
      </w:rPr>
    </w:lvl>
    <w:lvl w:ilvl="3" w:tplc="3FB0AF3C" w:tentative="1">
      <w:start w:val="1"/>
      <w:numFmt w:val="bullet"/>
      <w:lvlText w:val=""/>
      <w:lvlJc w:val="left"/>
      <w:pPr>
        <w:ind w:left="3600" w:hanging="360"/>
      </w:pPr>
      <w:rPr>
        <w:rFonts w:ascii="Symbol" w:hAnsi="Symbol" w:hint="default"/>
      </w:rPr>
    </w:lvl>
    <w:lvl w:ilvl="4" w:tplc="FB8232C8" w:tentative="1">
      <w:start w:val="1"/>
      <w:numFmt w:val="bullet"/>
      <w:lvlText w:val="o"/>
      <w:lvlJc w:val="left"/>
      <w:pPr>
        <w:ind w:left="4320" w:hanging="360"/>
      </w:pPr>
      <w:rPr>
        <w:rFonts w:ascii="Courier New" w:hAnsi="Courier New" w:cs="Courier New" w:hint="default"/>
      </w:rPr>
    </w:lvl>
    <w:lvl w:ilvl="5" w:tplc="9E387526" w:tentative="1">
      <w:start w:val="1"/>
      <w:numFmt w:val="bullet"/>
      <w:lvlText w:val=""/>
      <w:lvlJc w:val="left"/>
      <w:pPr>
        <w:ind w:left="5040" w:hanging="360"/>
      </w:pPr>
      <w:rPr>
        <w:rFonts w:ascii="Wingdings" w:hAnsi="Wingdings" w:hint="default"/>
      </w:rPr>
    </w:lvl>
    <w:lvl w:ilvl="6" w:tplc="9BC8B190" w:tentative="1">
      <w:start w:val="1"/>
      <w:numFmt w:val="bullet"/>
      <w:lvlText w:val=""/>
      <w:lvlJc w:val="left"/>
      <w:pPr>
        <w:ind w:left="5760" w:hanging="360"/>
      </w:pPr>
      <w:rPr>
        <w:rFonts w:ascii="Symbol" w:hAnsi="Symbol" w:hint="default"/>
      </w:rPr>
    </w:lvl>
    <w:lvl w:ilvl="7" w:tplc="655A9666" w:tentative="1">
      <w:start w:val="1"/>
      <w:numFmt w:val="bullet"/>
      <w:lvlText w:val="o"/>
      <w:lvlJc w:val="left"/>
      <w:pPr>
        <w:ind w:left="6480" w:hanging="360"/>
      </w:pPr>
      <w:rPr>
        <w:rFonts w:ascii="Courier New" w:hAnsi="Courier New" w:cs="Courier New" w:hint="default"/>
      </w:rPr>
    </w:lvl>
    <w:lvl w:ilvl="8" w:tplc="45AC2746" w:tentative="1">
      <w:start w:val="1"/>
      <w:numFmt w:val="bullet"/>
      <w:lvlText w:val=""/>
      <w:lvlJc w:val="left"/>
      <w:pPr>
        <w:ind w:left="7200" w:hanging="360"/>
      </w:pPr>
      <w:rPr>
        <w:rFonts w:ascii="Wingdings" w:hAnsi="Wingdings" w:hint="default"/>
      </w:rPr>
    </w:lvl>
  </w:abstractNum>
  <w:abstractNum w:abstractNumId="39" w15:restartNumberingAfterBreak="0">
    <w:nsid w:val="62AF1E83"/>
    <w:multiLevelType w:val="hybridMultilevel"/>
    <w:tmpl w:val="4ACCDFA4"/>
    <w:lvl w:ilvl="0" w:tplc="DDAEEC9C">
      <w:start w:val="1"/>
      <w:numFmt w:val="decimal"/>
      <w:lvlText w:val="(%1)"/>
      <w:lvlJc w:val="left"/>
      <w:pPr>
        <w:ind w:left="360" w:hanging="360"/>
      </w:pPr>
      <w:rPr>
        <w:rFonts w:hint="default"/>
      </w:rPr>
    </w:lvl>
    <w:lvl w:ilvl="1" w:tplc="AD5410C8" w:tentative="1">
      <w:start w:val="1"/>
      <w:numFmt w:val="lowerLetter"/>
      <w:lvlText w:val="%2."/>
      <w:lvlJc w:val="left"/>
      <w:pPr>
        <w:ind w:left="1080" w:hanging="360"/>
      </w:pPr>
    </w:lvl>
    <w:lvl w:ilvl="2" w:tplc="0D6402E6" w:tentative="1">
      <w:start w:val="1"/>
      <w:numFmt w:val="lowerRoman"/>
      <w:lvlText w:val="%3."/>
      <w:lvlJc w:val="right"/>
      <w:pPr>
        <w:ind w:left="1800" w:hanging="180"/>
      </w:pPr>
    </w:lvl>
    <w:lvl w:ilvl="3" w:tplc="87ECFE7E" w:tentative="1">
      <w:start w:val="1"/>
      <w:numFmt w:val="decimal"/>
      <w:lvlText w:val="%4."/>
      <w:lvlJc w:val="left"/>
      <w:pPr>
        <w:ind w:left="2520" w:hanging="360"/>
      </w:pPr>
    </w:lvl>
    <w:lvl w:ilvl="4" w:tplc="F568260A" w:tentative="1">
      <w:start w:val="1"/>
      <w:numFmt w:val="lowerLetter"/>
      <w:lvlText w:val="%5."/>
      <w:lvlJc w:val="left"/>
      <w:pPr>
        <w:ind w:left="3240" w:hanging="360"/>
      </w:pPr>
    </w:lvl>
    <w:lvl w:ilvl="5" w:tplc="B99C32C6" w:tentative="1">
      <w:start w:val="1"/>
      <w:numFmt w:val="lowerRoman"/>
      <w:lvlText w:val="%6."/>
      <w:lvlJc w:val="right"/>
      <w:pPr>
        <w:ind w:left="3960" w:hanging="180"/>
      </w:pPr>
    </w:lvl>
    <w:lvl w:ilvl="6" w:tplc="2582539C" w:tentative="1">
      <w:start w:val="1"/>
      <w:numFmt w:val="decimal"/>
      <w:lvlText w:val="%7."/>
      <w:lvlJc w:val="left"/>
      <w:pPr>
        <w:ind w:left="4680" w:hanging="360"/>
      </w:pPr>
    </w:lvl>
    <w:lvl w:ilvl="7" w:tplc="203C092C" w:tentative="1">
      <w:start w:val="1"/>
      <w:numFmt w:val="lowerLetter"/>
      <w:lvlText w:val="%8."/>
      <w:lvlJc w:val="left"/>
      <w:pPr>
        <w:ind w:left="5400" w:hanging="360"/>
      </w:pPr>
    </w:lvl>
    <w:lvl w:ilvl="8" w:tplc="48704B46" w:tentative="1">
      <w:start w:val="1"/>
      <w:numFmt w:val="lowerRoman"/>
      <w:lvlText w:val="%9."/>
      <w:lvlJc w:val="right"/>
      <w:pPr>
        <w:ind w:left="6120" w:hanging="180"/>
      </w:pPr>
    </w:lvl>
  </w:abstractNum>
  <w:abstractNum w:abstractNumId="40" w15:restartNumberingAfterBreak="0">
    <w:nsid w:val="69397A0A"/>
    <w:multiLevelType w:val="hybridMultilevel"/>
    <w:tmpl w:val="FA229552"/>
    <w:lvl w:ilvl="0" w:tplc="231A1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5E2F70"/>
    <w:multiLevelType w:val="hybridMultilevel"/>
    <w:tmpl w:val="2D0ED7AE"/>
    <w:lvl w:ilvl="0" w:tplc="20361774">
      <w:start w:val="1"/>
      <w:numFmt w:val="decimal"/>
      <w:lvlText w:val="(%1)"/>
      <w:lvlJc w:val="left"/>
      <w:pPr>
        <w:ind w:left="1440" w:hanging="720"/>
      </w:pPr>
      <w:rPr>
        <w:rFonts w:hint="default"/>
      </w:rPr>
    </w:lvl>
    <w:lvl w:ilvl="1" w:tplc="263417D4" w:tentative="1">
      <w:start w:val="1"/>
      <w:numFmt w:val="lowerLetter"/>
      <w:lvlText w:val="%2."/>
      <w:lvlJc w:val="left"/>
      <w:pPr>
        <w:ind w:left="1800" w:hanging="360"/>
      </w:pPr>
    </w:lvl>
    <w:lvl w:ilvl="2" w:tplc="8A6CF902" w:tentative="1">
      <w:start w:val="1"/>
      <w:numFmt w:val="lowerRoman"/>
      <w:lvlText w:val="%3."/>
      <w:lvlJc w:val="right"/>
      <w:pPr>
        <w:ind w:left="2520" w:hanging="180"/>
      </w:pPr>
    </w:lvl>
    <w:lvl w:ilvl="3" w:tplc="75CC865E" w:tentative="1">
      <w:start w:val="1"/>
      <w:numFmt w:val="decimal"/>
      <w:lvlText w:val="%4."/>
      <w:lvlJc w:val="left"/>
      <w:pPr>
        <w:ind w:left="3240" w:hanging="360"/>
      </w:pPr>
    </w:lvl>
    <w:lvl w:ilvl="4" w:tplc="53844C70" w:tentative="1">
      <w:start w:val="1"/>
      <w:numFmt w:val="lowerLetter"/>
      <w:lvlText w:val="%5."/>
      <w:lvlJc w:val="left"/>
      <w:pPr>
        <w:ind w:left="3960" w:hanging="360"/>
      </w:pPr>
    </w:lvl>
    <w:lvl w:ilvl="5" w:tplc="F16C7292" w:tentative="1">
      <w:start w:val="1"/>
      <w:numFmt w:val="lowerRoman"/>
      <w:lvlText w:val="%6."/>
      <w:lvlJc w:val="right"/>
      <w:pPr>
        <w:ind w:left="4680" w:hanging="180"/>
      </w:pPr>
    </w:lvl>
    <w:lvl w:ilvl="6" w:tplc="AAA60D84" w:tentative="1">
      <w:start w:val="1"/>
      <w:numFmt w:val="decimal"/>
      <w:lvlText w:val="%7."/>
      <w:lvlJc w:val="left"/>
      <w:pPr>
        <w:ind w:left="5400" w:hanging="360"/>
      </w:pPr>
    </w:lvl>
    <w:lvl w:ilvl="7" w:tplc="C6C64852" w:tentative="1">
      <w:start w:val="1"/>
      <w:numFmt w:val="lowerLetter"/>
      <w:lvlText w:val="%8."/>
      <w:lvlJc w:val="left"/>
      <w:pPr>
        <w:ind w:left="6120" w:hanging="360"/>
      </w:pPr>
    </w:lvl>
    <w:lvl w:ilvl="8" w:tplc="F118B732" w:tentative="1">
      <w:start w:val="1"/>
      <w:numFmt w:val="lowerRoman"/>
      <w:lvlText w:val="%9."/>
      <w:lvlJc w:val="right"/>
      <w:pPr>
        <w:ind w:left="6840" w:hanging="180"/>
      </w:pPr>
    </w:lvl>
  </w:abstractNum>
  <w:abstractNum w:abstractNumId="42" w15:restartNumberingAfterBreak="0">
    <w:nsid w:val="6E812542"/>
    <w:multiLevelType w:val="hybridMultilevel"/>
    <w:tmpl w:val="6F9419AE"/>
    <w:lvl w:ilvl="0" w:tplc="5C1AA5D0">
      <w:start w:val="1"/>
      <w:numFmt w:val="decimal"/>
      <w:lvlText w:val="(%1)"/>
      <w:lvlJc w:val="left"/>
      <w:pPr>
        <w:ind w:left="720" w:hanging="360"/>
      </w:pPr>
      <w:rPr>
        <w:rFonts w:hint="default"/>
      </w:rPr>
    </w:lvl>
    <w:lvl w:ilvl="1" w:tplc="9FC6DE5C" w:tentative="1">
      <w:start w:val="1"/>
      <w:numFmt w:val="lowerLetter"/>
      <w:lvlText w:val="%2."/>
      <w:lvlJc w:val="left"/>
      <w:pPr>
        <w:ind w:left="1440" w:hanging="360"/>
      </w:pPr>
    </w:lvl>
    <w:lvl w:ilvl="2" w:tplc="05607B76" w:tentative="1">
      <w:start w:val="1"/>
      <w:numFmt w:val="lowerRoman"/>
      <w:lvlText w:val="%3."/>
      <w:lvlJc w:val="right"/>
      <w:pPr>
        <w:ind w:left="2160" w:hanging="180"/>
      </w:pPr>
    </w:lvl>
    <w:lvl w:ilvl="3" w:tplc="F29270EE" w:tentative="1">
      <w:start w:val="1"/>
      <w:numFmt w:val="decimal"/>
      <w:lvlText w:val="%4."/>
      <w:lvlJc w:val="left"/>
      <w:pPr>
        <w:ind w:left="2880" w:hanging="360"/>
      </w:pPr>
    </w:lvl>
    <w:lvl w:ilvl="4" w:tplc="B5D09FF8" w:tentative="1">
      <w:start w:val="1"/>
      <w:numFmt w:val="lowerLetter"/>
      <w:lvlText w:val="%5."/>
      <w:lvlJc w:val="left"/>
      <w:pPr>
        <w:ind w:left="3600" w:hanging="360"/>
      </w:pPr>
    </w:lvl>
    <w:lvl w:ilvl="5" w:tplc="82F68E44" w:tentative="1">
      <w:start w:val="1"/>
      <w:numFmt w:val="lowerRoman"/>
      <w:lvlText w:val="%6."/>
      <w:lvlJc w:val="right"/>
      <w:pPr>
        <w:ind w:left="4320" w:hanging="180"/>
      </w:pPr>
    </w:lvl>
    <w:lvl w:ilvl="6" w:tplc="2F065208" w:tentative="1">
      <w:start w:val="1"/>
      <w:numFmt w:val="decimal"/>
      <w:lvlText w:val="%7."/>
      <w:lvlJc w:val="left"/>
      <w:pPr>
        <w:ind w:left="5040" w:hanging="360"/>
      </w:pPr>
    </w:lvl>
    <w:lvl w:ilvl="7" w:tplc="6396C7A6" w:tentative="1">
      <w:start w:val="1"/>
      <w:numFmt w:val="lowerLetter"/>
      <w:lvlText w:val="%8."/>
      <w:lvlJc w:val="left"/>
      <w:pPr>
        <w:ind w:left="5760" w:hanging="360"/>
      </w:pPr>
    </w:lvl>
    <w:lvl w:ilvl="8" w:tplc="A6AA57B2" w:tentative="1">
      <w:start w:val="1"/>
      <w:numFmt w:val="lowerRoman"/>
      <w:lvlText w:val="%9."/>
      <w:lvlJc w:val="right"/>
      <w:pPr>
        <w:ind w:left="6480" w:hanging="180"/>
      </w:pPr>
    </w:lvl>
  </w:abstractNum>
  <w:abstractNum w:abstractNumId="43" w15:restartNumberingAfterBreak="0">
    <w:nsid w:val="703905B5"/>
    <w:multiLevelType w:val="multilevel"/>
    <w:tmpl w:val="2A9C1BDA"/>
    <w:name w:val="Scheme 12(a) UK10"/>
    <w:lvl w:ilvl="0">
      <w:start w:val="1"/>
      <w:numFmt w:val="none"/>
      <w:suff w:val="nothing"/>
      <w:lvlText w:val=""/>
      <w:lvlJc w:val="right"/>
      <w:pPr>
        <w:ind w:left="0" w:firstLine="0"/>
      </w:pPr>
      <w:rPr>
        <w:rFonts w:hint="default"/>
        <w:b/>
        <w:i w:val="0"/>
        <w:caps/>
        <w:smallCaps w:val="0"/>
        <w:color w:val="010000"/>
        <w:u w:val="none"/>
      </w:rPr>
    </w:lvl>
    <w:lvl w:ilvl="1">
      <w:start w:val="1"/>
      <w:numFmt w:val="decimal"/>
      <w:suff w:val="nothing"/>
      <w:lvlText w:val="%1.%2"/>
      <w:lvlJc w:val="left"/>
      <w:pPr>
        <w:ind w:left="0" w:firstLine="0"/>
      </w:pPr>
      <w:rPr>
        <w:rFonts w:hint="default"/>
        <w:b w:val="0"/>
        <w:i w:val="0"/>
        <w:color w:val="010000"/>
        <w:u w:val="none"/>
      </w:rPr>
    </w:lvl>
    <w:lvl w:ilvl="2">
      <w:start w:val="1"/>
      <w:numFmt w:val="lowerLetter"/>
      <w:lvlText w:val="(%3)"/>
      <w:lvlJc w:val="left"/>
      <w:pPr>
        <w:tabs>
          <w:tab w:val="num" w:pos="1440"/>
        </w:tabs>
        <w:ind w:left="1440" w:hanging="720"/>
      </w:pPr>
      <w:rPr>
        <w:rFonts w:hint="default"/>
        <w:color w:val="010000"/>
        <w:u w:val="none"/>
      </w:rPr>
    </w:lvl>
    <w:lvl w:ilvl="3">
      <w:start w:val="1"/>
      <w:numFmt w:val="lowerRoman"/>
      <w:lvlText w:val="(%4)"/>
      <w:lvlJc w:val="left"/>
      <w:pPr>
        <w:tabs>
          <w:tab w:val="num" w:pos="2160"/>
        </w:tabs>
        <w:ind w:left="2160" w:hanging="720"/>
      </w:pPr>
      <w:rPr>
        <w:rFonts w:hint="default"/>
        <w:color w:val="010000"/>
        <w:u w:val="none"/>
      </w:rPr>
    </w:lvl>
    <w:lvl w:ilvl="4">
      <w:start w:val="1"/>
      <w:numFmt w:val="upperLetter"/>
      <w:lvlText w:val="(%5)"/>
      <w:lvlJc w:val="left"/>
      <w:pPr>
        <w:tabs>
          <w:tab w:val="num" w:pos="2880"/>
        </w:tabs>
        <w:ind w:left="2880" w:hanging="720"/>
      </w:pPr>
      <w:rPr>
        <w:rFonts w:hint="default"/>
        <w:color w:val="010000"/>
        <w:u w:val="none"/>
      </w:rPr>
    </w:lvl>
    <w:lvl w:ilvl="5">
      <w:start w:val="1"/>
      <w:numFmt w:val="decimal"/>
      <w:pStyle w:val="Heading6"/>
      <w:lvlText w:val="(%6)"/>
      <w:lvlJc w:val="left"/>
      <w:pPr>
        <w:tabs>
          <w:tab w:val="num" w:pos="3600"/>
        </w:tabs>
        <w:ind w:left="3600" w:hanging="720"/>
      </w:pPr>
      <w:rPr>
        <w:rFonts w:hint="default"/>
        <w:color w:val="010000"/>
        <w:u w:val="none"/>
      </w:rPr>
    </w:lvl>
    <w:lvl w:ilvl="6">
      <w:start w:val="27"/>
      <w:numFmt w:val="lowerLetter"/>
      <w:pStyle w:val="Heading7"/>
      <w:lvlText w:val="(%7)"/>
      <w:lvlJc w:val="left"/>
      <w:pPr>
        <w:tabs>
          <w:tab w:val="num" w:pos="4320"/>
        </w:tabs>
        <w:ind w:left="4320" w:hanging="720"/>
      </w:pPr>
      <w:rPr>
        <w:rFonts w:hint="default"/>
        <w:color w:val="010000"/>
        <w:u w:val="none"/>
      </w:rPr>
    </w:lvl>
    <w:lvl w:ilvl="7">
      <w:start w:val="1"/>
      <w:numFmt w:val="none"/>
      <w:pStyle w:val="Heading8"/>
      <w:suff w:val="nothing"/>
      <w:lvlText w:val=""/>
      <w:lvlJc w:val="left"/>
      <w:pPr>
        <w:ind w:left="0" w:firstLine="0"/>
      </w:pPr>
      <w:rPr>
        <w:rFonts w:hint="default"/>
        <w:color w:val="010000"/>
        <w:u w:val="none"/>
      </w:rPr>
    </w:lvl>
    <w:lvl w:ilvl="8">
      <w:start w:val="1"/>
      <w:numFmt w:val="none"/>
      <w:pStyle w:val="Heading9"/>
      <w:suff w:val="nothing"/>
      <w:lvlText w:val=""/>
      <w:lvlJc w:val="left"/>
      <w:pPr>
        <w:ind w:left="0" w:firstLine="0"/>
      </w:pPr>
      <w:rPr>
        <w:rFonts w:hint="default"/>
        <w:color w:val="010000"/>
        <w:u w:val="none"/>
      </w:rPr>
    </w:lvl>
  </w:abstractNum>
  <w:abstractNum w:abstractNumId="44" w15:restartNumberingAfterBreak="0">
    <w:nsid w:val="73C779F5"/>
    <w:multiLevelType w:val="hybridMultilevel"/>
    <w:tmpl w:val="32740132"/>
    <w:lvl w:ilvl="0" w:tplc="B3181A32">
      <w:start w:val="1"/>
      <w:numFmt w:val="decimal"/>
      <w:lvlText w:val="(%1)"/>
      <w:lvlJc w:val="left"/>
      <w:pPr>
        <w:ind w:left="720" w:hanging="360"/>
      </w:pPr>
      <w:rPr>
        <w:rFonts w:hint="default"/>
      </w:rPr>
    </w:lvl>
    <w:lvl w:ilvl="1" w:tplc="3EA82E6A" w:tentative="1">
      <w:start w:val="1"/>
      <w:numFmt w:val="lowerLetter"/>
      <w:lvlText w:val="%2."/>
      <w:lvlJc w:val="left"/>
      <w:pPr>
        <w:ind w:left="1440" w:hanging="360"/>
      </w:pPr>
    </w:lvl>
    <w:lvl w:ilvl="2" w:tplc="1180B68C" w:tentative="1">
      <w:start w:val="1"/>
      <w:numFmt w:val="lowerRoman"/>
      <w:lvlText w:val="%3."/>
      <w:lvlJc w:val="right"/>
      <w:pPr>
        <w:ind w:left="2160" w:hanging="180"/>
      </w:pPr>
    </w:lvl>
    <w:lvl w:ilvl="3" w:tplc="96ACC8AA" w:tentative="1">
      <w:start w:val="1"/>
      <w:numFmt w:val="decimal"/>
      <w:lvlText w:val="%4."/>
      <w:lvlJc w:val="left"/>
      <w:pPr>
        <w:ind w:left="2880" w:hanging="360"/>
      </w:pPr>
    </w:lvl>
    <w:lvl w:ilvl="4" w:tplc="96CC743A" w:tentative="1">
      <w:start w:val="1"/>
      <w:numFmt w:val="lowerLetter"/>
      <w:lvlText w:val="%5."/>
      <w:lvlJc w:val="left"/>
      <w:pPr>
        <w:ind w:left="3600" w:hanging="360"/>
      </w:pPr>
    </w:lvl>
    <w:lvl w:ilvl="5" w:tplc="3802ED60" w:tentative="1">
      <w:start w:val="1"/>
      <w:numFmt w:val="lowerRoman"/>
      <w:lvlText w:val="%6."/>
      <w:lvlJc w:val="right"/>
      <w:pPr>
        <w:ind w:left="4320" w:hanging="180"/>
      </w:pPr>
    </w:lvl>
    <w:lvl w:ilvl="6" w:tplc="0518D7D4" w:tentative="1">
      <w:start w:val="1"/>
      <w:numFmt w:val="decimal"/>
      <w:lvlText w:val="%7."/>
      <w:lvlJc w:val="left"/>
      <w:pPr>
        <w:ind w:left="5040" w:hanging="360"/>
      </w:pPr>
    </w:lvl>
    <w:lvl w:ilvl="7" w:tplc="91F4CD3C" w:tentative="1">
      <w:start w:val="1"/>
      <w:numFmt w:val="lowerLetter"/>
      <w:lvlText w:val="%8."/>
      <w:lvlJc w:val="left"/>
      <w:pPr>
        <w:ind w:left="5760" w:hanging="360"/>
      </w:pPr>
    </w:lvl>
    <w:lvl w:ilvl="8" w:tplc="24CE6D24" w:tentative="1">
      <w:start w:val="1"/>
      <w:numFmt w:val="lowerRoman"/>
      <w:lvlText w:val="%9."/>
      <w:lvlJc w:val="right"/>
      <w:pPr>
        <w:ind w:left="6480" w:hanging="180"/>
      </w:pPr>
    </w:lvl>
  </w:abstractNum>
  <w:abstractNum w:abstractNumId="45" w15:restartNumberingAfterBreak="0">
    <w:nsid w:val="741B6DF8"/>
    <w:multiLevelType w:val="multilevel"/>
    <w:tmpl w:val="20C0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5C2D6B"/>
    <w:multiLevelType w:val="hybridMultilevel"/>
    <w:tmpl w:val="FF88AF42"/>
    <w:lvl w:ilvl="0" w:tplc="A588BD4C">
      <w:start w:val="1"/>
      <w:numFmt w:val="decimal"/>
      <w:lvlText w:val="(%1)"/>
      <w:lvlJc w:val="left"/>
      <w:pPr>
        <w:ind w:left="1080" w:hanging="720"/>
      </w:pPr>
      <w:rPr>
        <w:rFonts w:hint="default"/>
      </w:rPr>
    </w:lvl>
    <w:lvl w:ilvl="1" w:tplc="AA24BF6A" w:tentative="1">
      <w:start w:val="1"/>
      <w:numFmt w:val="lowerLetter"/>
      <w:lvlText w:val="%2."/>
      <w:lvlJc w:val="left"/>
      <w:pPr>
        <w:ind w:left="1440" w:hanging="360"/>
      </w:pPr>
    </w:lvl>
    <w:lvl w:ilvl="2" w:tplc="C49045E2" w:tentative="1">
      <w:start w:val="1"/>
      <w:numFmt w:val="lowerRoman"/>
      <w:lvlText w:val="%3."/>
      <w:lvlJc w:val="right"/>
      <w:pPr>
        <w:ind w:left="2160" w:hanging="180"/>
      </w:pPr>
    </w:lvl>
    <w:lvl w:ilvl="3" w:tplc="44B8BFF8" w:tentative="1">
      <w:start w:val="1"/>
      <w:numFmt w:val="decimal"/>
      <w:lvlText w:val="%4."/>
      <w:lvlJc w:val="left"/>
      <w:pPr>
        <w:ind w:left="2880" w:hanging="360"/>
      </w:pPr>
    </w:lvl>
    <w:lvl w:ilvl="4" w:tplc="0B4E22F4" w:tentative="1">
      <w:start w:val="1"/>
      <w:numFmt w:val="lowerLetter"/>
      <w:lvlText w:val="%5."/>
      <w:lvlJc w:val="left"/>
      <w:pPr>
        <w:ind w:left="3600" w:hanging="360"/>
      </w:pPr>
    </w:lvl>
    <w:lvl w:ilvl="5" w:tplc="4A564D0C" w:tentative="1">
      <w:start w:val="1"/>
      <w:numFmt w:val="lowerRoman"/>
      <w:lvlText w:val="%6."/>
      <w:lvlJc w:val="right"/>
      <w:pPr>
        <w:ind w:left="4320" w:hanging="180"/>
      </w:pPr>
    </w:lvl>
    <w:lvl w:ilvl="6" w:tplc="27A2E42E" w:tentative="1">
      <w:start w:val="1"/>
      <w:numFmt w:val="decimal"/>
      <w:lvlText w:val="%7."/>
      <w:lvlJc w:val="left"/>
      <w:pPr>
        <w:ind w:left="5040" w:hanging="360"/>
      </w:pPr>
    </w:lvl>
    <w:lvl w:ilvl="7" w:tplc="4D34537C" w:tentative="1">
      <w:start w:val="1"/>
      <w:numFmt w:val="lowerLetter"/>
      <w:lvlText w:val="%8."/>
      <w:lvlJc w:val="left"/>
      <w:pPr>
        <w:ind w:left="5760" w:hanging="360"/>
      </w:pPr>
    </w:lvl>
    <w:lvl w:ilvl="8" w:tplc="221009C2" w:tentative="1">
      <w:start w:val="1"/>
      <w:numFmt w:val="lowerRoman"/>
      <w:lvlText w:val="%9."/>
      <w:lvlJc w:val="right"/>
      <w:pPr>
        <w:ind w:left="6480" w:hanging="180"/>
      </w:pPr>
    </w:lvl>
  </w:abstractNum>
  <w:abstractNum w:abstractNumId="47" w15:restartNumberingAfterBreak="0">
    <w:nsid w:val="74D03334"/>
    <w:multiLevelType w:val="hybridMultilevel"/>
    <w:tmpl w:val="4ACCDFA4"/>
    <w:lvl w:ilvl="0" w:tplc="8D740DD0">
      <w:start w:val="1"/>
      <w:numFmt w:val="decimal"/>
      <w:lvlText w:val="(%1)"/>
      <w:lvlJc w:val="left"/>
      <w:pPr>
        <w:ind w:left="360" w:hanging="360"/>
      </w:pPr>
      <w:rPr>
        <w:rFonts w:hint="default"/>
      </w:rPr>
    </w:lvl>
    <w:lvl w:ilvl="1" w:tplc="60C6F36E" w:tentative="1">
      <w:start w:val="1"/>
      <w:numFmt w:val="lowerLetter"/>
      <w:lvlText w:val="%2."/>
      <w:lvlJc w:val="left"/>
      <w:pPr>
        <w:ind w:left="1080" w:hanging="360"/>
      </w:pPr>
    </w:lvl>
    <w:lvl w:ilvl="2" w:tplc="5C604AD0" w:tentative="1">
      <w:start w:val="1"/>
      <w:numFmt w:val="lowerRoman"/>
      <w:lvlText w:val="%3."/>
      <w:lvlJc w:val="right"/>
      <w:pPr>
        <w:ind w:left="1800" w:hanging="180"/>
      </w:pPr>
    </w:lvl>
    <w:lvl w:ilvl="3" w:tplc="822EA428" w:tentative="1">
      <w:start w:val="1"/>
      <w:numFmt w:val="decimal"/>
      <w:lvlText w:val="%4."/>
      <w:lvlJc w:val="left"/>
      <w:pPr>
        <w:ind w:left="2520" w:hanging="360"/>
      </w:pPr>
    </w:lvl>
    <w:lvl w:ilvl="4" w:tplc="3EA6E914" w:tentative="1">
      <w:start w:val="1"/>
      <w:numFmt w:val="lowerLetter"/>
      <w:lvlText w:val="%5."/>
      <w:lvlJc w:val="left"/>
      <w:pPr>
        <w:ind w:left="3240" w:hanging="360"/>
      </w:pPr>
    </w:lvl>
    <w:lvl w:ilvl="5" w:tplc="6A6C0A2E" w:tentative="1">
      <w:start w:val="1"/>
      <w:numFmt w:val="lowerRoman"/>
      <w:lvlText w:val="%6."/>
      <w:lvlJc w:val="right"/>
      <w:pPr>
        <w:ind w:left="3960" w:hanging="180"/>
      </w:pPr>
    </w:lvl>
    <w:lvl w:ilvl="6" w:tplc="FC3E92A0" w:tentative="1">
      <w:start w:val="1"/>
      <w:numFmt w:val="decimal"/>
      <w:lvlText w:val="%7."/>
      <w:lvlJc w:val="left"/>
      <w:pPr>
        <w:ind w:left="4680" w:hanging="360"/>
      </w:pPr>
    </w:lvl>
    <w:lvl w:ilvl="7" w:tplc="A3209736" w:tentative="1">
      <w:start w:val="1"/>
      <w:numFmt w:val="lowerLetter"/>
      <w:lvlText w:val="%8."/>
      <w:lvlJc w:val="left"/>
      <w:pPr>
        <w:ind w:left="5400" w:hanging="360"/>
      </w:pPr>
    </w:lvl>
    <w:lvl w:ilvl="8" w:tplc="8C503A20" w:tentative="1">
      <w:start w:val="1"/>
      <w:numFmt w:val="lowerRoman"/>
      <w:lvlText w:val="%9."/>
      <w:lvlJc w:val="right"/>
      <w:pPr>
        <w:ind w:left="6120" w:hanging="180"/>
      </w:pPr>
    </w:lvl>
  </w:abstractNum>
  <w:abstractNum w:abstractNumId="48" w15:restartNumberingAfterBreak="0">
    <w:nsid w:val="75CC6732"/>
    <w:multiLevelType w:val="hybridMultilevel"/>
    <w:tmpl w:val="79786E66"/>
    <w:lvl w:ilvl="0" w:tplc="F96679F8">
      <w:start w:val="1"/>
      <w:numFmt w:val="decimal"/>
      <w:lvlText w:val="(%1)"/>
      <w:lvlJc w:val="left"/>
      <w:pPr>
        <w:ind w:left="720" w:hanging="360"/>
      </w:pPr>
      <w:rPr>
        <w:rFonts w:hint="default"/>
      </w:rPr>
    </w:lvl>
    <w:lvl w:ilvl="1" w:tplc="B7E2E900" w:tentative="1">
      <w:start w:val="1"/>
      <w:numFmt w:val="lowerLetter"/>
      <w:lvlText w:val="%2."/>
      <w:lvlJc w:val="left"/>
      <w:pPr>
        <w:ind w:left="1440" w:hanging="360"/>
      </w:pPr>
    </w:lvl>
    <w:lvl w:ilvl="2" w:tplc="405C8240" w:tentative="1">
      <w:start w:val="1"/>
      <w:numFmt w:val="lowerRoman"/>
      <w:lvlText w:val="%3."/>
      <w:lvlJc w:val="right"/>
      <w:pPr>
        <w:ind w:left="2160" w:hanging="180"/>
      </w:pPr>
    </w:lvl>
    <w:lvl w:ilvl="3" w:tplc="3FE0C680" w:tentative="1">
      <w:start w:val="1"/>
      <w:numFmt w:val="decimal"/>
      <w:lvlText w:val="%4."/>
      <w:lvlJc w:val="left"/>
      <w:pPr>
        <w:ind w:left="2880" w:hanging="360"/>
      </w:pPr>
    </w:lvl>
    <w:lvl w:ilvl="4" w:tplc="8E8AA9BE" w:tentative="1">
      <w:start w:val="1"/>
      <w:numFmt w:val="lowerLetter"/>
      <w:lvlText w:val="%5."/>
      <w:lvlJc w:val="left"/>
      <w:pPr>
        <w:ind w:left="3600" w:hanging="360"/>
      </w:pPr>
    </w:lvl>
    <w:lvl w:ilvl="5" w:tplc="54081EB2" w:tentative="1">
      <w:start w:val="1"/>
      <w:numFmt w:val="lowerRoman"/>
      <w:lvlText w:val="%6."/>
      <w:lvlJc w:val="right"/>
      <w:pPr>
        <w:ind w:left="4320" w:hanging="180"/>
      </w:pPr>
    </w:lvl>
    <w:lvl w:ilvl="6" w:tplc="00A6185E" w:tentative="1">
      <w:start w:val="1"/>
      <w:numFmt w:val="decimal"/>
      <w:lvlText w:val="%7."/>
      <w:lvlJc w:val="left"/>
      <w:pPr>
        <w:ind w:left="5040" w:hanging="360"/>
      </w:pPr>
    </w:lvl>
    <w:lvl w:ilvl="7" w:tplc="0FB29950" w:tentative="1">
      <w:start w:val="1"/>
      <w:numFmt w:val="lowerLetter"/>
      <w:lvlText w:val="%8."/>
      <w:lvlJc w:val="left"/>
      <w:pPr>
        <w:ind w:left="5760" w:hanging="360"/>
      </w:pPr>
    </w:lvl>
    <w:lvl w:ilvl="8" w:tplc="1062C300" w:tentative="1">
      <w:start w:val="1"/>
      <w:numFmt w:val="lowerRoman"/>
      <w:lvlText w:val="%9."/>
      <w:lvlJc w:val="right"/>
      <w:pPr>
        <w:ind w:left="6480" w:hanging="180"/>
      </w:pPr>
    </w:lvl>
  </w:abstractNum>
  <w:abstractNum w:abstractNumId="49" w15:restartNumberingAfterBreak="0">
    <w:nsid w:val="7687601D"/>
    <w:multiLevelType w:val="hybridMultilevel"/>
    <w:tmpl w:val="8A044792"/>
    <w:lvl w:ilvl="0" w:tplc="9E6AB83E">
      <w:start w:val="1"/>
      <w:numFmt w:val="decimal"/>
      <w:lvlText w:val="(%1)"/>
      <w:lvlJc w:val="left"/>
      <w:pPr>
        <w:ind w:left="720" w:hanging="360"/>
      </w:pPr>
      <w:rPr>
        <w:rFonts w:hint="default"/>
      </w:rPr>
    </w:lvl>
    <w:lvl w:ilvl="1" w:tplc="D40423B2" w:tentative="1">
      <w:start w:val="1"/>
      <w:numFmt w:val="lowerLetter"/>
      <w:lvlText w:val="%2."/>
      <w:lvlJc w:val="left"/>
      <w:pPr>
        <w:ind w:left="1440" w:hanging="360"/>
      </w:pPr>
    </w:lvl>
    <w:lvl w:ilvl="2" w:tplc="BB844A8A" w:tentative="1">
      <w:start w:val="1"/>
      <w:numFmt w:val="lowerRoman"/>
      <w:lvlText w:val="%3."/>
      <w:lvlJc w:val="right"/>
      <w:pPr>
        <w:ind w:left="2160" w:hanging="180"/>
      </w:pPr>
    </w:lvl>
    <w:lvl w:ilvl="3" w:tplc="0FE4D95E" w:tentative="1">
      <w:start w:val="1"/>
      <w:numFmt w:val="decimal"/>
      <w:lvlText w:val="%4."/>
      <w:lvlJc w:val="left"/>
      <w:pPr>
        <w:ind w:left="2880" w:hanging="360"/>
      </w:pPr>
    </w:lvl>
    <w:lvl w:ilvl="4" w:tplc="857C7774" w:tentative="1">
      <w:start w:val="1"/>
      <w:numFmt w:val="lowerLetter"/>
      <w:lvlText w:val="%5."/>
      <w:lvlJc w:val="left"/>
      <w:pPr>
        <w:ind w:left="3600" w:hanging="360"/>
      </w:pPr>
    </w:lvl>
    <w:lvl w:ilvl="5" w:tplc="3626A6F0" w:tentative="1">
      <w:start w:val="1"/>
      <w:numFmt w:val="lowerRoman"/>
      <w:lvlText w:val="%6."/>
      <w:lvlJc w:val="right"/>
      <w:pPr>
        <w:ind w:left="4320" w:hanging="180"/>
      </w:pPr>
    </w:lvl>
    <w:lvl w:ilvl="6" w:tplc="D30C268A" w:tentative="1">
      <w:start w:val="1"/>
      <w:numFmt w:val="decimal"/>
      <w:lvlText w:val="%7."/>
      <w:lvlJc w:val="left"/>
      <w:pPr>
        <w:ind w:left="5040" w:hanging="360"/>
      </w:pPr>
    </w:lvl>
    <w:lvl w:ilvl="7" w:tplc="F10AA3C6" w:tentative="1">
      <w:start w:val="1"/>
      <w:numFmt w:val="lowerLetter"/>
      <w:lvlText w:val="%8."/>
      <w:lvlJc w:val="left"/>
      <w:pPr>
        <w:ind w:left="5760" w:hanging="360"/>
      </w:pPr>
    </w:lvl>
    <w:lvl w:ilvl="8" w:tplc="67EEAB7C" w:tentative="1">
      <w:start w:val="1"/>
      <w:numFmt w:val="lowerRoman"/>
      <w:lvlText w:val="%9."/>
      <w:lvlJc w:val="right"/>
      <w:pPr>
        <w:ind w:left="6480" w:hanging="180"/>
      </w:pPr>
    </w:lvl>
  </w:abstractNum>
  <w:abstractNum w:abstractNumId="50" w15:restartNumberingAfterBreak="0">
    <w:nsid w:val="79836971"/>
    <w:multiLevelType w:val="hybridMultilevel"/>
    <w:tmpl w:val="BBFE7B32"/>
    <w:lvl w:ilvl="0" w:tplc="9E6AB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9CF3C9D"/>
    <w:multiLevelType w:val="hybridMultilevel"/>
    <w:tmpl w:val="3B463ED6"/>
    <w:lvl w:ilvl="0" w:tplc="2EF4D00E">
      <w:start w:val="1"/>
      <w:numFmt w:val="decimal"/>
      <w:lvlText w:val="(%1)"/>
      <w:lvlJc w:val="left"/>
      <w:pPr>
        <w:ind w:left="720" w:hanging="360"/>
      </w:pPr>
      <w:rPr>
        <w:rFonts w:hint="default"/>
      </w:rPr>
    </w:lvl>
    <w:lvl w:ilvl="1" w:tplc="4468C882" w:tentative="1">
      <w:start w:val="1"/>
      <w:numFmt w:val="lowerLetter"/>
      <w:lvlText w:val="%2."/>
      <w:lvlJc w:val="left"/>
      <w:pPr>
        <w:ind w:left="1440" w:hanging="360"/>
      </w:pPr>
    </w:lvl>
    <w:lvl w:ilvl="2" w:tplc="DE54CA56" w:tentative="1">
      <w:start w:val="1"/>
      <w:numFmt w:val="lowerRoman"/>
      <w:lvlText w:val="%3."/>
      <w:lvlJc w:val="right"/>
      <w:pPr>
        <w:ind w:left="2160" w:hanging="180"/>
      </w:pPr>
    </w:lvl>
    <w:lvl w:ilvl="3" w:tplc="B85ACF1C" w:tentative="1">
      <w:start w:val="1"/>
      <w:numFmt w:val="decimal"/>
      <w:lvlText w:val="%4."/>
      <w:lvlJc w:val="left"/>
      <w:pPr>
        <w:ind w:left="2880" w:hanging="360"/>
      </w:pPr>
    </w:lvl>
    <w:lvl w:ilvl="4" w:tplc="23B8D1AC" w:tentative="1">
      <w:start w:val="1"/>
      <w:numFmt w:val="lowerLetter"/>
      <w:lvlText w:val="%5."/>
      <w:lvlJc w:val="left"/>
      <w:pPr>
        <w:ind w:left="3600" w:hanging="360"/>
      </w:pPr>
    </w:lvl>
    <w:lvl w:ilvl="5" w:tplc="378A0D0E" w:tentative="1">
      <w:start w:val="1"/>
      <w:numFmt w:val="lowerRoman"/>
      <w:lvlText w:val="%6."/>
      <w:lvlJc w:val="right"/>
      <w:pPr>
        <w:ind w:left="4320" w:hanging="180"/>
      </w:pPr>
    </w:lvl>
    <w:lvl w:ilvl="6" w:tplc="0FEC34F6" w:tentative="1">
      <w:start w:val="1"/>
      <w:numFmt w:val="decimal"/>
      <w:lvlText w:val="%7."/>
      <w:lvlJc w:val="left"/>
      <w:pPr>
        <w:ind w:left="5040" w:hanging="360"/>
      </w:pPr>
    </w:lvl>
    <w:lvl w:ilvl="7" w:tplc="4B148DBA" w:tentative="1">
      <w:start w:val="1"/>
      <w:numFmt w:val="lowerLetter"/>
      <w:lvlText w:val="%8."/>
      <w:lvlJc w:val="left"/>
      <w:pPr>
        <w:ind w:left="5760" w:hanging="360"/>
      </w:pPr>
    </w:lvl>
    <w:lvl w:ilvl="8" w:tplc="BD2CD0F0" w:tentative="1">
      <w:start w:val="1"/>
      <w:numFmt w:val="lowerRoman"/>
      <w:lvlText w:val="%9."/>
      <w:lvlJc w:val="right"/>
      <w:pPr>
        <w:ind w:left="6480" w:hanging="180"/>
      </w:pPr>
    </w:lvl>
  </w:abstractNum>
  <w:abstractNum w:abstractNumId="52" w15:restartNumberingAfterBreak="0">
    <w:nsid w:val="7EB94683"/>
    <w:multiLevelType w:val="hybridMultilevel"/>
    <w:tmpl w:val="4ACCDFA4"/>
    <w:lvl w:ilvl="0" w:tplc="6D0CEDF2">
      <w:start w:val="1"/>
      <w:numFmt w:val="decimal"/>
      <w:lvlText w:val="(%1)"/>
      <w:lvlJc w:val="left"/>
      <w:pPr>
        <w:ind w:left="360" w:hanging="360"/>
      </w:pPr>
      <w:rPr>
        <w:rFonts w:hint="default"/>
      </w:rPr>
    </w:lvl>
    <w:lvl w:ilvl="1" w:tplc="0B74BB4A" w:tentative="1">
      <w:start w:val="1"/>
      <w:numFmt w:val="lowerLetter"/>
      <w:lvlText w:val="%2."/>
      <w:lvlJc w:val="left"/>
      <w:pPr>
        <w:ind w:left="1080" w:hanging="360"/>
      </w:pPr>
    </w:lvl>
    <w:lvl w:ilvl="2" w:tplc="B75E2E6C" w:tentative="1">
      <w:start w:val="1"/>
      <w:numFmt w:val="lowerRoman"/>
      <w:lvlText w:val="%3."/>
      <w:lvlJc w:val="right"/>
      <w:pPr>
        <w:ind w:left="1800" w:hanging="180"/>
      </w:pPr>
    </w:lvl>
    <w:lvl w:ilvl="3" w:tplc="4372FFD2" w:tentative="1">
      <w:start w:val="1"/>
      <w:numFmt w:val="decimal"/>
      <w:lvlText w:val="%4."/>
      <w:lvlJc w:val="left"/>
      <w:pPr>
        <w:ind w:left="2520" w:hanging="360"/>
      </w:pPr>
    </w:lvl>
    <w:lvl w:ilvl="4" w:tplc="E1867F54" w:tentative="1">
      <w:start w:val="1"/>
      <w:numFmt w:val="lowerLetter"/>
      <w:lvlText w:val="%5."/>
      <w:lvlJc w:val="left"/>
      <w:pPr>
        <w:ind w:left="3240" w:hanging="360"/>
      </w:pPr>
    </w:lvl>
    <w:lvl w:ilvl="5" w:tplc="5BDC6336" w:tentative="1">
      <w:start w:val="1"/>
      <w:numFmt w:val="lowerRoman"/>
      <w:lvlText w:val="%6."/>
      <w:lvlJc w:val="right"/>
      <w:pPr>
        <w:ind w:left="3960" w:hanging="180"/>
      </w:pPr>
    </w:lvl>
    <w:lvl w:ilvl="6" w:tplc="983CA122" w:tentative="1">
      <w:start w:val="1"/>
      <w:numFmt w:val="decimal"/>
      <w:lvlText w:val="%7."/>
      <w:lvlJc w:val="left"/>
      <w:pPr>
        <w:ind w:left="4680" w:hanging="360"/>
      </w:pPr>
    </w:lvl>
    <w:lvl w:ilvl="7" w:tplc="2D4AE790" w:tentative="1">
      <w:start w:val="1"/>
      <w:numFmt w:val="lowerLetter"/>
      <w:lvlText w:val="%8."/>
      <w:lvlJc w:val="left"/>
      <w:pPr>
        <w:ind w:left="5400" w:hanging="360"/>
      </w:pPr>
    </w:lvl>
    <w:lvl w:ilvl="8" w:tplc="0200F0E2" w:tentative="1">
      <w:start w:val="1"/>
      <w:numFmt w:val="lowerRoman"/>
      <w:lvlText w:val="%9."/>
      <w:lvlJc w:val="right"/>
      <w:pPr>
        <w:ind w:left="6120" w:hanging="180"/>
      </w:pPr>
    </w:lvl>
  </w:abstractNum>
  <w:num w:numId="1">
    <w:abstractNumId w:val="25"/>
  </w:num>
  <w:num w:numId="2">
    <w:abstractNumId w:val="49"/>
  </w:num>
  <w:num w:numId="3">
    <w:abstractNumId w:val="51"/>
  </w:num>
  <w:num w:numId="4">
    <w:abstractNumId w:val="10"/>
  </w:num>
  <w:num w:numId="5">
    <w:abstractNumId w:val="31"/>
  </w:num>
  <w:num w:numId="6">
    <w:abstractNumId w:val="42"/>
  </w:num>
  <w:num w:numId="7">
    <w:abstractNumId w:val="46"/>
  </w:num>
  <w:num w:numId="8">
    <w:abstractNumId w:val="26"/>
  </w:num>
  <w:num w:numId="9">
    <w:abstractNumId w:val="27"/>
  </w:num>
  <w:num w:numId="10">
    <w:abstractNumId w:val="37"/>
  </w:num>
  <w:num w:numId="11">
    <w:abstractNumId w:val="33"/>
  </w:num>
  <w:num w:numId="12">
    <w:abstractNumId w:val="17"/>
  </w:num>
  <w:num w:numId="13">
    <w:abstractNumId w:val="41"/>
  </w:num>
  <w:num w:numId="14">
    <w:abstractNumId w:val="21"/>
  </w:num>
  <w:num w:numId="15">
    <w:abstractNumId w:val="13"/>
  </w:num>
  <w:num w:numId="16">
    <w:abstractNumId w:val="6"/>
  </w:num>
  <w:num w:numId="17">
    <w:abstractNumId w:val="8"/>
  </w:num>
  <w:num w:numId="18">
    <w:abstractNumId w:val="43"/>
  </w:num>
  <w:num w:numId="19">
    <w:abstractNumId w:val="5"/>
  </w:num>
  <w:num w:numId="20">
    <w:abstractNumId w:val="4"/>
  </w:num>
  <w:num w:numId="21">
    <w:abstractNumId w:val="7"/>
  </w:num>
  <w:num w:numId="22">
    <w:abstractNumId w:val="3"/>
  </w:num>
  <w:num w:numId="23">
    <w:abstractNumId w:val="2"/>
  </w:num>
  <w:num w:numId="24">
    <w:abstractNumId w:val="1"/>
  </w:num>
  <w:num w:numId="25">
    <w:abstractNumId w:val="0"/>
  </w:num>
  <w:num w:numId="26">
    <w:abstractNumId w:val="38"/>
  </w:num>
  <w:num w:numId="27">
    <w:abstractNumId w:val="24"/>
  </w:num>
  <w:num w:numId="28">
    <w:abstractNumId w:val="9"/>
  </w:num>
  <w:num w:numId="29">
    <w:abstractNumId w:val="15"/>
  </w:num>
  <w:num w:numId="30">
    <w:abstractNumId w:val="34"/>
  </w:num>
  <w:num w:numId="31">
    <w:abstractNumId w:val="39"/>
  </w:num>
  <w:num w:numId="32">
    <w:abstractNumId w:val="19"/>
  </w:num>
  <w:num w:numId="33">
    <w:abstractNumId w:val="30"/>
  </w:num>
  <w:num w:numId="34">
    <w:abstractNumId w:val="47"/>
  </w:num>
  <w:num w:numId="35">
    <w:abstractNumId w:val="20"/>
  </w:num>
  <w:num w:numId="36">
    <w:abstractNumId w:val="11"/>
  </w:num>
  <w:num w:numId="37">
    <w:abstractNumId w:val="18"/>
  </w:num>
  <w:num w:numId="38">
    <w:abstractNumId w:val="44"/>
  </w:num>
  <w:num w:numId="39">
    <w:abstractNumId w:val="52"/>
  </w:num>
  <w:num w:numId="40">
    <w:abstractNumId w:val="32"/>
  </w:num>
  <w:num w:numId="41">
    <w:abstractNumId w:val="35"/>
  </w:num>
  <w:num w:numId="42">
    <w:abstractNumId w:val="48"/>
  </w:num>
  <w:num w:numId="43">
    <w:abstractNumId w:val="12"/>
  </w:num>
  <w:num w:numId="44">
    <w:abstractNumId w:val="28"/>
  </w:num>
  <w:num w:numId="45">
    <w:abstractNumId w:val="50"/>
  </w:num>
  <w:num w:numId="46">
    <w:abstractNumId w:val="40"/>
  </w:num>
  <w:num w:numId="47">
    <w:abstractNumId w:val="14"/>
  </w:num>
  <w:num w:numId="48">
    <w:abstractNumId w:val="22"/>
  </w:num>
  <w:num w:numId="49">
    <w:abstractNumId w:val="36"/>
  </w:num>
  <w:num w:numId="50">
    <w:abstractNumId w:val="29"/>
  </w:num>
  <w:num w:numId="51">
    <w:abstractNumId w:val="45"/>
  </w:num>
  <w:num w:numId="52">
    <w:abstractNumId w:val="23"/>
  </w:num>
  <w:num w:numId="53">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bordersDoNotSurroundHeader/>
  <w:bordersDoNotSurroundFooter/>
  <w:hideSpellingError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3125"/>
  <w:hyphenationZone w:val="1096"/>
  <w:drawingGridHorizontalSpacing w:val="110"/>
  <w:drawingGridVerticalSpacing w:val="120"/>
  <w:displayHorizontalDrawingGridEvery w:val="0"/>
  <w:displayVerticalDrawingGridEvery w:val="3"/>
  <w:doNotShadeFormData/>
  <w:characterSpacingControl w:val="compressPunctuation"/>
  <w:hdrShapeDefaults>
    <o:shapedefaults v:ext="edit" spidmax="1167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ClientMatter" w:val="False"/>
    <w:docVar w:name="DocIDDate" w:val="False"/>
    <w:docVar w:name="DocIDDateText" w:val="False"/>
    <w:docVar w:name="DocIDLibrary" w:val="True"/>
    <w:docVar w:name="DocIDType" w:val="AllPagesExceptFirst"/>
  </w:docVars>
  <w:rsids>
    <w:rsidRoot w:val="005134E6"/>
    <w:rsid w:val="0000036D"/>
    <w:rsid w:val="000005E4"/>
    <w:rsid w:val="00000800"/>
    <w:rsid w:val="000011D2"/>
    <w:rsid w:val="00003271"/>
    <w:rsid w:val="000037CA"/>
    <w:rsid w:val="000040EB"/>
    <w:rsid w:val="00004644"/>
    <w:rsid w:val="00004B45"/>
    <w:rsid w:val="00004D46"/>
    <w:rsid w:val="00005D0E"/>
    <w:rsid w:val="000060DB"/>
    <w:rsid w:val="00007F1A"/>
    <w:rsid w:val="00007F8B"/>
    <w:rsid w:val="00010CBE"/>
    <w:rsid w:val="00010F08"/>
    <w:rsid w:val="00010F74"/>
    <w:rsid w:val="00011305"/>
    <w:rsid w:val="00011576"/>
    <w:rsid w:val="00011FF4"/>
    <w:rsid w:val="0001235F"/>
    <w:rsid w:val="00013B3E"/>
    <w:rsid w:val="00013C06"/>
    <w:rsid w:val="0001501A"/>
    <w:rsid w:val="000151A3"/>
    <w:rsid w:val="00015494"/>
    <w:rsid w:val="00015539"/>
    <w:rsid w:val="00015B7B"/>
    <w:rsid w:val="00015C78"/>
    <w:rsid w:val="00016625"/>
    <w:rsid w:val="00016A67"/>
    <w:rsid w:val="00017526"/>
    <w:rsid w:val="000177E2"/>
    <w:rsid w:val="00017B49"/>
    <w:rsid w:val="00017E02"/>
    <w:rsid w:val="0002063C"/>
    <w:rsid w:val="00020966"/>
    <w:rsid w:val="00021287"/>
    <w:rsid w:val="000215D0"/>
    <w:rsid w:val="000215FF"/>
    <w:rsid w:val="000218FD"/>
    <w:rsid w:val="00021A6F"/>
    <w:rsid w:val="00021F72"/>
    <w:rsid w:val="00022574"/>
    <w:rsid w:val="00022B61"/>
    <w:rsid w:val="00023868"/>
    <w:rsid w:val="000244DF"/>
    <w:rsid w:val="0002469B"/>
    <w:rsid w:val="00024D6D"/>
    <w:rsid w:val="00025D9E"/>
    <w:rsid w:val="0002635A"/>
    <w:rsid w:val="0002643C"/>
    <w:rsid w:val="00026701"/>
    <w:rsid w:val="00027A40"/>
    <w:rsid w:val="00027DFF"/>
    <w:rsid w:val="00027EAB"/>
    <w:rsid w:val="00027FB3"/>
    <w:rsid w:val="00030289"/>
    <w:rsid w:val="00030A14"/>
    <w:rsid w:val="00031207"/>
    <w:rsid w:val="000333FA"/>
    <w:rsid w:val="00033582"/>
    <w:rsid w:val="000350F5"/>
    <w:rsid w:val="000357CE"/>
    <w:rsid w:val="00036751"/>
    <w:rsid w:val="000368EF"/>
    <w:rsid w:val="000370B3"/>
    <w:rsid w:val="00037722"/>
    <w:rsid w:val="000378D0"/>
    <w:rsid w:val="0004100A"/>
    <w:rsid w:val="0004120A"/>
    <w:rsid w:val="00041312"/>
    <w:rsid w:val="000413E8"/>
    <w:rsid w:val="0004204F"/>
    <w:rsid w:val="00042B28"/>
    <w:rsid w:val="000436E7"/>
    <w:rsid w:val="000437D7"/>
    <w:rsid w:val="000439A7"/>
    <w:rsid w:val="000447B9"/>
    <w:rsid w:val="00045E7E"/>
    <w:rsid w:val="000462AE"/>
    <w:rsid w:val="0004671C"/>
    <w:rsid w:val="0004679A"/>
    <w:rsid w:val="00046879"/>
    <w:rsid w:val="00046DDA"/>
    <w:rsid w:val="000470FA"/>
    <w:rsid w:val="00047737"/>
    <w:rsid w:val="00047849"/>
    <w:rsid w:val="00047D5A"/>
    <w:rsid w:val="000500CF"/>
    <w:rsid w:val="000504FB"/>
    <w:rsid w:val="00050730"/>
    <w:rsid w:val="00051031"/>
    <w:rsid w:val="00051477"/>
    <w:rsid w:val="000517C7"/>
    <w:rsid w:val="000520F3"/>
    <w:rsid w:val="000533C2"/>
    <w:rsid w:val="00056C58"/>
    <w:rsid w:val="00057517"/>
    <w:rsid w:val="00060246"/>
    <w:rsid w:val="000604A7"/>
    <w:rsid w:val="00060EF9"/>
    <w:rsid w:val="00061188"/>
    <w:rsid w:val="00061779"/>
    <w:rsid w:val="000623A4"/>
    <w:rsid w:val="00062460"/>
    <w:rsid w:val="00063876"/>
    <w:rsid w:val="00063B11"/>
    <w:rsid w:val="0006453B"/>
    <w:rsid w:val="00064E38"/>
    <w:rsid w:val="00064FEC"/>
    <w:rsid w:val="000701C6"/>
    <w:rsid w:val="000714E3"/>
    <w:rsid w:val="0007167F"/>
    <w:rsid w:val="000721AB"/>
    <w:rsid w:val="000722A0"/>
    <w:rsid w:val="000731D4"/>
    <w:rsid w:val="00073214"/>
    <w:rsid w:val="00073AE1"/>
    <w:rsid w:val="00073C09"/>
    <w:rsid w:val="00074039"/>
    <w:rsid w:val="000740A7"/>
    <w:rsid w:val="000740D3"/>
    <w:rsid w:val="00074275"/>
    <w:rsid w:val="00074810"/>
    <w:rsid w:val="00074FB9"/>
    <w:rsid w:val="00074FD3"/>
    <w:rsid w:val="00075A68"/>
    <w:rsid w:val="000766A4"/>
    <w:rsid w:val="00076716"/>
    <w:rsid w:val="00076BCA"/>
    <w:rsid w:val="000772BD"/>
    <w:rsid w:val="000773BD"/>
    <w:rsid w:val="000776D2"/>
    <w:rsid w:val="000778F5"/>
    <w:rsid w:val="00080C8D"/>
    <w:rsid w:val="000818A8"/>
    <w:rsid w:val="0008192D"/>
    <w:rsid w:val="00081DB1"/>
    <w:rsid w:val="0008242C"/>
    <w:rsid w:val="000835A1"/>
    <w:rsid w:val="00083B41"/>
    <w:rsid w:val="00084527"/>
    <w:rsid w:val="00084932"/>
    <w:rsid w:val="000858AB"/>
    <w:rsid w:val="00086315"/>
    <w:rsid w:val="00086DAB"/>
    <w:rsid w:val="00086F32"/>
    <w:rsid w:val="00087B3D"/>
    <w:rsid w:val="00087E73"/>
    <w:rsid w:val="00091613"/>
    <w:rsid w:val="0009201B"/>
    <w:rsid w:val="00093031"/>
    <w:rsid w:val="00093144"/>
    <w:rsid w:val="00093386"/>
    <w:rsid w:val="00093BE4"/>
    <w:rsid w:val="00094103"/>
    <w:rsid w:val="00094105"/>
    <w:rsid w:val="000956E9"/>
    <w:rsid w:val="00096FA5"/>
    <w:rsid w:val="000975A5"/>
    <w:rsid w:val="000A0096"/>
    <w:rsid w:val="000A0130"/>
    <w:rsid w:val="000A01ED"/>
    <w:rsid w:val="000A03F4"/>
    <w:rsid w:val="000A304F"/>
    <w:rsid w:val="000A3810"/>
    <w:rsid w:val="000A3B2A"/>
    <w:rsid w:val="000A4A28"/>
    <w:rsid w:val="000A4DAB"/>
    <w:rsid w:val="000A5178"/>
    <w:rsid w:val="000A57E4"/>
    <w:rsid w:val="000A591F"/>
    <w:rsid w:val="000A5BEE"/>
    <w:rsid w:val="000A5C90"/>
    <w:rsid w:val="000A5EC1"/>
    <w:rsid w:val="000A60CC"/>
    <w:rsid w:val="000A6BC6"/>
    <w:rsid w:val="000A6C6D"/>
    <w:rsid w:val="000B0526"/>
    <w:rsid w:val="000B0B23"/>
    <w:rsid w:val="000B1C3D"/>
    <w:rsid w:val="000B2B71"/>
    <w:rsid w:val="000B2D3D"/>
    <w:rsid w:val="000B3AE4"/>
    <w:rsid w:val="000B4C47"/>
    <w:rsid w:val="000B6297"/>
    <w:rsid w:val="000B6633"/>
    <w:rsid w:val="000C0299"/>
    <w:rsid w:val="000C15E6"/>
    <w:rsid w:val="000C2379"/>
    <w:rsid w:val="000C2F37"/>
    <w:rsid w:val="000C3202"/>
    <w:rsid w:val="000C37F8"/>
    <w:rsid w:val="000C5208"/>
    <w:rsid w:val="000C5C6B"/>
    <w:rsid w:val="000C5F57"/>
    <w:rsid w:val="000C5FAC"/>
    <w:rsid w:val="000C6C3F"/>
    <w:rsid w:val="000C6D8C"/>
    <w:rsid w:val="000C6F80"/>
    <w:rsid w:val="000C7540"/>
    <w:rsid w:val="000C76A7"/>
    <w:rsid w:val="000C7E45"/>
    <w:rsid w:val="000D024E"/>
    <w:rsid w:val="000D0A7F"/>
    <w:rsid w:val="000D1B73"/>
    <w:rsid w:val="000D3117"/>
    <w:rsid w:val="000D3664"/>
    <w:rsid w:val="000D43F2"/>
    <w:rsid w:val="000D60D3"/>
    <w:rsid w:val="000D6650"/>
    <w:rsid w:val="000D6E99"/>
    <w:rsid w:val="000D7C5F"/>
    <w:rsid w:val="000D7EDB"/>
    <w:rsid w:val="000E0432"/>
    <w:rsid w:val="000E0541"/>
    <w:rsid w:val="000E0709"/>
    <w:rsid w:val="000E08EF"/>
    <w:rsid w:val="000E0B30"/>
    <w:rsid w:val="000E132B"/>
    <w:rsid w:val="000E1B10"/>
    <w:rsid w:val="000E353A"/>
    <w:rsid w:val="000E3B11"/>
    <w:rsid w:val="000E3B6A"/>
    <w:rsid w:val="000E4148"/>
    <w:rsid w:val="000E41F6"/>
    <w:rsid w:val="000E42CE"/>
    <w:rsid w:val="000E4543"/>
    <w:rsid w:val="000E4B3E"/>
    <w:rsid w:val="000E57FB"/>
    <w:rsid w:val="000E5F2D"/>
    <w:rsid w:val="000E6472"/>
    <w:rsid w:val="000E69B6"/>
    <w:rsid w:val="000E6BFD"/>
    <w:rsid w:val="000E6C3C"/>
    <w:rsid w:val="000E6E72"/>
    <w:rsid w:val="000E76A5"/>
    <w:rsid w:val="000F0235"/>
    <w:rsid w:val="000F060F"/>
    <w:rsid w:val="000F09FB"/>
    <w:rsid w:val="000F0C63"/>
    <w:rsid w:val="000F1B60"/>
    <w:rsid w:val="000F1E84"/>
    <w:rsid w:val="000F212B"/>
    <w:rsid w:val="000F3277"/>
    <w:rsid w:val="000F3661"/>
    <w:rsid w:val="000F398C"/>
    <w:rsid w:val="000F5107"/>
    <w:rsid w:val="000F530C"/>
    <w:rsid w:val="000F553A"/>
    <w:rsid w:val="000F5C92"/>
    <w:rsid w:val="000F5D67"/>
    <w:rsid w:val="000F6565"/>
    <w:rsid w:val="000F7806"/>
    <w:rsid w:val="000F7CED"/>
    <w:rsid w:val="000F7F38"/>
    <w:rsid w:val="001003BB"/>
    <w:rsid w:val="0010149B"/>
    <w:rsid w:val="001014A2"/>
    <w:rsid w:val="00102727"/>
    <w:rsid w:val="00102BEE"/>
    <w:rsid w:val="00102C99"/>
    <w:rsid w:val="001048FC"/>
    <w:rsid w:val="00105BB7"/>
    <w:rsid w:val="00105C61"/>
    <w:rsid w:val="00105E15"/>
    <w:rsid w:val="00107A9A"/>
    <w:rsid w:val="001102EB"/>
    <w:rsid w:val="00110526"/>
    <w:rsid w:val="00110D2D"/>
    <w:rsid w:val="00111892"/>
    <w:rsid w:val="001143AF"/>
    <w:rsid w:val="00114517"/>
    <w:rsid w:val="00114737"/>
    <w:rsid w:val="00114E05"/>
    <w:rsid w:val="001151B0"/>
    <w:rsid w:val="00115553"/>
    <w:rsid w:val="00115A74"/>
    <w:rsid w:val="00115EC8"/>
    <w:rsid w:val="00116AB8"/>
    <w:rsid w:val="00120630"/>
    <w:rsid w:val="001207FC"/>
    <w:rsid w:val="001209D8"/>
    <w:rsid w:val="0012163D"/>
    <w:rsid w:val="00121F71"/>
    <w:rsid w:val="0012220B"/>
    <w:rsid w:val="00122660"/>
    <w:rsid w:val="00122C68"/>
    <w:rsid w:val="001234BF"/>
    <w:rsid w:val="00123976"/>
    <w:rsid w:val="001240A3"/>
    <w:rsid w:val="001254F8"/>
    <w:rsid w:val="00125A57"/>
    <w:rsid w:val="0012681D"/>
    <w:rsid w:val="0012686C"/>
    <w:rsid w:val="001269B4"/>
    <w:rsid w:val="00126F0C"/>
    <w:rsid w:val="00127321"/>
    <w:rsid w:val="001278B4"/>
    <w:rsid w:val="00130752"/>
    <w:rsid w:val="001314B5"/>
    <w:rsid w:val="00131597"/>
    <w:rsid w:val="00132AF5"/>
    <w:rsid w:val="00132DBC"/>
    <w:rsid w:val="001334B4"/>
    <w:rsid w:val="00133DBC"/>
    <w:rsid w:val="001341FD"/>
    <w:rsid w:val="001345E7"/>
    <w:rsid w:val="001347FA"/>
    <w:rsid w:val="00134A43"/>
    <w:rsid w:val="001353C0"/>
    <w:rsid w:val="00135A56"/>
    <w:rsid w:val="00135BB7"/>
    <w:rsid w:val="001362BA"/>
    <w:rsid w:val="001362FB"/>
    <w:rsid w:val="00136518"/>
    <w:rsid w:val="00136A96"/>
    <w:rsid w:val="00136B82"/>
    <w:rsid w:val="00136CA7"/>
    <w:rsid w:val="0014077D"/>
    <w:rsid w:val="00140D47"/>
    <w:rsid w:val="00141117"/>
    <w:rsid w:val="001412AD"/>
    <w:rsid w:val="00141817"/>
    <w:rsid w:val="00143D55"/>
    <w:rsid w:val="001446A0"/>
    <w:rsid w:val="0014561B"/>
    <w:rsid w:val="001456BE"/>
    <w:rsid w:val="0014584A"/>
    <w:rsid w:val="00145E51"/>
    <w:rsid w:val="00145FD8"/>
    <w:rsid w:val="00146AF7"/>
    <w:rsid w:val="00147144"/>
    <w:rsid w:val="001518C8"/>
    <w:rsid w:val="00152280"/>
    <w:rsid w:val="00152DC7"/>
    <w:rsid w:val="001535CA"/>
    <w:rsid w:val="00153F7E"/>
    <w:rsid w:val="001541E8"/>
    <w:rsid w:val="00154331"/>
    <w:rsid w:val="00154C34"/>
    <w:rsid w:val="00154F0E"/>
    <w:rsid w:val="00155122"/>
    <w:rsid w:val="001554E0"/>
    <w:rsid w:val="00155C67"/>
    <w:rsid w:val="00156F18"/>
    <w:rsid w:val="001577F1"/>
    <w:rsid w:val="001602E3"/>
    <w:rsid w:val="00160C4D"/>
    <w:rsid w:val="0016133A"/>
    <w:rsid w:val="00162450"/>
    <w:rsid w:val="00162949"/>
    <w:rsid w:val="00162F7F"/>
    <w:rsid w:val="001639D1"/>
    <w:rsid w:val="001649AB"/>
    <w:rsid w:val="0016501B"/>
    <w:rsid w:val="0016520D"/>
    <w:rsid w:val="00165419"/>
    <w:rsid w:val="00165C63"/>
    <w:rsid w:val="00166235"/>
    <w:rsid w:val="00167457"/>
    <w:rsid w:val="0016758C"/>
    <w:rsid w:val="0016792A"/>
    <w:rsid w:val="00170901"/>
    <w:rsid w:val="00170D19"/>
    <w:rsid w:val="0017218E"/>
    <w:rsid w:val="00172E29"/>
    <w:rsid w:val="00172F0F"/>
    <w:rsid w:val="001734FD"/>
    <w:rsid w:val="0017357C"/>
    <w:rsid w:val="00173648"/>
    <w:rsid w:val="00173F6E"/>
    <w:rsid w:val="00174295"/>
    <w:rsid w:val="001749B3"/>
    <w:rsid w:val="00174A5E"/>
    <w:rsid w:val="001751C3"/>
    <w:rsid w:val="00175C62"/>
    <w:rsid w:val="00175CE1"/>
    <w:rsid w:val="00175E2F"/>
    <w:rsid w:val="00175E9F"/>
    <w:rsid w:val="001768BA"/>
    <w:rsid w:val="00180C02"/>
    <w:rsid w:val="00182993"/>
    <w:rsid w:val="0018385E"/>
    <w:rsid w:val="00183CA8"/>
    <w:rsid w:val="00183F92"/>
    <w:rsid w:val="001842B6"/>
    <w:rsid w:val="00184D5C"/>
    <w:rsid w:val="001855E3"/>
    <w:rsid w:val="00185607"/>
    <w:rsid w:val="00185CEB"/>
    <w:rsid w:val="001860DD"/>
    <w:rsid w:val="0018670E"/>
    <w:rsid w:val="00186AF1"/>
    <w:rsid w:val="00186C8E"/>
    <w:rsid w:val="001870B7"/>
    <w:rsid w:val="00187A2C"/>
    <w:rsid w:val="00187C25"/>
    <w:rsid w:val="00187D77"/>
    <w:rsid w:val="00190694"/>
    <w:rsid w:val="001909FC"/>
    <w:rsid w:val="001910F8"/>
    <w:rsid w:val="00191BB4"/>
    <w:rsid w:val="00191F3D"/>
    <w:rsid w:val="001923E5"/>
    <w:rsid w:val="001928D7"/>
    <w:rsid w:val="001931A8"/>
    <w:rsid w:val="001943C6"/>
    <w:rsid w:val="00194AA9"/>
    <w:rsid w:val="0019663F"/>
    <w:rsid w:val="00196828"/>
    <w:rsid w:val="00197048"/>
    <w:rsid w:val="001971D3"/>
    <w:rsid w:val="00197B74"/>
    <w:rsid w:val="001A11F0"/>
    <w:rsid w:val="001A1513"/>
    <w:rsid w:val="001A194B"/>
    <w:rsid w:val="001A1D06"/>
    <w:rsid w:val="001A2E9C"/>
    <w:rsid w:val="001A3031"/>
    <w:rsid w:val="001A3331"/>
    <w:rsid w:val="001A35B1"/>
    <w:rsid w:val="001A3695"/>
    <w:rsid w:val="001A4DA1"/>
    <w:rsid w:val="001A578D"/>
    <w:rsid w:val="001A57BF"/>
    <w:rsid w:val="001A59BE"/>
    <w:rsid w:val="001A5C5A"/>
    <w:rsid w:val="001A5E28"/>
    <w:rsid w:val="001A5EC4"/>
    <w:rsid w:val="001A6387"/>
    <w:rsid w:val="001A6CD9"/>
    <w:rsid w:val="001A70B0"/>
    <w:rsid w:val="001A748F"/>
    <w:rsid w:val="001B0709"/>
    <w:rsid w:val="001B0AB5"/>
    <w:rsid w:val="001B0BCC"/>
    <w:rsid w:val="001B13C2"/>
    <w:rsid w:val="001B1C05"/>
    <w:rsid w:val="001B26A1"/>
    <w:rsid w:val="001B33FE"/>
    <w:rsid w:val="001B38E2"/>
    <w:rsid w:val="001B4E03"/>
    <w:rsid w:val="001B4ED9"/>
    <w:rsid w:val="001B53BB"/>
    <w:rsid w:val="001B657D"/>
    <w:rsid w:val="001B7F0C"/>
    <w:rsid w:val="001C0691"/>
    <w:rsid w:val="001C1434"/>
    <w:rsid w:val="001C16D2"/>
    <w:rsid w:val="001C16E7"/>
    <w:rsid w:val="001C19F3"/>
    <w:rsid w:val="001C1EA9"/>
    <w:rsid w:val="001C251D"/>
    <w:rsid w:val="001C2DF2"/>
    <w:rsid w:val="001C38C8"/>
    <w:rsid w:val="001C4124"/>
    <w:rsid w:val="001C44F4"/>
    <w:rsid w:val="001C5149"/>
    <w:rsid w:val="001C54C0"/>
    <w:rsid w:val="001C566F"/>
    <w:rsid w:val="001C5E29"/>
    <w:rsid w:val="001C6316"/>
    <w:rsid w:val="001D0271"/>
    <w:rsid w:val="001D0C63"/>
    <w:rsid w:val="001D29E9"/>
    <w:rsid w:val="001D3AEA"/>
    <w:rsid w:val="001D445B"/>
    <w:rsid w:val="001D5346"/>
    <w:rsid w:val="001D5A83"/>
    <w:rsid w:val="001D5EBE"/>
    <w:rsid w:val="001D72FB"/>
    <w:rsid w:val="001D7BB5"/>
    <w:rsid w:val="001E0172"/>
    <w:rsid w:val="001E0C57"/>
    <w:rsid w:val="001E0E08"/>
    <w:rsid w:val="001E1070"/>
    <w:rsid w:val="001E131B"/>
    <w:rsid w:val="001E1542"/>
    <w:rsid w:val="001E178A"/>
    <w:rsid w:val="001E1DA0"/>
    <w:rsid w:val="001E1E35"/>
    <w:rsid w:val="001E27FA"/>
    <w:rsid w:val="001E27FC"/>
    <w:rsid w:val="001E291B"/>
    <w:rsid w:val="001E336A"/>
    <w:rsid w:val="001E4035"/>
    <w:rsid w:val="001E4723"/>
    <w:rsid w:val="001E4827"/>
    <w:rsid w:val="001E559D"/>
    <w:rsid w:val="001E5B3B"/>
    <w:rsid w:val="001E5B93"/>
    <w:rsid w:val="001E60EE"/>
    <w:rsid w:val="001E6AA8"/>
    <w:rsid w:val="001E6CED"/>
    <w:rsid w:val="001E6E54"/>
    <w:rsid w:val="001E7039"/>
    <w:rsid w:val="001E72DA"/>
    <w:rsid w:val="001F0155"/>
    <w:rsid w:val="001F0374"/>
    <w:rsid w:val="001F0A81"/>
    <w:rsid w:val="001F12A4"/>
    <w:rsid w:val="001F141C"/>
    <w:rsid w:val="001F1C97"/>
    <w:rsid w:val="001F2045"/>
    <w:rsid w:val="001F22F3"/>
    <w:rsid w:val="001F3786"/>
    <w:rsid w:val="001F3A2F"/>
    <w:rsid w:val="001F3D07"/>
    <w:rsid w:val="001F3E4A"/>
    <w:rsid w:val="001F3E6A"/>
    <w:rsid w:val="001F5DC0"/>
    <w:rsid w:val="001F6D8B"/>
    <w:rsid w:val="001F6EC1"/>
    <w:rsid w:val="001F7704"/>
    <w:rsid w:val="001F79A3"/>
    <w:rsid w:val="001F7CCB"/>
    <w:rsid w:val="0020038A"/>
    <w:rsid w:val="00201A39"/>
    <w:rsid w:val="00201A97"/>
    <w:rsid w:val="00202AA0"/>
    <w:rsid w:val="00202ABB"/>
    <w:rsid w:val="002036FB"/>
    <w:rsid w:val="00203749"/>
    <w:rsid w:val="00203CE1"/>
    <w:rsid w:val="0020462C"/>
    <w:rsid w:val="00204DDE"/>
    <w:rsid w:val="0020538E"/>
    <w:rsid w:val="002064C3"/>
    <w:rsid w:val="00206AAE"/>
    <w:rsid w:val="00206D20"/>
    <w:rsid w:val="0020738A"/>
    <w:rsid w:val="00207BD9"/>
    <w:rsid w:val="00207EA6"/>
    <w:rsid w:val="002105F4"/>
    <w:rsid w:val="00210833"/>
    <w:rsid w:val="00210A62"/>
    <w:rsid w:val="00210AE3"/>
    <w:rsid w:val="00210D40"/>
    <w:rsid w:val="00211D75"/>
    <w:rsid w:val="00212D6F"/>
    <w:rsid w:val="002136F7"/>
    <w:rsid w:val="0021371A"/>
    <w:rsid w:val="0021378E"/>
    <w:rsid w:val="002145F3"/>
    <w:rsid w:val="002150E6"/>
    <w:rsid w:val="002153B0"/>
    <w:rsid w:val="002158F7"/>
    <w:rsid w:val="0021649E"/>
    <w:rsid w:val="0021681F"/>
    <w:rsid w:val="00220C00"/>
    <w:rsid w:val="00220D40"/>
    <w:rsid w:val="00221C36"/>
    <w:rsid w:val="00221F92"/>
    <w:rsid w:val="002228B8"/>
    <w:rsid w:val="00222CB9"/>
    <w:rsid w:val="00223195"/>
    <w:rsid w:val="00224572"/>
    <w:rsid w:val="00224772"/>
    <w:rsid w:val="00224A20"/>
    <w:rsid w:val="00230B83"/>
    <w:rsid w:val="002318FD"/>
    <w:rsid w:val="00231BBF"/>
    <w:rsid w:val="00231D1C"/>
    <w:rsid w:val="00231D97"/>
    <w:rsid w:val="00232052"/>
    <w:rsid w:val="0023245C"/>
    <w:rsid w:val="00232636"/>
    <w:rsid w:val="0023321C"/>
    <w:rsid w:val="002333C1"/>
    <w:rsid w:val="00233414"/>
    <w:rsid w:val="00233AAF"/>
    <w:rsid w:val="0023458A"/>
    <w:rsid w:val="00234F7E"/>
    <w:rsid w:val="0023564A"/>
    <w:rsid w:val="0023590D"/>
    <w:rsid w:val="00235A33"/>
    <w:rsid w:val="002364CA"/>
    <w:rsid w:val="002367CE"/>
    <w:rsid w:val="002369C2"/>
    <w:rsid w:val="00237982"/>
    <w:rsid w:val="00237B97"/>
    <w:rsid w:val="00237ED8"/>
    <w:rsid w:val="00237F6D"/>
    <w:rsid w:val="00240320"/>
    <w:rsid w:val="00240475"/>
    <w:rsid w:val="002405CC"/>
    <w:rsid w:val="002405CE"/>
    <w:rsid w:val="00240BEA"/>
    <w:rsid w:val="002410E5"/>
    <w:rsid w:val="0024139D"/>
    <w:rsid w:val="002419C7"/>
    <w:rsid w:val="00241FB9"/>
    <w:rsid w:val="002421B0"/>
    <w:rsid w:val="00242689"/>
    <w:rsid w:val="0024276F"/>
    <w:rsid w:val="00242F15"/>
    <w:rsid w:val="00242FB6"/>
    <w:rsid w:val="0024409D"/>
    <w:rsid w:val="0024417F"/>
    <w:rsid w:val="002445BA"/>
    <w:rsid w:val="00244FA3"/>
    <w:rsid w:val="002450A1"/>
    <w:rsid w:val="002451BA"/>
    <w:rsid w:val="00245871"/>
    <w:rsid w:val="00245B7C"/>
    <w:rsid w:val="00246BAA"/>
    <w:rsid w:val="00246C1F"/>
    <w:rsid w:val="00247036"/>
    <w:rsid w:val="002502F1"/>
    <w:rsid w:val="00250D07"/>
    <w:rsid w:val="00252A85"/>
    <w:rsid w:val="00252C10"/>
    <w:rsid w:val="002538F7"/>
    <w:rsid w:val="00253E56"/>
    <w:rsid w:val="00254587"/>
    <w:rsid w:val="0025473B"/>
    <w:rsid w:val="00254C8C"/>
    <w:rsid w:val="00255018"/>
    <w:rsid w:val="00255784"/>
    <w:rsid w:val="00255ADF"/>
    <w:rsid w:val="00256188"/>
    <w:rsid w:val="00256C55"/>
    <w:rsid w:val="00256D12"/>
    <w:rsid w:val="00256D25"/>
    <w:rsid w:val="00257A98"/>
    <w:rsid w:val="002605A6"/>
    <w:rsid w:val="002609C7"/>
    <w:rsid w:val="00261649"/>
    <w:rsid w:val="00261A0A"/>
    <w:rsid w:val="00261B5A"/>
    <w:rsid w:val="00261BF8"/>
    <w:rsid w:val="00262140"/>
    <w:rsid w:val="002622C0"/>
    <w:rsid w:val="0026247F"/>
    <w:rsid w:val="00262CD0"/>
    <w:rsid w:val="00263942"/>
    <w:rsid w:val="002641E0"/>
    <w:rsid w:val="002642A3"/>
    <w:rsid w:val="00264F43"/>
    <w:rsid w:val="002650C5"/>
    <w:rsid w:val="00265AB5"/>
    <w:rsid w:val="00266A18"/>
    <w:rsid w:val="00266F3F"/>
    <w:rsid w:val="00267058"/>
    <w:rsid w:val="00267586"/>
    <w:rsid w:val="00267608"/>
    <w:rsid w:val="00267865"/>
    <w:rsid w:val="00267DFC"/>
    <w:rsid w:val="00267F9D"/>
    <w:rsid w:val="00267FA8"/>
    <w:rsid w:val="00270DC8"/>
    <w:rsid w:val="002711F6"/>
    <w:rsid w:val="00271237"/>
    <w:rsid w:val="0027125A"/>
    <w:rsid w:val="0027166A"/>
    <w:rsid w:val="00271A80"/>
    <w:rsid w:val="0027322B"/>
    <w:rsid w:val="00273312"/>
    <w:rsid w:val="002739F0"/>
    <w:rsid w:val="002744D3"/>
    <w:rsid w:val="002758D9"/>
    <w:rsid w:val="00275C0A"/>
    <w:rsid w:val="00276201"/>
    <w:rsid w:val="002773BB"/>
    <w:rsid w:val="00280B4D"/>
    <w:rsid w:val="00281319"/>
    <w:rsid w:val="002816D6"/>
    <w:rsid w:val="00281CCD"/>
    <w:rsid w:val="00281FB1"/>
    <w:rsid w:val="0028210E"/>
    <w:rsid w:val="002821E9"/>
    <w:rsid w:val="00282C0B"/>
    <w:rsid w:val="002840E4"/>
    <w:rsid w:val="0028431F"/>
    <w:rsid w:val="002849F5"/>
    <w:rsid w:val="0028500C"/>
    <w:rsid w:val="00285262"/>
    <w:rsid w:val="002854A9"/>
    <w:rsid w:val="002857B6"/>
    <w:rsid w:val="00285B14"/>
    <w:rsid w:val="00286107"/>
    <w:rsid w:val="00286315"/>
    <w:rsid w:val="00286370"/>
    <w:rsid w:val="00286506"/>
    <w:rsid w:val="00286547"/>
    <w:rsid w:val="00286A09"/>
    <w:rsid w:val="00286EEA"/>
    <w:rsid w:val="0028732C"/>
    <w:rsid w:val="0028784F"/>
    <w:rsid w:val="00290030"/>
    <w:rsid w:val="002919B1"/>
    <w:rsid w:val="002919BD"/>
    <w:rsid w:val="00291CC9"/>
    <w:rsid w:val="00292C19"/>
    <w:rsid w:val="00293694"/>
    <w:rsid w:val="00293A7C"/>
    <w:rsid w:val="002940B1"/>
    <w:rsid w:val="002945BA"/>
    <w:rsid w:val="00295BFD"/>
    <w:rsid w:val="002969AF"/>
    <w:rsid w:val="002A03EB"/>
    <w:rsid w:val="002A0700"/>
    <w:rsid w:val="002A0924"/>
    <w:rsid w:val="002A0BAE"/>
    <w:rsid w:val="002A0FCD"/>
    <w:rsid w:val="002A1016"/>
    <w:rsid w:val="002A101E"/>
    <w:rsid w:val="002A1EE0"/>
    <w:rsid w:val="002A221E"/>
    <w:rsid w:val="002A2991"/>
    <w:rsid w:val="002A36D4"/>
    <w:rsid w:val="002A43AA"/>
    <w:rsid w:val="002A56B7"/>
    <w:rsid w:val="002A5EF1"/>
    <w:rsid w:val="002A6AEC"/>
    <w:rsid w:val="002A703F"/>
    <w:rsid w:val="002B0D3F"/>
    <w:rsid w:val="002B1C9D"/>
    <w:rsid w:val="002B30C2"/>
    <w:rsid w:val="002B30F1"/>
    <w:rsid w:val="002B3356"/>
    <w:rsid w:val="002B4909"/>
    <w:rsid w:val="002B55AF"/>
    <w:rsid w:val="002B5606"/>
    <w:rsid w:val="002B57D9"/>
    <w:rsid w:val="002B5980"/>
    <w:rsid w:val="002B5CF9"/>
    <w:rsid w:val="002B5FFB"/>
    <w:rsid w:val="002B649C"/>
    <w:rsid w:val="002B6D50"/>
    <w:rsid w:val="002B70DF"/>
    <w:rsid w:val="002B7286"/>
    <w:rsid w:val="002C0042"/>
    <w:rsid w:val="002C041E"/>
    <w:rsid w:val="002C0614"/>
    <w:rsid w:val="002C173D"/>
    <w:rsid w:val="002C1CF9"/>
    <w:rsid w:val="002C2444"/>
    <w:rsid w:val="002C2AAA"/>
    <w:rsid w:val="002C2ABE"/>
    <w:rsid w:val="002C2BA6"/>
    <w:rsid w:val="002C2E0F"/>
    <w:rsid w:val="002C2FD2"/>
    <w:rsid w:val="002C338E"/>
    <w:rsid w:val="002C3650"/>
    <w:rsid w:val="002C5147"/>
    <w:rsid w:val="002C528E"/>
    <w:rsid w:val="002C5B78"/>
    <w:rsid w:val="002C65B7"/>
    <w:rsid w:val="002C6B0D"/>
    <w:rsid w:val="002D0E23"/>
    <w:rsid w:val="002D1C86"/>
    <w:rsid w:val="002D2422"/>
    <w:rsid w:val="002D39A7"/>
    <w:rsid w:val="002D3F55"/>
    <w:rsid w:val="002D40AF"/>
    <w:rsid w:val="002D410E"/>
    <w:rsid w:val="002D4BED"/>
    <w:rsid w:val="002D51F8"/>
    <w:rsid w:val="002D546F"/>
    <w:rsid w:val="002D560F"/>
    <w:rsid w:val="002D56CA"/>
    <w:rsid w:val="002D5C6F"/>
    <w:rsid w:val="002D5EB5"/>
    <w:rsid w:val="002D687C"/>
    <w:rsid w:val="002D6EF5"/>
    <w:rsid w:val="002D79C6"/>
    <w:rsid w:val="002E114D"/>
    <w:rsid w:val="002E2610"/>
    <w:rsid w:val="002E2A92"/>
    <w:rsid w:val="002E2B52"/>
    <w:rsid w:val="002E2C4A"/>
    <w:rsid w:val="002E33A5"/>
    <w:rsid w:val="002E33BB"/>
    <w:rsid w:val="002E35AD"/>
    <w:rsid w:val="002E3630"/>
    <w:rsid w:val="002E3B35"/>
    <w:rsid w:val="002E3D08"/>
    <w:rsid w:val="002E41A7"/>
    <w:rsid w:val="002E4DEF"/>
    <w:rsid w:val="002E51C3"/>
    <w:rsid w:val="002E62F9"/>
    <w:rsid w:val="002E6752"/>
    <w:rsid w:val="002E6E6B"/>
    <w:rsid w:val="002E73F0"/>
    <w:rsid w:val="002E7625"/>
    <w:rsid w:val="002E7662"/>
    <w:rsid w:val="002E767B"/>
    <w:rsid w:val="002F0BFA"/>
    <w:rsid w:val="002F12D9"/>
    <w:rsid w:val="002F1910"/>
    <w:rsid w:val="002F3253"/>
    <w:rsid w:val="002F32B0"/>
    <w:rsid w:val="002F374D"/>
    <w:rsid w:val="002F433A"/>
    <w:rsid w:val="002F448D"/>
    <w:rsid w:val="002F45D4"/>
    <w:rsid w:val="002F47A8"/>
    <w:rsid w:val="002F4DF1"/>
    <w:rsid w:val="002F5D9D"/>
    <w:rsid w:val="002F63F7"/>
    <w:rsid w:val="002F6E01"/>
    <w:rsid w:val="00300371"/>
    <w:rsid w:val="003004EE"/>
    <w:rsid w:val="0030073B"/>
    <w:rsid w:val="00300DF8"/>
    <w:rsid w:val="00301301"/>
    <w:rsid w:val="003017EA"/>
    <w:rsid w:val="00302500"/>
    <w:rsid w:val="003030A1"/>
    <w:rsid w:val="0030376E"/>
    <w:rsid w:val="00304400"/>
    <w:rsid w:val="0030489C"/>
    <w:rsid w:val="00304A4F"/>
    <w:rsid w:val="00305501"/>
    <w:rsid w:val="00305CCE"/>
    <w:rsid w:val="0030610B"/>
    <w:rsid w:val="003064F9"/>
    <w:rsid w:val="003068B9"/>
    <w:rsid w:val="003068F7"/>
    <w:rsid w:val="00306B16"/>
    <w:rsid w:val="00306BC5"/>
    <w:rsid w:val="00306CC3"/>
    <w:rsid w:val="00306DCE"/>
    <w:rsid w:val="00307D36"/>
    <w:rsid w:val="00310EEA"/>
    <w:rsid w:val="00311C02"/>
    <w:rsid w:val="0031239A"/>
    <w:rsid w:val="003123B8"/>
    <w:rsid w:val="00312AAA"/>
    <w:rsid w:val="00313392"/>
    <w:rsid w:val="00313EAA"/>
    <w:rsid w:val="003144F9"/>
    <w:rsid w:val="003148CC"/>
    <w:rsid w:val="00314BA9"/>
    <w:rsid w:val="003159FA"/>
    <w:rsid w:val="00316310"/>
    <w:rsid w:val="003166F6"/>
    <w:rsid w:val="00316B49"/>
    <w:rsid w:val="00316DFC"/>
    <w:rsid w:val="00317142"/>
    <w:rsid w:val="003173D9"/>
    <w:rsid w:val="0031743B"/>
    <w:rsid w:val="0031763D"/>
    <w:rsid w:val="00317A1B"/>
    <w:rsid w:val="00317ED4"/>
    <w:rsid w:val="003207BA"/>
    <w:rsid w:val="00320B1C"/>
    <w:rsid w:val="00321171"/>
    <w:rsid w:val="00321339"/>
    <w:rsid w:val="003213A1"/>
    <w:rsid w:val="00321A6B"/>
    <w:rsid w:val="00321C3E"/>
    <w:rsid w:val="00321F6A"/>
    <w:rsid w:val="00323073"/>
    <w:rsid w:val="00323A30"/>
    <w:rsid w:val="00323F34"/>
    <w:rsid w:val="003240F5"/>
    <w:rsid w:val="003245DE"/>
    <w:rsid w:val="00324BC5"/>
    <w:rsid w:val="0032501F"/>
    <w:rsid w:val="003263F4"/>
    <w:rsid w:val="003265A0"/>
    <w:rsid w:val="00326B6A"/>
    <w:rsid w:val="0032723F"/>
    <w:rsid w:val="00327E8F"/>
    <w:rsid w:val="00330387"/>
    <w:rsid w:val="00330A90"/>
    <w:rsid w:val="00330F60"/>
    <w:rsid w:val="003311EC"/>
    <w:rsid w:val="00331240"/>
    <w:rsid w:val="00331491"/>
    <w:rsid w:val="003318FB"/>
    <w:rsid w:val="00331EF5"/>
    <w:rsid w:val="00332AAF"/>
    <w:rsid w:val="00332BC2"/>
    <w:rsid w:val="00333217"/>
    <w:rsid w:val="0033357D"/>
    <w:rsid w:val="0033408E"/>
    <w:rsid w:val="003343C8"/>
    <w:rsid w:val="003349C7"/>
    <w:rsid w:val="00334B10"/>
    <w:rsid w:val="003351F5"/>
    <w:rsid w:val="00335876"/>
    <w:rsid w:val="00335978"/>
    <w:rsid w:val="00335C24"/>
    <w:rsid w:val="00335D73"/>
    <w:rsid w:val="00337C12"/>
    <w:rsid w:val="00340939"/>
    <w:rsid w:val="00341110"/>
    <w:rsid w:val="00341BEA"/>
    <w:rsid w:val="003429E4"/>
    <w:rsid w:val="00342C20"/>
    <w:rsid w:val="00342F1E"/>
    <w:rsid w:val="00343230"/>
    <w:rsid w:val="003447A6"/>
    <w:rsid w:val="0034482D"/>
    <w:rsid w:val="00344C71"/>
    <w:rsid w:val="00344ECF"/>
    <w:rsid w:val="0034544E"/>
    <w:rsid w:val="003458F4"/>
    <w:rsid w:val="00345FD2"/>
    <w:rsid w:val="003460CD"/>
    <w:rsid w:val="00346F8F"/>
    <w:rsid w:val="00347624"/>
    <w:rsid w:val="00347A32"/>
    <w:rsid w:val="00347C73"/>
    <w:rsid w:val="00350443"/>
    <w:rsid w:val="00351A76"/>
    <w:rsid w:val="00351BF3"/>
    <w:rsid w:val="00351C97"/>
    <w:rsid w:val="003521AE"/>
    <w:rsid w:val="0035276A"/>
    <w:rsid w:val="0035283A"/>
    <w:rsid w:val="003533F1"/>
    <w:rsid w:val="00353744"/>
    <w:rsid w:val="00353AFD"/>
    <w:rsid w:val="00353E5E"/>
    <w:rsid w:val="003553FF"/>
    <w:rsid w:val="00355489"/>
    <w:rsid w:val="00355BB1"/>
    <w:rsid w:val="00356240"/>
    <w:rsid w:val="0035701C"/>
    <w:rsid w:val="003576DA"/>
    <w:rsid w:val="00357B13"/>
    <w:rsid w:val="00357E37"/>
    <w:rsid w:val="0036007A"/>
    <w:rsid w:val="00361109"/>
    <w:rsid w:val="0036123E"/>
    <w:rsid w:val="00361910"/>
    <w:rsid w:val="0036202D"/>
    <w:rsid w:val="00362164"/>
    <w:rsid w:val="00362254"/>
    <w:rsid w:val="00363290"/>
    <w:rsid w:val="003637DD"/>
    <w:rsid w:val="00363D58"/>
    <w:rsid w:val="00364FDE"/>
    <w:rsid w:val="00365125"/>
    <w:rsid w:val="003657B6"/>
    <w:rsid w:val="00365A1D"/>
    <w:rsid w:val="003660EE"/>
    <w:rsid w:val="003664A4"/>
    <w:rsid w:val="00366F46"/>
    <w:rsid w:val="00366FCE"/>
    <w:rsid w:val="00367233"/>
    <w:rsid w:val="00367364"/>
    <w:rsid w:val="003701E4"/>
    <w:rsid w:val="00370D63"/>
    <w:rsid w:val="00371961"/>
    <w:rsid w:val="00371C70"/>
    <w:rsid w:val="00371F99"/>
    <w:rsid w:val="00372C9A"/>
    <w:rsid w:val="00372D31"/>
    <w:rsid w:val="00373097"/>
    <w:rsid w:val="00373463"/>
    <w:rsid w:val="00373F6A"/>
    <w:rsid w:val="003742BE"/>
    <w:rsid w:val="00374521"/>
    <w:rsid w:val="00374A86"/>
    <w:rsid w:val="00376389"/>
    <w:rsid w:val="00376EB5"/>
    <w:rsid w:val="003770A6"/>
    <w:rsid w:val="0037743E"/>
    <w:rsid w:val="0037756D"/>
    <w:rsid w:val="003778AC"/>
    <w:rsid w:val="00380546"/>
    <w:rsid w:val="00380873"/>
    <w:rsid w:val="00380BC2"/>
    <w:rsid w:val="00381A41"/>
    <w:rsid w:val="00382367"/>
    <w:rsid w:val="00382586"/>
    <w:rsid w:val="00382947"/>
    <w:rsid w:val="0038321C"/>
    <w:rsid w:val="003836E6"/>
    <w:rsid w:val="00383753"/>
    <w:rsid w:val="00383820"/>
    <w:rsid w:val="00383A53"/>
    <w:rsid w:val="00384D04"/>
    <w:rsid w:val="00385217"/>
    <w:rsid w:val="0038532C"/>
    <w:rsid w:val="00385D93"/>
    <w:rsid w:val="003875FA"/>
    <w:rsid w:val="003879D5"/>
    <w:rsid w:val="003879DE"/>
    <w:rsid w:val="00387B52"/>
    <w:rsid w:val="00390BA5"/>
    <w:rsid w:val="0039132D"/>
    <w:rsid w:val="00391BCD"/>
    <w:rsid w:val="00393BBB"/>
    <w:rsid w:val="00393D3A"/>
    <w:rsid w:val="0039491D"/>
    <w:rsid w:val="00394F35"/>
    <w:rsid w:val="0039652D"/>
    <w:rsid w:val="00396726"/>
    <w:rsid w:val="00396A97"/>
    <w:rsid w:val="00396B75"/>
    <w:rsid w:val="0039787D"/>
    <w:rsid w:val="00397935"/>
    <w:rsid w:val="003A0D10"/>
    <w:rsid w:val="003A1251"/>
    <w:rsid w:val="003A1501"/>
    <w:rsid w:val="003A1A04"/>
    <w:rsid w:val="003A1F26"/>
    <w:rsid w:val="003A2AEF"/>
    <w:rsid w:val="003A341A"/>
    <w:rsid w:val="003A3836"/>
    <w:rsid w:val="003A3DA2"/>
    <w:rsid w:val="003A48AF"/>
    <w:rsid w:val="003A4A08"/>
    <w:rsid w:val="003A51C8"/>
    <w:rsid w:val="003A6ECA"/>
    <w:rsid w:val="003B0916"/>
    <w:rsid w:val="003B2D70"/>
    <w:rsid w:val="003B393E"/>
    <w:rsid w:val="003B3EB4"/>
    <w:rsid w:val="003B4C2D"/>
    <w:rsid w:val="003B52F1"/>
    <w:rsid w:val="003B6552"/>
    <w:rsid w:val="003B720C"/>
    <w:rsid w:val="003B7317"/>
    <w:rsid w:val="003B759C"/>
    <w:rsid w:val="003B7EA5"/>
    <w:rsid w:val="003C0D96"/>
    <w:rsid w:val="003C23D9"/>
    <w:rsid w:val="003C2422"/>
    <w:rsid w:val="003C2B7A"/>
    <w:rsid w:val="003C2F5B"/>
    <w:rsid w:val="003C2F8D"/>
    <w:rsid w:val="003C3247"/>
    <w:rsid w:val="003C3B91"/>
    <w:rsid w:val="003C4459"/>
    <w:rsid w:val="003C4871"/>
    <w:rsid w:val="003C48AC"/>
    <w:rsid w:val="003C505A"/>
    <w:rsid w:val="003C5373"/>
    <w:rsid w:val="003C5705"/>
    <w:rsid w:val="003C58A7"/>
    <w:rsid w:val="003C6240"/>
    <w:rsid w:val="003C743F"/>
    <w:rsid w:val="003D07E4"/>
    <w:rsid w:val="003D0A23"/>
    <w:rsid w:val="003D117A"/>
    <w:rsid w:val="003D14CB"/>
    <w:rsid w:val="003D25C6"/>
    <w:rsid w:val="003D3CA3"/>
    <w:rsid w:val="003D3E42"/>
    <w:rsid w:val="003D4275"/>
    <w:rsid w:val="003D4D89"/>
    <w:rsid w:val="003D522D"/>
    <w:rsid w:val="003D5998"/>
    <w:rsid w:val="003D5BFF"/>
    <w:rsid w:val="003D5F29"/>
    <w:rsid w:val="003D6808"/>
    <w:rsid w:val="003D7EE2"/>
    <w:rsid w:val="003E0226"/>
    <w:rsid w:val="003E0621"/>
    <w:rsid w:val="003E07FD"/>
    <w:rsid w:val="003E08C6"/>
    <w:rsid w:val="003E0901"/>
    <w:rsid w:val="003E0D1F"/>
    <w:rsid w:val="003E16CB"/>
    <w:rsid w:val="003E1846"/>
    <w:rsid w:val="003E1CBD"/>
    <w:rsid w:val="003E1E5C"/>
    <w:rsid w:val="003E25F6"/>
    <w:rsid w:val="003E439E"/>
    <w:rsid w:val="003E43BF"/>
    <w:rsid w:val="003E4401"/>
    <w:rsid w:val="003E499A"/>
    <w:rsid w:val="003E5710"/>
    <w:rsid w:val="003E5CE2"/>
    <w:rsid w:val="003E5E02"/>
    <w:rsid w:val="003E72BD"/>
    <w:rsid w:val="003E78F0"/>
    <w:rsid w:val="003F0588"/>
    <w:rsid w:val="003F0FF1"/>
    <w:rsid w:val="003F134F"/>
    <w:rsid w:val="003F1BFC"/>
    <w:rsid w:val="003F209C"/>
    <w:rsid w:val="003F237A"/>
    <w:rsid w:val="003F252D"/>
    <w:rsid w:val="003F4084"/>
    <w:rsid w:val="003F4135"/>
    <w:rsid w:val="003F4605"/>
    <w:rsid w:val="003F487D"/>
    <w:rsid w:val="003F48E9"/>
    <w:rsid w:val="003F4924"/>
    <w:rsid w:val="003F5193"/>
    <w:rsid w:val="003F597D"/>
    <w:rsid w:val="003F5C04"/>
    <w:rsid w:val="003F5E14"/>
    <w:rsid w:val="003F61D5"/>
    <w:rsid w:val="003F6DFE"/>
    <w:rsid w:val="003F7E8F"/>
    <w:rsid w:val="0040014A"/>
    <w:rsid w:val="00400183"/>
    <w:rsid w:val="00401682"/>
    <w:rsid w:val="0040209B"/>
    <w:rsid w:val="00402BFF"/>
    <w:rsid w:val="00403472"/>
    <w:rsid w:val="00403941"/>
    <w:rsid w:val="004045B3"/>
    <w:rsid w:val="00404F65"/>
    <w:rsid w:val="0040556E"/>
    <w:rsid w:val="00405693"/>
    <w:rsid w:val="00406594"/>
    <w:rsid w:val="00406B7D"/>
    <w:rsid w:val="00406FE6"/>
    <w:rsid w:val="004071BF"/>
    <w:rsid w:val="00407491"/>
    <w:rsid w:val="004075FD"/>
    <w:rsid w:val="00410012"/>
    <w:rsid w:val="00411B04"/>
    <w:rsid w:val="004121A5"/>
    <w:rsid w:val="00412A7C"/>
    <w:rsid w:val="00412D64"/>
    <w:rsid w:val="0041353B"/>
    <w:rsid w:val="00414A93"/>
    <w:rsid w:val="00415446"/>
    <w:rsid w:val="00415C5B"/>
    <w:rsid w:val="00415CD3"/>
    <w:rsid w:val="004160EE"/>
    <w:rsid w:val="00416CE5"/>
    <w:rsid w:val="004171BD"/>
    <w:rsid w:val="004175B7"/>
    <w:rsid w:val="00420CE4"/>
    <w:rsid w:val="00421044"/>
    <w:rsid w:val="0042135A"/>
    <w:rsid w:val="00421B13"/>
    <w:rsid w:val="00422D17"/>
    <w:rsid w:val="00423399"/>
    <w:rsid w:val="00423B0B"/>
    <w:rsid w:val="00423C83"/>
    <w:rsid w:val="0042420D"/>
    <w:rsid w:val="004246C0"/>
    <w:rsid w:val="00424B1D"/>
    <w:rsid w:val="00424F2A"/>
    <w:rsid w:val="00425201"/>
    <w:rsid w:val="00425317"/>
    <w:rsid w:val="0042705D"/>
    <w:rsid w:val="004277CB"/>
    <w:rsid w:val="00427C71"/>
    <w:rsid w:val="00430BBA"/>
    <w:rsid w:val="004310F0"/>
    <w:rsid w:val="004312D0"/>
    <w:rsid w:val="00431392"/>
    <w:rsid w:val="0043169B"/>
    <w:rsid w:val="00432D28"/>
    <w:rsid w:val="004338B7"/>
    <w:rsid w:val="00434CB6"/>
    <w:rsid w:val="00434ED5"/>
    <w:rsid w:val="004355CB"/>
    <w:rsid w:val="00435601"/>
    <w:rsid w:val="00435BB4"/>
    <w:rsid w:val="0043662C"/>
    <w:rsid w:val="0043697A"/>
    <w:rsid w:val="00436F28"/>
    <w:rsid w:val="004375C3"/>
    <w:rsid w:val="0044031F"/>
    <w:rsid w:val="00440588"/>
    <w:rsid w:val="0044203B"/>
    <w:rsid w:val="00442639"/>
    <w:rsid w:val="00442D47"/>
    <w:rsid w:val="00443513"/>
    <w:rsid w:val="0044422C"/>
    <w:rsid w:val="00444A44"/>
    <w:rsid w:val="00445168"/>
    <w:rsid w:val="00445422"/>
    <w:rsid w:val="00445F4A"/>
    <w:rsid w:val="00445F7E"/>
    <w:rsid w:val="0044643D"/>
    <w:rsid w:val="00446775"/>
    <w:rsid w:val="004468CB"/>
    <w:rsid w:val="00447418"/>
    <w:rsid w:val="0044777A"/>
    <w:rsid w:val="00447ADC"/>
    <w:rsid w:val="00447DD8"/>
    <w:rsid w:val="00450097"/>
    <w:rsid w:val="00450860"/>
    <w:rsid w:val="00450A62"/>
    <w:rsid w:val="004514ED"/>
    <w:rsid w:val="00451506"/>
    <w:rsid w:val="00451A1F"/>
    <w:rsid w:val="00451EF0"/>
    <w:rsid w:val="004520D4"/>
    <w:rsid w:val="0045256B"/>
    <w:rsid w:val="00452A8B"/>
    <w:rsid w:val="00452E09"/>
    <w:rsid w:val="0045358F"/>
    <w:rsid w:val="00454293"/>
    <w:rsid w:val="00454446"/>
    <w:rsid w:val="004549B3"/>
    <w:rsid w:val="00454FF6"/>
    <w:rsid w:val="0045568C"/>
    <w:rsid w:val="00455809"/>
    <w:rsid w:val="00456241"/>
    <w:rsid w:val="00456823"/>
    <w:rsid w:val="00457096"/>
    <w:rsid w:val="004571E7"/>
    <w:rsid w:val="00457578"/>
    <w:rsid w:val="004609CB"/>
    <w:rsid w:val="00460B6B"/>
    <w:rsid w:val="00460EFD"/>
    <w:rsid w:val="004612F2"/>
    <w:rsid w:val="00461370"/>
    <w:rsid w:val="00461572"/>
    <w:rsid w:val="00462360"/>
    <w:rsid w:val="00462795"/>
    <w:rsid w:val="00462D55"/>
    <w:rsid w:val="00463D00"/>
    <w:rsid w:val="004644D1"/>
    <w:rsid w:val="004645B5"/>
    <w:rsid w:val="00464935"/>
    <w:rsid w:val="00465375"/>
    <w:rsid w:val="00465A5E"/>
    <w:rsid w:val="00466221"/>
    <w:rsid w:val="00466304"/>
    <w:rsid w:val="0046655E"/>
    <w:rsid w:val="00466832"/>
    <w:rsid w:val="004674B7"/>
    <w:rsid w:val="00467B1A"/>
    <w:rsid w:val="00467EED"/>
    <w:rsid w:val="0047073C"/>
    <w:rsid w:val="004709C7"/>
    <w:rsid w:val="00471171"/>
    <w:rsid w:val="00471621"/>
    <w:rsid w:val="00471720"/>
    <w:rsid w:val="00472BAD"/>
    <w:rsid w:val="0047329F"/>
    <w:rsid w:val="004734B7"/>
    <w:rsid w:val="004734FF"/>
    <w:rsid w:val="0047412E"/>
    <w:rsid w:val="0047454D"/>
    <w:rsid w:val="00474B98"/>
    <w:rsid w:val="00475998"/>
    <w:rsid w:val="00477BFD"/>
    <w:rsid w:val="00477C2E"/>
    <w:rsid w:val="00480A54"/>
    <w:rsid w:val="00480AF3"/>
    <w:rsid w:val="00480CFF"/>
    <w:rsid w:val="004812B7"/>
    <w:rsid w:val="0048162C"/>
    <w:rsid w:val="00482068"/>
    <w:rsid w:val="0048229A"/>
    <w:rsid w:val="004827E2"/>
    <w:rsid w:val="004844DB"/>
    <w:rsid w:val="004849E5"/>
    <w:rsid w:val="0048519F"/>
    <w:rsid w:val="0048541B"/>
    <w:rsid w:val="00485F02"/>
    <w:rsid w:val="00486B8C"/>
    <w:rsid w:val="00487081"/>
    <w:rsid w:val="00487322"/>
    <w:rsid w:val="0048738F"/>
    <w:rsid w:val="0048775B"/>
    <w:rsid w:val="004877B3"/>
    <w:rsid w:val="00487AEE"/>
    <w:rsid w:val="00487E38"/>
    <w:rsid w:val="00491563"/>
    <w:rsid w:val="00491D3D"/>
    <w:rsid w:val="00492454"/>
    <w:rsid w:val="00493950"/>
    <w:rsid w:val="00493A57"/>
    <w:rsid w:val="00493BEB"/>
    <w:rsid w:val="00494016"/>
    <w:rsid w:val="0049450B"/>
    <w:rsid w:val="00494AE9"/>
    <w:rsid w:val="00494BC3"/>
    <w:rsid w:val="00494FF7"/>
    <w:rsid w:val="00495435"/>
    <w:rsid w:val="00495DE3"/>
    <w:rsid w:val="00496039"/>
    <w:rsid w:val="004963A8"/>
    <w:rsid w:val="00496995"/>
    <w:rsid w:val="00496ADB"/>
    <w:rsid w:val="00497695"/>
    <w:rsid w:val="00497AF6"/>
    <w:rsid w:val="00497E01"/>
    <w:rsid w:val="004A014A"/>
    <w:rsid w:val="004A0618"/>
    <w:rsid w:val="004A0824"/>
    <w:rsid w:val="004A163F"/>
    <w:rsid w:val="004A1D94"/>
    <w:rsid w:val="004A1F34"/>
    <w:rsid w:val="004A244B"/>
    <w:rsid w:val="004A2F4C"/>
    <w:rsid w:val="004A30FB"/>
    <w:rsid w:val="004A358B"/>
    <w:rsid w:val="004A3A6E"/>
    <w:rsid w:val="004A41EB"/>
    <w:rsid w:val="004A46E8"/>
    <w:rsid w:val="004A4B3C"/>
    <w:rsid w:val="004A5D34"/>
    <w:rsid w:val="004A6091"/>
    <w:rsid w:val="004A74FB"/>
    <w:rsid w:val="004A7B8B"/>
    <w:rsid w:val="004B0039"/>
    <w:rsid w:val="004B07B2"/>
    <w:rsid w:val="004B089E"/>
    <w:rsid w:val="004B130A"/>
    <w:rsid w:val="004B1480"/>
    <w:rsid w:val="004B27FD"/>
    <w:rsid w:val="004B2EFF"/>
    <w:rsid w:val="004B2F25"/>
    <w:rsid w:val="004B32BB"/>
    <w:rsid w:val="004B38F4"/>
    <w:rsid w:val="004B3CF3"/>
    <w:rsid w:val="004B3FB9"/>
    <w:rsid w:val="004B3FF6"/>
    <w:rsid w:val="004B4433"/>
    <w:rsid w:val="004B45EE"/>
    <w:rsid w:val="004B52CF"/>
    <w:rsid w:val="004B5597"/>
    <w:rsid w:val="004B6919"/>
    <w:rsid w:val="004B6E9B"/>
    <w:rsid w:val="004B7157"/>
    <w:rsid w:val="004B737C"/>
    <w:rsid w:val="004B74F7"/>
    <w:rsid w:val="004B7985"/>
    <w:rsid w:val="004C04C0"/>
    <w:rsid w:val="004C064F"/>
    <w:rsid w:val="004C0FE3"/>
    <w:rsid w:val="004C14D0"/>
    <w:rsid w:val="004C170E"/>
    <w:rsid w:val="004C2396"/>
    <w:rsid w:val="004C323F"/>
    <w:rsid w:val="004C43F8"/>
    <w:rsid w:val="004C4512"/>
    <w:rsid w:val="004C5423"/>
    <w:rsid w:val="004C553A"/>
    <w:rsid w:val="004C5675"/>
    <w:rsid w:val="004C5F40"/>
    <w:rsid w:val="004C5F65"/>
    <w:rsid w:val="004C6218"/>
    <w:rsid w:val="004C65DA"/>
    <w:rsid w:val="004C6DEC"/>
    <w:rsid w:val="004C704E"/>
    <w:rsid w:val="004C7418"/>
    <w:rsid w:val="004D005C"/>
    <w:rsid w:val="004D02ED"/>
    <w:rsid w:val="004D036F"/>
    <w:rsid w:val="004D08EA"/>
    <w:rsid w:val="004D097A"/>
    <w:rsid w:val="004D152D"/>
    <w:rsid w:val="004D195C"/>
    <w:rsid w:val="004D2855"/>
    <w:rsid w:val="004D30D4"/>
    <w:rsid w:val="004D36FA"/>
    <w:rsid w:val="004D3797"/>
    <w:rsid w:val="004D442B"/>
    <w:rsid w:val="004D4EAD"/>
    <w:rsid w:val="004D5ACE"/>
    <w:rsid w:val="004D5E43"/>
    <w:rsid w:val="004D6036"/>
    <w:rsid w:val="004D6637"/>
    <w:rsid w:val="004D678B"/>
    <w:rsid w:val="004D7F81"/>
    <w:rsid w:val="004D7FAD"/>
    <w:rsid w:val="004E0CE7"/>
    <w:rsid w:val="004E1905"/>
    <w:rsid w:val="004E19ED"/>
    <w:rsid w:val="004E2294"/>
    <w:rsid w:val="004E3C19"/>
    <w:rsid w:val="004E3FDF"/>
    <w:rsid w:val="004E4149"/>
    <w:rsid w:val="004E46C0"/>
    <w:rsid w:val="004E487A"/>
    <w:rsid w:val="004E560E"/>
    <w:rsid w:val="004E561B"/>
    <w:rsid w:val="004E57C1"/>
    <w:rsid w:val="004E5E9B"/>
    <w:rsid w:val="004E667C"/>
    <w:rsid w:val="004E6EEC"/>
    <w:rsid w:val="004E7301"/>
    <w:rsid w:val="004E7567"/>
    <w:rsid w:val="004E7C59"/>
    <w:rsid w:val="004F087E"/>
    <w:rsid w:val="004F09FC"/>
    <w:rsid w:val="004F0F1C"/>
    <w:rsid w:val="004F13CF"/>
    <w:rsid w:val="004F1CED"/>
    <w:rsid w:val="004F2401"/>
    <w:rsid w:val="004F3764"/>
    <w:rsid w:val="004F3DC6"/>
    <w:rsid w:val="004F4A59"/>
    <w:rsid w:val="004F4F07"/>
    <w:rsid w:val="004F5319"/>
    <w:rsid w:val="004F599C"/>
    <w:rsid w:val="004F5CEB"/>
    <w:rsid w:val="004F5E4E"/>
    <w:rsid w:val="004F5FF5"/>
    <w:rsid w:val="004F62E7"/>
    <w:rsid w:val="004F68B2"/>
    <w:rsid w:val="004F692D"/>
    <w:rsid w:val="004F7F26"/>
    <w:rsid w:val="005007DE"/>
    <w:rsid w:val="005007EE"/>
    <w:rsid w:val="005013EB"/>
    <w:rsid w:val="00501C59"/>
    <w:rsid w:val="00501D08"/>
    <w:rsid w:val="00501EF5"/>
    <w:rsid w:val="00502234"/>
    <w:rsid w:val="005023A3"/>
    <w:rsid w:val="00503138"/>
    <w:rsid w:val="00503396"/>
    <w:rsid w:val="0050560E"/>
    <w:rsid w:val="00505FED"/>
    <w:rsid w:val="005067D9"/>
    <w:rsid w:val="00507FA7"/>
    <w:rsid w:val="00510345"/>
    <w:rsid w:val="00510669"/>
    <w:rsid w:val="0051121E"/>
    <w:rsid w:val="005117E3"/>
    <w:rsid w:val="00511A38"/>
    <w:rsid w:val="00512140"/>
    <w:rsid w:val="00512471"/>
    <w:rsid w:val="00512677"/>
    <w:rsid w:val="00512E5A"/>
    <w:rsid w:val="005130B4"/>
    <w:rsid w:val="00513235"/>
    <w:rsid w:val="005134E6"/>
    <w:rsid w:val="00513B68"/>
    <w:rsid w:val="0051400D"/>
    <w:rsid w:val="005144E9"/>
    <w:rsid w:val="0051649E"/>
    <w:rsid w:val="00516AB0"/>
    <w:rsid w:val="0051707D"/>
    <w:rsid w:val="00517AC5"/>
    <w:rsid w:val="00520BAC"/>
    <w:rsid w:val="00520D43"/>
    <w:rsid w:val="00520FC3"/>
    <w:rsid w:val="005214B7"/>
    <w:rsid w:val="0052186F"/>
    <w:rsid w:val="00521B0E"/>
    <w:rsid w:val="00521DC9"/>
    <w:rsid w:val="00522733"/>
    <w:rsid w:val="00522D5A"/>
    <w:rsid w:val="00523134"/>
    <w:rsid w:val="005239A4"/>
    <w:rsid w:val="00523EAE"/>
    <w:rsid w:val="0052454D"/>
    <w:rsid w:val="00524D1C"/>
    <w:rsid w:val="00526124"/>
    <w:rsid w:val="005268BB"/>
    <w:rsid w:val="00527EFA"/>
    <w:rsid w:val="0053004A"/>
    <w:rsid w:val="00530278"/>
    <w:rsid w:val="00530B17"/>
    <w:rsid w:val="00530E0C"/>
    <w:rsid w:val="00531494"/>
    <w:rsid w:val="00532531"/>
    <w:rsid w:val="00532883"/>
    <w:rsid w:val="0053299E"/>
    <w:rsid w:val="00532A48"/>
    <w:rsid w:val="00533C76"/>
    <w:rsid w:val="0053403A"/>
    <w:rsid w:val="00534AE3"/>
    <w:rsid w:val="00535354"/>
    <w:rsid w:val="005356C6"/>
    <w:rsid w:val="005358DA"/>
    <w:rsid w:val="00536AC7"/>
    <w:rsid w:val="00536DD1"/>
    <w:rsid w:val="00537038"/>
    <w:rsid w:val="005372CC"/>
    <w:rsid w:val="0053758C"/>
    <w:rsid w:val="00537627"/>
    <w:rsid w:val="00540273"/>
    <w:rsid w:val="00540CC5"/>
    <w:rsid w:val="00541090"/>
    <w:rsid w:val="00542F1E"/>
    <w:rsid w:val="00542FF4"/>
    <w:rsid w:val="0054376A"/>
    <w:rsid w:val="0054398D"/>
    <w:rsid w:val="00544723"/>
    <w:rsid w:val="00544E73"/>
    <w:rsid w:val="00545032"/>
    <w:rsid w:val="005452AA"/>
    <w:rsid w:val="005453D4"/>
    <w:rsid w:val="005455AA"/>
    <w:rsid w:val="0054563D"/>
    <w:rsid w:val="00545D1D"/>
    <w:rsid w:val="005463F5"/>
    <w:rsid w:val="00546538"/>
    <w:rsid w:val="00547402"/>
    <w:rsid w:val="0055006C"/>
    <w:rsid w:val="00550257"/>
    <w:rsid w:val="005504CF"/>
    <w:rsid w:val="00550B1A"/>
    <w:rsid w:val="00550B2E"/>
    <w:rsid w:val="0055160D"/>
    <w:rsid w:val="00551A72"/>
    <w:rsid w:val="00552365"/>
    <w:rsid w:val="00552368"/>
    <w:rsid w:val="00553A9B"/>
    <w:rsid w:val="00554455"/>
    <w:rsid w:val="005554A4"/>
    <w:rsid w:val="00555B0D"/>
    <w:rsid w:val="0055680F"/>
    <w:rsid w:val="00557E5A"/>
    <w:rsid w:val="00560420"/>
    <w:rsid w:val="00560633"/>
    <w:rsid w:val="00560C91"/>
    <w:rsid w:val="0056187B"/>
    <w:rsid w:val="00562AF1"/>
    <w:rsid w:val="00562DC5"/>
    <w:rsid w:val="00563A04"/>
    <w:rsid w:val="00563A2C"/>
    <w:rsid w:val="00563FEC"/>
    <w:rsid w:val="00564030"/>
    <w:rsid w:val="0056459B"/>
    <w:rsid w:val="00565AA3"/>
    <w:rsid w:val="005663EE"/>
    <w:rsid w:val="0056684B"/>
    <w:rsid w:val="00566FC5"/>
    <w:rsid w:val="005673FB"/>
    <w:rsid w:val="00570765"/>
    <w:rsid w:val="00570DC1"/>
    <w:rsid w:val="0057107C"/>
    <w:rsid w:val="0057162C"/>
    <w:rsid w:val="00571974"/>
    <w:rsid w:val="00571A50"/>
    <w:rsid w:val="005721C9"/>
    <w:rsid w:val="0057249E"/>
    <w:rsid w:val="005737BC"/>
    <w:rsid w:val="005743B5"/>
    <w:rsid w:val="005749BE"/>
    <w:rsid w:val="00574C30"/>
    <w:rsid w:val="00574FF3"/>
    <w:rsid w:val="005754B1"/>
    <w:rsid w:val="00575FCC"/>
    <w:rsid w:val="0057685C"/>
    <w:rsid w:val="00580406"/>
    <w:rsid w:val="005807F0"/>
    <w:rsid w:val="00580A4D"/>
    <w:rsid w:val="005811D0"/>
    <w:rsid w:val="005813DE"/>
    <w:rsid w:val="00581602"/>
    <w:rsid w:val="00581ECF"/>
    <w:rsid w:val="005824AC"/>
    <w:rsid w:val="00582767"/>
    <w:rsid w:val="00583457"/>
    <w:rsid w:val="0058349F"/>
    <w:rsid w:val="00583561"/>
    <w:rsid w:val="00583B32"/>
    <w:rsid w:val="00583BDA"/>
    <w:rsid w:val="00583C1E"/>
    <w:rsid w:val="0058404A"/>
    <w:rsid w:val="00584815"/>
    <w:rsid w:val="0058571E"/>
    <w:rsid w:val="00586845"/>
    <w:rsid w:val="00590041"/>
    <w:rsid w:val="00590529"/>
    <w:rsid w:val="00590AAA"/>
    <w:rsid w:val="00590C6C"/>
    <w:rsid w:val="00590CAE"/>
    <w:rsid w:val="00591A89"/>
    <w:rsid w:val="00591E0D"/>
    <w:rsid w:val="0059347A"/>
    <w:rsid w:val="00593A4F"/>
    <w:rsid w:val="00593D55"/>
    <w:rsid w:val="00595EC4"/>
    <w:rsid w:val="00596BC7"/>
    <w:rsid w:val="005A1AAB"/>
    <w:rsid w:val="005A2254"/>
    <w:rsid w:val="005A24E7"/>
    <w:rsid w:val="005A2A50"/>
    <w:rsid w:val="005A3447"/>
    <w:rsid w:val="005A4202"/>
    <w:rsid w:val="005A4605"/>
    <w:rsid w:val="005A4625"/>
    <w:rsid w:val="005A55C0"/>
    <w:rsid w:val="005A6F32"/>
    <w:rsid w:val="005A7392"/>
    <w:rsid w:val="005A75A1"/>
    <w:rsid w:val="005A77B2"/>
    <w:rsid w:val="005A7D3E"/>
    <w:rsid w:val="005B16CE"/>
    <w:rsid w:val="005B19D1"/>
    <w:rsid w:val="005B26D4"/>
    <w:rsid w:val="005B2B79"/>
    <w:rsid w:val="005B3614"/>
    <w:rsid w:val="005B36A1"/>
    <w:rsid w:val="005B411E"/>
    <w:rsid w:val="005B4DFA"/>
    <w:rsid w:val="005B5697"/>
    <w:rsid w:val="005B62FF"/>
    <w:rsid w:val="005B6791"/>
    <w:rsid w:val="005B6ADB"/>
    <w:rsid w:val="005B6CB6"/>
    <w:rsid w:val="005B714B"/>
    <w:rsid w:val="005B7405"/>
    <w:rsid w:val="005B7BE9"/>
    <w:rsid w:val="005B7FDD"/>
    <w:rsid w:val="005C0913"/>
    <w:rsid w:val="005C0EBE"/>
    <w:rsid w:val="005C10F8"/>
    <w:rsid w:val="005C17B2"/>
    <w:rsid w:val="005C23A3"/>
    <w:rsid w:val="005C2A59"/>
    <w:rsid w:val="005C2E50"/>
    <w:rsid w:val="005C305B"/>
    <w:rsid w:val="005C3419"/>
    <w:rsid w:val="005C46F7"/>
    <w:rsid w:val="005C588A"/>
    <w:rsid w:val="005C59FD"/>
    <w:rsid w:val="005C5B11"/>
    <w:rsid w:val="005C5C8A"/>
    <w:rsid w:val="005C6A9A"/>
    <w:rsid w:val="005C720C"/>
    <w:rsid w:val="005C79E6"/>
    <w:rsid w:val="005C7E9C"/>
    <w:rsid w:val="005D030C"/>
    <w:rsid w:val="005D0379"/>
    <w:rsid w:val="005D0C60"/>
    <w:rsid w:val="005D27CD"/>
    <w:rsid w:val="005D3360"/>
    <w:rsid w:val="005D4D30"/>
    <w:rsid w:val="005D50A5"/>
    <w:rsid w:val="005D6560"/>
    <w:rsid w:val="005D699D"/>
    <w:rsid w:val="005D6A0B"/>
    <w:rsid w:val="005D6F33"/>
    <w:rsid w:val="005D7088"/>
    <w:rsid w:val="005D74D7"/>
    <w:rsid w:val="005D7866"/>
    <w:rsid w:val="005D79BB"/>
    <w:rsid w:val="005D7F0A"/>
    <w:rsid w:val="005E06F8"/>
    <w:rsid w:val="005E3756"/>
    <w:rsid w:val="005E3AEA"/>
    <w:rsid w:val="005E3FA0"/>
    <w:rsid w:val="005E40BA"/>
    <w:rsid w:val="005E46C6"/>
    <w:rsid w:val="005E4D58"/>
    <w:rsid w:val="005E5914"/>
    <w:rsid w:val="005E625E"/>
    <w:rsid w:val="005E65D4"/>
    <w:rsid w:val="005E6956"/>
    <w:rsid w:val="005E6AE6"/>
    <w:rsid w:val="005E6F78"/>
    <w:rsid w:val="005E749C"/>
    <w:rsid w:val="005E7CB3"/>
    <w:rsid w:val="005F00DD"/>
    <w:rsid w:val="005F01EA"/>
    <w:rsid w:val="005F0C17"/>
    <w:rsid w:val="005F1501"/>
    <w:rsid w:val="005F1AF1"/>
    <w:rsid w:val="005F1B3D"/>
    <w:rsid w:val="005F254A"/>
    <w:rsid w:val="005F2A93"/>
    <w:rsid w:val="005F2BC8"/>
    <w:rsid w:val="005F2F0F"/>
    <w:rsid w:val="005F2FEF"/>
    <w:rsid w:val="005F4186"/>
    <w:rsid w:val="005F4712"/>
    <w:rsid w:val="005F476E"/>
    <w:rsid w:val="005F4BB1"/>
    <w:rsid w:val="005F4C04"/>
    <w:rsid w:val="005F5190"/>
    <w:rsid w:val="005F5418"/>
    <w:rsid w:val="005F56B3"/>
    <w:rsid w:val="005F5F05"/>
    <w:rsid w:val="005F61E7"/>
    <w:rsid w:val="005F64CD"/>
    <w:rsid w:val="005F65AA"/>
    <w:rsid w:val="005F70C3"/>
    <w:rsid w:val="005F7171"/>
    <w:rsid w:val="005F7346"/>
    <w:rsid w:val="005F7BC4"/>
    <w:rsid w:val="00600216"/>
    <w:rsid w:val="006011EC"/>
    <w:rsid w:val="0060272F"/>
    <w:rsid w:val="00602E68"/>
    <w:rsid w:val="0060435A"/>
    <w:rsid w:val="006043DC"/>
    <w:rsid w:val="006043F0"/>
    <w:rsid w:val="00605128"/>
    <w:rsid w:val="006052BA"/>
    <w:rsid w:val="0060556E"/>
    <w:rsid w:val="00605798"/>
    <w:rsid w:val="00605822"/>
    <w:rsid w:val="006061DB"/>
    <w:rsid w:val="006066A7"/>
    <w:rsid w:val="00607717"/>
    <w:rsid w:val="00607DC8"/>
    <w:rsid w:val="0061039C"/>
    <w:rsid w:val="006103A1"/>
    <w:rsid w:val="00610912"/>
    <w:rsid w:val="00610C80"/>
    <w:rsid w:val="00611C33"/>
    <w:rsid w:val="00611C61"/>
    <w:rsid w:val="006123F1"/>
    <w:rsid w:val="0061266A"/>
    <w:rsid w:val="00614574"/>
    <w:rsid w:val="00615298"/>
    <w:rsid w:val="00615AF2"/>
    <w:rsid w:val="00615F68"/>
    <w:rsid w:val="00615F86"/>
    <w:rsid w:val="0061608E"/>
    <w:rsid w:val="00616729"/>
    <w:rsid w:val="0061738C"/>
    <w:rsid w:val="00617918"/>
    <w:rsid w:val="00617956"/>
    <w:rsid w:val="00620817"/>
    <w:rsid w:val="0062085A"/>
    <w:rsid w:val="00620A60"/>
    <w:rsid w:val="00622106"/>
    <w:rsid w:val="0062221F"/>
    <w:rsid w:val="006222B8"/>
    <w:rsid w:val="006226AF"/>
    <w:rsid w:val="00622875"/>
    <w:rsid w:val="00623355"/>
    <w:rsid w:val="006235FD"/>
    <w:rsid w:val="006237E9"/>
    <w:rsid w:val="00624202"/>
    <w:rsid w:val="0062489C"/>
    <w:rsid w:val="00624C2E"/>
    <w:rsid w:val="00625962"/>
    <w:rsid w:val="00625A5E"/>
    <w:rsid w:val="006264AC"/>
    <w:rsid w:val="00626BF7"/>
    <w:rsid w:val="00626DC6"/>
    <w:rsid w:val="00626FA3"/>
    <w:rsid w:val="0062795B"/>
    <w:rsid w:val="00630A5D"/>
    <w:rsid w:val="00630D0A"/>
    <w:rsid w:val="00630E62"/>
    <w:rsid w:val="00630EB8"/>
    <w:rsid w:val="00632401"/>
    <w:rsid w:val="006328C0"/>
    <w:rsid w:val="00632DD8"/>
    <w:rsid w:val="00632E1D"/>
    <w:rsid w:val="0063408E"/>
    <w:rsid w:val="00634B4D"/>
    <w:rsid w:val="00634C18"/>
    <w:rsid w:val="00634E66"/>
    <w:rsid w:val="006350D6"/>
    <w:rsid w:val="00635402"/>
    <w:rsid w:val="00635D8C"/>
    <w:rsid w:val="0063678A"/>
    <w:rsid w:val="00636ACA"/>
    <w:rsid w:val="006371D8"/>
    <w:rsid w:val="006400AF"/>
    <w:rsid w:val="0064010C"/>
    <w:rsid w:val="006403AE"/>
    <w:rsid w:val="006407F6"/>
    <w:rsid w:val="00640D6A"/>
    <w:rsid w:val="00640DB4"/>
    <w:rsid w:val="0064173B"/>
    <w:rsid w:val="00642850"/>
    <w:rsid w:val="00642A16"/>
    <w:rsid w:val="00642B99"/>
    <w:rsid w:val="00643003"/>
    <w:rsid w:val="00643DC8"/>
    <w:rsid w:val="00643F69"/>
    <w:rsid w:val="00644431"/>
    <w:rsid w:val="00644E28"/>
    <w:rsid w:val="00644F93"/>
    <w:rsid w:val="0064588F"/>
    <w:rsid w:val="00645D4B"/>
    <w:rsid w:val="0064617B"/>
    <w:rsid w:val="006466E4"/>
    <w:rsid w:val="0064690A"/>
    <w:rsid w:val="00646FAA"/>
    <w:rsid w:val="0064727B"/>
    <w:rsid w:val="00647289"/>
    <w:rsid w:val="006502D5"/>
    <w:rsid w:val="006503D7"/>
    <w:rsid w:val="00650F45"/>
    <w:rsid w:val="00651007"/>
    <w:rsid w:val="00651372"/>
    <w:rsid w:val="006519B7"/>
    <w:rsid w:val="00651A3B"/>
    <w:rsid w:val="006528CF"/>
    <w:rsid w:val="0065290F"/>
    <w:rsid w:val="00652EEA"/>
    <w:rsid w:val="00653ABD"/>
    <w:rsid w:val="00654A76"/>
    <w:rsid w:val="00654BFC"/>
    <w:rsid w:val="0065514E"/>
    <w:rsid w:val="006570E8"/>
    <w:rsid w:val="006574C4"/>
    <w:rsid w:val="00660EAA"/>
    <w:rsid w:val="00661599"/>
    <w:rsid w:val="00661638"/>
    <w:rsid w:val="0066253A"/>
    <w:rsid w:val="006626D1"/>
    <w:rsid w:val="006627DE"/>
    <w:rsid w:val="00663418"/>
    <w:rsid w:val="00663E9A"/>
    <w:rsid w:val="00664EAE"/>
    <w:rsid w:val="00665001"/>
    <w:rsid w:val="00665425"/>
    <w:rsid w:val="00665C65"/>
    <w:rsid w:val="00665E57"/>
    <w:rsid w:val="006664C6"/>
    <w:rsid w:val="006664CD"/>
    <w:rsid w:val="0066679A"/>
    <w:rsid w:val="00666BEC"/>
    <w:rsid w:val="006674FB"/>
    <w:rsid w:val="00670E55"/>
    <w:rsid w:val="00671E87"/>
    <w:rsid w:val="006724E5"/>
    <w:rsid w:val="00672ABA"/>
    <w:rsid w:val="00673835"/>
    <w:rsid w:val="00673A5C"/>
    <w:rsid w:val="00674F72"/>
    <w:rsid w:val="00675221"/>
    <w:rsid w:val="00675227"/>
    <w:rsid w:val="006755CB"/>
    <w:rsid w:val="0067587D"/>
    <w:rsid w:val="006773D1"/>
    <w:rsid w:val="00680A6E"/>
    <w:rsid w:val="00681631"/>
    <w:rsid w:val="00681AD9"/>
    <w:rsid w:val="00681EEA"/>
    <w:rsid w:val="0068274F"/>
    <w:rsid w:val="00682ECE"/>
    <w:rsid w:val="00683DE0"/>
    <w:rsid w:val="00684450"/>
    <w:rsid w:val="006847A5"/>
    <w:rsid w:val="00684E95"/>
    <w:rsid w:val="0068585A"/>
    <w:rsid w:val="00685D8B"/>
    <w:rsid w:val="006869E0"/>
    <w:rsid w:val="00687067"/>
    <w:rsid w:val="0068707C"/>
    <w:rsid w:val="00687435"/>
    <w:rsid w:val="0068747A"/>
    <w:rsid w:val="00690563"/>
    <w:rsid w:val="00690AFA"/>
    <w:rsid w:val="00691489"/>
    <w:rsid w:val="006914A3"/>
    <w:rsid w:val="00692D02"/>
    <w:rsid w:val="00693067"/>
    <w:rsid w:val="006935A3"/>
    <w:rsid w:val="006936BC"/>
    <w:rsid w:val="006946DC"/>
    <w:rsid w:val="0069550C"/>
    <w:rsid w:val="0069562C"/>
    <w:rsid w:val="00695A0F"/>
    <w:rsid w:val="006961F6"/>
    <w:rsid w:val="0069677C"/>
    <w:rsid w:val="00696788"/>
    <w:rsid w:val="00696944"/>
    <w:rsid w:val="00697EDD"/>
    <w:rsid w:val="006A01C1"/>
    <w:rsid w:val="006A02A4"/>
    <w:rsid w:val="006A0637"/>
    <w:rsid w:val="006A09B6"/>
    <w:rsid w:val="006A09DD"/>
    <w:rsid w:val="006A1231"/>
    <w:rsid w:val="006A17F4"/>
    <w:rsid w:val="006A19DD"/>
    <w:rsid w:val="006A1C53"/>
    <w:rsid w:val="006A1FF9"/>
    <w:rsid w:val="006A2295"/>
    <w:rsid w:val="006A2542"/>
    <w:rsid w:val="006A356E"/>
    <w:rsid w:val="006A3924"/>
    <w:rsid w:val="006A4364"/>
    <w:rsid w:val="006A4936"/>
    <w:rsid w:val="006A54AF"/>
    <w:rsid w:val="006A5BA6"/>
    <w:rsid w:val="006A60A4"/>
    <w:rsid w:val="006A61CB"/>
    <w:rsid w:val="006A67E0"/>
    <w:rsid w:val="006A696B"/>
    <w:rsid w:val="006A6B15"/>
    <w:rsid w:val="006A7BE8"/>
    <w:rsid w:val="006B0FBA"/>
    <w:rsid w:val="006B1011"/>
    <w:rsid w:val="006B1C06"/>
    <w:rsid w:val="006B1CAC"/>
    <w:rsid w:val="006B2556"/>
    <w:rsid w:val="006B286C"/>
    <w:rsid w:val="006B52D7"/>
    <w:rsid w:val="006B53E9"/>
    <w:rsid w:val="006B54E2"/>
    <w:rsid w:val="006B6360"/>
    <w:rsid w:val="006B66E4"/>
    <w:rsid w:val="006B7674"/>
    <w:rsid w:val="006B7908"/>
    <w:rsid w:val="006C0D0D"/>
    <w:rsid w:val="006C0D1B"/>
    <w:rsid w:val="006C159C"/>
    <w:rsid w:val="006C1B0F"/>
    <w:rsid w:val="006C1B7E"/>
    <w:rsid w:val="006C2006"/>
    <w:rsid w:val="006C2007"/>
    <w:rsid w:val="006C219D"/>
    <w:rsid w:val="006C277E"/>
    <w:rsid w:val="006C2DE6"/>
    <w:rsid w:val="006C2E5A"/>
    <w:rsid w:val="006C3696"/>
    <w:rsid w:val="006C43DC"/>
    <w:rsid w:val="006C62FD"/>
    <w:rsid w:val="006C6BB6"/>
    <w:rsid w:val="006D00E0"/>
    <w:rsid w:val="006D03D3"/>
    <w:rsid w:val="006D0918"/>
    <w:rsid w:val="006D097D"/>
    <w:rsid w:val="006D150F"/>
    <w:rsid w:val="006D1947"/>
    <w:rsid w:val="006D24CE"/>
    <w:rsid w:val="006D3299"/>
    <w:rsid w:val="006D35B7"/>
    <w:rsid w:val="006D4270"/>
    <w:rsid w:val="006D453E"/>
    <w:rsid w:val="006D505D"/>
    <w:rsid w:val="006D51E9"/>
    <w:rsid w:val="006D5C52"/>
    <w:rsid w:val="006D61C0"/>
    <w:rsid w:val="006E0025"/>
    <w:rsid w:val="006E1547"/>
    <w:rsid w:val="006E2188"/>
    <w:rsid w:val="006E2568"/>
    <w:rsid w:val="006E29D6"/>
    <w:rsid w:val="006E2E73"/>
    <w:rsid w:val="006E3ABF"/>
    <w:rsid w:val="006E3C6D"/>
    <w:rsid w:val="006E3E8B"/>
    <w:rsid w:val="006E4149"/>
    <w:rsid w:val="006E45A6"/>
    <w:rsid w:val="006E556E"/>
    <w:rsid w:val="006E5805"/>
    <w:rsid w:val="006E6A1D"/>
    <w:rsid w:val="006E732C"/>
    <w:rsid w:val="006E745D"/>
    <w:rsid w:val="006E7A7A"/>
    <w:rsid w:val="006F18A5"/>
    <w:rsid w:val="006F1BCF"/>
    <w:rsid w:val="006F1E08"/>
    <w:rsid w:val="006F370D"/>
    <w:rsid w:val="006F3A92"/>
    <w:rsid w:val="006F44CF"/>
    <w:rsid w:val="006F468C"/>
    <w:rsid w:val="006F4A26"/>
    <w:rsid w:val="006F4E87"/>
    <w:rsid w:val="006F61BB"/>
    <w:rsid w:val="006F75EB"/>
    <w:rsid w:val="006F7E45"/>
    <w:rsid w:val="007004E6"/>
    <w:rsid w:val="00700DF1"/>
    <w:rsid w:val="00701232"/>
    <w:rsid w:val="00701454"/>
    <w:rsid w:val="00701CFB"/>
    <w:rsid w:val="007029EA"/>
    <w:rsid w:val="00703A01"/>
    <w:rsid w:val="007042B3"/>
    <w:rsid w:val="00704B16"/>
    <w:rsid w:val="00704CF4"/>
    <w:rsid w:val="0070515A"/>
    <w:rsid w:val="0070571F"/>
    <w:rsid w:val="00706350"/>
    <w:rsid w:val="00706487"/>
    <w:rsid w:val="007067B6"/>
    <w:rsid w:val="007068BE"/>
    <w:rsid w:val="007068D9"/>
    <w:rsid w:val="0070711C"/>
    <w:rsid w:val="00707594"/>
    <w:rsid w:val="00707899"/>
    <w:rsid w:val="00707971"/>
    <w:rsid w:val="00707B46"/>
    <w:rsid w:val="00707BA1"/>
    <w:rsid w:val="00707CEC"/>
    <w:rsid w:val="007102D5"/>
    <w:rsid w:val="007117E5"/>
    <w:rsid w:val="00712CAA"/>
    <w:rsid w:val="00712D72"/>
    <w:rsid w:val="007139AE"/>
    <w:rsid w:val="0071407E"/>
    <w:rsid w:val="0071450B"/>
    <w:rsid w:val="00714B45"/>
    <w:rsid w:val="00715B71"/>
    <w:rsid w:val="00715EC7"/>
    <w:rsid w:val="007160B1"/>
    <w:rsid w:val="00716779"/>
    <w:rsid w:val="00716FAB"/>
    <w:rsid w:val="00717324"/>
    <w:rsid w:val="00717D2C"/>
    <w:rsid w:val="007202CA"/>
    <w:rsid w:val="0072067C"/>
    <w:rsid w:val="007208CF"/>
    <w:rsid w:val="00720CE3"/>
    <w:rsid w:val="00720DFF"/>
    <w:rsid w:val="00721072"/>
    <w:rsid w:val="00721C8F"/>
    <w:rsid w:val="00721D2E"/>
    <w:rsid w:val="00721FCF"/>
    <w:rsid w:val="00722DD6"/>
    <w:rsid w:val="00722F42"/>
    <w:rsid w:val="007233F1"/>
    <w:rsid w:val="00723AEC"/>
    <w:rsid w:val="00723BBE"/>
    <w:rsid w:val="007242C6"/>
    <w:rsid w:val="00724304"/>
    <w:rsid w:val="00724744"/>
    <w:rsid w:val="00724BA9"/>
    <w:rsid w:val="007255B4"/>
    <w:rsid w:val="00725609"/>
    <w:rsid w:val="007256C6"/>
    <w:rsid w:val="00725C2E"/>
    <w:rsid w:val="00726561"/>
    <w:rsid w:val="00727A81"/>
    <w:rsid w:val="00727A96"/>
    <w:rsid w:val="007303A9"/>
    <w:rsid w:val="00730A1F"/>
    <w:rsid w:val="00730DC7"/>
    <w:rsid w:val="007312C5"/>
    <w:rsid w:val="007312F3"/>
    <w:rsid w:val="00731542"/>
    <w:rsid w:val="007315EB"/>
    <w:rsid w:val="0073240B"/>
    <w:rsid w:val="00732AEF"/>
    <w:rsid w:val="00732D61"/>
    <w:rsid w:val="007336C0"/>
    <w:rsid w:val="007342BA"/>
    <w:rsid w:val="0073465C"/>
    <w:rsid w:val="00734881"/>
    <w:rsid w:val="007353D1"/>
    <w:rsid w:val="00735C69"/>
    <w:rsid w:val="0073653F"/>
    <w:rsid w:val="00736665"/>
    <w:rsid w:val="007377D5"/>
    <w:rsid w:val="0073783B"/>
    <w:rsid w:val="00737904"/>
    <w:rsid w:val="00737BDA"/>
    <w:rsid w:val="007411C6"/>
    <w:rsid w:val="00741751"/>
    <w:rsid w:val="00741D41"/>
    <w:rsid w:val="00743450"/>
    <w:rsid w:val="00743507"/>
    <w:rsid w:val="00743655"/>
    <w:rsid w:val="00743AA5"/>
    <w:rsid w:val="00743FC0"/>
    <w:rsid w:val="00744B3D"/>
    <w:rsid w:val="00744E21"/>
    <w:rsid w:val="00745577"/>
    <w:rsid w:val="0074680B"/>
    <w:rsid w:val="00746A31"/>
    <w:rsid w:val="00746F57"/>
    <w:rsid w:val="00747064"/>
    <w:rsid w:val="007470EB"/>
    <w:rsid w:val="00747282"/>
    <w:rsid w:val="0074751C"/>
    <w:rsid w:val="00747DFD"/>
    <w:rsid w:val="0075018A"/>
    <w:rsid w:val="00751056"/>
    <w:rsid w:val="0075134E"/>
    <w:rsid w:val="00751351"/>
    <w:rsid w:val="00751AAA"/>
    <w:rsid w:val="00751F69"/>
    <w:rsid w:val="00752AE5"/>
    <w:rsid w:val="007531D8"/>
    <w:rsid w:val="0075370A"/>
    <w:rsid w:val="007539E8"/>
    <w:rsid w:val="0075404F"/>
    <w:rsid w:val="007542C5"/>
    <w:rsid w:val="00754603"/>
    <w:rsid w:val="00754E42"/>
    <w:rsid w:val="00755FCD"/>
    <w:rsid w:val="00756CFF"/>
    <w:rsid w:val="00756EAE"/>
    <w:rsid w:val="0075702F"/>
    <w:rsid w:val="00757C38"/>
    <w:rsid w:val="00757DFF"/>
    <w:rsid w:val="00757F1F"/>
    <w:rsid w:val="00760BCF"/>
    <w:rsid w:val="00761355"/>
    <w:rsid w:val="00761358"/>
    <w:rsid w:val="00763C98"/>
    <w:rsid w:val="0076408A"/>
    <w:rsid w:val="007640DB"/>
    <w:rsid w:val="00765B3F"/>
    <w:rsid w:val="00766C2D"/>
    <w:rsid w:val="00767472"/>
    <w:rsid w:val="007679A4"/>
    <w:rsid w:val="00767EBF"/>
    <w:rsid w:val="0077113C"/>
    <w:rsid w:val="00771DE2"/>
    <w:rsid w:val="007721C8"/>
    <w:rsid w:val="007722C5"/>
    <w:rsid w:val="007726F3"/>
    <w:rsid w:val="00772F52"/>
    <w:rsid w:val="007730E2"/>
    <w:rsid w:val="00773529"/>
    <w:rsid w:val="00774245"/>
    <w:rsid w:val="0077437F"/>
    <w:rsid w:val="00774A24"/>
    <w:rsid w:val="007750E3"/>
    <w:rsid w:val="00775A41"/>
    <w:rsid w:val="0077674E"/>
    <w:rsid w:val="007767BD"/>
    <w:rsid w:val="0077763E"/>
    <w:rsid w:val="0077768D"/>
    <w:rsid w:val="00777DD8"/>
    <w:rsid w:val="00780DB7"/>
    <w:rsid w:val="00781184"/>
    <w:rsid w:val="007812D0"/>
    <w:rsid w:val="0078141A"/>
    <w:rsid w:val="00781A8E"/>
    <w:rsid w:val="0078292C"/>
    <w:rsid w:val="007841FE"/>
    <w:rsid w:val="0078431D"/>
    <w:rsid w:val="00784780"/>
    <w:rsid w:val="00784BB4"/>
    <w:rsid w:val="00785863"/>
    <w:rsid w:val="00785F2D"/>
    <w:rsid w:val="00786296"/>
    <w:rsid w:val="00786581"/>
    <w:rsid w:val="00786663"/>
    <w:rsid w:val="0078727F"/>
    <w:rsid w:val="00787C65"/>
    <w:rsid w:val="0079076F"/>
    <w:rsid w:val="00790B2A"/>
    <w:rsid w:val="007911F7"/>
    <w:rsid w:val="007917F6"/>
    <w:rsid w:val="00791929"/>
    <w:rsid w:val="00791D0E"/>
    <w:rsid w:val="007921AC"/>
    <w:rsid w:val="0079297B"/>
    <w:rsid w:val="00793822"/>
    <w:rsid w:val="0079394D"/>
    <w:rsid w:val="0079427F"/>
    <w:rsid w:val="00794DB7"/>
    <w:rsid w:val="00795103"/>
    <w:rsid w:val="00795969"/>
    <w:rsid w:val="00795BCB"/>
    <w:rsid w:val="00796229"/>
    <w:rsid w:val="00796A7C"/>
    <w:rsid w:val="0079731E"/>
    <w:rsid w:val="007A0422"/>
    <w:rsid w:val="007A0F1F"/>
    <w:rsid w:val="007A1285"/>
    <w:rsid w:val="007A1AA2"/>
    <w:rsid w:val="007A2A1D"/>
    <w:rsid w:val="007A3B03"/>
    <w:rsid w:val="007A3E3D"/>
    <w:rsid w:val="007A3E99"/>
    <w:rsid w:val="007A4248"/>
    <w:rsid w:val="007A42E8"/>
    <w:rsid w:val="007A4A29"/>
    <w:rsid w:val="007A572B"/>
    <w:rsid w:val="007A57BC"/>
    <w:rsid w:val="007A58C1"/>
    <w:rsid w:val="007A5993"/>
    <w:rsid w:val="007A5F15"/>
    <w:rsid w:val="007A6A31"/>
    <w:rsid w:val="007A7636"/>
    <w:rsid w:val="007A795B"/>
    <w:rsid w:val="007A7A30"/>
    <w:rsid w:val="007B1404"/>
    <w:rsid w:val="007B20CE"/>
    <w:rsid w:val="007B2534"/>
    <w:rsid w:val="007B269B"/>
    <w:rsid w:val="007B2F44"/>
    <w:rsid w:val="007B3D18"/>
    <w:rsid w:val="007B44DF"/>
    <w:rsid w:val="007B4628"/>
    <w:rsid w:val="007B6912"/>
    <w:rsid w:val="007B6B31"/>
    <w:rsid w:val="007C006F"/>
    <w:rsid w:val="007C06D5"/>
    <w:rsid w:val="007C1652"/>
    <w:rsid w:val="007C16E2"/>
    <w:rsid w:val="007C1D72"/>
    <w:rsid w:val="007C20E3"/>
    <w:rsid w:val="007C3280"/>
    <w:rsid w:val="007C3781"/>
    <w:rsid w:val="007C3B6D"/>
    <w:rsid w:val="007C3ED7"/>
    <w:rsid w:val="007C4257"/>
    <w:rsid w:val="007C4CBF"/>
    <w:rsid w:val="007C51DD"/>
    <w:rsid w:val="007C52A8"/>
    <w:rsid w:val="007C63D0"/>
    <w:rsid w:val="007C7069"/>
    <w:rsid w:val="007C786C"/>
    <w:rsid w:val="007C7D03"/>
    <w:rsid w:val="007D00C7"/>
    <w:rsid w:val="007D0A04"/>
    <w:rsid w:val="007D0DDA"/>
    <w:rsid w:val="007D1889"/>
    <w:rsid w:val="007D1BC1"/>
    <w:rsid w:val="007D2362"/>
    <w:rsid w:val="007D2C80"/>
    <w:rsid w:val="007D331C"/>
    <w:rsid w:val="007D3612"/>
    <w:rsid w:val="007D3AE3"/>
    <w:rsid w:val="007D3B0A"/>
    <w:rsid w:val="007D3C00"/>
    <w:rsid w:val="007D3F5A"/>
    <w:rsid w:val="007D42B9"/>
    <w:rsid w:val="007D489C"/>
    <w:rsid w:val="007D5A2C"/>
    <w:rsid w:val="007D60B4"/>
    <w:rsid w:val="007D6263"/>
    <w:rsid w:val="007D675C"/>
    <w:rsid w:val="007D6E2B"/>
    <w:rsid w:val="007D6F0E"/>
    <w:rsid w:val="007D75FC"/>
    <w:rsid w:val="007E00F2"/>
    <w:rsid w:val="007E1845"/>
    <w:rsid w:val="007E1A47"/>
    <w:rsid w:val="007E2256"/>
    <w:rsid w:val="007E26CE"/>
    <w:rsid w:val="007E2743"/>
    <w:rsid w:val="007E34A6"/>
    <w:rsid w:val="007E3836"/>
    <w:rsid w:val="007E3DEE"/>
    <w:rsid w:val="007E3F84"/>
    <w:rsid w:val="007E40CF"/>
    <w:rsid w:val="007E46F3"/>
    <w:rsid w:val="007E4B79"/>
    <w:rsid w:val="007E4C14"/>
    <w:rsid w:val="007E4FEE"/>
    <w:rsid w:val="007E6243"/>
    <w:rsid w:val="007E6244"/>
    <w:rsid w:val="007E6A92"/>
    <w:rsid w:val="007F0530"/>
    <w:rsid w:val="007F0679"/>
    <w:rsid w:val="007F0AC3"/>
    <w:rsid w:val="007F1FD7"/>
    <w:rsid w:val="007F216E"/>
    <w:rsid w:val="007F2787"/>
    <w:rsid w:val="007F2CA0"/>
    <w:rsid w:val="007F39E6"/>
    <w:rsid w:val="007F3A3D"/>
    <w:rsid w:val="007F3B73"/>
    <w:rsid w:val="007F495E"/>
    <w:rsid w:val="007F53B7"/>
    <w:rsid w:val="007F540C"/>
    <w:rsid w:val="007F5C01"/>
    <w:rsid w:val="007F5E86"/>
    <w:rsid w:val="007F6265"/>
    <w:rsid w:val="007F659C"/>
    <w:rsid w:val="007F67D2"/>
    <w:rsid w:val="007F6950"/>
    <w:rsid w:val="007F73AA"/>
    <w:rsid w:val="007F740D"/>
    <w:rsid w:val="007F75DC"/>
    <w:rsid w:val="007F7CA3"/>
    <w:rsid w:val="0080009E"/>
    <w:rsid w:val="00800572"/>
    <w:rsid w:val="008026DB"/>
    <w:rsid w:val="00802D7B"/>
    <w:rsid w:val="00803ABE"/>
    <w:rsid w:val="00803E24"/>
    <w:rsid w:val="00804A86"/>
    <w:rsid w:val="008067E0"/>
    <w:rsid w:val="00807970"/>
    <w:rsid w:val="0081026A"/>
    <w:rsid w:val="00810273"/>
    <w:rsid w:val="00811606"/>
    <w:rsid w:val="008119DC"/>
    <w:rsid w:val="00811DA6"/>
    <w:rsid w:val="0081220D"/>
    <w:rsid w:val="008124CA"/>
    <w:rsid w:val="008151C7"/>
    <w:rsid w:val="0081530D"/>
    <w:rsid w:val="00816183"/>
    <w:rsid w:val="008167A7"/>
    <w:rsid w:val="00816A05"/>
    <w:rsid w:val="00816E2B"/>
    <w:rsid w:val="00816EAB"/>
    <w:rsid w:val="0081767F"/>
    <w:rsid w:val="00817A07"/>
    <w:rsid w:val="00817D8C"/>
    <w:rsid w:val="008206AE"/>
    <w:rsid w:val="00820E27"/>
    <w:rsid w:val="00821017"/>
    <w:rsid w:val="00821B83"/>
    <w:rsid w:val="00821CF4"/>
    <w:rsid w:val="00822D95"/>
    <w:rsid w:val="00822E66"/>
    <w:rsid w:val="00823AEF"/>
    <w:rsid w:val="00824460"/>
    <w:rsid w:val="00826A34"/>
    <w:rsid w:val="00826D4E"/>
    <w:rsid w:val="00827085"/>
    <w:rsid w:val="0082773D"/>
    <w:rsid w:val="00827A0C"/>
    <w:rsid w:val="00827E65"/>
    <w:rsid w:val="00830511"/>
    <w:rsid w:val="00831451"/>
    <w:rsid w:val="00831536"/>
    <w:rsid w:val="008315EE"/>
    <w:rsid w:val="008319B2"/>
    <w:rsid w:val="00831BF2"/>
    <w:rsid w:val="00832349"/>
    <w:rsid w:val="00832617"/>
    <w:rsid w:val="00832BDC"/>
    <w:rsid w:val="00832F09"/>
    <w:rsid w:val="00833B9F"/>
    <w:rsid w:val="00833D1E"/>
    <w:rsid w:val="0083437A"/>
    <w:rsid w:val="00834432"/>
    <w:rsid w:val="0083460D"/>
    <w:rsid w:val="008356A4"/>
    <w:rsid w:val="008357DB"/>
    <w:rsid w:val="008358D0"/>
    <w:rsid w:val="00835B4F"/>
    <w:rsid w:val="00836D74"/>
    <w:rsid w:val="008374BD"/>
    <w:rsid w:val="00837F8D"/>
    <w:rsid w:val="008402D4"/>
    <w:rsid w:val="008403B7"/>
    <w:rsid w:val="008409C4"/>
    <w:rsid w:val="0084142E"/>
    <w:rsid w:val="0084147B"/>
    <w:rsid w:val="00841BB0"/>
    <w:rsid w:val="008427CE"/>
    <w:rsid w:val="00843553"/>
    <w:rsid w:val="0084408E"/>
    <w:rsid w:val="00844917"/>
    <w:rsid w:val="00845357"/>
    <w:rsid w:val="008453F3"/>
    <w:rsid w:val="00845553"/>
    <w:rsid w:val="00845FD1"/>
    <w:rsid w:val="00846795"/>
    <w:rsid w:val="008478BE"/>
    <w:rsid w:val="0085008E"/>
    <w:rsid w:val="00850171"/>
    <w:rsid w:val="008505B8"/>
    <w:rsid w:val="008507A8"/>
    <w:rsid w:val="00850ADB"/>
    <w:rsid w:val="0085110A"/>
    <w:rsid w:val="00852208"/>
    <w:rsid w:val="00852407"/>
    <w:rsid w:val="0085291D"/>
    <w:rsid w:val="008529D1"/>
    <w:rsid w:val="00852D7E"/>
    <w:rsid w:val="00852F6C"/>
    <w:rsid w:val="00853D11"/>
    <w:rsid w:val="0085411F"/>
    <w:rsid w:val="00855ACE"/>
    <w:rsid w:val="00855D40"/>
    <w:rsid w:val="0085616E"/>
    <w:rsid w:val="008562FC"/>
    <w:rsid w:val="008600F3"/>
    <w:rsid w:val="00860290"/>
    <w:rsid w:val="008609DE"/>
    <w:rsid w:val="00861C2C"/>
    <w:rsid w:val="00861E4B"/>
    <w:rsid w:val="008622AD"/>
    <w:rsid w:val="00862E21"/>
    <w:rsid w:val="008634C2"/>
    <w:rsid w:val="008636DB"/>
    <w:rsid w:val="008638FA"/>
    <w:rsid w:val="00864CA2"/>
    <w:rsid w:val="00864FF4"/>
    <w:rsid w:val="00865467"/>
    <w:rsid w:val="00865B26"/>
    <w:rsid w:val="00866AE3"/>
    <w:rsid w:val="00867A54"/>
    <w:rsid w:val="00870203"/>
    <w:rsid w:val="008706F9"/>
    <w:rsid w:val="00870DD5"/>
    <w:rsid w:val="00870F3A"/>
    <w:rsid w:val="00871015"/>
    <w:rsid w:val="0087109A"/>
    <w:rsid w:val="00871224"/>
    <w:rsid w:val="00871299"/>
    <w:rsid w:val="008718CE"/>
    <w:rsid w:val="00871D4A"/>
    <w:rsid w:val="00872231"/>
    <w:rsid w:val="00872A84"/>
    <w:rsid w:val="00873154"/>
    <w:rsid w:val="0087351F"/>
    <w:rsid w:val="0087364F"/>
    <w:rsid w:val="00873B56"/>
    <w:rsid w:val="00873B65"/>
    <w:rsid w:val="0087419F"/>
    <w:rsid w:val="008748D8"/>
    <w:rsid w:val="00874936"/>
    <w:rsid w:val="008753BD"/>
    <w:rsid w:val="00875B7D"/>
    <w:rsid w:val="00875BF6"/>
    <w:rsid w:val="00876415"/>
    <w:rsid w:val="00876436"/>
    <w:rsid w:val="0087671E"/>
    <w:rsid w:val="00876895"/>
    <w:rsid w:val="00876CA8"/>
    <w:rsid w:val="00876D70"/>
    <w:rsid w:val="0087730A"/>
    <w:rsid w:val="00880210"/>
    <w:rsid w:val="00880D43"/>
    <w:rsid w:val="00881174"/>
    <w:rsid w:val="00881E22"/>
    <w:rsid w:val="00881FF2"/>
    <w:rsid w:val="00882C47"/>
    <w:rsid w:val="00883782"/>
    <w:rsid w:val="0088428F"/>
    <w:rsid w:val="00885CE7"/>
    <w:rsid w:val="00886C73"/>
    <w:rsid w:val="0088719B"/>
    <w:rsid w:val="008875C1"/>
    <w:rsid w:val="00887741"/>
    <w:rsid w:val="00890066"/>
    <w:rsid w:val="008904EB"/>
    <w:rsid w:val="00890B86"/>
    <w:rsid w:val="00891060"/>
    <w:rsid w:val="0089111F"/>
    <w:rsid w:val="0089147D"/>
    <w:rsid w:val="00891675"/>
    <w:rsid w:val="00891DB4"/>
    <w:rsid w:val="00891DFA"/>
    <w:rsid w:val="0089247B"/>
    <w:rsid w:val="008924AC"/>
    <w:rsid w:val="00893089"/>
    <w:rsid w:val="00893DCD"/>
    <w:rsid w:val="008940A1"/>
    <w:rsid w:val="00894137"/>
    <w:rsid w:val="00894DBB"/>
    <w:rsid w:val="00895516"/>
    <w:rsid w:val="0089705E"/>
    <w:rsid w:val="00897348"/>
    <w:rsid w:val="00897ADC"/>
    <w:rsid w:val="00897FF6"/>
    <w:rsid w:val="008A051B"/>
    <w:rsid w:val="008A0BE5"/>
    <w:rsid w:val="008A0F35"/>
    <w:rsid w:val="008A11A1"/>
    <w:rsid w:val="008A3269"/>
    <w:rsid w:val="008A39FB"/>
    <w:rsid w:val="008A40D8"/>
    <w:rsid w:val="008A41CF"/>
    <w:rsid w:val="008A4C76"/>
    <w:rsid w:val="008A4F71"/>
    <w:rsid w:val="008A55EA"/>
    <w:rsid w:val="008A5713"/>
    <w:rsid w:val="008A5AFC"/>
    <w:rsid w:val="008A5B04"/>
    <w:rsid w:val="008A5B7E"/>
    <w:rsid w:val="008A6622"/>
    <w:rsid w:val="008A6D12"/>
    <w:rsid w:val="008A7D32"/>
    <w:rsid w:val="008B04F5"/>
    <w:rsid w:val="008B0D50"/>
    <w:rsid w:val="008B22D5"/>
    <w:rsid w:val="008B597A"/>
    <w:rsid w:val="008B6B11"/>
    <w:rsid w:val="008B6CFB"/>
    <w:rsid w:val="008B7740"/>
    <w:rsid w:val="008C07DB"/>
    <w:rsid w:val="008C0B6E"/>
    <w:rsid w:val="008C173E"/>
    <w:rsid w:val="008C1A9D"/>
    <w:rsid w:val="008C25EF"/>
    <w:rsid w:val="008C2770"/>
    <w:rsid w:val="008C300F"/>
    <w:rsid w:val="008C3140"/>
    <w:rsid w:val="008C3564"/>
    <w:rsid w:val="008C424D"/>
    <w:rsid w:val="008C49EC"/>
    <w:rsid w:val="008C4F5A"/>
    <w:rsid w:val="008C50A2"/>
    <w:rsid w:val="008C5141"/>
    <w:rsid w:val="008C5F70"/>
    <w:rsid w:val="008C64E0"/>
    <w:rsid w:val="008C6550"/>
    <w:rsid w:val="008C662D"/>
    <w:rsid w:val="008C66F8"/>
    <w:rsid w:val="008C775D"/>
    <w:rsid w:val="008C7F97"/>
    <w:rsid w:val="008D066F"/>
    <w:rsid w:val="008D1385"/>
    <w:rsid w:val="008D1E5F"/>
    <w:rsid w:val="008D1EA2"/>
    <w:rsid w:val="008D2306"/>
    <w:rsid w:val="008D28CF"/>
    <w:rsid w:val="008D2CFC"/>
    <w:rsid w:val="008D2D08"/>
    <w:rsid w:val="008D2E70"/>
    <w:rsid w:val="008D3022"/>
    <w:rsid w:val="008D4425"/>
    <w:rsid w:val="008D4BED"/>
    <w:rsid w:val="008D4C25"/>
    <w:rsid w:val="008D5C92"/>
    <w:rsid w:val="008D5F00"/>
    <w:rsid w:val="008D6CCD"/>
    <w:rsid w:val="008D7406"/>
    <w:rsid w:val="008E03AC"/>
    <w:rsid w:val="008E0688"/>
    <w:rsid w:val="008E22EC"/>
    <w:rsid w:val="008E25F1"/>
    <w:rsid w:val="008E2B8B"/>
    <w:rsid w:val="008E2DF0"/>
    <w:rsid w:val="008E3027"/>
    <w:rsid w:val="008E30EC"/>
    <w:rsid w:val="008E37B3"/>
    <w:rsid w:val="008E3FA0"/>
    <w:rsid w:val="008E41C7"/>
    <w:rsid w:val="008E4264"/>
    <w:rsid w:val="008E5361"/>
    <w:rsid w:val="008E58B1"/>
    <w:rsid w:val="008E5EF4"/>
    <w:rsid w:val="008E5F1B"/>
    <w:rsid w:val="008E63AF"/>
    <w:rsid w:val="008F01A2"/>
    <w:rsid w:val="008F02EC"/>
    <w:rsid w:val="008F071C"/>
    <w:rsid w:val="008F0A52"/>
    <w:rsid w:val="008F0AB3"/>
    <w:rsid w:val="008F0FAB"/>
    <w:rsid w:val="008F10B2"/>
    <w:rsid w:val="008F1C23"/>
    <w:rsid w:val="008F2B08"/>
    <w:rsid w:val="008F3301"/>
    <w:rsid w:val="008F4B7F"/>
    <w:rsid w:val="008F5679"/>
    <w:rsid w:val="008F571A"/>
    <w:rsid w:val="008F601B"/>
    <w:rsid w:val="008F63DC"/>
    <w:rsid w:val="008F6425"/>
    <w:rsid w:val="008F71FE"/>
    <w:rsid w:val="009007AE"/>
    <w:rsid w:val="00901206"/>
    <w:rsid w:val="00901511"/>
    <w:rsid w:val="00901947"/>
    <w:rsid w:val="00901A6F"/>
    <w:rsid w:val="00901EDA"/>
    <w:rsid w:val="0090205E"/>
    <w:rsid w:val="0090235A"/>
    <w:rsid w:val="0090237A"/>
    <w:rsid w:val="0090244C"/>
    <w:rsid w:val="009026A9"/>
    <w:rsid w:val="00903052"/>
    <w:rsid w:val="00903404"/>
    <w:rsid w:val="0090372F"/>
    <w:rsid w:val="00903B85"/>
    <w:rsid w:val="00903FCF"/>
    <w:rsid w:val="00904197"/>
    <w:rsid w:val="009044D0"/>
    <w:rsid w:val="0090497A"/>
    <w:rsid w:val="0090501B"/>
    <w:rsid w:val="00905795"/>
    <w:rsid w:val="00905B9A"/>
    <w:rsid w:val="009060F6"/>
    <w:rsid w:val="009062D2"/>
    <w:rsid w:val="009074A9"/>
    <w:rsid w:val="00907670"/>
    <w:rsid w:val="009100CC"/>
    <w:rsid w:val="009101AA"/>
    <w:rsid w:val="009112DC"/>
    <w:rsid w:val="009120AF"/>
    <w:rsid w:val="009123F5"/>
    <w:rsid w:val="00912965"/>
    <w:rsid w:val="009129E8"/>
    <w:rsid w:val="00912F42"/>
    <w:rsid w:val="009135F5"/>
    <w:rsid w:val="009138BA"/>
    <w:rsid w:val="00914080"/>
    <w:rsid w:val="00914473"/>
    <w:rsid w:val="00914844"/>
    <w:rsid w:val="0091487D"/>
    <w:rsid w:val="00914A1E"/>
    <w:rsid w:val="00914E99"/>
    <w:rsid w:val="009158A2"/>
    <w:rsid w:val="00915C07"/>
    <w:rsid w:val="00917203"/>
    <w:rsid w:val="00917874"/>
    <w:rsid w:val="0092037B"/>
    <w:rsid w:val="009209F4"/>
    <w:rsid w:val="00920B94"/>
    <w:rsid w:val="00920D21"/>
    <w:rsid w:val="00920DFC"/>
    <w:rsid w:val="009213C2"/>
    <w:rsid w:val="0092375E"/>
    <w:rsid w:val="009240B3"/>
    <w:rsid w:val="009242D7"/>
    <w:rsid w:val="00924C3F"/>
    <w:rsid w:val="009253D9"/>
    <w:rsid w:val="009259B3"/>
    <w:rsid w:val="00927A5F"/>
    <w:rsid w:val="00927C03"/>
    <w:rsid w:val="009305D6"/>
    <w:rsid w:val="0093085D"/>
    <w:rsid w:val="0093137A"/>
    <w:rsid w:val="0093173E"/>
    <w:rsid w:val="00931E71"/>
    <w:rsid w:val="009321E0"/>
    <w:rsid w:val="00932961"/>
    <w:rsid w:val="00932C2B"/>
    <w:rsid w:val="00932D2B"/>
    <w:rsid w:val="00932DED"/>
    <w:rsid w:val="00933017"/>
    <w:rsid w:val="0093403A"/>
    <w:rsid w:val="00935035"/>
    <w:rsid w:val="009351E2"/>
    <w:rsid w:val="00935DA7"/>
    <w:rsid w:val="0093604A"/>
    <w:rsid w:val="00936E46"/>
    <w:rsid w:val="00937090"/>
    <w:rsid w:val="00937167"/>
    <w:rsid w:val="00937336"/>
    <w:rsid w:val="009417BB"/>
    <w:rsid w:val="00942002"/>
    <w:rsid w:val="00942C09"/>
    <w:rsid w:val="00943D20"/>
    <w:rsid w:val="0094417A"/>
    <w:rsid w:val="009457B6"/>
    <w:rsid w:val="00945899"/>
    <w:rsid w:val="0094637B"/>
    <w:rsid w:val="00946385"/>
    <w:rsid w:val="00946668"/>
    <w:rsid w:val="00946A64"/>
    <w:rsid w:val="00946F3B"/>
    <w:rsid w:val="00947B21"/>
    <w:rsid w:val="00950410"/>
    <w:rsid w:val="00950A05"/>
    <w:rsid w:val="009519EE"/>
    <w:rsid w:val="00951C28"/>
    <w:rsid w:val="0095242E"/>
    <w:rsid w:val="009528E5"/>
    <w:rsid w:val="00952A8E"/>
    <w:rsid w:val="0095516B"/>
    <w:rsid w:val="009554CC"/>
    <w:rsid w:val="00955FC3"/>
    <w:rsid w:val="009566B5"/>
    <w:rsid w:val="009569E8"/>
    <w:rsid w:val="00956B0A"/>
    <w:rsid w:val="00956F99"/>
    <w:rsid w:val="009602FE"/>
    <w:rsid w:val="00960A5D"/>
    <w:rsid w:val="00961BA0"/>
    <w:rsid w:val="00961DAE"/>
    <w:rsid w:val="00962424"/>
    <w:rsid w:val="0096376D"/>
    <w:rsid w:val="0096421E"/>
    <w:rsid w:val="00964F68"/>
    <w:rsid w:val="0096536C"/>
    <w:rsid w:val="009653D6"/>
    <w:rsid w:val="00965D23"/>
    <w:rsid w:val="009660A4"/>
    <w:rsid w:val="0096669C"/>
    <w:rsid w:val="00967949"/>
    <w:rsid w:val="009700FE"/>
    <w:rsid w:val="0097045B"/>
    <w:rsid w:val="009711D4"/>
    <w:rsid w:val="009715A4"/>
    <w:rsid w:val="009716E8"/>
    <w:rsid w:val="009719B5"/>
    <w:rsid w:val="00971AE7"/>
    <w:rsid w:val="00972201"/>
    <w:rsid w:val="009729D6"/>
    <w:rsid w:val="00973B9F"/>
    <w:rsid w:val="00973C05"/>
    <w:rsid w:val="00973D54"/>
    <w:rsid w:val="00974581"/>
    <w:rsid w:val="009747A2"/>
    <w:rsid w:val="00974DFE"/>
    <w:rsid w:val="00975739"/>
    <w:rsid w:val="00976949"/>
    <w:rsid w:val="00976CC4"/>
    <w:rsid w:val="009777CE"/>
    <w:rsid w:val="00977B00"/>
    <w:rsid w:val="00980C38"/>
    <w:rsid w:val="0098106C"/>
    <w:rsid w:val="00981586"/>
    <w:rsid w:val="00981997"/>
    <w:rsid w:val="00981CA6"/>
    <w:rsid w:val="00982563"/>
    <w:rsid w:val="00982B47"/>
    <w:rsid w:val="00982B7E"/>
    <w:rsid w:val="0098330A"/>
    <w:rsid w:val="00983435"/>
    <w:rsid w:val="00984011"/>
    <w:rsid w:val="00984CD0"/>
    <w:rsid w:val="00984F1A"/>
    <w:rsid w:val="009850C2"/>
    <w:rsid w:val="0098589E"/>
    <w:rsid w:val="009865E1"/>
    <w:rsid w:val="009873DD"/>
    <w:rsid w:val="0098753A"/>
    <w:rsid w:val="00987745"/>
    <w:rsid w:val="00987B8D"/>
    <w:rsid w:val="00987C8D"/>
    <w:rsid w:val="009915C6"/>
    <w:rsid w:val="00991757"/>
    <w:rsid w:val="00991CD5"/>
    <w:rsid w:val="00991CF0"/>
    <w:rsid w:val="009927DD"/>
    <w:rsid w:val="0099322D"/>
    <w:rsid w:val="009932BF"/>
    <w:rsid w:val="00993FC2"/>
    <w:rsid w:val="0099492C"/>
    <w:rsid w:val="009949B2"/>
    <w:rsid w:val="0099591B"/>
    <w:rsid w:val="00995FA7"/>
    <w:rsid w:val="009968D3"/>
    <w:rsid w:val="0099704C"/>
    <w:rsid w:val="009976E5"/>
    <w:rsid w:val="00997875"/>
    <w:rsid w:val="009A0150"/>
    <w:rsid w:val="009A1130"/>
    <w:rsid w:val="009A1401"/>
    <w:rsid w:val="009A1B86"/>
    <w:rsid w:val="009A24F6"/>
    <w:rsid w:val="009A2902"/>
    <w:rsid w:val="009A2D4F"/>
    <w:rsid w:val="009A31E8"/>
    <w:rsid w:val="009A3833"/>
    <w:rsid w:val="009A44DA"/>
    <w:rsid w:val="009A4ED1"/>
    <w:rsid w:val="009A5147"/>
    <w:rsid w:val="009A5AC1"/>
    <w:rsid w:val="009A668E"/>
    <w:rsid w:val="009A67EE"/>
    <w:rsid w:val="009A71F6"/>
    <w:rsid w:val="009A7E48"/>
    <w:rsid w:val="009B00C4"/>
    <w:rsid w:val="009B0D81"/>
    <w:rsid w:val="009B1DC7"/>
    <w:rsid w:val="009B283C"/>
    <w:rsid w:val="009B2CDD"/>
    <w:rsid w:val="009B3768"/>
    <w:rsid w:val="009B4073"/>
    <w:rsid w:val="009B54F6"/>
    <w:rsid w:val="009B596A"/>
    <w:rsid w:val="009B59D9"/>
    <w:rsid w:val="009B6AD4"/>
    <w:rsid w:val="009B7245"/>
    <w:rsid w:val="009B73CE"/>
    <w:rsid w:val="009B7505"/>
    <w:rsid w:val="009B7C4C"/>
    <w:rsid w:val="009C00DD"/>
    <w:rsid w:val="009C0AD8"/>
    <w:rsid w:val="009C11EC"/>
    <w:rsid w:val="009C1C64"/>
    <w:rsid w:val="009C1C79"/>
    <w:rsid w:val="009C1EBD"/>
    <w:rsid w:val="009C33A0"/>
    <w:rsid w:val="009C46B6"/>
    <w:rsid w:val="009C4AC0"/>
    <w:rsid w:val="009C566C"/>
    <w:rsid w:val="009C581E"/>
    <w:rsid w:val="009C631C"/>
    <w:rsid w:val="009C6337"/>
    <w:rsid w:val="009C6439"/>
    <w:rsid w:val="009C65D0"/>
    <w:rsid w:val="009C7023"/>
    <w:rsid w:val="009C7649"/>
    <w:rsid w:val="009C78C1"/>
    <w:rsid w:val="009C78CE"/>
    <w:rsid w:val="009C79E1"/>
    <w:rsid w:val="009D00C8"/>
    <w:rsid w:val="009D0D20"/>
    <w:rsid w:val="009D2E8C"/>
    <w:rsid w:val="009D3E84"/>
    <w:rsid w:val="009D4751"/>
    <w:rsid w:val="009D4974"/>
    <w:rsid w:val="009D57EE"/>
    <w:rsid w:val="009D6183"/>
    <w:rsid w:val="009D6A01"/>
    <w:rsid w:val="009D701D"/>
    <w:rsid w:val="009D7878"/>
    <w:rsid w:val="009D79D1"/>
    <w:rsid w:val="009E0164"/>
    <w:rsid w:val="009E0329"/>
    <w:rsid w:val="009E0A3F"/>
    <w:rsid w:val="009E1151"/>
    <w:rsid w:val="009E23F0"/>
    <w:rsid w:val="009E3A07"/>
    <w:rsid w:val="009E42ED"/>
    <w:rsid w:val="009E43DF"/>
    <w:rsid w:val="009E54F8"/>
    <w:rsid w:val="009E5B7E"/>
    <w:rsid w:val="009E627A"/>
    <w:rsid w:val="009E6AC5"/>
    <w:rsid w:val="009E7997"/>
    <w:rsid w:val="009F033B"/>
    <w:rsid w:val="009F0D9C"/>
    <w:rsid w:val="009F11F3"/>
    <w:rsid w:val="009F1E5B"/>
    <w:rsid w:val="009F21D3"/>
    <w:rsid w:val="009F23B2"/>
    <w:rsid w:val="009F29B8"/>
    <w:rsid w:val="009F2AD8"/>
    <w:rsid w:val="009F338B"/>
    <w:rsid w:val="009F3BED"/>
    <w:rsid w:val="009F410D"/>
    <w:rsid w:val="009F489F"/>
    <w:rsid w:val="009F5585"/>
    <w:rsid w:val="009F55F1"/>
    <w:rsid w:val="009F7306"/>
    <w:rsid w:val="00A004A9"/>
    <w:rsid w:val="00A00B6A"/>
    <w:rsid w:val="00A00ED0"/>
    <w:rsid w:val="00A014E8"/>
    <w:rsid w:val="00A0225F"/>
    <w:rsid w:val="00A02552"/>
    <w:rsid w:val="00A02677"/>
    <w:rsid w:val="00A0353A"/>
    <w:rsid w:val="00A038C5"/>
    <w:rsid w:val="00A03BB9"/>
    <w:rsid w:val="00A05148"/>
    <w:rsid w:val="00A0578B"/>
    <w:rsid w:val="00A057BF"/>
    <w:rsid w:val="00A05EA2"/>
    <w:rsid w:val="00A05FDA"/>
    <w:rsid w:val="00A06258"/>
    <w:rsid w:val="00A06618"/>
    <w:rsid w:val="00A066BC"/>
    <w:rsid w:val="00A113A1"/>
    <w:rsid w:val="00A12329"/>
    <w:rsid w:val="00A130C0"/>
    <w:rsid w:val="00A136EA"/>
    <w:rsid w:val="00A13738"/>
    <w:rsid w:val="00A1421B"/>
    <w:rsid w:val="00A14327"/>
    <w:rsid w:val="00A14682"/>
    <w:rsid w:val="00A1477A"/>
    <w:rsid w:val="00A14CBB"/>
    <w:rsid w:val="00A14D96"/>
    <w:rsid w:val="00A1526B"/>
    <w:rsid w:val="00A1527E"/>
    <w:rsid w:val="00A15EF4"/>
    <w:rsid w:val="00A162D8"/>
    <w:rsid w:val="00A16374"/>
    <w:rsid w:val="00A168CD"/>
    <w:rsid w:val="00A17929"/>
    <w:rsid w:val="00A17ABE"/>
    <w:rsid w:val="00A17AED"/>
    <w:rsid w:val="00A17D44"/>
    <w:rsid w:val="00A20F92"/>
    <w:rsid w:val="00A2140C"/>
    <w:rsid w:val="00A22041"/>
    <w:rsid w:val="00A22978"/>
    <w:rsid w:val="00A22F51"/>
    <w:rsid w:val="00A235B0"/>
    <w:rsid w:val="00A2392E"/>
    <w:rsid w:val="00A23C8A"/>
    <w:rsid w:val="00A23FCC"/>
    <w:rsid w:val="00A242F0"/>
    <w:rsid w:val="00A24622"/>
    <w:rsid w:val="00A2515D"/>
    <w:rsid w:val="00A258D2"/>
    <w:rsid w:val="00A25C4D"/>
    <w:rsid w:val="00A26422"/>
    <w:rsid w:val="00A26487"/>
    <w:rsid w:val="00A266F5"/>
    <w:rsid w:val="00A27A50"/>
    <w:rsid w:val="00A27C24"/>
    <w:rsid w:val="00A27D15"/>
    <w:rsid w:val="00A30DCF"/>
    <w:rsid w:val="00A311D8"/>
    <w:rsid w:val="00A31550"/>
    <w:rsid w:val="00A31F5F"/>
    <w:rsid w:val="00A32237"/>
    <w:rsid w:val="00A32C3D"/>
    <w:rsid w:val="00A32CCA"/>
    <w:rsid w:val="00A330AA"/>
    <w:rsid w:val="00A33260"/>
    <w:rsid w:val="00A3370F"/>
    <w:rsid w:val="00A33CFB"/>
    <w:rsid w:val="00A34564"/>
    <w:rsid w:val="00A34864"/>
    <w:rsid w:val="00A34BB0"/>
    <w:rsid w:val="00A35370"/>
    <w:rsid w:val="00A358F4"/>
    <w:rsid w:val="00A35C60"/>
    <w:rsid w:val="00A35C87"/>
    <w:rsid w:val="00A37DAA"/>
    <w:rsid w:val="00A411B1"/>
    <w:rsid w:val="00A41DFA"/>
    <w:rsid w:val="00A43208"/>
    <w:rsid w:val="00A4364A"/>
    <w:rsid w:val="00A4377D"/>
    <w:rsid w:val="00A43C8A"/>
    <w:rsid w:val="00A43FB1"/>
    <w:rsid w:val="00A44C4F"/>
    <w:rsid w:val="00A45DBD"/>
    <w:rsid w:val="00A45DCA"/>
    <w:rsid w:val="00A46958"/>
    <w:rsid w:val="00A47040"/>
    <w:rsid w:val="00A472D9"/>
    <w:rsid w:val="00A47B69"/>
    <w:rsid w:val="00A47C4B"/>
    <w:rsid w:val="00A501B3"/>
    <w:rsid w:val="00A502B5"/>
    <w:rsid w:val="00A50444"/>
    <w:rsid w:val="00A50A6A"/>
    <w:rsid w:val="00A50BD3"/>
    <w:rsid w:val="00A50F54"/>
    <w:rsid w:val="00A5114A"/>
    <w:rsid w:val="00A51433"/>
    <w:rsid w:val="00A5177C"/>
    <w:rsid w:val="00A51E0C"/>
    <w:rsid w:val="00A51E4A"/>
    <w:rsid w:val="00A5231F"/>
    <w:rsid w:val="00A52DE4"/>
    <w:rsid w:val="00A531BC"/>
    <w:rsid w:val="00A541F4"/>
    <w:rsid w:val="00A54503"/>
    <w:rsid w:val="00A54BC3"/>
    <w:rsid w:val="00A55433"/>
    <w:rsid w:val="00A554BD"/>
    <w:rsid w:val="00A55943"/>
    <w:rsid w:val="00A56276"/>
    <w:rsid w:val="00A56AB5"/>
    <w:rsid w:val="00A57067"/>
    <w:rsid w:val="00A57B4A"/>
    <w:rsid w:val="00A60134"/>
    <w:rsid w:val="00A60728"/>
    <w:rsid w:val="00A60C2B"/>
    <w:rsid w:val="00A60EDA"/>
    <w:rsid w:val="00A60FBE"/>
    <w:rsid w:val="00A61A59"/>
    <w:rsid w:val="00A61F9B"/>
    <w:rsid w:val="00A62B3D"/>
    <w:rsid w:val="00A62FBD"/>
    <w:rsid w:val="00A6364E"/>
    <w:rsid w:val="00A63F89"/>
    <w:rsid w:val="00A64056"/>
    <w:rsid w:val="00A641DC"/>
    <w:rsid w:val="00A64786"/>
    <w:rsid w:val="00A64824"/>
    <w:rsid w:val="00A6486E"/>
    <w:rsid w:val="00A64C1C"/>
    <w:rsid w:val="00A64C54"/>
    <w:rsid w:val="00A64CF9"/>
    <w:rsid w:val="00A65C72"/>
    <w:rsid w:val="00A65F91"/>
    <w:rsid w:val="00A663C3"/>
    <w:rsid w:val="00A66B80"/>
    <w:rsid w:val="00A6737E"/>
    <w:rsid w:val="00A674BC"/>
    <w:rsid w:val="00A71267"/>
    <w:rsid w:val="00A71CB4"/>
    <w:rsid w:val="00A726C7"/>
    <w:rsid w:val="00A72B2E"/>
    <w:rsid w:val="00A730E4"/>
    <w:rsid w:val="00A7385A"/>
    <w:rsid w:val="00A740CB"/>
    <w:rsid w:val="00A75466"/>
    <w:rsid w:val="00A757F4"/>
    <w:rsid w:val="00A75ADB"/>
    <w:rsid w:val="00A75DA7"/>
    <w:rsid w:val="00A76A21"/>
    <w:rsid w:val="00A77572"/>
    <w:rsid w:val="00A77F57"/>
    <w:rsid w:val="00A815FC"/>
    <w:rsid w:val="00A81661"/>
    <w:rsid w:val="00A82CE0"/>
    <w:rsid w:val="00A83CD6"/>
    <w:rsid w:val="00A85619"/>
    <w:rsid w:val="00A85652"/>
    <w:rsid w:val="00A85985"/>
    <w:rsid w:val="00A85CF9"/>
    <w:rsid w:val="00A8676B"/>
    <w:rsid w:val="00A86BA5"/>
    <w:rsid w:val="00A90376"/>
    <w:rsid w:val="00A92319"/>
    <w:rsid w:val="00A923FE"/>
    <w:rsid w:val="00A92E0E"/>
    <w:rsid w:val="00A933BD"/>
    <w:rsid w:val="00A93CC2"/>
    <w:rsid w:val="00A94960"/>
    <w:rsid w:val="00A95270"/>
    <w:rsid w:val="00A95DBD"/>
    <w:rsid w:val="00A962FB"/>
    <w:rsid w:val="00A96D64"/>
    <w:rsid w:val="00A97A40"/>
    <w:rsid w:val="00A97A71"/>
    <w:rsid w:val="00A97B8F"/>
    <w:rsid w:val="00A97DD8"/>
    <w:rsid w:val="00AA0242"/>
    <w:rsid w:val="00AA0F0A"/>
    <w:rsid w:val="00AA1176"/>
    <w:rsid w:val="00AA244C"/>
    <w:rsid w:val="00AA2E59"/>
    <w:rsid w:val="00AA3FC4"/>
    <w:rsid w:val="00AA495D"/>
    <w:rsid w:val="00AA6750"/>
    <w:rsid w:val="00AA713C"/>
    <w:rsid w:val="00AB07DA"/>
    <w:rsid w:val="00AB1A56"/>
    <w:rsid w:val="00AB27D4"/>
    <w:rsid w:val="00AB2FF9"/>
    <w:rsid w:val="00AB317E"/>
    <w:rsid w:val="00AB3192"/>
    <w:rsid w:val="00AB31FD"/>
    <w:rsid w:val="00AB322F"/>
    <w:rsid w:val="00AB3A57"/>
    <w:rsid w:val="00AB4729"/>
    <w:rsid w:val="00AB529D"/>
    <w:rsid w:val="00AB57AC"/>
    <w:rsid w:val="00AB57FD"/>
    <w:rsid w:val="00AB61BA"/>
    <w:rsid w:val="00AB728D"/>
    <w:rsid w:val="00AB7776"/>
    <w:rsid w:val="00AC018F"/>
    <w:rsid w:val="00AC0A82"/>
    <w:rsid w:val="00AC1C9A"/>
    <w:rsid w:val="00AC2290"/>
    <w:rsid w:val="00AC2996"/>
    <w:rsid w:val="00AC41E6"/>
    <w:rsid w:val="00AC477C"/>
    <w:rsid w:val="00AC491E"/>
    <w:rsid w:val="00AC4C42"/>
    <w:rsid w:val="00AC4C83"/>
    <w:rsid w:val="00AC50EB"/>
    <w:rsid w:val="00AC5280"/>
    <w:rsid w:val="00AC52E4"/>
    <w:rsid w:val="00AC5489"/>
    <w:rsid w:val="00AC6D64"/>
    <w:rsid w:val="00AC72D9"/>
    <w:rsid w:val="00AC7523"/>
    <w:rsid w:val="00AC7660"/>
    <w:rsid w:val="00AC79BC"/>
    <w:rsid w:val="00AD02A7"/>
    <w:rsid w:val="00AD031A"/>
    <w:rsid w:val="00AD0954"/>
    <w:rsid w:val="00AD0F5A"/>
    <w:rsid w:val="00AD16F0"/>
    <w:rsid w:val="00AD1731"/>
    <w:rsid w:val="00AD26B9"/>
    <w:rsid w:val="00AD4B94"/>
    <w:rsid w:val="00AD4E55"/>
    <w:rsid w:val="00AD5721"/>
    <w:rsid w:val="00AD576B"/>
    <w:rsid w:val="00AD57E7"/>
    <w:rsid w:val="00AD5AE0"/>
    <w:rsid w:val="00AD5BA8"/>
    <w:rsid w:val="00AD5D86"/>
    <w:rsid w:val="00AD604D"/>
    <w:rsid w:val="00AD6EE7"/>
    <w:rsid w:val="00AD74E6"/>
    <w:rsid w:val="00AD7CE9"/>
    <w:rsid w:val="00AE04D0"/>
    <w:rsid w:val="00AE05A1"/>
    <w:rsid w:val="00AE0CB4"/>
    <w:rsid w:val="00AE159B"/>
    <w:rsid w:val="00AE1A79"/>
    <w:rsid w:val="00AE28CC"/>
    <w:rsid w:val="00AE2A68"/>
    <w:rsid w:val="00AE2C0F"/>
    <w:rsid w:val="00AE4238"/>
    <w:rsid w:val="00AE4E51"/>
    <w:rsid w:val="00AE57FE"/>
    <w:rsid w:val="00AE6901"/>
    <w:rsid w:val="00AE6EA0"/>
    <w:rsid w:val="00AE7898"/>
    <w:rsid w:val="00AF142E"/>
    <w:rsid w:val="00AF1EEC"/>
    <w:rsid w:val="00AF3848"/>
    <w:rsid w:val="00AF4514"/>
    <w:rsid w:val="00AF4796"/>
    <w:rsid w:val="00AF562F"/>
    <w:rsid w:val="00AF634A"/>
    <w:rsid w:val="00AF6EEB"/>
    <w:rsid w:val="00AF74A0"/>
    <w:rsid w:val="00AF7781"/>
    <w:rsid w:val="00B004F8"/>
    <w:rsid w:val="00B0190E"/>
    <w:rsid w:val="00B01BA4"/>
    <w:rsid w:val="00B02063"/>
    <w:rsid w:val="00B02B80"/>
    <w:rsid w:val="00B03980"/>
    <w:rsid w:val="00B03B28"/>
    <w:rsid w:val="00B041E8"/>
    <w:rsid w:val="00B0426E"/>
    <w:rsid w:val="00B04361"/>
    <w:rsid w:val="00B04E80"/>
    <w:rsid w:val="00B054B4"/>
    <w:rsid w:val="00B05D14"/>
    <w:rsid w:val="00B06934"/>
    <w:rsid w:val="00B069A9"/>
    <w:rsid w:val="00B06F4B"/>
    <w:rsid w:val="00B07B43"/>
    <w:rsid w:val="00B101EC"/>
    <w:rsid w:val="00B10629"/>
    <w:rsid w:val="00B10BAF"/>
    <w:rsid w:val="00B115D0"/>
    <w:rsid w:val="00B11FDC"/>
    <w:rsid w:val="00B129EA"/>
    <w:rsid w:val="00B12E83"/>
    <w:rsid w:val="00B142FD"/>
    <w:rsid w:val="00B15407"/>
    <w:rsid w:val="00B1565C"/>
    <w:rsid w:val="00B15DB6"/>
    <w:rsid w:val="00B15E74"/>
    <w:rsid w:val="00B168BA"/>
    <w:rsid w:val="00B16AE2"/>
    <w:rsid w:val="00B16B3F"/>
    <w:rsid w:val="00B17269"/>
    <w:rsid w:val="00B202B1"/>
    <w:rsid w:val="00B21569"/>
    <w:rsid w:val="00B21CF2"/>
    <w:rsid w:val="00B2220B"/>
    <w:rsid w:val="00B24389"/>
    <w:rsid w:val="00B25212"/>
    <w:rsid w:val="00B2530F"/>
    <w:rsid w:val="00B256AC"/>
    <w:rsid w:val="00B2639F"/>
    <w:rsid w:val="00B26766"/>
    <w:rsid w:val="00B2697E"/>
    <w:rsid w:val="00B26C0C"/>
    <w:rsid w:val="00B27E64"/>
    <w:rsid w:val="00B27F27"/>
    <w:rsid w:val="00B30034"/>
    <w:rsid w:val="00B3106F"/>
    <w:rsid w:val="00B31A01"/>
    <w:rsid w:val="00B31B19"/>
    <w:rsid w:val="00B32A10"/>
    <w:rsid w:val="00B33641"/>
    <w:rsid w:val="00B33B84"/>
    <w:rsid w:val="00B3410C"/>
    <w:rsid w:val="00B34349"/>
    <w:rsid w:val="00B34910"/>
    <w:rsid w:val="00B34A29"/>
    <w:rsid w:val="00B34FA2"/>
    <w:rsid w:val="00B35DC8"/>
    <w:rsid w:val="00B36016"/>
    <w:rsid w:val="00B360CA"/>
    <w:rsid w:val="00B36483"/>
    <w:rsid w:val="00B364EA"/>
    <w:rsid w:val="00B3660D"/>
    <w:rsid w:val="00B36ACE"/>
    <w:rsid w:val="00B36C81"/>
    <w:rsid w:val="00B37CEF"/>
    <w:rsid w:val="00B40BE6"/>
    <w:rsid w:val="00B40F50"/>
    <w:rsid w:val="00B41A71"/>
    <w:rsid w:val="00B41C95"/>
    <w:rsid w:val="00B42447"/>
    <w:rsid w:val="00B426D7"/>
    <w:rsid w:val="00B4333F"/>
    <w:rsid w:val="00B43AB4"/>
    <w:rsid w:val="00B44394"/>
    <w:rsid w:val="00B4568F"/>
    <w:rsid w:val="00B457DA"/>
    <w:rsid w:val="00B4628F"/>
    <w:rsid w:val="00B4671D"/>
    <w:rsid w:val="00B46C9B"/>
    <w:rsid w:val="00B46D2F"/>
    <w:rsid w:val="00B4729C"/>
    <w:rsid w:val="00B4735F"/>
    <w:rsid w:val="00B47672"/>
    <w:rsid w:val="00B4799C"/>
    <w:rsid w:val="00B50BBA"/>
    <w:rsid w:val="00B52D48"/>
    <w:rsid w:val="00B52F0B"/>
    <w:rsid w:val="00B536E3"/>
    <w:rsid w:val="00B53A99"/>
    <w:rsid w:val="00B53FC6"/>
    <w:rsid w:val="00B54230"/>
    <w:rsid w:val="00B5481B"/>
    <w:rsid w:val="00B54DDC"/>
    <w:rsid w:val="00B54ED7"/>
    <w:rsid w:val="00B55339"/>
    <w:rsid w:val="00B56AB1"/>
    <w:rsid w:val="00B572C5"/>
    <w:rsid w:val="00B573DD"/>
    <w:rsid w:val="00B57C20"/>
    <w:rsid w:val="00B603E9"/>
    <w:rsid w:val="00B606D3"/>
    <w:rsid w:val="00B62BEB"/>
    <w:rsid w:val="00B63252"/>
    <w:rsid w:val="00B637C1"/>
    <w:rsid w:val="00B639EC"/>
    <w:rsid w:val="00B645C2"/>
    <w:rsid w:val="00B64AEE"/>
    <w:rsid w:val="00B65A2B"/>
    <w:rsid w:val="00B65C44"/>
    <w:rsid w:val="00B65FFA"/>
    <w:rsid w:val="00B669C7"/>
    <w:rsid w:val="00B66A3E"/>
    <w:rsid w:val="00B66B7F"/>
    <w:rsid w:val="00B66CD7"/>
    <w:rsid w:val="00B6748C"/>
    <w:rsid w:val="00B67DA3"/>
    <w:rsid w:val="00B7012B"/>
    <w:rsid w:val="00B70554"/>
    <w:rsid w:val="00B70981"/>
    <w:rsid w:val="00B70CD7"/>
    <w:rsid w:val="00B7152A"/>
    <w:rsid w:val="00B71758"/>
    <w:rsid w:val="00B719F6"/>
    <w:rsid w:val="00B72184"/>
    <w:rsid w:val="00B7243F"/>
    <w:rsid w:val="00B72895"/>
    <w:rsid w:val="00B72B0B"/>
    <w:rsid w:val="00B72CF0"/>
    <w:rsid w:val="00B73CF8"/>
    <w:rsid w:val="00B73DC7"/>
    <w:rsid w:val="00B742B1"/>
    <w:rsid w:val="00B74743"/>
    <w:rsid w:val="00B74757"/>
    <w:rsid w:val="00B74D6F"/>
    <w:rsid w:val="00B75E56"/>
    <w:rsid w:val="00B7657E"/>
    <w:rsid w:val="00B76A8C"/>
    <w:rsid w:val="00B7762A"/>
    <w:rsid w:val="00B8031C"/>
    <w:rsid w:val="00B81238"/>
    <w:rsid w:val="00B81ECC"/>
    <w:rsid w:val="00B82185"/>
    <w:rsid w:val="00B8230C"/>
    <w:rsid w:val="00B8335D"/>
    <w:rsid w:val="00B84597"/>
    <w:rsid w:val="00B84C9D"/>
    <w:rsid w:val="00B85028"/>
    <w:rsid w:val="00B8503A"/>
    <w:rsid w:val="00B8523F"/>
    <w:rsid w:val="00B85939"/>
    <w:rsid w:val="00B85A3A"/>
    <w:rsid w:val="00B85AFF"/>
    <w:rsid w:val="00B86826"/>
    <w:rsid w:val="00B86D05"/>
    <w:rsid w:val="00B8735C"/>
    <w:rsid w:val="00B877DB"/>
    <w:rsid w:val="00B905F8"/>
    <w:rsid w:val="00B90A9F"/>
    <w:rsid w:val="00B90AC2"/>
    <w:rsid w:val="00B90D1C"/>
    <w:rsid w:val="00B91DA7"/>
    <w:rsid w:val="00B92632"/>
    <w:rsid w:val="00B92892"/>
    <w:rsid w:val="00B92D5E"/>
    <w:rsid w:val="00B92FB5"/>
    <w:rsid w:val="00B93F84"/>
    <w:rsid w:val="00B9412C"/>
    <w:rsid w:val="00B9426D"/>
    <w:rsid w:val="00B94A2B"/>
    <w:rsid w:val="00B9557B"/>
    <w:rsid w:val="00B96590"/>
    <w:rsid w:val="00B96A09"/>
    <w:rsid w:val="00B974DD"/>
    <w:rsid w:val="00B97F3D"/>
    <w:rsid w:val="00BA0985"/>
    <w:rsid w:val="00BA0A4F"/>
    <w:rsid w:val="00BA0D39"/>
    <w:rsid w:val="00BA141C"/>
    <w:rsid w:val="00BA1675"/>
    <w:rsid w:val="00BA1E88"/>
    <w:rsid w:val="00BA253B"/>
    <w:rsid w:val="00BA297F"/>
    <w:rsid w:val="00BA2A2C"/>
    <w:rsid w:val="00BA2DA0"/>
    <w:rsid w:val="00BA3F40"/>
    <w:rsid w:val="00BA5079"/>
    <w:rsid w:val="00BA5E73"/>
    <w:rsid w:val="00BA60B4"/>
    <w:rsid w:val="00BA6936"/>
    <w:rsid w:val="00BA706E"/>
    <w:rsid w:val="00BA7AA7"/>
    <w:rsid w:val="00BB1111"/>
    <w:rsid w:val="00BB17D6"/>
    <w:rsid w:val="00BB213A"/>
    <w:rsid w:val="00BB253D"/>
    <w:rsid w:val="00BB3C90"/>
    <w:rsid w:val="00BB3CEA"/>
    <w:rsid w:val="00BB3E67"/>
    <w:rsid w:val="00BB43FD"/>
    <w:rsid w:val="00BB4B57"/>
    <w:rsid w:val="00BB5FB5"/>
    <w:rsid w:val="00BB64D7"/>
    <w:rsid w:val="00BB68ED"/>
    <w:rsid w:val="00BC05BA"/>
    <w:rsid w:val="00BC0A01"/>
    <w:rsid w:val="00BC0F4B"/>
    <w:rsid w:val="00BC131F"/>
    <w:rsid w:val="00BC1479"/>
    <w:rsid w:val="00BC19E2"/>
    <w:rsid w:val="00BC1FE6"/>
    <w:rsid w:val="00BC2107"/>
    <w:rsid w:val="00BC255F"/>
    <w:rsid w:val="00BC2790"/>
    <w:rsid w:val="00BC2CC2"/>
    <w:rsid w:val="00BC2D83"/>
    <w:rsid w:val="00BC3069"/>
    <w:rsid w:val="00BC3B05"/>
    <w:rsid w:val="00BC4D57"/>
    <w:rsid w:val="00BC4D80"/>
    <w:rsid w:val="00BC562F"/>
    <w:rsid w:val="00BC56B1"/>
    <w:rsid w:val="00BC584C"/>
    <w:rsid w:val="00BC5A2A"/>
    <w:rsid w:val="00BC64A9"/>
    <w:rsid w:val="00BC70FF"/>
    <w:rsid w:val="00BD0372"/>
    <w:rsid w:val="00BD0388"/>
    <w:rsid w:val="00BD122C"/>
    <w:rsid w:val="00BD1390"/>
    <w:rsid w:val="00BD1649"/>
    <w:rsid w:val="00BD26A9"/>
    <w:rsid w:val="00BD30CC"/>
    <w:rsid w:val="00BD38FA"/>
    <w:rsid w:val="00BD3FFC"/>
    <w:rsid w:val="00BD4AD1"/>
    <w:rsid w:val="00BD6168"/>
    <w:rsid w:val="00BD621B"/>
    <w:rsid w:val="00BD6712"/>
    <w:rsid w:val="00BE0522"/>
    <w:rsid w:val="00BE0A15"/>
    <w:rsid w:val="00BE0B67"/>
    <w:rsid w:val="00BE0BF4"/>
    <w:rsid w:val="00BE0EDF"/>
    <w:rsid w:val="00BE121D"/>
    <w:rsid w:val="00BE16E0"/>
    <w:rsid w:val="00BE1718"/>
    <w:rsid w:val="00BE19C0"/>
    <w:rsid w:val="00BE1F52"/>
    <w:rsid w:val="00BE2487"/>
    <w:rsid w:val="00BE3368"/>
    <w:rsid w:val="00BE4959"/>
    <w:rsid w:val="00BE4961"/>
    <w:rsid w:val="00BE49CD"/>
    <w:rsid w:val="00BE49FB"/>
    <w:rsid w:val="00BE5537"/>
    <w:rsid w:val="00BE559C"/>
    <w:rsid w:val="00BE576E"/>
    <w:rsid w:val="00BE6CA7"/>
    <w:rsid w:val="00BE6E42"/>
    <w:rsid w:val="00BE7291"/>
    <w:rsid w:val="00BE7561"/>
    <w:rsid w:val="00BF0878"/>
    <w:rsid w:val="00BF0D25"/>
    <w:rsid w:val="00BF1AA8"/>
    <w:rsid w:val="00BF2D4B"/>
    <w:rsid w:val="00BF2F5C"/>
    <w:rsid w:val="00BF33DE"/>
    <w:rsid w:val="00BF45B3"/>
    <w:rsid w:val="00BF4A18"/>
    <w:rsid w:val="00BF572C"/>
    <w:rsid w:val="00BF6263"/>
    <w:rsid w:val="00BF6E27"/>
    <w:rsid w:val="00BF6E4E"/>
    <w:rsid w:val="00BF7A33"/>
    <w:rsid w:val="00BF7BAB"/>
    <w:rsid w:val="00BF7E6A"/>
    <w:rsid w:val="00C0023B"/>
    <w:rsid w:val="00C004A0"/>
    <w:rsid w:val="00C02DF7"/>
    <w:rsid w:val="00C02E24"/>
    <w:rsid w:val="00C03623"/>
    <w:rsid w:val="00C0367C"/>
    <w:rsid w:val="00C03A28"/>
    <w:rsid w:val="00C044C8"/>
    <w:rsid w:val="00C04605"/>
    <w:rsid w:val="00C04AC5"/>
    <w:rsid w:val="00C051F8"/>
    <w:rsid w:val="00C07840"/>
    <w:rsid w:val="00C1003C"/>
    <w:rsid w:val="00C102C6"/>
    <w:rsid w:val="00C1104E"/>
    <w:rsid w:val="00C1171A"/>
    <w:rsid w:val="00C11B1B"/>
    <w:rsid w:val="00C11F65"/>
    <w:rsid w:val="00C12021"/>
    <w:rsid w:val="00C13282"/>
    <w:rsid w:val="00C13CC8"/>
    <w:rsid w:val="00C13F90"/>
    <w:rsid w:val="00C142E8"/>
    <w:rsid w:val="00C14736"/>
    <w:rsid w:val="00C14D48"/>
    <w:rsid w:val="00C14F7E"/>
    <w:rsid w:val="00C1582C"/>
    <w:rsid w:val="00C16591"/>
    <w:rsid w:val="00C2022B"/>
    <w:rsid w:val="00C21031"/>
    <w:rsid w:val="00C2282D"/>
    <w:rsid w:val="00C22B9F"/>
    <w:rsid w:val="00C22FD9"/>
    <w:rsid w:val="00C23092"/>
    <w:rsid w:val="00C23CE5"/>
    <w:rsid w:val="00C248C2"/>
    <w:rsid w:val="00C2531E"/>
    <w:rsid w:val="00C25874"/>
    <w:rsid w:val="00C25E75"/>
    <w:rsid w:val="00C25F0C"/>
    <w:rsid w:val="00C2606C"/>
    <w:rsid w:val="00C26E01"/>
    <w:rsid w:val="00C2707C"/>
    <w:rsid w:val="00C27190"/>
    <w:rsid w:val="00C279A6"/>
    <w:rsid w:val="00C3012D"/>
    <w:rsid w:val="00C30DCD"/>
    <w:rsid w:val="00C313E9"/>
    <w:rsid w:val="00C31765"/>
    <w:rsid w:val="00C32463"/>
    <w:rsid w:val="00C328B2"/>
    <w:rsid w:val="00C32C98"/>
    <w:rsid w:val="00C34156"/>
    <w:rsid w:val="00C346DB"/>
    <w:rsid w:val="00C352D4"/>
    <w:rsid w:val="00C3539B"/>
    <w:rsid w:val="00C35AD4"/>
    <w:rsid w:val="00C3767A"/>
    <w:rsid w:val="00C402BD"/>
    <w:rsid w:val="00C404A1"/>
    <w:rsid w:val="00C40784"/>
    <w:rsid w:val="00C40CE8"/>
    <w:rsid w:val="00C40E36"/>
    <w:rsid w:val="00C41460"/>
    <w:rsid w:val="00C41B25"/>
    <w:rsid w:val="00C42260"/>
    <w:rsid w:val="00C428F7"/>
    <w:rsid w:val="00C42D42"/>
    <w:rsid w:val="00C42FC8"/>
    <w:rsid w:val="00C430D1"/>
    <w:rsid w:val="00C451FF"/>
    <w:rsid w:val="00C4532F"/>
    <w:rsid w:val="00C456E6"/>
    <w:rsid w:val="00C45B1D"/>
    <w:rsid w:val="00C45BB3"/>
    <w:rsid w:val="00C45CB6"/>
    <w:rsid w:val="00C4636C"/>
    <w:rsid w:val="00C464FA"/>
    <w:rsid w:val="00C47C95"/>
    <w:rsid w:val="00C50644"/>
    <w:rsid w:val="00C5121A"/>
    <w:rsid w:val="00C51B9B"/>
    <w:rsid w:val="00C52DBC"/>
    <w:rsid w:val="00C52F8F"/>
    <w:rsid w:val="00C539BB"/>
    <w:rsid w:val="00C543C7"/>
    <w:rsid w:val="00C54646"/>
    <w:rsid w:val="00C55562"/>
    <w:rsid w:val="00C55A12"/>
    <w:rsid w:val="00C55D73"/>
    <w:rsid w:val="00C56AAC"/>
    <w:rsid w:val="00C5708F"/>
    <w:rsid w:val="00C60022"/>
    <w:rsid w:val="00C60225"/>
    <w:rsid w:val="00C60817"/>
    <w:rsid w:val="00C60875"/>
    <w:rsid w:val="00C60C3B"/>
    <w:rsid w:val="00C60DED"/>
    <w:rsid w:val="00C61A52"/>
    <w:rsid w:val="00C62B91"/>
    <w:rsid w:val="00C63541"/>
    <w:rsid w:val="00C63766"/>
    <w:rsid w:val="00C63BBA"/>
    <w:rsid w:val="00C6473A"/>
    <w:rsid w:val="00C64873"/>
    <w:rsid w:val="00C64DA1"/>
    <w:rsid w:val="00C660A3"/>
    <w:rsid w:val="00C66867"/>
    <w:rsid w:val="00C67747"/>
    <w:rsid w:val="00C678E4"/>
    <w:rsid w:val="00C67D7A"/>
    <w:rsid w:val="00C70022"/>
    <w:rsid w:val="00C701E8"/>
    <w:rsid w:val="00C70545"/>
    <w:rsid w:val="00C70DA0"/>
    <w:rsid w:val="00C70DEB"/>
    <w:rsid w:val="00C71077"/>
    <w:rsid w:val="00C714F5"/>
    <w:rsid w:val="00C7196C"/>
    <w:rsid w:val="00C71B51"/>
    <w:rsid w:val="00C71DF0"/>
    <w:rsid w:val="00C72990"/>
    <w:rsid w:val="00C7341B"/>
    <w:rsid w:val="00C74537"/>
    <w:rsid w:val="00C749BB"/>
    <w:rsid w:val="00C74A70"/>
    <w:rsid w:val="00C74C09"/>
    <w:rsid w:val="00C74F3C"/>
    <w:rsid w:val="00C75243"/>
    <w:rsid w:val="00C75F16"/>
    <w:rsid w:val="00C75FDB"/>
    <w:rsid w:val="00C76CC9"/>
    <w:rsid w:val="00C775B1"/>
    <w:rsid w:val="00C77925"/>
    <w:rsid w:val="00C77A1B"/>
    <w:rsid w:val="00C77B64"/>
    <w:rsid w:val="00C77BB2"/>
    <w:rsid w:val="00C80951"/>
    <w:rsid w:val="00C81711"/>
    <w:rsid w:val="00C81A55"/>
    <w:rsid w:val="00C827B1"/>
    <w:rsid w:val="00C83C7A"/>
    <w:rsid w:val="00C84862"/>
    <w:rsid w:val="00C85131"/>
    <w:rsid w:val="00C852E7"/>
    <w:rsid w:val="00C85336"/>
    <w:rsid w:val="00C856D9"/>
    <w:rsid w:val="00C85B87"/>
    <w:rsid w:val="00C86D13"/>
    <w:rsid w:val="00C8723F"/>
    <w:rsid w:val="00C87577"/>
    <w:rsid w:val="00C87FC0"/>
    <w:rsid w:val="00C90E17"/>
    <w:rsid w:val="00C90F60"/>
    <w:rsid w:val="00C912E2"/>
    <w:rsid w:val="00C92AA9"/>
    <w:rsid w:val="00C92E5E"/>
    <w:rsid w:val="00C9330E"/>
    <w:rsid w:val="00C93668"/>
    <w:rsid w:val="00C944BC"/>
    <w:rsid w:val="00C94EBA"/>
    <w:rsid w:val="00C94FD4"/>
    <w:rsid w:val="00C951E9"/>
    <w:rsid w:val="00C95F2F"/>
    <w:rsid w:val="00C96112"/>
    <w:rsid w:val="00C96920"/>
    <w:rsid w:val="00C97A4E"/>
    <w:rsid w:val="00CA073A"/>
    <w:rsid w:val="00CA096B"/>
    <w:rsid w:val="00CA0D87"/>
    <w:rsid w:val="00CA0F0D"/>
    <w:rsid w:val="00CA1590"/>
    <w:rsid w:val="00CA19F4"/>
    <w:rsid w:val="00CA2546"/>
    <w:rsid w:val="00CA26AA"/>
    <w:rsid w:val="00CA2B19"/>
    <w:rsid w:val="00CA3017"/>
    <w:rsid w:val="00CA38F3"/>
    <w:rsid w:val="00CA43A9"/>
    <w:rsid w:val="00CA448A"/>
    <w:rsid w:val="00CA4956"/>
    <w:rsid w:val="00CA50E6"/>
    <w:rsid w:val="00CA5B81"/>
    <w:rsid w:val="00CA5EBE"/>
    <w:rsid w:val="00CA5EEB"/>
    <w:rsid w:val="00CA75EF"/>
    <w:rsid w:val="00CA7CC7"/>
    <w:rsid w:val="00CA7D66"/>
    <w:rsid w:val="00CA7D85"/>
    <w:rsid w:val="00CA7E14"/>
    <w:rsid w:val="00CA7E5F"/>
    <w:rsid w:val="00CB0563"/>
    <w:rsid w:val="00CB0BBE"/>
    <w:rsid w:val="00CB21EB"/>
    <w:rsid w:val="00CB28B4"/>
    <w:rsid w:val="00CB4609"/>
    <w:rsid w:val="00CB4D85"/>
    <w:rsid w:val="00CB5403"/>
    <w:rsid w:val="00CB5D9E"/>
    <w:rsid w:val="00CB6420"/>
    <w:rsid w:val="00CB6422"/>
    <w:rsid w:val="00CB6EB0"/>
    <w:rsid w:val="00CB78EB"/>
    <w:rsid w:val="00CB79D2"/>
    <w:rsid w:val="00CB7D6E"/>
    <w:rsid w:val="00CC0126"/>
    <w:rsid w:val="00CC04B2"/>
    <w:rsid w:val="00CC0CB9"/>
    <w:rsid w:val="00CC1CBF"/>
    <w:rsid w:val="00CC2A7B"/>
    <w:rsid w:val="00CC2DF3"/>
    <w:rsid w:val="00CC38E6"/>
    <w:rsid w:val="00CC39D4"/>
    <w:rsid w:val="00CC3A67"/>
    <w:rsid w:val="00CC3B96"/>
    <w:rsid w:val="00CC40E9"/>
    <w:rsid w:val="00CC4D03"/>
    <w:rsid w:val="00CC6FC2"/>
    <w:rsid w:val="00CC7394"/>
    <w:rsid w:val="00CC78F0"/>
    <w:rsid w:val="00CC7A2E"/>
    <w:rsid w:val="00CC7C3A"/>
    <w:rsid w:val="00CD101B"/>
    <w:rsid w:val="00CD11AF"/>
    <w:rsid w:val="00CD3520"/>
    <w:rsid w:val="00CD3989"/>
    <w:rsid w:val="00CD475E"/>
    <w:rsid w:val="00CD4848"/>
    <w:rsid w:val="00CD4D23"/>
    <w:rsid w:val="00CD526E"/>
    <w:rsid w:val="00CD55AD"/>
    <w:rsid w:val="00CD57D8"/>
    <w:rsid w:val="00CD5A80"/>
    <w:rsid w:val="00CD62FD"/>
    <w:rsid w:val="00CD6933"/>
    <w:rsid w:val="00CD6E9E"/>
    <w:rsid w:val="00CD7733"/>
    <w:rsid w:val="00CD7A92"/>
    <w:rsid w:val="00CE087C"/>
    <w:rsid w:val="00CE1039"/>
    <w:rsid w:val="00CE126E"/>
    <w:rsid w:val="00CE13CD"/>
    <w:rsid w:val="00CE19F8"/>
    <w:rsid w:val="00CE1A62"/>
    <w:rsid w:val="00CE1C3E"/>
    <w:rsid w:val="00CE20EB"/>
    <w:rsid w:val="00CE289B"/>
    <w:rsid w:val="00CE29FB"/>
    <w:rsid w:val="00CE2E79"/>
    <w:rsid w:val="00CE2FAD"/>
    <w:rsid w:val="00CE3228"/>
    <w:rsid w:val="00CE352E"/>
    <w:rsid w:val="00CE374D"/>
    <w:rsid w:val="00CE3F18"/>
    <w:rsid w:val="00CE3F3C"/>
    <w:rsid w:val="00CE434C"/>
    <w:rsid w:val="00CE4964"/>
    <w:rsid w:val="00CE4AD5"/>
    <w:rsid w:val="00CE4F7D"/>
    <w:rsid w:val="00CE5479"/>
    <w:rsid w:val="00CE6728"/>
    <w:rsid w:val="00CE7304"/>
    <w:rsid w:val="00CE7C21"/>
    <w:rsid w:val="00CE7FC0"/>
    <w:rsid w:val="00CF1051"/>
    <w:rsid w:val="00CF1DF2"/>
    <w:rsid w:val="00CF2FE1"/>
    <w:rsid w:val="00CF35DE"/>
    <w:rsid w:val="00CF39CF"/>
    <w:rsid w:val="00CF59EB"/>
    <w:rsid w:val="00CF6699"/>
    <w:rsid w:val="00CF6DF3"/>
    <w:rsid w:val="00CF7390"/>
    <w:rsid w:val="00D000CF"/>
    <w:rsid w:val="00D00556"/>
    <w:rsid w:val="00D005CD"/>
    <w:rsid w:val="00D006F6"/>
    <w:rsid w:val="00D00B8C"/>
    <w:rsid w:val="00D00C08"/>
    <w:rsid w:val="00D00E28"/>
    <w:rsid w:val="00D0126C"/>
    <w:rsid w:val="00D0196C"/>
    <w:rsid w:val="00D028AA"/>
    <w:rsid w:val="00D0299A"/>
    <w:rsid w:val="00D03257"/>
    <w:rsid w:val="00D03497"/>
    <w:rsid w:val="00D0389F"/>
    <w:rsid w:val="00D03D17"/>
    <w:rsid w:val="00D03F90"/>
    <w:rsid w:val="00D0408D"/>
    <w:rsid w:val="00D04BD8"/>
    <w:rsid w:val="00D04C87"/>
    <w:rsid w:val="00D04FC9"/>
    <w:rsid w:val="00D05340"/>
    <w:rsid w:val="00D0544C"/>
    <w:rsid w:val="00D055BB"/>
    <w:rsid w:val="00D06B65"/>
    <w:rsid w:val="00D06CD0"/>
    <w:rsid w:val="00D0720E"/>
    <w:rsid w:val="00D11851"/>
    <w:rsid w:val="00D1192A"/>
    <w:rsid w:val="00D11C96"/>
    <w:rsid w:val="00D11DED"/>
    <w:rsid w:val="00D125E2"/>
    <w:rsid w:val="00D127BC"/>
    <w:rsid w:val="00D1310A"/>
    <w:rsid w:val="00D13929"/>
    <w:rsid w:val="00D14221"/>
    <w:rsid w:val="00D1447C"/>
    <w:rsid w:val="00D147CD"/>
    <w:rsid w:val="00D1499F"/>
    <w:rsid w:val="00D149A6"/>
    <w:rsid w:val="00D14B0B"/>
    <w:rsid w:val="00D151A2"/>
    <w:rsid w:val="00D15F58"/>
    <w:rsid w:val="00D163E3"/>
    <w:rsid w:val="00D16D84"/>
    <w:rsid w:val="00D17877"/>
    <w:rsid w:val="00D178C4"/>
    <w:rsid w:val="00D17902"/>
    <w:rsid w:val="00D214CA"/>
    <w:rsid w:val="00D23FC0"/>
    <w:rsid w:val="00D25162"/>
    <w:rsid w:val="00D25352"/>
    <w:rsid w:val="00D255D6"/>
    <w:rsid w:val="00D25F6C"/>
    <w:rsid w:val="00D2657E"/>
    <w:rsid w:val="00D26725"/>
    <w:rsid w:val="00D26F66"/>
    <w:rsid w:val="00D26F8B"/>
    <w:rsid w:val="00D30402"/>
    <w:rsid w:val="00D30762"/>
    <w:rsid w:val="00D30764"/>
    <w:rsid w:val="00D30C79"/>
    <w:rsid w:val="00D317E4"/>
    <w:rsid w:val="00D31C1C"/>
    <w:rsid w:val="00D32436"/>
    <w:rsid w:val="00D3389E"/>
    <w:rsid w:val="00D33D11"/>
    <w:rsid w:val="00D341B4"/>
    <w:rsid w:val="00D34BFF"/>
    <w:rsid w:val="00D34D3F"/>
    <w:rsid w:val="00D34D56"/>
    <w:rsid w:val="00D35234"/>
    <w:rsid w:val="00D354FE"/>
    <w:rsid w:val="00D357F4"/>
    <w:rsid w:val="00D35C95"/>
    <w:rsid w:val="00D35F5E"/>
    <w:rsid w:val="00D369EF"/>
    <w:rsid w:val="00D36F62"/>
    <w:rsid w:val="00D37317"/>
    <w:rsid w:val="00D3752F"/>
    <w:rsid w:val="00D376B3"/>
    <w:rsid w:val="00D37E1F"/>
    <w:rsid w:val="00D40F10"/>
    <w:rsid w:val="00D41218"/>
    <w:rsid w:val="00D4178F"/>
    <w:rsid w:val="00D41D96"/>
    <w:rsid w:val="00D43232"/>
    <w:rsid w:val="00D4562D"/>
    <w:rsid w:val="00D45843"/>
    <w:rsid w:val="00D45A8C"/>
    <w:rsid w:val="00D45D0B"/>
    <w:rsid w:val="00D45DB2"/>
    <w:rsid w:val="00D45FED"/>
    <w:rsid w:val="00D46A6B"/>
    <w:rsid w:val="00D47735"/>
    <w:rsid w:val="00D50C98"/>
    <w:rsid w:val="00D50E60"/>
    <w:rsid w:val="00D51F80"/>
    <w:rsid w:val="00D5336B"/>
    <w:rsid w:val="00D53575"/>
    <w:rsid w:val="00D53E2E"/>
    <w:rsid w:val="00D54BCE"/>
    <w:rsid w:val="00D5587E"/>
    <w:rsid w:val="00D56129"/>
    <w:rsid w:val="00D56A47"/>
    <w:rsid w:val="00D57BEA"/>
    <w:rsid w:val="00D57EFE"/>
    <w:rsid w:val="00D60A27"/>
    <w:rsid w:val="00D610AE"/>
    <w:rsid w:val="00D61FA9"/>
    <w:rsid w:val="00D62318"/>
    <w:rsid w:val="00D62595"/>
    <w:rsid w:val="00D627B1"/>
    <w:rsid w:val="00D628AF"/>
    <w:rsid w:val="00D62E33"/>
    <w:rsid w:val="00D62EAF"/>
    <w:rsid w:val="00D633E5"/>
    <w:rsid w:val="00D63623"/>
    <w:rsid w:val="00D63A5A"/>
    <w:rsid w:val="00D63C36"/>
    <w:rsid w:val="00D63FF5"/>
    <w:rsid w:val="00D6404A"/>
    <w:rsid w:val="00D646EF"/>
    <w:rsid w:val="00D64876"/>
    <w:rsid w:val="00D649BE"/>
    <w:rsid w:val="00D649D5"/>
    <w:rsid w:val="00D64BDE"/>
    <w:rsid w:val="00D64E38"/>
    <w:rsid w:val="00D66163"/>
    <w:rsid w:val="00D665B1"/>
    <w:rsid w:val="00D66DC5"/>
    <w:rsid w:val="00D6714C"/>
    <w:rsid w:val="00D7065A"/>
    <w:rsid w:val="00D7134D"/>
    <w:rsid w:val="00D71ED8"/>
    <w:rsid w:val="00D7227D"/>
    <w:rsid w:val="00D72AB5"/>
    <w:rsid w:val="00D73EC4"/>
    <w:rsid w:val="00D74347"/>
    <w:rsid w:val="00D7444E"/>
    <w:rsid w:val="00D74B36"/>
    <w:rsid w:val="00D751F2"/>
    <w:rsid w:val="00D75349"/>
    <w:rsid w:val="00D756ED"/>
    <w:rsid w:val="00D75C51"/>
    <w:rsid w:val="00D75DF0"/>
    <w:rsid w:val="00D75FCD"/>
    <w:rsid w:val="00D7692A"/>
    <w:rsid w:val="00D76EA0"/>
    <w:rsid w:val="00D77B6C"/>
    <w:rsid w:val="00D77E0C"/>
    <w:rsid w:val="00D8007D"/>
    <w:rsid w:val="00D80D42"/>
    <w:rsid w:val="00D80F17"/>
    <w:rsid w:val="00D81C9C"/>
    <w:rsid w:val="00D81F59"/>
    <w:rsid w:val="00D82628"/>
    <w:rsid w:val="00D82AED"/>
    <w:rsid w:val="00D82CC5"/>
    <w:rsid w:val="00D83801"/>
    <w:rsid w:val="00D839D1"/>
    <w:rsid w:val="00D83A05"/>
    <w:rsid w:val="00D846AD"/>
    <w:rsid w:val="00D847F0"/>
    <w:rsid w:val="00D84864"/>
    <w:rsid w:val="00D8500A"/>
    <w:rsid w:val="00D853D1"/>
    <w:rsid w:val="00D85AF2"/>
    <w:rsid w:val="00D85B87"/>
    <w:rsid w:val="00D8627F"/>
    <w:rsid w:val="00D866A8"/>
    <w:rsid w:val="00D8721B"/>
    <w:rsid w:val="00D90A03"/>
    <w:rsid w:val="00D90E87"/>
    <w:rsid w:val="00D918B7"/>
    <w:rsid w:val="00D91F5B"/>
    <w:rsid w:val="00D91FDD"/>
    <w:rsid w:val="00D923C5"/>
    <w:rsid w:val="00D92944"/>
    <w:rsid w:val="00D92DF0"/>
    <w:rsid w:val="00D92DFB"/>
    <w:rsid w:val="00D933CF"/>
    <w:rsid w:val="00D93434"/>
    <w:rsid w:val="00D934DF"/>
    <w:rsid w:val="00D93B0F"/>
    <w:rsid w:val="00D93CB4"/>
    <w:rsid w:val="00D93F1C"/>
    <w:rsid w:val="00D94270"/>
    <w:rsid w:val="00D9434C"/>
    <w:rsid w:val="00D94C66"/>
    <w:rsid w:val="00D961CD"/>
    <w:rsid w:val="00D972CB"/>
    <w:rsid w:val="00D97464"/>
    <w:rsid w:val="00DA02FF"/>
    <w:rsid w:val="00DA035C"/>
    <w:rsid w:val="00DA05DE"/>
    <w:rsid w:val="00DA1285"/>
    <w:rsid w:val="00DA159B"/>
    <w:rsid w:val="00DA283E"/>
    <w:rsid w:val="00DA38B9"/>
    <w:rsid w:val="00DA4CDB"/>
    <w:rsid w:val="00DA521F"/>
    <w:rsid w:val="00DA5979"/>
    <w:rsid w:val="00DA6B39"/>
    <w:rsid w:val="00DA7442"/>
    <w:rsid w:val="00DA776A"/>
    <w:rsid w:val="00DA7F75"/>
    <w:rsid w:val="00DB0914"/>
    <w:rsid w:val="00DB0E5A"/>
    <w:rsid w:val="00DB1145"/>
    <w:rsid w:val="00DB197F"/>
    <w:rsid w:val="00DB198B"/>
    <w:rsid w:val="00DB1B74"/>
    <w:rsid w:val="00DB226A"/>
    <w:rsid w:val="00DB2775"/>
    <w:rsid w:val="00DB2AB7"/>
    <w:rsid w:val="00DB3243"/>
    <w:rsid w:val="00DB3A03"/>
    <w:rsid w:val="00DB3AB1"/>
    <w:rsid w:val="00DB3E69"/>
    <w:rsid w:val="00DB52B4"/>
    <w:rsid w:val="00DB6057"/>
    <w:rsid w:val="00DB620A"/>
    <w:rsid w:val="00DB65D1"/>
    <w:rsid w:val="00DB6B2C"/>
    <w:rsid w:val="00DB7047"/>
    <w:rsid w:val="00DB7DFA"/>
    <w:rsid w:val="00DC0016"/>
    <w:rsid w:val="00DC128C"/>
    <w:rsid w:val="00DC14F7"/>
    <w:rsid w:val="00DC19EA"/>
    <w:rsid w:val="00DC1E79"/>
    <w:rsid w:val="00DC27D6"/>
    <w:rsid w:val="00DC2A04"/>
    <w:rsid w:val="00DC2D35"/>
    <w:rsid w:val="00DC2F58"/>
    <w:rsid w:val="00DC31B7"/>
    <w:rsid w:val="00DC3959"/>
    <w:rsid w:val="00DC3CE3"/>
    <w:rsid w:val="00DC3CF6"/>
    <w:rsid w:val="00DC3F9F"/>
    <w:rsid w:val="00DC42C1"/>
    <w:rsid w:val="00DC4330"/>
    <w:rsid w:val="00DC4F69"/>
    <w:rsid w:val="00DC68AB"/>
    <w:rsid w:val="00DC69F1"/>
    <w:rsid w:val="00DC6CB1"/>
    <w:rsid w:val="00DC6F40"/>
    <w:rsid w:val="00DC77C4"/>
    <w:rsid w:val="00DD04C4"/>
    <w:rsid w:val="00DD0DCF"/>
    <w:rsid w:val="00DD11F1"/>
    <w:rsid w:val="00DD1DCE"/>
    <w:rsid w:val="00DD2997"/>
    <w:rsid w:val="00DD29AD"/>
    <w:rsid w:val="00DD3ABD"/>
    <w:rsid w:val="00DD3B2C"/>
    <w:rsid w:val="00DD3D80"/>
    <w:rsid w:val="00DD3EE5"/>
    <w:rsid w:val="00DD40C1"/>
    <w:rsid w:val="00DD44AF"/>
    <w:rsid w:val="00DD45BC"/>
    <w:rsid w:val="00DD4888"/>
    <w:rsid w:val="00DD51AD"/>
    <w:rsid w:val="00DD5971"/>
    <w:rsid w:val="00DD67BC"/>
    <w:rsid w:val="00DD784A"/>
    <w:rsid w:val="00DE0025"/>
    <w:rsid w:val="00DE0498"/>
    <w:rsid w:val="00DE0537"/>
    <w:rsid w:val="00DE0603"/>
    <w:rsid w:val="00DE08AD"/>
    <w:rsid w:val="00DE0918"/>
    <w:rsid w:val="00DE1230"/>
    <w:rsid w:val="00DE1853"/>
    <w:rsid w:val="00DE1875"/>
    <w:rsid w:val="00DE1969"/>
    <w:rsid w:val="00DE1A7C"/>
    <w:rsid w:val="00DE1B11"/>
    <w:rsid w:val="00DE1FDC"/>
    <w:rsid w:val="00DE2463"/>
    <w:rsid w:val="00DE27C9"/>
    <w:rsid w:val="00DE2B12"/>
    <w:rsid w:val="00DE2B79"/>
    <w:rsid w:val="00DE2F00"/>
    <w:rsid w:val="00DE30C5"/>
    <w:rsid w:val="00DE33E5"/>
    <w:rsid w:val="00DE3AAF"/>
    <w:rsid w:val="00DE3CA6"/>
    <w:rsid w:val="00DE3CE3"/>
    <w:rsid w:val="00DE3E8F"/>
    <w:rsid w:val="00DE46B4"/>
    <w:rsid w:val="00DE478C"/>
    <w:rsid w:val="00DE55C0"/>
    <w:rsid w:val="00DE5602"/>
    <w:rsid w:val="00DE57ED"/>
    <w:rsid w:val="00DE6012"/>
    <w:rsid w:val="00DE7006"/>
    <w:rsid w:val="00DE71AD"/>
    <w:rsid w:val="00DE73CF"/>
    <w:rsid w:val="00DE7645"/>
    <w:rsid w:val="00DF034C"/>
    <w:rsid w:val="00DF0C0D"/>
    <w:rsid w:val="00DF0ED6"/>
    <w:rsid w:val="00DF2258"/>
    <w:rsid w:val="00DF2B6D"/>
    <w:rsid w:val="00DF30B3"/>
    <w:rsid w:val="00DF3942"/>
    <w:rsid w:val="00DF3FD6"/>
    <w:rsid w:val="00DF42DC"/>
    <w:rsid w:val="00DF4A0D"/>
    <w:rsid w:val="00DF4C50"/>
    <w:rsid w:val="00DF5658"/>
    <w:rsid w:val="00DF59DF"/>
    <w:rsid w:val="00DF5CD9"/>
    <w:rsid w:val="00DF5FA5"/>
    <w:rsid w:val="00DF63B9"/>
    <w:rsid w:val="00DF71E0"/>
    <w:rsid w:val="00DF72B4"/>
    <w:rsid w:val="00DF770B"/>
    <w:rsid w:val="00E00622"/>
    <w:rsid w:val="00E00656"/>
    <w:rsid w:val="00E00E11"/>
    <w:rsid w:val="00E01214"/>
    <w:rsid w:val="00E01DCF"/>
    <w:rsid w:val="00E022B4"/>
    <w:rsid w:val="00E023F1"/>
    <w:rsid w:val="00E027C4"/>
    <w:rsid w:val="00E02C14"/>
    <w:rsid w:val="00E03227"/>
    <w:rsid w:val="00E03C7E"/>
    <w:rsid w:val="00E045DD"/>
    <w:rsid w:val="00E05C70"/>
    <w:rsid w:val="00E05F8A"/>
    <w:rsid w:val="00E06194"/>
    <w:rsid w:val="00E06783"/>
    <w:rsid w:val="00E06A52"/>
    <w:rsid w:val="00E06A6B"/>
    <w:rsid w:val="00E06D84"/>
    <w:rsid w:val="00E07390"/>
    <w:rsid w:val="00E07DEC"/>
    <w:rsid w:val="00E10A00"/>
    <w:rsid w:val="00E10ED5"/>
    <w:rsid w:val="00E115C7"/>
    <w:rsid w:val="00E116D1"/>
    <w:rsid w:val="00E11B91"/>
    <w:rsid w:val="00E12694"/>
    <w:rsid w:val="00E12988"/>
    <w:rsid w:val="00E1488B"/>
    <w:rsid w:val="00E1493B"/>
    <w:rsid w:val="00E14AD4"/>
    <w:rsid w:val="00E14E73"/>
    <w:rsid w:val="00E15302"/>
    <w:rsid w:val="00E15C16"/>
    <w:rsid w:val="00E16142"/>
    <w:rsid w:val="00E163C6"/>
    <w:rsid w:val="00E164D0"/>
    <w:rsid w:val="00E16DE8"/>
    <w:rsid w:val="00E171DE"/>
    <w:rsid w:val="00E205C4"/>
    <w:rsid w:val="00E208EE"/>
    <w:rsid w:val="00E20EEF"/>
    <w:rsid w:val="00E21126"/>
    <w:rsid w:val="00E21690"/>
    <w:rsid w:val="00E21A82"/>
    <w:rsid w:val="00E22509"/>
    <w:rsid w:val="00E22571"/>
    <w:rsid w:val="00E22CC6"/>
    <w:rsid w:val="00E22E85"/>
    <w:rsid w:val="00E23762"/>
    <w:rsid w:val="00E23B2A"/>
    <w:rsid w:val="00E23E23"/>
    <w:rsid w:val="00E25BDC"/>
    <w:rsid w:val="00E26047"/>
    <w:rsid w:val="00E26537"/>
    <w:rsid w:val="00E26A84"/>
    <w:rsid w:val="00E27256"/>
    <w:rsid w:val="00E2733A"/>
    <w:rsid w:val="00E274C5"/>
    <w:rsid w:val="00E27CDD"/>
    <w:rsid w:val="00E30222"/>
    <w:rsid w:val="00E323DF"/>
    <w:rsid w:val="00E324CB"/>
    <w:rsid w:val="00E33558"/>
    <w:rsid w:val="00E33A6B"/>
    <w:rsid w:val="00E33C9D"/>
    <w:rsid w:val="00E341D8"/>
    <w:rsid w:val="00E34598"/>
    <w:rsid w:val="00E34F16"/>
    <w:rsid w:val="00E3516C"/>
    <w:rsid w:val="00E3568C"/>
    <w:rsid w:val="00E36E03"/>
    <w:rsid w:val="00E37573"/>
    <w:rsid w:val="00E37934"/>
    <w:rsid w:val="00E379E1"/>
    <w:rsid w:val="00E40620"/>
    <w:rsid w:val="00E40AB4"/>
    <w:rsid w:val="00E4111C"/>
    <w:rsid w:val="00E4116E"/>
    <w:rsid w:val="00E41537"/>
    <w:rsid w:val="00E41B71"/>
    <w:rsid w:val="00E42429"/>
    <w:rsid w:val="00E43300"/>
    <w:rsid w:val="00E44754"/>
    <w:rsid w:val="00E4495B"/>
    <w:rsid w:val="00E449B5"/>
    <w:rsid w:val="00E44B2C"/>
    <w:rsid w:val="00E44C4B"/>
    <w:rsid w:val="00E44F08"/>
    <w:rsid w:val="00E45435"/>
    <w:rsid w:val="00E45FE6"/>
    <w:rsid w:val="00E460CC"/>
    <w:rsid w:val="00E4736F"/>
    <w:rsid w:val="00E50689"/>
    <w:rsid w:val="00E51105"/>
    <w:rsid w:val="00E5117E"/>
    <w:rsid w:val="00E51799"/>
    <w:rsid w:val="00E5298F"/>
    <w:rsid w:val="00E52FC5"/>
    <w:rsid w:val="00E54438"/>
    <w:rsid w:val="00E548D3"/>
    <w:rsid w:val="00E54DA4"/>
    <w:rsid w:val="00E558FF"/>
    <w:rsid w:val="00E55A48"/>
    <w:rsid w:val="00E55D36"/>
    <w:rsid w:val="00E55D71"/>
    <w:rsid w:val="00E56972"/>
    <w:rsid w:val="00E57130"/>
    <w:rsid w:val="00E5749D"/>
    <w:rsid w:val="00E602DB"/>
    <w:rsid w:val="00E60BEE"/>
    <w:rsid w:val="00E60E52"/>
    <w:rsid w:val="00E61BC7"/>
    <w:rsid w:val="00E61BE6"/>
    <w:rsid w:val="00E63777"/>
    <w:rsid w:val="00E63903"/>
    <w:rsid w:val="00E6396C"/>
    <w:rsid w:val="00E63B7E"/>
    <w:rsid w:val="00E64229"/>
    <w:rsid w:val="00E64C25"/>
    <w:rsid w:val="00E65966"/>
    <w:rsid w:val="00E65B31"/>
    <w:rsid w:val="00E66A0E"/>
    <w:rsid w:val="00E66BA2"/>
    <w:rsid w:val="00E6720C"/>
    <w:rsid w:val="00E70511"/>
    <w:rsid w:val="00E706BF"/>
    <w:rsid w:val="00E70CC5"/>
    <w:rsid w:val="00E7172A"/>
    <w:rsid w:val="00E71872"/>
    <w:rsid w:val="00E72D61"/>
    <w:rsid w:val="00E72E5E"/>
    <w:rsid w:val="00E72F01"/>
    <w:rsid w:val="00E73228"/>
    <w:rsid w:val="00E732D2"/>
    <w:rsid w:val="00E735A8"/>
    <w:rsid w:val="00E73BB1"/>
    <w:rsid w:val="00E73D79"/>
    <w:rsid w:val="00E74317"/>
    <w:rsid w:val="00E7493D"/>
    <w:rsid w:val="00E74B01"/>
    <w:rsid w:val="00E75B08"/>
    <w:rsid w:val="00E75BD4"/>
    <w:rsid w:val="00E75CE8"/>
    <w:rsid w:val="00E767B7"/>
    <w:rsid w:val="00E76F49"/>
    <w:rsid w:val="00E80181"/>
    <w:rsid w:val="00E8079C"/>
    <w:rsid w:val="00E809CB"/>
    <w:rsid w:val="00E80EA4"/>
    <w:rsid w:val="00E8109E"/>
    <w:rsid w:val="00E810FC"/>
    <w:rsid w:val="00E81576"/>
    <w:rsid w:val="00E81611"/>
    <w:rsid w:val="00E81859"/>
    <w:rsid w:val="00E819F7"/>
    <w:rsid w:val="00E827B5"/>
    <w:rsid w:val="00E82822"/>
    <w:rsid w:val="00E83343"/>
    <w:rsid w:val="00E83FAD"/>
    <w:rsid w:val="00E8472D"/>
    <w:rsid w:val="00E849DC"/>
    <w:rsid w:val="00E84E14"/>
    <w:rsid w:val="00E84EAA"/>
    <w:rsid w:val="00E84F36"/>
    <w:rsid w:val="00E851F7"/>
    <w:rsid w:val="00E85762"/>
    <w:rsid w:val="00E85A72"/>
    <w:rsid w:val="00E85B09"/>
    <w:rsid w:val="00E86E27"/>
    <w:rsid w:val="00E87085"/>
    <w:rsid w:val="00E874AA"/>
    <w:rsid w:val="00E87B8C"/>
    <w:rsid w:val="00E905E8"/>
    <w:rsid w:val="00E909FC"/>
    <w:rsid w:val="00E9108D"/>
    <w:rsid w:val="00E92DEF"/>
    <w:rsid w:val="00E93869"/>
    <w:rsid w:val="00E93D9C"/>
    <w:rsid w:val="00E9490B"/>
    <w:rsid w:val="00E95F2A"/>
    <w:rsid w:val="00E96798"/>
    <w:rsid w:val="00E96956"/>
    <w:rsid w:val="00E97D1A"/>
    <w:rsid w:val="00EA02EF"/>
    <w:rsid w:val="00EA0925"/>
    <w:rsid w:val="00EA165C"/>
    <w:rsid w:val="00EA1DE4"/>
    <w:rsid w:val="00EA2352"/>
    <w:rsid w:val="00EA23DD"/>
    <w:rsid w:val="00EA3260"/>
    <w:rsid w:val="00EA32F6"/>
    <w:rsid w:val="00EA349B"/>
    <w:rsid w:val="00EA34A1"/>
    <w:rsid w:val="00EA3F32"/>
    <w:rsid w:val="00EA4565"/>
    <w:rsid w:val="00EA47FC"/>
    <w:rsid w:val="00EA4E47"/>
    <w:rsid w:val="00EA4E81"/>
    <w:rsid w:val="00EA53A2"/>
    <w:rsid w:val="00EA5984"/>
    <w:rsid w:val="00EA5F65"/>
    <w:rsid w:val="00EA60B7"/>
    <w:rsid w:val="00EA6694"/>
    <w:rsid w:val="00EA6FC0"/>
    <w:rsid w:val="00EA7362"/>
    <w:rsid w:val="00EB000F"/>
    <w:rsid w:val="00EB06BC"/>
    <w:rsid w:val="00EB0B2F"/>
    <w:rsid w:val="00EB13DC"/>
    <w:rsid w:val="00EB1931"/>
    <w:rsid w:val="00EB1BF3"/>
    <w:rsid w:val="00EB25D4"/>
    <w:rsid w:val="00EB27D4"/>
    <w:rsid w:val="00EB2AF2"/>
    <w:rsid w:val="00EB31D6"/>
    <w:rsid w:val="00EB454C"/>
    <w:rsid w:val="00EB477C"/>
    <w:rsid w:val="00EB52B4"/>
    <w:rsid w:val="00EB55A9"/>
    <w:rsid w:val="00EB5911"/>
    <w:rsid w:val="00EB616A"/>
    <w:rsid w:val="00EB65C4"/>
    <w:rsid w:val="00EB6B67"/>
    <w:rsid w:val="00EB7110"/>
    <w:rsid w:val="00EB766C"/>
    <w:rsid w:val="00EB7ADF"/>
    <w:rsid w:val="00EC0657"/>
    <w:rsid w:val="00EC08C3"/>
    <w:rsid w:val="00EC0A88"/>
    <w:rsid w:val="00EC10EF"/>
    <w:rsid w:val="00EC1205"/>
    <w:rsid w:val="00EC18BC"/>
    <w:rsid w:val="00EC18D0"/>
    <w:rsid w:val="00EC1A43"/>
    <w:rsid w:val="00EC3282"/>
    <w:rsid w:val="00EC3860"/>
    <w:rsid w:val="00EC3988"/>
    <w:rsid w:val="00EC3C6F"/>
    <w:rsid w:val="00EC4001"/>
    <w:rsid w:val="00EC4836"/>
    <w:rsid w:val="00EC4B06"/>
    <w:rsid w:val="00EC5963"/>
    <w:rsid w:val="00EC5C78"/>
    <w:rsid w:val="00EC6C5C"/>
    <w:rsid w:val="00EC7F7C"/>
    <w:rsid w:val="00EC7F8D"/>
    <w:rsid w:val="00ED0C7C"/>
    <w:rsid w:val="00ED23E9"/>
    <w:rsid w:val="00ED34DE"/>
    <w:rsid w:val="00ED3C55"/>
    <w:rsid w:val="00ED4477"/>
    <w:rsid w:val="00ED49C3"/>
    <w:rsid w:val="00ED4F4E"/>
    <w:rsid w:val="00ED58A5"/>
    <w:rsid w:val="00ED5C3D"/>
    <w:rsid w:val="00ED5DC7"/>
    <w:rsid w:val="00ED5ED8"/>
    <w:rsid w:val="00ED5F40"/>
    <w:rsid w:val="00ED5F4F"/>
    <w:rsid w:val="00ED60A8"/>
    <w:rsid w:val="00ED6105"/>
    <w:rsid w:val="00ED689F"/>
    <w:rsid w:val="00ED74DA"/>
    <w:rsid w:val="00ED78E6"/>
    <w:rsid w:val="00ED7AD8"/>
    <w:rsid w:val="00ED7BE9"/>
    <w:rsid w:val="00ED7C09"/>
    <w:rsid w:val="00ED7E69"/>
    <w:rsid w:val="00EE06FD"/>
    <w:rsid w:val="00EE0B1D"/>
    <w:rsid w:val="00EE0DBF"/>
    <w:rsid w:val="00EE0EBE"/>
    <w:rsid w:val="00EE1144"/>
    <w:rsid w:val="00EE1BBE"/>
    <w:rsid w:val="00EE3011"/>
    <w:rsid w:val="00EE3BFB"/>
    <w:rsid w:val="00EE3D0F"/>
    <w:rsid w:val="00EE3F09"/>
    <w:rsid w:val="00EE40E0"/>
    <w:rsid w:val="00EE4968"/>
    <w:rsid w:val="00EE56D2"/>
    <w:rsid w:val="00EE57BE"/>
    <w:rsid w:val="00EE620F"/>
    <w:rsid w:val="00EE6387"/>
    <w:rsid w:val="00EE7312"/>
    <w:rsid w:val="00EE7692"/>
    <w:rsid w:val="00EE77FD"/>
    <w:rsid w:val="00EE781C"/>
    <w:rsid w:val="00EE7D2B"/>
    <w:rsid w:val="00EE7D3F"/>
    <w:rsid w:val="00EF0409"/>
    <w:rsid w:val="00EF19BB"/>
    <w:rsid w:val="00EF2337"/>
    <w:rsid w:val="00EF25D5"/>
    <w:rsid w:val="00EF32BB"/>
    <w:rsid w:val="00EF34EE"/>
    <w:rsid w:val="00EF360B"/>
    <w:rsid w:val="00EF3626"/>
    <w:rsid w:val="00EF4173"/>
    <w:rsid w:val="00EF4825"/>
    <w:rsid w:val="00EF4DAA"/>
    <w:rsid w:val="00EF4EAA"/>
    <w:rsid w:val="00EF58C2"/>
    <w:rsid w:val="00EF5991"/>
    <w:rsid w:val="00EF59BE"/>
    <w:rsid w:val="00EF62D3"/>
    <w:rsid w:val="00EF65AB"/>
    <w:rsid w:val="00EF6A27"/>
    <w:rsid w:val="00EF6AF2"/>
    <w:rsid w:val="00EF7CDA"/>
    <w:rsid w:val="00EF7D27"/>
    <w:rsid w:val="00F0063A"/>
    <w:rsid w:val="00F00762"/>
    <w:rsid w:val="00F007C1"/>
    <w:rsid w:val="00F018AA"/>
    <w:rsid w:val="00F01DC0"/>
    <w:rsid w:val="00F02213"/>
    <w:rsid w:val="00F0230D"/>
    <w:rsid w:val="00F03602"/>
    <w:rsid w:val="00F048DE"/>
    <w:rsid w:val="00F04B64"/>
    <w:rsid w:val="00F055A4"/>
    <w:rsid w:val="00F05C1B"/>
    <w:rsid w:val="00F05E9A"/>
    <w:rsid w:val="00F061EF"/>
    <w:rsid w:val="00F06621"/>
    <w:rsid w:val="00F06992"/>
    <w:rsid w:val="00F06AE8"/>
    <w:rsid w:val="00F06DD6"/>
    <w:rsid w:val="00F07F4A"/>
    <w:rsid w:val="00F119BD"/>
    <w:rsid w:val="00F11ABB"/>
    <w:rsid w:val="00F11D84"/>
    <w:rsid w:val="00F12235"/>
    <w:rsid w:val="00F122B6"/>
    <w:rsid w:val="00F14146"/>
    <w:rsid w:val="00F14321"/>
    <w:rsid w:val="00F1436F"/>
    <w:rsid w:val="00F14A84"/>
    <w:rsid w:val="00F14D5C"/>
    <w:rsid w:val="00F14D77"/>
    <w:rsid w:val="00F15993"/>
    <w:rsid w:val="00F176F0"/>
    <w:rsid w:val="00F17F94"/>
    <w:rsid w:val="00F17FA1"/>
    <w:rsid w:val="00F208B7"/>
    <w:rsid w:val="00F20A48"/>
    <w:rsid w:val="00F21C70"/>
    <w:rsid w:val="00F224A0"/>
    <w:rsid w:val="00F224BA"/>
    <w:rsid w:val="00F23300"/>
    <w:rsid w:val="00F23620"/>
    <w:rsid w:val="00F2369E"/>
    <w:rsid w:val="00F236E0"/>
    <w:rsid w:val="00F2372D"/>
    <w:rsid w:val="00F23AD4"/>
    <w:rsid w:val="00F26140"/>
    <w:rsid w:val="00F2652F"/>
    <w:rsid w:val="00F3017B"/>
    <w:rsid w:val="00F3066A"/>
    <w:rsid w:val="00F30EC3"/>
    <w:rsid w:val="00F319DB"/>
    <w:rsid w:val="00F31A45"/>
    <w:rsid w:val="00F32647"/>
    <w:rsid w:val="00F32D7D"/>
    <w:rsid w:val="00F33A8B"/>
    <w:rsid w:val="00F34C71"/>
    <w:rsid w:val="00F3530B"/>
    <w:rsid w:val="00F35BA4"/>
    <w:rsid w:val="00F35F88"/>
    <w:rsid w:val="00F36769"/>
    <w:rsid w:val="00F3734B"/>
    <w:rsid w:val="00F376F1"/>
    <w:rsid w:val="00F37CD8"/>
    <w:rsid w:val="00F4000E"/>
    <w:rsid w:val="00F400D2"/>
    <w:rsid w:val="00F40AE8"/>
    <w:rsid w:val="00F410D0"/>
    <w:rsid w:val="00F428D6"/>
    <w:rsid w:val="00F42C5E"/>
    <w:rsid w:val="00F434CC"/>
    <w:rsid w:val="00F43655"/>
    <w:rsid w:val="00F43B1C"/>
    <w:rsid w:val="00F43BD1"/>
    <w:rsid w:val="00F44657"/>
    <w:rsid w:val="00F44D39"/>
    <w:rsid w:val="00F4573F"/>
    <w:rsid w:val="00F4575E"/>
    <w:rsid w:val="00F46055"/>
    <w:rsid w:val="00F46115"/>
    <w:rsid w:val="00F461DC"/>
    <w:rsid w:val="00F463AA"/>
    <w:rsid w:val="00F472B1"/>
    <w:rsid w:val="00F476E7"/>
    <w:rsid w:val="00F47E23"/>
    <w:rsid w:val="00F50527"/>
    <w:rsid w:val="00F505BF"/>
    <w:rsid w:val="00F5123D"/>
    <w:rsid w:val="00F51F30"/>
    <w:rsid w:val="00F52B1D"/>
    <w:rsid w:val="00F52EF0"/>
    <w:rsid w:val="00F53054"/>
    <w:rsid w:val="00F53133"/>
    <w:rsid w:val="00F53E36"/>
    <w:rsid w:val="00F54D92"/>
    <w:rsid w:val="00F54DA7"/>
    <w:rsid w:val="00F566B6"/>
    <w:rsid w:val="00F56EEE"/>
    <w:rsid w:val="00F615D0"/>
    <w:rsid w:val="00F62105"/>
    <w:rsid w:val="00F62D98"/>
    <w:rsid w:val="00F62F69"/>
    <w:rsid w:val="00F63C7A"/>
    <w:rsid w:val="00F646FD"/>
    <w:rsid w:val="00F650D1"/>
    <w:rsid w:val="00F65C67"/>
    <w:rsid w:val="00F65E92"/>
    <w:rsid w:val="00F66DE9"/>
    <w:rsid w:val="00F66E0B"/>
    <w:rsid w:val="00F670F8"/>
    <w:rsid w:val="00F6733C"/>
    <w:rsid w:val="00F6752D"/>
    <w:rsid w:val="00F677A1"/>
    <w:rsid w:val="00F67A61"/>
    <w:rsid w:val="00F7022D"/>
    <w:rsid w:val="00F7023D"/>
    <w:rsid w:val="00F70295"/>
    <w:rsid w:val="00F7056E"/>
    <w:rsid w:val="00F706B0"/>
    <w:rsid w:val="00F71454"/>
    <w:rsid w:val="00F7151A"/>
    <w:rsid w:val="00F7162A"/>
    <w:rsid w:val="00F7196E"/>
    <w:rsid w:val="00F71D90"/>
    <w:rsid w:val="00F72948"/>
    <w:rsid w:val="00F74A4A"/>
    <w:rsid w:val="00F755E5"/>
    <w:rsid w:val="00F773C0"/>
    <w:rsid w:val="00F77461"/>
    <w:rsid w:val="00F77945"/>
    <w:rsid w:val="00F8130C"/>
    <w:rsid w:val="00F81EE1"/>
    <w:rsid w:val="00F82711"/>
    <w:rsid w:val="00F82828"/>
    <w:rsid w:val="00F83254"/>
    <w:rsid w:val="00F83404"/>
    <w:rsid w:val="00F84570"/>
    <w:rsid w:val="00F84681"/>
    <w:rsid w:val="00F84A22"/>
    <w:rsid w:val="00F84C08"/>
    <w:rsid w:val="00F8585F"/>
    <w:rsid w:val="00F86128"/>
    <w:rsid w:val="00F86496"/>
    <w:rsid w:val="00F86E96"/>
    <w:rsid w:val="00F86F8F"/>
    <w:rsid w:val="00F87E10"/>
    <w:rsid w:val="00F90E3D"/>
    <w:rsid w:val="00F9159B"/>
    <w:rsid w:val="00F91AB1"/>
    <w:rsid w:val="00F91DFC"/>
    <w:rsid w:val="00F92407"/>
    <w:rsid w:val="00F929F5"/>
    <w:rsid w:val="00F93457"/>
    <w:rsid w:val="00F93675"/>
    <w:rsid w:val="00F93CA4"/>
    <w:rsid w:val="00F94C96"/>
    <w:rsid w:val="00F94FC3"/>
    <w:rsid w:val="00F9505A"/>
    <w:rsid w:val="00F95120"/>
    <w:rsid w:val="00F958AE"/>
    <w:rsid w:val="00F95BED"/>
    <w:rsid w:val="00F95DEB"/>
    <w:rsid w:val="00F9676D"/>
    <w:rsid w:val="00F96922"/>
    <w:rsid w:val="00FA07FA"/>
    <w:rsid w:val="00FA1619"/>
    <w:rsid w:val="00FA1865"/>
    <w:rsid w:val="00FA1EF7"/>
    <w:rsid w:val="00FA225D"/>
    <w:rsid w:val="00FA2569"/>
    <w:rsid w:val="00FA322B"/>
    <w:rsid w:val="00FA3496"/>
    <w:rsid w:val="00FA5071"/>
    <w:rsid w:val="00FA519D"/>
    <w:rsid w:val="00FA5220"/>
    <w:rsid w:val="00FA65BC"/>
    <w:rsid w:val="00FA676F"/>
    <w:rsid w:val="00FA6858"/>
    <w:rsid w:val="00FA7375"/>
    <w:rsid w:val="00FA7700"/>
    <w:rsid w:val="00FA7AF8"/>
    <w:rsid w:val="00FB0257"/>
    <w:rsid w:val="00FB0693"/>
    <w:rsid w:val="00FB2C6A"/>
    <w:rsid w:val="00FB3E36"/>
    <w:rsid w:val="00FB4388"/>
    <w:rsid w:val="00FB59DA"/>
    <w:rsid w:val="00FB5BFF"/>
    <w:rsid w:val="00FB5CEC"/>
    <w:rsid w:val="00FB5E01"/>
    <w:rsid w:val="00FB5FAB"/>
    <w:rsid w:val="00FB60DD"/>
    <w:rsid w:val="00FB61EF"/>
    <w:rsid w:val="00FB6521"/>
    <w:rsid w:val="00FB6937"/>
    <w:rsid w:val="00FB6C75"/>
    <w:rsid w:val="00FB731A"/>
    <w:rsid w:val="00FB7470"/>
    <w:rsid w:val="00FB75F5"/>
    <w:rsid w:val="00FB7AD8"/>
    <w:rsid w:val="00FC029E"/>
    <w:rsid w:val="00FC02F3"/>
    <w:rsid w:val="00FC0823"/>
    <w:rsid w:val="00FC0B0C"/>
    <w:rsid w:val="00FC0B3D"/>
    <w:rsid w:val="00FC0E33"/>
    <w:rsid w:val="00FC13EF"/>
    <w:rsid w:val="00FC1448"/>
    <w:rsid w:val="00FC17ED"/>
    <w:rsid w:val="00FC194E"/>
    <w:rsid w:val="00FC19D6"/>
    <w:rsid w:val="00FC398E"/>
    <w:rsid w:val="00FC413A"/>
    <w:rsid w:val="00FC441E"/>
    <w:rsid w:val="00FC4519"/>
    <w:rsid w:val="00FC4787"/>
    <w:rsid w:val="00FC5D02"/>
    <w:rsid w:val="00FC6371"/>
    <w:rsid w:val="00FC67B9"/>
    <w:rsid w:val="00FC7621"/>
    <w:rsid w:val="00FC762C"/>
    <w:rsid w:val="00FC7734"/>
    <w:rsid w:val="00FC7F74"/>
    <w:rsid w:val="00FD0309"/>
    <w:rsid w:val="00FD0A79"/>
    <w:rsid w:val="00FD1272"/>
    <w:rsid w:val="00FD12A4"/>
    <w:rsid w:val="00FD13FD"/>
    <w:rsid w:val="00FD1F86"/>
    <w:rsid w:val="00FD29FF"/>
    <w:rsid w:val="00FD2B4B"/>
    <w:rsid w:val="00FD3053"/>
    <w:rsid w:val="00FD3954"/>
    <w:rsid w:val="00FD5842"/>
    <w:rsid w:val="00FD5927"/>
    <w:rsid w:val="00FD5B63"/>
    <w:rsid w:val="00FD635C"/>
    <w:rsid w:val="00FD65A9"/>
    <w:rsid w:val="00FD6E19"/>
    <w:rsid w:val="00FD7323"/>
    <w:rsid w:val="00FD78AD"/>
    <w:rsid w:val="00FE05E7"/>
    <w:rsid w:val="00FE145E"/>
    <w:rsid w:val="00FE1D15"/>
    <w:rsid w:val="00FE1FC0"/>
    <w:rsid w:val="00FE24B9"/>
    <w:rsid w:val="00FE2BBD"/>
    <w:rsid w:val="00FE46A0"/>
    <w:rsid w:val="00FE4717"/>
    <w:rsid w:val="00FE4E3A"/>
    <w:rsid w:val="00FE4FD8"/>
    <w:rsid w:val="00FE5171"/>
    <w:rsid w:val="00FE55CC"/>
    <w:rsid w:val="00FE593F"/>
    <w:rsid w:val="00FE5EC5"/>
    <w:rsid w:val="00FE6751"/>
    <w:rsid w:val="00FE67B3"/>
    <w:rsid w:val="00FE6F1B"/>
    <w:rsid w:val="00FE7217"/>
    <w:rsid w:val="00FE7BD3"/>
    <w:rsid w:val="00FF005F"/>
    <w:rsid w:val="00FF1FFB"/>
    <w:rsid w:val="00FF217E"/>
    <w:rsid w:val="00FF2320"/>
    <w:rsid w:val="00FF29EC"/>
    <w:rsid w:val="00FF2A5C"/>
    <w:rsid w:val="00FF36D3"/>
    <w:rsid w:val="00FF3ACA"/>
    <w:rsid w:val="00FF3ADF"/>
    <w:rsid w:val="00FF3FF7"/>
    <w:rsid w:val="00FF45E8"/>
    <w:rsid w:val="00FF45FB"/>
    <w:rsid w:val="00FF47E4"/>
    <w:rsid w:val="00FF47FA"/>
    <w:rsid w:val="00FF4A2E"/>
    <w:rsid w:val="00FF4CD5"/>
    <w:rsid w:val="00FF4E66"/>
    <w:rsid w:val="00FF4FDC"/>
    <w:rsid w:val="00FF5E3C"/>
    <w:rsid w:val="00FF6022"/>
    <w:rsid w:val="00FF6743"/>
    <w:rsid w:val="00FF7742"/>
    <w:rsid w:val="00FF7B6A"/>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B7E6E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2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27"/>
    <w:pPr>
      <w:widowControl w:val="0"/>
      <w:autoSpaceDE w:val="0"/>
      <w:autoSpaceDN w:val="0"/>
      <w:adjustRightInd w:val="0"/>
    </w:pPr>
    <w:rPr>
      <w:szCs w:val="22"/>
      <w:lang w:val="en-US" w:eastAsia="zh-CN" w:bidi="he-IL"/>
    </w:rPr>
  </w:style>
  <w:style w:type="paragraph" w:styleId="Heading1">
    <w:name w:val="heading 1"/>
    <w:basedOn w:val="Normal"/>
    <w:next w:val="Heading2"/>
    <w:link w:val="Heading1Char"/>
    <w:uiPriority w:val="9"/>
    <w:qFormat/>
    <w:rsid w:val="00BE3062"/>
    <w:pPr>
      <w:keepNext/>
      <w:widowControl/>
      <w:autoSpaceDE/>
      <w:autoSpaceDN/>
      <w:adjustRightInd/>
      <w:spacing w:after="240" w:line="246" w:lineRule="atLeast"/>
      <w:jc w:val="center"/>
      <w:outlineLvl w:val="0"/>
    </w:pPr>
    <w:rPr>
      <w:rFonts w:eastAsia="PMingLiU"/>
      <w:b/>
      <w:caps/>
      <w:snapToGrid w:val="0"/>
      <w:szCs w:val="20"/>
    </w:rPr>
  </w:style>
  <w:style w:type="paragraph" w:styleId="Heading2">
    <w:name w:val="heading 2"/>
    <w:basedOn w:val="Normal"/>
    <w:link w:val="Heading2Char"/>
    <w:uiPriority w:val="9"/>
    <w:qFormat/>
    <w:rsid w:val="00BE3062"/>
    <w:pPr>
      <w:keepNext/>
      <w:widowControl/>
      <w:spacing w:after="240" w:line="246" w:lineRule="atLeast"/>
      <w:outlineLvl w:val="1"/>
    </w:pPr>
    <w:rPr>
      <w:rFonts w:ascii="Times New Roman Bold" w:eastAsia="SimSun" w:hAnsi="Times New Roman Bold"/>
      <w:b/>
      <w:bCs/>
      <w:smallCaps/>
      <w:szCs w:val="26"/>
    </w:rPr>
  </w:style>
  <w:style w:type="paragraph" w:styleId="Heading3">
    <w:name w:val="heading 3"/>
    <w:basedOn w:val="Normal"/>
    <w:link w:val="Heading3Char"/>
    <w:autoRedefine/>
    <w:uiPriority w:val="9"/>
    <w:qFormat/>
    <w:rsid w:val="007B1404"/>
    <w:pPr>
      <w:keepNext/>
      <w:widowControl/>
      <w:spacing w:before="120" w:after="240" w:line="246" w:lineRule="atLeast"/>
      <w:ind w:firstLine="426"/>
      <w:jc w:val="both"/>
      <w:outlineLvl w:val="2"/>
    </w:pPr>
    <w:rPr>
      <w:rFonts w:ascii="Times New Roman Bold" w:hAnsi="Times New Roman Bold"/>
      <w:b/>
    </w:rPr>
  </w:style>
  <w:style w:type="paragraph" w:styleId="Heading4">
    <w:name w:val="heading 4"/>
    <w:basedOn w:val="Normal"/>
    <w:link w:val="Heading4Char"/>
    <w:autoRedefine/>
    <w:qFormat/>
    <w:rsid w:val="00EA3F32"/>
    <w:pPr>
      <w:keepNext/>
      <w:widowControl/>
      <w:spacing w:after="240" w:line="180" w:lineRule="atLeast"/>
      <w:ind w:firstLine="357"/>
      <w:jc w:val="both"/>
      <w:outlineLvl w:val="3"/>
    </w:pPr>
    <w:rPr>
      <w:b/>
      <w:i/>
      <w:lang w:val="en-GB"/>
    </w:rPr>
  </w:style>
  <w:style w:type="paragraph" w:styleId="Heading5">
    <w:name w:val="heading 5"/>
    <w:basedOn w:val="BodyText"/>
    <w:link w:val="Heading5Char"/>
    <w:qFormat/>
    <w:rsid w:val="001257CC"/>
    <w:pPr>
      <w:keepNext/>
      <w:widowControl/>
      <w:autoSpaceDE/>
      <w:autoSpaceDN/>
      <w:adjustRightInd/>
      <w:ind w:firstLine="357"/>
      <w:outlineLvl w:val="4"/>
    </w:pPr>
    <w:rPr>
      <w:i/>
    </w:rPr>
  </w:style>
  <w:style w:type="paragraph" w:styleId="Heading6">
    <w:name w:val="heading 6"/>
    <w:basedOn w:val="Normal"/>
    <w:link w:val="Heading6Char"/>
    <w:qFormat/>
    <w:rsid w:val="00FE6AF5"/>
    <w:pPr>
      <w:widowControl/>
      <w:numPr>
        <w:ilvl w:val="5"/>
        <w:numId w:val="18"/>
      </w:numPr>
      <w:spacing w:after="240" w:line="246" w:lineRule="atLeast"/>
      <w:jc w:val="both"/>
      <w:outlineLvl w:val="5"/>
    </w:pPr>
    <w:rPr>
      <w:rFonts w:eastAsia="SimSun"/>
      <w:iCs/>
    </w:rPr>
  </w:style>
  <w:style w:type="paragraph" w:styleId="Heading7">
    <w:name w:val="heading 7"/>
    <w:basedOn w:val="Normal"/>
    <w:link w:val="Heading7Char"/>
    <w:uiPriority w:val="29"/>
    <w:qFormat/>
    <w:rsid w:val="00FE6AF5"/>
    <w:pPr>
      <w:widowControl/>
      <w:numPr>
        <w:ilvl w:val="6"/>
        <w:numId w:val="18"/>
      </w:numPr>
      <w:spacing w:after="240" w:line="246" w:lineRule="atLeast"/>
      <w:jc w:val="both"/>
      <w:outlineLvl w:val="6"/>
    </w:pPr>
    <w:rPr>
      <w:rFonts w:eastAsia="SimSun"/>
      <w:iCs/>
    </w:rPr>
  </w:style>
  <w:style w:type="paragraph" w:styleId="Heading8">
    <w:name w:val="heading 8"/>
    <w:basedOn w:val="Normal"/>
    <w:link w:val="Heading8Char"/>
    <w:qFormat/>
    <w:rsid w:val="00FE6AF5"/>
    <w:pPr>
      <w:widowControl/>
      <w:numPr>
        <w:ilvl w:val="7"/>
        <w:numId w:val="18"/>
      </w:numPr>
      <w:spacing w:after="240" w:line="246" w:lineRule="atLeast"/>
      <w:jc w:val="both"/>
      <w:outlineLvl w:val="7"/>
    </w:pPr>
    <w:rPr>
      <w:rFonts w:eastAsia="SimSun"/>
      <w:szCs w:val="20"/>
    </w:rPr>
  </w:style>
  <w:style w:type="paragraph" w:styleId="Heading9">
    <w:name w:val="heading 9"/>
    <w:basedOn w:val="Normal"/>
    <w:link w:val="Heading9Char"/>
    <w:qFormat/>
    <w:rsid w:val="00FE6AF5"/>
    <w:pPr>
      <w:widowControl/>
      <w:numPr>
        <w:ilvl w:val="8"/>
        <w:numId w:val="18"/>
      </w:numPr>
      <w:spacing w:after="240" w:line="246" w:lineRule="atLeast"/>
      <w:jc w:val="both"/>
      <w:outlineLvl w:val="8"/>
    </w:pPr>
    <w:rPr>
      <w:rFonts w:eastAsia="SimSu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3062"/>
    <w:rPr>
      <w:rFonts w:eastAsia="PMingLiU"/>
      <w:b/>
      <w:caps/>
      <w:snapToGrid w:val="0"/>
      <w:lang w:val="en-US"/>
    </w:rPr>
  </w:style>
  <w:style w:type="character" w:customStyle="1" w:styleId="Heading2Char">
    <w:name w:val="Heading 2 Char"/>
    <w:link w:val="Heading2"/>
    <w:uiPriority w:val="9"/>
    <w:rsid w:val="00BE3062"/>
    <w:rPr>
      <w:rFonts w:ascii="Times New Roman Bold" w:eastAsia="SimSun" w:hAnsi="Times New Roman Bold"/>
      <w:b/>
      <w:bCs/>
      <w:smallCaps/>
      <w:szCs w:val="26"/>
      <w:lang w:val="en-US"/>
    </w:rPr>
  </w:style>
  <w:style w:type="character" w:customStyle="1" w:styleId="Heading3Char">
    <w:name w:val="Heading 3 Char"/>
    <w:link w:val="Heading3"/>
    <w:uiPriority w:val="9"/>
    <w:rsid w:val="007B1404"/>
    <w:rPr>
      <w:rFonts w:ascii="Times New Roman Bold" w:hAnsi="Times New Roman Bold"/>
      <w:b/>
      <w:szCs w:val="22"/>
      <w:lang w:val="en-US" w:eastAsia="zh-CN" w:bidi="he-IL"/>
    </w:rPr>
  </w:style>
  <w:style w:type="character" w:customStyle="1" w:styleId="Heading4Char">
    <w:name w:val="Heading 4 Char"/>
    <w:link w:val="Heading4"/>
    <w:rsid w:val="00EA3F32"/>
    <w:rPr>
      <w:b/>
      <w:i/>
      <w:szCs w:val="22"/>
      <w:lang w:eastAsia="zh-CN" w:bidi="he-IL"/>
    </w:rPr>
  </w:style>
  <w:style w:type="character" w:customStyle="1" w:styleId="Heading5Char">
    <w:name w:val="Heading 5 Char"/>
    <w:link w:val="Heading5"/>
    <w:rsid w:val="001257CC"/>
    <w:rPr>
      <w:i/>
      <w:szCs w:val="22"/>
      <w:lang w:val="en-US"/>
    </w:rPr>
  </w:style>
  <w:style w:type="character" w:customStyle="1" w:styleId="Heading6Char">
    <w:name w:val="Heading 6 Char"/>
    <w:link w:val="Heading6"/>
    <w:rsid w:val="00FE6AF5"/>
    <w:rPr>
      <w:rFonts w:eastAsia="SimSun"/>
      <w:iCs/>
      <w:szCs w:val="22"/>
    </w:rPr>
  </w:style>
  <w:style w:type="character" w:customStyle="1" w:styleId="Heading7Char">
    <w:name w:val="Heading 7 Char"/>
    <w:link w:val="Heading7"/>
    <w:uiPriority w:val="29"/>
    <w:rsid w:val="00FE6AF5"/>
    <w:rPr>
      <w:rFonts w:eastAsia="SimSun"/>
      <w:iCs/>
      <w:szCs w:val="22"/>
    </w:rPr>
  </w:style>
  <w:style w:type="paragraph" w:styleId="EndnoteText">
    <w:name w:val="endnote text"/>
    <w:basedOn w:val="Normal"/>
    <w:link w:val="EndnoteTextChar"/>
    <w:rsid w:val="00033B0A"/>
    <w:rPr>
      <w:sz w:val="24"/>
      <w:szCs w:val="24"/>
    </w:rPr>
  </w:style>
  <w:style w:type="character" w:customStyle="1" w:styleId="EndnoteTextChar">
    <w:name w:val="Endnote Text Char"/>
    <w:link w:val="EndnoteText"/>
    <w:rsid w:val="00CB167D"/>
    <w:rPr>
      <w:sz w:val="24"/>
      <w:szCs w:val="24"/>
    </w:rPr>
  </w:style>
  <w:style w:type="character" w:styleId="EndnoteReference">
    <w:name w:val="endnote reference"/>
    <w:rsid w:val="00033B0A"/>
    <w:rPr>
      <w:vertAlign w:val="superscript"/>
    </w:rPr>
  </w:style>
  <w:style w:type="paragraph" w:styleId="FootnoteText">
    <w:name w:val="footnote text"/>
    <w:basedOn w:val="Normal"/>
    <w:link w:val="FootnoteTextChar"/>
    <w:uiPriority w:val="99"/>
    <w:rsid w:val="00D41D4C"/>
    <w:rPr>
      <w:sz w:val="16"/>
      <w:szCs w:val="24"/>
    </w:rPr>
  </w:style>
  <w:style w:type="character" w:customStyle="1" w:styleId="FootnoteTextChar">
    <w:name w:val="Footnote Text Char"/>
    <w:link w:val="FootnoteText"/>
    <w:uiPriority w:val="99"/>
    <w:rsid w:val="00CB167D"/>
    <w:rPr>
      <w:sz w:val="16"/>
      <w:szCs w:val="24"/>
    </w:rPr>
  </w:style>
  <w:style w:type="character" w:styleId="FootnoteReference">
    <w:name w:val="footnote reference"/>
    <w:uiPriority w:val="99"/>
    <w:rsid w:val="00033B0A"/>
    <w:rPr>
      <w:vertAlign w:val="superscript"/>
    </w:rPr>
  </w:style>
  <w:style w:type="paragraph" w:styleId="TOC1">
    <w:name w:val="toc 1"/>
    <w:basedOn w:val="Normal"/>
    <w:next w:val="Normal"/>
    <w:uiPriority w:val="39"/>
    <w:rsid w:val="00C93CE7"/>
    <w:pPr>
      <w:tabs>
        <w:tab w:val="right" w:leader="dot" w:pos="9360"/>
      </w:tabs>
      <w:suppressAutoHyphens/>
      <w:spacing w:after="80"/>
      <w:ind w:left="720" w:right="720" w:hanging="720"/>
    </w:pPr>
  </w:style>
  <w:style w:type="paragraph" w:styleId="TOC2">
    <w:name w:val="toc 2"/>
    <w:basedOn w:val="Normal"/>
    <w:next w:val="Normal"/>
    <w:rsid w:val="00033B0A"/>
    <w:pPr>
      <w:tabs>
        <w:tab w:val="right" w:leader="dot" w:pos="9360"/>
      </w:tabs>
      <w:suppressAutoHyphens/>
      <w:spacing w:line="240" w:lineRule="atLeast"/>
      <w:ind w:left="720" w:right="720"/>
    </w:pPr>
  </w:style>
  <w:style w:type="paragraph" w:styleId="TOC3">
    <w:name w:val="toc 3"/>
    <w:basedOn w:val="Normal"/>
    <w:next w:val="Normal"/>
    <w:rsid w:val="00033B0A"/>
    <w:pPr>
      <w:tabs>
        <w:tab w:val="right" w:leader="dot" w:pos="9360"/>
      </w:tabs>
      <w:suppressAutoHyphens/>
      <w:spacing w:line="240" w:lineRule="atLeast"/>
      <w:ind w:left="720" w:right="720"/>
    </w:pPr>
  </w:style>
  <w:style w:type="paragraph" w:styleId="TOC4">
    <w:name w:val="toc 4"/>
    <w:basedOn w:val="Normal"/>
    <w:next w:val="Normal"/>
    <w:rsid w:val="00033B0A"/>
    <w:pPr>
      <w:tabs>
        <w:tab w:val="right" w:leader="dot" w:pos="9360"/>
      </w:tabs>
      <w:suppressAutoHyphens/>
      <w:spacing w:line="240" w:lineRule="atLeast"/>
      <w:ind w:left="720" w:right="720"/>
    </w:pPr>
  </w:style>
  <w:style w:type="paragraph" w:styleId="TOC5">
    <w:name w:val="toc 5"/>
    <w:basedOn w:val="Normal"/>
    <w:next w:val="Normal"/>
    <w:rsid w:val="00033B0A"/>
    <w:pPr>
      <w:tabs>
        <w:tab w:val="right" w:leader="dot" w:pos="9360"/>
      </w:tabs>
      <w:suppressAutoHyphens/>
      <w:spacing w:line="240" w:lineRule="atLeast"/>
      <w:ind w:left="720" w:right="720"/>
    </w:pPr>
  </w:style>
  <w:style w:type="paragraph" w:styleId="TOC6">
    <w:name w:val="toc 6"/>
    <w:basedOn w:val="Normal"/>
    <w:next w:val="Normal"/>
    <w:rsid w:val="00033B0A"/>
    <w:pPr>
      <w:tabs>
        <w:tab w:val="right" w:pos="9360"/>
      </w:tabs>
      <w:suppressAutoHyphens/>
      <w:spacing w:line="240" w:lineRule="atLeast"/>
      <w:ind w:left="720" w:hanging="720"/>
    </w:pPr>
  </w:style>
  <w:style w:type="paragraph" w:styleId="TOC7">
    <w:name w:val="toc 7"/>
    <w:basedOn w:val="Normal"/>
    <w:next w:val="Normal"/>
    <w:rsid w:val="00033B0A"/>
    <w:pPr>
      <w:suppressAutoHyphens/>
      <w:spacing w:line="240" w:lineRule="atLeast"/>
      <w:ind w:left="720" w:hanging="720"/>
    </w:pPr>
  </w:style>
  <w:style w:type="paragraph" w:styleId="TOC8">
    <w:name w:val="toc 8"/>
    <w:basedOn w:val="Normal"/>
    <w:next w:val="Normal"/>
    <w:rsid w:val="00033B0A"/>
    <w:pPr>
      <w:tabs>
        <w:tab w:val="right" w:pos="9360"/>
      </w:tabs>
      <w:suppressAutoHyphens/>
      <w:spacing w:line="240" w:lineRule="atLeast"/>
      <w:ind w:left="720" w:hanging="720"/>
    </w:pPr>
  </w:style>
  <w:style w:type="paragraph" w:styleId="TOC9">
    <w:name w:val="toc 9"/>
    <w:basedOn w:val="Normal"/>
    <w:next w:val="Normal"/>
    <w:rsid w:val="00033B0A"/>
    <w:pPr>
      <w:tabs>
        <w:tab w:val="right" w:leader="dot" w:pos="9360"/>
      </w:tabs>
      <w:suppressAutoHyphens/>
      <w:spacing w:line="240" w:lineRule="atLeast"/>
      <w:ind w:left="720" w:hanging="720"/>
    </w:pPr>
  </w:style>
  <w:style w:type="paragraph" w:styleId="Index1">
    <w:name w:val="index 1"/>
    <w:basedOn w:val="Normal"/>
    <w:next w:val="Normal"/>
    <w:rsid w:val="00033B0A"/>
    <w:pPr>
      <w:tabs>
        <w:tab w:val="right" w:leader="dot" w:pos="9360"/>
      </w:tabs>
      <w:suppressAutoHyphens/>
      <w:spacing w:line="240" w:lineRule="atLeast"/>
      <w:ind w:left="720" w:hanging="720"/>
    </w:pPr>
  </w:style>
  <w:style w:type="paragraph" w:styleId="Index2">
    <w:name w:val="index 2"/>
    <w:basedOn w:val="Normal"/>
    <w:next w:val="Normal"/>
    <w:rsid w:val="00033B0A"/>
    <w:pPr>
      <w:tabs>
        <w:tab w:val="right" w:leader="dot" w:pos="9360"/>
      </w:tabs>
      <w:suppressAutoHyphens/>
      <w:spacing w:line="240" w:lineRule="atLeast"/>
      <w:ind w:left="720"/>
    </w:pPr>
  </w:style>
  <w:style w:type="paragraph" w:styleId="TOAHeading">
    <w:name w:val="toa heading"/>
    <w:basedOn w:val="Normal"/>
    <w:next w:val="Normal"/>
    <w:rsid w:val="00033B0A"/>
    <w:pPr>
      <w:tabs>
        <w:tab w:val="right" w:pos="9360"/>
      </w:tabs>
      <w:suppressAutoHyphens/>
      <w:spacing w:line="240" w:lineRule="atLeast"/>
    </w:pPr>
  </w:style>
  <w:style w:type="paragraph" w:styleId="Caption">
    <w:name w:val="caption"/>
    <w:basedOn w:val="Normal"/>
    <w:next w:val="Normal"/>
    <w:qFormat/>
    <w:rsid w:val="00033B0A"/>
    <w:rPr>
      <w:sz w:val="24"/>
      <w:szCs w:val="24"/>
    </w:rPr>
  </w:style>
  <w:style w:type="character" w:customStyle="1" w:styleId="EquationCaption">
    <w:name w:val="_Equation Caption"/>
    <w:rsid w:val="00033B0A"/>
  </w:style>
  <w:style w:type="paragraph" w:styleId="Header">
    <w:name w:val="header"/>
    <w:basedOn w:val="Normal"/>
    <w:link w:val="HeaderChar"/>
    <w:rsid w:val="00A431EF"/>
    <w:pPr>
      <w:tabs>
        <w:tab w:val="center" w:pos="4320"/>
        <w:tab w:val="right" w:pos="8640"/>
      </w:tabs>
    </w:pPr>
  </w:style>
  <w:style w:type="character" w:customStyle="1" w:styleId="HeaderChar">
    <w:name w:val="Header Char"/>
    <w:link w:val="Header"/>
    <w:rsid w:val="00A431EF"/>
    <w:rPr>
      <w:szCs w:val="22"/>
      <w:lang w:eastAsia="en-GB"/>
    </w:rPr>
  </w:style>
  <w:style w:type="paragraph" w:styleId="Footer">
    <w:name w:val="footer"/>
    <w:basedOn w:val="Normal"/>
    <w:link w:val="FooterChar"/>
    <w:uiPriority w:val="99"/>
    <w:rsid w:val="00A431EF"/>
    <w:pPr>
      <w:tabs>
        <w:tab w:val="center" w:pos="4320"/>
        <w:tab w:val="right" w:pos="8640"/>
      </w:tabs>
    </w:pPr>
  </w:style>
  <w:style w:type="character" w:customStyle="1" w:styleId="FooterChar">
    <w:name w:val="Footer Char"/>
    <w:link w:val="Footer"/>
    <w:uiPriority w:val="99"/>
    <w:rsid w:val="00A431EF"/>
    <w:rPr>
      <w:szCs w:val="22"/>
      <w:lang w:eastAsia="en-GB"/>
    </w:rPr>
  </w:style>
  <w:style w:type="character" w:styleId="PageNumber">
    <w:name w:val="page number"/>
    <w:uiPriority w:val="99"/>
    <w:rsid w:val="008F438B"/>
  </w:style>
  <w:style w:type="paragraph" w:customStyle="1" w:styleId="CoverTitle6">
    <w:name w:val="Cover Title 6"/>
    <w:basedOn w:val="Normal"/>
    <w:rsid w:val="00667C4A"/>
    <w:pPr>
      <w:widowControl/>
      <w:autoSpaceDE/>
      <w:autoSpaceDN/>
      <w:adjustRightInd/>
      <w:spacing w:after="40"/>
      <w:jc w:val="center"/>
    </w:pPr>
    <w:rPr>
      <w:rFonts w:eastAsia="PMingLiU"/>
      <w:sz w:val="18"/>
      <w:szCs w:val="20"/>
      <w:lang w:eastAsia="en-US"/>
    </w:rPr>
  </w:style>
  <w:style w:type="paragraph" w:styleId="BodyText">
    <w:name w:val="Body Text"/>
    <w:aliases w:val="b"/>
    <w:basedOn w:val="Normal"/>
    <w:link w:val="BodyTextChar"/>
    <w:uiPriority w:val="9"/>
    <w:qFormat/>
    <w:rsid w:val="00BE1727"/>
    <w:pPr>
      <w:spacing w:after="120"/>
    </w:pPr>
  </w:style>
  <w:style w:type="character" w:customStyle="1" w:styleId="BodyTextChar">
    <w:name w:val="Body Text Char"/>
    <w:aliases w:val="b Char"/>
    <w:link w:val="BodyText"/>
    <w:uiPriority w:val="9"/>
    <w:rsid w:val="00BE1727"/>
    <w:rPr>
      <w:szCs w:val="22"/>
    </w:rPr>
  </w:style>
  <w:style w:type="character" w:styleId="Hyperlink">
    <w:name w:val="Hyperlink"/>
    <w:uiPriority w:val="99"/>
    <w:rsid w:val="00FC0F13"/>
    <w:rPr>
      <w:color w:val="0000FF"/>
      <w:u w:val="single"/>
    </w:rPr>
  </w:style>
  <w:style w:type="paragraph" w:styleId="BalloonText">
    <w:name w:val="Balloon Text"/>
    <w:basedOn w:val="Normal"/>
    <w:link w:val="BalloonTextChar"/>
    <w:uiPriority w:val="99"/>
    <w:rsid w:val="00B51DB1"/>
    <w:rPr>
      <w:rFonts w:ascii="Tahoma" w:hAnsi="Tahoma" w:cs="Tahoma"/>
      <w:sz w:val="16"/>
      <w:szCs w:val="16"/>
    </w:rPr>
  </w:style>
  <w:style w:type="character" w:customStyle="1" w:styleId="BalloonTextChar">
    <w:name w:val="Balloon Text Char"/>
    <w:link w:val="BalloonText"/>
    <w:uiPriority w:val="99"/>
    <w:rsid w:val="00B51DB1"/>
    <w:rPr>
      <w:rFonts w:ascii="Tahoma" w:hAnsi="Tahoma" w:cs="Tahoma"/>
      <w:sz w:val="16"/>
      <w:szCs w:val="16"/>
    </w:rPr>
  </w:style>
  <w:style w:type="character" w:styleId="CommentReference">
    <w:name w:val="annotation reference"/>
    <w:uiPriority w:val="99"/>
    <w:rsid w:val="00B51DB1"/>
    <w:rPr>
      <w:sz w:val="16"/>
      <w:szCs w:val="16"/>
    </w:rPr>
  </w:style>
  <w:style w:type="paragraph" w:styleId="CommentText">
    <w:name w:val="annotation text"/>
    <w:basedOn w:val="Normal"/>
    <w:link w:val="CommentTextChar"/>
    <w:uiPriority w:val="99"/>
    <w:rsid w:val="00B51DB1"/>
    <w:rPr>
      <w:szCs w:val="20"/>
    </w:rPr>
  </w:style>
  <w:style w:type="character" w:customStyle="1" w:styleId="CommentTextChar">
    <w:name w:val="Comment Text Char"/>
    <w:basedOn w:val="DefaultParagraphFont"/>
    <w:link w:val="CommentText"/>
    <w:uiPriority w:val="99"/>
    <w:rsid w:val="00B51DB1"/>
  </w:style>
  <w:style w:type="paragraph" w:styleId="CommentSubject">
    <w:name w:val="annotation subject"/>
    <w:basedOn w:val="CommentText"/>
    <w:next w:val="CommentText"/>
    <w:link w:val="CommentSubjectChar"/>
    <w:uiPriority w:val="99"/>
    <w:rsid w:val="00B51DB1"/>
    <w:rPr>
      <w:b/>
      <w:bCs/>
    </w:rPr>
  </w:style>
  <w:style w:type="character" w:customStyle="1" w:styleId="CommentSubjectChar">
    <w:name w:val="Comment Subject Char"/>
    <w:link w:val="CommentSubject"/>
    <w:uiPriority w:val="99"/>
    <w:rsid w:val="00B51DB1"/>
    <w:rPr>
      <w:b/>
      <w:bCs/>
    </w:rPr>
  </w:style>
  <w:style w:type="paragraph" w:styleId="ListParagraph">
    <w:name w:val="List Paragraph"/>
    <w:basedOn w:val="Normal"/>
    <w:uiPriority w:val="72"/>
    <w:qFormat/>
    <w:rsid w:val="00B51DB1"/>
    <w:pPr>
      <w:ind w:left="720"/>
      <w:contextualSpacing/>
    </w:pPr>
  </w:style>
  <w:style w:type="character" w:styleId="PlaceholderText">
    <w:name w:val="Placeholder Text"/>
    <w:uiPriority w:val="99"/>
    <w:unhideWhenUsed/>
    <w:rsid w:val="00D3277C"/>
    <w:rPr>
      <w:color w:val="808080"/>
    </w:rPr>
  </w:style>
  <w:style w:type="paragraph" w:customStyle="1" w:styleId="Doctxt">
    <w:name w:val="Doctxt"/>
    <w:rsid w:val="0029451E"/>
    <w:pPr>
      <w:spacing w:before="120" w:line="260" w:lineRule="atLeast"/>
      <w:jc w:val="both"/>
    </w:pPr>
    <w:rPr>
      <w:rFonts w:eastAsia="SimSun"/>
      <w:szCs w:val="22"/>
      <w:lang w:val="en-US" w:eastAsia="en-US" w:bidi="he-IL"/>
    </w:rPr>
  </w:style>
  <w:style w:type="character" w:styleId="FollowedHyperlink">
    <w:name w:val="FollowedHyperlink"/>
    <w:uiPriority w:val="99"/>
    <w:rsid w:val="00AB0F25"/>
    <w:rPr>
      <w:color w:val="800080"/>
      <w:u w:val="single"/>
    </w:rPr>
  </w:style>
  <w:style w:type="character" w:customStyle="1" w:styleId="DocID">
    <w:name w:val="DocID"/>
    <w:rsid w:val="006501FB"/>
    <w:rPr>
      <w:rFonts w:ascii="Times New Roman" w:hAnsi="Times New Roman" w:cs="Times New Roman"/>
      <w:b w:val="0"/>
      <w:bCs/>
      <w:i w:val="0"/>
      <w:vanish w:val="0"/>
      <w:color w:val="000000"/>
      <w:sz w:val="16"/>
      <w:u w:val="none"/>
      <w:lang w:val="en-US"/>
    </w:rPr>
  </w:style>
  <w:style w:type="paragraph" w:styleId="BodyText2">
    <w:name w:val="Body Text 2"/>
    <w:basedOn w:val="Normal"/>
    <w:link w:val="BodyText2Char"/>
    <w:rsid w:val="00A75C1D"/>
    <w:pPr>
      <w:spacing w:after="120" w:line="480" w:lineRule="auto"/>
    </w:pPr>
  </w:style>
  <w:style w:type="character" w:customStyle="1" w:styleId="BodyText2Char">
    <w:name w:val="Body Text 2 Char"/>
    <w:link w:val="BodyText2"/>
    <w:rsid w:val="00A75C1D"/>
    <w:rPr>
      <w:szCs w:val="22"/>
    </w:rPr>
  </w:style>
  <w:style w:type="paragraph" w:styleId="NoSpacing">
    <w:name w:val="No Spacing"/>
    <w:link w:val="NoSpacingChar"/>
    <w:uiPriority w:val="1"/>
    <w:qFormat/>
    <w:rsid w:val="000547B0"/>
    <w:pPr>
      <w:widowControl w:val="0"/>
      <w:autoSpaceDE w:val="0"/>
      <w:autoSpaceDN w:val="0"/>
      <w:adjustRightInd w:val="0"/>
    </w:pPr>
    <w:rPr>
      <w:szCs w:val="22"/>
      <w:lang w:val="en-US" w:eastAsia="zh-CN" w:bidi="he-IL"/>
    </w:rPr>
  </w:style>
  <w:style w:type="character" w:customStyle="1" w:styleId="NoSpacingChar">
    <w:name w:val="No Spacing Char"/>
    <w:link w:val="NoSpacing"/>
    <w:uiPriority w:val="1"/>
    <w:rsid w:val="00A93D0C"/>
    <w:rPr>
      <w:szCs w:val="22"/>
    </w:rPr>
  </w:style>
  <w:style w:type="paragraph" w:customStyle="1" w:styleId="Default">
    <w:name w:val="Default"/>
    <w:rsid w:val="00AD2B77"/>
    <w:pPr>
      <w:autoSpaceDE w:val="0"/>
      <w:autoSpaceDN w:val="0"/>
      <w:adjustRightInd w:val="0"/>
    </w:pPr>
    <w:rPr>
      <w:rFonts w:ascii="Arial" w:eastAsia="MS Mincho" w:hAnsi="Arial" w:cs="Arial"/>
      <w:color w:val="000000"/>
      <w:sz w:val="24"/>
      <w:szCs w:val="24"/>
      <w:lang w:val="en-US" w:eastAsia="en-US" w:bidi="he-IL"/>
    </w:rPr>
  </w:style>
  <w:style w:type="paragraph" w:customStyle="1" w:styleId="Footnotes">
    <w:name w:val="Footnotes"/>
    <w:basedOn w:val="FootnoteText"/>
    <w:rsid w:val="00D61796"/>
    <w:pPr>
      <w:widowControl/>
      <w:tabs>
        <w:tab w:val="left" w:pos="240"/>
      </w:tabs>
      <w:autoSpaceDE/>
      <w:autoSpaceDN/>
      <w:adjustRightInd/>
      <w:spacing w:before="120"/>
      <w:ind w:left="240" w:hanging="240"/>
      <w:jc w:val="both"/>
    </w:pPr>
    <w:rPr>
      <w:rFonts w:ascii="Arial" w:hAnsi="Arial"/>
      <w:sz w:val="12"/>
      <w:szCs w:val="20"/>
      <w:lang w:eastAsia="en-US"/>
    </w:rPr>
  </w:style>
  <w:style w:type="paragraph" w:customStyle="1" w:styleId="15SMLBody">
    <w:name w:val="15 SML Body"/>
    <w:basedOn w:val="Normal"/>
    <w:rsid w:val="00D61796"/>
    <w:pPr>
      <w:tabs>
        <w:tab w:val="left" w:pos="283"/>
      </w:tabs>
      <w:suppressAutoHyphens/>
      <w:spacing w:after="175" w:line="175" w:lineRule="atLeast"/>
      <w:ind w:right="170"/>
      <w:jc w:val="both"/>
      <w:textAlignment w:val="center"/>
    </w:pPr>
    <w:rPr>
      <w:rFonts w:ascii="AngloSans-Light" w:hAnsi="AngloSans-Light"/>
      <w:color w:val="000000"/>
      <w:spacing w:val="-2"/>
      <w:sz w:val="14"/>
      <w:szCs w:val="14"/>
      <w:lang w:eastAsia="en-US"/>
    </w:rPr>
  </w:style>
  <w:style w:type="paragraph" w:customStyle="1" w:styleId="04Body">
    <w:name w:val="04_Body"/>
    <w:basedOn w:val="ListBullet2"/>
    <w:qFormat/>
    <w:rsid w:val="00D61796"/>
    <w:pPr>
      <w:widowControl/>
      <w:numPr>
        <w:numId w:val="0"/>
      </w:numPr>
      <w:autoSpaceDE/>
      <w:autoSpaceDN/>
      <w:adjustRightInd/>
      <w:contextualSpacing w:val="0"/>
      <w:jc w:val="both"/>
    </w:pPr>
    <w:rPr>
      <w:rFonts w:ascii="Arial" w:hAnsi="Arial" w:cs="Arial"/>
      <w:szCs w:val="20"/>
      <w:lang w:eastAsia="en-US"/>
    </w:rPr>
  </w:style>
  <w:style w:type="paragraph" w:styleId="ListBullet2">
    <w:name w:val="List Bullet 2"/>
    <w:basedOn w:val="Normal"/>
    <w:uiPriority w:val="99"/>
    <w:rsid w:val="00D61796"/>
    <w:pPr>
      <w:numPr>
        <w:numId w:val="12"/>
      </w:numPr>
      <w:tabs>
        <w:tab w:val="num" w:pos="643"/>
      </w:tabs>
      <w:ind w:left="643"/>
      <w:contextualSpacing/>
    </w:pPr>
  </w:style>
  <w:style w:type="character" w:customStyle="1" w:styleId="bod1study2">
    <w:name w:val="bod_1_study2"/>
    <w:rsid w:val="00294226"/>
    <w:rPr>
      <w:b/>
      <w:bCs/>
    </w:rPr>
  </w:style>
  <w:style w:type="paragraph" w:customStyle="1" w:styleId="04Bodycopy">
    <w:name w:val="04 Body copy"/>
    <w:basedOn w:val="Normal"/>
    <w:rsid w:val="00EB0802"/>
    <w:pPr>
      <w:widowControl/>
      <w:suppressAutoHyphens/>
      <w:spacing w:after="200" w:line="200" w:lineRule="atLeast"/>
    </w:pPr>
    <w:rPr>
      <w:rFonts w:ascii="AngloSans Light" w:eastAsia="MS Mincho" w:hAnsi="AngloSans Light" w:cs="AngloSans Light"/>
      <w:color w:val="000000"/>
      <w:spacing w:val="-3"/>
      <w:sz w:val="18"/>
      <w:szCs w:val="18"/>
    </w:rPr>
  </w:style>
  <w:style w:type="paragraph" w:customStyle="1" w:styleId="AngloBody">
    <w:name w:val="Anglo_Body"/>
    <w:basedOn w:val="BodyText3"/>
    <w:qFormat/>
    <w:rsid w:val="00655801"/>
    <w:pPr>
      <w:widowControl/>
      <w:autoSpaceDE/>
      <w:autoSpaceDN/>
      <w:adjustRightInd/>
      <w:spacing w:after="0"/>
      <w:jc w:val="both"/>
    </w:pPr>
    <w:rPr>
      <w:rFonts w:ascii="Arial" w:hAnsi="Arial" w:cs="Arial"/>
      <w:sz w:val="20"/>
      <w:szCs w:val="24"/>
      <w:lang w:eastAsia="en-US"/>
    </w:rPr>
  </w:style>
  <w:style w:type="paragraph" w:styleId="BodyText3">
    <w:name w:val="Body Text 3"/>
    <w:basedOn w:val="Normal"/>
    <w:link w:val="BodyText3Char"/>
    <w:rsid w:val="00655801"/>
    <w:pPr>
      <w:spacing w:after="120"/>
    </w:pPr>
    <w:rPr>
      <w:sz w:val="16"/>
      <w:szCs w:val="16"/>
    </w:rPr>
  </w:style>
  <w:style w:type="character" w:customStyle="1" w:styleId="BodyText3Char">
    <w:name w:val="Body Text 3 Char"/>
    <w:link w:val="BodyText3"/>
    <w:rsid w:val="00655801"/>
    <w:rPr>
      <w:sz w:val="16"/>
      <w:szCs w:val="16"/>
    </w:rPr>
  </w:style>
  <w:style w:type="character" w:customStyle="1" w:styleId="BlockTextChar">
    <w:name w:val="Block Text Char"/>
    <w:link w:val="BlockText"/>
    <w:locked/>
    <w:rsid w:val="000D0405"/>
    <w:rPr>
      <w:rFonts w:ascii="SimSun" w:eastAsia="SimSun" w:hAnsi="SimSun"/>
      <w:iCs/>
      <w:sz w:val="24"/>
      <w:szCs w:val="24"/>
      <w:lang w:eastAsia="en-US"/>
    </w:rPr>
  </w:style>
  <w:style w:type="paragraph" w:styleId="BlockText">
    <w:name w:val="Block Text"/>
    <w:basedOn w:val="Normal"/>
    <w:link w:val="BlockTextChar"/>
    <w:unhideWhenUsed/>
    <w:qFormat/>
    <w:rsid w:val="000D0405"/>
    <w:pPr>
      <w:widowControl/>
      <w:autoSpaceDE/>
      <w:autoSpaceDN/>
      <w:adjustRightInd/>
      <w:spacing w:after="240"/>
    </w:pPr>
    <w:rPr>
      <w:rFonts w:ascii="SimSun" w:eastAsia="SimSun" w:hAnsi="SimSun"/>
      <w:iCs/>
      <w:sz w:val="24"/>
      <w:szCs w:val="24"/>
      <w:lang w:eastAsia="en-US"/>
    </w:rPr>
  </w:style>
  <w:style w:type="paragraph" w:styleId="NormalWeb">
    <w:name w:val="Normal (Web)"/>
    <w:basedOn w:val="Normal"/>
    <w:uiPriority w:val="99"/>
    <w:unhideWhenUsed/>
    <w:rsid w:val="001A48FC"/>
    <w:pPr>
      <w:widowControl/>
      <w:autoSpaceDE/>
      <w:autoSpaceDN/>
      <w:adjustRightInd/>
      <w:spacing w:before="100" w:beforeAutospacing="1" w:after="150"/>
    </w:pPr>
    <w:rPr>
      <w:sz w:val="24"/>
      <w:szCs w:val="24"/>
    </w:rPr>
  </w:style>
  <w:style w:type="paragraph" w:customStyle="1" w:styleId="WWBodyText">
    <w:name w:val="WW_BodyText"/>
    <w:basedOn w:val="Normal"/>
    <w:rsid w:val="005E0FE9"/>
    <w:pPr>
      <w:widowControl/>
      <w:suppressAutoHyphens/>
      <w:autoSpaceDE/>
      <w:autoSpaceDN/>
      <w:adjustRightInd/>
      <w:spacing w:after="240" w:line="360" w:lineRule="auto"/>
      <w:jc w:val="both"/>
    </w:pPr>
    <w:rPr>
      <w:rFonts w:ascii="Arial" w:hAnsi="Arial"/>
      <w:sz w:val="22"/>
      <w:szCs w:val="24"/>
    </w:rPr>
  </w:style>
  <w:style w:type="character" w:customStyle="1" w:styleId="DeltaViewInsertion">
    <w:name w:val="DeltaView Insertion"/>
    <w:uiPriority w:val="99"/>
    <w:rsid w:val="00525617"/>
    <w:rPr>
      <w:color w:val="0000FF"/>
      <w:u w:val="single"/>
    </w:rPr>
  </w:style>
  <w:style w:type="character" w:customStyle="1" w:styleId="DeltaViewMoveDestination">
    <w:name w:val="DeltaView Move Destination"/>
    <w:uiPriority w:val="99"/>
    <w:rsid w:val="00525617"/>
    <w:rPr>
      <w:color w:val="00C000"/>
      <w:u w:val="single"/>
    </w:rPr>
  </w:style>
  <w:style w:type="paragraph" w:styleId="Revision">
    <w:name w:val="Revision"/>
    <w:hidden/>
    <w:uiPriority w:val="99"/>
    <w:rsid w:val="004A6148"/>
    <w:rPr>
      <w:szCs w:val="22"/>
      <w:lang w:val="en-US" w:eastAsia="zh-CN" w:bidi="he-IL"/>
    </w:rPr>
  </w:style>
  <w:style w:type="paragraph" w:styleId="List">
    <w:name w:val="List"/>
    <w:basedOn w:val="Normal"/>
    <w:rsid w:val="008F3E4F"/>
    <w:pPr>
      <w:ind w:left="283" w:hanging="283"/>
      <w:contextualSpacing/>
    </w:pPr>
  </w:style>
  <w:style w:type="paragraph" w:styleId="List2">
    <w:name w:val="List 2"/>
    <w:basedOn w:val="Normal"/>
    <w:rsid w:val="008F3E4F"/>
    <w:pPr>
      <w:ind w:left="566" w:hanging="283"/>
      <w:contextualSpacing/>
    </w:pPr>
  </w:style>
  <w:style w:type="paragraph" w:styleId="List3">
    <w:name w:val="List 3"/>
    <w:basedOn w:val="Normal"/>
    <w:rsid w:val="008F3E4F"/>
    <w:pPr>
      <w:ind w:left="849" w:hanging="283"/>
      <w:contextualSpacing/>
    </w:pPr>
  </w:style>
  <w:style w:type="paragraph" w:styleId="ListBullet3">
    <w:name w:val="List Bullet 3"/>
    <w:basedOn w:val="Normal"/>
    <w:rsid w:val="008F3E4F"/>
    <w:pPr>
      <w:numPr>
        <w:numId w:val="16"/>
      </w:numPr>
      <w:contextualSpacing/>
    </w:pPr>
  </w:style>
  <w:style w:type="paragraph" w:styleId="ListContinue2">
    <w:name w:val="List Continue 2"/>
    <w:basedOn w:val="Normal"/>
    <w:rsid w:val="008F3E4F"/>
    <w:pPr>
      <w:spacing w:after="120"/>
      <w:ind w:left="566"/>
      <w:contextualSpacing/>
    </w:pPr>
  </w:style>
  <w:style w:type="paragraph" w:customStyle="1" w:styleId="InsideAddress">
    <w:name w:val="Inside Address"/>
    <w:basedOn w:val="Normal"/>
    <w:rsid w:val="008F3E4F"/>
  </w:style>
  <w:style w:type="paragraph" w:styleId="BodyTextIndent">
    <w:name w:val="Body Text Indent"/>
    <w:basedOn w:val="Normal"/>
    <w:link w:val="BodyTextIndentChar"/>
    <w:rsid w:val="008F3E4F"/>
    <w:pPr>
      <w:spacing w:after="120"/>
      <w:ind w:left="283"/>
    </w:pPr>
  </w:style>
  <w:style w:type="character" w:customStyle="1" w:styleId="BodyTextIndentChar">
    <w:name w:val="Body Text Indent Char"/>
    <w:link w:val="BodyTextIndent"/>
    <w:rsid w:val="008F3E4F"/>
    <w:rPr>
      <w:szCs w:val="22"/>
      <w:lang w:val="en-US"/>
    </w:rPr>
  </w:style>
  <w:style w:type="paragraph" w:styleId="BodyTextFirstIndent">
    <w:name w:val="Body Text First Indent"/>
    <w:basedOn w:val="BodyText"/>
    <w:link w:val="BodyTextFirstIndentChar"/>
    <w:rsid w:val="008F3E4F"/>
    <w:pPr>
      <w:spacing w:after="0"/>
      <w:ind w:firstLine="360"/>
    </w:pPr>
  </w:style>
  <w:style w:type="character" w:customStyle="1" w:styleId="BodyTextFirstIndentChar">
    <w:name w:val="Body Text First Indent Char"/>
    <w:link w:val="BodyTextFirstIndent"/>
    <w:rsid w:val="008F3E4F"/>
    <w:rPr>
      <w:szCs w:val="22"/>
      <w:lang w:val="en-US"/>
    </w:rPr>
  </w:style>
  <w:style w:type="paragraph" w:styleId="BodyTextFirstIndent2">
    <w:name w:val="Body Text First Indent 2"/>
    <w:basedOn w:val="BodyTextIndent"/>
    <w:link w:val="BodyTextFirstIndent2Char"/>
    <w:rsid w:val="008F3E4F"/>
    <w:pPr>
      <w:spacing w:after="0"/>
      <w:ind w:left="360" w:firstLine="360"/>
    </w:pPr>
  </w:style>
  <w:style w:type="character" w:customStyle="1" w:styleId="BodyTextFirstIndent2Char">
    <w:name w:val="Body Text First Indent 2 Char"/>
    <w:link w:val="BodyTextFirstIndent2"/>
    <w:rsid w:val="008F3E4F"/>
    <w:rPr>
      <w:szCs w:val="22"/>
      <w:lang w:val="en-US"/>
    </w:rPr>
  </w:style>
  <w:style w:type="character" w:customStyle="1" w:styleId="Table-Highlight-BlueFigsonlyTableStyles">
    <w:name w:val="Table - Highlight - Blue (Figs only) (Table Styles)"/>
    <w:uiPriority w:val="99"/>
    <w:rsid w:val="00F5082A"/>
    <w:rPr>
      <w:rFonts w:ascii="AkzidGrtskNext-Med" w:hAnsi="AkzidGrtskNext-Med" w:cs="AkzidGrtskNext-Med"/>
      <w:color w:val="1C447E"/>
    </w:rPr>
  </w:style>
  <w:style w:type="character" w:customStyle="1" w:styleId="Table-Highlight-BlackTableStyles">
    <w:name w:val="Table - Highlight - Black (Table Styles)"/>
    <w:uiPriority w:val="99"/>
    <w:rsid w:val="00617972"/>
    <w:rPr>
      <w:rFonts w:ascii="AkzidGrtskNext-Med" w:hAnsi="AkzidGrtskNext-Med" w:cs="AkzidGrtskNext-Med"/>
      <w:color w:val="000000"/>
    </w:rPr>
  </w:style>
  <w:style w:type="paragraph" w:customStyle="1" w:styleId="04aBody">
    <w:name w:val="04a_Body"/>
    <w:basedOn w:val="ListBullet2"/>
    <w:qFormat/>
    <w:rsid w:val="004F6606"/>
    <w:pPr>
      <w:widowControl/>
      <w:numPr>
        <w:numId w:val="0"/>
      </w:numPr>
      <w:autoSpaceDE/>
      <w:autoSpaceDN/>
      <w:adjustRightInd/>
      <w:contextualSpacing w:val="0"/>
      <w:jc w:val="both"/>
    </w:pPr>
    <w:rPr>
      <w:rFonts w:ascii="Arial" w:hAnsi="Arial" w:cs="Arial"/>
      <w:szCs w:val="20"/>
      <w:lang w:val="en-GB" w:eastAsia="en-US"/>
    </w:rPr>
  </w:style>
  <w:style w:type="paragraph" w:customStyle="1" w:styleId="AngloBullet">
    <w:name w:val="Anglo_Bullet"/>
    <w:basedOn w:val="BodyText3"/>
    <w:qFormat/>
    <w:rsid w:val="00075FC1"/>
    <w:pPr>
      <w:widowControl/>
      <w:autoSpaceDE/>
      <w:autoSpaceDN/>
      <w:adjustRightInd/>
      <w:ind w:left="170" w:hanging="170"/>
      <w:jc w:val="both"/>
    </w:pPr>
    <w:rPr>
      <w:rFonts w:ascii="Arial" w:hAnsi="Arial" w:cs="Arial"/>
      <w:sz w:val="20"/>
      <w:szCs w:val="24"/>
      <w:lang w:val="en-GB" w:eastAsia="en-US"/>
    </w:rPr>
  </w:style>
  <w:style w:type="paragraph" w:customStyle="1" w:styleId="Head1">
    <w:name w:val="Head1"/>
    <w:rsid w:val="00F45FA9"/>
    <w:pPr>
      <w:keepNext/>
      <w:spacing w:before="120" w:line="260" w:lineRule="atLeast"/>
      <w:jc w:val="both"/>
    </w:pPr>
    <w:rPr>
      <w:rFonts w:cs="Arial"/>
      <w:b/>
      <w:bCs/>
      <w:kern w:val="28"/>
      <w:szCs w:val="32"/>
      <w:lang w:val="en-US" w:eastAsia="en-US" w:bidi="he-IL"/>
    </w:rPr>
  </w:style>
  <w:style w:type="paragraph" w:styleId="Title">
    <w:name w:val="Title"/>
    <w:link w:val="TitleChar"/>
    <w:qFormat/>
    <w:rsid w:val="000F4A2D"/>
    <w:pPr>
      <w:pageBreakBefore/>
      <w:spacing w:before="120" w:line="260" w:lineRule="atLeast"/>
      <w:jc w:val="center"/>
      <w:outlineLvl w:val="0"/>
    </w:pPr>
    <w:rPr>
      <w:rFonts w:ascii="Times New Roman Bold" w:hAnsi="Times New Roman Bold" w:cs="Arial"/>
      <w:b/>
      <w:bCs/>
      <w:caps/>
      <w:kern w:val="28"/>
      <w:szCs w:val="32"/>
      <w:lang w:val="en-US" w:eastAsia="en-US" w:bidi="he-IL"/>
    </w:rPr>
  </w:style>
  <w:style w:type="character" w:customStyle="1" w:styleId="TitleChar">
    <w:name w:val="Title Char"/>
    <w:link w:val="Title"/>
    <w:rsid w:val="000F4A2D"/>
    <w:rPr>
      <w:rFonts w:ascii="Times New Roman Bold" w:hAnsi="Times New Roman Bold" w:cs="Arial"/>
      <w:b/>
      <w:bCs/>
      <w:caps/>
      <w:kern w:val="28"/>
      <w:szCs w:val="32"/>
      <w:lang w:eastAsia="en-US"/>
    </w:rPr>
  </w:style>
  <w:style w:type="paragraph" w:customStyle="1" w:styleId="Head2">
    <w:name w:val="Head2"/>
    <w:rsid w:val="000F4A2D"/>
    <w:pPr>
      <w:keepNext/>
      <w:spacing w:before="120" w:line="260" w:lineRule="atLeast"/>
      <w:jc w:val="both"/>
    </w:pPr>
    <w:rPr>
      <w:rFonts w:cs="Arial"/>
      <w:b/>
      <w:bCs/>
      <w:i/>
      <w:kern w:val="28"/>
      <w:szCs w:val="32"/>
      <w:lang w:val="en-US" w:eastAsia="en-US" w:bidi="he-IL"/>
    </w:rPr>
  </w:style>
  <w:style w:type="table" w:styleId="TableGrid">
    <w:name w:val="Table Grid"/>
    <w:basedOn w:val="TableNormal"/>
    <w:uiPriority w:val="59"/>
    <w:rsid w:val="00B71C0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Text">
    <w:name w:val="Footer Disclaimer Text"/>
    <w:basedOn w:val="Normal"/>
    <w:rsid w:val="00B71C06"/>
    <w:pPr>
      <w:widowControl/>
      <w:autoSpaceDE/>
      <w:autoSpaceDN/>
      <w:adjustRightInd/>
      <w:spacing w:line="144" w:lineRule="atLeast"/>
    </w:pPr>
    <w:rPr>
      <w:rFonts w:ascii="Arial" w:eastAsia="MS Mincho" w:hAnsi="Arial" w:cs="Mangal"/>
      <w:sz w:val="12"/>
      <w:szCs w:val="24"/>
      <w:lang w:val="en-GB" w:eastAsia="ja-JP"/>
    </w:rPr>
  </w:style>
  <w:style w:type="paragraph" w:customStyle="1" w:styleId="FooterMemberText">
    <w:name w:val="Footer Member Text"/>
    <w:basedOn w:val="Normal"/>
    <w:rsid w:val="00B71C06"/>
    <w:pPr>
      <w:widowControl/>
      <w:autoSpaceDE/>
      <w:autoSpaceDN/>
      <w:adjustRightInd/>
      <w:spacing w:after="80" w:line="192" w:lineRule="atLeast"/>
    </w:pPr>
    <w:rPr>
      <w:rFonts w:ascii="Arial" w:eastAsia="MS Mincho" w:hAnsi="Arial" w:cs="Mangal"/>
      <w:b/>
      <w:sz w:val="16"/>
      <w:szCs w:val="24"/>
      <w:lang w:val="en-GB" w:eastAsia="ja-JP"/>
    </w:rPr>
  </w:style>
  <w:style w:type="paragraph" w:customStyle="1" w:styleId="FooterdisclaimerTextBold">
    <w:name w:val="Footer disclaimer Text (Bold)"/>
    <w:basedOn w:val="FooterDisclaimerText"/>
    <w:rsid w:val="00B71C06"/>
    <w:rPr>
      <w:b/>
    </w:rPr>
  </w:style>
  <w:style w:type="paragraph" w:customStyle="1" w:styleId="BodyTextBold">
    <w:name w:val="Body Text (Bold)"/>
    <w:basedOn w:val="BodyText"/>
    <w:link w:val="BodyTextBoldChar"/>
    <w:rsid w:val="00B71C06"/>
    <w:pPr>
      <w:widowControl/>
      <w:autoSpaceDE/>
      <w:autoSpaceDN/>
      <w:adjustRightInd/>
      <w:spacing w:after="0" w:line="240" w:lineRule="atLeast"/>
    </w:pPr>
    <w:rPr>
      <w:rFonts w:ascii="Arial" w:eastAsia="MS Mincho" w:hAnsi="Arial" w:cs="Mangal"/>
      <w:b/>
      <w:szCs w:val="24"/>
      <w:lang w:val="en-GB" w:eastAsia="ja-JP"/>
    </w:rPr>
  </w:style>
  <w:style w:type="character" w:customStyle="1" w:styleId="BodyTextBoldChar">
    <w:name w:val="Body Text (Bold) Char"/>
    <w:link w:val="BodyTextBold"/>
    <w:rsid w:val="00B71C06"/>
    <w:rPr>
      <w:rFonts w:ascii="Arial" w:eastAsia="MS Mincho" w:hAnsi="Arial" w:cs="Mangal"/>
      <w:b/>
      <w:szCs w:val="24"/>
      <w:lang w:eastAsia="ja-JP"/>
    </w:rPr>
  </w:style>
  <w:style w:type="paragraph" w:customStyle="1" w:styleId="NewsReleaseTitle">
    <w:name w:val="News Release Title"/>
    <w:basedOn w:val="Normal"/>
    <w:rsid w:val="00B71C06"/>
    <w:pPr>
      <w:widowControl/>
      <w:autoSpaceDE/>
      <w:autoSpaceDN/>
      <w:adjustRightInd/>
      <w:spacing w:line="240" w:lineRule="atLeast"/>
    </w:pPr>
    <w:rPr>
      <w:rFonts w:ascii="Arial" w:eastAsia="MS Mincho" w:hAnsi="Arial" w:cs="Mangal"/>
      <w:b/>
      <w:szCs w:val="24"/>
      <w:lang w:val="en-GB" w:eastAsia="ja-JP"/>
    </w:rPr>
  </w:style>
  <w:style w:type="paragraph" w:customStyle="1" w:styleId="DraftIssueTime">
    <w:name w:val="Draft Issue &amp; Time"/>
    <w:basedOn w:val="BodyText"/>
    <w:rsid w:val="00B71C06"/>
    <w:pPr>
      <w:framePr w:hSpace="181" w:wrap="around" w:vAnchor="page" w:hAnchor="page" w:x="5200" w:y="1107"/>
      <w:widowControl/>
      <w:autoSpaceDE/>
      <w:autoSpaceDN/>
      <w:adjustRightInd/>
      <w:spacing w:after="0" w:line="240" w:lineRule="atLeast"/>
      <w:jc w:val="right"/>
    </w:pPr>
    <w:rPr>
      <w:rFonts w:ascii="Arial" w:eastAsia="MS Mincho" w:hAnsi="Arial" w:cs="Mangal"/>
      <w:szCs w:val="24"/>
      <w:lang w:val="en-GB" w:eastAsia="ja-JP"/>
    </w:rPr>
  </w:style>
  <w:style w:type="paragraph" w:styleId="PlainText">
    <w:name w:val="Plain Text"/>
    <w:basedOn w:val="Normal"/>
    <w:link w:val="PlainTextChar"/>
    <w:uiPriority w:val="99"/>
    <w:rsid w:val="00B71C06"/>
    <w:pPr>
      <w:widowControl/>
      <w:autoSpaceDE/>
      <w:autoSpaceDN/>
      <w:adjustRightInd/>
    </w:pPr>
    <w:rPr>
      <w:rFonts w:ascii="Courier New" w:eastAsia="MS Mincho" w:hAnsi="Courier New"/>
      <w:szCs w:val="20"/>
      <w:lang w:val="en-GB" w:eastAsia="ja-JP"/>
    </w:rPr>
  </w:style>
  <w:style w:type="character" w:customStyle="1" w:styleId="PlainTextChar">
    <w:name w:val="Plain Text Char"/>
    <w:link w:val="PlainText"/>
    <w:uiPriority w:val="99"/>
    <w:rsid w:val="00B71C06"/>
    <w:rPr>
      <w:rFonts w:ascii="Courier New" w:eastAsia="MS Mincho" w:hAnsi="Courier New"/>
      <w:lang w:eastAsia="ja-JP"/>
    </w:rPr>
  </w:style>
  <w:style w:type="paragraph" w:customStyle="1" w:styleId="body">
    <w:name w:val="body"/>
    <w:basedOn w:val="Normal"/>
    <w:rsid w:val="00B71C06"/>
    <w:pPr>
      <w:widowControl/>
      <w:autoSpaceDE/>
      <w:autoSpaceDN/>
      <w:adjustRightInd/>
      <w:spacing w:before="100" w:beforeAutospacing="1" w:after="100" w:afterAutospacing="1"/>
    </w:pPr>
    <w:rPr>
      <w:sz w:val="24"/>
      <w:szCs w:val="24"/>
      <w:lang w:eastAsia="en-US"/>
    </w:rPr>
  </w:style>
  <w:style w:type="paragraph" w:styleId="ListBullet">
    <w:name w:val="List Bullet"/>
    <w:basedOn w:val="Normal"/>
    <w:rsid w:val="00AF5379"/>
    <w:pPr>
      <w:widowControl/>
      <w:numPr>
        <w:numId w:val="17"/>
      </w:numPr>
      <w:autoSpaceDE/>
      <w:autoSpaceDN/>
      <w:adjustRightInd/>
      <w:spacing w:after="120"/>
    </w:pPr>
    <w:rPr>
      <w:rFonts w:eastAsia="MS Mincho" w:cs="Mangal"/>
      <w:szCs w:val="24"/>
      <w:lang w:val="en-GB" w:eastAsia="ja-JP"/>
    </w:rPr>
  </w:style>
  <w:style w:type="paragraph" w:customStyle="1" w:styleId="AngloFootnotes">
    <w:name w:val="Anglo_Footnotes"/>
    <w:basedOn w:val="Normal"/>
    <w:qFormat/>
    <w:rsid w:val="00B71C06"/>
    <w:pPr>
      <w:widowControl/>
      <w:tabs>
        <w:tab w:val="left" w:pos="180"/>
      </w:tabs>
      <w:autoSpaceDE/>
      <w:autoSpaceDN/>
      <w:adjustRightInd/>
      <w:ind w:left="180" w:hanging="180"/>
      <w:jc w:val="both"/>
    </w:pPr>
    <w:rPr>
      <w:rFonts w:ascii="Arial" w:hAnsi="Arial"/>
      <w:sz w:val="12"/>
      <w:szCs w:val="12"/>
      <w:lang w:val="en-GB" w:eastAsia="en-US"/>
    </w:rPr>
  </w:style>
  <w:style w:type="character" w:styleId="Strong">
    <w:name w:val="Strong"/>
    <w:qFormat/>
    <w:rsid w:val="00B71C06"/>
    <w:rPr>
      <w:b/>
      <w:bCs/>
    </w:rPr>
  </w:style>
  <w:style w:type="character" w:customStyle="1" w:styleId="s38">
    <w:name w:val="s38"/>
    <w:basedOn w:val="DefaultParagraphFont"/>
    <w:rsid w:val="00B71C06"/>
  </w:style>
  <w:style w:type="character" w:customStyle="1" w:styleId="s39">
    <w:name w:val="s39"/>
    <w:basedOn w:val="DefaultParagraphFont"/>
    <w:rsid w:val="00B71C06"/>
  </w:style>
  <w:style w:type="character" w:customStyle="1" w:styleId="s11">
    <w:name w:val="s11"/>
    <w:basedOn w:val="DefaultParagraphFont"/>
    <w:rsid w:val="00B71C06"/>
  </w:style>
  <w:style w:type="paragraph" w:customStyle="1" w:styleId="04abody0">
    <w:name w:val="04abody"/>
    <w:basedOn w:val="Normal"/>
    <w:rsid w:val="00B71C06"/>
    <w:pPr>
      <w:widowControl/>
      <w:autoSpaceDE/>
      <w:autoSpaceDN/>
      <w:adjustRightInd/>
      <w:spacing w:before="100" w:beforeAutospacing="1" w:after="100" w:afterAutospacing="1"/>
    </w:pPr>
    <w:rPr>
      <w:rFonts w:eastAsia="Calibri"/>
      <w:sz w:val="24"/>
      <w:szCs w:val="24"/>
      <w:lang w:val="en-GB"/>
    </w:rPr>
  </w:style>
  <w:style w:type="character" w:customStyle="1" w:styleId="Heading8Char">
    <w:name w:val="Heading 8 Char"/>
    <w:link w:val="Heading8"/>
    <w:semiHidden/>
    <w:rsid w:val="00FE6AF5"/>
    <w:rPr>
      <w:rFonts w:eastAsia="SimSun"/>
    </w:rPr>
  </w:style>
  <w:style w:type="character" w:customStyle="1" w:styleId="Heading9Char">
    <w:name w:val="Heading 9 Char"/>
    <w:link w:val="Heading9"/>
    <w:semiHidden/>
    <w:rsid w:val="00FE6AF5"/>
    <w:rPr>
      <w:rFonts w:eastAsia="SimSun"/>
      <w:iCs/>
    </w:rPr>
  </w:style>
  <w:style w:type="paragraph" w:styleId="Bibliography">
    <w:name w:val="Bibliography"/>
    <w:basedOn w:val="Normal"/>
    <w:next w:val="Normal"/>
    <w:uiPriority w:val="70"/>
    <w:rsid w:val="003D6160"/>
  </w:style>
  <w:style w:type="paragraph" w:styleId="BodyTextIndent2">
    <w:name w:val="Body Text Indent 2"/>
    <w:basedOn w:val="Normal"/>
    <w:link w:val="BodyTextIndent2Char"/>
    <w:rsid w:val="003D6160"/>
    <w:pPr>
      <w:spacing w:after="120" w:line="480" w:lineRule="auto"/>
      <w:ind w:left="283"/>
    </w:pPr>
  </w:style>
  <w:style w:type="character" w:customStyle="1" w:styleId="BodyTextIndent2Char">
    <w:name w:val="Body Text Indent 2 Char"/>
    <w:link w:val="BodyTextIndent2"/>
    <w:rsid w:val="003D6160"/>
    <w:rPr>
      <w:szCs w:val="22"/>
      <w:lang w:val="en-US"/>
    </w:rPr>
  </w:style>
  <w:style w:type="paragraph" w:styleId="BodyTextIndent3">
    <w:name w:val="Body Text Indent 3"/>
    <w:basedOn w:val="Normal"/>
    <w:link w:val="BodyTextIndent3Char"/>
    <w:rsid w:val="003D6160"/>
    <w:pPr>
      <w:spacing w:after="120"/>
      <w:ind w:left="283"/>
    </w:pPr>
    <w:rPr>
      <w:sz w:val="16"/>
      <w:szCs w:val="16"/>
    </w:rPr>
  </w:style>
  <w:style w:type="character" w:customStyle="1" w:styleId="BodyTextIndent3Char">
    <w:name w:val="Body Text Indent 3 Char"/>
    <w:link w:val="BodyTextIndent3"/>
    <w:rsid w:val="003D6160"/>
    <w:rPr>
      <w:sz w:val="16"/>
      <w:szCs w:val="16"/>
      <w:lang w:val="en-US"/>
    </w:rPr>
  </w:style>
  <w:style w:type="paragraph" w:styleId="Closing">
    <w:name w:val="Closing"/>
    <w:basedOn w:val="Normal"/>
    <w:link w:val="ClosingChar"/>
    <w:rsid w:val="003D6160"/>
    <w:pPr>
      <w:ind w:left="4252"/>
    </w:pPr>
  </w:style>
  <w:style w:type="character" w:customStyle="1" w:styleId="ClosingChar">
    <w:name w:val="Closing Char"/>
    <w:link w:val="Closing"/>
    <w:rsid w:val="003D6160"/>
    <w:rPr>
      <w:szCs w:val="22"/>
      <w:lang w:val="en-US"/>
    </w:rPr>
  </w:style>
  <w:style w:type="paragraph" w:styleId="Date">
    <w:name w:val="Date"/>
    <w:basedOn w:val="Normal"/>
    <w:next w:val="Normal"/>
    <w:link w:val="DateChar"/>
    <w:rsid w:val="003D6160"/>
  </w:style>
  <w:style w:type="character" w:customStyle="1" w:styleId="DateChar">
    <w:name w:val="Date Char"/>
    <w:link w:val="Date"/>
    <w:rsid w:val="003D6160"/>
    <w:rPr>
      <w:szCs w:val="22"/>
      <w:lang w:val="en-US"/>
    </w:rPr>
  </w:style>
  <w:style w:type="paragraph" w:styleId="DocumentMap">
    <w:name w:val="Document Map"/>
    <w:basedOn w:val="Normal"/>
    <w:link w:val="DocumentMapChar"/>
    <w:rsid w:val="003D6160"/>
    <w:rPr>
      <w:rFonts w:ascii="Tahoma" w:hAnsi="Tahoma" w:cs="Tahoma"/>
      <w:sz w:val="16"/>
      <w:szCs w:val="16"/>
    </w:rPr>
  </w:style>
  <w:style w:type="character" w:customStyle="1" w:styleId="DocumentMapChar">
    <w:name w:val="Document Map Char"/>
    <w:link w:val="DocumentMap"/>
    <w:rsid w:val="003D6160"/>
    <w:rPr>
      <w:rFonts w:ascii="Tahoma" w:hAnsi="Tahoma" w:cs="Tahoma"/>
      <w:sz w:val="16"/>
      <w:szCs w:val="16"/>
      <w:lang w:val="en-US"/>
    </w:rPr>
  </w:style>
  <w:style w:type="paragraph" w:styleId="E-mailSignature">
    <w:name w:val="E-mail Signature"/>
    <w:basedOn w:val="Normal"/>
    <w:link w:val="E-mailSignatureChar"/>
    <w:rsid w:val="003D6160"/>
  </w:style>
  <w:style w:type="character" w:customStyle="1" w:styleId="E-mailSignatureChar">
    <w:name w:val="E-mail Signature Char"/>
    <w:link w:val="E-mailSignature"/>
    <w:rsid w:val="003D6160"/>
    <w:rPr>
      <w:szCs w:val="22"/>
      <w:lang w:val="en-US"/>
    </w:rPr>
  </w:style>
  <w:style w:type="paragraph" w:styleId="EnvelopeAddress">
    <w:name w:val="envelope address"/>
    <w:basedOn w:val="Normal"/>
    <w:rsid w:val="003D6160"/>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3D6160"/>
    <w:rPr>
      <w:rFonts w:ascii="Cambria" w:eastAsia="SimSun" w:hAnsi="Cambria"/>
      <w:szCs w:val="20"/>
    </w:rPr>
  </w:style>
  <w:style w:type="paragraph" w:styleId="HTMLAddress">
    <w:name w:val="HTML Address"/>
    <w:basedOn w:val="Normal"/>
    <w:link w:val="HTMLAddressChar"/>
    <w:rsid w:val="003D6160"/>
    <w:rPr>
      <w:i/>
      <w:iCs/>
    </w:rPr>
  </w:style>
  <w:style w:type="character" w:customStyle="1" w:styleId="HTMLAddressChar">
    <w:name w:val="HTML Address Char"/>
    <w:link w:val="HTMLAddress"/>
    <w:rsid w:val="003D6160"/>
    <w:rPr>
      <w:i/>
      <w:iCs/>
      <w:szCs w:val="22"/>
      <w:lang w:val="en-US"/>
    </w:rPr>
  </w:style>
  <w:style w:type="paragraph" w:styleId="HTMLPreformatted">
    <w:name w:val="HTML Preformatted"/>
    <w:basedOn w:val="Normal"/>
    <w:link w:val="HTMLPreformattedChar"/>
    <w:rsid w:val="003D6160"/>
    <w:rPr>
      <w:rFonts w:ascii="Consolas" w:hAnsi="Consolas" w:cs="Consolas"/>
      <w:szCs w:val="20"/>
    </w:rPr>
  </w:style>
  <w:style w:type="character" w:customStyle="1" w:styleId="HTMLPreformattedChar">
    <w:name w:val="HTML Preformatted Char"/>
    <w:link w:val="HTMLPreformatted"/>
    <w:rsid w:val="003D6160"/>
    <w:rPr>
      <w:rFonts w:ascii="Consolas" w:hAnsi="Consolas" w:cs="Consolas"/>
      <w:lang w:val="en-US"/>
    </w:rPr>
  </w:style>
  <w:style w:type="paragraph" w:styleId="Index3">
    <w:name w:val="index 3"/>
    <w:basedOn w:val="Normal"/>
    <w:next w:val="Normal"/>
    <w:autoRedefine/>
    <w:rsid w:val="003D6160"/>
    <w:pPr>
      <w:ind w:left="600" w:hanging="200"/>
    </w:pPr>
  </w:style>
  <w:style w:type="paragraph" w:styleId="Index4">
    <w:name w:val="index 4"/>
    <w:basedOn w:val="Normal"/>
    <w:next w:val="Normal"/>
    <w:autoRedefine/>
    <w:rsid w:val="003D6160"/>
    <w:pPr>
      <w:ind w:left="800" w:hanging="200"/>
    </w:pPr>
  </w:style>
  <w:style w:type="paragraph" w:styleId="Index5">
    <w:name w:val="index 5"/>
    <w:basedOn w:val="Normal"/>
    <w:next w:val="Normal"/>
    <w:autoRedefine/>
    <w:rsid w:val="003D6160"/>
    <w:pPr>
      <w:ind w:left="1000" w:hanging="200"/>
    </w:pPr>
  </w:style>
  <w:style w:type="paragraph" w:styleId="Index6">
    <w:name w:val="index 6"/>
    <w:basedOn w:val="Normal"/>
    <w:next w:val="Normal"/>
    <w:autoRedefine/>
    <w:rsid w:val="003D6160"/>
    <w:pPr>
      <w:ind w:left="1200" w:hanging="200"/>
    </w:pPr>
  </w:style>
  <w:style w:type="paragraph" w:styleId="Index7">
    <w:name w:val="index 7"/>
    <w:basedOn w:val="Normal"/>
    <w:next w:val="Normal"/>
    <w:autoRedefine/>
    <w:rsid w:val="003D6160"/>
    <w:pPr>
      <w:ind w:left="1400" w:hanging="200"/>
    </w:pPr>
  </w:style>
  <w:style w:type="paragraph" w:styleId="Index8">
    <w:name w:val="index 8"/>
    <w:basedOn w:val="Normal"/>
    <w:next w:val="Normal"/>
    <w:autoRedefine/>
    <w:rsid w:val="003D6160"/>
    <w:pPr>
      <w:ind w:left="1600" w:hanging="200"/>
    </w:pPr>
  </w:style>
  <w:style w:type="paragraph" w:styleId="Index9">
    <w:name w:val="index 9"/>
    <w:basedOn w:val="Normal"/>
    <w:next w:val="Normal"/>
    <w:autoRedefine/>
    <w:rsid w:val="003D6160"/>
    <w:pPr>
      <w:ind w:left="1800" w:hanging="200"/>
    </w:pPr>
  </w:style>
  <w:style w:type="paragraph" w:styleId="IndexHeading">
    <w:name w:val="index heading"/>
    <w:basedOn w:val="Normal"/>
    <w:next w:val="Index1"/>
    <w:rsid w:val="003D6160"/>
    <w:rPr>
      <w:rFonts w:ascii="Cambria" w:eastAsia="SimSun" w:hAnsi="Cambria"/>
      <w:b/>
      <w:bCs/>
    </w:rPr>
  </w:style>
  <w:style w:type="paragraph" w:styleId="IntenseQuote">
    <w:name w:val="Intense Quote"/>
    <w:basedOn w:val="Normal"/>
    <w:next w:val="Normal"/>
    <w:link w:val="IntenseQuoteChar"/>
    <w:uiPriority w:val="60"/>
    <w:qFormat/>
    <w:rsid w:val="003D616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3D6160"/>
    <w:rPr>
      <w:b/>
      <w:bCs/>
      <w:i/>
      <w:iCs/>
      <w:color w:val="4F81BD"/>
      <w:szCs w:val="22"/>
      <w:lang w:val="en-US"/>
    </w:rPr>
  </w:style>
  <w:style w:type="paragraph" w:styleId="List4">
    <w:name w:val="List 4"/>
    <w:basedOn w:val="Normal"/>
    <w:rsid w:val="003D6160"/>
    <w:pPr>
      <w:ind w:left="1132" w:hanging="283"/>
      <w:contextualSpacing/>
    </w:pPr>
  </w:style>
  <w:style w:type="paragraph" w:styleId="List5">
    <w:name w:val="List 5"/>
    <w:basedOn w:val="Normal"/>
    <w:rsid w:val="003D6160"/>
    <w:pPr>
      <w:ind w:left="1415" w:hanging="283"/>
      <w:contextualSpacing/>
    </w:pPr>
  </w:style>
  <w:style w:type="paragraph" w:styleId="ListBullet4">
    <w:name w:val="List Bullet 4"/>
    <w:basedOn w:val="Normal"/>
    <w:rsid w:val="003D6160"/>
    <w:pPr>
      <w:numPr>
        <w:numId w:val="19"/>
      </w:numPr>
      <w:contextualSpacing/>
    </w:pPr>
  </w:style>
  <w:style w:type="paragraph" w:styleId="ListBullet5">
    <w:name w:val="List Bullet 5"/>
    <w:basedOn w:val="Normal"/>
    <w:rsid w:val="003D6160"/>
    <w:pPr>
      <w:numPr>
        <w:numId w:val="20"/>
      </w:numPr>
      <w:contextualSpacing/>
    </w:pPr>
  </w:style>
  <w:style w:type="paragraph" w:styleId="ListContinue">
    <w:name w:val="List Continue"/>
    <w:basedOn w:val="Normal"/>
    <w:rsid w:val="003D6160"/>
    <w:pPr>
      <w:spacing w:after="120"/>
      <w:ind w:left="283"/>
      <w:contextualSpacing/>
    </w:pPr>
  </w:style>
  <w:style w:type="paragraph" w:styleId="ListContinue3">
    <w:name w:val="List Continue 3"/>
    <w:basedOn w:val="Normal"/>
    <w:rsid w:val="003D6160"/>
    <w:pPr>
      <w:spacing w:after="120"/>
      <w:ind w:left="849"/>
      <w:contextualSpacing/>
    </w:pPr>
  </w:style>
  <w:style w:type="paragraph" w:styleId="ListContinue4">
    <w:name w:val="List Continue 4"/>
    <w:basedOn w:val="Normal"/>
    <w:rsid w:val="003D6160"/>
    <w:pPr>
      <w:spacing w:after="120"/>
      <w:ind w:left="1132"/>
      <w:contextualSpacing/>
    </w:pPr>
  </w:style>
  <w:style w:type="paragraph" w:styleId="ListContinue5">
    <w:name w:val="List Continue 5"/>
    <w:basedOn w:val="Normal"/>
    <w:rsid w:val="003D6160"/>
    <w:pPr>
      <w:spacing w:after="120"/>
      <w:ind w:left="1415"/>
      <w:contextualSpacing/>
    </w:pPr>
  </w:style>
  <w:style w:type="paragraph" w:styleId="ListNumber">
    <w:name w:val="List Number"/>
    <w:basedOn w:val="Normal"/>
    <w:rsid w:val="003D6160"/>
    <w:pPr>
      <w:numPr>
        <w:numId w:val="21"/>
      </w:numPr>
      <w:contextualSpacing/>
    </w:pPr>
  </w:style>
  <w:style w:type="paragraph" w:styleId="ListNumber2">
    <w:name w:val="List Number 2"/>
    <w:basedOn w:val="Normal"/>
    <w:rsid w:val="003D6160"/>
    <w:pPr>
      <w:numPr>
        <w:numId w:val="22"/>
      </w:numPr>
      <w:contextualSpacing/>
    </w:pPr>
  </w:style>
  <w:style w:type="paragraph" w:styleId="ListNumber3">
    <w:name w:val="List Number 3"/>
    <w:basedOn w:val="Normal"/>
    <w:rsid w:val="003D6160"/>
    <w:pPr>
      <w:numPr>
        <w:numId w:val="23"/>
      </w:numPr>
      <w:contextualSpacing/>
    </w:pPr>
  </w:style>
  <w:style w:type="paragraph" w:styleId="ListNumber4">
    <w:name w:val="List Number 4"/>
    <w:basedOn w:val="Normal"/>
    <w:rsid w:val="003D6160"/>
    <w:pPr>
      <w:numPr>
        <w:numId w:val="24"/>
      </w:numPr>
      <w:contextualSpacing/>
    </w:pPr>
  </w:style>
  <w:style w:type="paragraph" w:styleId="ListNumber5">
    <w:name w:val="List Number 5"/>
    <w:basedOn w:val="Normal"/>
    <w:rsid w:val="003D6160"/>
    <w:pPr>
      <w:numPr>
        <w:numId w:val="25"/>
      </w:numPr>
      <w:contextualSpacing/>
    </w:pPr>
  </w:style>
  <w:style w:type="paragraph" w:styleId="MacroText">
    <w:name w:val="macro"/>
    <w:link w:val="MacroTextChar"/>
    <w:rsid w:val="003D616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cs="Consolas"/>
      <w:lang w:val="en-US" w:eastAsia="zh-CN" w:bidi="he-IL"/>
    </w:rPr>
  </w:style>
  <w:style w:type="character" w:customStyle="1" w:styleId="MacroTextChar">
    <w:name w:val="Macro Text Char"/>
    <w:link w:val="MacroText"/>
    <w:rsid w:val="003D6160"/>
    <w:rPr>
      <w:rFonts w:ascii="Consolas" w:hAnsi="Consolas" w:cs="Consolas"/>
      <w:lang w:val="en-US"/>
    </w:rPr>
  </w:style>
  <w:style w:type="paragraph" w:styleId="MessageHeader">
    <w:name w:val="Message Header"/>
    <w:basedOn w:val="Normal"/>
    <w:link w:val="MessageHeaderChar"/>
    <w:rsid w:val="003D616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3D6160"/>
    <w:rPr>
      <w:rFonts w:ascii="Cambria" w:eastAsia="SimSun" w:hAnsi="Cambria" w:cs="Times New Roman"/>
      <w:sz w:val="24"/>
      <w:szCs w:val="24"/>
      <w:shd w:val="pct20" w:color="auto" w:fill="auto"/>
      <w:lang w:val="en-US"/>
    </w:rPr>
  </w:style>
  <w:style w:type="paragraph" w:styleId="NormalIndent">
    <w:name w:val="Normal Indent"/>
    <w:basedOn w:val="Normal"/>
    <w:rsid w:val="003D6160"/>
    <w:pPr>
      <w:ind w:left="720"/>
    </w:pPr>
  </w:style>
  <w:style w:type="paragraph" w:customStyle="1" w:styleId="NoteHeading1">
    <w:name w:val="Note Heading1"/>
    <w:basedOn w:val="Normal"/>
    <w:next w:val="Normal"/>
    <w:link w:val="NoteHeadingChar"/>
    <w:rsid w:val="003D6160"/>
  </w:style>
  <w:style w:type="character" w:customStyle="1" w:styleId="NoteHeadingChar">
    <w:name w:val="Note Heading Char"/>
    <w:link w:val="NoteHeading1"/>
    <w:rsid w:val="003D6160"/>
    <w:rPr>
      <w:szCs w:val="22"/>
      <w:lang w:val="en-US"/>
    </w:rPr>
  </w:style>
  <w:style w:type="paragraph" w:styleId="Quote">
    <w:name w:val="Quote"/>
    <w:basedOn w:val="Normal"/>
    <w:next w:val="Normal"/>
    <w:link w:val="QuoteChar"/>
    <w:uiPriority w:val="73"/>
    <w:qFormat/>
    <w:rsid w:val="003D6160"/>
    <w:rPr>
      <w:i/>
      <w:iCs/>
      <w:color w:val="000000"/>
    </w:rPr>
  </w:style>
  <w:style w:type="character" w:customStyle="1" w:styleId="QuoteChar">
    <w:name w:val="Quote Char"/>
    <w:link w:val="Quote"/>
    <w:uiPriority w:val="73"/>
    <w:rsid w:val="003D6160"/>
    <w:rPr>
      <w:i/>
      <w:iCs/>
      <w:color w:val="000000"/>
      <w:szCs w:val="22"/>
      <w:lang w:val="en-US"/>
    </w:rPr>
  </w:style>
  <w:style w:type="paragraph" w:styleId="Salutation">
    <w:name w:val="Salutation"/>
    <w:basedOn w:val="Normal"/>
    <w:next w:val="Normal"/>
    <w:link w:val="SalutationChar"/>
    <w:rsid w:val="003D6160"/>
  </w:style>
  <w:style w:type="character" w:customStyle="1" w:styleId="SalutationChar">
    <w:name w:val="Salutation Char"/>
    <w:link w:val="Salutation"/>
    <w:rsid w:val="003D6160"/>
    <w:rPr>
      <w:szCs w:val="22"/>
      <w:lang w:val="en-US"/>
    </w:rPr>
  </w:style>
  <w:style w:type="paragraph" w:styleId="Signature">
    <w:name w:val="Signature"/>
    <w:basedOn w:val="Normal"/>
    <w:link w:val="SignatureChar"/>
    <w:rsid w:val="003D6160"/>
    <w:pPr>
      <w:ind w:left="4252"/>
    </w:pPr>
  </w:style>
  <w:style w:type="character" w:customStyle="1" w:styleId="SignatureChar">
    <w:name w:val="Signature Char"/>
    <w:link w:val="Signature"/>
    <w:rsid w:val="003D6160"/>
    <w:rPr>
      <w:szCs w:val="22"/>
      <w:lang w:val="en-US"/>
    </w:rPr>
  </w:style>
  <w:style w:type="paragraph" w:styleId="Subtitle">
    <w:name w:val="Subtitle"/>
    <w:basedOn w:val="Normal"/>
    <w:next w:val="Normal"/>
    <w:link w:val="SubtitleChar"/>
    <w:qFormat/>
    <w:rsid w:val="003D6160"/>
    <w:pPr>
      <w:numPr>
        <w:ilvl w:val="1"/>
      </w:numPr>
    </w:pPr>
    <w:rPr>
      <w:rFonts w:ascii="Cambria" w:eastAsia="SimSun" w:hAnsi="Cambria"/>
      <w:i/>
      <w:iCs/>
      <w:color w:val="4F81BD"/>
      <w:spacing w:val="15"/>
      <w:sz w:val="24"/>
      <w:szCs w:val="24"/>
    </w:rPr>
  </w:style>
  <w:style w:type="character" w:customStyle="1" w:styleId="SubtitleChar">
    <w:name w:val="Subtitle Char"/>
    <w:link w:val="Subtitle"/>
    <w:rsid w:val="003D6160"/>
    <w:rPr>
      <w:rFonts w:ascii="Cambria" w:eastAsia="SimSun" w:hAnsi="Cambria" w:cs="Times New Roman"/>
      <w:i/>
      <w:iCs/>
      <w:color w:val="4F81BD"/>
      <w:spacing w:val="15"/>
      <w:sz w:val="24"/>
      <w:szCs w:val="24"/>
      <w:lang w:val="en-US"/>
    </w:rPr>
  </w:style>
  <w:style w:type="paragraph" w:styleId="TableofAuthorities">
    <w:name w:val="table of authorities"/>
    <w:basedOn w:val="Normal"/>
    <w:next w:val="Normal"/>
    <w:rsid w:val="003D6160"/>
    <w:pPr>
      <w:ind w:left="200" w:hanging="200"/>
    </w:pPr>
  </w:style>
  <w:style w:type="paragraph" w:styleId="TableofFigures">
    <w:name w:val="table of figures"/>
    <w:basedOn w:val="Normal"/>
    <w:next w:val="Normal"/>
    <w:rsid w:val="003D6160"/>
  </w:style>
  <w:style w:type="paragraph" w:styleId="TOCHeading">
    <w:name w:val="TOC Heading"/>
    <w:basedOn w:val="Heading1"/>
    <w:next w:val="Normal"/>
    <w:uiPriority w:val="71"/>
    <w:qFormat/>
    <w:rsid w:val="003D6160"/>
    <w:pPr>
      <w:keepLines/>
      <w:widowControl w:val="0"/>
      <w:autoSpaceDE w:val="0"/>
      <w:autoSpaceDN w:val="0"/>
      <w:adjustRightInd w:val="0"/>
      <w:spacing w:before="480" w:after="0" w:line="240" w:lineRule="auto"/>
      <w:jc w:val="left"/>
      <w:outlineLvl w:val="9"/>
    </w:pPr>
    <w:rPr>
      <w:rFonts w:ascii="Cambria" w:eastAsia="SimSun" w:hAnsi="Cambria"/>
      <w:bCs/>
      <w:caps w:val="0"/>
      <w:snapToGrid/>
      <w:color w:val="365F91"/>
      <w:sz w:val="28"/>
      <w:szCs w:val="28"/>
    </w:rPr>
  </w:style>
  <w:style w:type="paragraph" w:customStyle="1" w:styleId="SubHead">
    <w:name w:val="SubHead"/>
    <w:basedOn w:val="Normal"/>
    <w:next w:val="body"/>
    <w:rsid w:val="008A5B7E"/>
    <w:pPr>
      <w:keepNext/>
      <w:widowControl/>
      <w:autoSpaceDE/>
      <w:autoSpaceDN/>
      <w:adjustRightInd/>
      <w:spacing w:before="175" w:after="35" w:line="290" w:lineRule="auto"/>
      <w:ind w:left="425"/>
      <w:jc w:val="both"/>
      <w:outlineLvl w:val="1"/>
    </w:pPr>
    <w:rPr>
      <w:b/>
      <w:kern w:val="20"/>
      <w:sz w:val="21"/>
      <w:szCs w:val="20"/>
      <w:lang w:val="en-GB" w:eastAsia="en-US"/>
    </w:rPr>
  </w:style>
  <w:style w:type="paragraph" w:customStyle="1" w:styleId="Pa10">
    <w:name w:val="Pa10"/>
    <w:basedOn w:val="Normal"/>
    <w:next w:val="Normal"/>
    <w:uiPriority w:val="99"/>
    <w:rsid w:val="00983435"/>
    <w:pPr>
      <w:widowControl/>
      <w:spacing w:line="176" w:lineRule="atLeast"/>
    </w:pPr>
    <w:rPr>
      <w:rFonts w:ascii="DINOT-Bold" w:eastAsia="Calibri" w:hAnsi="DINOT-Bold" w:cs="Arial"/>
      <w:sz w:val="24"/>
      <w:szCs w:val="24"/>
      <w:lang w:eastAsia="en-US"/>
    </w:rPr>
  </w:style>
  <w:style w:type="paragraph" w:customStyle="1" w:styleId="FrontBody">
    <w:name w:val="Front_Body"/>
    <w:basedOn w:val="Normal"/>
    <w:qFormat/>
    <w:rsid w:val="00724304"/>
    <w:pPr>
      <w:widowControl/>
      <w:adjustRightInd/>
      <w:jc w:val="both"/>
    </w:pPr>
    <w:rPr>
      <w:rFonts w:ascii="Arial" w:eastAsia="MS Mincho" w:hAnsi="Arial"/>
      <w:szCs w:val="24"/>
      <w:lang w:eastAsia="en-US"/>
    </w:rPr>
  </w:style>
  <w:style w:type="paragraph" w:customStyle="1" w:styleId="p1">
    <w:name w:val="p1"/>
    <w:basedOn w:val="Normal"/>
    <w:rsid w:val="00CA7CC7"/>
    <w:pPr>
      <w:widowControl/>
      <w:autoSpaceDE/>
      <w:autoSpaceDN/>
      <w:adjustRightInd/>
      <w:spacing w:before="150" w:after="86" w:line="203" w:lineRule="atLeast"/>
    </w:pPr>
    <w:rPr>
      <w:rFonts w:ascii="DINOT-Regular" w:hAnsi="DINOT-Regular"/>
      <w:color w:val="0225C7"/>
      <w:sz w:val="18"/>
      <w:szCs w:val="18"/>
      <w:lang w:val="en-GB"/>
    </w:rPr>
  </w:style>
  <w:style w:type="paragraph" w:customStyle="1" w:styleId="p2">
    <w:name w:val="p2"/>
    <w:basedOn w:val="Normal"/>
    <w:rsid w:val="00CA7CC7"/>
    <w:pPr>
      <w:widowControl/>
      <w:autoSpaceDE/>
      <w:autoSpaceDN/>
      <w:adjustRightInd/>
      <w:spacing w:after="75" w:line="150" w:lineRule="atLeast"/>
    </w:pPr>
    <w:rPr>
      <w:rFonts w:ascii="Akzidenz-Grotesk Next Light" w:hAnsi="Akzidenz-Grotesk Next Light"/>
      <w:sz w:val="14"/>
      <w:szCs w:val="14"/>
      <w:lang w:val="en-GB"/>
    </w:rPr>
  </w:style>
  <w:style w:type="paragraph" w:customStyle="1" w:styleId="p3">
    <w:name w:val="p3"/>
    <w:basedOn w:val="Normal"/>
    <w:rsid w:val="00CA7CC7"/>
    <w:pPr>
      <w:widowControl/>
      <w:autoSpaceDE/>
      <w:autoSpaceDN/>
      <w:adjustRightInd/>
      <w:spacing w:before="150" w:after="75" w:line="150" w:lineRule="atLeast"/>
    </w:pPr>
    <w:rPr>
      <w:rFonts w:ascii="DINOT-Regular" w:hAnsi="DINOT-Regular"/>
      <w:color w:val="0225C7"/>
      <w:sz w:val="14"/>
      <w:szCs w:val="14"/>
      <w:lang w:val="en-GB"/>
    </w:rPr>
  </w:style>
  <w:style w:type="paragraph" w:customStyle="1" w:styleId="p4">
    <w:name w:val="p4"/>
    <w:basedOn w:val="Normal"/>
    <w:rsid w:val="00CA7CC7"/>
    <w:pPr>
      <w:widowControl/>
      <w:autoSpaceDE/>
      <w:autoSpaceDN/>
      <w:adjustRightInd/>
      <w:spacing w:after="75" w:line="150" w:lineRule="atLeast"/>
    </w:pPr>
    <w:rPr>
      <w:rFonts w:ascii="Akzidenz-Grotesk Next Light" w:hAnsi="Akzidenz-Grotesk Next Light"/>
      <w:sz w:val="14"/>
      <w:szCs w:val="14"/>
      <w:lang w:val="en-GB"/>
    </w:rPr>
  </w:style>
  <w:style w:type="paragraph" w:customStyle="1" w:styleId="p5">
    <w:name w:val="p5"/>
    <w:basedOn w:val="Normal"/>
    <w:rsid w:val="00CA7CC7"/>
    <w:pPr>
      <w:widowControl/>
      <w:autoSpaceDE/>
      <w:autoSpaceDN/>
      <w:adjustRightInd/>
      <w:spacing w:before="150" w:after="75" w:line="150" w:lineRule="atLeast"/>
    </w:pPr>
    <w:rPr>
      <w:rFonts w:ascii="DINOT-Regular" w:hAnsi="DINOT-Regular"/>
      <w:color w:val="0225C7"/>
      <w:sz w:val="14"/>
      <w:szCs w:val="14"/>
      <w:lang w:val="en-GB"/>
    </w:rPr>
  </w:style>
  <w:style w:type="paragraph" w:customStyle="1" w:styleId="p6">
    <w:name w:val="p6"/>
    <w:basedOn w:val="Normal"/>
    <w:rsid w:val="00CA7CC7"/>
    <w:pPr>
      <w:widowControl/>
      <w:autoSpaceDE/>
      <w:autoSpaceDN/>
      <w:adjustRightInd/>
      <w:spacing w:line="150" w:lineRule="atLeast"/>
    </w:pPr>
    <w:rPr>
      <w:rFonts w:ascii="Akzidenz-Grotesk Next Regular" w:hAnsi="Akzidenz-Grotesk Next Regular"/>
      <w:color w:val="0225C7"/>
      <w:sz w:val="14"/>
      <w:szCs w:val="14"/>
      <w:lang w:val="en-GB"/>
    </w:rPr>
  </w:style>
  <w:style w:type="character" w:customStyle="1" w:styleId="s1">
    <w:name w:val="s1"/>
    <w:rsid w:val="00CA7CC7"/>
    <w:rPr>
      <w:spacing w:val="-3"/>
    </w:rPr>
  </w:style>
  <w:style w:type="character" w:customStyle="1" w:styleId="s2">
    <w:name w:val="s2"/>
    <w:rsid w:val="00CA7CC7"/>
    <w:rPr>
      <w:spacing w:val="-2"/>
    </w:rPr>
  </w:style>
  <w:style w:type="character" w:customStyle="1" w:styleId="s3">
    <w:name w:val="s3"/>
    <w:rsid w:val="00CA7CC7"/>
    <w:rPr>
      <w:rFonts w:ascii="Akzidenz-Grotesk Next Regular" w:hAnsi="Akzidenz-Grotesk Next Regular" w:hint="default"/>
      <w:spacing w:val="-2"/>
      <w:sz w:val="14"/>
      <w:szCs w:val="14"/>
    </w:rPr>
  </w:style>
  <w:style w:type="character" w:customStyle="1" w:styleId="s4">
    <w:name w:val="s4"/>
    <w:rsid w:val="00CA7CC7"/>
    <w:rPr>
      <w:rFonts w:ascii="Akzidenz-Grotesk Next Regular" w:hAnsi="Akzidenz-Grotesk Next Regular" w:hint="default"/>
      <w:color w:val="FF40FF"/>
      <w:spacing w:val="-2"/>
      <w:sz w:val="14"/>
      <w:szCs w:val="14"/>
    </w:rPr>
  </w:style>
  <w:style w:type="character" w:customStyle="1" w:styleId="apple-converted-space">
    <w:name w:val="apple-converted-space"/>
    <w:basedOn w:val="DefaultParagraphFont"/>
    <w:rsid w:val="00CA7CC7"/>
  </w:style>
  <w:style w:type="paragraph" w:customStyle="1" w:styleId="Body0">
    <w:name w:val="Body"/>
    <w:basedOn w:val="Normal"/>
    <w:link w:val="BodyChar"/>
    <w:uiPriority w:val="99"/>
    <w:rsid w:val="001860DD"/>
    <w:pPr>
      <w:widowControl/>
      <w:autoSpaceDE/>
      <w:autoSpaceDN/>
      <w:adjustRightInd/>
      <w:spacing w:after="140" w:line="290" w:lineRule="auto"/>
      <w:ind w:left="425"/>
      <w:jc w:val="both"/>
    </w:pPr>
    <w:rPr>
      <w:kern w:val="20"/>
      <w:szCs w:val="20"/>
      <w:lang w:val="en-GB" w:eastAsia="en-US"/>
    </w:rPr>
  </w:style>
  <w:style w:type="character" w:customStyle="1" w:styleId="BodyChar">
    <w:name w:val="Body Char"/>
    <w:link w:val="Body0"/>
    <w:uiPriority w:val="99"/>
    <w:rsid w:val="001860DD"/>
    <w:rPr>
      <w:kern w:val="20"/>
      <w:lang w:eastAsia="en-US"/>
    </w:rPr>
  </w:style>
  <w:style w:type="character" w:styleId="SubtleEmphasis">
    <w:name w:val="Subtle Emphasis"/>
    <w:uiPriority w:val="65"/>
    <w:qFormat/>
    <w:rsid w:val="007A7A30"/>
    <w:rPr>
      <w:i/>
      <w:iCs/>
      <w:color w:val="404040"/>
    </w:rPr>
  </w:style>
  <w:style w:type="character" w:styleId="Emphasis">
    <w:name w:val="Emphasis"/>
    <w:qFormat/>
    <w:rsid w:val="007A7A30"/>
    <w:rPr>
      <w:i/>
      <w:iCs/>
    </w:rPr>
  </w:style>
  <w:style w:type="character" w:styleId="IntenseEmphasis">
    <w:name w:val="Intense Emphasis"/>
    <w:uiPriority w:val="66"/>
    <w:qFormat/>
    <w:rsid w:val="007A7A30"/>
    <w:rPr>
      <w:i/>
      <w:iCs/>
      <w:color w:val="4F81BD"/>
    </w:rPr>
  </w:style>
  <w:style w:type="character" w:styleId="SubtleReference">
    <w:name w:val="Subtle Reference"/>
    <w:uiPriority w:val="67"/>
    <w:qFormat/>
    <w:rsid w:val="007A7A30"/>
    <w:rPr>
      <w:smallCaps/>
      <w:color w:val="5A5A5A"/>
    </w:rPr>
  </w:style>
  <w:style w:type="character" w:styleId="IntenseReference">
    <w:name w:val="Intense Reference"/>
    <w:uiPriority w:val="68"/>
    <w:qFormat/>
    <w:rsid w:val="007A7A30"/>
    <w:rPr>
      <w:b/>
      <w:bCs/>
      <w:smallCaps/>
      <w:color w:val="4F81BD"/>
      <w:spacing w:val="5"/>
    </w:rPr>
  </w:style>
  <w:style w:type="character" w:styleId="BookTitle">
    <w:name w:val="Book Title"/>
    <w:uiPriority w:val="69"/>
    <w:qFormat/>
    <w:rsid w:val="007A7A30"/>
    <w:rPr>
      <w:b/>
      <w:bCs/>
      <w:i/>
      <w:iCs/>
      <w:spacing w:val="5"/>
    </w:rPr>
  </w:style>
  <w:style w:type="paragraph" w:customStyle="1" w:styleId="av">
    <w:name w:val="av"/>
    <w:basedOn w:val="Normal"/>
    <w:rsid w:val="009F3BED"/>
    <w:pPr>
      <w:widowControl/>
      <w:autoSpaceDE/>
      <w:autoSpaceDN/>
      <w:adjustRightInd/>
      <w:spacing w:before="100" w:beforeAutospacing="1" w:after="100" w:afterAutospacing="1"/>
    </w:pPr>
    <w:rPr>
      <w:rFonts w:ascii="Calibri" w:eastAsiaTheme="minorHAnsi" w:hAnsi="Calibri" w:cs="Calibri"/>
      <w:sz w:val="22"/>
      <w:lang w:val="en-GB" w:eastAsia="en-GB" w:bidi="ar-SA"/>
    </w:rPr>
  </w:style>
  <w:style w:type="paragraph" w:customStyle="1" w:styleId="aw">
    <w:name w:val="aw"/>
    <w:basedOn w:val="Normal"/>
    <w:rsid w:val="009F3BED"/>
    <w:pPr>
      <w:widowControl/>
      <w:autoSpaceDE/>
      <w:autoSpaceDN/>
      <w:adjustRightInd/>
      <w:spacing w:before="100" w:beforeAutospacing="1" w:after="100" w:afterAutospacing="1"/>
    </w:pPr>
    <w:rPr>
      <w:rFonts w:ascii="Calibri" w:eastAsiaTheme="minorHAnsi" w:hAnsi="Calibri" w:cs="Calibri"/>
      <w:sz w:val="22"/>
      <w:lang w:val="en-GB" w:eastAsia="en-GB" w:bidi="ar-SA"/>
    </w:rPr>
  </w:style>
  <w:style w:type="character" w:customStyle="1" w:styleId="UnresolvedMention">
    <w:name w:val="Unresolved Mention"/>
    <w:basedOn w:val="DefaultParagraphFont"/>
    <w:uiPriority w:val="99"/>
    <w:semiHidden/>
    <w:unhideWhenUsed/>
    <w:rsid w:val="00CE3228"/>
    <w:rPr>
      <w:color w:val="605E5C"/>
      <w:shd w:val="clear" w:color="auto" w:fill="E1DFDD"/>
    </w:rPr>
  </w:style>
  <w:style w:type="paragraph" w:styleId="NoteHeading">
    <w:name w:val="Note Heading"/>
    <w:basedOn w:val="Normal"/>
    <w:next w:val="Normal"/>
    <w:link w:val="NoteHeadingChar1"/>
    <w:semiHidden/>
    <w:unhideWhenUsed/>
    <w:rsid w:val="0053299E"/>
  </w:style>
  <w:style w:type="character" w:customStyle="1" w:styleId="NoteHeadingChar1">
    <w:name w:val="Note Heading Char1"/>
    <w:basedOn w:val="DefaultParagraphFont"/>
    <w:link w:val="NoteHeading"/>
    <w:semiHidden/>
    <w:rsid w:val="0053299E"/>
    <w:rPr>
      <w:szCs w:val="22"/>
      <w:lang w:val="en-US"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00642">
      <w:bodyDiv w:val="1"/>
      <w:marLeft w:val="0"/>
      <w:marRight w:val="0"/>
      <w:marTop w:val="0"/>
      <w:marBottom w:val="0"/>
      <w:divBdr>
        <w:top w:val="none" w:sz="0" w:space="0" w:color="auto"/>
        <w:left w:val="none" w:sz="0" w:space="0" w:color="auto"/>
        <w:bottom w:val="none" w:sz="0" w:space="0" w:color="auto"/>
        <w:right w:val="none" w:sz="0" w:space="0" w:color="auto"/>
      </w:divBdr>
    </w:div>
    <w:div w:id="718669433">
      <w:bodyDiv w:val="1"/>
      <w:marLeft w:val="0"/>
      <w:marRight w:val="0"/>
      <w:marTop w:val="0"/>
      <w:marBottom w:val="0"/>
      <w:divBdr>
        <w:top w:val="none" w:sz="0" w:space="0" w:color="auto"/>
        <w:left w:val="none" w:sz="0" w:space="0" w:color="auto"/>
        <w:bottom w:val="none" w:sz="0" w:space="0" w:color="auto"/>
        <w:right w:val="none" w:sz="0" w:space="0" w:color="auto"/>
      </w:divBdr>
    </w:div>
    <w:div w:id="921180171">
      <w:bodyDiv w:val="1"/>
      <w:marLeft w:val="0"/>
      <w:marRight w:val="0"/>
      <w:marTop w:val="0"/>
      <w:marBottom w:val="0"/>
      <w:divBdr>
        <w:top w:val="none" w:sz="0" w:space="0" w:color="auto"/>
        <w:left w:val="none" w:sz="0" w:space="0" w:color="auto"/>
        <w:bottom w:val="none" w:sz="0" w:space="0" w:color="auto"/>
        <w:right w:val="none" w:sz="0" w:space="0" w:color="auto"/>
      </w:divBdr>
    </w:div>
    <w:div w:id="1046490676">
      <w:bodyDiv w:val="1"/>
      <w:marLeft w:val="0"/>
      <w:marRight w:val="0"/>
      <w:marTop w:val="0"/>
      <w:marBottom w:val="0"/>
      <w:divBdr>
        <w:top w:val="none" w:sz="0" w:space="0" w:color="auto"/>
        <w:left w:val="none" w:sz="0" w:space="0" w:color="auto"/>
        <w:bottom w:val="none" w:sz="0" w:space="0" w:color="auto"/>
        <w:right w:val="none" w:sz="0" w:space="0" w:color="auto"/>
      </w:divBdr>
    </w:div>
    <w:div w:id="1114058581">
      <w:bodyDiv w:val="1"/>
      <w:marLeft w:val="0"/>
      <w:marRight w:val="0"/>
      <w:marTop w:val="0"/>
      <w:marBottom w:val="0"/>
      <w:divBdr>
        <w:top w:val="none" w:sz="0" w:space="0" w:color="auto"/>
        <w:left w:val="none" w:sz="0" w:space="0" w:color="auto"/>
        <w:bottom w:val="none" w:sz="0" w:space="0" w:color="auto"/>
        <w:right w:val="none" w:sz="0" w:space="0" w:color="auto"/>
      </w:divBdr>
    </w:div>
    <w:div w:id="1267300839">
      <w:bodyDiv w:val="1"/>
      <w:marLeft w:val="0"/>
      <w:marRight w:val="0"/>
      <w:marTop w:val="0"/>
      <w:marBottom w:val="0"/>
      <w:divBdr>
        <w:top w:val="none" w:sz="0" w:space="0" w:color="auto"/>
        <w:left w:val="none" w:sz="0" w:space="0" w:color="auto"/>
        <w:bottom w:val="none" w:sz="0" w:space="0" w:color="auto"/>
        <w:right w:val="none" w:sz="0" w:space="0" w:color="auto"/>
      </w:divBdr>
    </w:div>
    <w:div w:id="1427268712">
      <w:bodyDiv w:val="1"/>
      <w:marLeft w:val="0"/>
      <w:marRight w:val="0"/>
      <w:marTop w:val="0"/>
      <w:marBottom w:val="0"/>
      <w:divBdr>
        <w:top w:val="none" w:sz="0" w:space="0" w:color="auto"/>
        <w:left w:val="none" w:sz="0" w:space="0" w:color="auto"/>
        <w:bottom w:val="none" w:sz="0" w:space="0" w:color="auto"/>
        <w:right w:val="none" w:sz="0" w:space="0" w:color="auto"/>
      </w:divBdr>
    </w:div>
    <w:div w:id="1432817033">
      <w:bodyDiv w:val="1"/>
      <w:marLeft w:val="0"/>
      <w:marRight w:val="0"/>
      <w:marTop w:val="0"/>
      <w:marBottom w:val="0"/>
      <w:divBdr>
        <w:top w:val="none" w:sz="0" w:space="0" w:color="auto"/>
        <w:left w:val="none" w:sz="0" w:space="0" w:color="auto"/>
        <w:bottom w:val="none" w:sz="0" w:space="0" w:color="auto"/>
        <w:right w:val="none" w:sz="0" w:space="0" w:color="auto"/>
      </w:divBdr>
    </w:div>
    <w:div w:id="1510214821">
      <w:bodyDiv w:val="1"/>
      <w:marLeft w:val="0"/>
      <w:marRight w:val="0"/>
      <w:marTop w:val="0"/>
      <w:marBottom w:val="0"/>
      <w:divBdr>
        <w:top w:val="none" w:sz="0" w:space="0" w:color="auto"/>
        <w:left w:val="none" w:sz="0" w:space="0" w:color="auto"/>
        <w:bottom w:val="none" w:sz="0" w:space="0" w:color="auto"/>
        <w:right w:val="none" w:sz="0" w:space="0" w:color="auto"/>
      </w:divBdr>
    </w:div>
    <w:div w:id="1524199529">
      <w:bodyDiv w:val="1"/>
      <w:marLeft w:val="0"/>
      <w:marRight w:val="0"/>
      <w:marTop w:val="0"/>
      <w:marBottom w:val="0"/>
      <w:divBdr>
        <w:top w:val="none" w:sz="0" w:space="0" w:color="auto"/>
        <w:left w:val="none" w:sz="0" w:space="0" w:color="auto"/>
        <w:bottom w:val="none" w:sz="0" w:space="0" w:color="auto"/>
        <w:right w:val="none" w:sz="0" w:space="0" w:color="auto"/>
      </w:divBdr>
    </w:div>
    <w:div w:id="1557088448">
      <w:bodyDiv w:val="1"/>
      <w:marLeft w:val="0"/>
      <w:marRight w:val="0"/>
      <w:marTop w:val="0"/>
      <w:marBottom w:val="0"/>
      <w:divBdr>
        <w:top w:val="none" w:sz="0" w:space="0" w:color="auto"/>
        <w:left w:val="none" w:sz="0" w:space="0" w:color="auto"/>
        <w:bottom w:val="none" w:sz="0" w:space="0" w:color="auto"/>
        <w:right w:val="none" w:sz="0" w:space="0" w:color="auto"/>
      </w:divBdr>
    </w:div>
    <w:div w:id="1771898697">
      <w:bodyDiv w:val="1"/>
      <w:marLeft w:val="0"/>
      <w:marRight w:val="0"/>
      <w:marTop w:val="0"/>
      <w:marBottom w:val="0"/>
      <w:divBdr>
        <w:top w:val="none" w:sz="0" w:space="0" w:color="auto"/>
        <w:left w:val="none" w:sz="0" w:space="0" w:color="auto"/>
        <w:bottom w:val="none" w:sz="0" w:space="0" w:color="auto"/>
        <w:right w:val="none" w:sz="0" w:space="0" w:color="auto"/>
      </w:divBdr>
    </w:div>
    <w:div w:id="1946765432">
      <w:bodyDiv w:val="1"/>
      <w:marLeft w:val="0"/>
      <w:marRight w:val="0"/>
      <w:marTop w:val="0"/>
      <w:marBottom w:val="0"/>
      <w:divBdr>
        <w:top w:val="none" w:sz="0" w:space="0" w:color="auto"/>
        <w:left w:val="none" w:sz="0" w:space="0" w:color="auto"/>
        <w:bottom w:val="none" w:sz="0" w:space="0" w:color="auto"/>
        <w:right w:val="none" w:sz="0" w:space="0" w:color="auto"/>
      </w:divBdr>
    </w:div>
    <w:div w:id="1985235847">
      <w:bodyDiv w:val="1"/>
      <w:marLeft w:val="0"/>
      <w:marRight w:val="0"/>
      <w:marTop w:val="0"/>
      <w:marBottom w:val="0"/>
      <w:divBdr>
        <w:top w:val="none" w:sz="0" w:space="0" w:color="auto"/>
        <w:left w:val="none" w:sz="0" w:space="0" w:color="auto"/>
        <w:bottom w:val="none" w:sz="0" w:space="0" w:color="auto"/>
        <w:right w:val="none" w:sz="0" w:space="0" w:color="auto"/>
      </w:divBdr>
    </w:div>
    <w:div w:id="205365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ngloamerican.com/investors/fixed-income-investors/issuer-document-downloads"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angloamerican.com/investors/fixed-income-investor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ngloamerican.com/investors/fixed-income-investors/issuer-document-downloads" TargetMode="External"/><Relationship Id="rId25" Type="http://schemas.openxmlformats.org/officeDocument/2006/relationships/hyperlink" Target="https://urldefense.com/v3/__https:/www.angloamerican.com/investors/fixed-income-investors/issuer-document-downloads__;!!BJNAhEDoSA!9_cTp1in-h7GIyywULQb0EAwxlQJiHmjEiKxBfwE9FX8VTjQ32LKdc89PXEOxT55Psg$" TargetMode="External"/><Relationship Id="rId2" Type="http://schemas.openxmlformats.org/officeDocument/2006/relationships/numbering" Target="numbering.xml"/><Relationship Id="rId16" Type="http://schemas.openxmlformats.org/officeDocument/2006/relationships/hyperlink" Target="https://www.angloamerican.com/investors/fixed-income-investors/issuer-document-downloads" TargetMode="External"/><Relationship Id="rId20" Type="http://schemas.openxmlformats.org/officeDocument/2006/relationships/hyperlink" Target="https://www.angloamerican.com/investors/fixed-income-investors/issuer-document-download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rldefense.com/v3/__https:/www.angloamerican.com/investors/fixed-income-investors/usd-investor-downloads__;!!BJNAhEDoSA!9_cTp1in-h7GIyywULQb0EAwxlQJiHmjEiKxBfwE9FX8VTjQ32LKdc89PXEO8azSvh4$" TargetMode="External"/><Relationship Id="rId5" Type="http://schemas.openxmlformats.org/officeDocument/2006/relationships/webSettings" Target="webSettings.xml"/><Relationship Id="rId15" Type="http://schemas.openxmlformats.org/officeDocument/2006/relationships/hyperlink" Target="https://www.angloamerican.com/investors/fixed-income-investors/issuer-document-downloads" TargetMode="Externa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https://www.angloamerican.com/investors/fixed-income-investors/issuer-document-downloads"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87D8-BEA7-4C4D-B927-C30BB935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86615</Words>
  <Characters>472911</Characters>
  <Application>Microsoft Office Word</Application>
  <DocSecurity>0</DocSecurity>
  <Lines>3940</Lines>
  <Paragraphs>1116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1900-01-01T05:00:00Z</cp:lastPrinted>
  <dcterms:created xsi:type="dcterms:W3CDTF">2020-03-30T23:12:00Z</dcterms:created>
  <dcterms:modified xsi:type="dcterms:W3CDTF">2020-03-31T20:00:00Z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