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7BE8DC" w14:textId="77777777" w:rsidR="00530338" w:rsidRPr="007600A7" w:rsidRDefault="00530338" w:rsidP="00530338">
      <w:pPr>
        <w:rPr>
          <w:rFonts w:cstheme="minorHAnsi"/>
          <w:b/>
        </w:rPr>
      </w:pPr>
    </w:p>
    <w:p w14:paraId="5FA11843" w14:textId="77777777" w:rsidR="00530338" w:rsidRPr="007600A7" w:rsidRDefault="00530338" w:rsidP="00530338">
      <w:pPr>
        <w:rPr>
          <w:rFonts w:cstheme="minorHAnsi"/>
          <w:b/>
        </w:rPr>
      </w:pPr>
    </w:p>
    <w:p w14:paraId="6E299609" w14:textId="77777777" w:rsidR="00827B1F" w:rsidRPr="007600A7" w:rsidRDefault="00827B1F" w:rsidP="00530338">
      <w:pPr>
        <w:jc w:val="center"/>
        <w:rPr>
          <w:rFonts w:cstheme="minorHAnsi"/>
          <w:b/>
        </w:rPr>
        <w:sectPr w:rsidR="00827B1F" w:rsidRPr="007600A7" w:rsidSect="00044E30">
          <w:headerReference w:type="default" r:id="rId8"/>
          <w:footerReference w:type="default" r:id="rId9"/>
          <w:type w:val="continuous"/>
          <w:pgSz w:w="11910" w:h="16840"/>
          <w:pgMar w:top="680" w:right="1020" w:bottom="1140" w:left="1020" w:header="0" w:footer="848" w:gutter="0"/>
          <w:cols w:num="2" w:space="720"/>
        </w:sectPr>
      </w:pPr>
    </w:p>
    <w:p w14:paraId="4553782B" w14:textId="77777777" w:rsidR="00530338" w:rsidRPr="008B2DDA" w:rsidRDefault="00530338" w:rsidP="00530338">
      <w:pPr>
        <w:jc w:val="center"/>
        <w:rPr>
          <w:rFonts w:cstheme="minorHAnsi"/>
          <w:b/>
        </w:rPr>
      </w:pPr>
    </w:p>
    <w:p w14:paraId="2E35D05B" w14:textId="77777777" w:rsidR="00530338" w:rsidRPr="008B2DDA" w:rsidRDefault="00530338" w:rsidP="00530338">
      <w:pPr>
        <w:jc w:val="center"/>
        <w:rPr>
          <w:rFonts w:cstheme="minorHAnsi"/>
          <w:b/>
        </w:rPr>
      </w:pPr>
    </w:p>
    <w:p w14:paraId="6186F884" w14:textId="77777777" w:rsidR="00530338" w:rsidRPr="008B2DDA" w:rsidRDefault="00530338" w:rsidP="00530338">
      <w:pPr>
        <w:jc w:val="center"/>
        <w:rPr>
          <w:rFonts w:cstheme="minorHAnsi"/>
          <w:b/>
        </w:rPr>
      </w:pPr>
    </w:p>
    <w:p w14:paraId="11F8C868" w14:textId="77777777" w:rsidR="00530338" w:rsidRPr="008B2DDA" w:rsidRDefault="00530338" w:rsidP="00530338">
      <w:pPr>
        <w:jc w:val="center"/>
        <w:rPr>
          <w:rFonts w:cstheme="minorHAnsi"/>
          <w:b/>
        </w:rPr>
      </w:pPr>
    </w:p>
    <w:p w14:paraId="102CF934" w14:textId="77777777" w:rsidR="00530338" w:rsidRPr="008B2DDA" w:rsidRDefault="00530338" w:rsidP="00530338">
      <w:pPr>
        <w:jc w:val="center"/>
        <w:rPr>
          <w:rFonts w:cstheme="minorHAnsi"/>
          <w:b/>
        </w:rPr>
      </w:pPr>
    </w:p>
    <w:p w14:paraId="2860F4F1" w14:textId="77777777" w:rsidR="00530338" w:rsidRPr="008B2DDA" w:rsidRDefault="00530338" w:rsidP="00530338">
      <w:pPr>
        <w:jc w:val="center"/>
        <w:rPr>
          <w:rFonts w:cstheme="minorHAnsi"/>
          <w:b/>
        </w:rPr>
      </w:pPr>
    </w:p>
    <w:p w14:paraId="2AA18C1B" w14:textId="77777777" w:rsidR="00530338" w:rsidRPr="008B2DDA" w:rsidRDefault="00530338" w:rsidP="00530338">
      <w:pPr>
        <w:jc w:val="center"/>
        <w:rPr>
          <w:rFonts w:cstheme="minorHAnsi"/>
          <w:b/>
        </w:rPr>
      </w:pPr>
    </w:p>
    <w:p w14:paraId="1288B763" w14:textId="77777777" w:rsidR="00530338" w:rsidRPr="008B2DDA" w:rsidRDefault="00530338" w:rsidP="00530338">
      <w:pPr>
        <w:jc w:val="center"/>
        <w:rPr>
          <w:rFonts w:cstheme="minorHAnsi"/>
          <w:b/>
        </w:rPr>
      </w:pPr>
    </w:p>
    <w:p w14:paraId="21F000B2" w14:textId="77777777" w:rsidR="00530338" w:rsidRPr="008B2DDA" w:rsidRDefault="00530338" w:rsidP="00530338">
      <w:pPr>
        <w:jc w:val="center"/>
        <w:rPr>
          <w:rFonts w:cstheme="minorHAnsi"/>
          <w:b/>
        </w:rPr>
      </w:pPr>
    </w:p>
    <w:p w14:paraId="0F577B31" w14:textId="77777777" w:rsidR="00530338" w:rsidRPr="008B2DDA" w:rsidRDefault="00530338" w:rsidP="00530338">
      <w:pPr>
        <w:jc w:val="center"/>
        <w:rPr>
          <w:rFonts w:cstheme="minorHAnsi"/>
          <w:b/>
        </w:rPr>
      </w:pPr>
    </w:p>
    <w:p w14:paraId="2A1DC811" w14:textId="77777777" w:rsidR="00530338" w:rsidRPr="008B2DDA" w:rsidRDefault="00530338" w:rsidP="00530338">
      <w:pPr>
        <w:jc w:val="center"/>
        <w:rPr>
          <w:rFonts w:cstheme="minorHAnsi"/>
          <w:b/>
        </w:rPr>
      </w:pPr>
    </w:p>
    <w:p w14:paraId="5390EFAB" w14:textId="77777777" w:rsidR="00530338" w:rsidRPr="008B2DDA" w:rsidRDefault="00530338" w:rsidP="00530338">
      <w:pPr>
        <w:jc w:val="center"/>
        <w:rPr>
          <w:rFonts w:cstheme="minorHAnsi"/>
          <w:b/>
        </w:rPr>
      </w:pPr>
    </w:p>
    <w:p w14:paraId="7A475580" w14:textId="77777777" w:rsidR="00530338" w:rsidRPr="008B2DDA" w:rsidRDefault="00530338" w:rsidP="00530338">
      <w:pPr>
        <w:jc w:val="center"/>
        <w:rPr>
          <w:rFonts w:cstheme="minorHAnsi"/>
          <w:b/>
        </w:rPr>
      </w:pPr>
    </w:p>
    <w:p w14:paraId="1DA7FC4C" w14:textId="77777777" w:rsidR="00530338" w:rsidRPr="008B2DDA" w:rsidRDefault="00530338" w:rsidP="00530338">
      <w:pPr>
        <w:jc w:val="center"/>
        <w:rPr>
          <w:rFonts w:cstheme="minorHAnsi"/>
          <w:b/>
        </w:rPr>
      </w:pPr>
    </w:p>
    <w:p w14:paraId="5086BF8F" w14:textId="77777777" w:rsidR="00530338" w:rsidRPr="008B2DDA" w:rsidRDefault="00530338" w:rsidP="00530338">
      <w:pPr>
        <w:jc w:val="center"/>
        <w:rPr>
          <w:rFonts w:cstheme="minorHAnsi"/>
          <w:b/>
        </w:rPr>
      </w:pPr>
    </w:p>
    <w:p w14:paraId="5C6FA385" w14:textId="154BC87E" w:rsidR="00530338" w:rsidRPr="008B2DDA" w:rsidRDefault="00B95E82" w:rsidP="00530338">
      <w:pPr>
        <w:jc w:val="center"/>
        <w:rPr>
          <w:rFonts w:cstheme="minorHAnsi"/>
          <w:b/>
        </w:rPr>
      </w:pPr>
      <w:r w:rsidRPr="008B2DDA">
        <w:rPr>
          <w:rFonts w:cstheme="minorHAnsi"/>
          <w:b/>
        </w:rPr>
        <w:t>ROCKWOOD</w:t>
      </w:r>
      <w:r w:rsidR="00530338" w:rsidRPr="008B2DDA">
        <w:rPr>
          <w:rFonts w:cstheme="minorHAnsi"/>
          <w:b/>
        </w:rPr>
        <w:t xml:space="preserve"> STRATEGIC PLC</w:t>
      </w:r>
    </w:p>
    <w:p w14:paraId="1A8DDBD8" w14:textId="28B78C2A" w:rsidR="00F50BA6" w:rsidRPr="008B2DDA" w:rsidRDefault="00F50BA6" w:rsidP="00F50BA6">
      <w:pPr>
        <w:jc w:val="center"/>
        <w:rPr>
          <w:rFonts w:cstheme="minorHAnsi"/>
          <w:b/>
        </w:rPr>
      </w:pPr>
      <w:r w:rsidRPr="008B2DDA">
        <w:rPr>
          <w:rFonts w:cstheme="minorHAnsi"/>
          <w:b/>
          <w:i/>
          <w:iCs/>
          <w:color w:val="000000"/>
          <w:lang w:val="en-US"/>
        </w:rPr>
        <w:t xml:space="preserve">(formerly, Gresham House Strategic </w:t>
      </w:r>
      <w:r w:rsidR="00CB279C" w:rsidRPr="008B2DDA">
        <w:rPr>
          <w:rFonts w:cstheme="minorHAnsi"/>
          <w:b/>
          <w:i/>
          <w:iCs/>
          <w:color w:val="000000"/>
          <w:lang w:val="en-US"/>
        </w:rPr>
        <w:t>p</w:t>
      </w:r>
      <w:r w:rsidRPr="008B2DDA">
        <w:rPr>
          <w:rFonts w:cstheme="minorHAnsi"/>
          <w:b/>
          <w:i/>
          <w:iCs/>
          <w:color w:val="000000"/>
          <w:lang w:val="en-US"/>
        </w:rPr>
        <w:t>lc</w:t>
      </w:r>
      <w:r w:rsidR="00CB279C" w:rsidRPr="008B2DDA">
        <w:rPr>
          <w:rFonts w:cstheme="minorHAnsi"/>
          <w:b/>
          <w:i/>
          <w:iCs/>
          <w:color w:val="000000"/>
          <w:lang w:val="en-US"/>
        </w:rPr>
        <w:t xml:space="preserve"> and Rockwood Realisation plc</w:t>
      </w:r>
      <w:r w:rsidRPr="008B2DDA">
        <w:rPr>
          <w:rFonts w:cstheme="minorHAnsi"/>
          <w:b/>
          <w:i/>
          <w:iCs/>
          <w:color w:val="000000"/>
          <w:lang w:val="en-US"/>
        </w:rPr>
        <w:t>)</w:t>
      </w:r>
    </w:p>
    <w:p w14:paraId="41E10599" w14:textId="35C7F326" w:rsidR="00530338" w:rsidRPr="008B2DDA" w:rsidRDefault="00530338" w:rsidP="00530338">
      <w:pPr>
        <w:jc w:val="center"/>
        <w:rPr>
          <w:rFonts w:cstheme="minorHAnsi"/>
          <w:b/>
        </w:rPr>
      </w:pPr>
      <w:r w:rsidRPr="008B2DDA">
        <w:rPr>
          <w:rFonts w:cstheme="minorHAnsi"/>
          <w:b/>
        </w:rPr>
        <w:t xml:space="preserve">REPORT </w:t>
      </w:r>
      <w:r w:rsidR="00CF4F64" w:rsidRPr="008B2DDA">
        <w:rPr>
          <w:rFonts w:cstheme="minorHAnsi"/>
          <w:b/>
        </w:rPr>
        <w:t>and</w:t>
      </w:r>
      <w:r w:rsidR="005764D5" w:rsidRPr="008B2DDA">
        <w:rPr>
          <w:rFonts w:cstheme="minorHAnsi"/>
          <w:b/>
        </w:rPr>
        <w:t xml:space="preserve"> </w:t>
      </w:r>
      <w:r w:rsidRPr="008B2DDA">
        <w:rPr>
          <w:rFonts w:cstheme="minorHAnsi"/>
          <w:b/>
        </w:rPr>
        <w:t>ACCOUNTS</w:t>
      </w:r>
    </w:p>
    <w:p w14:paraId="52C7BCEA" w14:textId="1C60636C" w:rsidR="00F50BA6" w:rsidRPr="008B2DDA" w:rsidRDefault="00F50BA6" w:rsidP="00530338">
      <w:pPr>
        <w:jc w:val="center"/>
        <w:rPr>
          <w:rFonts w:cstheme="minorHAnsi"/>
          <w:b/>
        </w:rPr>
      </w:pPr>
      <w:r w:rsidRPr="008B2DDA">
        <w:rPr>
          <w:rFonts w:cstheme="minorHAnsi"/>
          <w:b/>
        </w:rPr>
        <w:t>Company number 03813450</w:t>
      </w:r>
    </w:p>
    <w:p w14:paraId="70A0A814" w14:textId="77777777" w:rsidR="00530338" w:rsidRPr="008B2DDA" w:rsidRDefault="00530338" w:rsidP="00530338">
      <w:pPr>
        <w:jc w:val="center"/>
        <w:rPr>
          <w:rFonts w:cstheme="minorHAnsi"/>
          <w:b/>
        </w:rPr>
      </w:pPr>
    </w:p>
    <w:p w14:paraId="5E5CFDE0" w14:textId="415AEE50" w:rsidR="00530338" w:rsidRPr="008B2DDA" w:rsidRDefault="00530338" w:rsidP="00530338">
      <w:pPr>
        <w:jc w:val="center"/>
        <w:rPr>
          <w:rFonts w:cstheme="minorHAnsi"/>
          <w:b/>
        </w:rPr>
      </w:pPr>
      <w:r w:rsidRPr="008B2DDA">
        <w:rPr>
          <w:rFonts w:cstheme="minorHAnsi"/>
          <w:b/>
        </w:rPr>
        <w:t>For the year-ended 31 March 202</w:t>
      </w:r>
      <w:r w:rsidR="00B95E82" w:rsidRPr="008B2DDA">
        <w:rPr>
          <w:rFonts w:cstheme="minorHAnsi"/>
          <w:b/>
        </w:rPr>
        <w:t>2</w:t>
      </w:r>
    </w:p>
    <w:p w14:paraId="308468E5" w14:textId="77777777" w:rsidR="00530338" w:rsidRPr="008B2DDA" w:rsidRDefault="00530338" w:rsidP="00530338">
      <w:pPr>
        <w:rPr>
          <w:rFonts w:cstheme="minorHAnsi"/>
          <w:b/>
        </w:rPr>
      </w:pPr>
      <w:r w:rsidRPr="008B2DDA">
        <w:rPr>
          <w:rFonts w:cstheme="minorHAnsi"/>
          <w:b/>
        </w:rPr>
        <w:br w:type="page"/>
      </w:r>
    </w:p>
    <w:p w14:paraId="62B8EFF5" w14:textId="77777777" w:rsidR="00530338" w:rsidRPr="00A02B31" w:rsidRDefault="00530338" w:rsidP="00530338">
      <w:pPr>
        <w:jc w:val="center"/>
        <w:rPr>
          <w:rFonts w:cstheme="minorHAnsi"/>
          <w:b/>
          <w:sz w:val="20"/>
          <w:szCs w:val="20"/>
        </w:rPr>
      </w:pPr>
      <w:r w:rsidRPr="00A02B31">
        <w:rPr>
          <w:rFonts w:cstheme="minorHAnsi"/>
          <w:b/>
          <w:sz w:val="20"/>
          <w:szCs w:val="20"/>
        </w:rPr>
        <w:lastRenderedPageBreak/>
        <w:t>INSIDE FRONT COVER/ CONTENTS PAGE</w:t>
      </w:r>
    </w:p>
    <w:p w14:paraId="6BDA70E1" w14:textId="77777777" w:rsidR="00530338" w:rsidRPr="00A02B31" w:rsidRDefault="00530338" w:rsidP="00530338">
      <w:pPr>
        <w:jc w:val="center"/>
        <w:rPr>
          <w:rFonts w:cstheme="minorHAnsi"/>
          <w:b/>
          <w:sz w:val="20"/>
          <w:szCs w:val="20"/>
        </w:rPr>
      </w:pPr>
    </w:p>
    <w:p w14:paraId="362950A4" w14:textId="77777777" w:rsidR="00530338" w:rsidRPr="00A02B31" w:rsidRDefault="00530338" w:rsidP="00530338">
      <w:pPr>
        <w:pStyle w:val="ListParagraph"/>
        <w:ind w:left="1440"/>
        <w:rPr>
          <w:rFonts w:cstheme="minorHAnsi"/>
          <w:sz w:val="20"/>
          <w:szCs w:val="20"/>
        </w:rPr>
      </w:pPr>
    </w:p>
    <w:p w14:paraId="3FA27C5B" w14:textId="77777777" w:rsidR="00B95E82" w:rsidRPr="00A02B31" w:rsidRDefault="00B95E82" w:rsidP="00530338">
      <w:pPr>
        <w:ind w:left="720"/>
        <w:jc w:val="center"/>
        <w:rPr>
          <w:rFonts w:cstheme="minorHAnsi"/>
          <w:sz w:val="20"/>
          <w:szCs w:val="20"/>
        </w:rPr>
      </w:pPr>
      <w:r w:rsidRPr="00A02B31">
        <w:rPr>
          <w:rFonts w:cstheme="minorHAnsi"/>
          <w:sz w:val="20"/>
          <w:szCs w:val="20"/>
        </w:rPr>
        <w:t>Rockwood Strategic Plc is an AIM-quoted investment company invested in a focused portfolio of smaller UK public companies. The strategy identifies undervalued shares, where the potential exists to improve returns and where the company is benefitting, or will benefit, from operational, strategic or management changes. These unlock, create or realise shareholder value for investors.</w:t>
      </w:r>
    </w:p>
    <w:p w14:paraId="3858721A" w14:textId="77777777" w:rsidR="00530338" w:rsidRPr="00A02B31" w:rsidRDefault="00530338" w:rsidP="00530338">
      <w:pPr>
        <w:ind w:left="720"/>
        <w:jc w:val="center"/>
        <w:rPr>
          <w:rFonts w:cstheme="minorHAnsi"/>
          <w:b/>
          <w:sz w:val="20"/>
          <w:szCs w:val="20"/>
        </w:rPr>
      </w:pPr>
    </w:p>
    <w:p w14:paraId="73DE1717" w14:textId="77777777" w:rsidR="00530338" w:rsidRPr="00A02B31" w:rsidRDefault="00530338" w:rsidP="00530338">
      <w:pPr>
        <w:rPr>
          <w:rFonts w:cstheme="minorHAnsi"/>
          <w:b/>
          <w:sz w:val="20"/>
          <w:szCs w:val="20"/>
        </w:rPr>
      </w:pPr>
    </w:p>
    <w:p w14:paraId="2A28C82A" w14:textId="77777777" w:rsidR="00530338" w:rsidRPr="00A02B31" w:rsidRDefault="00530338" w:rsidP="00530338">
      <w:pPr>
        <w:pStyle w:val="ListParagraph"/>
        <w:rPr>
          <w:rFonts w:cstheme="minorHAnsi"/>
          <w:b/>
          <w:sz w:val="20"/>
          <w:szCs w:val="20"/>
        </w:rPr>
      </w:pPr>
      <w:r w:rsidRPr="00A02B31">
        <w:rPr>
          <w:rFonts w:cstheme="minorHAnsi"/>
          <w:b/>
          <w:sz w:val="20"/>
          <w:szCs w:val="20"/>
        </w:rPr>
        <w:t>IN THIS REPORT</w:t>
      </w:r>
    </w:p>
    <w:p w14:paraId="7993C201" w14:textId="77777777" w:rsidR="00530338" w:rsidRPr="00A02B31" w:rsidRDefault="00530338" w:rsidP="00530338">
      <w:pPr>
        <w:pStyle w:val="ListParagraph"/>
        <w:rPr>
          <w:rFonts w:cstheme="minorHAnsi"/>
          <w:b/>
          <w:sz w:val="20"/>
          <w:szCs w:val="20"/>
        </w:rPr>
      </w:pPr>
    </w:p>
    <w:p w14:paraId="34869CE5" w14:textId="77777777" w:rsidR="00530338" w:rsidRPr="00A02B31" w:rsidRDefault="00530338" w:rsidP="00530338">
      <w:pPr>
        <w:pStyle w:val="ListParagraph"/>
        <w:rPr>
          <w:rFonts w:cstheme="minorHAnsi"/>
          <w:b/>
          <w:sz w:val="20"/>
          <w:szCs w:val="20"/>
        </w:rPr>
      </w:pPr>
      <w:bookmarkStart w:id="0" w:name="_Hlk11868364"/>
      <w:r w:rsidRPr="00A02B31">
        <w:rPr>
          <w:rFonts w:cstheme="minorHAnsi"/>
          <w:b/>
          <w:sz w:val="20"/>
          <w:szCs w:val="20"/>
        </w:rPr>
        <w:t>Overview</w:t>
      </w:r>
    </w:p>
    <w:p w14:paraId="2B3DD2D6" w14:textId="77777777" w:rsidR="00530338" w:rsidRPr="00A02B31" w:rsidRDefault="00530338" w:rsidP="00530338">
      <w:pPr>
        <w:rPr>
          <w:rFonts w:cstheme="minorHAnsi"/>
          <w:sz w:val="20"/>
          <w:szCs w:val="20"/>
        </w:rPr>
      </w:pPr>
      <w:r w:rsidRPr="00A02B31">
        <w:rPr>
          <w:rFonts w:cstheme="minorHAnsi"/>
          <w:sz w:val="20"/>
          <w:szCs w:val="20"/>
        </w:rPr>
        <w:tab/>
      </w:r>
      <w:r w:rsidRPr="00A02B31">
        <w:rPr>
          <w:rFonts w:cstheme="minorHAnsi"/>
          <w:sz w:val="20"/>
          <w:szCs w:val="20"/>
        </w:rPr>
        <w:tab/>
      </w:r>
      <w:r w:rsidRPr="00A02B31">
        <w:rPr>
          <w:rFonts w:cstheme="minorHAnsi"/>
          <w:sz w:val="20"/>
          <w:szCs w:val="20"/>
        </w:rPr>
        <w:tab/>
      </w:r>
      <w:r w:rsidRPr="00A02B31">
        <w:rPr>
          <w:rFonts w:cstheme="minorHAnsi"/>
          <w:sz w:val="20"/>
          <w:szCs w:val="20"/>
        </w:rPr>
        <w:tab/>
      </w:r>
      <w:r w:rsidRPr="00A02B31">
        <w:rPr>
          <w:rFonts w:cstheme="minorHAnsi"/>
          <w:sz w:val="20"/>
          <w:szCs w:val="20"/>
        </w:rPr>
        <w:tab/>
      </w:r>
    </w:p>
    <w:p w14:paraId="68B42047" w14:textId="43778F97" w:rsidR="00530338" w:rsidRPr="00A02B31" w:rsidRDefault="002A19D4" w:rsidP="00530338">
      <w:pPr>
        <w:ind w:left="1080"/>
        <w:rPr>
          <w:rFonts w:cstheme="minorHAnsi"/>
          <w:sz w:val="20"/>
          <w:szCs w:val="20"/>
        </w:rPr>
      </w:pPr>
      <w:r w:rsidRPr="00A02B31">
        <w:rPr>
          <w:rFonts w:cstheme="minorHAnsi"/>
          <w:sz w:val="20"/>
          <w:szCs w:val="20"/>
        </w:rPr>
        <w:t>3</w:t>
      </w:r>
      <w:r w:rsidR="00530338" w:rsidRPr="00A02B31">
        <w:rPr>
          <w:rFonts w:cstheme="minorHAnsi"/>
          <w:sz w:val="20"/>
          <w:szCs w:val="20"/>
        </w:rPr>
        <w:tab/>
        <w:t>Chairman’s Statement</w:t>
      </w:r>
    </w:p>
    <w:p w14:paraId="59B1F5C5" w14:textId="5CCC76AF" w:rsidR="006825A4" w:rsidRPr="00A02B31" w:rsidRDefault="002A19D4" w:rsidP="00674DDA">
      <w:pPr>
        <w:ind w:left="1080"/>
        <w:rPr>
          <w:rFonts w:cstheme="minorHAnsi"/>
          <w:sz w:val="20"/>
          <w:szCs w:val="20"/>
        </w:rPr>
      </w:pPr>
      <w:r w:rsidRPr="00A02B31">
        <w:rPr>
          <w:rFonts w:cstheme="minorHAnsi"/>
          <w:sz w:val="20"/>
          <w:szCs w:val="20"/>
        </w:rPr>
        <w:t>6</w:t>
      </w:r>
      <w:r w:rsidR="00530338" w:rsidRPr="00A02B31">
        <w:rPr>
          <w:rFonts w:cstheme="minorHAnsi"/>
          <w:sz w:val="20"/>
          <w:szCs w:val="20"/>
        </w:rPr>
        <w:tab/>
        <w:t>Investment Manager’s Report</w:t>
      </w:r>
      <w:r w:rsidR="006825A4" w:rsidRPr="00A02B31">
        <w:rPr>
          <w:rFonts w:cstheme="minorHAnsi"/>
          <w:sz w:val="20"/>
          <w:szCs w:val="20"/>
        </w:rPr>
        <w:t xml:space="preserve"> </w:t>
      </w:r>
    </w:p>
    <w:p w14:paraId="16DDAE8B" w14:textId="2AF207D2" w:rsidR="00530338" w:rsidRDefault="002A19D4" w:rsidP="00674DDA">
      <w:pPr>
        <w:ind w:left="1080"/>
        <w:rPr>
          <w:rFonts w:cstheme="minorHAnsi"/>
          <w:sz w:val="20"/>
          <w:szCs w:val="20"/>
        </w:rPr>
      </w:pPr>
      <w:r w:rsidRPr="00A02B31">
        <w:rPr>
          <w:rFonts w:cstheme="minorHAnsi"/>
          <w:sz w:val="20"/>
          <w:szCs w:val="20"/>
        </w:rPr>
        <w:t>7</w:t>
      </w:r>
      <w:r w:rsidR="00FE2388" w:rsidRPr="00A02B31">
        <w:rPr>
          <w:rFonts w:cstheme="minorHAnsi"/>
          <w:sz w:val="20"/>
          <w:szCs w:val="20"/>
        </w:rPr>
        <w:tab/>
      </w:r>
      <w:r w:rsidR="00F3613B" w:rsidRPr="00A02B31">
        <w:rPr>
          <w:rFonts w:cstheme="minorHAnsi"/>
          <w:sz w:val="20"/>
          <w:szCs w:val="20"/>
        </w:rPr>
        <w:t xml:space="preserve">Top 5 </w:t>
      </w:r>
      <w:r w:rsidR="006825A4" w:rsidRPr="00A02B31">
        <w:rPr>
          <w:rFonts w:cstheme="minorHAnsi"/>
          <w:sz w:val="20"/>
          <w:szCs w:val="20"/>
        </w:rPr>
        <w:t>Investment Portfolio Holdings</w:t>
      </w:r>
    </w:p>
    <w:p w14:paraId="5DDF9240" w14:textId="70D58A01" w:rsidR="00E96D83" w:rsidRPr="00A02B31" w:rsidRDefault="00536A35" w:rsidP="00674DDA">
      <w:pPr>
        <w:ind w:left="1080"/>
        <w:rPr>
          <w:rFonts w:cstheme="minorHAnsi"/>
          <w:sz w:val="20"/>
          <w:szCs w:val="20"/>
        </w:rPr>
      </w:pPr>
      <w:r>
        <w:rPr>
          <w:rFonts w:cstheme="minorHAnsi"/>
          <w:sz w:val="20"/>
          <w:szCs w:val="20"/>
        </w:rPr>
        <w:t>12</w:t>
      </w:r>
      <w:r w:rsidR="00E96D83">
        <w:rPr>
          <w:rFonts w:cstheme="minorHAnsi"/>
          <w:sz w:val="20"/>
          <w:szCs w:val="20"/>
        </w:rPr>
        <w:t xml:space="preserve"> </w:t>
      </w:r>
      <w:r w:rsidR="00E96D83">
        <w:rPr>
          <w:rFonts w:cstheme="minorHAnsi"/>
          <w:sz w:val="20"/>
          <w:szCs w:val="20"/>
        </w:rPr>
        <w:tab/>
        <w:t xml:space="preserve">About the Investment Manager </w:t>
      </w:r>
    </w:p>
    <w:p w14:paraId="11E5BC7B" w14:textId="2E8F018E" w:rsidR="00C97AB2" w:rsidRPr="00A02B31" w:rsidRDefault="002F5B42" w:rsidP="00674DDA">
      <w:pPr>
        <w:ind w:left="1080"/>
        <w:rPr>
          <w:rFonts w:cstheme="minorHAnsi"/>
          <w:sz w:val="20"/>
          <w:szCs w:val="20"/>
        </w:rPr>
      </w:pPr>
      <w:r w:rsidRPr="00A02B31">
        <w:rPr>
          <w:rFonts w:cstheme="minorHAnsi"/>
          <w:sz w:val="20"/>
          <w:szCs w:val="20"/>
        </w:rPr>
        <w:t>13</w:t>
      </w:r>
      <w:r w:rsidR="00C97AB2" w:rsidRPr="00A02B31">
        <w:rPr>
          <w:rFonts w:cstheme="minorHAnsi"/>
          <w:sz w:val="20"/>
          <w:szCs w:val="20"/>
        </w:rPr>
        <w:tab/>
        <w:t xml:space="preserve">Strategic Report </w:t>
      </w:r>
      <w:r w:rsidR="00F3613B" w:rsidRPr="00A02B31">
        <w:rPr>
          <w:rFonts w:cstheme="minorHAnsi"/>
          <w:sz w:val="20"/>
          <w:szCs w:val="20"/>
        </w:rPr>
        <w:t>2022</w:t>
      </w:r>
    </w:p>
    <w:p w14:paraId="6291583D" w14:textId="77777777" w:rsidR="00530338" w:rsidRPr="00A02B31" w:rsidRDefault="00530338" w:rsidP="00530338">
      <w:pPr>
        <w:pStyle w:val="ListParagraph"/>
        <w:ind w:left="1440"/>
        <w:rPr>
          <w:rFonts w:cstheme="minorHAnsi"/>
          <w:b/>
          <w:sz w:val="20"/>
          <w:szCs w:val="20"/>
        </w:rPr>
      </w:pPr>
    </w:p>
    <w:p w14:paraId="7CF2FADE" w14:textId="77777777" w:rsidR="00530338" w:rsidRPr="00A02B31" w:rsidRDefault="00530338" w:rsidP="00530338">
      <w:pPr>
        <w:ind w:left="720"/>
        <w:rPr>
          <w:rFonts w:cstheme="minorHAnsi"/>
          <w:b/>
          <w:sz w:val="20"/>
          <w:szCs w:val="20"/>
        </w:rPr>
      </w:pPr>
    </w:p>
    <w:p w14:paraId="108F0745" w14:textId="77777777" w:rsidR="00530338" w:rsidRPr="00A02B31" w:rsidRDefault="00530338" w:rsidP="00530338">
      <w:pPr>
        <w:ind w:left="720"/>
        <w:rPr>
          <w:rFonts w:cstheme="minorHAnsi"/>
          <w:b/>
          <w:sz w:val="20"/>
          <w:szCs w:val="20"/>
        </w:rPr>
      </w:pPr>
      <w:r w:rsidRPr="00A02B31">
        <w:rPr>
          <w:rFonts w:cstheme="minorHAnsi"/>
          <w:b/>
          <w:sz w:val="20"/>
          <w:szCs w:val="20"/>
        </w:rPr>
        <w:t>Governance</w:t>
      </w:r>
    </w:p>
    <w:p w14:paraId="5A1695D7" w14:textId="77777777" w:rsidR="00530338" w:rsidRPr="00A02B31" w:rsidRDefault="00530338" w:rsidP="00530338">
      <w:pPr>
        <w:pStyle w:val="ListParagraph"/>
        <w:ind w:left="1440"/>
        <w:rPr>
          <w:rFonts w:cstheme="minorHAnsi"/>
          <w:b/>
          <w:sz w:val="20"/>
          <w:szCs w:val="20"/>
        </w:rPr>
      </w:pPr>
    </w:p>
    <w:p w14:paraId="2F7F46A7" w14:textId="28C299AF" w:rsidR="00530338" w:rsidRPr="00A02B31" w:rsidRDefault="00FE2388" w:rsidP="00530338">
      <w:pPr>
        <w:ind w:left="1080"/>
        <w:rPr>
          <w:rFonts w:cstheme="minorHAnsi"/>
          <w:sz w:val="20"/>
          <w:szCs w:val="20"/>
        </w:rPr>
      </w:pPr>
      <w:r w:rsidRPr="00A02B31">
        <w:rPr>
          <w:rFonts w:cstheme="minorHAnsi"/>
          <w:sz w:val="20"/>
          <w:szCs w:val="20"/>
        </w:rPr>
        <w:t>5</w:t>
      </w:r>
      <w:r w:rsidR="00530338" w:rsidRPr="00A02B31">
        <w:rPr>
          <w:rFonts w:cstheme="minorHAnsi"/>
          <w:sz w:val="20"/>
          <w:szCs w:val="20"/>
        </w:rPr>
        <w:tab/>
        <w:t>Board of Directors</w:t>
      </w:r>
    </w:p>
    <w:p w14:paraId="40C63D93" w14:textId="2222BA83" w:rsidR="00530338" w:rsidRPr="00A02B31" w:rsidRDefault="00FE2388" w:rsidP="00530338">
      <w:pPr>
        <w:ind w:left="1080"/>
        <w:rPr>
          <w:rFonts w:cstheme="minorHAnsi"/>
          <w:sz w:val="20"/>
          <w:szCs w:val="20"/>
        </w:rPr>
      </w:pPr>
      <w:r w:rsidRPr="00A02B31">
        <w:rPr>
          <w:rFonts w:cstheme="minorHAnsi"/>
          <w:sz w:val="20"/>
          <w:szCs w:val="20"/>
        </w:rPr>
        <w:t>1</w:t>
      </w:r>
      <w:r w:rsidR="002F5B42" w:rsidRPr="00A02B31">
        <w:rPr>
          <w:rFonts w:cstheme="minorHAnsi"/>
          <w:sz w:val="20"/>
          <w:szCs w:val="20"/>
        </w:rPr>
        <w:t>5</w:t>
      </w:r>
      <w:r w:rsidR="00530338" w:rsidRPr="00A02B31">
        <w:rPr>
          <w:rFonts w:cstheme="minorHAnsi"/>
          <w:sz w:val="20"/>
          <w:szCs w:val="20"/>
        </w:rPr>
        <w:tab/>
        <w:t>Corporate Governance Report</w:t>
      </w:r>
    </w:p>
    <w:p w14:paraId="10350021" w14:textId="7E016F4B" w:rsidR="00530338" w:rsidRPr="00A02B31" w:rsidRDefault="002F5B42" w:rsidP="00530338">
      <w:pPr>
        <w:ind w:left="1080"/>
        <w:rPr>
          <w:rFonts w:cstheme="minorHAnsi"/>
          <w:sz w:val="20"/>
          <w:szCs w:val="20"/>
        </w:rPr>
      </w:pPr>
      <w:r w:rsidRPr="00A02B31">
        <w:rPr>
          <w:rFonts w:cstheme="minorHAnsi"/>
          <w:sz w:val="20"/>
          <w:szCs w:val="20"/>
        </w:rPr>
        <w:t>22</w:t>
      </w:r>
      <w:r w:rsidR="00530338" w:rsidRPr="00A02B31">
        <w:rPr>
          <w:rFonts w:cstheme="minorHAnsi"/>
          <w:sz w:val="20"/>
          <w:szCs w:val="20"/>
        </w:rPr>
        <w:tab/>
        <w:t>Audit Committee Report</w:t>
      </w:r>
    </w:p>
    <w:p w14:paraId="5C52AFA7" w14:textId="42B4789C" w:rsidR="00530338" w:rsidRPr="00A02B31" w:rsidRDefault="00FE2388" w:rsidP="00530338">
      <w:pPr>
        <w:ind w:left="1080"/>
        <w:rPr>
          <w:rFonts w:cstheme="minorHAnsi"/>
          <w:sz w:val="20"/>
          <w:szCs w:val="20"/>
        </w:rPr>
      </w:pPr>
      <w:r w:rsidRPr="00A02B31">
        <w:rPr>
          <w:rFonts w:cstheme="minorHAnsi"/>
          <w:sz w:val="20"/>
          <w:szCs w:val="20"/>
        </w:rPr>
        <w:t>2</w:t>
      </w:r>
      <w:r w:rsidR="002F5B42" w:rsidRPr="00A02B31">
        <w:rPr>
          <w:rFonts w:cstheme="minorHAnsi"/>
          <w:sz w:val="20"/>
          <w:szCs w:val="20"/>
        </w:rPr>
        <w:t>4</w:t>
      </w:r>
      <w:r w:rsidR="00530338" w:rsidRPr="00A02B31">
        <w:rPr>
          <w:rFonts w:cstheme="minorHAnsi"/>
          <w:sz w:val="20"/>
          <w:szCs w:val="20"/>
        </w:rPr>
        <w:tab/>
        <w:t>Directors</w:t>
      </w:r>
      <w:r w:rsidR="00544D86" w:rsidRPr="00A02B31">
        <w:rPr>
          <w:rFonts w:cstheme="minorHAnsi"/>
          <w:sz w:val="20"/>
          <w:szCs w:val="20"/>
        </w:rPr>
        <w:t>’</w:t>
      </w:r>
      <w:r w:rsidR="00530338" w:rsidRPr="00A02B31">
        <w:rPr>
          <w:rFonts w:cstheme="minorHAnsi"/>
          <w:sz w:val="20"/>
          <w:szCs w:val="20"/>
        </w:rPr>
        <w:t xml:space="preserve"> Remuneration </w:t>
      </w:r>
      <w:r w:rsidR="007F3217">
        <w:rPr>
          <w:rFonts w:cstheme="minorHAnsi"/>
          <w:sz w:val="20"/>
          <w:szCs w:val="20"/>
        </w:rPr>
        <w:t xml:space="preserve">Report </w:t>
      </w:r>
    </w:p>
    <w:p w14:paraId="6B298650" w14:textId="5C1E7150" w:rsidR="00530338" w:rsidRPr="00A02B31" w:rsidRDefault="00FE2388" w:rsidP="00530338">
      <w:pPr>
        <w:ind w:left="1080"/>
        <w:rPr>
          <w:rFonts w:cstheme="minorHAnsi"/>
          <w:sz w:val="20"/>
          <w:szCs w:val="20"/>
        </w:rPr>
      </w:pPr>
      <w:r w:rsidRPr="00A02B31">
        <w:rPr>
          <w:rFonts w:cstheme="minorHAnsi"/>
          <w:sz w:val="20"/>
          <w:szCs w:val="20"/>
        </w:rPr>
        <w:t>2</w:t>
      </w:r>
      <w:r w:rsidR="002F5B42" w:rsidRPr="00A02B31">
        <w:rPr>
          <w:rFonts w:cstheme="minorHAnsi"/>
          <w:sz w:val="20"/>
          <w:szCs w:val="20"/>
        </w:rPr>
        <w:t>5</w:t>
      </w:r>
      <w:r w:rsidR="00530338" w:rsidRPr="00A02B31">
        <w:rPr>
          <w:rFonts w:cstheme="minorHAnsi"/>
          <w:sz w:val="20"/>
          <w:szCs w:val="20"/>
        </w:rPr>
        <w:tab/>
        <w:t>Directors’ Report</w:t>
      </w:r>
    </w:p>
    <w:p w14:paraId="33129370" w14:textId="52D80E0B" w:rsidR="00530338" w:rsidRPr="00A02B31" w:rsidRDefault="00FE2388" w:rsidP="00530338">
      <w:pPr>
        <w:ind w:left="1080"/>
        <w:rPr>
          <w:rFonts w:cstheme="minorHAnsi"/>
          <w:sz w:val="20"/>
          <w:szCs w:val="20"/>
        </w:rPr>
      </w:pPr>
      <w:r w:rsidRPr="00A02B31">
        <w:rPr>
          <w:rFonts w:cstheme="minorHAnsi"/>
          <w:sz w:val="20"/>
          <w:szCs w:val="20"/>
        </w:rPr>
        <w:t>2</w:t>
      </w:r>
      <w:r w:rsidR="00536A35" w:rsidRPr="00536A35">
        <w:rPr>
          <w:rFonts w:cstheme="minorHAnsi"/>
          <w:sz w:val="20"/>
          <w:szCs w:val="20"/>
        </w:rPr>
        <w:t>8</w:t>
      </w:r>
      <w:r w:rsidR="00530338" w:rsidRPr="00A02B31">
        <w:rPr>
          <w:rFonts w:cstheme="minorHAnsi"/>
          <w:sz w:val="20"/>
          <w:szCs w:val="20"/>
        </w:rPr>
        <w:tab/>
        <w:t>Directors’ Responsibilit</w:t>
      </w:r>
      <w:r w:rsidR="00F3613B" w:rsidRPr="00A02B31">
        <w:rPr>
          <w:rFonts w:cstheme="minorHAnsi"/>
          <w:sz w:val="20"/>
          <w:szCs w:val="20"/>
        </w:rPr>
        <w:t>y Statement</w:t>
      </w:r>
    </w:p>
    <w:p w14:paraId="58358FE7" w14:textId="18BC67F7" w:rsidR="00530338" w:rsidRPr="00A02B31" w:rsidRDefault="00FE2388" w:rsidP="00A02B31">
      <w:pPr>
        <w:ind w:left="1080"/>
        <w:rPr>
          <w:rFonts w:cstheme="minorHAnsi"/>
          <w:b/>
          <w:sz w:val="20"/>
          <w:szCs w:val="20"/>
        </w:rPr>
      </w:pPr>
      <w:r w:rsidRPr="00A02B31">
        <w:rPr>
          <w:rFonts w:cstheme="minorHAnsi"/>
          <w:sz w:val="20"/>
          <w:szCs w:val="20"/>
        </w:rPr>
        <w:t>2</w:t>
      </w:r>
      <w:r w:rsidR="002F5B42" w:rsidRPr="00A02B31">
        <w:rPr>
          <w:rFonts w:cstheme="minorHAnsi"/>
          <w:sz w:val="20"/>
          <w:szCs w:val="20"/>
        </w:rPr>
        <w:t>9</w:t>
      </w:r>
      <w:r w:rsidR="00530338" w:rsidRPr="00A02B31">
        <w:rPr>
          <w:rFonts w:cstheme="minorHAnsi"/>
          <w:sz w:val="20"/>
          <w:szCs w:val="20"/>
        </w:rPr>
        <w:tab/>
        <w:t>Independent Auditor’s Report</w:t>
      </w:r>
    </w:p>
    <w:p w14:paraId="19DE7D58" w14:textId="77777777" w:rsidR="00530338" w:rsidRPr="00A02B31" w:rsidRDefault="00530338" w:rsidP="00530338">
      <w:pPr>
        <w:ind w:firstLine="720"/>
        <w:rPr>
          <w:rFonts w:cstheme="minorHAnsi"/>
          <w:b/>
          <w:sz w:val="20"/>
          <w:szCs w:val="20"/>
        </w:rPr>
      </w:pPr>
    </w:p>
    <w:p w14:paraId="077B4614" w14:textId="77777777" w:rsidR="00530338" w:rsidRPr="00A02B31" w:rsidRDefault="00530338" w:rsidP="00530338">
      <w:pPr>
        <w:ind w:firstLine="720"/>
        <w:rPr>
          <w:rFonts w:cstheme="minorHAnsi"/>
          <w:b/>
          <w:sz w:val="20"/>
          <w:szCs w:val="20"/>
        </w:rPr>
      </w:pPr>
      <w:r w:rsidRPr="00A02B31">
        <w:rPr>
          <w:rFonts w:cstheme="minorHAnsi"/>
          <w:b/>
          <w:sz w:val="20"/>
          <w:szCs w:val="20"/>
        </w:rPr>
        <w:t>Financial Statements</w:t>
      </w:r>
    </w:p>
    <w:p w14:paraId="1F3C2E15" w14:textId="77777777" w:rsidR="00530338" w:rsidRPr="00A02B31" w:rsidRDefault="00530338" w:rsidP="00530338">
      <w:pPr>
        <w:pStyle w:val="ListParagraph"/>
        <w:ind w:left="1440"/>
        <w:rPr>
          <w:rFonts w:cstheme="minorHAnsi"/>
          <w:sz w:val="20"/>
          <w:szCs w:val="20"/>
        </w:rPr>
      </w:pPr>
    </w:p>
    <w:p w14:paraId="62C093AC" w14:textId="0EED2FD9" w:rsidR="00530338" w:rsidRPr="00A02B31" w:rsidRDefault="00FE2388" w:rsidP="00530338">
      <w:pPr>
        <w:ind w:left="1080"/>
        <w:rPr>
          <w:rFonts w:cstheme="minorHAnsi"/>
          <w:sz w:val="20"/>
          <w:szCs w:val="20"/>
        </w:rPr>
      </w:pPr>
      <w:r w:rsidRPr="00A02B31">
        <w:rPr>
          <w:rFonts w:cstheme="minorHAnsi"/>
          <w:sz w:val="20"/>
          <w:szCs w:val="20"/>
        </w:rPr>
        <w:t>3</w:t>
      </w:r>
      <w:r w:rsidR="00536A35" w:rsidRPr="00536A35">
        <w:rPr>
          <w:rFonts w:cstheme="minorHAnsi"/>
          <w:sz w:val="20"/>
          <w:szCs w:val="20"/>
        </w:rPr>
        <w:t>6</w:t>
      </w:r>
      <w:r w:rsidR="00530338" w:rsidRPr="00A02B31">
        <w:rPr>
          <w:rFonts w:cstheme="minorHAnsi"/>
          <w:sz w:val="20"/>
          <w:szCs w:val="20"/>
        </w:rPr>
        <w:tab/>
        <w:t>Statement of Comprehensive Income</w:t>
      </w:r>
    </w:p>
    <w:p w14:paraId="10EE2898" w14:textId="3C514564" w:rsidR="00530338" w:rsidRPr="00A02B31" w:rsidRDefault="00FE2388" w:rsidP="00530338">
      <w:pPr>
        <w:ind w:left="1080"/>
        <w:rPr>
          <w:rFonts w:cstheme="minorHAnsi"/>
          <w:sz w:val="20"/>
          <w:szCs w:val="20"/>
        </w:rPr>
      </w:pPr>
      <w:r w:rsidRPr="00A02B31">
        <w:rPr>
          <w:rFonts w:cstheme="minorHAnsi"/>
          <w:sz w:val="20"/>
          <w:szCs w:val="20"/>
        </w:rPr>
        <w:t>3</w:t>
      </w:r>
      <w:r w:rsidR="00536A35" w:rsidRPr="00536A35">
        <w:rPr>
          <w:rFonts w:cstheme="minorHAnsi"/>
          <w:sz w:val="20"/>
          <w:szCs w:val="20"/>
        </w:rPr>
        <w:t>7</w:t>
      </w:r>
      <w:r w:rsidR="00530338" w:rsidRPr="00A02B31">
        <w:rPr>
          <w:rFonts w:cstheme="minorHAnsi"/>
          <w:sz w:val="20"/>
          <w:szCs w:val="20"/>
        </w:rPr>
        <w:tab/>
      </w:r>
      <w:r w:rsidR="00C57143" w:rsidRPr="00A02B31">
        <w:rPr>
          <w:rFonts w:cstheme="minorHAnsi"/>
          <w:sz w:val="20"/>
          <w:szCs w:val="20"/>
        </w:rPr>
        <w:t xml:space="preserve">Statement of Financial Position </w:t>
      </w:r>
    </w:p>
    <w:p w14:paraId="1B981368" w14:textId="14DFD197" w:rsidR="00530338" w:rsidRPr="00A02B31" w:rsidRDefault="00FE2388" w:rsidP="00530338">
      <w:pPr>
        <w:ind w:left="1080"/>
        <w:rPr>
          <w:rFonts w:cstheme="minorHAnsi"/>
          <w:sz w:val="20"/>
          <w:szCs w:val="20"/>
        </w:rPr>
      </w:pPr>
      <w:r w:rsidRPr="00A02B31">
        <w:rPr>
          <w:rFonts w:cstheme="minorHAnsi"/>
          <w:sz w:val="20"/>
          <w:szCs w:val="20"/>
        </w:rPr>
        <w:t>3</w:t>
      </w:r>
      <w:r w:rsidR="00536A35" w:rsidRPr="00536A35">
        <w:rPr>
          <w:rFonts w:cstheme="minorHAnsi"/>
          <w:sz w:val="20"/>
          <w:szCs w:val="20"/>
        </w:rPr>
        <w:t>8</w:t>
      </w:r>
      <w:r w:rsidR="00530338" w:rsidRPr="00A02B31">
        <w:rPr>
          <w:rFonts w:cstheme="minorHAnsi"/>
          <w:sz w:val="20"/>
          <w:szCs w:val="20"/>
        </w:rPr>
        <w:tab/>
        <w:t>Statement of Cash Flows</w:t>
      </w:r>
    </w:p>
    <w:p w14:paraId="342D3B7F" w14:textId="2083C9D2" w:rsidR="00530338" w:rsidRPr="00A02B31" w:rsidRDefault="007F3217" w:rsidP="00530338">
      <w:pPr>
        <w:ind w:left="1080"/>
        <w:rPr>
          <w:rFonts w:cstheme="minorHAnsi"/>
          <w:sz w:val="20"/>
          <w:szCs w:val="20"/>
        </w:rPr>
      </w:pPr>
      <w:r>
        <w:rPr>
          <w:rFonts w:cstheme="minorHAnsi"/>
          <w:sz w:val="20"/>
          <w:szCs w:val="20"/>
        </w:rPr>
        <w:t>3</w:t>
      </w:r>
      <w:r w:rsidR="00536A35">
        <w:rPr>
          <w:rFonts w:cstheme="minorHAnsi"/>
          <w:sz w:val="20"/>
          <w:szCs w:val="20"/>
        </w:rPr>
        <w:t>9</w:t>
      </w:r>
      <w:r w:rsidR="00530338" w:rsidRPr="00A02B31">
        <w:rPr>
          <w:rFonts w:cstheme="minorHAnsi"/>
          <w:sz w:val="20"/>
          <w:szCs w:val="20"/>
        </w:rPr>
        <w:tab/>
        <w:t>Statement of Changes in Equity</w:t>
      </w:r>
    </w:p>
    <w:p w14:paraId="46505240" w14:textId="4829AC20" w:rsidR="00530338" w:rsidRPr="00A02B31" w:rsidRDefault="00536A35" w:rsidP="00530338">
      <w:pPr>
        <w:ind w:left="1080"/>
        <w:rPr>
          <w:rFonts w:cstheme="minorHAnsi"/>
          <w:sz w:val="20"/>
          <w:szCs w:val="20"/>
        </w:rPr>
      </w:pPr>
      <w:r w:rsidRPr="00536A35">
        <w:rPr>
          <w:rFonts w:cstheme="minorHAnsi"/>
          <w:sz w:val="20"/>
          <w:szCs w:val="20"/>
        </w:rPr>
        <w:t>40</w:t>
      </w:r>
      <w:r w:rsidR="00530338" w:rsidRPr="00A02B31">
        <w:rPr>
          <w:rFonts w:cstheme="minorHAnsi"/>
          <w:sz w:val="20"/>
          <w:szCs w:val="20"/>
        </w:rPr>
        <w:tab/>
        <w:t>Notes to the Financial Statements</w:t>
      </w:r>
    </w:p>
    <w:p w14:paraId="1270364C" w14:textId="77777777" w:rsidR="00530338" w:rsidRPr="00A02B31" w:rsidRDefault="00530338" w:rsidP="00530338">
      <w:pPr>
        <w:ind w:left="1080"/>
        <w:rPr>
          <w:rFonts w:cstheme="minorHAnsi"/>
          <w:sz w:val="20"/>
          <w:szCs w:val="20"/>
        </w:rPr>
      </w:pPr>
    </w:p>
    <w:p w14:paraId="75DFBB4D" w14:textId="77777777" w:rsidR="00530338" w:rsidRPr="00A02B31" w:rsidRDefault="00530338" w:rsidP="00530338">
      <w:pPr>
        <w:ind w:firstLine="720"/>
        <w:rPr>
          <w:rFonts w:cstheme="minorHAnsi"/>
          <w:b/>
          <w:sz w:val="20"/>
          <w:szCs w:val="20"/>
        </w:rPr>
      </w:pPr>
      <w:r w:rsidRPr="00A02B31">
        <w:rPr>
          <w:rFonts w:cstheme="minorHAnsi"/>
          <w:b/>
          <w:sz w:val="20"/>
          <w:szCs w:val="20"/>
        </w:rPr>
        <w:t>Other Information</w:t>
      </w:r>
    </w:p>
    <w:p w14:paraId="232173EF" w14:textId="01BD1D0C" w:rsidR="00530338" w:rsidRPr="00A02B31" w:rsidRDefault="00FE2388" w:rsidP="00530338">
      <w:pPr>
        <w:ind w:left="1134"/>
        <w:rPr>
          <w:rFonts w:cstheme="minorHAnsi"/>
          <w:sz w:val="20"/>
          <w:szCs w:val="20"/>
        </w:rPr>
      </w:pPr>
      <w:r w:rsidRPr="00A02B31">
        <w:rPr>
          <w:rFonts w:cstheme="minorHAnsi"/>
          <w:sz w:val="20"/>
          <w:szCs w:val="20"/>
        </w:rPr>
        <w:t>5</w:t>
      </w:r>
      <w:r w:rsidR="00536A35" w:rsidRPr="00536A35">
        <w:rPr>
          <w:rFonts w:cstheme="minorHAnsi"/>
          <w:sz w:val="20"/>
          <w:szCs w:val="20"/>
        </w:rPr>
        <w:t>4</w:t>
      </w:r>
      <w:r w:rsidR="00530338" w:rsidRPr="00A02B31">
        <w:rPr>
          <w:rFonts w:cstheme="minorHAnsi"/>
          <w:sz w:val="20"/>
          <w:szCs w:val="20"/>
        </w:rPr>
        <w:tab/>
        <w:t>Notice of Annual General Meeting</w:t>
      </w:r>
    </w:p>
    <w:p w14:paraId="55694E25" w14:textId="4F100B88" w:rsidR="00530338" w:rsidRPr="00A02B31" w:rsidRDefault="00536A35" w:rsidP="00530338">
      <w:pPr>
        <w:ind w:left="1134"/>
        <w:rPr>
          <w:rFonts w:cstheme="minorHAnsi"/>
          <w:sz w:val="20"/>
          <w:szCs w:val="20"/>
        </w:rPr>
      </w:pPr>
      <w:r w:rsidRPr="00536A35">
        <w:rPr>
          <w:rFonts w:cstheme="minorHAnsi"/>
          <w:sz w:val="20"/>
          <w:szCs w:val="20"/>
        </w:rPr>
        <w:t>59</w:t>
      </w:r>
      <w:r w:rsidR="00530338" w:rsidRPr="00A02B31">
        <w:rPr>
          <w:rFonts w:cstheme="minorHAnsi"/>
          <w:sz w:val="20"/>
          <w:szCs w:val="20"/>
        </w:rPr>
        <w:tab/>
        <w:t xml:space="preserve">Corporate Information </w:t>
      </w:r>
    </w:p>
    <w:bookmarkEnd w:id="0"/>
    <w:p w14:paraId="43E7D5BB" w14:textId="77777777" w:rsidR="00530338" w:rsidRPr="00A02B31" w:rsidRDefault="00530338" w:rsidP="00530338">
      <w:pPr>
        <w:jc w:val="center"/>
        <w:rPr>
          <w:rFonts w:cstheme="minorHAnsi"/>
          <w:b/>
          <w:sz w:val="20"/>
          <w:szCs w:val="20"/>
        </w:rPr>
      </w:pPr>
    </w:p>
    <w:p w14:paraId="2FFF3D2D" w14:textId="77777777" w:rsidR="00530338" w:rsidRPr="00A02B31" w:rsidRDefault="00530338" w:rsidP="00530338">
      <w:pPr>
        <w:jc w:val="center"/>
        <w:rPr>
          <w:rFonts w:cstheme="minorHAnsi"/>
          <w:b/>
          <w:sz w:val="20"/>
          <w:szCs w:val="20"/>
        </w:rPr>
      </w:pPr>
    </w:p>
    <w:p w14:paraId="6DDAC3CF" w14:textId="77777777" w:rsidR="00530338" w:rsidRPr="00A02B31" w:rsidRDefault="00530338" w:rsidP="00530338">
      <w:pPr>
        <w:jc w:val="center"/>
        <w:rPr>
          <w:rFonts w:cstheme="minorHAnsi"/>
          <w:b/>
          <w:sz w:val="20"/>
          <w:szCs w:val="20"/>
        </w:rPr>
      </w:pPr>
    </w:p>
    <w:p w14:paraId="6E7E2370" w14:textId="77777777" w:rsidR="00827B1F" w:rsidRPr="00A02B31" w:rsidRDefault="001C3B57" w:rsidP="009D1381">
      <w:pPr>
        <w:jc w:val="center"/>
        <w:rPr>
          <w:rFonts w:cstheme="minorHAnsi"/>
          <w:sz w:val="20"/>
          <w:szCs w:val="20"/>
        </w:rPr>
      </w:pPr>
      <w:r w:rsidRPr="00A02B31">
        <w:rPr>
          <w:rFonts w:cstheme="minorHAnsi"/>
          <w:sz w:val="20"/>
          <w:szCs w:val="20"/>
        </w:rPr>
        <w:t xml:space="preserve">Throughout this report we use the </w:t>
      </w:r>
      <w:r w:rsidR="00544D86" w:rsidRPr="00A02B31">
        <w:rPr>
          <w:rFonts w:cstheme="minorHAnsi"/>
          <w:sz w:val="20"/>
          <w:szCs w:val="20"/>
        </w:rPr>
        <w:t xml:space="preserve">more concise terms </w:t>
      </w:r>
      <w:r w:rsidR="00B95E82" w:rsidRPr="00A02B31">
        <w:rPr>
          <w:rFonts w:cstheme="minorHAnsi"/>
          <w:sz w:val="20"/>
          <w:szCs w:val="20"/>
        </w:rPr>
        <w:t xml:space="preserve">RKW </w:t>
      </w:r>
      <w:r w:rsidRPr="00A02B31">
        <w:rPr>
          <w:rFonts w:cstheme="minorHAnsi"/>
          <w:sz w:val="20"/>
          <w:szCs w:val="20"/>
        </w:rPr>
        <w:t>or the Company</w:t>
      </w:r>
      <w:r w:rsidR="00F31DE4" w:rsidRPr="00A02B31">
        <w:rPr>
          <w:rFonts w:cstheme="minorHAnsi"/>
          <w:sz w:val="20"/>
          <w:szCs w:val="20"/>
        </w:rPr>
        <w:t>.</w:t>
      </w:r>
    </w:p>
    <w:p w14:paraId="2B63608D" w14:textId="77777777" w:rsidR="00827B1F" w:rsidRPr="00A02B31" w:rsidRDefault="00827B1F">
      <w:pPr>
        <w:jc w:val="center"/>
        <w:rPr>
          <w:rFonts w:cstheme="minorHAnsi"/>
          <w:sz w:val="20"/>
          <w:szCs w:val="20"/>
        </w:rPr>
        <w:sectPr w:rsidR="00827B1F" w:rsidRPr="00A02B31" w:rsidSect="009D1381">
          <w:type w:val="continuous"/>
          <w:pgSz w:w="11910" w:h="16840"/>
          <w:pgMar w:top="680" w:right="1020" w:bottom="1140" w:left="1020" w:header="0" w:footer="848" w:gutter="0"/>
          <w:cols w:space="720"/>
        </w:sectPr>
      </w:pPr>
    </w:p>
    <w:p w14:paraId="4FC28545" w14:textId="4C6DCD22" w:rsidR="00827B1F" w:rsidRPr="00A02B31" w:rsidRDefault="00827B1F" w:rsidP="009D1381">
      <w:pPr>
        <w:jc w:val="center"/>
        <w:rPr>
          <w:rFonts w:cstheme="minorHAnsi"/>
          <w:sz w:val="20"/>
          <w:szCs w:val="20"/>
        </w:rPr>
      </w:pPr>
    </w:p>
    <w:p w14:paraId="1D95FE0E" w14:textId="77777777" w:rsidR="00827B1F" w:rsidRPr="00A02B31" w:rsidRDefault="00827B1F" w:rsidP="009D1381">
      <w:pPr>
        <w:jc w:val="center"/>
        <w:rPr>
          <w:rFonts w:cstheme="minorHAnsi"/>
          <w:sz w:val="20"/>
          <w:szCs w:val="20"/>
        </w:rPr>
      </w:pPr>
    </w:p>
    <w:p w14:paraId="494D5795" w14:textId="77777777" w:rsidR="00827B1F" w:rsidRPr="00A02B31" w:rsidRDefault="00827B1F" w:rsidP="009D1381">
      <w:pPr>
        <w:jc w:val="center"/>
        <w:rPr>
          <w:rFonts w:cstheme="minorHAnsi"/>
          <w:sz w:val="20"/>
          <w:szCs w:val="20"/>
        </w:rPr>
      </w:pPr>
    </w:p>
    <w:p w14:paraId="59EEBB93" w14:textId="77777777" w:rsidR="00827B1F" w:rsidRPr="00A02B31" w:rsidRDefault="00827B1F" w:rsidP="009D1381">
      <w:pPr>
        <w:jc w:val="center"/>
        <w:rPr>
          <w:rFonts w:cstheme="minorHAnsi"/>
          <w:sz w:val="20"/>
          <w:szCs w:val="20"/>
        </w:rPr>
      </w:pPr>
    </w:p>
    <w:p w14:paraId="6144826E" w14:textId="77777777" w:rsidR="00827B1F" w:rsidRPr="00A02B31" w:rsidRDefault="00827B1F" w:rsidP="009D1381">
      <w:pPr>
        <w:jc w:val="center"/>
        <w:rPr>
          <w:rFonts w:cstheme="minorHAnsi"/>
          <w:sz w:val="20"/>
          <w:szCs w:val="20"/>
        </w:rPr>
      </w:pPr>
    </w:p>
    <w:p w14:paraId="4F15C38C" w14:textId="77777777" w:rsidR="00827B1F" w:rsidRPr="00A02B31" w:rsidRDefault="00827B1F" w:rsidP="009D1381">
      <w:pPr>
        <w:jc w:val="center"/>
        <w:rPr>
          <w:rFonts w:cstheme="minorHAnsi"/>
          <w:sz w:val="20"/>
          <w:szCs w:val="20"/>
        </w:rPr>
      </w:pPr>
    </w:p>
    <w:p w14:paraId="23CE8BC5" w14:textId="77777777" w:rsidR="00827B1F" w:rsidRPr="00A02B31" w:rsidRDefault="00827B1F" w:rsidP="009D1381">
      <w:pPr>
        <w:jc w:val="center"/>
        <w:rPr>
          <w:rFonts w:cstheme="minorHAnsi"/>
          <w:sz w:val="20"/>
          <w:szCs w:val="20"/>
        </w:rPr>
      </w:pPr>
    </w:p>
    <w:p w14:paraId="5E437BAF" w14:textId="77777777" w:rsidR="00827B1F" w:rsidRPr="00A02B31" w:rsidRDefault="00827B1F" w:rsidP="009D1381">
      <w:pPr>
        <w:jc w:val="center"/>
        <w:rPr>
          <w:rFonts w:cstheme="minorHAnsi"/>
          <w:sz w:val="20"/>
          <w:szCs w:val="20"/>
        </w:rPr>
      </w:pPr>
    </w:p>
    <w:p w14:paraId="6B34B94D" w14:textId="77777777" w:rsidR="00827B1F" w:rsidRPr="00A02B31" w:rsidRDefault="00827B1F" w:rsidP="009D1381">
      <w:pPr>
        <w:jc w:val="center"/>
        <w:rPr>
          <w:rFonts w:cstheme="minorHAnsi"/>
          <w:sz w:val="20"/>
          <w:szCs w:val="20"/>
        </w:rPr>
      </w:pPr>
    </w:p>
    <w:p w14:paraId="6C20F09C" w14:textId="77777777" w:rsidR="00827B1F" w:rsidRPr="00A02B31" w:rsidRDefault="00827B1F" w:rsidP="009D1381">
      <w:pPr>
        <w:jc w:val="center"/>
        <w:rPr>
          <w:rFonts w:cstheme="minorHAnsi"/>
          <w:sz w:val="20"/>
          <w:szCs w:val="20"/>
        </w:rPr>
      </w:pPr>
    </w:p>
    <w:p w14:paraId="047875F8" w14:textId="77777777" w:rsidR="00827B1F" w:rsidRPr="00A02B31" w:rsidRDefault="00827B1F" w:rsidP="009D1381">
      <w:pPr>
        <w:jc w:val="center"/>
        <w:rPr>
          <w:rFonts w:cstheme="minorHAnsi"/>
          <w:sz w:val="20"/>
          <w:szCs w:val="20"/>
        </w:rPr>
      </w:pPr>
    </w:p>
    <w:p w14:paraId="27A96B25" w14:textId="77777777" w:rsidR="00827B1F" w:rsidRPr="00A02B31" w:rsidRDefault="00827B1F" w:rsidP="009D1381">
      <w:pPr>
        <w:jc w:val="center"/>
        <w:rPr>
          <w:rFonts w:cstheme="minorHAnsi"/>
          <w:sz w:val="20"/>
          <w:szCs w:val="20"/>
        </w:rPr>
      </w:pPr>
    </w:p>
    <w:p w14:paraId="6527DA57" w14:textId="77777777" w:rsidR="00827B1F" w:rsidRPr="00A02B31" w:rsidRDefault="00827B1F" w:rsidP="009D1381">
      <w:pPr>
        <w:jc w:val="center"/>
        <w:rPr>
          <w:rFonts w:cstheme="minorHAnsi"/>
          <w:sz w:val="20"/>
          <w:szCs w:val="20"/>
        </w:rPr>
      </w:pPr>
    </w:p>
    <w:p w14:paraId="6E4C3026" w14:textId="77777777" w:rsidR="00827B1F" w:rsidRPr="00A02B31" w:rsidRDefault="00827B1F" w:rsidP="009D1381">
      <w:pPr>
        <w:jc w:val="center"/>
        <w:rPr>
          <w:rFonts w:cstheme="minorHAnsi"/>
          <w:sz w:val="20"/>
          <w:szCs w:val="20"/>
        </w:rPr>
      </w:pPr>
    </w:p>
    <w:p w14:paraId="49C73393" w14:textId="77777777" w:rsidR="00827B1F" w:rsidRPr="00A02B31" w:rsidRDefault="00827B1F" w:rsidP="009D1381">
      <w:pPr>
        <w:jc w:val="center"/>
        <w:rPr>
          <w:rFonts w:cstheme="minorHAnsi"/>
          <w:sz w:val="20"/>
          <w:szCs w:val="20"/>
        </w:rPr>
      </w:pPr>
    </w:p>
    <w:p w14:paraId="77080BE4" w14:textId="77777777" w:rsidR="00827B1F" w:rsidRPr="00A02B31" w:rsidRDefault="00827B1F" w:rsidP="009D1381">
      <w:pPr>
        <w:jc w:val="center"/>
        <w:rPr>
          <w:rFonts w:cstheme="minorHAnsi"/>
          <w:sz w:val="20"/>
          <w:szCs w:val="20"/>
        </w:rPr>
      </w:pPr>
    </w:p>
    <w:p w14:paraId="330A25FC" w14:textId="77777777" w:rsidR="00827B1F" w:rsidRPr="00A02B31" w:rsidRDefault="00827B1F" w:rsidP="009D1381">
      <w:pPr>
        <w:jc w:val="center"/>
        <w:rPr>
          <w:rFonts w:cstheme="minorHAnsi"/>
          <w:sz w:val="20"/>
          <w:szCs w:val="20"/>
        </w:rPr>
      </w:pPr>
    </w:p>
    <w:p w14:paraId="36CDAD59" w14:textId="77777777" w:rsidR="00827B1F" w:rsidRPr="00A02B31" w:rsidRDefault="00827B1F" w:rsidP="009D1381">
      <w:pPr>
        <w:jc w:val="center"/>
        <w:rPr>
          <w:rFonts w:cstheme="minorHAnsi"/>
          <w:sz w:val="20"/>
          <w:szCs w:val="20"/>
        </w:rPr>
      </w:pPr>
    </w:p>
    <w:p w14:paraId="4B449FAB" w14:textId="6BA5CF81" w:rsidR="00827B1F" w:rsidRDefault="00827B1F" w:rsidP="009D1381">
      <w:pPr>
        <w:jc w:val="center"/>
        <w:rPr>
          <w:rFonts w:cstheme="minorHAnsi"/>
          <w:sz w:val="20"/>
          <w:szCs w:val="20"/>
        </w:rPr>
      </w:pPr>
    </w:p>
    <w:p w14:paraId="531686A4" w14:textId="3D6BAF82" w:rsidR="008B2DDA" w:rsidRDefault="008B2DDA" w:rsidP="009D1381">
      <w:pPr>
        <w:jc w:val="center"/>
        <w:rPr>
          <w:rFonts w:cstheme="minorHAnsi"/>
          <w:sz w:val="20"/>
          <w:szCs w:val="20"/>
        </w:rPr>
      </w:pPr>
    </w:p>
    <w:p w14:paraId="6738DA80" w14:textId="59B0CAE8" w:rsidR="008B2DDA" w:rsidRDefault="008B2DDA" w:rsidP="009D1381">
      <w:pPr>
        <w:jc w:val="center"/>
        <w:rPr>
          <w:rFonts w:cstheme="minorHAnsi"/>
          <w:sz w:val="20"/>
          <w:szCs w:val="20"/>
        </w:rPr>
      </w:pPr>
    </w:p>
    <w:p w14:paraId="6E64FED8" w14:textId="0B92D760" w:rsidR="008B2DDA" w:rsidRDefault="008B2DDA" w:rsidP="009D1381">
      <w:pPr>
        <w:jc w:val="center"/>
        <w:rPr>
          <w:rFonts w:cstheme="minorHAnsi"/>
          <w:sz w:val="20"/>
          <w:szCs w:val="20"/>
        </w:rPr>
      </w:pPr>
    </w:p>
    <w:p w14:paraId="1B5D3C85" w14:textId="64FDF55D" w:rsidR="008B2DDA" w:rsidRDefault="008B2DDA" w:rsidP="009D1381">
      <w:pPr>
        <w:jc w:val="center"/>
        <w:rPr>
          <w:rFonts w:cstheme="minorHAnsi"/>
          <w:sz w:val="20"/>
          <w:szCs w:val="20"/>
        </w:rPr>
      </w:pPr>
    </w:p>
    <w:p w14:paraId="7DBAD496" w14:textId="1BB93F58" w:rsidR="008B2DDA" w:rsidRDefault="008B2DDA" w:rsidP="009D1381">
      <w:pPr>
        <w:jc w:val="center"/>
        <w:rPr>
          <w:rFonts w:cstheme="minorHAnsi"/>
          <w:sz w:val="20"/>
          <w:szCs w:val="20"/>
        </w:rPr>
      </w:pPr>
    </w:p>
    <w:p w14:paraId="2CBFDA01" w14:textId="7E3C0823" w:rsidR="008B2DDA" w:rsidRDefault="008B2DDA" w:rsidP="009D1381">
      <w:pPr>
        <w:jc w:val="center"/>
        <w:rPr>
          <w:rFonts w:cstheme="minorHAnsi"/>
          <w:sz w:val="20"/>
          <w:szCs w:val="20"/>
        </w:rPr>
      </w:pPr>
    </w:p>
    <w:p w14:paraId="60111CBA" w14:textId="69E1891D" w:rsidR="008B2DDA" w:rsidRDefault="008B2DDA" w:rsidP="009D1381">
      <w:pPr>
        <w:jc w:val="center"/>
        <w:rPr>
          <w:rFonts w:cstheme="minorHAnsi"/>
          <w:sz w:val="20"/>
          <w:szCs w:val="20"/>
        </w:rPr>
      </w:pPr>
    </w:p>
    <w:p w14:paraId="0C561666" w14:textId="684B2616" w:rsidR="008B2DDA" w:rsidRDefault="008B2DDA" w:rsidP="009D1381">
      <w:pPr>
        <w:jc w:val="center"/>
        <w:rPr>
          <w:rFonts w:cstheme="minorHAnsi"/>
          <w:sz w:val="20"/>
          <w:szCs w:val="20"/>
        </w:rPr>
      </w:pPr>
    </w:p>
    <w:p w14:paraId="2600F615" w14:textId="21C35CDE" w:rsidR="008B2DDA" w:rsidRDefault="008B2DDA" w:rsidP="009D1381">
      <w:pPr>
        <w:jc w:val="center"/>
        <w:rPr>
          <w:rFonts w:cstheme="minorHAnsi"/>
          <w:sz w:val="20"/>
          <w:szCs w:val="20"/>
        </w:rPr>
      </w:pPr>
    </w:p>
    <w:p w14:paraId="5ECE6971" w14:textId="77777777" w:rsidR="008B2DDA" w:rsidRPr="00A02B31" w:rsidRDefault="008B2DDA" w:rsidP="009D1381">
      <w:pPr>
        <w:jc w:val="center"/>
        <w:rPr>
          <w:rFonts w:cstheme="minorHAnsi"/>
          <w:sz w:val="20"/>
          <w:szCs w:val="20"/>
        </w:rPr>
      </w:pPr>
    </w:p>
    <w:p w14:paraId="44926EEB" w14:textId="77777777" w:rsidR="00827B1F" w:rsidRPr="00A02B31" w:rsidRDefault="00827B1F" w:rsidP="009D1381">
      <w:pPr>
        <w:jc w:val="center"/>
        <w:rPr>
          <w:rFonts w:cstheme="minorHAnsi"/>
          <w:sz w:val="20"/>
          <w:szCs w:val="20"/>
        </w:rPr>
      </w:pPr>
    </w:p>
    <w:p w14:paraId="2582F279" w14:textId="77777777" w:rsidR="00827B1F" w:rsidRPr="00A02B31" w:rsidRDefault="00827B1F" w:rsidP="009D1381">
      <w:pPr>
        <w:jc w:val="center"/>
        <w:rPr>
          <w:rFonts w:cstheme="minorHAnsi"/>
          <w:sz w:val="20"/>
          <w:szCs w:val="20"/>
        </w:rPr>
      </w:pPr>
    </w:p>
    <w:p w14:paraId="57779ED3" w14:textId="77777777" w:rsidR="00096178" w:rsidRPr="00A02B31" w:rsidRDefault="00096178" w:rsidP="009D1381">
      <w:pPr>
        <w:jc w:val="center"/>
        <w:rPr>
          <w:rFonts w:cstheme="minorHAnsi"/>
          <w:b/>
          <w:sz w:val="20"/>
          <w:szCs w:val="20"/>
        </w:rPr>
      </w:pPr>
    </w:p>
    <w:p w14:paraId="5686C8EE" w14:textId="77777777" w:rsidR="00A02B31" w:rsidRDefault="00A02B31" w:rsidP="009D1381">
      <w:pPr>
        <w:jc w:val="center"/>
        <w:rPr>
          <w:rFonts w:cstheme="minorHAnsi"/>
          <w:b/>
          <w:sz w:val="20"/>
          <w:szCs w:val="20"/>
        </w:rPr>
        <w:sectPr w:rsidR="00A02B31" w:rsidSect="00540745">
          <w:type w:val="continuous"/>
          <w:pgSz w:w="11910" w:h="16840"/>
          <w:pgMar w:top="680" w:right="1020" w:bottom="1140" w:left="1020" w:header="0" w:footer="848" w:gutter="0"/>
          <w:cols w:num="2" w:space="720"/>
        </w:sectPr>
      </w:pPr>
    </w:p>
    <w:p w14:paraId="6CB0CA33" w14:textId="76C3F479" w:rsidR="00530338" w:rsidRPr="00A02B31" w:rsidRDefault="00827B1F" w:rsidP="009D1381">
      <w:pPr>
        <w:jc w:val="center"/>
        <w:rPr>
          <w:rFonts w:cstheme="minorHAnsi"/>
          <w:b/>
          <w:sz w:val="20"/>
          <w:szCs w:val="20"/>
        </w:rPr>
      </w:pPr>
      <w:r w:rsidRPr="00A02B31">
        <w:rPr>
          <w:rFonts w:cstheme="minorHAnsi"/>
          <w:b/>
          <w:sz w:val="20"/>
          <w:szCs w:val="20"/>
        </w:rPr>
        <w:t>C</w:t>
      </w:r>
      <w:r w:rsidR="00530338" w:rsidRPr="00A02B31">
        <w:rPr>
          <w:rFonts w:cstheme="minorHAnsi"/>
          <w:b/>
          <w:sz w:val="20"/>
          <w:szCs w:val="20"/>
        </w:rPr>
        <w:t>HAIRMAN’S STATEMENT</w:t>
      </w:r>
    </w:p>
    <w:p w14:paraId="28DF19B9" w14:textId="77777777" w:rsidR="00364878" w:rsidRPr="00A02B31" w:rsidRDefault="00364878" w:rsidP="00530338">
      <w:pPr>
        <w:pStyle w:val="BodyText"/>
        <w:spacing w:before="7"/>
        <w:jc w:val="both"/>
        <w:rPr>
          <w:rFonts w:asciiTheme="minorHAnsi" w:hAnsiTheme="minorHAnsi" w:cstheme="minorHAnsi"/>
        </w:rPr>
        <w:sectPr w:rsidR="00364878" w:rsidRPr="00A02B31" w:rsidSect="00A02B31">
          <w:type w:val="continuous"/>
          <w:pgSz w:w="11910" w:h="16840"/>
          <w:pgMar w:top="680" w:right="1020" w:bottom="1140" w:left="1020" w:header="0" w:footer="848" w:gutter="0"/>
          <w:cols w:space="720"/>
        </w:sectPr>
      </w:pPr>
    </w:p>
    <w:p w14:paraId="554A0A07" w14:textId="77777777" w:rsidR="00530338" w:rsidRPr="00A02B31" w:rsidRDefault="00530338" w:rsidP="00530338">
      <w:pPr>
        <w:pStyle w:val="BodyText"/>
        <w:spacing w:before="7"/>
        <w:jc w:val="both"/>
        <w:rPr>
          <w:rFonts w:asciiTheme="minorHAnsi" w:hAnsiTheme="minorHAnsi" w:cstheme="minorHAnsi"/>
        </w:rPr>
      </w:pPr>
    </w:p>
    <w:p w14:paraId="146F7FFE" w14:textId="77777777" w:rsidR="00530338" w:rsidRPr="00A02B31" w:rsidRDefault="00530338" w:rsidP="00530338">
      <w:pPr>
        <w:pStyle w:val="BodyText"/>
        <w:spacing w:before="7"/>
        <w:jc w:val="both"/>
        <w:rPr>
          <w:rFonts w:asciiTheme="minorHAnsi" w:hAnsiTheme="minorHAnsi" w:cstheme="minorHAnsi"/>
        </w:rPr>
      </w:pPr>
    </w:p>
    <w:p w14:paraId="0AEDC2FE" w14:textId="78583478" w:rsidR="00530338" w:rsidRPr="00A02B31" w:rsidRDefault="00B95E82" w:rsidP="00530338">
      <w:pPr>
        <w:autoSpaceDE w:val="0"/>
        <w:autoSpaceDN w:val="0"/>
        <w:adjustRightInd w:val="0"/>
        <w:jc w:val="both"/>
        <w:rPr>
          <w:rFonts w:cstheme="minorHAnsi"/>
          <w:b/>
          <w:sz w:val="20"/>
          <w:szCs w:val="20"/>
        </w:rPr>
      </w:pPr>
      <w:r w:rsidRPr="00A02B31">
        <w:rPr>
          <w:rFonts w:cstheme="minorHAnsi"/>
          <w:b/>
          <w:sz w:val="20"/>
          <w:szCs w:val="20"/>
        </w:rPr>
        <w:t>Noel Lamb</w:t>
      </w:r>
    </w:p>
    <w:p w14:paraId="5E5E2E9D" w14:textId="77777777" w:rsidR="00530338" w:rsidRPr="00A02B31" w:rsidRDefault="00530338" w:rsidP="00530338">
      <w:pPr>
        <w:autoSpaceDE w:val="0"/>
        <w:autoSpaceDN w:val="0"/>
        <w:adjustRightInd w:val="0"/>
        <w:jc w:val="both"/>
        <w:rPr>
          <w:rFonts w:cstheme="minorHAnsi"/>
          <w:b/>
          <w:sz w:val="20"/>
          <w:szCs w:val="20"/>
        </w:rPr>
      </w:pPr>
      <w:r w:rsidRPr="00A02B31">
        <w:rPr>
          <w:rFonts w:cstheme="minorHAnsi"/>
          <w:b/>
          <w:sz w:val="20"/>
          <w:szCs w:val="20"/>
        </w:rPr>
        <w:t>CHAIRMAN</w:t>
      </w:r>
    </w:p>
    <w:p w14:paraId="5E2F1A8B" w14:textId="77777777" w:rsidR="00530338" w:rsidRPr="00A02B31" w:rsidRDefault="00530338" w:rsidP="00530338">
      <w:pPr>
        <w:autoSpaceDE w:val="0"/>
        <w:autoSpaceDN w:val="0"/>
        <w:adjustRightInd w:val="0"/>
        <w:jc w:val="both"/>
        <w:rPr>
          <w:rFonts w:cstheme="minorHAnsi"/>
          <w:sz w:val="20"/>
          <w:szCs w:val="20"/>
        </w:rPr>
      </w:pPr>
    </w:p>
    <w:p w14:paraId="26B43135" w14:textId="34F08467" w:rsidR="00B95E82" w:rsidRPr="00A02B31" w:rsidRDefault="00B95E82" w:rsidP="0097570E">
      <w:pPr>
        <w:jc w:val="both"/>
        <w:rPr>
          <w:rFonts w:cstheme="minorHAnsi"/>
          <w:sz w:val="20"/>
          <w:szCs w:val="20"/>
        </w:rPr>
      </w:pPr>
      <w:r w:rsidRPr="00A02B31">
        <w:rPr>
          <w:rFonts w:cstheme="minorHAnsi"/>
          <w:sz w:val="20"/>
          <w:szCs w:val="20"/>
        </w:rPr>
        <w:t>Of the many significant dates since we last reported, one stands out amongst the others. On 25</w:t>
      </w:r>
      <w:r w:rsidRPr="00A02B31">
        <w:rPr>
          <w:rFonts w:cstheme="minorHAnsi"/>
          <w:sz w:val="20"/>
          <w:szCs w:val="20"/>
          <w:vertAlign w:val="superscript"/>
        </w:rPr>
        <w:t>th</w:t>
      </w:r>
      <w:r w:rsidRPr="00A02B31">
        <w:rPr>
          <w:rFonts w:cstheme="minorHAnsi"/>
          <w:sz w:val="20"/>
          <w:szCs w:val="20"/>
        </w:rPr>
        <w:t xml:space="preserve"> April 2022, 96% of voting shareholders supported the board’s proposed resolution to adopt a new active investment policy. This ensures the future </w:t>
      </w:r>
      <w:r w:rsidR="00DF6818" w:rsidRPr="00A02B31">
        <w:rPr>
          <w:rFonts w:cstheme="minorHAnsi"/>
          <w:sz w:val="20"/>
          <w:szCs w:val="20"/>
        </w:rPr>
        <w:t xml:space="preserve">of the Company </w:t>
      </w:r>
      <w:r w:rsidRPr="00A02B31">
        <w:rPr>
          <w:rFonts w:cstheme="minorHAnsi"/>
          <w:sz w:val="20"/>
          <w:szCs w:val="20"/>
        </w:rPr>
        <w:t xml:space="preserve">and capitalises on the proven track record. Taking over as chairman towards the end of January, the </w:t>
      </w:r>
      <w:r w:rsidR="00C87A16" w:rsidRPr="00A02B31">
        <w:rPr>
          <w:rFonts w:cstheme="minorHAnsi"/>
          <w:sz w:val="20"/>
          <w:szCs w:val="20"/>
        </w:rPr>
        <w:t>C</w:t>
      </w:r>
      <w:r w:rsidRPr="00A02B31">
        <w:rPr>
          <w:rFonts w:cstheme="minorHAnsi"/>
          <w:sz w:val="20"/>
          <w:szCs w:val="20"/>
        </w:rPr>
        <w:t>ompany was in the middle of a brief phase when shareholders had supported a resolution proposed by our then largest shareholder and previous manager to realise its investments and return the proceeds. £25 million was returned to shareholders during this time. £10.4</w:t>
      </w:r>
      <w:r w:rsidR="00345805" w:rsidRPr="00A02B31">
        <w:rPr>
          <w:rFonts w:cstheme="minorHAnsi"/>
          <w:sz w:val="20"/>
          <w:szCs w:val="20"/>
        </w:rPr>
        <w:t>m</w:t>
      </w:r>
      <w:r w:rsidRPr="00A02B31">
        <w:rPr>
          <w:rFonts w:cstheme="minorHAnsi"/>
          <w:sz w:val="20"/>
          <w:szCs w:val="20"/>
        </w:rPr>
        <w:t xml:space="preserve"> or 300p per share was returned by means of a B-share scheme and a further £14.6m was returned through a tender offer at 1551.17 pence per share. The NAV per share (net of these distributions) rose from 1,</w:t>
      </w:r>
      <w:r w:rsidR="00345805" w:rsidRPr="00A02B31">
        <w:rPr>
          <w:rFonts w:cstheme="minorHAnsi"/>
          <w:sz w:val="20"/>
          <w:szCs w:val="20"/>
        </w:rPr>
        <w:t>512</w:t>
      </w:r>
      <w:r w:rsidRPr="00A02B31">
        <w:rPr>
          <w:rFonts w:cstheme="minorHAnsi"/>
          <w:sz w:val="20"/>
          <w:szCs w:val="20"/>
        </w:rPr>
        <w:t>.</w:t>
      </w:r>
      <w:r w:rsidR="00345805" w:rsidRPr="00A02B31">
        <w:rPr>
          <w:rFonts w:cstheme="minorHAnsi"/>
          <w:sz w:val="20"/>
          <w:szCs w:val="20"/>
        </w:rPr>
        <w:t xml:space="preserve">8p </w:t>
      </w:r>
      <w:r w:rsidRPr="00A02B31">
        <w:rPr>
          <w:rFonts w:cstheme="minorHAnsi"/>
          <w:sz w:val="20"/>
          <w:szCs w:val="20"/>
        </w:rPr>
        <w:t xml:space="preserve">to </w:t>
      </w:r>
      <w:r w:rsidR="00631CC7" w:rsidRPr="00A02B31">
        <w:rPr>
          <w:rFonts w:cstheme="minorHAnsi"/>
          <w:sz w:val="20"/>
          <w:szCs w:val="20"/>
        </w:rPr>
        <w:t>1613.8p</w:t>
      </w:r>
      <w:r w:rsidR="00345805" w:rsidRPr="00A02B31">
        <w:rPr>
          <w:rFonts w:cstheme="minorHAnsi"/>
          <w:sz w:val="20"/>
          <w:szCs w:val="20"/>
        </w:rPr>
        <w:t xml:space="preserve"> </w:t>
      </w:r>
      <w:r w:rsidRPr="00A02B31">
        <w:rPr>
          <w:rFonts w:cstheme="minorHAnsi"/>
          <w:sz w:val="20"/>
          <w:szCs w:val="20"/>
        </w:rPr>
        <w:t xml:space="preserve">in the reporting period. </w:t>
      </w:r>
    </w:p>
    <w:p w14:paraId="54D21D84" w14:textId="77777777" w:rsidR="00B95E82" w:rsidRPr="00A02B31" w:rsidRDefault="00B95E82" w:rsidP="0097570E">
      <w:pPr>
        <w:jc w:val="both"/>
        <w:rPr>
          <w:rFonts w:cstheme="minorHAnsi"/>
          <w:sz w:val="20"/>
          <w:szCs w:val="20"/>
        </w:rPr>
      </w:pPr>
    </w:p>
    <w:p w14:paraId="4159C628" w14:textId="5147A9D3" w:rsidR="00B95E82" w:rsidRPr="00A02B31" w:rsidRDefault="00B95E82" w:rsidP="0097570E">
      <w:pPr>
        <w:jc w:val="both"/>
        <w:rPr>
          <w:rFonts w:cstheme="minorHAnsi"/>
          <w:sz w:val="20"/>
          <w:szCs w:val="20"/>
        </w:rPr>
      </w:pPr>
      <w:r w:rsidRPr="00A02B31">
        <w:rPr>
          <w:rFonts w:cstheme="minorHAnsi"/>
          <w:sz w:val="20"/>
          <w:szCs w:val="20"/>
        </w:rPr>
        <w:t xml:space="preserve">Developments during the year sometimes took place at incredible speed. The composition of the shareholder register has changed markedly, the board composition has evolved, the investment manager has changed and the short period during which the </w:t>
      </w:r>
      <w:r w:rsidR="00C87A16" w:rsidRPr="00A02B31">
        <w:rPr>
          <w:rFonts w:cstheme="minorHAnsi"/>
          <w:sz w:val="20"/>
          <w:szCs w:val="20"/>
        </w:rPr>
        <w:t>C</w:t>
      </w:r>
      <w:r w:rsidRPr="00A02B31">
        <w:rPr>
          <w:rFonts w:cstheme="minorHAnsi"/>
          <w:sz w:val="20"/>
          <w:szCs w:val="20"/>
        </w:rPr>
        <w:t xml:space="preserve">ompany was in orderly windup has now ceased. The </w:t>
      </w:r>
      <w:r w:rsidR="00C87A16" w:rsidRPr="00A02B31">
        <w:rPr>
          <w:rFonts w:cstheme="minorHAnsi"/>
          <w:sz w:val="20"/>
          <w:szCs w:val="20"/>
        </w:rPr>
        <w:t>C</w:t>
      </w:r>
      <w:r w:rsidRPr="00A02B31">
        <w:rPr>
          <w:rFonts w:cstheme="minorHAnsi"/>
          <w:sz w:val="20"/>
          <w:szCs w:val="20"/>
        </w:rPr>
        <w:t xml:space="preserve">ompany’s intention is to grow net assets materially over the coming years through a combination of investment performance and new fund raising. The strategy followed will be similar to that which has successfully driven significant shareholder value in recent years. It is a strategy that is clearly differentiated and suited to the long-term capital that the </w:t>
      </w:r>
      <w:r w:rsidR="00C87A16" w:rsidRPr="00A02B31">
        <w:rPr>
          <w:rFonts w:cstheme="minorHAnsi"/>
          <w:sz w:val="20"/>
          <w:szCs w:val="20"/>
        </w:rPr>
        <w:t>C</w:t>
      </w:r>
      <w:r w:rsidR="007717F8" w:rsidRPr="00A02B31">
        <w:rPr>
          <w:rFonts w:cstheme="minorHAnsi"/>
          <w:sz w:val="20"/>
          <w:szCs w:val="20"/>
        </w:rPr>
        <w:t>o</w:t>
      </w:r>
      <w:r w:rsidRPr="00A02B31">
        <w:rPr>
          <w:rFonts w:cstheme="minorHAnsi"/>
          <w:sz w:val="20"/>
          <w:szCs w:val="20"/>
        </w:rPr>
        <w:t xml:space="preserve">mpany retains. The board is particularly pleased with the appointment of Harwood Capital </w:t>
      </w:r>
      <w:r w:rsidR="0057768B" w:rsidRPr="00A02B31">
        <w:rPr>
          <w:rFonts w:cstheme="minorHAnsi"/>
          <w:sz w:val="20"/>
          <w:szCs w:val="20"/>
        </w:rPr>
        <w:t xml:space="preserve">as investment manager </w:t>
      </w:r>
      <w:r w:rsidRPr="00A02B31">
        <w:rPr>
          <w:rFonts w:cstheme="minorHAnsi"/>
          <w:sz w:val="20"/>
          <w:szCs w:val="20"/>
        </w:rPr>
        <w:t>to deliver this strategy.</w:t>
      </w:r>
    </w:p>
    <w:p w14:paraId="599649D9" w14:textId="77777777" w:rsidR="00B95E82" w:rsidRPr="00A02B31" w:rsidRDefault="00B95E82" w:rsidP="0097570E">
      <w:pPr>
        <w:jc w:val="both"/>
        <w:rPr>
          <w:rFonts w:cstheme="minorHAnsi"/>
          <w:sz w:val="20"/>
          <w:szCs w:val="20"/>
        </w:rPr>
      </w:pPr>
    </w:p>
    <w:p w14:paraId="2C13C732" w14:textId="55A5CA99" w:rsidR="00B95E82" w:rsidRPr="00A02B31" w:rsidRDefault="00B95E82" w:rsidP="0097570E">
      <w:pPr>
        <w:jc w:val="both"/>
        <w:rPr>
          <w:rFonts w:cstheme="minorHAnsi"/>
          <w:sz w:val="20"/>
          <w:szCs w:val="20"/>
        </w:rPr>
      </w:pPr>
      <w:r w:rsidRPr="00A02B31">
        <w:rPr>
          <w:rFonts w:cstheme="minorHAnsi"/>
          <w:sz w:val="20"/>
          <w:szCs w:val="20"/>
        </w:rPr>
        <w:t>Christopher Mills was lead fund manager during the realisation phase in the latter part of the year. He is moving into Rockwood’s Investment Advisory Group (IAG) and Richard Staveley, previously lead fund manager for the strategy, having joined Harwood, has been re-appointed to this role. With over 150 years of cumulative investment experience, shareholders will clearly benefit from the insights the IAG will bring to Richard and the investment team.</w:t>
      </w:r>
    </w:p>
    <w:p w14:paraId="7819EF4A" w14:textId="77777777" w:rsidR="00B95E82" w:rsidRPr="00A02B31" w:rsidRDefault="00B95E82" w:rsidP="0097570E">
      <w:pPr>
        <w:jc w:val="both"/>
        <w:rPr>
          <w:rFonts w:cstheme="minorHAnsi"/>
          <w:sz w:val="20"/>
          <w:szCs w:val="20"/>
        </w:rPr>
      </w:pPr>
    </w:p>
    <w:p w14:paraId="0DCDA63A" w14:textId="25A43E47" w:rsidR="00B95E82" w:rsidRPr="00A02B31" w:rsidRDefault="00B95E82" w:rsidP="0097570E">
      <w:pPr>
        <w:jc w:val="both"/>
        <w:rPr>
          <w:rFonts w:cstheme="minorHAnsi"/>
          <w:sz w:val="20"/>
          <w:szCs w:val="20"/>
        </w:rPr>
      </w:pPr>
      <w:r w:rsidRPr="00A02B31">
        <w:rPr>
          <w:rFonts w:cstheme="minorHAnsi"/>
          <w:sz w:val="20"/>
          <w:szCs w:val="20"/>
        </w:rPr>
        <w:t xml:space="preserve">The </w:t>
      </w:r>
      <w:r w:rsidR="00C87A16" w:rsidRPr="00A02B31">
        <w:rPr>
          <w:rFonts w:cstheme="minorHAnsi"/>
          <w:sz w:val="20"/>
          <w:szCs w:val="20"/>
        </w:rPr>
        <w:t>C</w:t>
      </w:r>
      <w:r w:rsidRPr="00A02B31">
        <w:rPr>
          <w:rFonts w:cstheme="minorHAnsi"/>
          <w:sz w:val="20"/>
          <w:szCs w:val="20"/>
        </w:rPr>
        <w:t>ompany’s corporate activity during the year led to significant costs</w:t>
      </w:r>
      <w:r w:rsidR="004D0805" w:rsidRPr="00A02B31">
        <w:rPr>
          <w:rFonts w:cstheme="minorHAnsi"/>
          <w:sz w:val="20"/>
          <w:szCs w:val="20"/>
        </w:rPr>
        <w:t>,</w:t>
      </w:r>
      <w:r w:rsidRPr="00A02B31">
        <w:rPr>
          <w:rFonts w:cstheme="minorHAnsi"/>
          <w:sz w:val="20"/>
          <w:szCs w:val="20"/>
        </w:rPr>
        <w:t xml:space="preserve"> with professional fees totalling £</w:t>
      </w:r>
      <w:r w:rsidR="00DF6818" w:rsidRPr="00A02B31">
        <w:rPr>
          <w:rFonts w:cstheme="minorHAnsi"/>
          <w:sz w:val="20"/>
          <w:szCs w:val="20"/>
        </w:rPr>
        <w:t>0.67</w:t>
      </w:r>
      <w:r w:rsidR="00345805" w:rsidRPr="00A02B31">
        <w:rPr>
          <w:rFonts w:cstheme="minorHAnsi"/>
          <w:sz w:val="20"/>
          <w:szCs w:val="20"/>
        </w:rPr>
        <w:t>m</w:t>
      </w:r>
      <w:r w:rsidRPr="00A02B31">
        <w:rPr>
          <w:rFonts w:cstheme="minorHAnsi"/>
          <w:sz w:val="20"/>
          <w:szCs w:val="20"/>
        </w:rPr>
        <w:t xml:space="preserve"> and legal fees totalling £</w:t>
      </w:r>
      <w:r w:rsidR="00345805" w:rsidRPr="00A02B31">
        <w:rPr>
          <w:rFonts w:cstheme="minorHAnsi"/>
          <w:sz w:val="20"/>
          <w:szCs w:val="20"/>
        </w:rPr>
        <w:t>0.37m</w:t>
      </w:r>
      <w:r w:rsidRPr="00A02B31">
        <w:rPr>
          <w:rFonts w:cstheme="minorHAnsi"/>
          <w:sz w:val="20"/>
          <w:szCs w:val="20"/>
        </w:rPr>
        <w:t>. In addition, the termination of the investment management agreement with Gresham House led to an acceleration of performance fees which meant manager fees reached £3.36</w:t>
      </w:r>
      <w:r w:rsidR="00345805" w:rsidRPr="00A02B31">
        <w:rPr>
          <w:rFonts w:cstheme="minorHAnsi"/>
          <w:sz w:val="20"/>
          <w:szCs w:val="20"/>
        </w:rPr>
        <w:t>m</w:t>
      </w:r>
      <w:r w:rsidRPr="00A02B31">
        <w:rPr>
          <w:rFonts w:cstheme="minorHAnsi"/>
          <w:sz w:val="20"/>
          <w:szCs w:val="20"/>
        </w:rPr>
        <w:t>. This was despite the new manager</w:t>
      </w:r>
      <w:r w:rsidR="004D0805" w:rsidRPr="00A02B31">
        <w:rPr>
          <w:rFonts w:cstheme="minorHAnsi"/>
          <w:sz w:val="20"/>
          <w:szCs w:val="20"/>
        </w:rPr>
        <w:t>,</w:t>
      </w:r>
      <w:r w:rsidRPr="00A02B31">
        <w:rPr>
          <w:rFonts w:cstheme="minorHAnsi"/>
          <w:sz w:val="20"/>
          <w:szCs w:val="20"/>
        </w:rPr>
        <w:t xml:space="preserve"> Harwood Capital</w:t>
      </w:r>
      <w:r w:rsidR="004D0805" w:rsidRPr="00A02B31">
        <w:rPr>
          <w:rFonts w:cstheme="minorHAnsi"/>
          <w:sz w:val="20"/>
          <w:szCs w:val="20"/>
        </w:rPr>
        <w:t>,</w:t>
      </w:r>
      <w:r w:rsidRPr="00A02B31">
        <w:rPr>
          <w:rFonts w:cstheme="minorHAnsi"/>
          <w:sz w:val="20"/>
          <w:szCs w:val="20"/>
        </w:rPr>
        <w:t xml:space="preserve"> charging zero fees for its services from October 2021 to year-end. </w:t>
      </w:r>
      <w:r w:rsidR="00631CC7" w:rsidRPr="00A02B31">
        <w:rPr>
          <w:rFonts w:cstheme="minorHAnsi"/>
          <w:sz w:val="20"/>
          <w:szCs w:val="20"/>
        </w:rPr>
        <w:t>Costs</w:t>
      </w:r>
      <w:r w:rsidRPr="00A02B31">
        <w:rPr>
          <w:rFonts w:cstheme="minorHAnsi"/>
          <w:sz w:val="20"/>
          <w:szCs w:val="20"/>
        </w:rPr>
        <w:t xml:space="preserve"> associated with the various corporate actions of last year totalled £</w:t>
      </w:r>
      <w:r w:rsidR="009502DB" w:rsidRPr="00A02B31">
        <w:rPr>
          <w:rFonts w:cstheme="minorHAnsi"/>
          <w:sz w:val="20"/>
          <w:szCs w:val="20"/>
        </w:rPr>
        <w:t>1.10m</w:t>
      </w:r>
      <w:r w:rsidRPr="00A02B31">
        <w:rPr>
          <w:rFonts w:cstheme="minorHAnsi"/>
          <w:sz w:val="20"/>
          <w:szCs w:val="20"/>
        </w:rPr>
        <w:t xml:space="preserve">, or </w:t>
      </w:r>
      <w:r w:rsidR="009502DB" w:rsidRPr="00A02B31">
        <w:rPr>
          <w:rFonts w:cstheme="minorHAnsi"/>
          <w:sz w:val="20"/>
          <w:szCs w:val="20"/>
        </w:rPr>
        <w:t>2.09</w:t>
      </w:r>
      <w:r w:rsidRPr="00A02B31">
        <w:rPr>
          <w:rFonts w:cstheme="minorHAnsi"/>
          <w:sz w:val="20"/>
          <w:szCs w:val="20"/>
        </w:rPr>
        <w:t xml:space="preserve">% of starting NAV. There was a material cost to the </w:t>
      </w:r>
      <w:r w:rsidR="00C87A16" w:rsidRPr="00A02B31">
        <w:rPr>
          <w:rFonts w:cstheme="minorHAnsi"/>
          <w:sz w:val="20"/>
          <w:szCs w:val="20"/>
        </w:rPr>
        <w:t>C</w:t>
      </w:r>
      <w:r w:rsidRPr="00A02B31">
        <w:rPr>
          <w:rFonts w:cstheme="minorHAnsi"/>
          <w:sz w:val="20"/>
          <w:szCs w:val="20"/>
        </w:rPr>
        <w:t>ompany of administering the B-share scheme, Tender and Strategic Review, not least because of the very significant (over 4</w:t>
      </w:r>
      <w:r w:rsidR="000C5053" w:rsidRPr="00A928F5">
        <w:rPr>
          <w:rFonts w:cstheme="minorHAnsi"/>
          <w:sz w:val="20"/>
          <w:szCs w:val="20"/>
        </w:rPr>
        <w:t>,</w:t>
      </w:r>
      <w:r w:rsidRPr="00A02B31">
        <w:rPr>
          <w:rFonts w:cstheme="minorHAnsi"/>
          <w:sz w:val="20"/>
          <w:szCs w:val="20"/>
        </w:rPr>
        <w:t>200) number of shareholders, many of wh</w:t>
      </w:r>
      <w:r w:rsidR="000C5053" w:rsidRPr="00A928F5">
        <w:rPr>
          <w:rFonts w:cstheme="minorHAnsi"/>
          <w:sz w:val="20"/>
          <w:szCs w:val="20"/>
        </w:rPr>
        <w:t>om</w:t>
      </w:r>
      <w:r w:rsidRPr="00A02B31">
        <w:rPr>
          <w:rFonts w:cstheme="minorHAnsi"/>
          <w:sz w:val="20"/>
          <w:szCs w:val="20"/>
        </w:rPr>
        <w:t xml:space="preserve"> have fewer than 10 shares. The </w:t>
      </w:r>
      <w:r w:rsidR="00C87A16" w:rsidRPr="00A02B31">
        <w:rPr>
          <w:rFonts w:cstheme="minorHAnsi"/>
          <w:sz w:val="20"/>
          <w:szCs w:val="20"/>
        </w:rPr>
        <w:t>C</w:t>
      </w:r>
      <w:r w:rsidRPr="00A02B31">
        <w:rPr>
          <w:rFonts w:cstheme="minorHAnsi"/>
          <w:sz w:val="20"/>
          <w:szCs w:val="20"/>
        </w:rPr>
        <w:t xml:space="preserve">ompany is therefore exploring ways to consolidate the register for the future. Shareholders are again encouraged to cash any dividend cheques they retain. The </w:t>
      </w:r>
      <w:r w:rsidR="00C87A16" w:rsidRPr="00A02B31">
        <w:rPr>
          <w:rFonts w:cstheme="minorHAnsi"/>
          <w:sz w:val="20"/>
          <w:szCs w:val="20"/>
        </w:rPr>
        <w:t>C</w:t>
      </w:r>
      <w:r w:rsidRPr="00A02B31">
        <w:rPr>
          <w:rFonts w:cstheme="minorHAnsi"/>
          <w:sz w:val="20"/>
          <w:szCs w:val="20"/>
        </w:rPr>
        <w:t>ompany will seek to reduce the statute of limitations to 6 from 12 years so that unclaimed capital can be re-invested and grow future shareholder value.</w:t>
      </w:r>
    </w:p>
    <w:p w14:paraId="7694875B" w14:textId="77777777" w:rsidR="00B95E82" w:rsidRPr="00A02B31" w:rsidRDefault="00B95E82" w:rsidP="0097570E">
      <w:pPr>
        <w:jc w:val="both"/>
        <w:rPr>
          <w:rFonts w:cstheme="minorHAnsi"/>
          <w:sz w:val="20"/>
          <w:szCs w:val="20"/>
        </w:rPr>
      </w:pPr>
    </w:p>
    <w:p w14:paraId="256EC97A" w14:textId="3FC25C25" w:rsidR="00B95E82" w:rsidRPr="00A02B31" w:rsidRDefault="00B95E82" w:rsidP="0097570E">
      <w:pPr>
        <w:jc w:val="both"/>
        <w:rPr>
          <w:rFonts w:cstheme="minorHAnsi"/>
          <w:sz w:val="20"/>
          <w:szCs w:val="20"/>
        </w:rPr>
      </w:pPr>
      <w:r w:rsidRPr="00A02B31">
        <w:rPr>
          <w:rFonts w:cstheme="minorHAnsi"/>
          <w:sz w:val="20"/>
          <w:szCs w:val="20"/>
        </w:rPr>
        <w:t xml:space="preserve">Following a thorough review of service providers, the </w:t>
      </w:r>
      <w:r w:rsidR="00C87A16" w:rsidRPr="00A02B31">
        <w:rPr>
          <w:rFonts w:cstheme="minorHAnsi"/>
          <w:sz w:val="20"/>
          <w:szCs w:val="20"/>
        </w:rPr>
        <w:t>C</w:t>
      </w:r>
      <w:r w:rsidRPr="00A02B31">
        <w:rPr>
          <w:rFonts w:cstheme="minorHAnsi"/>
          <w:sz w:val="20"/>
          <w:szCs w:val="20"/>
        </w:rPr>
        <w:t>ompany (supported by the actions of Harwood Capital) has significantly reduced its future corporate running costs. Management fees are much reduced and will be charged at a fixed fee of £120,000 while assets are below £60m from 25</w:t>
      </w:r>
      <w:r w:rsidRPr="00A02B31">
        <w:rPr>
          <w:rFonts w:cstheme="minorHAnsi"/>
          <w:sz w:val="20"/>
          <w:szCs w:val="20"/>
          <w:vertAlign w:val="superscript"/>
        </w:rPr>
        <w:t>th</w:t>
      </w:r>
      <w:r w:rsidRPr="00A02B31">
        <w:rPr>
          <w:rFonts w:cstheme="minorHAnsi"/>
          <w:sz w:val="20"/>
          <w:szCs w:val="20"/>
        </w:rPr>
        <w:t xml:space="preserve"> April 2022, mitigating a key concern for many investors about the size of the </w:t>
      </w:r>
      <w:r w:rsidR="00C87A16" w:rsidRPr="00A02B31">
        <w:rPr>
          <w:rFonts w:cstheme="minorHAnsi"/>
          <w:sz w:val="20"/>
          <w:szCs w:val="20"/>
        </w:rPr>
        <w:t>C</w:t>
      </w:r>
      <w:r w:rsidRPr="00A02B31">
        <w:rPr>
          <w:rFonts w:cstheme="minorHAnsi"/>
          <w:sz w:val="20"/>
          <w:szCs w:val="20"/>
        </w:rPr>
        <w:t xml:space="preserve">ompany. Growing the NAV is a clear priority for the </w:t>
      </w:r>
      <w:r w:rsidR="00C87A16" w:rsidRPr="00A02B31">
        <w:rPr>
          <w:rFonts w:cstheme="minorHAnsi"/>
          <w:sz w:val="20"/>
          <w:szCs w:val="20"/>
        </w:rPr>
        <w:t>C</w:t>
      </w:r>
      <w:r w:rsidRPr="00A02B31">
        <w:rPr>
          <w:rFonts w:cstheme="minorHAnsi"/>
          <w:sz w:val="20"/>
          <w:szCs w:val="20"/>
        </w:rPr>
        <w:t xml:space="preserve">ompany. This will open up a wider set of investments in the target part of the UK small cap market where the manager can purchase significant investee </w:t>
      </w:r>
      <w:r w:rsidR="00C87A16" w:rsidRPr="00A02B31">
        <w:rPr>
          <w:rFonts w:cstheme="minorHAnsi"/>
          <w:sz w:val="20"/>
          <w:szCs w:val="20"/>
        </w:rPr>
        <w:t>c</w:t>
      </w:r>
      <w:r w:rsidRPr="00A02B31">
        <w:rPr>
          <w:rFonts w:cstheme="minorHAnsi"/>
          <w:sz w:val="20"/>
          <w:szCs w:val="20"/>
        </w:rPr>
        <w:t xml:space="preserve">ompany stakes. </w:t>
      </w:r>
    </w:p>
    <w:p w14:paraId="38C6B8E8" w14:textId="77777777" w:rsidR="00B95E82" w:rsidRPr="00A02B31" w:rsidRDefault="00B95E82" w:rsidP="0097570E">
      <w:pPr>
        <w:jc w:val="both"/>
        <w:rPr>
          <w:rFonts w:cstheme="minorHAnsi"/>
          <w:sz w:val="20"/>
          <w:szCs w:val="20"/>
        </w:rPr>
      </w:pPr>
    </w:p>
    <w:p w14:paraId="26340EF6" w14:textId="3280DD56" w:rsidR="00B95E82" w:rsidRPr="00A02B31" w:rsidRDefault="00B95E82" w:rsidP="0097570E">
      <w:pPr>
        <w:jc w:val="both"/>
        <w:rPr>
          <w:rFonts w:cstheme="minorHAnsi"/>
          <w:sz w:val="20"/>
          <w:szCs w:val="20"/>
        </w:rPr>
      </w:pPr>
      <w:r w:rsidRPr="00A02B31">
        <w:rPr>
          <w:rFonts w:cstheme="minorHAnsi"/>
          <w:sz w:val="20"/>
          <w:szCs w:val="20"/>
        </w:rPr>
        <w:t>With effect from April 2021, U.K. tax law changed with the regard to the use of historic tax losses in reducing taxable profits, lowering the extent these can be utilised in any one year. The company previously benefitted from a significant Corporation Tax shield in the form of over £1</w:t>
      </w:r>
      <w:r w:rsidR="002A19D4" w:rsidRPr="00A02B31">
        <w:rPr>
          <w:rFonts w:cstheme="minorHAnsi"/>
          <w:sz w:val="20"/>
          <w:szCs w:val="20"/>
        </w:rPr>
        <w:t>25</w:t>
      </w:r>
      <w:r w:rsidR="00345805" w:rsidRPr="00A02B31">
        <w:rPr>
          <w:rFonts w:cstheme="minorHAnsi"/>
          <w:sz w:val="20"/>
          <w:szCs w:val="20"/>
        </w:rPr>
        <w:t>m</w:t>
      </w:r>
      <w:r w:rsidRPr="00A02B31">
        <w:rPr>
          <w:rFonts w:cstheme="minorHAnsi"/>
          <w:sz w:val="20"/>
          <w:szCs w:val="20"/>
        </w:rPr>
        <w:t xml:space="preserve"> of brought forward tax losses</w:t>
      </w:r>
      <w:r w:rsidR="002A19D4" w:rsidRPr="00A02B31">
        <w:rPr>
          <w:rFonts w:cstheme="minorHAnsi"/>
          <w:sz w:val="20"/>
          <w:szCs w:val="20"/>
        </w:rPr>
        <w:t>.</w:t>
      </w:r>
      <w:r w:rsidRPr="00A02B31">
        <w:rPr>
          <w:rFonts w:cstheme="minorHAnsi"/>
          <w:sz w:val="20"/>
          <w:szCs w:val="20"/>
        </w:rPr>
        <w:t xml:space="preserve"> </w:t>
      </w:r>
      <w:r w:rsidR="00DF23D7" w:rsidRPr="00A02B31">
        <w:rPr>
          <w:rFonts w:cstheme="minorHAnsi"/>
          <w:sz w:val="20"/>
          <w:szCs w:val="20"/>
        </w:rPr>
        <w:t xml:space="preserve">Following the changes, the maximum tax shield that can be used in any one financial year is limited to £5m. </w:t>
      </w:r>
      <w:r w:rsidRPr="00A02B31">
        <w:rPr>
          <w:rFonts w:cstheme="minorHAnsi"/>
          <w:sz w:val="20"/>
          <w:szCs w:val="20"/>
        </w:rPr>
        <w:t>As a result, there is a Corporation Tax charge for the current year of approximately £1.5</w:t>
      </w:r>
      <w:r w:rsidR="00DF6818" w:rsidRPr="00A02B31">
        <w:rPr>
          <w:rFonts w:cstheme="minorHAnsi"/>
          <w:sz w:val="20"/>
          <w:szCs w:val="20"/>
        </w:rPr>
        <w:t>8</w:t>
      </w:r>
      <w:r w:rsidRPr="00A02B31">
        <w:rPr>
          <w:rFonts w:cstheme="minorHAnsi"/>
          <w:sz w:val="20"/>
          <w:szCs w:val="20"/>
        </w:rPr>
        <w:t>m</w:t>
      </w:r>
      <w:r w:rsidR="00DF23D7" w:rsidRPr="00A02B31">
        <w:rPr>
          <w:rFonts w:cstheme="minorHAnsi"/>
          <w:sz w:val="20"/>
          <w:szCs w:val="20"/>
        </w:rPr>
        <w:t>.</w:t>
      </w:r>
      <w:r w:rsidRPr="00A02B31">
        <w:rPr>
          <w:rFonts w:cstheme="minorHAnsi"/>
          <w:sz w:val="20"/>
          <w:szCs w:val="20"/>
        </w:rPr>
        <w:t xml:space="preserve"> </w:t>
      </w:r>
      <w:r w:rsidR="00DF23D7" w:rsidRPr="00A02B31">
        <w:rPr>
          <w:rFonts w:cstheme="minorHAnsi"/>
          <w:sz w:val="20"/>
          <w:szCs w:val="20"/>
        </w:rPr>
        <w:t>In addition, unlike an Investment Trust, the Company remains liable to be charged for Value Adde</w:t>
      </w:r>
      <w:r w:rsidR="00C87A16" w:rsidRPr="00A02B31">
        <w:rPr>
          <w:rFonts w:cstheme="minorHAnsi"/>
          <w:sz w:val="20"/>
          <w:szCs w:val="20"/>
        </w:rPr>
        <w:t>d Tax, which is charged to the C</w:t>
      </w:r>
      <w:r w:rsidR="00DF23D7" w:rsidRPr="00A02B31">
        <w:rPr>
          <w:rFonts w:cstheme="minorHAnsi"/>
          <w:sz w:val="20"/>
          <w:szCs w:val="20"/>
        </w:rPr>
        <w:t xml:space="preserve">ompany on all fees and expenses including the investment management and performance fees. Consequently </w:t>
      </w:r>
      <w:r w:rsidRPr="00A02B31">
        <w:rPr>
          <w:rFonts w:cstheme="minorHAnsi"/>
          <w:sz w:val="20"/>
          <w:szCs w:val="20"/>
        </w:rPr>
        <w:t xml:space="preserve">the </w:t>
      </w:r>
      <w:r w:rsidR="00C87A16" w:rsidRPr="00A02B31">
        <w:rPr>
          <w:rFonts w:cstheme="minorHAnsi"/>
          <w:sz w:val="20"/>
          <w:szCs w:val="20"/>
        </w:rPr>
        <w:t>C</w:t>
      </w:r>
      <w:r w:rsidRPr="00A02B31">
        <w:rPr>
          <w:rFonts w:cstheme="minorHAnsi"/>
          <w:sz w:val="20"/>
          <w:szCs w:val="20"/>
        </w:rPr>
        <w:t>ompany paid a further £</w:t>
      </w:r>
      <w:r w:rsidR="00345805" w:rsidRPr="00A02B31">
        <w:rPr>
          <w:rFonts w:cstheme="minorHAnsi"/>
          <w:sz w:val="20"/>
          <w:szCs w:val="20"/>
        </w:rPr>
        <w:t>0.46m</w:t>
      </w:r>
      <w:r w:rsidRPr="00A02B31">
        <w:rPr>
          <w:rFonts w:cstheme="minorHAnsi"/>
          <w:sz w:val="20"/>
          <w:szCs w:val="20"/>
        </w:rPr>
        <w:t xml:space="preserve"> </w:t>
      </w:r>
      <w:r w:rsidR="004D0805" w:rsidRPr="00A02B31">
        <w:rPr>
          <w:rFonts w:cstheme="minorHAnsi"/>
          <w:sz w:val="20"/>
          <w:szCs w:val="20"/>
        </w:rPr>
        <w:t xml:space="preserve">in </w:t>
      </w:r>
      <w:r w:rsidRPr="00A02B31">
        <w:rPr>
          <w:rFonts w:cstheme="minorHAnsi"/>
          <w:sz w:val="20"/>
          <w:szCs w:val="20"/>
        </w:rPr>
        <w:t>VAT</w:t>
      </w:r>
      <w:r w:rsidR="00DF23D7" w:rsidRPr="00A02B31">
        <w:rPr>
          <w:rFonts w:cstheme="minorHAnsi"/>
          <w:sz w:val="20"/>
          <w:szCs w:val="20"/>
        </w:rPr>
        <w:t xml:space="preserve"> on the management fees and performance fe</w:t>
      </w:r>
      <w:r w:rsidR="00D92530" w:rsidRPr="00A02B31">
        <w:rPr>
          <w:rFonts w:cstheme="minorHAnsi"/>
          <w:sz w:val="20"/>
          <w:szCs w:val="20"/>
        </w:rPr>
        <w:t xml:space="preserve">e which it is unable to reclaim. </w:t>
      </w:r>
      <w:r w:rsidRPr="00A02B31">
        <w:rPr>
          <w:rFonts w:cstheme="minorHAnsi"/>
          <w:sz w:val="20"/>
          <w:szCs w:val="20"/>
        </w:rPr>
        <w:t>The board wishes to improve our tax efficiency as fast as possible, hence there will be a recommendation to shareholders to support a move to the main market on the London Stock Exchange from AIM and convert to an Investment Trust</w:t>
      </w:r>
      <w:r w:rsidR="004D0805" w:rsidRPr="00A02B31">
        <w:rPr>
          <w:rFonts w:cstheme="minorHAnsi"/>
          <w:sz w:val="20"/>
          <w:szCs w:val="20"/>
        </w:rPr>
        <w:t>. T</w:t>
      </w:r>
      <w:r w:rsidRPr="00A02B31">
        <w:rPr>
          <w:rFonts w:cstheme="minorHAnsi"/>
          <w:sz w:val="20"/>
          <w:szCs w:val="20"/>
        </w:rPr>
        <w:t xml:space="preserve">he </w:t>
      </w:r>
      <w:r w:rsidR="00C87A16" w:rsidRPr="00A02B31">
        <w:rPr>
          <w:rFonts w:cstheme="minorHAnsi"/>
          <w:sz w:val="20"/>
          <w:szCs w:val="20"/>
        </w:rPr>
        <w:t>C</w:t>
      </w:r>
      <w:r w:rsidRPr="00A02B31">
        <w:rPr>
          <w:rFonts w:cstheme="minorHAnsi"/>
          <w:sz w:val="20"/>
          <w:szCs w:val="20"/>
        </w:rPr>
        <w:t>ompany, in this new form, would no longer incur VAT on fees, including management and performance fees</w:t>
      </w:r>
      <w:r w:rsidR="004D0805" w:rsidRPr="00A02B31">
        <w:rPr>
          <w:rFonts w:cstheme="minorHAnsi"/>
          <w:sz w:val="20"/>
          <w:szCs w:val="20"/>
        </w:rPr>
        <w:t>,</w:t>
      </w:r>
      <w:r w:rsidRPr="00A02B31">
        <w:rPr>
          <w:rFonts w:cstheme="minorHAnsi"/>
          <w:sz w:val="20"/>
          <w:szCs w:val="20"/>
        </w:rPr>
        <w:t xml:space="preserve"> </w:t>
      </w:r>
      <w:r w:rsidR="00631CC7" w:rsidRPr="00A02B31">
        <w:rPr>
          <w:rFonts w:cstheme="minorHAnsi"/>
          <w:sz w:val="20"/>
          <w:szCs w:val="20"/>
        </w:rPr>
        <w:t>and Corporation Tax under the current HMRC rules</w:t>
      </w:r>
      <w:r w:rsidRPr="00A02B31">
        <w:rPr>
          <w:rFonts w:cstheme="minorHAnsi"/>
          <w:sz w:val="20"/>
          <w:szCs w:val="20"/>
        </w:rPr>
        <w:t>. The cash payback from converting is expected to be swift. This move should also widen our audience of potential investors.</w:t>
      </w:r>
    </w:p>
    <w:p w14:paraId="7AEBF72F" w14:textId="77777777" w:rsidR="00B95E82" w:rsidRPr="00A02B31" w:rsidRDefault="00B95E82" w:rsidP="0097570E">
      <w:pPr>
        <w:jc w:val="both"/>
        <w:rPr>
          <w:rFonts w:cstheme="minorHAnsi"/>
          <w:sz w:val="20"/>
          <w:szCs w:val="20"/>
        </w:rPr>
      </w:pPr>
    </w:p>
    <w:p w14:paraId="362EAB57" w14:textId="0B13E74D" w:rsidR="00B95E82" w:rsidRPr="00A02B31" w:rsidRDefault="00B95E82" w:rsidP="0097570E">
      <w:pPr>
        <w:jc w:val="both"/>
        <w:rPr>
          <w:rFonts w:cstheme="minorHAnsi"/>
          <w:sz w:val="20"/>
          <w:szCs w:val="20"/>
        </w:rPr>
      </w:pPr>
      <w:r w:rsidRPr="00A02B31">
        <w:rPr>
          <w:rFonts w:cstheme="minorHAnsi"/>
          <w:sz w:val="20"/>
          <w:szCs w:val="20"/>
        </w:rPr>
        <w:lastRenderedPageBreak/>
        <w:t>From an investment perspective this Annual Report covers a year in which only one further investment was made on behalf of shareholders by the previous manager, Gresham House. The new manager, Harwood Capital, was not mandated to re-deploy capital until the new investment policy was approved by shareholders on 25</w:t>
      </w:r>
      <w:r w:rsidRPr="00A02B31">
        <w:rPr>
          <w:rFonts w:cstheme="minorHAnsi"/>
          <w:sz w:val="20"/>
          <w:szCs w:val="20"/>
          <w:vertAlign w:val="superscript"/>
        </w:rPr>
        <w:t>th</w:t>
      </w:r>
      <w:r w:rsidRPr="00A02B31">
        <w:rPr>
          <w:rFonts w:cstheme="minorHAnsi"/>
          <w:sz w:val="20"/>
          <w:szCs w:val="20"/>
        </w:rPr>
        <w:t xml:space="preserve"> April 2022. This one</w:t>
      </w:r>
      <w:r w:rsidR="004D0805" w:rsidRPr="00A02B31">
        <w:rPr>
          <w:rFonts w:cstheme="minorHAnsi"/>
          <w:sz w:val="20"/>
          <w:szCs w:val="20"/>
        </w:rPr>
        <w:t xml:space="preserve"> additional</w:t>
      </w:r>
      <w:r w:rsidRPr="00A02B31">
        <w:rPr>
          <w:rFonts w:cstheme="minorHAnsi"/>
          <w:sz w:val="20"/>
          <w:szCs w:val="20"/>
        </w:rPr>
        <w:t xml:space="preserve"> investment has</w:t>
      </w:r>
      <w:r w:rsidR="004D0805" w:rsidRPr="00A02B31">
        <w:rPr>
          <w:rFonts w:cstheme="minorHAnsi"/>
          <w:sz w:val="20"/>
          <w:szCs w:val="20"/>
        </w:rPr>
        <w:t>,</w:t>
      </w:r>
      <w:r w:rsidRPr="00A02B31">
        <w:rPr>
          <w:rFonts w:cstheme="minorHAnsi"/>
          <w:sz w:val="20"/>
          <w:szCs w:val="20"/>
        </w:rPr>
        <w:t xml:space="preserve"> since year-end</w:t>
      </w:r>
      <w:r w:rsidR="004D0805" w:rsidRPr="00A02B31">
        <w:rPr>
          <w:rFonts w:cstheme="minorHAnsi"/>
          <w:sz w:val="20"/>
          <w:szCs w:val="20"/>
        </w:rPr>
        <w:t>,</w:t>
      </w:r>
      <w:r w:rsidRPr="00A02B31">
        <w:rPr>
          <w:rFonts w:cstheme="minorHAnsi"/>
          <w:sz w:val="20"/>
          <w:szCs w:val="20"/>
        </w:rPr>
        <w:t xml:space="preserve"> been sold back to the previous investment manager at cost. The investment portfolio, as the investment manager’s report explains in more detail, is in fine fettle. Unlike most situations when an investment manager changes, your company’s investments are known extremely well to the new manager. There will be no need for any material portfolio restructuring or the costs associated with it. During the year</w:t>
      </w:r>
      <w:r w:rsidR="004D0805" w:rsidRPr="00A02B31">
        <w:rPr>
          <w:rFonts w:cstheme="minorHAnsi"/>
          <w:sz w:val="20"/>
          <w:szCs w:val="20"/>
        </w:rPr>
        <w:t>,</w:t>
      </w:r>
      <w:r w:rsidRPr="00A02B31">
        <w:rPr>
          <w:rFonts w:cstheme="minorHAnsi"/>
          <w:sz w:val="20"/>
          <w:szCs w:val="20"/>
        </w:rPr>
        <w:t xml:space="preserve"> significant realised gains were made from the sale of Augean Plc, RPS </w:t>
      </w:r>
      <w:r w:rsidR="00C87A16" w:rsidRPr="00A02B31">
        <w:rPr>
          <w:rFonts w:cstheme="minorHAnsi"/>
          <w:sz w:val="20"/>
          <w:szCs w:val="20"/>
        </w:rPr>
        <w:t xml:space="preserve">Group </w:t>
      </w:r>
      <w:r w:rsidRPr="00A02B31">
        <w:rPr>
          <w:rFonts w:cstheme="minorHAnsi"/>
          <w:sz w:val="20"/>
          <w:szCs w:val="20"/>
        </w:rPr>
        <w:t>Plc, National World Plc, Universe Group Plc and Ted Baker Plc. Offsetting these were losses realised from the complete disposals of Fulcrum Utility Services Plc and SpaceandPeople Plc, a company which entered the portfolio in 2015 in a stock-swap from the previous manager.</w:t>
      </w:r>
    </w:p>
    <w:p w14:paraId="7115EB1D" w14:textId="77777777" w:rsidR="00B95E82" w:rsidRPr="00A02B31" w:rsidRDefault="00B95E82" w:rsidP="0097570E">
      <w:pPr>
        <w:jc w:val="both"/>
        <w:rPr>
          <w:rFonts w:cstheme="minorHAnsi"/>
          <w:sz w:val="20"/>
          <w:szCs w:val="20"/>
        </w:rPr>
      </w:pPr>
    </w:p>
    <w:p w14:paraId="376FF662" w14:textId="14B8014A" w:rsidR="00B95E82" w:rsidRPr="00A02B31" w:rsidRDefault="00B95E82" w:rsidP="0097570E">
      <w:pPr>
        <w:jc w:val="both"/>
        <w:rPr>
          <w:rFonts w:cstheme="minorHAnsi"/>
          <w:sz w:val="20"/>
          <w:szCs w:val="20"/>
        </w:rPr>
      </w:pPr>
      <w:r w:rsidRPr="00A02B31">
        <w:rPr>
          <w:rFonts w:cstheme="minorHAnsi"/>
          <w:sz w:val="20"/>
          <w:szCs w:val="20"/>
        </w:rPr>
        <w:t>The investment backdrop for the portfolio has been volatile</w:t>
      </w:r>
      <w:r w:rsidR="0057768B" w:rsidRPr="00A02B31">
        <w:rPr>
          <w:rFonts w:cstheme="minorHAnsi"/>
          <w:sz w:val="20"/>
          <w:szCs w:val="20"/>
        </w:rPr>
        <w:t>,</w:t>
      </w:r>
      <w:r w:rsidRPr="00A02B31">
        <w:rPr>
          <w:rFonts w:cstheme="minorHAnsi"/>
          <w:sz w:val="20"/>
          <w:szCs w:val="20"/>
        </w:rPr>
        <w:t xml:space="preserve"> with the COVID-19 Omicron variant induced lockdowns, the inflection in the interest rate cycle, rising inflation, soaring energy prices</w:t>
      </w:r>
      <w:r w:rsidR="0057768B" w:rsidRPr="00A02B31">
        <w:rPr>
          <w:rFonts w:cstheme="minorHAnsi"/>
          <w:sz w:val="20"/>
          <w:szCs w:val="20"/>
        </w:rPr>
        <w:t>,</w:t>
      </w:r>
      <w:r w:rsidRPr="00A02B31">
        <w:rPr>
          <w:rFonts w:cstheme="minorHAnsi"/>
          <w:sz w:val="20"/>
          <w:szCs w:val="20"/>
        </w:rPr>
        <w:t xml:space="preserve"> and the awful developments in Ukraine. Against this backdrop, I might highlight why the </w:t>
      </w:r>
      <w:r w:rsidR="00C87A16" w:rsidRPr="00A02B31">
        <w:rPr>
          <w:rFonts w:cstheme="minorHAnsi"/>
          <w:sz w:val="20"/>
          <w:szCs w:val="20"/>
        </w:rPr>
        <w:t>C</w:t>
      </w:r>
      <w:r w:rsidRPr="00A02B31">
        <w:rPr>
          <w:rFonts w:cstheme="minorHAnsi"/>
          <w:sz w:val="20"/>
          <w:szCs w:val="20"/>
        </w:rPr>
        <w:t>ompany’s investment strategy is so attractive. In spite of sustained negative macroeconomic and geo-political news ‘headlines’</w:t>
      </w:r>
      <w:r w:rsidR="0057768B" w:rsidRPr="00A02B31">
        <w:rPr>
          <w:rFonts w:cstheme="minorHAnsi"/>
          <w:sz w:val="20"/>
          <w:szCs w:val="20"/>
        </w:rPr>
        <w:t>,</w:t>
      </w:r>
      <w:r w:rsidRPr="00A02B31">
        <w:rPr>
          <w:rFonts w:cstheme="minorHAnsi"/>
          <w:sz w:val="20"/>
          <w:szCs w:val="20"/>
        </w:rPr>
        <w:t xml:space="preserve"> our portfolio’s underlying companies have been steadily growing shareholder value and having that value better recognised by the wider stock market. This is a truly ‘active’ and focused strategy and performance over the medium-term will be primarily due to stock-specific factors and outcomes, not macro-economic ones. Performance in any short period under review will be due to the individual performances of a handful of our holdings.</w:t>
      </w:r>
    </w:p>
    <w:p w14:paraId="22DF1EBE" w14:textId="77777777" w:rsidR="00B95E82" w:rsidRPr="00A02B31" w:rsidRDefault="00B95E82" w:rsidP="0097570E">
      <w:pPr>
        <w:jc w:val="both"/>
        <w:rPr>
          <w:rFonts w:cstheme="minorHAnsi"/>
          <w:sz w:val="20"/>
          <w:szCs w:val="20"/>
        </w:rPr>
      </w:pPr>
    </w:p>
    <w:p w14:paraId="2C314EC6" w14:textId="3D1EB49D" w:rsidR="001027EF" w:rsidRPr="001027EF" w:rsidRDefault="00B95E82" w:rsidP="0097570E">
      <w:pPr>
        <w:jc w:val="both"/>
        <w:rPr>
          <w:rFonts w:cstheme="minorHAnsi"/>
          <w:sz w:val="20"/>
          <w:szCs w:val="20"/>
        </w:rPr>
      </w:pPr>
      <w:r w:rsidRPr="00A02B31">
        <w:rPr>
          <w:rFonts w:cstheme="minorHAnsi"/>
          <w:sz w:val="20"/>
          <w:szCs w:val="20"/>
        </w:rPr>
        <w:t xml:space="preserve">There are many to thank for their help in navigating the </w:t>
      </w:r>
      <w:r w:rsidR="00C87A16" w:rsidRPr="00A02B31">
        <w:rPr>
          <w:rFonts w:cstheme="minorHAnsi"/>
          <w:sz w:val="20"/>
          <w:szCs w:val="20"/>
        </w:rPr>
        <w:t>C</w:t>
      </w:r>
      <w:r w:rsidRPr="00A02B31">
        <w:rPr>
          <w:rFonts w:cstheme="minorHAnsi"/>
          <w:sz w:val="20"/>
          <w:szCs w:val="20"/>
        </w:rPr>
        <w:t xml:space="preserve">ompany through the last year. You know who you are, even if not named here. In particular, I should mention </w:t>
      </w:r>
      <w:r w:rsidR="00A447F6" w:rsidRPr="00A02B31">
        <w:rPr>
          <w:rFonts w:cstheme="minorHAnsi"/>
          <w:sz w:val="20"/>
          <w:szCs w:val="20"/>
        </w:rPr>
        <w:t xml:space="preserve">David Potter, </w:t>
      </w:r>
      <w:r w:rsidRPr="00A02B31">
        <w:rPr>
          <w:rFonts w:cstheme="minorHAnsi"/>
          <w:sz w:val="20"/>
          <w:szCs w:val="20"/>
        </w:rPr>
        <w:t xml:space="preserve">Helen Sinclair and Charles Berry for their many years of service to the </w:t>
      </w:r>
      <w:r w:rsidR="00C87A16" w:rsidRPr="00A02B31">
        <w:rPr>
          <w:rFonts w:cstheme="minorHAnsi"/>
          <w:sz w:val="20"/>
          <w:szCs w:val="20"/>
        </w:rPr>
        <w:t>C</w:t>
      </w:r>
      <w:r w:rsidRPr="00A02B31">
        <w:rPr>
          <w:rFonts w:cstheme="minorHAnsi"/>
          <w:sz w:val="20"/>
          <w:szCs w:val="20"/>
        </w:rPr>
        <w:t>ompany and thank Ken Lever for his on-going support through this challenging period of stakeholder management.</w:t>
      </w:r>
      <w:r w:rsidR="009E5F67">
        <w:rPr>
          <w:rFonts w:cstheme="minorHAnsi"/>
          <w:sz w:val="20"/>
          <w:szCs w:val="20"/>
        </w:rPr>
        <w:t xml:space="preserve"> </w:t>
      </w:r>
      <w:r w:rsidR="001027EF" w:rsidRPr="001027EF">
        <w:rPr>
          <w:sz w:val="20"/>
          <w:szCs w:val="20"/>
        </w:rPr>
        <w:t>I would also like to thank Graham Bird for all his work as a director over the past year. Graham has had an excellent grasp of the portfolio and been impartial, but will not seek re-election due to a very full workload of other commitments</w:t>
      </w:r>
    </w:p>
    <w:p w14:paraId="7D3BAA23" w14:textId="77777777" w:rsidR="00B95E82" w:rsidRPr="00A02B31" w:rsidRDefault="00B95E82" w:rsidP="0097570E">
      <w:pPr>
        <w:jc w:val="both"/>
        <w:rPr>
          <w:rFonts w:cstheme="minorHAnsi"/>
          <w:sz w:val="20"/>
          <w:szCs w:val="20"/>
        </w:rPr>
      </w:pPr>
    </w:p>
    <w:p w14:paraId="415A09FC" w14:textId="2EC0B51C" w:rsidR="00B95E82" w:rsidRPr="00A02B31" w:rsidRDefault="00B95E82" w:rsidP="0097570E">
      <w:pPr>
        <w:jc w:val="both"/>
        <w:rPr>
          <w:rFonts w:cstheme="minorHAnsi"/>
          <w:sz w:val="20"/>
          <w:szCs w:val="20"/>
        </w:rPr>
      </w:pPr>
      <w:r w:rsidRPr="00A02B31">
        <w:rPr>
          <w:rFonts w:cstheme="minorHAnsi"/>
          <w:sz w:val="20"/>
          <w:szCs w:val="20"/>
        </w:rPr>
        <w:t xml:space="preserve">The board believes that, until the </w:t>
      </w:r>
      <w:r w:rsidR="00C87A16" w:rsidRPr="00A02B31">
        <w:rPr>
          <w:rFonts w:cstheme="minorHAnsi"/>
          <w:sz w:val="20"/>
          <w:szCs w:val="20"/>
        </w:rPr>
        <w:t>C</w:t>
      </w:r>
      <w:r w:rsidRPr="00A02B31">
        <w:rPr>
          <w:rFonts w:cstheme="minorHAnsi"/>
          <w:sz w:val="20"/>
          <w:szCs w:val="20"/>
        </w:rPr>
        <w:t>ompany has gained greater scale, it will not reinstate the dividend policy and instead use the capital to compound NAV growth. Our shareholders do have a range of views on this matter. We will continue to listen to them as well as prospective shareholders and act accordingly.</w:t>
      </w:r>
    </w:p>
    <w:p w14:paraId="3EC570A4" w14:textId="77777777" w:rsidR="00B95E82" w:rsidRPr="00A02B31" w:rsidRDefault="00B95E82" w:rsidP="0097570E">
      <w:pPr>
        <w:jc w:val="both"/>
        <w:rPr>
          <w:rFonts w:cstheme="minorHAnsi"/>
          <w:sz w:val="20"/>
          <w:szCs w:val="20"/>
        </w:rPr>
      </w:pPr>
    </w:p>
    <w:p w14:paraId="363DE72F" w14:textId="31F0C119" w:rsidR="00B95E82" w:rsidRPr="00A02B31" w:rsidRDefault="00B95E82" w:rsidP="0097570E">
      <w:pPr>
        <w:jc w:val="both"/>
        <w:rPr>
          <w:rFonts w:cstheme="minorHAnsi"/>
          <w:sz w:val="20"/>
          <w:szCs w:val="20"/>
        </w:rPr>
      </w:pPr>
      <w:r w:rsidRPr="00A02B31">
        <w:rPr>
          <w:rFonts w:cstheme="minorHAnsi"/>
          <w:sz w:val="20"/>
          <w:szCs w:val="20"/>
        </w:rPr>
        <w:t xml:space="preserve">Rockwood Strategic faces an exciting future. The </w:t>
      </w:r>
      <w:r w:rsidR="00C87A16" w:rsidRPr="00A02B31">
        <w:rPr>
          <w:rFonts w:cstheme="minorHAnsi"/>
          <w:sz w:val="20"/>
          <w:szCs w:val="20"/>
        </w:rPr>
        <w:t>C</w:t>
      </w:r>
      <w:r w:rsidRPr="00A02B31">
        <w:rPr>
          <w:rFonts w:cstheme="minorHAnsi"/>
          <w:sz w:val="20"/>
          <w:szCs w:val="20"/>
        </w:rPr>
        <w:t>ompany now has a more appropriately sized cost base, it will ensure tax efficiency shortly, it has an outstanding and experienced manager to drive shareholder value, and a differentiated investment strategy which we expect to deliver attractive returns over the years ahead.</w:t>
      </w:r>
    </w:p>
    <w:p w14:paraId="7FDAB95B" w14:textId="77777777" w:rsidR="00B95E82" w:rsidRPr="00A02B31" w:rsidRDefault="00B95E82" w:rsidP="0097570E">
      <w:pPr>
        <w:jc w:val="both"/>
        <w:rPr>
          <w:rFonts w:cstheme="minorHAnsi"/>
          <w:sz w:val="20"/>
          <w:szCs w:val="20"/>
        </w:rPr>
      </w:pPr>
      <w:r w:rsidRPr="00A02B31">
        <w:rPr>
          <w:rFonts w:cstheme="minorHAnsi"/>
          <w:sz w:val="20"/>
          <w:szCs w:val="20"/>
        </w:rPr>
        <w:t xml:space="preserve">Yours sincerely </w:t>
      </w:r>
    </w:p>
    <w:p w14:paraId="0505DC9C" w14:textId="6F311063" w:rsidR="00B95E82" w:rsidRDefault="00FB7970" w:rsidP="0097570E">
      <w:pPr>
        <w:jc w:val="both"/>
        <w:rPr>
          <w:rFonts w:cstheme="minorHAnsi"/>
          <w:sz w:val="20"/>
          <w:szCs w:val="20"/>
        </w:rPr>
      </w:pPr>
      <w:r>
        <w:rPr>
          <w:noProof/>
          <w:lang w:eastAsia="en-GB"/>
        </w:rPr>
        <w:drawing>
          <wp:anchor distT="0" distB="0" distL="114300" distR="114300" simplePos="0" relativeHeight="251731968" behindDoc="1" locked="0" layoutInCell="1" allowOverlap="1" wp14:anchorId="2117D9AE" wp14:editId="6901ADB7">
            <wp:simplePos x="0" y="0"/>
            <wp:positionH relativeFrom="column">
              <wp:posOffset>-101600</wp:posOffset>
            </wp:positionH>
            <wp:positionV relativeFrom="paragraph">
              <wp:posOffset>43815</wp:posOffset>
            </wp:positionV>
            <wp:extent cx="1135811" cy="571500"/>
            <wp:effectExtent l="0" t="0" r="762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35811" cy="571500"/>
                    </a:xfrm>
                    <a:prstGeom prst="rect">
                      <a:avLst/>
                    </a:prstGeom>
                  </pic:spPr>
                </pic:pic>
              </a:graphicData>
            </a:graphic>
          </wp:anchor>
        </w:drawing>
      </w:r>
    </w:p>
    <w:p w14:paraId="6B677ACA" w14:textId="676029D0" w:rsidR="00FB7970" w:rsidRDefault="00FB7970" w:rsidP="0097570E">
      <w:pPr>
        <w:jc w:val="both"/>
        <w:rPr>
          <w:rFonts w:cstheme="minorHAnsi"/>
          <w:sz w:val="20"/>
          <w:szCs w:val="20"/>
        </w:rPr>
      </w:pPr>
    </w:p>
    <w:p w14:paraId="7C9C7F1F" w14:textId="5C20D92F" w:rsidR="00FB7970" w:rsidRDefault="00FB7970" w:rsidP="0097570E">
      <w:pPr>
        <w:jc w:val="both"/>
        <w:rPr>
          <w:rFonts w:cstheme="minorHAnsi"/>
          <w:sz w:val="20"/>
          <w:szCs w:val="20"/>
        </w:rPr>
      </w:pPr>
    </w:p>
    <w:p w14:paraId="7338CCCB" w14:textId="77777777" w:rsidR="00FB7970" w:rsidRPr="00A02B31" w:rsidRDefault="00FB7970" w:rsidP="0097570E">
      <w:pPr>
        <w:jc w:val="both"/>
        <w:rPr>
          <w:rFonts w:cstheme="minorHAnsi"/>
          <w:sz w:val="20"/>
          <w:szCs w:val="20"/>
        </w:rPr>
      </w:pPr>
    </w:p>
    <w:p w14:paraId="4CED0C96" w14:textId="77777777" w:rsidR="00B95E82" w:rsidRPr="00A02B31" w:rsidRDefault="00B95E82" w:rsidP="0097570E">
      <w:pPr>
        <w:jc w:val="both"/>
        <w:rPr>
          <w:rFonts w:cstheme="minorHAnsi"/>
          <w:sz w:val="20"/>
          <w:szCs w:val="20"/>
        </w:rPr>
      </w:pPr>
      <w:r w:rsidRPr="00A02B31">
        <w:rPr>
          <w:rFonts w:cstheme="minorHAnsi"/>
          <w:sz w:val="20"/>
          <w:szCs w:val="20"/>
        </w:rPr>
        <w:t>Noel Lamb</w:t>
      </w:r>
    </w:p>
    <w:p w14:paraId="3D08AE02" w14:textId="77777777" w:rsidR="00B95E82" w:rsidRPr="00A02B31" w:rsidRDefault="00B95E82" w:rsidP="0097570E">
      <w:pPr>
        <w:jc w:val="both"/>
        <w:rPr>
          <w:rFonts w:cstheme="minorHAnsi"/>
          <w:sz w:val="20"/>
          <w:szCs w:val="20"/>
        </w:rPr>
      </w:pPr>
      <w:r w:rsidRPr="00A02B31">
        <w:rPr>
          <w:rFonts w:cstheme="minorHAnsi"/>
          <w:sz w:val="20"/>
          <w:szCs w:val="20"/>
        </w:rPr>
        <w:t>Chairman</w:t>
      </w:r>
    </w:p>
    <w:p w14:paraId="11EA9E9C" w14:textId="77777777" w:rsidR="00364878" w:rsidRPr="00A02B31" w:rsidRDefault="00364878" w:rsidP="0097570E">
      <w:pPr>
        <w:jc w:val="both"/>
        <w:rPr>
          <w:rFonts w:eastAsia="Times New Roman" w:cstheme="minorHAnsi"/>
          <w:sz w:val="20"/>
          <w:szCs w:val="20"/>
          <w:lang w:val="en-US"/>
        </w:rPr>
        <w:sectPr w:rsidR="00364878" w:rsidRPr="00A02B31" w:rsidSect="00B5708A">
          <w:type w:val="continuous"/>
          <w:pgSz w:w="11910" w:h="16840"/>
          <w:pgMar w:top="680" w:right="1020" w:bottom="1140" w:left="1020" w:header="0" w:footer="848" w:gutter="0"/>
          <w:cols w:space="720"/>
        </w:sectPr>
      </w:pPr>
    </w:p>
    <w:p w14:paraId="071398D4" w14:textId="77777777" w:rsidR="00530338" w:rsidRPr="00A02B31" w:rsidRDefault="00530338" w:rsidP="0097570E">
      <w:pPr>
        <w:jc w:val="both"/>
        <w:rPr>
          <w:rFonts w:eastAsia="Times New Roman" w:cstheme="minorHAnsi"/>
          <w:sz w:val="20"/>
          <w:szCs w:val="20"/>
          <w:lang w:val="en-US"/>
        </w:rPr>
      </w:pPr>
    </w:p>
    <w:p w14:paraId="15DAA315" w14:textId="469FA9A4" w:rsidR="00530338" w:rsidRDefault="00530338" w:rsidP="0097570E">
      <w:pPr>
        <w:jc w:val="both"/>
        <w:rPr>
          <w:rFonts w:eastAsia="Times New Roman" w:cstheme="minorHAnsi"/>
          <w:sz w:val="20"/>
          <w:szCs w:val="20"/>
          <w:lang w:val="en-US"/>
        </w:rPr>
      </w:pPr>
    </w:p>
    <w:p w14:paraId="763BC5AD" w14:textId="389598B6" w:rsidR="008B2DDA" w:rsidRDefault="008B2DDA" w:rsidP="0097570E">
      <w:pPr>
        <w:jc w:val="both"/>
        <w:rPr>
          <w:rFonts w:eastAsia="Times New Roman" w:cstheme="minorHAnsi"/>
          <w:sz w:val="20"/>
          <w:szCs w:val="20"/>
          <w:lang w:val="en-US"/>
        </w:rPr>
      </w:pPr>
    </w:p>
    <w:p w14:paraId="5E104F90" w14:textId="62DB6176" w:rsidR="008B2DDA" w:rsidRDefault="008B2DDA" w:rsidP="0097570E">
      <w:pPr>
        <w:jc w:val="both"/>
        <w:rPr>
          <w:rFonts w:eastAsia="Times New Roman" w:cstheme="minorHAnsi"/>
          <w:sz w:val="20"/>
          <w:szCs w:val="20"/>
          <w:lang w:val="en-US"/>
        </w:rPr>
      </w:pPr>
    </w:p>
    <w:p w14:paraId="1536C8DB" w14:textId="1FB1AF3D" w:rsidR="008B2DDA" w:rsidRDefault="008B2DDA" w:rsidP="0097570E">
      <w:pPr>
        <w:jc w:val="both"/>
        <w:rPr>
          <w:rFonts w:eastAsia="Times New Roman" w:cstheme="minorHAnsi"/>
          <w:sz w:val="20"/>
          <w:szCs w:val="20"/>
          <w:lang w:val="en-US"/>
        </w:rPr>
      </w:pPr>
    </w:p>
    <w:p w14:paraId="7E9C8575" w14:textId="0EC44D7F" w:rsidR="008B2DDA" w:rsidRDefault="008B2DDA" w:rsidP="0097570E">
      <w:pPr>
        <w:jc w:val="both"/>
        <w:rPr>
          <w:rFonts w:eastAsia="Times New Roman" w:cstheme="minorHAnsi"/>
          <w:sz w:val="20"/>
          <w:szCs w:val="20"/>
          <w:lang w:val="en-US"/>
        </w:rPr>
      </w:pPr>
    </w:p>
    <w:p w14:paraId="1BDDB91C" w14:textId="19C12646" w:rsidR="008B2DDA" w:rsidRDefault="008B2DDA" w:rsidP="0097570E">
      <w:pPr>
        <w:jc w:val="both"/>
        <w:rPr>
          <w:rFonts w:eastAsia="Times New Roman" w:cstheme="minorHAnsi"/>
          <w:sz w:val="20"/>
          <w:szCs w:val="20"/>
          <w:lang w:val="en-US"/>
        </w:rPr>
      </w:pPr>
    </w:p>
    <w:p w14:paraId="21E60906" w14:textId="168645AA" w:rsidR="008B2DDA" w:rsidRDefault="008B2DDA" w:rsidP="0097570E">
      <w:pPr>
        <w:jc w:val="both"/>
        <w:rPr>
          <w:rFonts w:eastAsia="Times New Roman" w:cstheme="minorHAnsi"/>
          <w:sz w:val="20"/>
          <w:szCs w:val="20"/>
          <w:lang w:val="en-US"/>
        </w:rPr>
      </w:pPr>
    </w:p>
    <w:p w14:paraId="382B3CD0" w14:textId="46DB3D4F" w:rsidR="008B2DDA" w:rsidRDefault="008B2DDA" w:rsidP="0097570E">
      <w:pPr>
        <w:jc w:val="both"/>
        <w:rPr>
          <w:rFonts w:eastAsia="Times New Roman" w:cstheme="minorHAnsi"/>
          <w:sz w:val="20"/>
          <w:szCs w:val="20"/>
          <w:lang w:val="en-US"/>
        </w:rPr>
      </w:pPr>
    </w:p>
    <w:p w14:paraId="63CBE12E" w14:textId="5A8DBF14" w:rsidR="008B2DDA" w:rsidRDefault="008B2DDA" w:rsidP="0097570E">
      <w:pPr>
        <w:jc w:val="both"/>
        <w:rPr>
          <w:rFonts w:eastAsia="Times New Roman" w:cstheme="minorHAnsi"/>
          <w:sz w:val="20"/>
          <w:szCs w:val="20"/>
          <w:lang w:val="en-US"/>
        </w:rPr>
      </w:pPr>
    </w:p>
    <w:p w14:paraId="0AE85090" w14:textId="0B1F53D1" w:rsidR="008B2DDA" w:rsidRDefault="008B2DDA" w:rsidP="0097570E">
      <w:pPr>
        <w:jc w:val="both"/>
        <w:rPr>
          <w:rFonts w:eastAsia="Times New Roman" w:cstheme="minorHAnsi"/>
          <w:sz w:val="20"/>
          <w:szCs w:val="20"/>
          <w:lang w:val="en-US"/>
        </w:rPr>
      </w:pPr>
    </w:p>
    <w:p w14:paraId="4BDF2821" w14:textId="2C5DD27D" w:rsidR="008B2DDA" w:rsidRDefault="008B2DDA" w:rsidP="0097570E">
      <w:pPr>
        <w:jc w:val="both"/>
        <w:rPr>
          <w:rFonts w:eastAsia="Times New Roman" w:cstheme="minorHAnsi"/>
          <w:sz w:val="20"/>
          <w:szCs w:val="20"/>
          <w:lang w:val="en-US"/>
        </w:rPr>
      </w:pPr>
    </w:p>
    <w:p w14:paraId="2660D549" w14:textId="3068EA6C" w:rsidR="008B2DDA" w:rsidRDefault="008B2DDA" w:rsidP="0097570E">
      <w:pPr>
        <w:jc w:val="both"/>
        <w:rPr>
          <w:rFonts w:eastAsia="Times New Roman" w:cstheme="minorHAnsi"/>
          <w:sz w:val="20"/>
          <w:szCs w:val="20"/>
          <w:lang w:val="en-US"/>
        </w:rPr>
      </w:pPr>
    </w:p>
    <w:p w14:paraId="43F607DA" w14:textId="4369DDD3" w:rsidR="008B2DDA" w:rsidRDefault="008B2DDA" w:rsidP="0097570E">
      <w:pPr>
        <w:jc w:val="both"/>
        <w:rPr>
          <w:rFonts w:eastAsia="Times New Roman" w:cstheme="minorHAnsi"/>
          <w:sz w:val="20"/>
          <w:szCs w:val="20"/>
          <w:lang w:val="en-US"/>
        </w:rPr>
      </w:pPr>
    </w:p>
    <w:p w14:paraId="4F6FBA86" w14:textId="199F856F" w:rsidR="008B2DDA" w:rsidRDefault="008B2DDA" w:rsidP="0097570E">
      <w:pPr>
        <w:jc w:val="both"/>
        <w:rPr>
          <w:rFonts w:eastAsia="Times New Roman" w:cstheme="minorHAnsi"/>
          <w:sz w:val="20"/>
          <w:szCs w:val="20"/>
          <w:lang w:val="en-US"/>
        </w:rPr>
      </w:pPr>
    </w:p>
    <w:p w14:paraId="17CEAED2" w14:textId="2B86E721" w:rsidR="008B2DDA" w:rsidRDefault="008B2DDA" w:rsidP="0097570E">
      <w:pPr>
        <w:jc w:val="both"/>
        <w:rPr>
          <w:rFonts w:eastAsia="Times New Roman" w:cstheme="minorHAnsi"/>
          <w:sz w:val="20"/>
          <w:szCs w:val="20"/>
          <w:lang w:val="en-US"/>
        </w:rPr>
      </w:pPr>
    </w:p>
    <w:p w14:paraId="715DB51A" w14:textId="4CA07708" w:rsidR="008B2DDA" w:rsidRDefault="008B2DDA" w:rsidP="0097570E">
      <w:pPr>
        <w:jc w:val="both"/>
        <w:rPr>
          <w:rFonts w:eastAsia="Times New Roman" w:cstheme="minorHAnsi"/>
          <w:sz w:val="20"/>
          <w:szCs w:val="20"/>
          <w:lang w:val="en-US"/>
        </w:rPr>
      </w:pPr>
    </w:p>
    <w:p w14:paraId="4303536F" w14:textId="6DB1A169" w:rsidR="008B2DDA" w:rsidRDefault="008B2DDA" w:rsidP="0097570E">
      <w:pPr>
        <w:jc w:val="both"/>
        <w:rPr>
          <w:rFonts w:eastAsia="Times New Roman" w:cstheme="minorHAnsi"/>
          <w:sz w:val="20"/>
          <w:szCs w:val="20"/>
          <w:lang w:val="en-US"/>
        </w:rPr>
      </w:pPr>
    </w:p>
    <w:p w14:paraId="528A1A1A" w14:textId="17A37158" w:rsidR="008B2DDA" w:rsidRDefault="008B2DDA" w:rsidP="0097570E">
      <w:pPr>
        <w:jc w:val="both"/>
        <w:rPr>
          <w:rFonts w:eastAsia="Times New Roman" w:cstheme="minorHAnsi"/>
          <w:sz w:val="20"/>
          <w:szCs w:val="20"/>
          <w:lang w:val="en-US"/>
        </w:rPr>
      </w:pPr>
    </w:p>
    <w:p w14:paraId="7440002D" w14:textId="77777777" w:rsidR="008B2DDA" w:rsidRPr="00A02B31" w:rsidRDefault="008B2DDA" w:rsidP="0097570E">
      <w:pPr>
        <w:jc w:val="both"/>
        <w:rPr>
          <w:rFonts w:eastAsia="Times New Roman" w:cstheme="minorHAnsi"/>
          <w:sz w:val="20"/>
          <w:szCs w:val="20"/>
          <w:lang w:val="en-US"/>
        </w:rPr>
      </w:pPr>
    </w:p>
    <w:p w14:paraId="7FAF1A97" w14:textId="77777777" w:rsidR="00530338" w:rsidRPr="00A02B31" w:rsidRDefault="00530338" w:rsidP="0097570E">
      <w:pPr>
        <w:jc w:val="both"/>
        <w:rPr>
          <w:rFonts w:eastAsia="Times New Roman" w:cstheme="minorHAnsi"/>
          <w:sz w:val="20"/>
          <w:szCs w:val="20"/>
          <w:lang w:val="en-US"/>
        </w:rPr>
      </w:pPr>
    </w:p>
    <w:p w14:paraId="7B9C1B5F" w14:textId="77777777" w:rsidR="00530338" w:rsidRPr="00A02B31" w:rsidRDefault="00530338" w:rsidP="0097570E">
      <w:pPr>
        <w:jc w:val="both"/>
        <w:rPr>
          <w:rFonts w:eastAsia="Times New Roman" w:cstheme="minorHAnsi"/>
          <w:sz w:val="20"/>
          <w:szCs w:val="20"/>
          <w:lang w:val="en-US"/>
        </w:rPr>
      </w:pPr>
    </w:p>
    <w:p w14:paraId="46298C19" w14:textId="77777777" w:rsidR="00530338" w:rsidRPr="00A02B31" w:rsidRDefault="00530338" w:rsidP="00A02B31">
      <w:pPr>
        <w:pStyle w:val="xmsonormal"/>
        <w:spacing w:after="120"/>
        <w:jc w:val="both"/>
        <w:rPr>
          <w:rFonts w:eastAsia="Times New Roman" w:cstheme="minorHAnsi"/>
          <w:b/>
          <w:sz w:val="20"/>
          <w:szCs w:val="20"/>
          <w:lang w:val="en-US"/>
        </w:rPr>
      </w:pPr>
      <w:r w:rsidRPr="00A02B31">
        <w:rPr>
          <w:rFonts w:asciiTheme="minorHAnsi" w:eastAsia="Times New Roman" w:hAnsiTheme="minorHAnsi" w:cstheme="minorHAnsi"/>
          <w:b/>
          <w:sz w:val="20"/>
          <w:szCs w:val="20"/>
          <w:lang w:val="en-US"/>
        </w:rPr>
        <w:t>BOARD OF DIRECTORS</w:t>
      </w:r>
    </w:p>
    <w:p w14:paraId="42F070A6" w14:textId="50D059F7" w:rsidR="00530338" w:rsidRPr="00A02B31" w:rsidRDefault="00530338" w:rsidP="00530338">
      <w:pPr>
        <w:widowControl w:val="0"/>
        <w:autoSpaceDE w:val="0"/>
        <w:autoSpaceDN w:val="0"/>
        <w:spacing w:before="120"/>
        <w:ind w:left="2792" w:right="198"/>
        <w:jc w:val="both"/>
        <w:rPr>
          <w:rFonts w:eastAsia="Times New Roman" w:cstheme="minorHAnsi"/>
          <w:sz w:val="20"/>
          <w:szCs w:val="20"/>
          <w:lang w:val="en-US"/>
        </w:rPr>
      </w:pPr>
    </w:p>
    <w:p w14:paraId="1D1E7AC8" w14:textId="52812892" w:rsidR="00530338" w:rsidRPr="00A02B31" w:rsidRDefault="00AF16E7" w:rsidP="00530338">
      <w:pPr>
        <w:widowControl w:val="0"/>
        <w:autoSpaceDE w:val="0"/>
        <w:autoSpaceDN w:val="0"/>
        <w:ind w:left="2790" w:right="198"/>
        <w:jc w:val="both"/>
        <w:rPr>
          <w:rFonts w:eastAsia="Times New Roman" w:cstheme="minorHAnsi"/>
          <w:b/>
          <w:sz w:val="20"/>
          <w:szCs w:val="20"/>
          <w:lang w:val="en-US"/>
        </w:rPr>
      </w:pPr>
      <w:r w:rsidRPr="00A02B31">
        <w:rPr>
          <w:rFonts w:eastAsia="Times New Roman" w:cstheme="minorHAnsi"/>
          <w:b/>
          <w:sz w:val="20"/>
          <w:szCs w:val="20"/>
          <w:lang w:val="en-US"/>
        </w:rPr>
        <w:t xml:space="preserve">Noel Lamb </w:t>
      </w:r>
    </w:p>
    <w:p w14:paraId="72D312A2" w14:textId="4B712A6F" w:rsidR="003F4665" w:rsidRPr="00A02B31" w:rsidRDefault="003F4665" w:rsidP="00530338">
      <w:pPr>
        <w:widowControl w:val="0"/>
        <w:autoSpaceDE w:val="0"/>
        <w:autoSpaceDN w:val="0"/>
        <w:ind w:left="2790" w:right="198"/>
        <w:jc w:val="both"/>
        <w:rPr>
          <w:rFonts w:eastAsia="Times New Roman" w:cstheme="minorHAnsi"/>
          <w:b/>
          <w:sz w:val="20"/>
          <w:szCs w:val="20"/>
          <w:lang w:val="en-US"/>
        </w:rPr>
      </w:pPr>
      <w:r w:rsidRPr="00A02B31">
        <w:rPr>
          <w:rFonts w:eastAsia="Times New Roman" w:cstheme="minorHAnsi"/>
          <w:b/>
          <w:sz w:val="20"/>
          <w:szCs w:val="20"/>
          <w:lang w:val="en-US"/>
        </w:rPr>
        <w:t xml:space="preserve">Age: </w:t>
      </w:r>
      <w:r w:rsidR="00AF16E7" w:rsidRPr="00A02B31">
        <w:rPr>
          <w:rFonts w:eastAsia="Times New Roman" w:cstheme="minorHAnsi"/>
          <w:b/>
          <w:sz w:val="20"/>
          <w:szCs w:val="20"/>
          <w:lang w:val="en-US"/>
        </w:rPr>
        <w:t>6</w:t>
      </w:r>
      <w:r w:rsidR="003150FC" w:rsidRPr="00A02B31">
        <w:rPr>
          <w:rFonts w:eastAsia="Times New Roman" w:cstheme="minorHAnsi"/>
          <w:b/>
          <w:sz w:val="20"/>
          <w:szCs w:val="20"/>
          <w:lang w:val="en-US"/>
        </w:rPr>
        <w:t>6</w:t>
      </w:r>
    </w:p>
    <w:p w14:paraId="2715AEFB" w14:textId="3F63F390" w:rsidR="0057768B" w:rsidRPr="00A02B31" w:rsidRDefault="00AF16E7" w:rsidP="00530338">
      <w:pPr>
        <w:widowControl w:val="0"/>
        <w:autoSpaceDE w:val="0"/>
        <w:autoSpaceDN w:val="0"/>
        <w:ind w:left="2790" w:right="198"/>
        <w:jc w:val="both"/>
        <w:rPr>
          <w:rFonts w:eastAsia="Times New Roman" w:cstheme="minorHAnsi"/>
          <w:sz w:val="20"/>
          <w:szCs w:val="20"/>
          <w:lang w:val="en-US"/>
        </w:rPr>
      </w:pPr>
      <w:r w:rsidRPr="00A02B31">
        <w:rPr>
          <w:rFonts w:eastAsia="Times New Roman" w:cstheme="minorHAnsi"/>
          <w:b/>
          <w:bCs/>
          <w:sz w:val="20"/>
          <w:szCs w:val="20"/>
          <w:lang w:val="en-US"/>
        </w:rPr>
        <w:t>Independent, Non-Executive Chairman</w:t>
      </w:r>
      <w:r w:rsidR="0057768B" w:rsidRPr="00A02B31">
        <w:rPr>
          <w:rFonts w:eastAsia="Times New Roman" w:cstheme="minorHAnsi"/>
          <w:b/>
          <w:bCs/>
          <w:sz w:val="20"/>
          <w:szCs w:val="20"/>
          <w:lang w:val="en-US"/>
        </w:rPr>
        <w:t xml:space="preserve"> (</w:t>
      </w:r>
      <w:r w:rsidRPr="00A02B31">
        <w:rPr>
          <w:rFonts w:eastAsia="Times New Roman" w:cstheme="minorHAnsi"/>
          <w:b/>
          <w:bCs/>
          <w:sz w:val="20"/>
          <w:szCs w:val="20"/>
          <w:lang w:val="en-US"/>
        </w:rPr>
        <w:t>appointed 20th January 2022)</w:t>
      </w:r>
    </w:p>
    <w:p w14:paraId="7B4B6A7C" w14:textId="68D803ED" w:rsidR="00530338" w:rsidRPr="00A02B31" w:rsidRDefault="00AF16E7" w:rsidP="00530338">
      <w:pPr>
        <w:widowControl w:val="0"/>
        <w:autoSpaceDE w:val="0"/>
        <w:autoSpaceDN w:val="0"/>
        <w:ind w:left="2790" w:right="198"/>
        <w:jc w:val="both"/>
        <w:rPr>
          <w:rFonts w:eastAsia="Times New Roman" w:cstheme="minorHAnsi"/>
          <w:sz w:val="20"/>
          <w:szCs w:val="20"/>
          <w:lang w:val="en-US"/>
        </w:rPr>
      </w:pPr>
      <w:r w:rsidRPr="00A02B31">
        <w:rPr>
          <w:rFonts w:eastAsia="Times New Roman" w:cstheme="minorHAnsi"/>
          <w:sz w:val="20"/>
          <w:szCs w:val="20"/>
          <w:lang w:val="en-US"/>
        </w:rPr>
        <w:t xml:space="preserve">Noel is also the Chairman of the Atlantis Japan Growth Trust and a </w:t>
      </w:r>
      <w:r w:rsidR="00C87A16" w:rsidRPr="00A02B31">
        <w:rPr>
          <w:rFonts w:eastAsia="Times New Roman" w:cstheme="minorHAnsi"/>
          <w:sz w:val="20"/>
          <w:szCs w:val="20"/>
          <w:lang w:val="en-US"/>
        </w:rPr>
        <w:t>d</w:t>
      </w:r>
      <w:r w:rsidRPr="00A02B31">
        <w:rPr>
          <w:rFonts w:eastAsia="Times New Roman" w:cstheme="minorHAnsi"/>
          <w:sz w:val="20"/>
          <w:szCs w:val="20"/>
          <w:lang w:val="en-US"/>
        </w:rPr>
        <w:t>irector of Guinness Asset Management Funds. Noel graduated from Exeter College, Oxford University and is a barrister-at-law. He joined Lazard Brothers &amp; Co Limited in 1987 and from 1992 to 1997 he was the managing director of Lazard Japan Asset Management where he was the fund manager for their Japanese equities. In 1997, he moved to the Russell Investment Group where he established the investment management capability of Russell in London. In 2002, he was promoted to Chief Investment Officer in North America where he managed assets of $150bn until his departure in 2008.</w:t>
      </w:r>
    </w:p>
    <w:p w14:paraId="5460ED63" w14:textId="77777777" w:rsidR="00A447F6" w:rsidRPr="00A02B31" w:rsidRDefault="00A447F6" w:rsidP="00A447F6">
      <w:pPr>
        <w:widowControl w:val="0"/>
        <w:autoSpaceDE w:val="0"/>
        <w:autoSpaceDN w:val="0"/>
        <w:ind w:left="2790" w:right="198"/>
        <w:jc w:val="both"/>
        <w:rPr>
          <w:rFonts w:eastAsia="Times New Roman" w:cstheme="minorHAnsi"/>
          <w:sz w:val="20"/>
          <w:szCs w:val="20"/>
          <w:lang w:val="en-US"/>
        </w:rPr>
      </w:pPr>
    </w:p>
    <w:p w14:paraId="257FE2BB" w14:textId="53FB3BC6" w:rsidR="00A447F6" w:rsidRPr="00A02B31" w:rsidRDefault="00A447F6" w:rsidP="00A447F6">
      <w:pPr>
        <w:widowControl w:val="0"/>
        <w:autoSpaceDE w:val="0"/>
        <w:autoSpaceDN w:val="0"/>
        <w:ind w:left="2790" w:right="198"/>
        <w:jc w:val="both"/>
        <w:rPr>
          <w:rFonts w:eastAsia="Times New Roman" w:cstheme="minorHAnsi"/>
          <w:b/>
          <w:sz w:val="20"/>
          <w:szCs w:val="20"/>
          <w:lang w:val="en-US"/>
        </w:rPr>
      </w:pPr>
      <w:r w:rsidRPr="00A02B31">
        <w:rPr>
          <w:rFonts w:eastAsia="Times New Roman" w:cstheme="minorHAnsi"/>
          <w:b/>
          <w:sz w:val="20"/>
          <w:szCs w:val="20"/>
          <w:lang w:val="en-US"/>
        </w:rPr>
        <w:t>Kenneth Lever</w:t>
      </w:r>
    </w:p>
    <w:p w14:paraId="3629EBC3" w14:textId="77777777" w:rsidR="00A447F6" w:rsidRPr="00A02B31" w:rsidRDefault="00A447F6" w:rsidP="00A447F6">
      <w:pPr>
        <w:widowControl w:val="0"/>
        <w:autoSpaceDE w:val="0"/>
        <w:autoSpaceDN w:val="0"/>
        <w:ind w:left="2790" w:right="198"/>
        <w:jc w:val="both"/>
        <w:rPr>
          <w:rFonts w:eastAsia="Times New Roman" w:cstheme="minorHAnsi"/>
          <w:b/>
          <w:sz w:val="20"/>
          <w:szCs w:val="20"/>
          <w:lang w:val="en-US"/>
        </w:rPr>
      </w:pPr>
      <w:r w:rsidRPr="00A02B31">
        <w:rPr>
          <w:rFonts w:eastAsia="Times New Roman" w:cstheme="minorHAnsi"/>
          <w:b/>
          <w:sz w:val="20"/>
          <w:szCs w:val="20"/>
          <w:lang w:val="en-US"/>
        </w:rPr>
        <w:t>Age: 68</w:t>
      </w:r>
    </w:p>
    <w:p w14:paraId="01466ACA" w14:textId="77777777" w:rsidR="00A447F6" w:rsidRPr="00A02B31" w:rsidRDefault="00A447F6" w:rsidP="00A447F6">
      <w:pPr>
        <w:widowControl w:val="0"/>
        <w:autoSpaceDE w:val="0"/>
        <w:autoSpaceDN w:val="0"/>
        <w:ind w:left="2790" w:right="198"/>
        <w:jc w:val="both"/>
        <w:rPr>
          <w:rFonts w:eastAsia="Times New Roman" w:cstheme="minorHAnsi"/>
          <w:b/>
          <w:sz w:val="20"/>
          <w:szCs w:val="20"/>
          <w:lang w:val="en-US"/>
        </w:rPr>
      </w:pPr>
      <w:r w:rsidRPr="00A02B31">
        <w:rPr>
          <w:rFonts w:eastAsia="Times New Roman" w:cstheme="minorHAnsi"/>
          <w:b/>
          <w:sz w:val="20"/>
          <w:szCs w:val="20"/>
          <w:lang w:val="en-US"/>
        </w:rPr>
        <w:t>Senior Non-Executive Director, Chairman of the Audit Committee</w:t>
      </w:r>
    </w:p>
    <w:p w14:paraId="057B7DC9" w14:textId="039F7FFB" w:rsidR="00A447F6" w:rsidRPr="00A02B31" w:rsidRDefault="00A447F6" w:rsidP="00A447F6">
      <w:pPr>
        <w:widowControl w:val="0"/>
        <w:autoSpaceDE w:val="0"/>
        <w:autoSpaceDN w:val="0"/>
        <w:ind w:left="2790" w:right="198"/>
        <w:jc w:val="both"/>
        <w:rPr>
          <w:rFonts w:eastAsia="Times New Roman" w:cstheme="minorHAnsi"/>
          <w:sz w:val="20"/>
          <w:szCs w:val="20"/>
          <w:lang w:val="en-US"/>
        </w:rPr>
      </w:pPr>
      <w:r w:rsidRPr="00A02B31">
        <w:rPr>
          <w:rFonts w:eastAsia="Times New Roman" w:cstheme="minorHAnsi"/>
          <w:sz w:val="20"/>
          <w:szCs w:val="20"/>
          <w:lang w:val="en-US"/>
        </w:rPr>
        <w:t xml:space="preserve">Ken is Chair of the audit committee at Rockwood Strategic, Chairman of Biffa plc and RPS Group plc and </w:t>
      </w:r>
      <w:r w:rsidR="00482819" w:rsidRPr="00A02B31">
        <w:rPr>
          <w:rFonts w:eastAsia="Times New Roman" w:cstheme="minorHAnsi"/>
          <w:sz w:val="20"/>
          <w:szCs w:val="20"/>
          <w:lang w:val="en-US"/>
        </w:rPr>
        <w:t xml:space="preserve">NED of </w:t>
      </w:r>
      <w:r w:rsidRPr="00A02B31">
        <w:rPr>
          <w:rFonts w:eastAsia="Times New Roman" w:cstheme="minorHAnsi"/>
          <w:sz w:val="20"/>
          <w:szCs w:val="20"/>
          <w:lang w:val="en-US"/>
        </w:rPr>
        <w:t>Vertu Motors plc. Ken was previously Chief Executive of Xchanging plc and during his career has held listed company executive board positions with Tomkins plc, Albright and Wilson plc, Alfred McAlpine plc and private equity owned Numonyx BV.</w:t>
      </w:r>
    </w:p>
    <w:p w14:paraId="6D95368C" w14:textId="77777777" w:rsidR="00A447F6" w:rsidRPr="00A02B31" w:rsidRDefault="00A447F6" w:rsidP="00A447F6">
      <w:pPr>
        <w:widowControl w:val="0"/>
        <w:autoSpaceDE w:val="0"/>
        <w:autoSpaceDN w:val="0"/>
        <w:ind w:left="2790" w:right="198"/>
        <w:jc w:val="both"/>
        <w:rPr>
          <w:rFonts w:eastAsia="Times New Roman" w:cstheme="minorHAnsi"/>
          <w:sz w:val="20"/>
          <w:szCs w:val="20"/>
          <w:lang w:val="en-US"/>
        </w:rPr>
      </w:pPr>
    </w:p>
    <w:p w14:paraId="105A9CD8" w14:textId="77777777" w:rsidR="00A447F6" w:rsidRPr="00A02B31" w:rsidRDefault="00A447F6" w:rsidP="00A447F6">
      <w:pPr>
        <w:widowControl w:val="0"/>
        <w:autoSpaceDE w:val="0"/>
        <w:autoSpaceDN w:val="0"/>
        <w:ind w:left="2790" w:right="198"/>
        <w:jc w:val="both"/>
        <w:rPr>
          <w:rFonts w:eastAsia="Times New Roman" w:cstheme="minorHAnsi"/>
          <w:sz w:val="20"/>
          <w:szCs w:val="20"/>
          <w:lang w:val="en-US"/>
        </w:rPr>
      </w:pPr>
      <w:r w:rsidRPr="00A02B31">
        <w:rPr>
          <w:rFonts w:eastAsia="Times New Roman" w:cstheme="minorHAnsi"/>
          <w:sz w:val="20"/>
          <w:szCs w:val="20"/>
          <w:lang w:val="en-US"/>
        </w:rPr>
        <w:t>In his early career Ken qualified as a Chartered Accountant and became a partner in Arthur Andersen. Until 2014 Ken was a member of the UK Accounting Standards Board. He graduated from Manchester University with a degree in Management Sciences.</w:t>
      </w:r>
    </w:p>
    <w:p w14:paraId="0FDFDC3F" w14:textId="762008EC" w:rsidR="003F4665" w:rsidRPr="00A02B31" w:rsidRDefault="003F4665" w:rsidP="00530338">
      <w:pPr>
        <w:widowControl w:val="0"/>
        <w:autoSpaceDE w:val="0"/>
        <w:autoSpaceDN w:val="0"/>
        <w:ind w:left="2790" w:right="198"/>
        <w:jc w:val="both"/>
        <w:rPr>
          <w:rFonts w:eastAsia="Times New Roman" w:cstheme="minorHAnsi"/>
          <w:sz w:val="20"/>
          <w:szCs w:val="20"/>
          <w:lang w:val="en-US"/>
        </w:rPr>
      </w:pPr>
    </w:p>
    <w:p w14:paraId="17411827" w14:textId="57163E85" w:rsidR="00530338" w:rsidRPr="00A02B31" w:rsidRDefault="00530338" w:rsidP="00530338">
      <w:pPr>
        <w:widowControl w:val="0"/>
        <w:autoSpaceDE w:val="0"/>
        <w:autoSpaceDN w:val="0"/>
        <w:ind w:left="2790" w:right="198"/>
        <w:jc w:val="both"/>
        <w:rPr>
          <w:rFonts w:eastAsia="Times New Roman" w:cstheme="minorHAnsi"/>
          <w:sz w:val="20"/>
          <w:szCs w:val="20"/>
          <w:lang w:val="en-US"/>
        </w:rPr>
      </w:pPr>
    </w:p>
    <w:p w14:paraId="37484272" w14:textId="2A2AE980" w:rsidR="00530338" w:rsidRPr="00A02B31" w:rsidRDefault="0097570E" w:rsidP="00530338">
      <w:pPr>
        <w:widowControl w:val="0"/>
        <w:autoSpaceDE w:val="0"/>
        <w:autoSpaceDN w:val="0"/>
        <w:ind w:left="2790" w:right="198"/>
        <w:jc w:val="both"/>
        <w:rPr>
          <w:rFonts w:eastAsia="Times New Roman" w:cstheme="minorHAnsi"/>
          <w:b/>
          <w:sz w:val="20"/>
          <w:szCs w:val="20"/>
          <w:lang w:val="en-US"/>
        </w:rPr>
      </w:pPr>
      <w:r w:rsidRPr="00A02B31">
        <w:rPr>
          <w:rFonts w:eastAsia="Times New Roman" w:cstheme="minorHAnsi"/>
          <w:b/>
          <w:sz w:val="20"/>
          <w:szCs w:val="20"/>
          <w:lang w:val="en-US"/>
        </w:rPr>
        <w:t>Graham Bird</w:t>
      </w:r>
    </w:p>
    <w:p w14:paraId="6A29E4AE" w14:textId="2F8EBA3B" w:rsidR="00530338" w:rsidRPr="00A02B31" w:rsidRDefault="003F4665" w:rsidP="00530338">
      <w:pPr>
        <w:widowControl w:val="0"/>
        <w:autoSpaceDE w:val="0"/>
        <w:autoSpaceDN w:val="0"/>
        <w:ind w:left="2790" w:right="198"/>
        <w:jc w:val="both"/>
        <w:rPr>
          <w:rFonts w:eastAsia="Times New Roman" w:cstheme="minorHAnsi"/>
          <w:b/>
          <w:sz w:val="20"/>
          <w:szCs w:val="20"/>
          <w:lang w:val="en-US"/>
        </w:rPr>
      </w:pPr>
      <w:r w:rsidRPr="00A02B31">
        <w:rPr>
          <w:rFonts w:eastAsia="Times New Roman" w:cstheme="minorHAnsi"/>
          <w:b/>
          <w:sz w:val="20"/>
          <w:szCs w:val="20"/>
          <w:lang w:val="en-US"/>
        </w:rPr>
        <w:t xml:space="preserve">Age: </w:t>
      </w:r>
      <w:r w:rsidR="0097570E" w:rsidRPr="00A02B31">
        <w:rPr>
          <w:rFonts w:eastAsia="Times New Roman" w:cstheme="minorHAnsi"/>
          <w:b/>
          <w:sz w:val="20"/>
          <w:szCs w:val="20"/>
          <w:lang w:val="en-US"/>
        </w:rPr>
        <w:t>52</w:t>
      </w:r>
    </w:p>
    <w:p w14:paraId="18F85245" w14:textId="77777777" w:rsidR="0097570E" w:rsidRPr="00A02B31" w:rsidRDefault="0097570E" w:rsidP="00530338">
      <w:pPr>
        <w:widowControl w:val="0"/>
        <w:autoSpaceDE w:val="0"/>
        <w:autoSpaceDN w:val="0"/>
        <w:ind w:left="2790" w:right="198"/>
        <w:jc w:val="both"/>
        <w:rPr>
          <w:rFonts w:eastAsia="Times New Roman" w:cstheme="minorHAnsi"/>
          <w:b/>
          <w:sz w:val="20"/>
          <w:szCs w:val="20"/>
          <w:lang w:val="en-US"/>
        </w:rPr>
      </w:pPr>
      <w:r w:rsidRPr="00A02B31">
        <w:rPr>
          <w:rFonts w:eastAsia="Times New Roman" w:cstheme="minorHAnsi"/>
          <w:b/>
          <w:sz w:val="20"/>
          <w:szCs w:val="20"/>
          <w:lang w:val="en-US"/>
        </w:rPr>
        <w:t>Non-Independent Non-Executive Director</w:t>
      </w:r>
    </w:p>
    <w:p w14:paraId="24860FDF" w14:textId="4859627A" w:rsidR="0097570E" w:rsidRPr="00A02B31" w:rsidRDefault="0097570E" w:rsidP="0097570E">
      <w:pPr>
        <w:widowControl w:val="0"/>
        <w:autoSpaceDE w:val="0"/>
        <w:autoSpaceDN w:val="0"/>
        <w:ind w:left="2790" w:right="198"/>
        <w:jc w:val="both"/>
        <w:rPr>
          <w:rFonts w:eastAsia="Times New Roman" w:cstheme="minorHAnsi"/>
          <w:sz w:val="20"/>
          <w:szCs w:val="20"/>
          <w:lang w:val="en-US"/>
        </w:rPr>
      </w:pPr>
      <w:r w:rsidRPr="00A02B31">
        <w:rPr>
          <w:rFonts w:eastAsia="Times New Roman" w:cstheme="minorHAnsi"/>
          <w:sz w:val="20"/>
          <w:szCs w:val="20"/>
          <w:lang w:val="en-US"/>
        </w:rPr>
        <w:t xml:space="preserve">Graham is the CFO of </w:t>
      </w:r>
      <w:r w:rsidR="00D92530" w:rsidRPr="00A02B31">
        <w:rPr>
          <w:rFonts w:eastAsia="Times New Roman" w:cstheme="minorHAnsi"/>
          <w:sz w:val="20"/>
          <w:szCs w:val="20"/>
          <w:lang w:val="en-US"/>
        </w:rPr>
        <w:t>XP Factory</w:t>
      </w:r>
      <w:r w:rsidRPr="00A02B31">
        <w:rPr>
          <w:rFonts w:eastAsia="Times New Roman" w:cstheme="minorHAnsi"/>
          <w:sz w:val="20"/>
          <w:szCs w:val="20"/>
          <w:lang w:val="en-US"/>
        </w:rPr>
        <w:t xml:space="preserve"> and is experienced in fund management and in building both corporate advisory and asset management businesses. Formerly the Fund Manager of Gresham House Strategic. Graham spent six years as a senior executive at PayPoint plc, most recently as director of strategic planning and corporate development.</w:t>
      </w:r>
    </w:p>
    <w:p w14:paraId="461BAD5C" w14:textId="77777777" w:rsidR="0097570E" w:rsidRPr="00A02B31" w:rsidRDefault="0097570E" w:rsidP="0097570E">
      <w:pPr>
        <w:widowControl w:val="0"/>
        <w:autoSpaceDE w:val="0"/>
        <w:autoSpaceDN w:val="0"/>
        <w:ind w:left="2790" w:right="198"/>
        <w:jc w:val="both"/>
        <w:rPr>
          <w:rFonts w:eastAsia="Times New Roman" w:cstheme="minorHAnsi"/>
          <w:sz w:val="20"/>
          <w:szCs w:val="20"/>
          <w:lang w:val="en-US"/>
        </w:rPr>
      </w:pPr>
    </w:p>
    <w:p w14:paraId="3B974DB1" w14:textId="1B70136C" w:rsidR="00530338" w:rsidRPr="00A02B31" w:rsidRDefault="0097570E" w:rsidP="00530338">
      <w:pPr>
        <w:widowControl w:val="0"/>
        <w:autoSpaceDE w:val="0"/>
        <w:autoSpaceDN w:val="0"/>
        <w:ind w:left="2790" w:right="198"/>
        <w:jc w:val="both"/>
        <w:rPr>
          <w:rFonts w:eastAsia="Times New Roman" w:cstheme="minorHAnsi"/>
          <w:sz w:val="20"/>
          <w:szCs w:val="20"/>
          <w:lang w:val="en-US"/>
        </w:rPr>
      </w:pPr>
      <w:r w:rsidRPr="00A02B31">
        <w:rPr>
          <w:rFonts w:eastAsia="Times New Roman" w:cstheme="minorHAnsi"/>
          <w:sz w:val="20"/>
          <w:szCs w:val="20"/>
          <w:lang w:val="en-US"/>
        </w:rPr>
        <w:t>He was also executive chairman and president of PayByPhone, a multi-national division of PayPoint operating out of Canada, the UK and France between 2010-2014. Graham began his career in audit and corporate finance at Deloitte and Cazenove and holds an MA in Economics from the University of Cambridge.</w:t>
      </w:r>
    </w:p>
    <w:p w14:paraId="749DC453" w14:textId="77777777" w:rsidR="0077209B" w:rsidRPr="00A02B31" w:rsidRDefault="0077209B" w:rsidP="00530338">
      <w:pPr>
        <w:widowControl w:val="0"/>
        <w:autoSpaceDE w:val="0"/>
        <w:autoSpaceDN w:val="0"/>
        <w:ind w:left="2790" w:right="198"/>
        <w:jc w:val="both"/>
        <w:rPr>
          <w:rFonts w:eastAsia="Times New Roman" w:cstheme="minorHAnsi"/>
          <w:sz w:val="20"/>
          <w:szCs w:val="20"/>
          <w:lang w:val="en-US"/>
        </w:rPr>
      </w:pPr>
    </w:p>
    <w:p w14:paraId="35A5CB0F" w14:textId="5D467FB2" w:rsidR="0077209B" w:rsidRPr="00A02B31" w:rsidRDefault="0077209B" w:rsidP="00530338">
      <w:pPr>
        <w:widowControl w:val="0"/>
        <w:autoSpaceDE w:val="0"/>
        <w:autoSpaceDN w:val="0"/>
        <w:ind w:left="2790" w:right="198"/>
        <w:jc w:val="both"/>
        <w:rPr>
          <w:rFonts w:eastAsia="Times New Roman" w:cstheme="minorHAnsi"/>
          <w:sz w:val="20"/>
          <w:szCs w:val="20"/>
          <w:lang w:val="en-US"/>
        </w:rPr>
      </w:pPr>
      <w:r w:rsidRPr="00A02B31">
        <w:rPr>
          <w:rFonts w:eastAsia="Times New Roman" w:cstheme="minorHAnsi"/>
          <w:sz w:val="20"/>
          <w:szCs w:val="20"/>
          <w:lang w:val="en-US"/>
        </w:rPr>
        <w:t>Graham will retire from the Board at the conclusion of the AGM to be held on 13 September 2022 and will not seek re-election.</w:t>
      </w:r>
    </w:p>
    <w:p w14:paraId="258AE3E3" w14:textId="77777777" w:rsidR="0077209B" w:rsidRPr="00A02B31" w:rsidRDefault="0077209B" w:rsidP="00C87A16">
      <w:pPr>
        <w:widowControl w:val="0"/>
        <w:autoSpaceDE w:val="0"/>
        <w:autoSpaceDN w:val="0"/>
        <w:ind w:right="198"/>
        <w:jc w:val="both"/>
        <w:rPr>
          <w:rFonts w:eastAsia="Times New Roman" w:cstheme="minorHAnsi"/>
          <w:sz w:val="20"/>
          <w:szCs w:val="20"/>
          <w:lang w:val="en-US"/>
        </w:rPr>
        <w:sectPr w:rsidR="0077209B" w:rsidRPr="00A02B31" w:rsidSect="00D079BC">
          <w:type w:val="continuous"/>
          <w:pgSz w:w="11910" w:h="16840"/>
          <w:pgMar w:top="680" w:right="1020" w:bottom="1140" w:left="1020" w:header="0" w:footer="848" w:gutter="0"/>
          <w:cols w:space="720"/>
        </w:sectPr>
      </w:pPr>
    </w:p>
    <w:p w14:paraId="368C4F8D" w14:textId="77777777" w:rsidR="00530338" w:rsidRPr="00A02B31" w:rsidRDefault="00530338" w:rsidP="00530338">
      <w:pPr>
        <w:jc w:val="both"/>
        <w:rPr>
          <w:rFonts w:cstheme="minorHAnsi"/>
          <w:sz w:val="20"/>
          <w:szCs w:val="20"/>
        </w:rPr>
        <w:sectPr w:rsidR="00530338" w:rsidRPr="00A02B31" w:rsidSect="00044E30">
          <w:type w:val="continuous"/>
          <w:pgSz w:w="11910" w:h="16840"/>
          <w:pgMar w:top="680" w:right="1020" w:bottom="1140" w:left="1020" w:header="0" w:footer="848" w:gutter="0"/>
          <w:cols w:num="2" w:space="720"/>
        </w:sectPr>
      </w:pPr>
    </w:p>
    <w:p w14:paraId="19A48759" w14:textId="23C6642B" w:rsidR="00530338" w:rsidRPr="00A02B31" w:rsidRDefault="00530338" w:rsidP="009D1381">
      <w:pPr>
        <w:ind w:right="823"/>
        <w:rPr>
          <w:rFonts w:cstheme="minorHAnsi"/>
          <w:b/>
          <w:sz w:val="20"/>
          <w:szCs w:val="20"/>
        </w:rPr>
      </w:pPr>
      <w:r w:rsidRPr="00A02B31">
        <w:rPr>
          <w:rFonts w:cstheme="minorHAnsi"/>
          <w:b/>
          <w:sz w:val="20"/>
          <w:szCs w:val="20"/>
        </w:rPr>
        <w:lastRenderedPageBreak/>
        <w:t>INVESTMENT MANAGER’S REPORT</w:t>
      </w:r>
    </w:p>
    <w:p w14:paraId="57E91C00" w14:textId="77777777" w:rsidR="00530338" w:rsidRPr="00A02B31" w:rsidRDefault="00530338" w:rsidP="00530338">
      <w:pPr>
        <w:rPr>
          <w:rFonts w:cstheme="minorHAnsi"/>
          <w:sz w:val="20"/>
          <w:szCs w:val="20"/>
        </w:rPr>
      </w:pPr>
    </w:p>
    <w:p w14:paraId="24E40E75" w14:textId="77777777" w:rsidR="00530338" w:rsidRPr="00A02B31" w:rsidRDefault="00530338" w:rsidP="00530338">
      <w:pPr>
        <w:rPr>
          <w:rFonts w:cstheme="minorHAnsi"/>
          <w:sz w:val="20"/>
          <w:szCs w:val="20"/>
        </w:rPr>
      </w:pPr>
    </w:p>
    <w:p w14:paraId="5C0B6BE7" w14:textId="77777777" w:rsidR="00530338" w:rsidRPr="00A02B31" w:rsidRDefault="00530338" w:rsidP="00530338">
      <w:pPr>
        <w:rPr>
          <w:rFonts w:cstheme="minorHAnsi"/>
          <w:sz w:val="20"/>
          <w:szCs w:val="20"/>
        </w:rPr>
      </w:pPr>
    </w:p>
    <w:p w14:paraId="6153C2B7" w14:textId="6843ABFC" w:rsidR="006825A4" w:rsidRPr="00A02B31" w:rsidRDefault="006825A4" w:rsidP="006825A4">
      <w:pPr>
        <w:rPr>
          <w:rFonts w:cstheme="minorHAnsi"/>
          <w:b/>
          <w:bCs/>
          <w:sz w:val="20"/>
          <w:szCs w:val="20"/>
        </w:rPr>
      </w:pPr>
      <w:r w:rsidRPr="00A02B31">
        <w:rPr>
          <w:rFonts w:cstheme="minorHAnsi"/>
          <w:b/>
          <w:bCs/>
          <w:sz w:val="20"/>
          <w:szCs w:val="20"/>
        </w:rPr>
        <w:t>Highlights</w:t>
      </w:r>
    </w:p>
    <w:p w14:paraId="0729C275" w14:textId="77777777" w:rsidR="00894B84" w:rsidRPr="00A02B31" w:rsidRDefault="00894B84" w:rsidP="006825A4">
      <w:pPr>
        <w:rPr>
          <w:rFonts w:cstheme="minorHAnsi"/>
          <w:sz w:val="20"/>
          <w:szCs w:val="20"/>
        </w:rPr>
      </w:pPr>
    </w:p>
    <w:p w14:paraId="6561D692" w14:textId="65F7D5D7" w:rsidR="006825A4" w:rsidRPr="00A02B31" w:rsidRDefault="006825A4" w:rsidP="006825A4">
      <w:pPr>
        <w:pStyle w:val="ListParagraph"/>
        <w:numPr>
          <w:ilvl w:val="0"/>
          <w:numId w:val="40"/>
        </w:numPr>
        <w:spacing w:after="160" w:line="259" w:lineRule="auto"/>
        <w:rPr>
          <w:rFonts w:cstheme="minorHAnsi"/>
          <w:sz w:val="20"/>
          <w:szCs w:val="20"/>
        </w:rPr>
      </w:pPr>
      <w:r w:rsidRPr="00A02B31">
        <w:rPr>
          <w:rFonts w:cstheme="minorHAnsi"/>
          <w:sz w:val="20"/>
          <w:szCs w:val="20"/>
        </w:rPr>
        <w:t xml:space="preserve">NAV Total Return performance in the twelve months to </w:t>
      </w:r>
      <w:r w:rsidR="00DC3E25" w:rsidRPr="00A02B31">
        <w:rPr>
          <w:rFonts w:cstheme="minorHAnsi"/>
          <w:sz w:val="20"/>
          <w:szCs w:val="20"/>
        </w:rPr>
        <w:t xml:space="preserve">31 </w:t>
      </w:r>
      <w:r w:rsidRPr="00A02B31">
        <w:rPr>
          <w:rFonts w:cstheme="minorHAnsi"/>
          <w:sz w:val="20"/>
          <w:szCs w:val="20"/>
        </w:rPr>
        <w:t xml:space="preserve">March 2022 of </w:t>
      </w:r>
      <w:r w:rsidR="00631CC7" w:rsidRPr="00A02B31">
        <w:rPr>
          <w:rFonts w:cstheme="minorHAnsi"/>
          <w:sz w:val="20"/>
          <w:szCs w:val="20"/>
        </w:rPr>
        <w:t>27.5</w:t>
      </w:r>
      <w:r w:rsidRPr="00A02B31">
        <w:rPr>
          <w:rFonts w:cstheme="minorHAnsi"/>
          <w:sz w:val="20"/>
          <w:szCs w:val="20"/>
        </w:rPr>
        <w:t xml:space="preserve">% to </w:t>
      </w:r>
      <w:r w:rsidR="00631CC7" w:rsidRPr="00A02B31">
        <w:rPr>
          <w:rFonts w:cstheme="minorHAnsi"/>
          <w:sz w:val="20"/>
          <w:szCs w:val="20"/>
        </w:rPr>
        <w:t>1613</w:t>
      </w:r>
      <w:r w:rsidR="00DC3E25" w:rsidRPr="00A02B31">
        <w:rPr>
          <w:rFonts w:cstheme="minorHAnsi"/>
          <w:sz w:val="20"/>
          <w:szCs w:val="20"/>
        </w:rPr>
        <w:t>.</w:t>
      </w:r>
      <w:r w:rsidR="00631CC7" w:rsidRPr="00A02B31">
        <w:rPr>
          <w:rFonts w:cstheme="minorHAnsi"/>
          <w:sz w:val="20"/>
          <w:szCs w:val="20"/>
        </w:rPr>
        <w:t>8</w:t>
      </w:r>
      <w:r w:rsidRPr="00A02B31">
        <w:rPr>
          <w:rFonts w:cstheme="minorHAnsi"/>
          <w:sz w:val="20"/>
          <w:szCs w:val="20"/>
        </w:rPr>
        <w:t>p/share which compares to the FTSE Small Cap (ex-ITs) of 3.2%</w:t>
      </w:r>
      <w:r w:rsidR="00951117" w:rsidRPr="00A02B31">
        <w:rPr>
          <w:rFonts w:cstheme="minorHAnsi"/>
          <w:sz w:val="20"/>
          <w:szCs w:val="20"/>
        </w:rPr>
        <w:t xml:space="preserve"> The Total Shareholder Return in this period was 22.</w:t>
      </w:r>
      <w:r w:rsidR="00DC3E25" w:rsidRPr="00A02B31">
        <w:rPr>
          <w:rFonts w:cstheme="minorHAnsi"/>
          <w:sz w:val="20"/>
          <w:szCs w:val="20"/>
        </w:rPr>
        <w:t>2</w:t>
      </w:r>
      <w:r w:rsidR="00951117" w:rsidRPr="00A02B31">
        <w:rPr>
          <w:rFonts w:cstheme="minorHAnsi"/>
          <w:sz w:val="20"/>
          <w:szCs w:val="20"/>
        </w:rPr>
        <w:t>%.</w:t>
      </w:r>
    </w:p>
    <w:p w14:paraId="00E78CA2" w14:textId="31B4E2B0" w:rsidR="00894B84" w:rsidRPr="00A02B31" w:rsidRDefault="00894B84" w:rsidP="00951117">
      <w:pPr>
        <w:pStyle w:val="ListParagraph"/>
        <w:numPr>
          <w:ilvl w:val="0"/>
          <w:numId w:val="40"/>
        </w:numPr>
        <w:spacing w:after="160" w:line="259" w:lineRule="auto"/>
        <w:rPr>
          <w:rFonts w:cstheme="minorHAnsi"/>
          <w:sz w:val="20"/>
          <w:szCs w:val="20"/>
        </w:rPr>
      </w:pPr>
      <w:r w:rsidRPr="00A02B31">
        <w:rPr>
          <w:rFonts w:cstheme="minorHAnsi"/>
          <w:sz w:val="20"/>
          <w:szCs w:val="20"/>
        </w:rPr>
        <w:t xml:space="preserve">NAV Total Return performance in the three years to </w:t>
      </w:r>
      <w:r w:rsidR="00DC3E25" w:rsidRPr="00A02B31">
        <w:rPr>
          <w:rFonts w:cstheme="minorHAnsi"/>
          <w:sz w:val="20"/>
          <w:szCs w:val="20"/>
        </w:rPr>
        <w:t xml:space="preserve">31 </w:t>
      </w:r>
      <w:r w:rsidRPr="00A02B31">
        <w:rPr>
          <w:rFonts w:cstheme="minorHAnsi"/>
          <w:sz w:val="20"/>
          <w:szCs w:val="20"/>
        </w:rPr>
        <w:t xml:space="preserve">March 2022 of </w:t>
      </w:r>
      <w:r w:rsidR="009300F5" w:rsidRPr="00A02B31">
        <w:rPr>
          <w:rFonts w:cstheme="minorHAnsi"/>
          <w:sz w:val="20"/>
          <w:szCs w:val="20"/>
        </w:rPr>
        <w:t>57.7</w:t>
      </w:r>
      <w:r w:rsidRPr="00A02B31">
        <w:rPr>
          <w:rFonts w:cstheme="minorHAnsi"/>
          <w:sz w:val="20"/>
          <w:szCs w:val="20"/>
        </w:rPr>
        <w:t xml:space="preserve">% to </w:t>
      </w:r>
      <w:r w:rsidR="00DF6818" w:rsidRPr="00A02B31">
        <w:rPr>
          <w:rFonts w:cstheme="minorHAnsi"/>
          <w:sz w:val="20"/>
          <w:szCs w:val="20"/>
        </w:rPr>
        <w:t>1613.8p</w:t>
      </w:r>
      <w:r w:rsidRPr="00A02B31">
        <w:rPr>
          <w:rFonts w:cstheme="minorHAnsi"/>
          <w:sz w:val="20"/>
          <w:szCs w:val="20"/>
        </w:rPr>
        <w:t xml:space="preserve">/share which compares to the FTSE Small Cap (ex-ITs) of </w:t>
      </w:r>
      <w:r w:rsidR="00951117" w:rsidRPr="00A02B31">
        <w:rPr>
          <w:rFonts w:cstheme="minorHAnsi"/>
          <w:sz w:val="20"/>
          <w:szCs w:val="20"/>
        </w:rPr>
        <w:t>29.7</w:t>
      </w:r>
      <w:r w:rsidRPr="00A02B31">
        <w:rPr>
          <w:rFonts w:cstheme="minorHAnsi"/>
          <w:sz w:val="20"/>
          <w:szCs w:val="20"/>
        </w:rPr>
        <w:t>%</w:t>
      </w:r>
      <w:r w:rsidR="00951117" w:rsidRPr="00A02B31">
        <w:rPr>
          <w:rFonts w:cstheme="minorHAnsi"/>
          <w:sz w:val="20"/>
          <w:szCs w:val="20"/>
        </w:rPr>
        <w:t xml:space="preserve">. The Total Shareholder Return in this period was </w:t>
      </w:r>
      <w:r w:rsidR="00DC3E25" w:rsidRPr="00A02B31">
        <w:rPr>
          <w:rFonts w:cstheme="minorHAnsi"/>
          <w:sz w:val="20"/>
          <w:szCs w:val="20"/>
        </w:rPr>
        <w:t>50.9</w:t>
      </w:r>
      <w:r w:rsidR="00951117" w:rsidRPr="00A02B31">
        <w:rPr>
          <w:rFonts w:cstheme="minorHAnsi"/>
          <w:sz w:val="20"/>
          <w:szCs w:val="20"/>
        </w:rPr>
        <w:t>%</w:t>
      </w:r>
    </w:p>
    <w:p w14:paraId="7571950C" w14:textId="77777777" w:rsidR="006825A4" w:rsidRPr="00A02B31" w:rsidRDefault="006825A4" w:rsidP="006825A4">
      <w:pPr>
        <w:pStyle w:val="ListParagraph"/>
        <w:numPr>
          <w:ilvl w:val="0"/>
          <w:numId w:val="40"/>
        </w:numPr>
        <w:spacing w:after="160" w:line="259" w:lineRule="auto"/>
        <w:rPr>
          <w:rFonts w:cstheme="minorHAnsi"/>
          <w:sz w:val="20"/>
          <w:szCs w:val="20"/>
        </w:rPr>
      </w:pPr>
      <w:r w:rsidRPr="00A02B31">
        <w:rPr>
          <w:rFonts w:cstheme="minorHAnsi"/>
          <w:sz w:val="20"/>
          <w:szCs w:val="20"/>
        </w:rPr>
        <w:t>Harwood Capital LLP appointed Investment Manager</w:t>
      </w:r>
    </w:p>
    <w:p w14:paraId="216FF0C9" w14:textId="77777777" w:rsidR="006825A4" w:rsidRPr="00A02B31" w:rsidRDefault="006825A4" w:rsidP="006825A4">
      <w:pPr>
        <w:pStyle w:val="ListParagraph"/>
        <w:numPr>
          <w:ilvl w:val="0"/>
          <w:numId w:val="40"/>
        </w:numPr>
        <w:spacing w:after="160" w:line="259" w:lineRule="auto"/>
        <w:rPr>
          <w:rFonts w:cstheme="minorHAnsi"/>
          <w:sz w:val="20"/>
          <w:szCs w:val="20"/>
        </w:rPr>
      </w:pPr>
      <w:r w:rsidRPr="00A02B31">
        <w:rPr>
          <w:rFonts w:cstheme="minorHAnsi"/>
          <w:sz w:val="20"/>
          <w:szCs w:val="20"/>
        </w:rPr>
        <w:t>£25m returned to shareholders by way of B share scheme and tender offer</w:t>
      </w:r>
    </w:p>
    <w:p w14:paraId="5E751992" w14:textId="77777777" w:rsidR="006825A4" w:rsidRPr="00A02B31" w:rsidRDefault="006825A4" w:rsidP="006825A4">
      <w:pPr>
        <w:pStyle w:val="ListParagraph"/>
        <w:numPr>
          <w:ilvl w:val="0"/>
          <w:numId w:val="40"/>
        </w:numPr>
        <w:spacing w:after="160" w:line="259" w:lineRule="auto"/>
        <w:rPr>
          <w:rFonts w:cstheme="minorHAnsi"/>
          <w:sz w:val="20"/>
          <w:szCs w:val="20"/>
        </w:rPr>
      </w:pPr>
      <w:r w:rsidRPr="00A02B31">
        <w:rPr>
          <w:rFonts w:cstheme="minorHAnsi"/>
          <w:sz w:val="20"/>
          <w:szCs w:val="20"/>
        </w:rPr>
        <w:t>New Investment Policy adopted by shareholders post year-end</w:t>
      </w:r>
    </w:p>
    <w:p w14:paraId="4D62EBFA" w14:textId="77777777" w:rsidR="006825A4" w:rsidRPr="00A02B31" w:rsidRDefault="006825A4" w:rsidP="006825A4">
      <w:pPr>
        <w:pStyle w:val="ListParagraph"/>
        <w:numPr>
          <w:ilvl w:val="0"/>
          <w:numId w:val="40"/>
        </w:numPr>
        <w:spacing w:after="160" w:line="259" w:lineRule="auto"/>
        <w:rPr>
          <w:rFonts w:cstheme="minorHAnsi"/>
          <w:sz w:val="20"/>
          <w:szCs w:val="20"/>
        </w:rPr>
      </w:pPr>
      <w:r w:rsidRPr="00A02B31">
        <w:rPr>
          <w:rFonts w:cstheme="minorHAnsi"/>
          <w:sz w:val="20"/>
          <w:szCs w:val="20"/>
        </w:rPr>
        <w:t>Significant realised and unrealised gains across the portfolio</w:t>
      </w:r>
    </w:p>
    <w:p w14:paraId="6703ABE9" w14:textId="77777777" w:rsidR="006825A4" w:rsidRPr="00A02B31" w:rsidRDefault="006825A4" w:rsidP="006825A4">
      <w:pPr>
        <w:pStyle w:val="ListParagraph"/>
        <w:numPr>
          <w:ilvl w:val="0"/>
          <w:numId w:val="40"/>
        </w:numPr>
        <w:spacing w:after="160" w:line="259" w:lineRule="auto"/>
        <w:rPr>
          <w:rFonts w:cstheme="minorHAnsi"/>
          <w:sz w:val="20"/>
          <w:szCs w:val="20"/>
        </w:rPr>
      </w:pPr>
      <w:r w:rsidRPr="00A02B31">
        <w:rPr>
          <w:rFonts w:cstheme="minorHAnsi"/>
          <w:sz w:val="20"/>
          <w:szCs w:val="20"/>
        </w:rPr>
        <w:t>Costs elevated due to corporate actions</w:t>
      </w:r>
    </w:p>
    <w:p w14:paraId="12E6FE89" w14:textId="77777777" w:rsidR="006825A4" w:rsidRPr="00A02B31" w:rsidRDefault="006825A4" w:rsidP="006825A4">
      <w:pPr>
        <w:pStyle w:val="ListParagraph"/>
        <w:rPr>
          <w:rFonts w:cstheme="minorHAnsi"/>
          <w:b/>
          <w:bCs/>
          <w:i/>
          <w:iCs/>
          <w:sz w:val="20"/>
          <w:szCs w:val="20"/>
        </w:rPr>
      </w:pPr>
    </w:p>
    <w:p w14:paraId="42BF8F08" w14:textId="77777777" w:rsidR="006825A4" w:rsidRPr="00A02B31" w:rsidRDefault="006825A4" w:rsidP="009D1381">
      <w:pPr>
        <w:jc w:val="both"/>
        <w:rPr>
          <w:rFonts w:cstheme="minorHAnsi"/>
          <w:sz w:val="20"/>
          <w:szCs w:val="20"/>
        </w:rPr>
      </w:pPr>
      <w:r w:rsidRPr="00A02B31">
        <w:rPr>
          <w:rFonts w:cstheme="minorHAnsi"/>
          <w:b/>
          <w:bCs/>
          <w:sz w:val="20"/>
          <w:szCs w:val="20"/>
        </w:rPr>
        <w:t>Investments Managers Report</w:t>
      </w:r>
      <w:r w:rsidRPr="00A02B31">
        <w:rPr>
          <w:rFonts w:cstheme="minorHAnsi"/>
          <w:sz w:val="20"/>
          <w:szCs w:val="20"/>
        </w:rPr>
        <w:t xml:space="preserve"> </w:t>
      </w:r>
    </w:p>
    <w:p w14:paraId="49DF07C3" w14:textId="71158A3B" w:rsidR="006825A4" w:rsidRPr="00A02B31" w:rsidRDefault="006825A4" w:rsidP="009D1381">
      <w:pPr>
        <w:jc w:val="both"/>
        <w:rPr>
          <w:rFonts w:cstheme="minorHAnsi"/>
          <w:sz w:val="20"/>
          <w:szCs w:val="20"/>
        </w:rPr>
      </w:pPr>
      <w:r w:rsidRPr="00A02B31">
        <w:rPr>
          <w:rFonts w:cstheme="minorHAnsi"/>
          <w:sz w:val="20"/>
          <w:szCs w:val="20"/>
        </w:rPr>
        <w:t xml:space="preserve">Shareholders were updated at the Interim stage by the previous Investment Manager. This report encompasses the full year. As highlighted in the Chairman’s statement, Harwood Capital </w:t>
      </w:r>
      <w:r w:rsidR="00DC3E25" w:rsidRPr="00A02B31">
        <w:rPr>
          <w:rFonts w:cstheme="minorHAnsi"/>
          <w:sz w:val="20"/>
          <w:szCs w:val="20"/>
        </w:rPr>
        <w:t xml:space="preserve">was </w:t>
      </w:r>
      <w:r w:rsidRPr="00A02B31">
        <w:rPr>
          <w:rFonts w:cstheme="minorHAnsi"/>
          <w:sz w:val="20"/>
          <w:szCs w:val="20"/>
        </w:rPr>
        <w:t>appointed in October 2021</w:t>
      </w:r>
      <w:r w:rsidR="00DC3E25" w:rsidRPr="00A02B31">
        <w:rPr>
          <w:rFonts w:cstheme="minorHAnsi"/>
          <w:sz w:val="20"/>
          <w:szCs w:val="20"/>
        </w:rPr>
        <w:t>;</w:t>
      </w:r>
      <w:r w:rsidRPr="00A02B31">
        <w:rPr>
          <w:rFonts w:cstheme="minorHAnsi"/>
          <w:sz w:val="20"/>
          <w:szCs w:val="20"/>
        </w:rPr>
        <w:t xml:space="preserve"> however</w:t>
      </w:r>
      <w:r w:rsidR="00D92530" w:rsidRPr="00A02B31">
        <w:rPr>
          <w:rFonts w:cstheme="minorHAnsi"/>
          <w:sz w:val="20"/>
          <w:szCs w:val="20"/>
        </w:rPr>
        <w:t>, between the date of appointment and the end of the financial year in March</w:t>
      </w:r>
      <w:r w:rsidR="00DC3E25" w:rsidRPr="00A02B31">
        <w:rPr>
          <w:rFonts w:cstheme="minorHAnsi"/>
          <w:sz w:val="20"/>
          <w:szCs w:val="20"/>
        </w:rPr>
        <w:t>,</w:t>
      </w:r>
      <w:r w:rsidRPr="00A02B31">
        <w:rPr>
          <w:rFonts w:cstheme="minorHAnsi"/>
          <w:sz w:val="20"/>
          <w:szCs w:val="20"/>
        </w:rPr>
        <w:t xml:space="preserve"> the Company was </w:t>
      </w:r>
      <w:r w:rsidR="00D92530" w:rsidRPr="00A02B31">
        <w:rPr>
          <w:rFonts w:cstheme="minorHAnsi"/>
          <w:sz w:val="20"/>
          <w:szCs w:val="20"/>
        </w:rPr>
        <w:t xml:space="preserve">following a realisation strategy and, </w:t>
      </w:r>
      <w:r w:rsidRPr="00A02B31">
        <w:rPr>
          <w:rFonts w:cstheme="minorHAnsi"/>
          <w:sz w:val="20"/>
          <w:szCs w:val="20"/>
        </w:rPr>
        <w:t>as such</w:t>
      </w:r>
      <w:r w:rsidR="00DC3E25" w:rsidRPr="00A02B31">
        <w:rPr>
          <w:rFonts w:cstheme="minorHAnsi"/>
          <w:sz w:val="20"/>
          <w:szCs w:val="20"/>
        </w:rPr>
        <w:t>,</w:t>
      </w:r>
      <w:r w:rsidRPr="00A02B31">
        <w:rPr>
          <w:rFonts w:cstheme="minorHAnsi"/>
          <w:sz w:val="20"/>
          <w:szCs w:val="20"/>
        </w:rPr>
        <w:t xml:space="preserve"> </w:t>
      </w:r>
      <w:r w:rsidR="00D92530" w:rsidRPr="00A02B31">
        <w:rPr>
          <w:rFonts w:cstheme="minorHAnsi"/>
          <w:sz w:val="20"/>
          <w:szCs w:val="20"/>
        </w:rPr>
        <w:t>investment activity was restricted to realisations until</w:t>
      </w:r>
      <w:r w:rsidRPr="00A02B31">
        <w:rPr>
          <w:rFonts w:cstheme="minorHAnsi"/>
          <w:sz w:val="20"/>
          <w:szCs w:val="20"/>
        </w:rPr>
        <w:t xml:space="preserve"> the vote to adopt a new Investment Policy after year</w:t>
      </w:r>
      <w:r w:rsidR="000C5053">
        <w:rPr>
          <w:rFonts w:cstheme="minorHAnsi"/>
          <w:sz w:val="20"/>
          <w:szCs w:val="20"/>
        </w:rPr>
        <w:t xml:space="preserve"> </w:t>
      </w:r>
      <w:r w:rsidRPr="00A02B31">
        <w:rPr>
          <w:rFonts w:cstheme="minorHAnsi"/>
          <w:sz w:val="20"/>
          <w:szCs w:val="20"/>
        </w:rPr>
        <w:t>end was approved.</w:t>
      </w:r>
    </w:p>
    <w:p w14:paraId="13CF3F26" w14:textId="77777777" w:rsidR="00482819" w:rsidRPr="00A02B31" w:rsidRDefault="00482819" w:rsidP="009D1381">
      <w:pPr>
        <w:jc w:val="both"/>
        <w:rPr>
          <w:rFonts w:cstheme="minorHAnsi"/>
          <w:sz w:val="20"/>
          <w:szCs w:val="20"/>
        </w:rPr>
      </w:pPr>
    </w:p>
    <w:p w14:paraId="0C39A639" w14:textId="77777777" w:rsidR="006825A4" w:rsidRPr="00A02B31" w:rsidRDefault="006825A4" w:rsidP="009D1381">
      <w:pPr>
        <w:jc w:val="both"/>
        <w:rPr>
          <w:rFonts w:cstheme="minorHAnsi"/>
          <w:b/>
          <w:bCs/>
          <w:sz w:val="20"/>
          <w:szCs w:val="20"/>
        </w:rPr>
      </w:pPr>
      <w:r w:rsidRPr="00A02B31">
        <w:rPr>
          <w:rFonts w:cstheme="minorHAnsi"/>
          <w:b/>
          <w:bCs/>
          <w:sz w:val="20"/>
          <w:szCs w:val="20"/>
        </w:rPr>
        <w:t>Market backdrop</w:t>
      </w:r>
    </w:p>
    <w:p w14:paraId="1AAA9F24" w14:textId="5303DF6A" w:rsidR="006825A4" w:rsidRPr="00A02B31" w:rsidRDefault="006825A4" w:rsidP="009D1381">
      <w:pPr>
        <w:jc w:val="both"/>
        <w:rPr>
          <w:rFonts w:cstheme="minorHAnsi"/>
          <w:sz w:val="20"/>
          <w:szCs w:val="20"/>
        </w:rPr>
      </w:pPr>
      <w:r w:rsidRPr="00A02B31">
        <w:rPr>
          <w:rFonts w:cstheme="minorHAnsi"/>
          <w:sz w:val="20"/>
          <w:szCs w:val="20"/>
        </w:rPr>
        <w:t>We do not believe a detailed historic review of markets during the period is particular</w:t>
      </w:r>
      <w:r w:rsidR="008B33A1" w:rsidRPr="00A02B31">
        <w:rPr>
          <w:rFonts w:cstheme="minorHAnsi"/>
          <w:sz w:val="20"/>
          <w:szCs w:val="20"/>
        </w:rPr>
        <w:t>ly</w:t>
      </w:r>
      <w:r w:rsidRPr="00A02B31">
        <w:rPr>
          <w:rFonts w:cstheme="minorHAnsi"/>
          <w:sz w:val="20"/>
          <w:szCs w:val="20"/>
        </w:rPr>
        <w:t xml:space="preserve"> helpful to shareholders in this stock-picking strategy</w:t>
      </w:r>
      <w:r w:rsidR="00654F0B" w:rsidRPr="00A02B31">
        <w:rPr>
          <w:rFonts w:cstheme="minorHAnsi"/>
          <w:sz w:val="20"/>
          <w:szCs w:val="20"/>
        </w:rPr>
        <w:t>.</w:t>
      </w:r>
      <w:r w:rsidRPr="00A02B31">
        <w:rPr>
          <w:rFonts w:cstheme="minorHAnsi"/>
          <w:sz w:val="20"/>
          <w:szCs w:val="20"/>
        </w:rPr>
        <w:t xml:space="preserve"> </w:t>
      </w:r>
      <w:r w:rsidR="00654F0B" w:rsidRPr="00A02B31">
        <w:rPr>
          <w:rFonts w:cstheme="minorHAnsi"/>
          <w:sz w:val="20"/>
          <w:szCs w:val="20"/>
        </w:rPr>
        <w:t>S</w:t>
      </w:r>
      <w:r w:rsidRPr="00A02B31">
        <w:rPr>
          <w:rFonts w:cstheme="minorHAnsi"/>
          <w:sz w:val="20"/>
          <w:szCs w:val="20"/>
        </w:rPr>
        <w:t xml:space="preserve">uffice to say that the second half </w:t>
      </w:r>
      <w:r w:rsidR="00157DC1" w:rsidRPr="00A02B31">
        <w:rPr>
          <w:rFonts w:cstheme="minorHAnsi"/>
          <w:sz w:val="20"/>
          <w:szCs w:val="20"/>
        </w:rPr>
        <w:t xml:space="preserve">of </w:t>
      </w:r>
      <w:r w:rsidRPr="00A02B31">
        <w:rPr>
          <w:rFonts w:cstheme="minorHAnsi"/>
          <w:sz w:val="20"/>
          <w:szCs w:val="20"/>
        </w:rPr>
        <w:t xml:space="preserve">the year was characterised by the Omicron variant of the COVID‐19 virus, </w:t>
      </w:r>
      <w:r w:rsidR="00654F0B" w:rsidRPr="00A02B31">
        <w:rPr>
          <w:rFonts w:cstheme="minorHAnsi"/>
          <w:sz w:val="20"/>
          <w:szCs w:val="20"/>
        </w:rPr>
        <w:t xml:space="preserve">the invasion by Russia of Ukraine, </w:t>
      </w:r>
      <w:r w:rsidRPr="00A02B31">
        <w:rPr>
          <w:rFonts w:cstheme="minorHAnsi"/>
          <w:sz w:val="20"/>
          <w:szCs w:val="20"/>
        </w:rPr>
        <w:t>high inflation (not ‘transitory’ as anticipated by many) leading to an inflection point in the direction of interest‐rates by Central Banks. Second-order effects have been supply-chain shortages, rising energy and commodity prices, falling bond prices, and a strengthening Dollar. Within equity markets high valuation stocks</w:t>
      </w:r>
      <w:r w:rsidR="00D51D15" w:rsidRPr="00A02B31">
        <w:rPr>
          <w:rFonts w:cstheme="minorHAnsi"/>
          <w:sz w:val="20"/>
          <w:szCs w:val="20"/>
        </w:rPr>
        <w:t>,</w:t>
      </w:r>
      <w:r w:rsidR="00143C64" w:rsidRPr="00A02B31">
        <w:rPr>
          <w:rFonts w:cstheme="minorHAnsi"/>
          <w:sz w:val="20"/>
          <w:szCs w:val="20"/>
        </w:rPr>
        <w:t xml:space="preserve"> </w:t>
      </w:r>
      <w:r w:rsidRPr="00A02B31">
        <w:rPr>
          <w:rFonts w:cstheme="minorHAnsi"/>
          <w:sz w:val="20"/>
          <w:szCs w:val="20"/>
        </w:rPr>
        <w:t>particular</w:t>
      </w:r>
      <w:r w:rsidR="00D51D15" w:rsidRPr="00A02B31">
        <w:rPr>
          <w:rFonts w:cstheme="minorHAnsi"/>
          <w:sz w:val="20"/>
          <w:szCs w:val="20"/>
        </w:rPr>
        <w:t>ly in the</w:t>
      </w:r>
      <w:r w:rsidRPr="00A02B31">
        <w:rPr>
          <w:rFonts w:cstheme="minorHAnsi"/>
          <w:sz w:val="20"/>
          <w:szCs w:val="20"/>
        </w:rPr>
        <w:t xml:space="preserve"> technology and early</w:t>
      </w:r>
      <w:r w:rsidR="008B33A1" w:rsidRPr="00A02B31">
        <w:rPr>
          <w:rFonts w:cstheme="minorHAnsi"/>
          <w:sz w:val="20"/>
          <w:szCs w:val="20"/>
        </w:rPr>
        <w:t>-</w:t>
      </w:r>
      <w:r w:rsidRPr="00A02B31">
        <w:rPr>
          <w:rFonts w:cstheme="minorHAnsi"/>
          <w:sz w:val="20"/>
          <w:szCs w:val="20"/>
        </w:rPr>
        <w:t>stage healthcare sectors</w:t>
      </w:r>
      <w:r w:rsidR="00D51D15" w:rsidRPr="00A02B31">
        <w:rPr>
          <w:rFonts w:cstheme="minorHAnsi"/>
          <w:sz w:val="20"/>
          <w:szCs w:val="20"/>
        </w:rPr>
        <w:t>,</w:t>
      </w:r>
      <w:r w:rsidRPr="00A02B31">
        <w:rPr>
          <w:rFonts w:cstheme="minorHAnsi"/>
          <w:sz w:val="20"/>
          <w:szCs w:val="20"/>
        </w:rPr>
        <w:t xml:space="preserve"> have been very weak.</w:t>
      </w:r>
    </w:p>
    <w:p w14:paraId="1EA7F807" w14:textId="34B4F850" w:rsidR="006825A4" w:rsidRPr="00A02B31" w:rsidRDefault="006825A4" w:rsidP="009D1381">
      <w:pPr>
        <w:jc w:val="both"/>
        <w:rPr>
          <w:rFonts w:cstheme="minorHAnsi"/>
          <w:sz w:val="20"/>
          <w:szCs w:val="20"/>
        </w:rPr>
      </w:pPr>
      <w:r w:rsidRPr="00A02B31">
        <w:rPr>
          <w:rFonts w:cstheme="minorHAnsi"/>
          <w:sz w:val="20"/>
          <w:szCs w:val="20"/>
        </w:rPr>
        <w:t>The monetary policy change is most relevant to this strategy. For over a decade equity market participants have become overly used to extremely accommodative monetary policy, which has resulted in valuation multiple expansion of long‐duration equities, most commonly ‘Growth’ shares. The ‘boost’ to this investment style has clearly now peaked. Going‐forward, the ‘value’ factor, a key component of our investment philosophy, should increasingly benefit, particularly the cashflow generating companies we target.</w:t>
      </w:r>
    </w:p>
    <w:p w14:paraId="1DA6F68C" w14:textId="77777777" w:rsidR="00482819" w:rsidRPr="00A02B31" w:rsidRDefault="00482819" w:rsidP="009D1381">
      <w:pPr>
        <w:jc w:val="both"/>
        <w:rPr>
          <w:rFonts w:cstheme="minorHAnsi"/>
          <w:sz w:val="20"/>
          <w:szCs w:val="20"/>
        </w:rPr>
      </w:pPr>
    </w:p>
    <w:p w14:paraId="2CE2F71E" w14:textId="77777777" w:rsidR="006825A4" w:rsidRPr="00A02B31" w:rsidRDefault="006825A4" w:rsidP="009D1381">
      <w:pPr>
        <w:jc w:val="both"/>
        <w:rPr>
          <w:rFonts w:cstheme="minorHAnsi"/>
          <w:b/>
          <w:bCs/>
          <w:sz w:val="20"/>
          <w:szCs w:val="20"/>
        </w:rPr>
      </w:pPr>
      <w:r w:rsidRPr="00A02B31">
        <w:rPr>
          <w:rFonts w:cstheme="minorHAnsi"/>
          <w:b/>
          <w:bCs/>
          <w:sz w:val="20"/>
          <w:szCs w:val="20"/>
        </w:rPr>
        <w:t>Outlook</w:t>
      </w:r>
    </w:p>
    <w:p w14:paraId="2CF75D0C" w14:textId="77777777" w:rsidR="00482819" w:rsidRPr="00A02B31" w:rsidRDefault="006825A4" w:rsidP="009D1381">
      <w:pPr>
        <w:jc w:val="both"/>
        <w:rPr>
          <w:rFonts w:cstheme="minorHAnsi"/>
          <w:sz w:val="20"/>
          <w:szCs w:val="20"/>
        </w:rPr>
      </w:pPr>
      <w:r w:rsidRPr="00A02B31">
        <w:rPr>
          <w:rFonts w:cstheme="minorHAnsi"/>
          <w:sz w:val="20"/>
          <w:szCs w:val="20"/>
        </w:rPr>
        <w:t xml:space="preserve">We are confident in the upside potential of the portfolio with a range of good trading updates during recent months. We have exciting strategic investment theses for all the holdings and expect our ‘engaged’ style will lead to the un‐locking of material shareholder value. To this end we have been intimately involved with the appointment of new Board members to 5 of our 9 companies in recent months. </w:t>
      </w:r>
    </w:p>
    <w:p w14:paraId="0549A0FE" w14:textId="77777777" w:rsidR="00482819" w:rsidRPr="00A02B31" w:rsidRDefault="00482819" w:rsidP="009D1381">
      <w:pPr>
        <w:jc w:val="both"/>
        <w:rPr>
          <w:rFonts w:cstheme="minorHAnsi"/>
          <w:sz w:val="20"/>
          <w:szCs w:val="20"/>
        </w:rPr>
      </w:pPr>
    </w:p>
    <w:p w14:paraId="1A2EF3D2" w14:textId="3316D325" w:rsidR="006825A4" w:rsidRPr="00A02B31" w:rsidRDefault="006825A4" w:rsidP="009D1381">
      <w:pPr>
        <w:jc w:val="both"/>
        <w:rPr>
          <w:rFonts w:cstheme="minorHAnsi"/>
          <w:sz w:val="20"/>
          <w:szCs w:val="20"/>
        </w:rPr>
      </w:pPr>
      <w:r w:rsidRPr="00A02B31">
        <w:rPr>
          <w:rFonts w:cstheme="minorHAnsi"/>
          <w:sz w:val="20"/>
          <w:szCs w:val="20"/>
        </w:rPr>
        <w:t>We anticipate a pickup in trade buyer acquisition activity and public-to-private transactions in the coming years for our targeted part of the UK stock market. If the stock market doesn’t fairly value or provide growth capital to UK listed small companies then other solutions will emerge.</w:t>
      </w:r>
    </w:p>
    <w:p w14:paraId="0DAF059D" w14:textId="77777777" w:rsidR="00482819" w:rsidRPr="00A02B31" w:rsidRDefault="00482819" w:rsidP="009D1381">
      <w:pPr>
        <w:jc w:val="both"/>
        <w:rPr>
          <w:rFonts w:cstheme="minorHAnsi"/>
          <w:sz w:val="20"/>
          <w:szCs w:val="20"/>
        </w:rPr>
      </w:pPr>
    </w:p>
    <w:p w14:paraId="164C826D" w14:textId="60675893" w:rsidR="006825A4" w:rsidRPr="00A02B31" w:rsidRDefault="006825A4" w:rsidP="009D1381">
      <w:pPr>
        <w:jc w:val="both"/>
        <w:rPr>
          <w:rFonts w:cstheme="minorHAnsi"/>
          <w:sz w:val="20"/>
          <w:szCs w:val="20"/>
        </w:rPr>
      </w:pPr>
      <w:r w:rsidRPr="00A02B31">
        <w:rPr>
          <w:rFonts w:cstheme="minorHAnsi"/>
          <w:sz w:val="20"/>
          <w:szCs w:val="20"/>
        </w:rPr>
        <w:t xml:space="preserve">Due to the ‘realisation’ phase, the portfolio ended the period less diversified than targeted. The strategy will continue to have between 5-10 “core” holdings (9 at year end) which constitute the majority of net asset value, however it will become less concentrated in future periods. The rest of the portfolio will be formed from 15-25 investments with smaller weightings. This part of the portfolio will thus grow over the next year. These holdings will meet the investment criteria yet are when the opportunity to establish a ‘core’ size investment has not arisen yet, or are more liquid corporate recovery/’special’ situations where the targeted return objectives can be expected but where a large stake is not deemed necessary to influence or generate strategic, operational or management change. We expect the market conditions during the rest of 2022 to be particularly advantageous for making investments as on-going turbulence and market weakness provides </w:t>
      </w:r>
      <w:r w:rsidR="001022FC" w:rsidRPr="00A02B31">
        <w:rPr>
          <w:rFonts w:cstheme="minorHAnsi"/>
          <w:sz w:val="20"/>
          <w:szCs w:val="20"/>
        </w:rPr>
        <w:t xml:space="preserve">opportunities </w:t>
      </w:r>
      <w:r w:rsidRPr="00A02B31">
        <w:rPr>
          <w:rFonts w:cstheme="minorHAnsi"/>
          <w:sz w:val="20"/>
          <w:szCs w:val="20"/>
        </w:rPr>
        <w:t xml:space="preserve">for our medium-term investment time horizon. </w:t>
      </w:r>
    </w:p>
    <w:p w14:paraId="10345FD9" w14:textId="21BDEB7F" w:rsidR="006825A4" w:rsidRPr="00A02B31" w:rsidRDefault="006825A4" w:rsidP="009D1381">
      <w:pPr>
        <w:jc w:val="both"/>
        <w:rPr>
          <w:rFonts w:cstheme="minorHAnsi"/>
          <w:sz w:val="20"/>
          <w:szCs w:val="20"/>
        </w:rPr>
      </w:pPr>
    </w:p>
    <w:p w14:paraId="0E0036B7" w14:textId="01F980A6" w:rsidR="00C56A33" w:rsidRPr="00A02B31" w:rsidRDefault="00C56A33" w:rsidP="009D1381">
      <w:pPr>
        <w:jc w:val="both"/>
        <w:rPr>
          <w:rFonts w:cstheme="minorHAnsi"/>
          <w:sz w:val="20"/>
          <w:szCs w:val="20"/>
        </w:rPr>
      </w:pPr>
    </w:p>
    <w:p w14:paraId="5BC9125B" w14:textId="77777777" w:rsidR="00CB279C" w:rsidRPr="00A02B31" w:rsidRDefault="00CB279C" w:rsidP="009D1381">
      <w:pPr>
        <w:jc w:val="both"/>
        <w:rPr>
          <w:rFonts w:cstheme="minorHAnsi"/>
          <w:sz w:val="20"/>
          <w:szCs w:val="20"/>
        </w:rPr>
      </w:pPr>
    </w:p>
    <w:p w14:paraId="745D3B42" w14:textId="77777777" w:rsidR="00C56A33" w:rsidRPr="00A02B31" w:rsidRDefault="00C56A33" w:rsidP="009D1381">
      <w:pPr>
        <w:jc w:val="both"/>
        <w:rPr>
          <w:rFonts w:cstheme="minorHAnsi"/>
          <w:sz w:val="20"/>
          <w:szCs w:val="20"/>
        </w:rPr>
      </w:pPr>
    </w:p>
    <w:p w14:paraId="444DCFEA" w14:textId="177C1B8B" w:rsidR="006825A4" w:rsidRPr="00A02B31" w:rsidRDefault="006825A4" w:rsidP="009D1381">
      <w:pPr>
        <w:jc w:val="both"/>
        <w:rPr>
          <w:rFonts w:cstheme="minorHAnsi"/>
          <w:b/>
          <w:bCs/>
          <w:i/>
          <w:iCs/>
          <w:sz w:val="20"/>
          <w:szCs w:val="20"/>
        </w:rPr>
      </w:pPr>
      <w:r w:rsidRPr="00A02B31">
        <w:rPr>
          <w:rFonts w:cstheme="minorHAnsi"/>
          <w:b/>
          <w:bCs/>
          <w:i/>
          <w:iCs/>
          <w:sz w:val="20"/>
          <w:szCs w:val="20"/>
        </w:rPr>
        <w:lastRenderedPageBreak/>
        <w:t>Top 5 Investment Portfolio Holdings</w:t>
      </w:r>
    </w:p>
    <w:p w14:paraId="0F39510E" w14:textId="77777777" w:rsidR="00482819" w:rsidRPr="00A02B31" w:rsidRDefault="00482819" w:rsidP="009D1381">
      <w:pPr>
        <w:jc w:val="both"/>
        <w:rPr>
          <w:rFonts w:cstheme="minorHAnsi"/>
          <w:i/>
          <w:iCs/>
          <w:sz w:val="20"/>
          <w:szCs w:val="20"/>
        </w:rPr>
      </w:pPr>
    </w:p>
    <w:p w14:paraId="782E13CE" w14:textId="3834975E" w:rsidR="006825A4" w:rsidRPr="00A02B31" w:rsidRDefault="006825A4" w:rsidP="009D1381">
      <w:pPr>
        <w:jc w:val="both"/>
        <w:rPr>
          <w:rFonts w:cstheme="minorHAnsi"/>
          <w:b/>
          <w:bCs/>
          <w:sz w:val="20"/>
          <w:szCs w:val="20"/>
        </w:rPr>
      </w:pPr>
      <w:r w:rsidRPr="00A02B31">
        <w:rPr>
          <w:rFonts w:cstheme="minorHAnsi"/>
          <w:b/>
          <w:bCs/>
          <w:sz w:val="20"/>
          <w:szCs w:val="20"/>
        </w:rPr>
        <w:t xml:space="preserve">Crestchic (previously called Northbridge Industrial Holdings) </w:t>
      </w:r>
      <w:r w:rsidR="008B33A1" w:rsidRPr="00A02B31">
        <w:rPr>
          <w:rFonts w:cstheme="minorHAnsi"/>
          <w:b/>
          <w:bCs/>
          <w:sz w:val="20"/>
          <w:szCs w:val="20"/>
        </w:rPr>
        <w:t>15.8</w:t>
      </w:r>
      <w:r w:rsidRPr="00A02B31">
        <w:rPr>
          <w:rFonts w:cstheme="minorHAnsi"/>
          <w:b/>
          <w:bCs/>
          <w:sz w:val="20"/>
          <w:szCs w:val="20"/>
        </w:rPr>
        <w:t>% Net Assets</w:t>
      </w:r>
    </w:p>
    <w:p w14:paraId="1ABAB0D6" w14:textId="119FB90F" w:rsidR="006825A4" w:rsidRPr="00A02B31" w:rsidRDefault="006825A4" w:rsidP="009D1381">
      <w:pPr>
        <w:jc w:val="both"/>
        <w:rPr>
          <w:rFonts w:cstheme="minorHAnsi"/>
          <w:b/>
          <w:bCs/>
          <w:sz w:val="20"/>
          <w:szCs w:val="20"/>
        </w:rPr>
      </w:pPr>
      <w:r w:rsidRPr="00A02B31">
        <w:rPr>
          <w:rFonts w:cstheme="minorHAnsi"/>
          <w:b/>
          <w:bCs/>
          <w:sz w:val="20"/>
          <w:szCs w:val="20"/>
        </w:rPr>
        <w:t>Cost: £</w:t>
      </w:r>
      <w:r w:rsidR="008B33A1" w:rsidRPr="00A02B31">
        <w:rPr>
          <w:rFonts w:cstheme="minorHAnsi"/>
          <w:b/>
          <w:bCs/>
          <w:sz w:val="20"/>
          <w:szCs w:val="20"/>
        </w:rPr>
        <w:t>3.23m</w:t>
      </w:r>
      <w:r w:rsidRPr="00A02B31">
        <w:rPr>
          <w:rFonts w:cstheme="minorHAnsi"/>
          <w:b/>
          <w:bCs/>
          <w:sz w:val="20"/>
          <w:szCs w:val="20"/>
        </w:rPr>
        <w:t>, Value as at 31</w:t>
      </w:r>
      <w:r w:rsidRPr="00A02B31">
        <w:rPr>
          <w:rFonts w:cstheme="minorHAnsi"/>
          <w:b/>
          <w:bCs/>
          <w:sz w:val="20"/>
          <w:szCs w:val="20"/>
          <w:vertAlign w:val="superscript"/>
        </w:rPr>
        <w:t>st</w:t>
      </w:r>
      <w:r w:rsidRPr="00A02B31">
        <w:rPr>
          <w:rFonts w:cstheme="minorHAnsi"/>
          <w:b/>
          <w:bCs/>
          <w:sz w:val="20"/>
          <w:szCs w:val="20"/>
        </w:rPr>
        <w:t xml:space="preserve"> March 2022, £</w:t>
      </w:r>
      <w:r w:rsidR="008B33A1" w:rsidRPr="00A02B31">
        <w:rPr>
          <w:rFonts w:cstheme="minorHAnsi"/>
          <w:b/>
          <w:bCs/>
          <w:sz w:val="20"/>
          <w:szCs w:val="20"/>
        </w:rPr>
        <w:t>6.44m</w:t>
      </w:r>
    </w:p>
    <w:p w14:paraId="5F564C44" w14:textId="77777777" w:rsidR="00482819" w:rsidRPr="00A02B31" w:rsidRDefault="00482819" w:rsidP="009D1381">
      <w:pPr>
        <w:jc w:val="both"/>
        <w:rPr>
          <w:rFonts w:cstheme="minorHAnsi"/>
          <w:b/>
          <w:bCs/>
          <w:sz w:val="20"/>
          <w:szCs w:val="20"/>
        </w:rPr>
      </w:pPr>
    </w:p>
    <w:p w14:paraId="071EC3E8" w14:textId="378B30B1" w:rsidR="006825A4" w:rsidRPr="00A02B31" w:rsidRDefault="006825A4" w:rsidP="009D1381">
      <w:pPr>
        <w:jc w:val="both"/>
        <w:rPr>
          <w:rFonts w:cstheme="minorHAnsi"/>
          <w:sz w:val="20"/>
          <w:szCs w:val="20"/>
        </w:rPr>
      </w:pPr>
      <w:r w:rsidRPr="00A02B31">
        <w:rPr>
          <w:rFonts w:cstheme="minorHAnsi"/>
          <w:sz w:val="20"/>
          <w:szCs w:val="20"/>
        </w:rPr>
        <w:t xml:space="preserve">The company manufactures, sells and hires load-banks (specialist electrical equipment for power testing) internationally. The investment was initiated in 2016 and struggled with weak oil &amp; gas related end markets and a poorly timed acquisition of the Tasman business. In 2020, following shareholder engagement, there was Board and management change which has led to a greater focus on Return on Capital, the sale of the underperforming Tasman division and a renewed energy into the growth strategy where the company is very well-placed given trends around electrification. Convertible bonds, some of which owned by the strategy, were redeemed or converted, cash generation improved and the maxed-out manufacturing facility is now being expanded. Nicholas Mills, member of the Investment Team has joined the Board as Non-Executive Director. We expect demand to remain robust, and </w:t>
      </w:r>
      <w:r w:rsidR="008B33A1" w:rsidRPr="00A02B31">
        <w:rPr>
          <w:rFonts w:cstheme="minorHAnsi"/>
          <w:sz w:val="20"/>
          <w:szCs w:val="20"/>
        </w:rPr>
        <w:t xml:space="preserve">EBITDA </w:t>
      </w:r>
      <w:r w:rsidRPr="00A02B31">
        <w:rPr>
          <w:rFonts w:cstheme="minorHAnsi"/>
          <w:sz w:val="20"/>
          <w:szCs w:val="20"/>
        </w:rPr>
        <w:t>to continue to grow with material scope for a valuation re-rating.</w:t>
      </w:r>
    </w:p>
    <w:p w14:paraId="7F5FA67F" w14:textId="77777777" w:rsidR="00482819" w:rsidRPr="00A02B31" w:rsidRDefault="00482819" w:rsidP="009D1381">
      <w:pPr>
        <w:jc w:val="both"/>
        <w:rPr>
          <w:rFonts w:cstheme="minorHAnsi"/>
          <w:sz w:val="20"/>
          <w:szCs w:val="20"/>
        </w:rPr>
      </w:pPr>
    </w:p>
    <w:p w14:paraId="424E5DAB" w14:textId="71D7D1A3" w:rsidR="006825A4" w:rsidRPr="00A02B31" w:rsidRDefault="006825A4" w:rsidP="009D1381">
      <w:pPr>
        <w:jc w:val="both"/>
        <w:rPr>
          <w:rFonts w:cstheme="minorHAnsi"/>
          <w:b/>
          <w:bCs/>
          <w:sz w:val="20"/>
          <w:szCs w:val="20"/>
        </w:rPr>
      </w:pPr>
      <w:r w:rsidRPr="00A02B31">
        <w:rPr>
          <w:rFonts w:cstheme="minorHAnsi"/>
          <w:b/>
          <w:bCs/>
          <w:sz w:val="20"/>
          <w:szCs w:val="20"/>
        </w:rPr>
        <w:t xml:space="preserve">Flowtech Fluidpower </w:t>
      </w:r>
      <w:r w:rsidR="008B33A1" w:rsidRPr="00A02B31">
        <w:rPr>
          <w:rFonts w:cstheme="minorHAnsi"/>
          <w:b/>
          <w:bCs/>
          <w:sz w:val="20"/>
          <w:szCs w:val="20"/>
        </w:rPr>
        <w:t>11.7</w:t>
      </w:r>
      <w:r w:rsidRPr="00A02B31">
        <w:rPr>
          <w:rFonts w:cstheme="minorHAnsi"/>
          <w:b/>
          <w:bCs/>
          <w:sz w:val="20"/>
          <w:szCs w:val="20"/>
        </w:rPr>
        <w:t>% Net Assets</w:t>
      </w:r>
    </w:p>
    <w:p w14:paraId="536C4069" w14:textId="294DD31B" w:rsidR="006825A4" w:rsidRPr="00A02B31" w:rsidRDefault="006825A4" w:rsidP="009D1381">
      <w:pPr>
        <w:jc w:val="both"/>
        <w:rPr>
          <w:rFonts w:cstheme="minorHAnsi"/>
          <w:b/>
          <w:bCs/>
          <w:sz w:val="20"/>
          <w:szCs w:val="20"/>
        </w:rPr>
      </w:pPr>
      <w:r w:rsidRPr="00A02B31">
        <w:rPr>
          <w:rFonts w:cstheme="minorHAnsi"/>
          <w:b/>
          <w:bCs/>
          <w:sz w:val="20"/>
          <w:szCs w:val="20"/>
        </w:rPr>
        <w:t>Cost: £</w:t>
      </w:r>
      <w:r w:rsidR="008B33A1" w:rsidRPr="00A02B31">
        <w:rPr>
          <w:rFonts w:cstheme="minorHAnsi"/>
          <w:b/>
          <w:bCs/>
          <w:sz w:val="20"/>
          <w:szCs w:val="20"/>
        </w:rPr>
        <w:t>2.56</w:t>
      </w:r>
      <w:r w:rsidRPr="00A02B31">
        <w:rPr>
          <w:rFonts w:cstheme="minorHAnsi"/>
          <w:b/>
          <w:bCs/>
          <w:sz w:val="20"/>
          <w:szCs w:val="20"/>
        </w:rPr>
        <w:t>m, Value as at 31</w:t>
      </w:r>
      <w:r w:rsidRPr="00A02B31">
        <w:rPr>
          <w:rFonts w:cstheme="minorHAnsi"/>
          <w:b/>
          <w:bCs/>
          <w:sz w:val="20"/>
          <w:szCs w:val="20"/>
          <w:vertAlign w:val="superscript"/>
        </w:rPr>
        <w:t>st</w:t>
      </w:r>
      <w:r w:rsidRPr="00A02B31">
        <w:rPr>
          <w:rFonts w:cstheme="minorHAnsi"/>
          <w:b/>
          <w:bCs/>
          <w:sz w:val="20"/>
          <w:szCs w:val="20"/>
        </w:rPr>
        <w:t xml:space="preserve"> March 2022, £</w:t>
      </w:r>
      <w:r w:rsidR="008B33A1" w:rsidRPr="00A02B31">
        <w:rPr>
          <w:rFonts w:cstheme="minorHAnsi"/>
          <w:b/>
          <w:bCs/>
          <w:sz w:val="20"/>
          <w:szCs w:val="20"/>
        </w:rPr>
        <w:t>4.75</w:t>
      </w:r>
      <w:r w:rsidRPr="00A02B31">
        <w:rPr>
          <w:rFonts w:cstheme="minorHAnsi"/>
          <w:b/>
          <w:bCs/>
          <w:sz w:val="20"/>
          <w:szCs w:val="20"/>
        </w:rPr>
        <w:t>m</w:t>
      </w:r>
    </w:p>
    <w:p w14:paraId="1537A066" w14:textId="77777777" w:rsidR="00482819" w:rsidRPr="00A02B31" w:rsidRDefault="00482819" w:rsidP="009D1381">
      <w:pPr>
        <w:jc w:val="both"/>
        <w:rPr>
          <w:rFonts w:cstheme="minorHAnsi"/>
          <w:b/>
          <w:bCs/>
          <w:sz w:val="20"/>
          <w:szCs w:val="20"/>
        </w:rPr>
      </w:pPr>
    </w:p>
    <w:p w14:paraId="7AEFED6F" w14:textId="569EC976" w:rsidR="006825A4" w:rsidRPr="00A02B31" w:rsidRDefault="006825A4" w:rsidP="009D1381">
      <w:pPr>
        <w:jc w:val="both"/>
        <w:rPr>
          <w:rFonts w:cstheme="minorHAnsi"/>
          <w:sz w:val="20"/>
          <w:szCs w:val="20"/>
        </w:rPr>
      </w:pPr>
      <w:r w:rsidRPr="00A02B31">
        <w:rPr>
          <w:rFonts w:cstheme="minorHAnsi"/>
          <w:sz w:val="20"/>
          <w:szCs w:val="20"/>
        </w:rPr>
        <w:t>The company primarily distributes Fluidpower components to a diverse range of customers with a strong bias to parts used for repair or maintenance reasons. The investment was initiated in 2020 since when there has been Board evolution including the appointment of the highly regarded Roger McDowell as Chairman (</w:t>
      </w:r>
      <w:r w:rsidR="00D92530" w:rsidRPr="00A02B31">
        <w:rPr>
          <w:rFonts w:cstheme="minorHAnsi"/>
          <w:sz w:val="20"/>
          <w:szCs w:val="20"/>
        </w:rPr>
        <w:t>Roger was previously</w:t>
      </w:r>
      <w:r w:rsidRPr="00A02B31">
        <w:rPr>
          <w:rFonts w:cstheme="minorHAnsi"/>
          <w:sz w:val="20"/>
          <w:szCs w:val="20"/>
        </w:rPr>
        <w:t xml:space="preserve"> a NED at Augean). The company has been addressing the lack of integration amongst its various acquisitions, driving scale and synergies and has been accelerating its on-line capabilities. The business is producing sub-par operating margins and has a stock-turn well below that targeted by management and achieved by peers. We expect this to improve and drive returns and profitability.</w:t>
      </w:r>
    </w:p>
    <w:p w14:paraId="518B7EA8" w14:textId="0B6F7C7C" w:rsidR="00482819" w:rsidRPr="00A02B31" w:rsidRDefault="00482819" w:rsidP="009D1381">
      <w:pPr>
        <w:jc w:val="both"/>
        <w:rPr>
          <w:rFonts w:cstheme="minorHAnsi"/>
          <w:sz w:val="20"/>
          <w:szCs w:val="20"/>
        </w:rPr>
      </w:pPr>
    </w:p>
    <w:p w14:paraId="230FFBFD" w14:textId="77777777" w:rsidR="00373DA0" w:rsidRPr="00A02B31" w:rsidRDefault="00373DA0" w:rsidP="00373DA0">
      <w:pPr>
        <w:jc w:val="both"/>
        <w:rPr>
          <w:rFonts w:cstheme="minorHAnsi"/>
          <w:b/>
          <w:bCs/>
          <w:sz w:val="20"/>
          <w:szCs w:val="20"/>
        </w:rPr>
      </w:pPr>
      <w:r w:rsidRPr="00A02B31">
        <w:rPr>
          <w:rFonts w:cstheme="minorHAnsi"/>
          <w:b/>
          <w:bCs/>
          <w:sz w:val="20"/>
          <w:szCs w:val="20"/>
        </w:rPr>
        <w:t>Centaur Media 9.8% Net Assets</w:t>
      </w:r>
    </w:p>
    <w:p w14:paraId="3742D048" w14:textId="77777777" w:rsidR="00373DA0" w:rsidRPr="00A02B31" w:rsidRDefault="00373DA0" w:rsidP="00373DA0">
      <w:pPr>
        <w:jc w:val="both"/>
        <w:rPr>
          <w:rFonts w:cstheme="minorHAnsi"/>
          <w:b/>
          <w:bCs/>
          <w:sz w:val="20"/>
          <w:szCs w:val="20"/>
        </w:rPr>
      </w:pPr>
      <w:r w:rsidRPr="00A02B31">
        <w:rPr>
          <w:rFonts w:cstheme="minorHAnsi"/>
          <w:b/>
          <w:bCs/>
          <w:sz w:val="20"/>
          <w:szCs w:val="20"/>
        </w:rPr>
        <w:t>Cost: £3.44m, Value as at 31</w:t>
      </w:r>
      <w:r w:rsidRPr="00A02B31">
        <w:rPr>
          <w:rFonts w:cstheme="minorHAnsi"/>
          <w:b/>
          <w:bCs/>
          <w:sz w:val="20"/>
          <w:szCs w:val="20"/>
          <w:vertAlign w:val="superscript"/>
        </w:rPr>
        <w:t>st</w:t>
      </w:r>
      <w:r w:rsidRPr="00A02B31">
        <w:rPr>
          <w:rFonts w:cstheme="minorHAnsi"/>
          <w:b/>
          <w:bCs/>
          <w:sz w:val="20"/>
          <w:szCs w:val="20"/>
        </w:rPr>
        <w:t xml:space="preserve"> March 2022, £4.004m</w:t>
      </w:r>
    </w:p>
    <w:p w14:paraId="193D3CEA" w14:textId="77777777" w:rsidR="00373DA0" w:rsidRPr="00A02B31" w:rsidRDefault="00373DA0" w:rsidP="00373DA0">
      <w:pPr>
        <w:jc w:val="both"/>
        <w:rPr>
          <w:rFonts w:cstheme="minorHAnsi"/>
          <w:b/>
          <w:bCs/>
          <w:sz w:val="20"/>
          <w:szCs w:val="20"/>
        </w:rPr>
      </w:pPr>
    </w:p>
    <w:p w14:paraId="4F0753FF" w14:textId="24A3998C" w:rsidR="00373DA0" w:rsidRPr="00A02B31" w:rsidRDefault="00373DA0" w:rsidP="00373DA0">
      <w:pPr>
        <w:jc w:val="both"/>
        <w:rPr>
          <w:rFonts w:cstheme="minorHAnsi"/>
          <w:sz w:val="20"/>
          <w:szCs w:val="20"/>
        </w:rPr>
      </w:pPr>
      <w:r w:rsidRPr="00A02B31">
        <w:rPr>
          <w:rFonts w:cstheme="minorHAnsi"/>
          <w:sz w:val="20"/>
          <w:szCs w:val="20"/>
        </w:rPr>
        <w:t xml:space="preserve">The company has two divisions providing business information, consultancy, premium media and events content in the Marketing and Legal sectors. The legal business is focused on the market leading publication The Lawyer whilst the marketing activities span a number of high quality brands such as Econsultancy, Influencer Intelligence, Marketing Week and Festival of Marketing. The business has also developed a very fast growing e-learning solution called MiniMBA. The holding was </w:t>
      </w:r>
      <w:r w:rsidR="00D92530" w:rsidRPr="00A02B31">
        <w:rPr>
          <w:rFonts w:cstheme="minorHAnsi"/>
          <w:sz w:val="20"/>
          <w:szCs w:val="20"/>
        </w:rPr>
        <w:t>made</w:t>
      </w:r>
      <w:r w:rsidRPr="00A02B31">
        <w:rPr>
          <w:rFonts w:cstheme="minorHAnsi"/>
          <w:sz w:val="20"/>
          <w:szCs w:val="20"/>
        </w:rPr>
        <w:t xml:space="preserve"> in 2017 at 50p, however in late 2019-20 the investment was quadrupled in size at an average price of 31p.The company has gone through extensive restructuring in the last few years and disposed of a number of other divisions, converting activities from print to digital and increasing subscription content. Management have therefore been improving profitability markedly, with 23% Ebitda margins targeted for 2023. The business has significant cash balances. Following the period end Richard Staveley, member of the Investment Team, joined the Board as a Non-Executive Director</w:t>
      </w:r>
    </w:p>
    <w:p w14:paraId="5F064B4C" w14:textId="77777777" w:rsidR="00373DA0" w:rsidRPr="00A02B31" w:rsidRDefault="00373DA0" w:rsidP="009D1381">
      <w:pPr>
        <w:jc w:val="both"/>
        <w:rPr>
          <w:rFonts w:cstheme="minorHAnsi"/>
          <w:sz w:val="20"/>
          <w:szCs w:val="20"/>
        </w:rPr>
      </w:pPr>
    </w:p>
    <w:p w14:paraId="6174ADBD" w14:textId="29A8702D" w:rsidR="006825A4" w:rsidRPr="00A02B31" w:rsidRDefault="006825A4" w:rsidP="009D1381">
      <w:pPr>
        <w:jc w:val="both"/>
        <w:rPr>
          <w:rFonts w:cstheme="minorHAnsi"/>
          <w:b/>
          <w:bCs/>
          <w:sz w:val="20"/>
          <w:szCs w:val="20"/>
        </w:rPr>
      </w:pPr>
      <w:r w:rsidRPr="00A02B31">
        <w:rPr>
          <w:rFonts w:cstheme="minorHAnsi"/>
          <w:b/>
          <w:bCs/>
          <w:sz w:val="20"/>
          <w:szCs w:val="20"/>
        </w:rPr>
        <w:t xml:space="preserve">Pressure Technologies </w:t>
      </w:r>
      <w:r w:rsidR="008B33A1" w:rsidRPr="00A02B31">
        <w:rPr>
          <w:rFonts w:cstheme="minorHAnsi"/>
          <w:b/>
          <w:bCs/>
          <w:sz w:val="20"/>
          <w:szCs w:val="20"/>
        </w:rPr>
        <w:t>9.8</w:t>
      </w:r>
      <w:r w:rsidRPr="00A02B31">
        <w:rPr>
          <w:rFonts w:cstheme="minorHAnsi"/>
          <w:b/>
          <w:bCs/>
          <w:sz w:val="20"/>
          <w:szCs w:val="20"/>
        </w:rPr>
        <w:t>% Net Assets</w:t>
      </w:r>
    </w:p>
    <w:p w14:paraId="543A1396" w14:textId="23E49DCB" w:rsidR="006825A4" w:rsidRPr="00A02B31" w:rsidRDefault="006825A4" w:rsidP="009D1381">
      <w:pPr>
        <w:jc w:val="both"/>
        <w:rPr>
          <w:rFonts w:cstheme="minorHAnsi"/>
          <w:b/>
          <w:bCs/>
          <w:sz w:val="20"/>
          <w:szCs w:val="20"/>
        </w:rPr>
      </w:pPr>
      <w:r w:rsidRPr="00A02B31">
        <w:rPr>
          <w:rFonts w:cstheme="minorHAnsi"/>
          <w:b/>
          <w:bCs/>
          <w:sz w:val="20"/>
          <w:szCs w:val="20"/>
        </w:rPr>
        <w:t>Cost: £</w:t>
      </w:r>
      <w:r w:rsidR="008B33A1" w:rsidRPr="00A02B31">
        <w:rPr>
          <w:rFonts w:cstheme="minorHAnsi"/>
          <w:b/>
          <w:bCs/>
          <w:sz w:val="20"/>
          <w:szCs w:val="20"/>
        </w:rPr>
        <w:t>3.22</w:t>
      </w:r>
      <w:r w:rsidRPr="00A02B31">
        <w:rPr>
          <w:rFonts w:cstheme="minorHAnsi"/>
          <w:b/>
          <w:bCs/>
          <w:sz w:val="20"/>
          <w:szCs w:val="20"/>
        </w:rPr>
        <w:t>m, Value as at 31</w:t>
      </w:r>
      <w:r w:rsidRPr="00A02B31">
        <w:rPr>
          <w:rFonts w:cstheme="minorHAnsi"/>
          <w:b/>
          <w:bCs/>
          <w:sz w:val="20"/>
          <w:szCs w:val="20"/>
          <w:vertAlign w:val="superscript"/>
        </w:rPr>
        <w:t>st</w:t>
      </w:r>
      <w:r w:rsidRPr="00A02B31">
        <w:rPr>
          <w:rFonts w:cstheme="minorHAnsi"/>
          <w:b/>
          <w:bCs/>
          <w:sz w:val="20"/>
          <w:szCs w:val="20"/>
        </w:rPr>
        <w:t xml:space="preserve"> March 2022, £</w:t>
      </w:r>
      <w:r w:rsidR="00373DA0" w:rsidRPr="00A02B31">
        <w:rPr>
          <w:rFonts w:cstheme="minorHAnsi"/>
          <w:b/>
          <w:bCs/>
          <w:sz w:val="20"/>
          <w:szCs w:val="20"/>
        </w:rPr>
        <w:t>3.99</w:t>
      </w:r>
      <w:r w:rsidRPr="00A02B31">
        <w:rPr>
          <w:rFonts w:cstheme="minorHAnsi"/>
          <w:b/>
          <w:bCs/>
          <w:sz w:val="20"/>
          <w:szCs w:val="20"/>
        </w:rPr>
        <w:t>m</w:t>
      </w:r>
    </w:p>
    <w:p w14:paraId="3061A1A3" w14:textId="77777777" w:rsidR="00482819" w:rsidRPr="00A02B31" w:rsidRDefault="00482819" w:rsidP="009D1381">
      <w:pPr>
        <w:jc w:val="both"/>
        <w:rPr>
          <w:rFonts w:cstheme="minorHAnsi"/>
          <w:b/>
          <w:bCs/>
          <w:sz w:val="20"/>
          <w:szCs w:val="20"/>
        </w:rPr>
      </w:pPr>
    </w:p>
    <w:p w14:paraId="0A077593" w14:textId="255CE82D" w:rsidR="006825A4" w:rsidRPr="00A02B31" w:rsidRDefault="006825A4" w:rsidP="009D1381">
      <w:pPr>
        <w:jc w:val="both"/>
        <w:rPr>
          <w:rFonts w:cstheme="minorHAnsi"/>
          <w:sz w:val="20"/>
          <w:szCs w:val="20"/>
        </w:rPr>
      </w:pPr>
      <w:r w:rsidRPr="00A02B31">
        <w:rPr>
          <w:rFonts w:cstheme="minorHAnsi"/>
          <w:sz w:val="20"/>
          <w:szCs w:val="20"/>
        </w:rPr>
        <w:t xml:space="preserve">The company has two divisions; the industry leading Chesterfield Special Cylinders which manufactures and services a range of end-industries and customers including the Ministry of Defence and the Precision Machined Components division, which manufactures high specification parts primarily for the oil &amp; gas industry. The investment was initiated in early 2019, however cash generation has not been as expected and in late 2020 further discounted equity issuance was needed to support the company’s ambitions. Similar to Northbridge (above) we see strategic sense in focusing the company onto Chesterfield. The PMC division should benefit from an improved oil &amp; gas pricing environment resulting in higher activity levels. Whilst Chesterfield has significant orders in defence and elsewhere, there is genuine excitement in the company about the opportunities in the emergent Hydrogen economy. The business has the quality and specialist credentials and the end-market for Hydrogen storage, using their cylinders, could be huge, potentially becoming a key strategic supplier to the industry. This potential is not reflected in the share valuation. </w:t>
      </w:r>
    </w:p>
    <w:p w14:paraId="2E4B17A1" w14:textId="77777777" w:rsidR="00482819" w:rsidRPr="00A02B31" w:rsidRDefault="00482819" w:rsidP="009D1381">
      <w:pPr>
        <w:jc w:val="both"/>
        <w:rPr>
          <w:rFonts w:cstheme="minorHAnsi"/>
          <w:sz w:val="20"/>
          <w:szCs w:val="20"/>
        </w:rPr>
      </w:pPr>
    </w:p>
    <w:p w14:paraId="5B362EEA" w14:textId="4250477B" w:rsidR="006825A4" w:rsidRPr="00A02B31" w:rsidRDefault="006825A4" w:rsidP="009D1381">
      <w:pPr>
        <w:jc w:val="both"/>
        <w:rPr>
          <w:rFonts w:cstheme="minorHAnsi"/>
          <w:b/>
          <w:bCs/>
          <w:sz w:val="20"/>
          <w:szCs w:val="20"/>
        </w:rPr>
      </w:pPr>
      <w:r w:rsidRPr="00A02B31">
        <w:rPr>
          <w:rFonts w:cstheme="minorHAnsi"/>
          <w:b/>
          <w:bCs/>
          <w:sz w:val="20"/>
          <w:szCs w:val="20"/>
        </w:rPr>
        <w:t xml:space="preserve">M&amp;C Saatchi </w:t>
      </w:r>
      <w:r w:rsidR="006E600E" w:rsidRPr="00A02B31">
        <w:rPr>
          <w:rFonts w:cstheme="minorHAnsi"/>
          <w:b/>
          <w:bCs/>
          <w:sz w:val="20"/>
          <w:szCs w:val="20"/>
        </w:rPr>
        <w:t>8.0</w:t>
      </w:r>
      <w:r w:rsidRPr="00A02B31">
        <w:rPr>
          <w:rFonts w:cstheme="minorHAnsi"/>
          <w:b/>
          <w:bCs/>
          <w:sz w:val="20"/>
          <w:szCs w:val="20"/>
        </w:rPr>
        <w:t>% Net Assets</w:t>
      </w:r>
    </w:p>
    <w:p w14:paraId="48B2AEC9" w14:textId="66F1A0C0" w:rsidR="006825A4" w:rsidRPr="00A02B31" w:rsidRDefault="006825A4" w:rsidP="009D1381">
      <w:pPr>
        <w:jc w:val="both"/>
        <w:rPr>
          <w:rFonts w:cstheme="minorHAnsi"/>
          <w:b/>
          <w:bCs/>
          <w:sz w:val="20"/>
          <w:szCs w:val="20"/>
        </w:rPr>
      </w:pPr>
      <w:r w:rsidRPr="00A02B31">
        <w:rPr>
          <w:rFonts w:cstheme="minorHAnsi"/>
          <w:b/>
          <w:bCs/>
          <w:sz w:val="20"/>
          <w:szCs w:val="20"/>
        </w:rPr>
        <w:t>Cost: £</w:t>
      </w:r>
      <w:r w:rsidR="006E600E" w:rsidRPr="00A02B31">
        <w:rPr>
          <w:rFonts w:cstheme="minorHAnsi"/>
          <w:b/>
          <w:bCs/>
          <w:sz w:val="20"/>
          <w:szCs w:val="20"/>
        </w:rPr>
        <w:t>1.72</w:t>
      </w:r>
      <w:r w:rsidRPr="00A02B31">
        <w:rPr>
          <w:rFonts w:cstheme="minorHAnsi"/>
          <w:b/>
          <w:bCs/>
          <w:sz w:val="20"/>
          <w:szCs w:val="20"/>
        </w:rPr>
        <w:t>m, Value as at 31</w:t>
      </w:r>
      <w:r w:rsidRPr="00A02B31">
        <w:rPr>
          <w:rFonts w:cstheme="minorHAnsi"/>
          <w:b/>
          <w:bCs/>
          <w:sz w:val="20"/>
          <w:szCs w:val="20"/>
          <w:vertAlign w:val="superscript"/>
        </w:rPr>
        <w:t>st</w:t>
      </w:r>
      <w:r w:rsidRPr="00A02B31">
        <w:rPr>
          <w:rFonts w:cstheme="minorHAnsi"/>
          <w:b/>
          <w:bCs/>
          <w:sz w:val="20"/>
          <w:szCs w:val="20"/>
        </w:rPr>
        <w:t xml:space="preserve"> March 2022, £</w:t>
      </w:r>
      <w:r w:rsidR="006E600E" w:rsidRPr="00A02B31">
        <w:rPr>
          <w:rFonts w:cstheme="minorHAnsi"/>
          <w:b/>
          <w:bCs/>
          <w:sz w:val="20"/>
          <w:szCs w:val="20"/>
        </w:rPr>
        <w:t>3.2</w:t>
      </w:r>
      <w:r w:rsidR="00373DA0" w:rsidRPr="00A02B31">
        <w:rPr>
          <w:rFonts w:cstheme="minorHAnsi"/>
          <w:b/>
          <w:bCs/>
          <w:sz w:val="20"/>
          <w:szCs w:val="20"/>
        </w:rPr>
        <w:t>4</w:t>
      </w:r>
      <w:r w:rsidRPr="00A02B31">
        <w:rPr>
          <w:rFonts w:cstheme="minorHAnsi"/>
          <w:b/>
          <w:bCs/>
          <w:sz w:val="20"/>
          <w:szCs w:val="20"/>
        </w:rPr>
        <w:t>m</w:t>
      </w:r>
    </w:p>
    <w:p w14:paraId="06F8015B" w14:textId="77777777" w:rsidR="00482819" w:rsidRPr="00A02B31" w:rsidRDefault="00482819" w:rsidP="009D1381">
      <w:pPr>
        <w:jc w:val="both"/>
        <w:rPr>
          <w:rFonts w:cstheme="minorHAnsi"/>
          <w:b/>
          <w:bCs/>
          <w:sz w:val="20"/>
          <w:szCs w:val="20"/>
        </w:rPr>
      </w:pPr>
    </w:p>
    <w:p w14:paraId="09E81E74" w14:textId="77777777" w:rsidR="006825A4" w:rsidRPr="00A02B31" w:rsidRDefault="006825A4" w:rsidP="009D1381">
      <w:pPr>
        <w:jc w:val="both"/>
        <w:rPr>
          <w:rFonts w:cstheme="minorHAnsi"/>
          <w:sz w:val="20"/>
          <w:szCs w:val="20"/>
        </w:rPr>
      </w:pPr>
      <w:r w:rsidRPr="00A02B31">
        <w:rPr>
          <w:rFonts w:cstheme="minorHAnsi"/>
          <w:sz w:val="20"/>
          <w:szCs w:val="20"/>
        </w:rPr>
        <w:t xml:space="preserve">The company is one or the world’s best known global advertising agencies with clients stretching from governments to supra-national organisations (e.g. the World Health Organisation) to the world’s leading brands (e.g. MacDonalds) and newest successes (e.g. TikTok). In more recent times the company has been in turmoil with the original Founders leaving, accounting errors and a poorly structured incentive scheme. The investment was initiated in late 2020 as management and Board changes started to take effect. The balance sheet has net cash and a new strategy to grow the business and improve </w:t>
      </w:r>
      <w:r w:rsidRPr="00A02B31">
        <w:rPr>
          <w:rFonts w:cstheme="minorHAnsi"/>
          <w:sz w:val="20"/>
          <w:szCs w:val="20"/>
        </w:rPr>
        <w:lastRenderedPageBreak/>
        <w:t>margins has been unveiled. During COVID the business had no material client losses indicating the strength of their relationships. More recently there has been a seemingly opportunistic takeover approach by Board Director Vin Murria. We believe the company has considerable further recovery potential and is grossly undervalued.</w:t>
      </w:r>
    </w:p>
    <w:p w14:paraId="28E4FBEB" w14:textId="77777777" w:rsidR="006825A4" w:rsidRPr="00A02B31" w:rsidRDefault="006825A4" w:rsidP="009D1381">
      <w:pPr>
        <w:jc w:val="both"/>
        <w:rPr>
          <w:rFonts w:cstheme="minorHAnsi"/>
          <w:b/>
          <w:bCs/>
          <w:sz w:val="20"/>
          <w:szCs w:val="20"/>
        </w:rPr>
      </w:pPr>
    </w:p>
    <w:p w14:paraId="73A12D8D" w14:textId="77777777" w:rsidR="006825A4" w:rsidRPr="00A02B31" w:rsidRDefault="006825A4" w:rsidP="009D1381">
      <w:pPr>
        <w:jc w:val="both"/>
        <w:rPr>
          <w:rFonts w:cstheme="minorHAnsi"/>
          <w:b/>
          <w:bCs/>
          <w:sz w:val="20"/>
          <w:szCs w:val="20"/>
        </w:rPr>
      </w:pPr>
      <w:r w:rsidRPr="00A02B31">
        <w:rPr>
          <w:rFonts w:cstheme="minorHAnsi"/>
          <w:b/>
          <w:bCs/>
          <w:sz w:val="20"/>
          <w:szCs w:val="20"/>
        </w:rPr>
        <w:t>Portfolio Activity</w:t>
      </w:r>
    </w:p>
    <w:p w14:paraId="095D697F" w14:textId="77777777" w:rsidR="006825A4" w:rsidRPr="00A02B31" w:rsidRDefault="006825A4" w:rsidP="009D1381">
      <w:pPr>
        <w:jc w:val="both"/>
        <w:rPr>
          <w:rFonts w:cstheme="minorHAnsi"/>
          <w:sz w:val="20"/>
          <w:szCs w:val="20"/>
        </w:rPr>
      </w:pPr>
      <w:r w:rsidRPr="00A02B31">
        <w:rPr>
          <w:rFonts w:cstheme="minorHAnsi"/>
          <w:sz w:val="20"/>
          <w:szCs w:val="20"/>
        </w:rPr>
        <w:t>In the first half of the year, the former manager made only one new investment, namely the Hannover Co-Invest S.C.A. SICAV-RAIF Sub Fund 1. This was a Private Equity Fund, which charges its own set of fees to its investors and was focused on one investment in a Scandinavian technology business. Following the period end, this investment was sold back to the former manager at cost. In the first half the most important transaction was due to the agreed takeover bid for Augean, the largest portfolio investment, resulting in a 101.2% IRR (9x money multiple, a gain of £22m) a significant realised gain for shareholders, proceeds funding the majority of the subsequent capital return. We highlight that Harwood managed strategies were the largest shareholders in Augean and that Christopher Mills was a Board Director. A 130.7% IRR was also generated from the sale of Ted Baker (1.9x money multiple).</w:t>
      </w:r>
    </w:p>
    <w:p w14:paraId="5FA4D692" w14:textId="3B64D46D" w:rsidR="006825A4" w:rsidRPr="00A02B31" w:rsidRDefault="006825A4" w:rsidP="009D1381">
      <w:pPr>
        <w:jc w:val="both"/>
        <w:rPr>
          <w:rFonts w:cstheme="minorHAnsi"/>
          <w:sz w:val="20"/>
          <w:szCs w:val="20"/>
        </w:rPr>
      </w:pPr>
      <w:r w:rsidRPr="00A02B31">
        <w:rPr>
          <w:rFonts w:cstheme="minorHAnsi"/>
          <w:sz w:val="20"/>
          <w:szCs w:val="20"/>
        </w:rPr>
        <w:t>During the realisation phase a number of investments were sold as detailed below.</w:t>
      </w:r>
    </w:p>
    <w:p w14:paraId="26362115" w14:textId="77777777" w:rsidR="00482819" w:rsidRPr="00A02B31" w:rsidRDefault="00482819" w:rsidP="009D1381">
      <w:pPr>
        <w:jc w:val="both"/>
        <w:rPr>
          <w:rFonts w:cstheme="minorHAnsi"/>
          <w:sz w:val="20"/>
          <w:szCs w:val="20"/>
        </w:rPr>
      </w:pPr>
    </w:p>
    <w:p w14:paraId="51C88A09" w14:textId="7843BEC4" w:rsidR="006825A4" w:rsidRPr="00A02B31" w:rsidRDefault="006825A4" w:rsidP="009D1381">
      <w:pPr>
        <w:jc w:val="both"/>
        <w:rPr>
          <w:rFonts w:cstheme="minorHAnsi"/>
          <w:b/>
          <w:bCs/>
          <w:sz w:val="20"/>
          <w:szCs w:val="20"/>
        </w:rPr>
      </w:pPr>
      <w:r w:rsidRPr="00A02B31">
        <w:rPr>
          <w:rFonts w:cstheme="minorHAnsi"/>
          <w:b/>
          <w:bCs/>
          <w:sz w:val="20"/>
          <w:szCs w:val="20"/>
        </w:rPr>
        <w:t xml:space="preserve">RPS </w:t>
      </w:r>
      <w:r w:rsidR="00C87A16" w:rsidRPr="00A02B31">
        <w:rPr>
          <w:rFonts w:cstheme="minorHAnsi"/>
          <w:b/>
          <w:bCs/>
          <w:sz w:val="20"/>
          <w:szCs w:val="20"/>
        </w:rPr>
        <w:t xml:space="preserve">Group </w:t>
      </w:r>
      <w:r w:rsidRPr="00A02B31">
        <w:rPr>
          <w:rFonts w:cstheme="minorHAnsi"/>
          <w:b/>
          <w:bCs/>
          <w:sz w:val="20"/>
          <w:szCs w:val="20"/>
        </w:rPr>
        <w:t>– realised IRR 148.9% (Gain £4.2m)</w:t>
      </w:r>
    </w:p>
    <w:p w14:paraId="39EF881D" w14:textId="77777777" w:rsidR="00482819" w:rsidRPr="00A02B31" w:rsidRDefault="00482819" w:rsidP="009D1381">
      <w:pPr>
        <w:jc w:val="both"/>
        <w:rPr>
          <w:rFonts w:cstheme="minorHAnsi"/>
          <w:b/>
          <w:bCs/>
          <w:sz w:val="20"/>
          <w:szCs w:val="20"/>
        </w:rPr>
      </w:pPr>
    </w:p>
    <w:p w14:paraId="156463CC" w14:textId="2097EF31" w:rsidR="006825A4" w:rsidRPr="00A02B31" w:rsidRDefault="006825A4" w:rsidP="009D1381">
      <w:pPr>
        <w:jc w:val="both"/>
        <w:rPr>
          <w:rFonts w:cstheme="minorHAnsi"/>
          <w:sz w:val="20"/>
          <w:szCs w:val="20"/>
        </w:rPr>
      </w:pPr>
      <w:r w:rsidRPr="00A02B31">
        <w:rPr>
          <w:rFonts w:cstheme="minorHAnsi"/>
          <w:sz w:val="20"/>
          <w:szCs w:val="20"/>
        </w:rPr>
        <w:t>This investment was Initiated in September 2020, when we supported a capital raise to strengthen the balance sheet, having identified a recovery was building under a new management and Board. This global specialist environmental consultancy and planning business has improved its acquisition discipline, and is building margins to match peers. It’s growth is accelerating due to the tailwinds of urbanisation and sustainability.</w:t>
      </w:r>
    </w:p>
    <w:p w14:paraId="7FBFE996" w14:textId="77777777" w:rsidR="00482819" w:rsidRPr="00A02B31" w:rsidRDefault="00482819" w:rsidP="009D1381">
      <w:pPr>
        <w:jc w:val="both"/>
        <w:rPr>
          <w:rFonts w:cstheme="minorHAnsi"/>
          <w:sz w:val="20"/>
          <w:szCs w:val="20"/>
        </w:rPr>
      </w:pPr>
    </w:p>
    <w:p w14:paraId="47554B7F" w14:textId="4BB4BCCD" w:rsidR="006825A4" w:rsidRPr="00A02B31" w:rsidRDefault="006825A4" w:rsidP="009D1381">
      <w:pPr>
        <w:jc w:val="both"/>
        <w:rPr>
          <w:rFonts w:cstheme="minorHAnsi"/>
          <w:b/>
          <w:bCs/>
          <w:sz w:val="20"/>
          <w:szCs w:val="20"/>
        </w:rPr>
      </w:pPr>
      <w:r w:rsidRPr="00A02B31">
        <w:rPr>
          <w:rFonts w:cstheme="minorHAnsi"/>
          <w:b/>
          <w:bCs/>
          <w:sz w:val="20"/>
          <w:szCs w:val="20"/>
        </w:rPr>
        <w:t>Universe Group – realised IRR 24.6% (Gain £3.0m)</w:t>
      </w:r>
    </w:p>
    <w:p w14:paraId="6FBBD205" w14:textId="77777777" w:rsidR="00482819" w:rsidRPr="00A02B31" w:rsidRDefault="00482819" w:rsidP="009D1381">
      <w:pPr>
        <w:jc w:val="both"/>
        <w:rPr>
          <w:rFonts w:cstheme="minorHAnsi"/>
          <w:b/>
          <w:bCs/>
          <w:sz w:val="20"/>
          <w:szCs w:val="20"/>
        </w:rPr>
      </w:pPr>
    </w:p>
    <w:p w14:paraId="2E3E1E6E" w14:textId="4528FEB3" w:rsidR="006825A4" w:rsidRPr="00A02B31" w:rsidRDefault="006825A4" w:rsidP="009D1381">
      <w:pPr>
        <w:jc w:val="both"/>
        <w:rPr>
          <w:rFonts w:cstheme="minorHAnsi"/>
          <w:sz w:val="20"/>
          <w:szCs w:val="20"/>
        </w:rPr>
      </w:pPr>
      <w:r w:rsidRPr="00A02B31">
        <w:rPr>
          <w:rFonts w:cstheme="minorHAnsi"/>
          <w:sz w:val="20"/>
          <w:szCs w:val="20"/>
        </w:rPr>
        <w:t>Shares were first purchased at 11.5p in 2017. However, in a perfect example of the inefficiency of small cap markets, we were able to purchase significantly more shares in early 2021 at 3.25p,</w:t>
      </w:r>
      <w:r w:rsidR="00D92530" w:rsidRPr="00A02B31">
        <w:rPr>
          <w:rFonts w:cstheme="minorHAnsi"/>
          <w:sz w:val="20"/>
          <w:szCs w:val="20"/>
        </w:rPr>
        <w:t xml:space="preserve"> further</w:t>
      </w:r>
      <w:r w:rsidRPr="00A02B31">
        <w:rPr>
          <w:rFonts w:cstheme="minorHAnsi"/>
          <w:sz w:val="20"/>
          <w:szCs w:val="20"/>
        </w:rPr>
        <w:t xml:space="preserve"> reducing our average cost of investment materially. Later that year a successful cash takeover was launched for this niche software and services business at 12p, delivering an attractive IRR.</w:t>
      </w:r>
    </w:p>
    <w:p w14:paraId="5D5AC1BE" w14:textId="77777777" w:rsidR="00482819" w:rsidRPr="00A02B31" w:rsidRDefault="00482819" w:rsidP="009D1381">
      <w:pPr>
        <w:jc w:val="both"/>
        <w:rPr>
          <w:rFonts w:cstheme="minorHAnsi"/>
          <w:sz w:val="20"/>
          <w:szCs w:val="20"/>
        </w:rPr>
      </w:pPr>
    </w:p>
    <w:p w14:paraId="20222CE4" w14:textId="5D9D1391" w:rsidR="006825A4" w:rsidRPr="00A02B31" w:rsidRDefault="006825A4" w:rsidP="009D1381">
      <w:pPr>
        <w:jc w:val="both"/>
        <w:rPr>
          <w:rFonts w:cstheme="minorHAnsi"/>
          <w:b/>
          <w:bCs/>
          <w:sz w:val="20"/>
          <w:szCs w:val="20"/>
        </w:rPr>
      </w:pPr>
      <w:r w:rsidRPr="00A02B31">
        <w:rPr>
          <w:rFonts w:cstheme="minorHAnsi"/>
          <w:b/>
          <w:bCs/>
          <w:sz w:val="20"/>
          <w:szCs w:val="20"/>
        </w:rPr>
        <w:t>National World – realised IRR 201.1% (Gain £2.2m)</w:t>
      </w:r>
    </w:p>
    <w:p w14:paraId="6E049390" w14:textId="77777777" w:rsidR="00482819" w:rsidRPr="00A02B31" w:rsidRDefault="00482819" w:rsidP="009D1381">
      <w:pPr>
        <w:jc w:val="both"/>
        <w:rPr>
          <w:rFonts w:cstheme="minorHAnsi"/>
          <w:b/>
          <w:bCs/>
          <w:sz w:val="20"/>
          <w:szCs w:val="20"/>
          <w:highlight w:val="yellow"/>
        </w:rPr>
      </w:pPr>
    </w:p>
    <w:p w14:paraId="5A20F2E1" w14:textId="68DF777D" w:rsidR="006825A4" w:rsidRPr="00A02B31" w:rsidRDefault="006825A4" w:rsidP="009D1381">
      <w:pPr>
        <w:jc w:val="both"/>
        <w:rPr>
          <w:rFonts w:cstheme="minorHAnsi"/>
          <w:sz w:val="20"/>
          <w:szCs w:val="20"/>
        </w:rPr>
      </w:pPr>
      <w:r w:rsidRPr="00A02B31">
        <w:rPr>
          <w:rFonts w:cstheme="minorHAnsi"/>
          <w:sz w:val="20"/>
          <w:szCs w:val="20"/>
        </w:rPr>
        <w:t>Purchased in January 2021, we backed the highly experienced management team to purchase the old Johnston Press regional press titles, such as the Yorkshire Post and The Scotsman from a distressed situation and therefore at a very low valuation. It came with no pension fund liabilities and a clean balance sheet. The desire for local news remains and the journey to digital delivery on-going. We expect the management to continue to build scale and drive the transformation of the assets.</w:t>
      </w:r>
    </w:p>
    <w:p w14:paraId="5FF7E3F4" w14:textId="77777777" w:rsidR="00482819" w:rsidRPr="00A02B31" w:rsidRDefault="00482819" w:rsidP="009D1381">
      <w:pPr>
        <w:jc w:val="both"/>
        <w:rPr>
          <w:rFonts w:cstheme="minorHAnsi"/>
          <w:sz w:val="20"/>
          <w:szCs w:val="20"/>
        </w:rPr>
      </w:pPr>
    </w:p>
    <w:p w14:paraId="3D128997" w14:textId="2441007D" w:rsidR="006825A4" w:rsidRPr="00A02B31" w:rsidRDefault="006825A4" w:rsidP="009D1381">
      <w:pPr>
        <w:jc w:val="both"/>
        <w:rPr>
          <w:rFonts w:cstheme="minorHAnsi"/>
          <w:b/>
          <w:bCs/>
          <w:sz w:val="20"/>
          <w:szCs w:val="20"/>
        </w:rPr>
      </w:pPr>
      <w:r w:rsidRPr="00A02B31">
        <w:rPr>
          <w:rFonts w:cstheme="minorHAnsi"/>
          <w:b/>
          <w:bCs/>
          <w:sz w:val="20"/>
          <w:szCs w:val="20"/>
        </w:rPr>
        <w:t>SpaceandPeople - realised IRR -20.5% (Loss £1.2m)</w:t>
      </w:r>
    </w:p>
    <w:p w14:paraId="6CBC769A" w14:textId="77777777" w:rsidR="00482819" w:rsidRPr="00A02B31" w:rsidRDefault="00482819" w:rsidP="009D1381">
      <w:pPr>
        <w:jc w:val="both"/>
        <w:rPr>
          <w:rFonts w:cstheme="minorHAnsi"/>
          <w:b/>
          <w:bCs/>
          <w:sz w:val="20"/>
          <w:szCs w:val="20"/>
        </w:rPr>
      </w:pPr>
    </w:p>
    <w:p w14:paraId="0B353642" w14:textId="5F75F29D" w:rsidR="006825A4" w:rsidRPr="00A02B31" w:rsidRDefault="006825A4" w:rsidP="009D1381">
      <w:pPr>
        <w:jc w:val="both"/>
        <w:rPr>
          <w:rFonts w:cstheme="minorHAnsi"/>
          <w:sz w:val="20"/>
          <w:szCs w:val="20"/>
        </w:rPr>
      </w:pPr>
      <w:r w:rsidRPr="00A02B31">
        <w:rPr>
          <w:rFonts w:cstheme="minorHAnsi"/>
          <w:sz w:val="20"/>
          <w:szCs w:val="20"/>
        </w:rPr>
        <w:t>The shares in this business were originally swapped into the strategy in 2015 at 66p in exchange for the issuance of shares in Gresham House Strategic to the former manager. Sales have declined since then and the business, which relies on promotional activity within shopping centres, has struggled to generate profits and positive cashflow and was hard hit by COVID-19, leading to increasing leverage. Sub-scale with elevated risk and slim chance of a corporate solution we exited at 7.25p.</w:t>
      </w:r>
    </w:p>
    <w:p w14:paraId="4AE95E35" w14:textId="77777777" w:rsidR="00482819" w:rsidRPr="00A02B31" w:rsidRDefault="00482819" w:rsidP="009D1381">
      <w:pPr>
        <w:jc w:val="both"/>
        <w:rPr>
          <w:rFonts w:cstheme="minorHAnsi"/>
          <w:sz w:val="20"/>
          <w:szCs w:val="20"/>
        </w:rPr>
      </w:pPr>
    </w:p>
    <w:p w14:paraId="136F31A2" w14:textId="0D58D40F" w:rsidR="006825A4" w:rsidRPr="00A02B31" w:rsidRDefault="006825A4" w:rsidP="009D1381">
      <w:pPr>
        <w:jc w:val="both"/>
        <w:rPr>
          <w:rFonts w:cstheme="minorHAnsi"/>
          <w:b/>
          <w:bCs/>
          <w:sz w:val="20"/>
          <w:szCs w:val="20"/>
        </w:rPr>
      </w:pPr>
      <w:r w:rsidRPr="00A02B31">
        <w:rPr>
          <w:rFonts w:cstheme="minorHAnsi"/>
          <w:b/>
          <w:bCs/>
          <w:sz w:val="20"/>
          <w:szCs w:val="20"/>
        </w:rPr>
        <w:t>Fulcrum Utility Services – realised IRR -34.7% (Loss £0.7m)</w:t>
      </w:r>
    </w:p>
    <w:p w14:paraId="23CC0251" w14:textId="77777777" w:rsidR="00482819" w:rsidRPr="00A02B31" w:rsidRDefault="00482819" w:rsidP="009D1381">
      <w:pPr>
        <w:jc w:val="both"/>
        <w:rPr>
          <w:rFonts w:cstheme="minorHAnsi"/>
          <w:b/>
          <w:bCs/>
          <w:sz w:val="20"/>
          <w:szCs w:val="20"/>
        </w:rPr>
      </w:pPr>
    </w:p>
    <w:p w14:paraId="2BCFDB69" w14:textId="4D35D49D" w:rsidR="006825A4" w:rsidRPr="00A02B31" w:rsidRDefault="006825A4" w:rsidP="009D1381">
      <w:pPr>
        <w:jc w:val="both"/>
        <w:rPr>
          <w:rFonts w:cstheme="minorHAnsi"/>
          <w:sz w:val="20"/>
          <w:szCs w:val="20"/>
        </w:rPr>
      </w:pPr>
      <w:r w:rsidRPr="00A02B31">
        <w:rPr>
          <w:rFonts w:cstheme="minorHAnsi"/>
          <w:sz w:val="20"/>
          <w:szCs w:val="20"/>
        </w:rPr>
        <w:t>Fulcrum has been a disappointing investment as operational execution has not recovered cash generation as quickly as expected. The former manager purchased additional shares in the first half the year, however in November the company announced a material £19.5 million fund raise and given the Investment Policy at the time and time horizon for additional investment, the holding was exited.</w:t>
      </w:r>
    </w:p>
    <w:p w14:paraId="252A65ED" w14:textId="77777777" w:rsidR="00482819" w:rsidRPr="00A02B31" w:rsidRDefault="00482819" w:rsidP="009D1381">
      <w:pPr>
        <w:jc w:val="both"/>
        <w:rPr>
          <w:rFonts w:cstheme="minorHAnsi"/>
          <w:sz w:val="20"/>
          <w:szCs w:val="20"/>
        </w:rPr>
      </w:pPr>
    </w:p>
    <w:p w14:paraId="60211087" w14:textId="77777777" w:rsidR="006825A4" w:rsidRPr="00A02B31" w:rsidRDefault="006825A4" w:rsidP="009D1381">
      <w:pPr>
        <w:jc w:val="both"/>
        <w:rPr>
          <w:rFonts w:cstheme="minorHAnsi"/>
          <w:b/>
          <w:bCs/>
          <w:sz w:val="20"/>
          <w:szCs w:val="20"/>
        </w:rPr>
      </w:pPr>
      <w:r w:rsidRPr="00A02B31">
        <w:rPr>
          <w:rFonts w:cstheme="minorHAnsi"/>
          <w:b/>
          <w:bCs/>
          <w:sz w:val="20"/>
          <w:szCs w:val="20"/>
        </w:rPr>
        <w:t>Strategy Update</w:t>
      </w:r>
    </w:p>
    <w:p w14:paraId="6F83EC86" w14:textId="6DC55418" w:rsidR="006825A4" w:rsidRPr="00A02B31" w:rsidRDefault="006825A4" w:rsidP="009D1381">
      <w:pPr>
        <w:jc w:val="both"/>
        <w:rPr>
          <w:rFonts w:cstheme="minorHAnsi"/>
          <w:sz w:val="20"/>
          <w:szCs w:val="20"/>
        </w:rPr>
      </w:pPr>
      <w:r w:rsidRPr="00A02B31">
        <w:rPr>
          <w:rFonts w:cstheme="minorHAnsi"/>
          <w:sz w:val="20"/>
          <w:szCs w:val="20"/>
        </w:rPr>
        <w:t>Following the post year end approval by shareholders of the new investment policy, we remind shareholders of the investment opportunity Rockwood Strategic is targeting, the investment philosophy we use and the process for putting it into action.</w:t>
      </w:r>
    </w:p>
    <w:p w14:paraId="46381D70" w14:textId="77777777" w:rsidR="00482819" w:rsidRPr="00A02B31" w:rsidRDefault="00482819" w:rsidP="009D1381">
      <w:pPr>
        <w:jc w:val="both"/>
        <w:rPr>
          <w:rFonts w:cstheme="minorHAnsi"/>
          <w:sz w:val="20"/>
          <w:szCs w:val="20"/>
        </w:rPr>
      </w:pPr>
    </w:p>
    <w:p w14:paraId="3315B695" w14:textId="77777777" w:rsidR="006825A4" w:rsidRPr="00A02B31" w:rsidRDefault="006825A4" w:rsidP="009D1381">
      <w:pPr>
        <w:jc w:val="both"/>
        <w:rPr>
          <w:rFonts w:cstheme="minorHAnsi"/>
          <w:b/>
          <w:bCs/>
          <w:sz w:val="20"/>
          <w:szCs w:val="20"/>
        </w:rPr>
      </w:pPr>
      <w:r w:rsidRPr="00A02B31">
        <w:rPr>
          <w:rFonts w:cstheme="minorHAnsi"/>
          <w:b/>
          <w:bCs/>
          <w:sz w:val="20"/>
          <w:szCs w:val="20"/>
        </w:rPr>
        <w:t>Investment Opportunity</w:t>
      </w:r>
    </w:p>
    <w:p w14:paraId="630A4D2A" w14:textId="77777777" w:rsidR="006825A4" w:rsidRPr="00A02B31" w:rsidRDefault="006825A4" w:rsidP="009D1381">
      <w:pPr>
        <w:pStyle w:val="ListParagraph"/>
        <w:numPr>
          <w:ilvl w:val="0"/>
          <w:numId w:val="41"/>
        </w:numPr>
        <w:spacing w:after="160" w:line="259" w:lineRule="auto"/>
        <w:jc w:val="both"/>
        <w:rPr>
          <w:rFonts w:cstheme="minorHAnsi"/>
          <w:sz w:val="20"/>
          <w:szCs w:val="20"/>
        </w:rPr>
      </w:pPr>
      <w:r w:rsidRPr="00A02B31">
        <w:rPr>
          <w:rFonts w:cstheme="minorHAnsi"/>
          <w:sz w:val="20"/>
          <w:szCs w:val="20"/>
        </w:rPr>
        <w:t>Structurally inefficient part of UK market creating opportunities in all markets conditions</w:t>
      </w:r>
    </w:p>
    <w:p w14:paraId="1D3F38B3" w14:textId="77777777" w:rsidR="006825A4" w:rsidRPr="00A02B31" w:rsidRDefault="006825A4" w:rsidP="009D1381">
      <w:pPr>
        <w:pStyle w:val="ListParagraph"/>
        <w:numPr>
          <w:ilvl w:val="0"/>
          <w:numId w:val="41"/>
        </w:numPr>
        <w:spacing w:after="160" w:line="259" w:lineRule="auto"/>
        <w:jc w:val="both"/>
        <w:rPr>
          <w:rFonts w:cstheme="minorHAnsi"/>
          <w:sz w:val="20"/>
          <w:szCs w:val="20"/>
        </w:rPr>
      </w:pPr>
      <w:r w:rsidRPr="00A02B31">
        <w:rPr>
          <w:rFonts w:cstheme="minorHAnsi"/>
          <w:sz w:val="20"/>
          <w:szCs w:val="20"/>
        </w:rPr>
        <w:t>Significant universe of shares from which to select investments from</w:t>
      </w:r>
    </w:p>
    <w:p w14:paraId="1D6EE8D8" w14:textId="77777777" w:rsidR="006825A4" w:rsidRPr="00A02B31" w:rsidRDefault="006825A4" w:rsidP="009D1381">
      <w:pPr>
        <w:pStyle w:val="ListParagraph"/>
        <w:numPr>
          <w:ilvl w:val="0"/>
          <w:numId w:val="41"/>
        </w:numPr>
        <w:spacing w:after="160" w:line="259" w:lineRule="auto"/>
        <w:jc w:val="both"/>
        <w:rPr>
          <w:rFonts w:cstheme="minorHAnsi"/>
          <w:sz w:val="20"/>
          <w:szCs w:val="20"/>
        </w:rPr>
      </w:pPr>
      <w:r w:rsidRPr="00A02B31">
        <w:rPr>
          <w:rFonts w:cstheme="minorHAnsi"/>
          <w:sz w:val="20"/>
          <w:szCs w:val="20"/>
        </w:rPr>
        <w:lastRenderedPageBreak/>
        <w:t>‘Value’ &amp; ‘Recovery’ investor mindset differentiated from many investors</w:t>
      </w:r>
    </w:p>
    <w:p w14:paraId="42E77AB0" w14:textId="77777777" w:rsidR="006825A4" w:rsidRPr="00A02B31" w:rsidRDefault="006825A4" w:rsidP="009D1381">
      <w:pPr>
        <w:pStyle w:val="ListParagraph"/>
        <w:numPr>
          <w:ilvl w:val="0"/>
          <w:numId w:val="41"/>
        </w:numPr>
        <w:spacing w:after="160" w:line="259" w:lineRule="auto"/>
        <w:jc w:val="both"/>
        <w:rPr>
          <w:rFonts w:cstheme="minorHAnsi"/>
          <w:sz w:val="20"/>
          <w:szCs w:val="20"/>
        </w:rPr>
      </w:pPr>
      <w:r w:rsidRPr="00A02B31">
        <w:rPr>
          <w:rFonts w:cstheme="minorHAnsi"/>
          <w:sz w:val="20"/>
          <w:szCs w:val="20"/>
        </w:rPr>
        <w:t>Active engagement with investee companies drives shareholder value</w:t>
      </w:r>
    </w:p>
    <w:p w14:paraId="455A9212" w14:textId="77777777" w:rsidR="006825A4" w:rsidRPr="00A02B31" w:rsidRDefault="006825A4" w:rsidP="009D1381">
      <w:pPr>
        <w:pStyle w:val="ListParagraph"/>
        <w:numPr>
          <w:ilvl w:val="0"/>
          <w:numId w:val="41"/>
        </w:numPr>
        <w:spacing w:after="160" w:line="259" w:lineRule="auto"/>
        <w:jc w:val="both"/>
        <w:rPr>
          <w:rFonts w:cstheme="minorHAnsi"/>
          <w:sz w:val="20"/>
          <w:szCs w:val="20"/>
        </w:rPr>
      </w:pPr>
      <w:r w:rsidRPr="00A02B31">
        <w:rPr>
          <w:rFonts w:cstheme="minorHAnsi"/>
          <w:sz w:val="20"/>
          <w:szCs w:val="20"/>
        </w:rPr>
        <w:t>Material due diligence de-risks our decision making and creates informational advantage</w:t>
      </w:r>
    </w:p>
    <w:p w14:paraId="3EA2981A" w14:textId="77777777" w:rsidR="006825A4" w:rsidRPr="00A02B31" w:rsidRDefault="006825A4" w:rsidP="009D1381">
      <w:pPr>
        <w:pStyle w:val="ListParagraph"/>
        <w:numPr>
          <w:ilvl w:val="0"/>
          <w:numId w:val="41"/>
        </w:numPr>
        <w:spacing w:after="160" w:line="259" w:lineRule="auto"/>
        <w:jc w:val="both"/>
        <w:rPr>
          <w:rFonts w:cstheme="minorHAnsi"/>
          <w:sz w:val="20"/>
          <w:szCs w:val="20"/>
        </w:rPr>
      </w:pPr>
      <w:r w:rsidRPr="00A02B31">
        <w:rPr>
          <w:rFonts w:cstheme="minorHAnsi"/>
          <w:sz w:val="20"/>
          <w:szCs w:val="20"/>
        </w:rPr>
        <w:t>Relationships and networks unlock opportunities, find ‘hidden’ value, catalyses change</w:t>
      </w:r>
    </w:p>
    <w:p w14:paraId="7EB1F5EF" w14:textId="77777777" w:rsidR="006825A4" w:rsidRPr="00A02B31" w:rsidRDefault="006825A4" w:rsidP="009D1381">
      <w:pPr>
        <w:jc w:val="both"/>
        <w:rPr>
          <w:rFonts w:cstheme="minorHAnsi"/>
          <w:sz w:val="20"/>
          <w:szCs w:val="20"/>
        </w:rPr>
      </w:pPr>
      <w:r w:rsidRPr="00A02B31">
        <w:rPr>
          <w:rFonts w:cstheme="minorHAnsi"/>
          <w:sz w:val="20"/>
          <w:szCs w:val="20"/>
        </w:rPr>
        <w:t>We believe there is a structural investment opportunity for enhanced returns in small cap equities. This has been proven across geographies, over history and is clearly evident in the UK as demonstrated in the research of Dimson &amp; Marsh and the long-term performance of both the Numis Small Companies Index (Bottom 10% of the UK stock-market, re-calculated annually, back to 1955) and the Numis 1000 Index (Smallest 1000 companies).</w:t>
      </w:r>
    </w:p>
    <w:p w14:paraId="0C34BF86" w14:textId="77777777" w:rsidR="006825A4" w:rsidRPr="00A02B31" w:rsidRDefault="006825A4" w:rsidP="009D1381">
      <w:pPr>
        <w:jc w:val="both"/>
        <w:rPr>
          <w:rFonts w:cstheme="minorHAnsi"/>
          <w:sz w:val="20"/>
          <w:szCs w:val="20"/>
        </w:rPr>
      </w:pPr>
      <w:r w:rsidRPr="00A02B31">
        <w:rPr>
          <w:rFonts w:cstheme="minorHAnsi"/>
          <w:sz w:val="20"/>
          <w:szCs w:val="20"/>
        </w:rPr>
        <w:t>The causes of this long-term outperformance are believed to be due to the premium received for faster than average growth (“Elephants don’t gallop”), an illiquidity premium and a risk premium for aspects such as immaturity and reduced funding options.</w:t>
      </w:r>
    </w:p>
    <w:p w14:paraId="5EA42828" w14:textId="77777777" w:rsidR="006825A4" w:rsidRPr="00A02B31" w:rsidRDefault="006825A4" w:rsidP="009D1381">
      <w:pPr>
        <w:jc w:val="both"/>
        <w:rPr>
          <w:rFonts w:cstheme="minorHAnsi"/>
          <w:sz w:val="20"/>
          <w:szCs w:val="20"/>
        </w:rPr>
      </w:pPr>
      <w:r w:rsidRPr="00A02B31">
        <w:rPr>
          <w:rFonts w:cstheme="minorHAnsi"/>
          <w:sz w:val="20"/>
          <w:szCs w:val="20"/>
        </w:rPr>
        <w:t>We expect an additional return through the selection of better than average small cap stocks through the application of a ‘value’ philosophy and the avoidance of excessive risk through the application of company research and due diligence.</w:t>
      </w:r>
    </w:p>
    <w:p w14:paraId="5AA57460" w14:textId="77777777" w:rsidR="006825A4" w:rsidRPr="00A02B31" w:rsidRDefault="006825A4" w:rsidP="009D1381">
      <w:pPr>
        <w:jc w:val="both"/>
        <w:rPr>
          <w:rFonts w:cstheme="minorHAnsi"/>
          <w:sz w:val="20"/>
          <w:szCs w:val="20"/>
        </w:rPr>
      </w:pPr>
      <w:r w:rsidRPr="00A02B31">
        <w:rPr>
          <w:rFonts w:cstheme="minorHAnsi"/>
          <w:sz w:val="20"/>
          <w:szCs w:val="20"/>
        </w:rPr>
        <w:t>Stock market dynamics have enhanced the opportunity within this universe of nearly 1000 companies. A reduction in company research coverage in recent years (due to a combination of collapsed commission fees and MIFID2 regulations) has occurred and institutional interest has reduced, due to higher market concentration within a small number of large institutions, whose huge scale prohibits them from considering a large part of the universe due to liquidity requirements. As a result, we believe there is a structural opportunity to find outstanding investment opportunities in an inefficient market place, with over-looked and misunderstood companies, whilst still benefiting from the established ‘small cap effect’. (Fama &amp; French ’93)</w:t>
      </w:r>
    </w:p>
    <w:p w14:paraId="186E6BA8" w14:textId="39057DE9" w:rsidR="006825A4" w:rsidRPr="00A02B31" w:rsidRDefault="006825A4" w:rsidP="009D1381">
      <w:pPr>
        <w:jc w:val="both"/>
        <w:rPr>
          <w:rFonts w:cstheme="minorHAnsi"/>
          <w:sz w:val="20"/>
          <w:szCs w:val="20"/>
        </w:rPr>
      </w:pPr>
      <w:r w:rsidRPr="00A02B31">
        <w:rPr>
          <w:rFonts w:cstheme="minorHAnsi"/>
          <w:sz w:val="20"/>
          <w:szCs w:val="20"/>
        </w:rPr>
        <w:t>In the near term the opportunity is further enhanced due to the out of favour status relative to history of the UK stock market relative to global (mainly the US) stock markets. The UK discount started widening following the calling of the Brexit Referendum in 2016 and has since increased with investor flows chasing the momentum of US technology mega-caps. Relative performance has, notably, recently finally started to invert. Timing is auspicious.</w:t>
      </w:r>
    </w:p>
    <w:p w14:paraId="22BC32F5" w14:textId="77777777" w:rsidR="00482819" w:rsidRPr="00A02B31" w:rsidRDefault="00482819" w:rsidP="009D1381">
      <w:pPr>
        <w:jc w:val="both"/>
        <w:rPr>
          <w:rFonts w:cstheme="minorHAnsi"/>
          <w:sz w:val="20"/>
          <w:szCs w:val="20"/>
        </w:rPr>
      </w:pPr>
    </w:p>
    <w:p w14:paraId="5F24CB45" w14:textId="77777777" w:rsidR="006825A4" w:rsidRPr="00A02B31" w:rsidRDefault="006825A4" w:rsidP="009D1381">
      <w:pPr>
        <w:jc w:val="both"/>
        <w:rPr>
          <w:rFonts w:cstheme="minorHAnsi"/>
          <w:b/>
          <w:bCs/>
          <w:sz w:val="20"/>
          <w:szCs w:val="20"/>
        </w:rPr>
      </w:pPr>
      <w:r w:rsidRPr="00A02B31">
        <w:rPr>
          <w:rFonts w:cstheme="minorHAnsi"/>
          <w:b/>
          <w:bCs/>
          <w:sz w:val="20"/>
          <w:szCs w:val="20"/>
        </w:rPr>
        <w:t>Investment Philosophy</w:t>
      </w:r>
    </w:p>
    <w:p w14:paraId="2196FB99" w14:textId="4F5063BD" w:rsidR="006825A4" w:rsidRPr="00A02B31" w:rsidRDefault="0024365F" w:rsidP="009D1381">
      <w:pPr>
        <w:pStyle w:val="ListParagraph"/>
        <w:numPr>
          <w:ilvl w:val="0"/>
          <w:numId w:val="42"/>
        </w:numPr>
        <w:spacing w:after="160" w:line="259" w:lineRule="auto"/>
        <w:jc w:val="both"/>
        <w:rPr>
          <w:rFonts w:cstheme="minorHAnsi"/>
          <w:sz w:val="20"/>
          <w:szCs w:val="20"/>
        </w:rPr>
      </w:pPr>
      <w:r w:rsidRPr="00A02B31">
        <w:rPr>
          <w:rFonts w:cstheme="minorHAnsi"/>
          <w:sz w:val="20"/>
          <w:szCs w:val="20"/>
        </w:rPr>
        <w:t>‘</w:t>
      </w:r>
      <w:r w:rsidR="006825A4" w:rsidRPr="00A02B31">
        <w:rPr>
          <w:rFonts w:cstheme="minorHAnsi"/>
          <w:sz w:val="20"/>
          <w:szCs w:val="20"/>
        </w:rPr>
        <w:t>Value’ investor mindset and free cash flow focused</w:t>
      </w:r>
    </w:p>
    <w:p w14:paraId="383ED4C7" w14:textId="77777777" w:rsidR="006825A4" w:rsidRPr="00A02B31" w:rsidRDefault="006825A4" w:rsidP="009D1381">
      <w:pPr>
        <w:pStyle w:val="ListParagraph"/>
        <w:numPr>
          <w:ilvl w:val="0"/>
          <w:numId w:val="42"/>
        </w:numPr>
        <w:spacing w:after="160" w:line="259" w:lineRule="auto"/>
        <w:jc w:val="both"/>
        <w:rPr>
          <w:rFonts w:cstheme="minorHAnsi"/>
          <w:sz w:val="20"/>
          <w:szCs w:val="20"/>
        </w:rPr>
      </w:pPr>
      <w:r w:rsidRPr="00A02B31">
        <w:rPr>
          <w:rFonts w:cstheme="minorHAnsi"/>
          <w:sz w:val="20"/>
          <w:szCs w:val="20"/>
        </w:rPr>
        <w:t>Seek proven businesses, identifiable assets</w:t>
      </w:r>
    </w:p>
    <w:p w14:paraId="5D75B8F9" w14:textId="77777777" w:rsidR="006825A4" w:rsidRPr="00A02B31" w:rsidRDefault="006825A4" w:rsidP="009D1381">
      <w:pPr>
        <w:pStyle w:val="ListParagraph"/>
        <w:numPr>
          <w:ilvl w:val="0"/>
          <w:numId w:val="42"/>
        </w:numPr>
        <w:spacing w:after="160" w:line="259" w:lineRule="auto"/>
        <w:jc w:val="both"/>
        <w:rPr>
          <w:rFonts w:cstheme="minorHAnsi"/>
          <w:sz w:val="20"/>
          <w:szCs w:val="20"/>
        </w:rPr>
      </w:pPr>
      <w:r w:rsidRPr="00A02B31">
        <w:rPr>
          <w:rFonts w:cstheme="minorHAnsi"/>
          <w:sz w:val="20"/>
          <w:szCs w:val="20"/>
        </w:rPr>
        <w:t>Establish mean reversion potential (profitability, balance sheet and valuation re-rating)</w:t>
      </w:r>
    </w:p>
    <w:p w14:paraId="08460AC4" w14:textId="77777777" w:rsidR="006825A4" w:rsidRPr="00A02B31" w:rsidRDefault="006825A4" w:rsidP="009D1381">
      <w:pPr>
        <w:pStyle w:val="ListParagraph"/>
        <w:numPr>
          <w:ilvl w:val="0"/>
          <w:numId w:val="42"/>
        </w:numPr>
        <w:spacing w:after="160" w:line="259" w:lineRule="auto"/>
        <w:jc w:val="both"/>
        <w:rPr>
          <w:rFonts w:cstheme="minorHAnsi"/>
          <w:sz w:val="20"/>
          <w:szCs w:val="20"/>
        </w:rPr>
      </w:pPr>
      <w:r w:rsidRPr="00A02B31">
        <w:rPr>
          <w:rFonts w:cstheme="minorHAnsi"/>
          <w:sz w:val="20"/>
          <w:szCs w:val="20"/>
        </w:rPr>
        <w:t>Identify catalysts for change</w:t>
      </w:r>
    </w:p>
    <w:p w14:paraId="0217C0AC" w14:textId="77777777" w:rsidR="006825A4" w:rsidRPr="00A02B31" w:rsidRDefault="006825A4" w:rsidP="009D1381">
      <w:pPr>
        <w:pStyle w:val="ListParagraph"/>
        <w:numPr>
          <w:ilvl w:val="0"/>
          <w:numId w:val="42"/>
        </w:numPr>
        <w:spacing w:after="160" w:line="259" w:lineRule="auto"/>
        <w:jc w:val="both"/>
        <w:rPr>
          <w:rFonts w:cstheme="minorHAnsi"/>
          <w:sz w:val="20"/>
          <w:szCs w:val="20"/>
        </w:rPr>
      </w:pPr>
      <w:r w:rsidRPr="00A02B31">
        <w:rPr>
          <w:rFonts w:cstheme="minorHAnsi"/>
          <w:sz w:val="20"/>
          <w:szCs w:val="20"/>
        </w:rPr>
        <w:t>Develop exit thesis to mitigate illiquidity risks (3–5-year time horizon)</w:t>
      </w:r>
    </w:p>
    <w:p w14:paraId="64473430" w14:textId="77777777" w:rsidR="006825A4" w:rsidRPr="00A02B31" w:rsidRDefault="006825A4" w:rsidP="009D1381">
      <w:pPr>
        <w:pStyle w:val="ListParagraph"/>
        <w:numPr>
          <w:ilvl w:val="0"/>
          <w:numId w:val="42"/>
        </w:numPr>
        <w:spacing w:after="160" w:line="259" w:lineRule="auto"/>
        <w:jc w:val="both"/>
        <w:rPr>
          <w:rFonts w:cstheme="minorHAnsi"/>
          <w:sz w:val="20"/>
          <w:szCs w:val="20"/>
        </w:rPr>
      </w:pPr>
      <w:r w:rsidRPr="00A02B31">
        <w:rPr>
          <w:rFonts w:cstheme="minorHAnsi"/>
          <w:sz w:val="20"/>
          <w:szCs w:val="20"/>
        </w:rPr>
        <w:t>Engage with all stake-holders to de-risk and add value</w:t>
      </w:r>
    </w:p>
    <w:p w14:paraId="1AAA0E01" w14:textId="59FA5CCA" w:rsidR="006825A4" w:rsidRPr="00A02B31" w:rsidRDefault="006825A4" w:rsidP="009D1381">
      <w:pPr>
        <w:jc w:val="both"/>
        <w:rPr>
          <w:rFonts w:cstheme="minorHAnsi"/>
          <w:sz w:val="20"/>
          <w:szCs w:val="20"/>
        </w:rPr>
      </w:pPr>
      <w:r w:rsidRPr="00A02B31">
        <w:rPr>
          <w:rFonts w:cstheme="minorHAnsi"/>
          <w:sz w:val="20"/>
          <w:szCs w:val="20"/>
        </w:rPr>
        <w:t xml:space="preserve">The </w:t>
      </w:r>
      <w:r w:rsidR="00C87A16" w:rsidRPr="00A02B31">
        <w:rPr>
          <w:rFonts w:cstheme="minorHAnsi"/>
          <w:sz w:val="20"/>
          <w:szCs w:val="20"/>
        </w:rPr>
        <w:t>p</w:t>
      </w:r>
      <w:r w:rsidRPr="00A02B31">
        <w:rPr>
          <w:rFonts w:cstheme="minorHAnsi"/>
          <w:sz w:val="20"/>
          <w:szCs w:val="20"/>
        </w:rPr>
        <w:t>hilosophy of an investor is what they believe drives share prices and outperformance over the long-term. We believe that investment returns are generated by purchasing a share for less than the intrinsic worth of the company, (a ‘value’ philosophy), enhanced by identifying companies that can increase their fundamental intrinsic worth over time, thus avoiding ‘value traps’. We seek to optimise the IRR by identifying ‘catalysts’ which will un-lock the share’s discount to the business’s worth or accelerate value creation. For ‘core’ investments we ourselves may be the ‘catalyst’ through the provision of capital, insight and personnel.</w:t>
      </w:r>
    </w:p>
    <w:p w14:paraId="4802D5AE" w14:textId="77777777" w:rsidR="00482819" w:rsidRPr="00A02B31" w:rsidRDefault="00482819" w:rsidP="009D1381">
      <w:pPr>
        <w:jc w:val="both"/>
        <w:rPr>
          <w:rFonts w:cstheme="minorHAnsi"/>
          <w:sz w:val="20"/>
          <w:szCs w:val="20"/>
        </w:rPr>
      </w:pPr>
    </w:p>
    <w:p w14:paraId="08E7EA73" w14:textId="6A863FE1" w:rsidR="006825A4" w:rsidRPr="00A02B31" w:rsidRDefault="006825A4" w:rsidP="009D1381">
      <w:pPr>
        <w:jc w:val="both"/>
        <w:rPr>
          <w:rFonts w:cstheme="minorHAnsi"/>
          <w:sz w:val="20"/>
          <w:szCs w:val="20"/>
        </w:rPr>
      </w:pPr>
      <w:r w:rsidRPr="00A02B31">
        <w:rPr>
          <w:rFonts w:cstheme="minorHAnsi"/>
          <w:sz w:val="20"/>
          <w:szCs w:val="20"/>
        </w:rPr>
        <w:t>We are medium-long term investors with a typical time horizon of 3-5 years, as this period allows for intrinsic worth to be recognised more widely and fundamental improvements or changes to have a positive effect. We stick to what we believe we understand, avoid unproven business models and are adverse to high indebtedness. We believe that a company’s intrinsic worth is driven by its future cashflows discounted back to today, however we do not make long-term forecasts and seek businesses with identifiable near-term cash flow generation to justify our assumptions on upside. Our financial analysis is focused on cash flow generation and returns on capital.</w:t>
      </w:r>
    </w:p>
    <w:p w14:paraId="3B4D958C" w14:textId="77777777" w:rsidR="00482819" w:rsidRPr="00A02B31" w:rsidRDefault="00482819" w:rsidP="009D1381">
      <w:pPr>
        <w:jc w:val="both"/>
        <w:rPr>
          <w:rFonts w:cstheme="minorHAnsi"/>
          <w:sz w:val="20"/>
          <w:szCs w:val="20"/>
        </w:rPr>
      </w:pPr>
    </w:p>
    <w:p w14:paraId="4419E617" w14:textId="3E484ECE" w:rsidR="006825A4" w:rsidRPr="00A02B31" w:rsidRDefault="006825A4" w:rsidP="009D1381">
      <w:pPr>
        <w:jc w:val="both"/>
        <w:rPr>
          <w:rFonts w:cstheme="minorHAnsi"/>
          <w:sz w:val="20"/>
          <w:szCs w:val="20"/>
        </w:rPr>
      </w:pPr>
      <w:r w:rsidRPr="00A02B31">
        <w:rPr>
          <w:rFonts w:cstheme="minorHAnsi"/>
          <w:sz w:val="20"/>
          <w:szCs w:val="20"/>
        </w:rPr>
        <w:t xml:space="preserve">The fast-changing nature of the world economy and technology means any confidence in growth forecasts many years hence for individual companies are fraught with risk. We therefore focus the majority of capital into ‘recovery’, turnaround’ or ‘transformation’ opportunities, where the past can be a true guide to the potential future. There are businesses that have historic evidence of cash generation yet have fallen on difficult times and have depressed profitability typically as a result of strategic mis-steps (poor </w:t>
      </w:r>
      <w:r w:rsidR="006E600E" w:rsidRPr="00A02B31">
        <w:rPr>
          <w:rFonts w:cstheme="minorHAnsi"/>
          <w:sz w:val="20"/>
          <w:szCs w:val="20"/>
        </w:rPr>
        <w:t>M&amp;A</w:t>
      </w:r>
      <w:r w:rsidRPr="00A02B31">
        <w:rPr>
          <w:rFonts w:cstheme="minorHAnsi"/>
          <w:sz w:val="20"/>
          <w:szCs w:val="20"/>
        </w:rPr>
        <w:t>), bad management (execution) or a lack of adaption to changing end-markets or circumstances (inertia). These special situations of depressed returns are usually accompanied by a significant de-rating and low valuation. Many of them have underlying, or the prospect of, above-average growth rates, however it is the normalisation of returns that drives improved intrinsic value.</w:t>
      </w:r>
    </w:p>
    <w:p w14:paraId="60B5B14A" w14:textId="77777777" w:rsidR="00482819" w:rsidRPr="00A02B31" w:rsidRDefault="00482819" w:rsidP="009D1381">
      <w:pPr>
        <w:jc w:val="both"/>
        <w:rPr>
          <w:rFonts w:cstheme="minorHAnsi"/>
          <w:sz w:val="20"/>
          <w:szCs w:val="20"/>
        </w:rPr>
      </w:pPr>
    </w:p>
    <w:p w14:paraId="309CCF8E" w14:textId="66A5CA5B" w:rsidR="006825A4" w:rsidRPr="00A02B31" w:rsidRDefault="006825A4" w:rsidP="009D1381">
      <w:pPr>
        <w:jc w:val="both"/>
        <w:rPr>
          <w:rFonts w:cstheme="minorHAnsi"/>
          <w:sz w:val="20"/>
          <w:szCs w:val="20"/>
        </w:rPr>
      </w:pPr>
      <w:r w:rsidRPr="00A02B31">
        <w:rPr>
          <w:rFonts w:cstheme="minorHAnsi"/>
          <w:sz w:val="20"/>
          <w:szCs w:val="20"/>
        </w:rPr>
        <w:t xml:space="preserve">Often with new management and an evolving Board, key issues can be identified, a strategic plan agreed and, if executed well, can lead to a mean-reversion and recovery of returns. This in turn leads to a re-rating, the combination of which drives </w:t>
      </w:r>
      <w:r w:rsidRPr="00A02B31">
        <w:rPr>
          <w:rFonts w:cstheme="minorHAnsi"/>
          <w:sz w:val="20"/>
          <w:szCs w:val="20"/>
        </w:rPr>
        <w:lastRenderedPageBreak/>
        <w:t>an outperformance of markets. We seek therefore to exploit ‘fear’ and ‘negativity’ at a company level where we believe a ‘turnaround’ is possible and structural change has not permanently damaged prospects.</w:t>
      </w:r>
    </w:p>
    <w:p w14:paraId="0150EFD6" w14:textId="77777777" w:rsidR="00482819" w:rsidRPr="00A02B31" w:rsidRDefault="00482819" w:rsidP="009D1381">
      <w:pPr>
        <w:jc w:val="both"/>
        <w:rPr>
          <w:rFonts w:cstheme="minorHAnsi"/>
          <w:sz w:val="20"/>
          <w:szCs w:val="20"/>
        </w:rPr>
      </w:pPr>
    </w:p>
    <w:p w14:paraId="0AD35434" w14:textId="7703F7BE" w:rsidR="006825A4" w:rsidRPr="00A02B31" w:rsidRDefault="006825A4" w:rsidP="009D1381">
      <w:pPr>
        <w:jc w:val="both"/>
        <w:rPr>
          <w:rFonts w:cstheme="minorHAnsi"/>
          <w:sz w:val="20"/>
          <w:szCs w:val="20"/>
        </w:rPr>
      </w:pPr>
      <w:r w:rsidRPr="00A02B31">
        <w:rPr>
          <w:rFonts w:cstheme="minorHAnsi"/>
          <w:sz w:val="20"/>
          <w:szCs w:val="20"/>
        </w:rPr>
        <w:t xml:space="preserve">We believe in the highest standards of sensible corporate governance, noting that small company circumstances don’t always fit with generic rules for all companies. We actively target large stakes in companies to ensure a ‘voice’ and ‘influence’, and through the strength of our arguments seek stakeholder support. Our philosophy is therefore heavily ‘engaged’ which requires much higher than average contact with executive management, </w:t>
      </w:r>
      <w:r w:rsidR="00CB279C" w:rsidRPr="00A02B31">
        <w:rPr>
          <w:rFonts w:cstheme="minorHAnsi"/>
          <w:sz w:val="20"/>
          <w:szCs w:val="20"/>
        </w:rPr>
        <w:t>b</w:t>
      </w:r>
      <w:r w:rsidRPr="00A02B31">
        <w:rPr>
          <w:rFonts w:cstheme="minorHAnsi"/>
          <w:sz w:val="20"/>
          <w:szCs w:val="20"/>
        </w:rPr>
        <w:t>oards and advisors. The purpose of this ‘engagement’ is to build a deep understanding of the company’s dynamics, a positive relationship with those appointed to run and oversee the company and ensure their focus is on the maximisation of shareholder value.</w:t>
      </w:r>
    </w:p>
    <w:p w14:paraId="3E17C219" w14:textId="77777777" w:rsidR="00482819" w:rsidRPr="00A02B31" w:rsidRDefault="00482819" w:rsidP="009D1381">
      <w:pPr>
        <w:jc w:val="both"/>
        <w:rPr>
          <w:rFonts w:cstheme="minorHAnsi"/>
          <w:sz w:val="20"/>
          <w:szCs w:val="20"/>
        </w:rPr>
      </w:pPr>
    </w:p>
    <w:p w14:paraId="68520BA8" w14:textId="77777777" w:rsidR="006825A4" w:rsidRPr="00A02B31" w:rsidRDefault="006825A4" w:rsidP="009D1381">
      <w:pPr>
        <w:jc w:val="both"/>
        <w:rPr>
          <w:rFonts w:cstheme="minorHAnsi"/>
          <w:b/>
          <w:bCs/>
          <w:sz w:val="20"/>
          <w:szCs w:val="20"/>
        </w:rPr>
      </w:pPr>
      <w:r w:rsidRPr="00A02B31">
        <w:rPr>
          <w:rFonts w:cstheme="minorHAnsi"/>
          <w:b/>
          <w:bCs/>
          <w:sz w:val="20"/>
          <w:szCs w:val="20"/>
        </w:rPr>
        <w:t>Investment Process</w:t>
      </w:r>
    </w:p>
    <w:p w14:paraId="2E9611C9" w14:textId="77777777" w:rsidR="006825A4" w:rsidRPr="00A02B31" w:rsidRDefault="006825A4" w:rsidP="009D1381">
      <w:pPr>
        <w:pStyle w:val="ListParagraph"/>
        <w:numPr>
          <w:ilvl w:val="0"/>
          <w:numId w:val="43"/>
        </w:numPr>
        <w:spacing w:after="160" w:line="259" w:lineRule="auto"/>
        <w:jc w:val="both"/>
        <w:rPr>
          <w:rFonts w:cstheme="minorHAnsi"/>
          <w:sz w:val="20"/>
          <w:szCs w:val="20"/>
        </w:rPr>
      </w:pPr>
      <w:r w:rsidRPr="00A02B31">
        <w:rPr>
          <w:rFonts w:cstheme="minorHAnsi"/>
          <w:sz w:val="20"/>
          <w:szCs w:val="20"/>
        </w:rPr>
        <w:t>Ideas sourced from network and quantitative screening</w:t>
      </w:r>
    </w:p>
    <w:p w14:paraId="4E35191F" w14:textId="77777777" w:rsidR="006825A4" w:rsidRPr="00A02B31" w:rsidRDefault="006825A4" w:rsidP="009D1381">
      <w:pPr>
        <w:pStyle w:val="ListParagraph"/>
        <w:numPr>
          <w:ilvl w:val="0"/>
          <w:numId w:val="43"/>
        </w:numPr>
        <w:spacing w:after="160" w:line="259" w:lineRule="auto"/>
        <w:jc w:val="both"/>
        <w:rPr>
          <w:rFonts w:cstheme="minorHAnsi"/>
          <w:sz w:val="20"/>
          <w:szCs w:val="20"/>
        </w:rPr>
      </w:pPr>
      <w:r w:rsidRPr="00A02B31">
        <w:rPr>
          <w:rFonts w:cstheme="minorHAnsi"/>
          <w:sz w:val="20"/>
          <w:szCs w:val="20"/>
        </w:rPr>
        <w:t>Investment Team due diligence results in ‘Springboard’ investment (c.2-4%) or expanded DD</w:t>
      </w:r>
    </w:p>
    <w:p w14:paraId="66119094" w14:textId="77777777" w:rsidR="006825A4" w:rsidRPr="00A02B31" w:rsidRDefault="006825A4" w:rsidP="009D1381">
      <w:pPr>
        <w:pStyle w:val="ListParagraph"/>
        <w:numPr>
          <w:ilvl w:val="0"/>
          <w:numId w:val="43"/>
        </w:numPr>
        <w:spacing w:after="160" w:line="259" w:lineRule="auto"/>
        <w:jc w:val="both"/>
        <w:rPr>
          <w:rFonts w:cstheme="minorHAnsi"/>
          <w:sz w:val="20"/>
          <w:szCs w:val="20"/>
        </w:rPr>
      </w:pPr>
      <w:r w:rsidRPr="00A02B31">
        <w:rPr>
          <w:rFonts w:cstheme="minorHAnsi"/>
          <w:sz w:val="20"/>
          <w:szCs w:val="20"/>
        </w:rPr>
        <w:t>Expanded due diligence circulated to and enhanced by IAG</w:t>
      </w:r>
    </w:p>
    <w:p w14:paraId="4AE46132" w14:textId="77777777" w:rsidR="006825A4" w:rsidRPr="00A02B31" w:rsidRDefault="006825A4" w:rsidP="009D1381">
      <w:pPr>
        <w:pStyle w:val="ListParagraph"/>
        <w:numPr>
          <w:ilvl w:val="0"/>
          <w:numId w:val="43"/>
        </w:numPr>
        <w:spacing w:after="160" w:line="259" w:lineRule="auto"/>
        <w:jc w:val="both"/>
        <w:rPr>
          <w:rFonts w:cstheme="minorHAnsi"/>
          <w:sz w:val="20"/>
          <w:szCs w:val="20"/>
        </w:rPr>
      </w:pPr>
      <w:r w:rsidRPr="00A02B31">
        <w:rPr>
          <w:rFonts w:cstheme="minorHAnsi"/>
          <w:sz w:val="20"/>
          <w:szCs w:val="20"/>
        </w:rPr>
        <w:t>‘Core’ investments (initial 5-15% NAV), typically a block trade or company re-financing</w:t>
      </w:r>
    </w:p>
    <w:p w14:paraId="3671966D" w14:textId="77777777" w:rsidR="006825A4" w:rsidRPr="00A02B31" w:rsidRDefault="006825A4" w:rsidP="009D1381">
      <w:pPr>
        <w:pStyle w:val="ListParagraph"/>
        <w:numPr>
          <w:ilvl w:val="0"/>
          <w:numId w:val="43"/>
        </w:numPr>
        <w:spacing w:after="160" w:line="259" w:lineRule="auto"/>
        <w:jc w:val="both"/>
        <w:rPr>
          <w:rFonts w:cstheme="minorHAnsi"/>
          <w:sz w:val="20"/>
          <w:szCs w:val="20"/>
        </w:rPr>
      </w:pPr>
      <w:r w:rsidRPr="00A02B31">
        <w:rPr>
          <w:rFonts w:cstheme="minorHAnsi"/>
          <w:sz w:val="20"/>
          <w:szCs w:val="20"/>
        </w:rPr>
        <w:t>Active management involves Stakeholder engagement, Results/Industry and thesis monitoring</w:t>
      </w:r>
    </w:p>
    <w:p w14:paraId="3EA4B694" w14:textId="77777777" w:rsidR="006825A4" w:rsidRPr="00A02B31" w:rsidRDefault="006825A4" w:rsidP="009D1381">
      <w:pPr>
        <w:pStyle w:val="ListParagraph"/>
        <w:numPr>
          <w:ilvl w:val="0"/>
          <w:numId w:val="43"/>
        </w:numPr>
        <w:spacing w:after="160" w:line="259" w:lineRule="auto"/>
        <w:jc w:val="both"/>
        <w:rPr>
          <w:rFonts w:cstheme="minorHAnsi"/>
          <w:sz w:val="20"/>
          <w:szCs w:val="20"/>
        </w:rPr>
      </w:pPr>
      <w:r w:rsidRPr="00A02B31">
        <w:rPr>
          <w:rFonts w:cstheme="minorHAnsi"/>
          <w:sz w:val="20"/>
          <w:szCs w:val="20"/>
        </w:rPr>
        <w:t xml:space="preserve">Exit liquidity through corporate activity or secondary market demand </w:t>
      </w:r>
    </w:p>
    <w:p w14:paraId="4FFD2395" w14:textId="493AE942" w:rsidR="006825A4" w:rsidRPr="00A02B31" w:rsidRDefault="006825A4" w:rsidP="009D1381">
      <w:pPr>
        <w:jc w:val="both"/>
        <w:rPr>
          <w:rFonts w:cstheme="minorHAnsi"/>
          <w:sz w:val="20"/>
          <w:szCs w:val="20"/>
        </w:rPr>
      </w:pPr>
      <w:r w:rsidRPr="00A02B31">
        <w:rPr>
          <w:rFonts w:cstheme="minorHAnsi"/>
          <w:sz w:val="20"/>
          <w:szCs w:val="20"/>
        </w:rPr>
        <w:t>The process by which the above philosophy is put into effect is unashamedly simple. It is focused on establishing a proper understand of a potential investment’s business fundamentals, a clear view of intrinsic worth and the catalysts for change and value realisation. There are four stages:</w:t>
      </w:r>
    </w:p>
    <w:p w14:paraId="7413563A" w14:textId="77777777" w:rsidR="00482819" w:rsidRPr="00A02B31" w:rsidRDefault="00482819" w:rsidP="009D1381">
      <w:pPr>
        <w:jc w:val="both"/>
        <w:rPr>
          <w:rFonts w:cstheme="minorHAnsi"/>
          <w:sz w:val="20"/>
          <w:szCs w:val="20"/>
        </w:rPr>
      </w:pPr>
    </w:p>
    <w:p w14:paraId="3D4AE079" w14:textId="32EAADEA" w:rsidR="006825A4" w:rsidRPr="00A02B31" w:rsidRDefault="006825A4" w:rsidP="009D1381">
      <w:pPr>
        <w:pStyle w:val="ListParagraph"/>
        <w:numPr>
          <w:ilvl w:val="0"/>
          <w:numId w:val="44"/>
        </w:numPr>
        <w:spacing w:after="160" w:line="259" w:lineRule="auto"/>
        <w:jc w:val="both"/>
        <w:rPr>
          <w:rFonts w:cstheme="minorHAnsi"/>
          <w:sz w:val="20"/>
          <w:szCs w:val="20"/>
        </w:rPr>
      </w:pPr>
      <w:r w:rsidRPr="00A02B31">
        <w:rPr>
          <w:rFonts w:cstheme="minorHAnsi"/>
          <w:sz w:val="20"/>
          <w:szCs w:val="20"/>
        </w:rPr>
        <w:t>Idea identification is driven both organically and systematically. We generate ideas through our interest in markets, innate curiosity about companies and incentive to find outstanding investment opportunities. We have large, established, arguably unrivalled, networks across the UK small cap universe. This is bolstered by the networks of the IAG. In addition</w:t>
      </w:r>
      <w:r w:rsidR="006E600E" w:rsidRPr="00A02B31">
        <w:rPr>
          <w:rFonts w:cstheme="minorHAnsi"/>
          <w:sz w:val="20"/>
          <w:szCs w:val="20"/>
        </w:rPr>
        <w:t>,</w:t>
      </w:r>
      <w:r w:rsidRPr="00A02B31">
        <w:rPr>
          <w:rFonts w:cstheme="minorHAnsi"/>
          <w:sz w:val="20"/>
          <w:szCs w:val="20"/>
        </w:rPr>
        <w:t xml:space="preserve"> we quantitatively screen the small cap universe for companies with depressed valuations and profitability relative to history. These ideas inevitably lead to an initial company meeting (we often have met them historically), preliminary analysis and the development of a simple potential investment thesis.</w:t>
      </w:r>
    </w:p>
    <w:p w14:paraId="7C925786" w14:textId="77777777" w:rsidR="006825A4" w:rsidRPr="00A02B31" w:rsidRDefault="006825A4" w:rsidP="009D1381">
      <w:pPr>
        <w:pStyle w:val="ListParagraph"/>
        <w:jc w:val="both"/>
        <w:rPr>
          <w:rFonts w:cstheme="minorHAnsi"/>
          <w:sz w:val="20"/>
          <w:szCs w:val="20"/>
        </w:rPr>
      </w:pPr>
    </w:p>
    <w:p w14:paraId="15349A28" w14:textId="77777777" w:rsidR="006825A4" w:rsidRPr="00A02B31" w:rsidRDefault="006825A4" w:rsidP="009D1381">
      <w:pPr>
        <w:pStyle w:val="ListParagraph"/>
        <w:numPr>
          <w:ilvl w:val="0"/>
          <w:numId w:val="44"/>
        </w:numPr>
        <w:spacing w:after="160" w:line="259" w:lineRule="auto"/>
        <w:jc w:val="both"/>
        <w:rPr>
          <w:rFonts w:cstheme="minorHAnsi"/>
          <w:sz w:val="20"/>
          <w:szCs w:val="20"/>
        </w:rPr>
      </w:pPr>
      <w:r w:rsidRPr="00A02B31">
        <w:rPr>
          <w:rFonts w:cstheme="minorHAnsi"/>
          <w:sz w:val="20"/>
          <w:szCs w:val="20"/>
        </w:rPr>
        <w:t>Due diligence is then commenced on those companies where the initial thesis and meeting confirm an opportunity may exist. The amount is significantly greater for potential ‘core’ investments. Huge amounts of information are now available to investors. The key is having the skill to know what is important, the ability to analyse and enhance our understanding of risks and specific drivers of a company’s intrinsic value and the time and dedication to do the work required. A focused portfolio significantly increases the time we have relative to other competitors, where typical small cap portfolios have 60 to &gt;100 holdings. During the process for potential ‘core’ investments, the Investment Advisory Group (IAG) is contacted for their insight, network opportunities and initial concerns. This is then incorporated into the diligence process. Prior to entering into a ‘core’ position a thorough investment memorandum is circulated to the IAG and Board. We would seek executive management buy-in (if no change is needed) to the strategic and operational changes required to drive value and where appropriate will seek Board representation. For non-‘core’ investments a simpler investment memorandum is documented.</w:t>
      </w:r>
    </w:p>
    <w:p w14:paraId="1E0AA85B" w14:textId="77777777" w:rsidR="006825A4" w:rsidRPr="00A02B31" w:rsidRDefault="006825A4" w:rsidP="009D1381">
      <w:pPr>
        <w:pStyle w:val="ListParagraph"/>
        <w:jc w:val="both"/>
        <w:rPr>
          <w:rFonts w:cstheme="minorHAnsi"/>
          <w:sz w:val="20"/>
          <w:szCs w:val="20"/>
        </w:rPr>
      </w:pPr>
    </w:p>
    <w:p w14:paraId="19E96AE6" w14:textId="6E443C17" w:rsidR="006825A4" w:rsidRPr="00A02B31" w:rsidRDefault="006825A4" w:rsidP="009D1381">
      <w:pPr>
        <w:pStyle w:val="ListParagraph"/>
        <w:numPr>
          <w:ilvl w:val="0"/>
          <w:numId w:val="44"/>
        </w:numPr>
        <w:spacing w:after="160" w:line="259" w:lineRule="auto"/>
        <w:jc w:val="both"/>
        <w:rPr>
          <w:rFonts w:cstheme="minorHAnsi"/>
          <w:sz w:val="20"/>
          <w:szCs w:val="20"/>
        </w:rPr>
      </w:pPr>
      <w:r w:rsidRPr="00A02B31">
        <w:rPr>
          <w:rFonts w:cstheme="minorHAnsi"/>
          <w:sz w:val="20"/>
          <w:szCs w:val="20"/>
        </w:rPr>
        <w:t>Execution: The manager has full responsibility for investment decisions which will have been discussed within the Investment Team and, for ‘core’, the IAG members. For ‘core’ investments a ‘block’ stake or company financing event is usually needed which will involve liaison with company advisers. All orders are managed by Harwood’s highly experienced in-house dealer. Regularly</w:t>
      </w:r>
      <w:r w:rsidR="006E600E" w:rsidRPr="00A02B31">
        <w:rPr>
          <w:rFonts w:cstheme="minorHAnsi"/>
          <w:sz w:val="20"/>
          <w:szCs w:val="20"/>
        </w:rPr>
        <w:t>,</w:t>
      </w:r>
      <w:r w:rsidRPr="00A02B31">
        <w:rPr>
          <w:rFonts w:cstheme="minorHAnsi"/>
          <w:sz w:val="20"/>
          <w:szCs w:val="20"/>
        </w:rPr>
        <w:t xml:space="preserve"> the opportunity for a ’core’ position is not immediately available and thus a ‘springboard’ position will be taken if the upside is clear and patience is required to scale up. “</w:t>
      </w:r>
      <w:r w:rsidR="006E600E" w:rsidRPr="00A02B31">
        <w:rPr>
          <w:rFonts w:cstheme="minorHAnsi"/>
          <w:sz w:val="20"/>
          <w:szCs w:val="20"/>
        </w:rPr>
        <w:t>S</w:t>
      </w:r>
      <w:r w:rsidRPr="00A02B31">
        <w:rPr>
          <w:rFonts w:cstheme="minorHAnsi"/>
          <w:sz w:val="20"/>
          <w:szCs w:val="20"/>
        </w:rPr>
        <w:t>earch the parks in the world’s cities, there are no statues to committees.” Barton Biggs</w:t>
      </w:r>
    </w:p>
    <w:p w14:paraId="2AB6CA1B" w14:textId="77777777" w:rsidR="006825A4" w:rsidRPr="00A02B31" w:rsidRDefault="006825A4" w:rsidP="009D1381">
      <w:pPr>
        <w:pStyle w:val="ListParagraph"/>
        <w:jc w:val="both"/>
        <w:rPr>
          <w:rFonts w:cstheme="minorHAnsi"/>
          <w:sz w:val="20"/>
          <w:szCs w:val="20"/>
        </w:rPr>
      </w:pPr>
    </w:p>
    <w:p w14:paraId="41742B66" w14:textId="646D55E4" w:rsidR="006825A4" w:rsidRPr="00A02B31" w:rsidRDefault="006825A4" w:rsidP="009D1381">
      <w:pPr>
        <w:pStyle w:val="ListParagraph"/>
        <w:numPr>
          <w:ilvl w:val="0"/>
          <w:numId w:val="44"/>
        </w:numPr>
        <w:spacing w:after="160" w:line="259" w:lineRule="auto"/>
        <w:jc w:val="both"/>
        <w:rPr>
          <w:rFonts w:cstheme="minorHAnsi"/>
          <w:sz w:val="20"/>
          <w:szCs w:val="20"/>
        </w:rPr>
      </w:pPr>
      <w:r w:rsidRPr="00A02B31">
        <w:rPr>
          <w:rFonts w:cstheme="minorHAnsi"/>
          <w:sz w:val="20"/>
          <w:szCs w:val="20"/>
        </w:rPr>
        <w:t xml:space="preserve">Post investment, holdings are monitored through on-going financial results analysis, meetings with management and </w:t>
      </w:r>
      <w:r w:rsidR="00CB279C" w:rsidRPr="00A02B31">
        <w:rPr>
          <w:rFonts w:cstheme="minorHAnsi"/>
          <w:sz w:val="20"/>
          <w:szCs w:val="20"/>
        </w:rPr>
        <w:t>b</w:t>
      </w:r>
      <w:r w:rsidRPr="00A02B31">
        <w:rPr>
          <w:rFonts w:cstheme="minorHAnsi"/>
          <w:sz w:val="20"/>
          <w:szCs w:val="20"/>
        </w:rPr>
        <w:t>oard members, input from industry, sector and company analysts or experts. For ‘core’ investments, a summary ‘annual review’ will be circulated to the IAG and</w:t>
      </w:r>
      <w:r w:rsidR="00CB279C" w:rsidRPr="00A02B31">
        <w:rPr>
          <w:rFonts w:cstheme="minorHAnsi"/>
          <w:sz w:val="20"/>
          <w:szCs w:val="20"/>
        </w:rPr>
        <w:t xml:space="preserve"> b</w:t>
      </w:r>
      <w:r w:rsidRPr="00A02B31">
        <w:rPr>
          <w:rFonts w:cstheme="minorHAnsi"/>
          <w:sz w:val="20"/>
          <w:szCs w:val="20"/>
        </w:rPr>
        <w:t xml:space="preserve">oard, including an updated target valuation/price. For all investments ‘exit’ theses are established at the outset. For ‘core’ investments this will often require high levels of </w:t>
      </w:r>
      <w:r w:rsidR="00CB279C" w:rsidRPr="00A02B31">
        <w:rPr>
          <w:rFonts w:cstheme="minorHAnsi"/>
          <w:sz w:val="20"/>
          <w:szCs w:val="20"/>
        </w:rPr>
        <w:t>b</w:t>
      </w:r>
      <w:r w:rsidRPr="00A02B31">
        <w:rPr>
          <w:rFonts w:cstheme="minorHAnsi"/>
          <w:sz w:val="20"/>
          <w:szCs w:val="20"/>
        </w:rPr>
        <w:t>oard engagement, communication with other shareholders of our views, and a pro-active approach, leading to a sale of the business and a ‘control’ premium. Secondary market sales are also possible as other investors</w:t>
      </w:r>
      <w:r w:rsidRPr="00A02B31">
        <w:rPr>
          <w:rFonts w:cstheme="minorHAnsi"/>
          <w:b/>
          <w:bCs/>
          <w:i/>
          <w:iCs/>
          <w:sz w:val="20"/>
          <w:szCs w:val="20"/>
        </w:rPr>
        <w:t xml:space="preserve"> </w:t>
      </w:r>
      <w:r w:rsidRPr="00A02B31">
        <w:rPr>
          <w:rFonts w:cstheme="minorHAnsi"/>
          <w:sz w:val="20"/>
          <w:szCs w:val="20"/>
        </w:rPr>
        <w:t>re-consider a rehabilitated company, usually with business and share price momentum.</w:t>
      </w:r>
    </w:p>
    <w:p w14:paraId="3C270D2D" w14:textId="77777777" w:rsidR="00827B1F" w:rsidRPr="00A02B31" w:rsidRDefault="00827B1F" w:rsidP="009D1381">
      <w:pPr>
        <w:pStyle w:val="ListParagraph"/>
        <w:rPr>
          <w:rFonts w:cstheme="minorHAnsi"/>
          <w:sz w:val="20"/>
          <w:szCs w:val="20"/>
        </w:rPr>
      </w:pPr>
    </w:p>
    <w:p w14:paraId="5B1C06D8" w14:textId="48DE1D85" w:rsidR="00827B1F" w:rsidRPr="00A02B31" w:rsidRDefault="00827B1F" w:rsidP="009D1381">
      <w:pPr>
        <w:pStyle w:val="ListParagraph"/>
        <w:spacing w:after="160" w:line="259" w:lineRule="auto"/>
        <w:jc w:val="both"/>
        <w:rPr>
          <w:rFonts w:cstheme="minorHAnsi"/>
          <w:sz w:val="20"/>
          <w:szCs w:val="20"/>
        </w:rPr>
      </w:pPr>
    </w:p>
    <w:p w14:paraId="0C1F6397" w14:textId="77777777" w:rsidR="00827B1F" w:rsidRPr="00A02B31" w:rsidRDefault="00827B1F" w:rsidP="009D1381">
      <w:pPr>
        <w:pStyle w:val="ListParagraph"/>
        <w:spacing w:after="160" w:line="259" w:lineRule="auto"/>
        <w:jc w:val="both"/>
        <w:rPr>
          <w:rFonts w:cstheme="minorHAnsi"/>
          <w:sz w:val="20"/>
          <w:szCs w:val="20"/>
        </w:rPr>
      </w:pPr>
    </w:p>
    <w:p w14:paraId="20B1CDBC" w14:textId="294676E7" w:rsidR="006825A4" w:rsidRPr="00A02B31" w:rsidRDefault="006825A4" w:rsidP="009D1381">
      <w:pPr>
        <w:jc w:val="both"/>
        <w:rPr>
          <w:rFonts w:cstheme="minorHAnsi"/>
          <w:b/>
          <w:bCs/>
          <w:sz w:val="20"/>
          <w:szCs w:val="20"/>
        </w:rPr>
      </w:pPr>
      <w:r w:rsidRPr="00A02B31">
        <w:rPr>
          <w:rFonts w:cstheme="minorHAnsi"/>
          <w:b/>
          <w:bCs/>
          <w:sz w:val="20"/>
          <w:szCs w:val="20"/>
        </w:rPr>
        <w:t>The foundations for Rockwood Strategic’s long-term success:</w:t>
      </w:r>
    </w:p>
    <w:p w14:paraId="75B6A3C6" w14:textId="77777777" w:rsidR="00482819" w:rsidRPr="00A02B31" w:rsidRDefault="00482819" w:rsidP="009D1381">
      <w:pPr>
        <w:jc w:val="both"/>
        <w:rPr>
          <w:rFonts w:cstheme="minorHAnsi"/>
          <w:b/>
          <w:bCs/>
          <w:sz w:val="20"/>
          <w:szCs w:val="20"/>
        </w:rPr>
      </w:pPr>
    </w:p>
    <w:p w14:paraId="602E6B6E" w14:textId="4475D714" w:rsidR="006825A4" w:rsidRPr="00A02B31" w:rsidRDefault="006825A4" w:rsidP="009D1381">
      <w:pPr>
        <w:pStyle w:val="ListParagraph"/>
        <w:numPr>
          <w:ilvl w:val="0"/>
          <w:numId w:val="45"/>
        </w:numPr>
        <w:spacing w:after="160" w:line="259" w:lineRule="auto"/>
        <w:jc w:val="both"/>
        <w:rPr>
          <w:rFonts w:cstheme="minorHAnsi"/>
          <w:sz w:val="20"/>
          <w:szCs w:val="20"/>
        </w:rPr>
      </w:pPr>
      <w:r w:rsidRPr="00A02B31">
        <w:rPr>
          <w:rFonts w:cstheme="minorHAnsi"/>
          <w:sz w:val="20"/>
          <w:szCs w:val="20"/>
        </w:rPr>
        <w:t>A ‘value’ investing approach with an ‘ownership’ mentality and a desire to buy at a significant discount to intrinsic worth, establishing a ‘margin of safety’ (</w:t>
      </w:r>
      <w:r w:rsidR="00B5708A" w:rsidRPr="00A02B31">
        <w:rPr>
          <w:rFonts w:cstheme="minorHAnsi"/>
          <w:sz w:val="20"/>
          <w:szCs w:val="20"/>
        </w:rPr>
        <w:t xml:space="preserve">Security Analysis by Benjamin </w:t>
      </w:r>
      <w:r w:rsidRPr="00A02B31">
        <w:rPr>
          <w:rFonts w:cstheme="minorHAnsi"/>
          <w:sz w:val="20"/>
          <w:szCs w:val="20"/>
        </w:rPr>
        <w:t>Graham)</w:t>
      </w:r>
    </w:p>
    <w:p w14:paraId="6FDC3566" w14:textId="518507AF" w:rsidR="006825A4" w:rsidRPr="00A02B31" w:rsidRDefault="006825A4" w:rsidP="009D1381">
      <w:pPr>
        <w:pStyle w:val="ListParagraph"/>
        <w:numPr>
          <w:ilvl w:val="0"/>
          <w:numId w:val="45"/>
        </w:numPr>
        <w:spacing w:after="160" w:line="259" w:lineRule="auto"/>
        <w:jc w:val="both"/>
        <w:rPr>
          <w:rFonts w:cstheme="minorHAnsi"/>
          <w:sz w:val="20"/>
          <w:szCs w:val="20"/>
        </w:rPr>
      </w:pPr>
      <w:r w:rsidRPr="00A02B31">
        <w:rPr>
          <w:rFonts w:cstheme="minorHAnsi"/>
          <w:sz w:val="20"/>
          <w:szCs w:val="20"/>
        </w:rPr>
        <w:t xml:space="preserve">‘Long term Capital’ matching the best </w:t>
      </w:r>
      <w:r w:rsidR="006E600E" w:rsidRPr="00A02B31">
        <w:rPr>
          <w:rFonts w:cstheme="minorHAnsi"/>
          <w:sz w:val="20"/>
          <w:szCs w:val="20"/>
        </w:rPr>
        <w:t>timeframe</w:t>
      </w:r>
      <w:r w:rsidRPr="00A02B31">
        <w:rPr>
          <w:rFonts w:cstheme="minorHAnsi"/>
          <w:sz w:val="20"/>
          <w:szCs w:val="20"/>
        </w:rPr>
        <w:t xml:space="preserve"> for investment success</w:t>
      </w:r>
    </w:p>
    <w:p w14:paraId="6DF96D1C" w14:textId="77777777" w:rsidR="006825A4" w:rsidRPr="00A02B31" w:rsidRDefault="006825A4" w:rsidP="009D1381">
      <w:pPr>
        <w:pStyle w:val="ListParagraph"/>
        <w:numPr>
          <w:ilvl w:val="0"/>
          <w:numId w:val="45"/>
        </w:numPr>
        <w:spacing w:after="160" w:line="259" w:lineRule="auto"/>
        <w:jc w:val="both"/>
        <w:rPr>
          <w:rFonts w:cstheme="minorHAnsi"/>
          <w:sz w:val="20"/>
          <w:szCs w:val="20"/>
        </w:rPr>
      </w:pPr>
      <w:r w:rsidRPr="00A02B31">
        <w:rPr>
          <w:rFonts w:cstheme="minorHAnsi"/>
          <w:sz w:val="20"/>
          <w:szCs w:val="20"/>
        </w:rPr>
        <w:t>Patience in a market usually characterised by impatience</w:t>
      </w:r>
    </w:p>
    <w:p w14:paraId="14DBAA1C" w14:textId="25B7C00B" w:rsidR="006825A4" w:rsidRPr="00A02B31" w:rsidRDefault="006825A4" w:rsidP="00CB279C">
      <w:pPr>
        <w:pStyle w:val="ListParagraph"/>
        <w:numPr>
          <w:ilvl w:val="0"/>
          <w:numId w:val="45"/>
        </w:numPr>
        <w:spacing w:after="160" w:line="259" w:lineRule="auto"/>
        <w:jc w:val="both"/>
        <w:rPr>
          <w:rFonts w:cstheme="minorHAnsi"/>
          <w:sz w:val="20"/>
          <w:szCs w:val="20"/>
        </w:rPr>
      </w:pPr>
      <w:r w:rsidRPr="00A02B31">
        <w:rPr>
          <w:rFonts w:cstheme="minorHAnsi"/>
          <w:sz w:val="20"/>
          <w:szCs w:val="20"/>
        </w:rPr>
        <w:t>‘Skin in the game’ (</w:t>
      </w:r>
      <w:r w:rsidR="00CB279C" w:rsidRPr="00A02B31">
        <w:rPr>
          <w:rFonts w:cstheme="minorHAnsi"/>
          <w:sz w:val="20"/>
          <w:szCs w:val="20"/>
        </w:rPr>
        <w:t xml:space="preserve">Nassim Nicholas </w:t>
      </w:r>
      <w:r w:rsidRPr="00A02B31">
        <w:rPr>
          <w:rFonts w:cstheme="minorHAnsi"/>
          <w:sz w:val="20"/>
          <w:szCs w:val="20"/>
        </w:rPr>
        <w:t>Taleb) evidenced by the manager’s fee structure and equity ownership</w:t>
      </w:r>
    </w:p>
    <w:p w14:paraId="4A19AD0B" w14:textId="72FCAAAC" w:rsidR="006825A4" w:rsidRPr="00A02B31" w:rsidRDefault="006825A4" w:rsidP="009D1381">
      <w:pPr>
        <w:pStyle w:val="ListParagraph"/>
        <w:numPr>
          <w:ilvl w:val="0"/>
          <w:numId w:val="45"/>
        </w:numPr>
        <w:spacing w:after="160" w:line="259" w:lineRule="auto"/>
        <w:jc w:val="both"/>
        <w:rPr>
          <w:rFonts w:cstheme="minorHAnsi"/>
          <w:sz w:val="20"/>
          <w:szCs w:val="20"/>
        </w:rPr>
      </w:pPr>
      <w:r w:rsidRPr="00A02B31">
        <w:rPr>
          <w:rFonts w:cstheme="minorHAnsi"/>
          <w:sz w:val="20"/>
          <w:szCs w:val="20"/>
        </w:rPr>
        <w:t>Low overheads and a simple organisation structure, keeping costs low and decision-making nimble</w:t>
      </w:r>
    </w:p>
    <w:p w14:paraId="561053AA" w14:textId="77777777" w:rsidR="006825A4" w:rsidRPr="00A02B31" w:rsidRDefault="006825A4" w:rsidP="009D1381">
      <w:pPr>
        <w:pStyle w:val="ListParagraph"/>
        <w:numPr>
          <w:ilvl w:val="0"/>
          <w:numId w:val="45"/>
        </w:numPr>
        <w:spacing w:after="160" w:line="259" w:lineRule="auto"/>
        <w:jc w:val="both"/>
        <w:rPr>
          <w:rFonts w:cstheme="minorHAnsi"/>
          <w:sz w:val="20"/>
          <w:szCs w:val="20"/>
        </w:rPr>
      </w:pPr>
      <w:r w:rsidRPr="00A02B31">
        <w:rPr>
          <w:rFonts w:cstheme="minorHAnsi"/>
          <w:sz w:val="20"/>
          <w:szCs w:val="20"/>
        </w:rPr>
        <w:t>Tax efficiency</w:t>
      </w:r>
    </w:p>
    <w:p w14:paraId="4B668456" w14:textId="5FFAC235" w:rsidR="006825A4" w:rsidRPr="00A02B31" w:rsidRDefault="006825A4" w:rsidP="009D1381">
      <w:pPr>
        <w:pStyle w:val="ListParagraph"/>
        <w:numPr>
          <w:ilvl w:val="0"/>
          <w:numId w:val="45"/>
        </w:numPr>
        <w:spacing w:after="160" w:line="259" w:lineRule="auto"/>
        <w:jc w:val="both"/>
        <w:rPr>
          <w:rFonts w:cstheme="minorHAnsi"/>
          <w:sz w:val="20"/>
          <w:szCs w:val="20"/>
        </w:rPr>
      </w:pPr>
      <w:r w:rsidRPr="00A02B31">
        <w:rPr>
          <w:rFonts w:cstheme="minorHAnsi"/>
          <w:sz w:val="20"/>
          <w:szCs w:val="20"/>
        </w:rPr>
        <w:t>Clear communications, externally and internally</w:t>
      </w:r>
    </w:p>
    <w:p w14:paraId="36EFC071" w14:textId="4322F8D7" w:rsidR="006825A4" w:rsidRPr="00A02B31" w:rsidRDefault="006825A4" w:rsidP="009D1381">
      <w:pPr>
        <w:pStyle w:val="ListParagraph"/>
        <w:numPr>
          <w:ilvl w:val="0"/>
          <w:numId w:val="45"/>
        </w:numPr>
        <w:spacing w:after="160" w:line="259" w:lineRule="auto"/>
        <w:jc w:val="both"/>
        <w:rPr>
          <w:rFonts w:cstheme="minorHAnsi"/>
          <w:sz w:val="20"/>
          <w:szCs w:val="20"/>
        </w:rPr>
      </w:pPr>
      <w:r w:rsidRPr="00A02B31">
        <w:rPr>
          <w:rFonts w:cstheme="minorHAnsi"/>
          <w:sz w:val="20"/>
          <w:szCs w:val="20"/>
        </w:rPr>
        <w:t>The premium captured for illiquidity in the inefficient publicly listed UK small companies</w:t>
      </w:r>
      <w:r w:rsidR="00CB279C" w:rsidRPr="00A02B31">
        <w:rPr>
          <w:rFonts w:cstheme="minorHAnsi"/>
          <w:sz w:val="20"/>
          <w:szCs w:val="20"/>
        </w:rPr>
        <w:t>’</w:t>
      </w:r>
      <w:r w:rsidRPr="00A02B31">
        <w:rPr>
          <w:rFonts w:cstheme="minorHAnsi"/>
          <w:sz w:val="20"/>
          <w:szCs w:val="20"/>
        </w:rPr>
        <w:t xml:space="preserve"> arena</w:t>
      </w:r>
    </w:p>
    <w:p w14:paraId="26B689CA" w14:textId="77777777" w:rsidR="006825A4" w:rsidRPr="00A02B31" w:rsidRDefault="006825A4" w:rsidP="009D1381">
      <w:pPr>
        <w:pStyle w:val="ListParagraph"/>
        <w:numPr>
          <w:ilvl w:val="0"/>
          <w:numId w:val="45"/>
        </w:numPr>
        <w:spacing w:after="160" w:line="259" w:lineRule="auto"/>
        <w:jc w:val="both"/>
        <w:rPr>
          <w:rFonts w:cstheme="minorHAnsi"/>
          <w:sz w:val="20"/>
          <w:szCs w:val="20"/>
        </w:rPr>
      </w:pPr>
      <w:r w:rsidRPr="00A02B31">
        <w:rPr>
          <w:rFonts w:cstheme="minorHAnsi"/>
          <w:sz w:val="20"/>
          <w:szCs w:val="20"/>
        </w:rPr>
        <w:t>Financial strength through the cycle, providing opportunities when others are distressed</w:t>
      </w:r>
    </w:p>
    <w:p w14:paraId="43D0E2F3" w14:textId="77777777" w:rsidR="006825A4" w:rsidRPr="00A02B31" w:rsidRDefault="006825A4" w:rsidP="009D1381">
      <w:pPr>
        <w:pStyle w:val="ListParagraph"/>
        <w:numPr>
          <w:ilvl w:val="0"/>
          <w:numId w:val="45"/>
        </w:numPr>
        <w:spacing w:after="160" w:line="259" w:lineRule="auto"/>
        <w:jc w:val="both"/>
        <w:rPr>
          <w:rFonts w:cstheme="minorHAnsi"/>
          <w:sz w:val="20"/>
          <w:szCs w:val="20"/>
        </w:rPr>
      </w:pPr>
      <w:r w:rsidRPr="00A02B31">
        <w:rPr>
          <w:rFonts w:cstheme="minorHAnsi"/>
          <w:sz w:val="20"/>
          <w:szCs w:val="20"/>
        </w:rPr>
        <w:t>Experience and complementary capabilities of the team</w:t>
      </w:r>
    </w:p>
    <w:p w14:paraId="3F9F5294" w14:textId="640DA707" w:rsidR="006825A4" w:rsidRPr="00A02B31" w:rsidRDefault="006825A4" w:rsidP="009D1381">
      <w:pPr>
        <w:jc w:val="both"/>
        <w:rPr>
          <w:rFonts w:cstheme="minorHAnsi"/>
          <w:sz w:val="20"/>
          <w:szCs w:val="20"/>
        </w:rPr>
      </w:pPr>
      <w:r w:rsidRPr="00A02B31">
        <w:rPr>
          <w:rFonts w:cstheme="minorHAnsi"/>
          <w:sz w:val="20"/>
          <w:szCs w:val="20"/>
        </w:rPr>
        <w:t>We have invested our own money in the shares of Rockwood Strategic and have a management contract which reward</w:t>
      </w:r>
      <w:r w:rsidR="0024365F" w:rsidRPr="00A02B31">
        <w:rPr>
          <w:rFonts w:cstheme="minorHAnsi"/>
          <w:sz w:val="20"/>
          <w:szCs w:val="20"/>
        </w:rPr>
        <w:t>s</w:t>
      </w:r>
      <w:r w:rsidRPr="00A02B31">
        <w:rPr>
          <w:rFonts w:cstheme="minorHAnsi"/>
          <w:sz w:val="20"/>
          <w:szCs w:val="20"/>
        </w:rPr>
        <w:t xml:space="preserve"> success. We see a real opportunity to compound wealth for all shareholders over the long-term and a vibrant, inefficient stock market full of opportunities to deliver our target returns.</w:t>
      </w:r>
    </w:p>
    <w:p w14:paraId="1B50298C" w14:textId="77777777" w:rsidR="00482819" w:rsidRPr="00A02B31" w:rsidRDefault="00482819" w:rsidP="009D1381">
      <w:pPr>
        <w:jc w:val="both"/>
        <w:rPr>
          <w:rFonts w:cstheme="minorHAnsi"/>
          <w:sz w:val="20"/>
          <w:szCs w:val="20"/>
        </w:rPr>
      </w:pPr>
    </w:p>
    <w:p w14:paraId="5E2FCA7C" w14:textId="324DDCDB" w:rsidR="006825A4" w:rsidRPr="00A02B31" w:rsidRDefault="006825A4" w:rsidP="009D1381">
      <w:pPr>
        <w:jc w:val="both"/>
        <w:rPr>
          <w:rFonts w:cstheme="minorHAnsi"/>
          <w:sz w:val="20"/>
          <w:szCs w:val="20"/>
        </w:rPr>
      </w:pPr>
      <w:r w:rsidRPr="00A02B31">
        <w:rPr>
          <w:rFonts w:cstheme="minorHAnsi"/>
          <w:sz w:val="20"/>
          <w:szCs w:val="20"/>
        </w:rPr>
        <w:t>Richard Staveley</w:t>
      </w:r>
    </w:p>
    <w:p w14:paraId="77B2F7B9" w14:textId="77777777" w:rsidR="00482819" w:rsidRPr="00A02B31" w:rsidRDefault="00482819" w:rsidP="009D1381">
      <w:pPr>
        <w:jc w:val="both"/>
        <w:rPr>
          <w:rFonts w:cstheme="minorHAnsi"/>
          <w:sz w:val="20"/>
          <w:szCs w:val="20"/>
        </w:rPr>
      </w:pPr>
    </w:p>
    <w:p w14:paraId="13FF72E1" w14:textId="77777777" w:rsidR="00820308" w:rsidRPr="00A02B31" w:rsidRDefault="00820308" w:rsidP="009D1381">
      <w:pPr>
        <w:jc w:val="both"/>
        <w:rPr>
          <w:rFonts w:cstheme="minorHAnsi"/>
          <w:b/>
          <w:bCs/>
          <w:sz w:val="20"/>
          <w:szCs w:val="20"/>
        </w:rPr>
      </w:pPr>
    </w:p>
    <w:p w14:paraId="5BF9D179" w14:textId="77777777" w:rsidR="00820308" w:rsidRPr="00A02B31" w:rsidRDefault="00820308" w:rsidP="009D1381">
      <w:pPr>
        <w:jc w:val="both"/>
        <w:rPr>
          <w:rFonts w:cstheme="minorHAnsi"/>
          <w:b/>
          <w:bCs/>
          <w:sz w:val="20"/>
          <w:szCs w:val="20"/>
        </w:rPr>
      </w:pPr>
    </w:p>
    <w:p w14:paraId="659DF578" w14:textId="77777777" w:rsidR="00820308" w:rsidRPr="00A02B31" w:rsidRDefault="00820308" w:rsidP="009D1381">
      <w:pPr>
        <w:jc w:val="both"/>
        <w:rPr>
          <w:rFonts w:cstheme="minorHAnsi"/>
          <w:b/>
          <w:bCs/>
          <w:sz w:val="20"/>
          <w:szCs w:val="20"/>
        </w:rPr>
      </w:pPr>
    </w:p>
    <w:p w14:paraId="78456C40" w14:textId="77777777" w:rsidR="00820308" w:rsidRPr="00A02B31" w:rsidRDefault="00820308" w:rsidP="009D1381">
      <w:pPr>
        <w:jc w:val="both"/>
        <w:rPr>
          <w:rFonts w:cstheme="minorHAnsi"/>
          <w:b/>
          <w:bCs/>
          <w:sz w:val="20"/>
          <w:szCs w:val="20"/>
        </w:rPr>
      </w:pPr>
    </w:p>
    <w:p w14:paraId="780DFCDF" w14:textId="77777777" w:rsidR="00820308" w:rsidRPr="00A02B31" w:rsidRDefault="00820308" w:rsidP="009D1381">
      <w:pPr>
        <w:jc w:val="both"/>
        <w:rPr>
          <w:rFonts w:cstheme="minorHAnsi"/>
          <w:b/>
          <w:bCs/>
          <w:sz w:val="20"/>
          <w:szCs w:val="20"/>
        </w:rPr>
      </w:pPr>
    </w:p>
    <w:p w14:paraId="2343E36A" w14:textId="77777777" w:rsidR="00820308" w:rsidRPr="00A02B31" w:rsidRDefault="00820308" w:rsidP="009D1381">
      <w:pPr>
        <w:jc w:val="both"/>
        <w:rPr>
          <w:rFonts w:cstheme="minorHAnsi"/>
          <w:b/>
          <w:bCs/>
          <w:sz w:val="20"/>
          <w:szCs w:val="20"/>
        </w:rPr>
      </w:pPr>
    </w:p>
    <w:p w14:paraId="32E7F8A0" w14:textId="77777777" w:rsidR="00820308" w:rsidRPr="00A02B31" w:rsidRDefault="00820308" w:rsidP="009D1381">
      <w:pPr>
        <w:jc w:val="both"/>
        <w:rPr>
          <w:rFonts w:cstheme="minorHAnsi"/>
          <w:b/>
          <w:bCs/>
          <w:sz w:val="20"/>
          <w:szCs w:val="20"/>
        </w:rPr>
      </w:pPr>
    </w:p>
    <w:p w14:paraId="47EDDA28" w14:textId="77777777" w:rsidR="00820308" w:rsidRPr="00A02B31" w:rsidRDefault="00820308" w:rsidP="009D1381">
      <w:pPr>
        <w:jc w:val="both"/>
        <w:rPr>
          <w:rFonts w:cstheme="minorHAnsi"/>
          <w:b/>
          <w:bCs/>
          <w:sz w:val="20"/>
          <w:szCs w:val="20"/>
        </w:rPr>
      </w:pPr>
    </w:p>
    <w:p w14:paraId="47A859E6" w14:textId="77777777" w:rsidR="00820308" w:rsidRPr="00A02B31" w:rsidRDefault="00820308" w:rsidP="009D1381">
      <w:pPr>
        <w:jc w:val="both"/>
        <w:rPr>
          <w:rFonts w:cstheme="minorHAnsi"/>
          <w:b/>
          <w:bCs/>
          <w:sz w:val="20"/>
          <w:szCs w:val="20"/>
        </w:rPr>
      </w:pPr>
    </w:p>
    <w:p w14:paraId="13B9976D" w14:textId="77777777" w:rsidR="00820308" w:rsidRPr="00A02B31" w:rsidRDefault="00820308" w:rsidP="009D1381">
      <w:pPr>
        <w:jc w:val="both"/>
        <w:rPr>
          <w:rFonts w:cstheme="minorHAnsi"/>
          <w:b/>
          <w:bCs/>
          <w:sz w:val="20"/>
          <w:szCs w:val="20"/>
        </w:rPr>
      </w:pPr>
    </w:p>
    <w:p w14:paraId="380CC36C" w14:textId="77777777" w:rsidR="00820308" w:rsidRPr="00A02B31" w:rsidRDefault="00820308" w:rsidP="009D1381">
      <w:pPr>
        <w:jc w:val="both"/>
        <w:rPr>
          <w:rFonts w:cstheme="minorHAnsi"/>
          <w:b/>
          <w:bCs/>
          <w:sz w:val="20"/>
          <w:szCs w:val="20"/>
        </w:rPr>
      </w:pPr>
    </w:p>
    <w:p w14:paraId="7D289FCD" w14:textId="77777777" w:rsidR="00820308" w:rsidRPr="00A02B31" w:rsidRDefault="00820308" w:rsidP="009D1381">
      <w:pPr>
        <w:jc w:val="both"/>
        <w:rPr>
          <w:rFonts w:cstheme="minorHAnsi"/>
          <w:b/>
          <w:bCs/>
          <w:sz w:val="20"/>
          <w:szCs w:val="20"/>
        </w:rPr>
      </w:pPr>
    </w:p>
    <w:p w14:paraId="1EE007C3" w14:textId="77777777" w:rsidR="00820308" w:rsidRPr="00A02B31" w:rsidRDefault="00820308" w:rsidP="009D1381">
      <w:pPr>
        <w:jc w:val="both"/>
        <w:rPr>
          <w:rFonts w:cstheme="minorHAnsi"/>
          <w:b/>
          <w:bCs/>
          <w:sz w:val="20"/>
          <w:szCs w:val="20"/>
        </w:rPr>
      </w:pPr>
    </w:p>
    <w:p w14:paraId="5DA72CBA" w14:textId="77777777" w:rsidR="00820308" w:rsidRPr="00A02B31" w:rsidRDefault="00820308" w:rsidP="009D1381">
      <w:pPr>
        <w:jc w:val="both"/>
        <w:rPr>
          <w:rFonts w:cstheme="minorHAnsi"/>
          <w:b/>
          <w:bCs/>
          <w:sz w:val="20"/>
          <w:szCs w:val="20"/>
        </w:rPr>
      </w:pPr>
    </w:p>
    <w:p w14:paraId="0159E927" w14:textId="77777777" w:rsidR="00820308" w:rsidRPr="00A02B31" w:rsidRDefault="00820308" w:rsidP="009D1381">
      <w:pPr>
        <w:jc w:val="both"/>
        <w:rPr>
          <w:rFonts w:cstheme="minorHAnsi"/>
          <w:b/>
          <w:bCs/>
          <w:sz w:val="20"/>
          <w:szCs w:val="20"/>
        </w:rPr>
      </w:pPr>
    </w:p>
    <w:p w14:paraId="6AEEDFBE" w14:textId="77777777" w:rsidR="00820308" w:rsidRPr="00A02B31" w:rsidRDefault="00820308" w:rsidP="009D1381">
      <w:pPr>
        <w:jc w:val="both"/>
        <w:rPr>
          <w:rFonts w:cstheme="minorHAnsi"/>
          <w:b/>
          <w:bCs/>
          <w:sz w:val="20"/>
          <w:szCs w:val="20"/>
        </w:rPr>
      </w:pPr>
    </w:p>
    <w:p w14:paraId="3DC05ABF" w14:textId="77777777" w:rsidR="00820308" w:rsidRPr="00A02B31" w:rsidRDefault="00820308" w:rsidP="009D1381">
      <w:pPr>
        <w:jc w:val="both"/>
        <w:rPr>
          <w:rFonts w:cstheme="minorHAnsi"/>
          <w:b/>
          <w:bCs/>
          <w:sz w:val="20"/>
          <w:szCs w:val="20"/>
        </w:rPr>
      </w:pPr>
    </w:p>
    <w:p w14:paraId="3050C5B1" w14:textId="77777777" w:rsidR="00820308" w:rsidRPr="00A02B31" w:rsidRDefault="00820308" w:rsidP="009D1381">
      <w:pPr>
        <w:jc w:val="both"/>
        <w:rPr>
          <w:rFonts w:cstheme="minorHAnsi"/>
          <w:b/>
          <w:bCs/>
          <w:sz w:val="20"/>
          <w:szCs w:val="20"/>
        </w:rPr>
      </w:pPr>
    </w:p>
    <w:p w14:paraId="79B3D68C" w14:textId="77777777" w:rsidR="00820308" w:rsidRPr="00A02B31" w:rsidRDefault="00820308" w:rsidP="009D1381">
      <w:pPr>
        <w:jc w:val="both"/>
        <w:rPr>
          <w:rFonts w:cstheme="minorHAnsi"/>
          <w:b/>
          <w:bCs/>
          <w:sz w:val="20"/>
          <w:szCs w:val="20"/>
        </w:rPr>
      </w:pPr>
    </w:p>
    <w:p w14:paraId="7870BB15" w14:textId="77777777" w:rsidR="00820308" w:rsidRPr="00A02B31" w:rsidRDefault="00820308" w:rsidP="009D1381">
      <w:pPr>
        <w:jc w:val="both"/>
        <w:rPr>
          <w:rFonts w:cstheme="minorHAnsi"/>
          <w:b/>
          <w:bCs/>
          <w:sz w:val="20"/>
          <w:szCs w:val="20"/>
        </w:rPr>
      </w:pPr>
    </w:p>
    <w:p w14:paraId="42D80407" w14:textId="77777777" w:rsidR="00820308" w:rsidRPr="00A02B31" w:rsidRDefault="00820308" w:rsidP="009D1381">
      <w:pPr>
        <w:jc w:val="both"/>
        <w:rPr>
          <w:rFonts w:cstheme="minorHAnsi"/>
          <w:b/>
          <w:bCs/>
          <w:sz w:val="20"/>
          <w:szCs w:val="20"/>
        </w:rPr>
      </w:pPr>
    </w:p>
    <w:p w14:paraId="66B9A85D" w14:textId="77777777" w:rsidR="00820308" w:rsidRPr="00A02B31" w:rsidRDefault="00820308" w:rsidP="009D1381">
      <w:pPr>
        <w:jc w:val="both"/>
        <w:rPr>
          <w:rFonts w:cstheme="minorHAnsi"/>
          <w:b/>
          <w:bCs/>
          <w:sz w:val="20"/>
          <w:szCs w:val="20"/>
        </w:rPr>
      </w:pPr>
    </w:p>
    <w:p w14:paraId="672A818A" w14:textId="77777777" w:rsidR="00820308" w:rsidRPr="00A02B31" w:rsidRDefault="00820308" w:rsidP="009D1381">
      <w:pPr>
        <w:jc w:val="both"/>
        <w:rPr>
          <w:rFonts w:cstheme="minorHAnsi"/>
          <w:b/>
          <w:bCs/>
          <w:sz w:val="20"/>
          <w:szCs w:val="20"/>
        </w:rPr>
      </w:pPr>
    </w:p>
    <w:p w14:paraId="7C4831D3" w14:textId="77777777" w:rsidR="00820308" w:rsidRPr="00A02B31" w:rsidRDefault="00820308" w:rsidP="009D1381">
      <w:pPr>
        <w:jc w:val="both"/>
        <w:rPr>
          <w:rFonts w:cstheme="minorHAnsi"/>
          <w:b/>
          <w:bCs/>
          <w:sz w:val="20"/>
          <w:szCs w:val="20"/>
        </w:rPr>
      </w:pPr>
    </w:p>
    <w:p w14:paraId="3BFBA774" w14:textId="77777777" w:rsidR="00820308" w:rsidRPr="00A02B31" w:rsidRDefault="00820308" w:rsidP="009D1381">
      <w:pPr>
        <w:jc w:val="both"/>
        <w:rPr>
          <w:rFonts w:cstheme="minorHAnsi"/>
          <w:b/>
          <w:bCs/>
          <w:sz w:val="20"/>
          <w:szCs w:val="20"/>
        </w:rPr>
      </w:pPr>
    </w:p>
    <w:p w14:paraId="7EC968C9" w14:textId="77777777" w:rsidR="00820308" w:rsidRPr="00A02B31" w:rsidRDefault="00820308" w:rsidP="009D1381">
      <w:pPr>
        <w:jc w:val="both"/>
        <w:rPr>
          <w:rFonts w:cstheme="minorHAnsi"/>
          <w:b/>
          <w:bCs/>
          <w:sz w:val="20"/>
          <w:szCs w:val="20"/>
        </w:rPr>
      </w:pPr>
    </w:p>
    <w:p w14:paraId="07DC4A4E" w14:textId="77777777" w:rsidR="00820308" w:rsidRPr="00A02B31" w:rsidRDefault="00820308" w:rsidP="009D1381">
      <w:pPr>
        <w:jc w:val="both"/>
        <w:rPr>
          <w:rFonts w:cstheme="minorHAnsi"/>
          <w:b/>
          <w:bCs/>
          <w:sz w:val="20"/>
          <w:szCs w:val="20"/>
        </w:rPr>
      </w:pPr>
    </w:p>
    <w:p w14:paraId="36DB183A" w14:textId="77777777" w:rsidR="00820308" w:rsidRPr="00A02B31" w:rsidRDefault="00820308" w:rsidP="009D1381">
      <w:pPr>
        <w:jc w:val="both"/>
        <w:rPr>
          <w:rFonts w:cstheme="minorHAnsi"/>
          <w:b/>
          <w:bCs/>
          <w:sz w:val="20"/>
          <w:szCs w:val="20"/>
        </w:rPr>
      </w:pPr>
    </w:p>
    <w:p w14:paraId="2EE00AF4" w14:textId="77777777" w:rsidR="00820308" w:rsidRPr="00A02B31" w:rsidRDefault="00820308" w:rsidP="009D1381">
      <w:pPr>
        <w:jc w:val="both"/>
        <w:rPr>
          <w:rFonts w:cstheme="minorHAnsi"/>
          <w:b/>
          <w:bCs/>
          <w:sz w:val="20"/>
          <w:szCs w:val="20"/>
        </w:rPr>
      </w:pPr>
    </w:p>
    <w:p w14:paraId="1B9CE893" w14:textId="77777777" w:rsidR="00820308" w:rsidRPr="00A02B31" w:rsidRDefault="00820308" w:rsidP="009D1381">
      <w:pPr>
        <w:jc w:val="both"/>
        <w:rPr>
          <w:rFonts w:cstheme="minorHAnsi"/>
          <w:b/>
          <w:bCs/>
          <w:sz w:val="20"/>
          <w:szCs w:val="20"/>
        </w:rPr>
      </w:pPr>
    </w:p>
    <w:p w14:paraId="0CB7AECE" w14:textId="77777777" w:rsidR="00820308" w:rsidRPr="00A02B31" w:rsidRDefault="00820308" w:rsidP="009D1381">
      <w:pPr>
        <w:jc w:val="both"/>
        <w:rPr>
          <w:rFonts w:cstheme="minorHAnsi"/>
          <w:b/>
          <w:bCs/>
          <w:sz w:val="20"/>
          <w:szCs w:val="20"/>
        </w:rPr>
      </w:pPr>
    </w:p>
    <w:p w14:paraId="417E1835" w14:textId="77777777" w:rsidR="00820308" w:rsidRPr="00A02B31" w:rsidRDefault="00820308" w:rsidP="009D1381">
      <w:pPr>
        <w:jc w:val="both"/>
        <w:rPr>
          <w:rFonts w:cstheme="minorHAnsi"/>
          <w:b/>
          <w:bCs/>
          <w:sz w:val="20"/>
          <w:szCs w:val="20"/>
        </w:rPr>
      </w:pPr>
    </w:p>
    <w:p w14:paraId="697A2C25" w14:textId="77777777" w:rsidR="00820308" w:rsidRPr="00A02B31" w:rsidRDefault="00820308" w:rsidP="009D1381">
      <w:pPr>
        <w:jc w:val="both"/>
        <w:rPr>
          <w:rFonts w:cstheme="minorHAnsi"/>
          <w:b/>
          <w:bCs/>
          <w:sz w:val="20"/>
          <w:szCs w:val="20"/>
        </w:rPr>
      </w:pPr>
    </w:p>
    <w:p w14:paraId="0E4E332A" w14:textId="77777777" w:rsidR="00820308" w:rsidRPr="00A02B31" w:rsidRDefault="00820308" w:rsidP="009D1381">
      <w:pPr>
        <w:jc w:val="both"/>
        <w:rPr>
          <w:rFonts w:cstheme="minorHAnsi"/>
          <w:b/>
          <w:bCs/>
          <w:sz w:val="20"/>
          <w:szCs w:val="20"/>
        </w:rPr>
      </w:pPr>
    </w:p>
    <w:p w14:paraId="7197536C" w14:textId="77777777" w:rsidR="00820308" w:rsidRPr="00A02B31" w:rsidRDefault="00820308" w:rsidP="009D1381">
      <w:pPr>
        <w:jc w:val="both"/>
        <w:rPr>
          <w:rFonts w:cstheme="minorHAnsi"/>
          <w:b/>
          <w:bCs/>
          <w:sz w:val="20"/>
          <w:szCs w:val="20"/>
        </w:rPr>
      </w:pPr>
    </w:p>
    <w:p w14:paraId="29ED84FB" w14:textId="77777777" w:rsidR="00820308" w:rsidRPr="00A02B31" w:rsidRDefault="00820308" w:rsidP="009D1381">
      <w:pPr>
        <w:jc w:val="both"/>
        <w:rPr>
          <w:rFonts w:cstheme="minorHAnsi"/>
          <w:b/>
          <w:bCs/>
          <w:sz w:val="20"/>
          <w:szCs w:val="20"/>
        </w:rPr>
      </w:pPr>
    </w:p>
    <w:p w14:paraId="7D73FBB6" w14:textId="77777777" w:rsidR="00820308" w:rsidRPr="00A02B31" w:rsidRDefault="00820308" w:rsidP="009D1381">
      <w:pPr>
        <w:jc w:val="both"/>
        <w:rPr>
          <w:rFonts w:cstheme="minorHAnsi"/>
          <w:b/>
          <w:bCs/>
          <w:sz w:val="20"/>
          <w:szCs w:val="20"/>
        </w:rPr>
      </w:pPr>
    </w:p>
    <w:p w14:paraId="13C84014" w14:textId="77777777" w:rsidR="00820308" w:rsidRPr="00A02B31" w:rsidRDefault="00820308" w:rsidP="009D1381">
      <w:pPr>
        <w:jc w:val="both"/>
        <w:rPr>
          <w:rFonts w:cstheme="minorHAnsi"/>
          <w:b/>
          <w:bCs/>
          <w:sz w:val="20"/>
          <w:szCs w:val="20"/>
        </w:rPr>
      </w:pPr>
    </w:p>
    <w:p w14:paraId="1CE975B4" w14:textId="74C68753" w:rsidR="002A7E90" w:rsidRPr="00A02B31" w:rsidRDefault="002A7E90">
      <w:pPr>
        <w:rPr>
          <w:rFonts w:cstheme="minorHAnsi"/>
          <w:b/>
          <w:bCs/>
          <w:sz w:val="20"/>
          <w:szCs w:val="20"/>
        </w:rPr>
      </w:pPr>
    </w:p>
    <w:p w14:paraId="471D35B9" w14:textId="77777777" w:rsidR="00820308" w:rsidRPr="00A02B31" w:rsidRDefault="00820308" w:rsidP="009D1381">
      <w:pPr>
        <w:jc w:val="both"/>
        <w:rPr>
          <w:rFonts w:cstheme="minorHAnsi"/>
          <w:b/>
          <w:bCs/>
          <w:sz w:val="20"/>
          <w:szCs w:val="20"/>
        </w:rPr>
      </w:pPr>
    </w:p>
    <w:p w14:paraId="6A77E544" w14:textId="47093403" w:rsidR="006825A4" w:rsidRPr="00A02B31" w:rsidRDefault="006825A4" w:rsidP="009D1381">
      <w:pPr>
        <w:jc w:val="both"/>
        <w:rPr>
          <w:rFonts w:cstheme="minorHAnsi"/>
          <w:b/>
          <w:bCs/>
          <w:sz w:val="20"/>
          <w:szCs w:val="20"/>
        </w:rPr>
      </w:pPr>
      <w:r w:rsidRPr="00A02B31">
        <w:rPr>
          <w:rFonts w:cstheme="minorHAnsi"/>
          <w:b/>
          <w:bCs/>
          <w:sz w:val="20"/>
          <w:szCs w:val="20"/>
        </w:rPr>
        <w:t xml:space="preserve">About the Investment Manager </w:t>
      </w:r>
    </w:p>
    <w:p w14:paraId="14A342F7" w14:textId="2D1496B5" w:rsidR="006825A4" w:rsidRPr="00A02B31" w:rsidRDefault="006825A4" w:rsidP="009D1381">
      <w:pPr>
        <w:jc w:val="both"/>
        <w:rPr>
          <w:rFonts w:cstheme="minorHAnsi"/>
          <w:sz w:val="20"/>
          <w:szCs w:val="20"/>
        </w:rPr>
      </w:pPr>
      <w:r w:rsidRPr="00A02B31">
        <w:rPr>
          <w:rFonts w:cstheme="minorHAnsi"/>
          <w:sz w:val="20"/>
          <w:szCs w:val="20"/>
        </w:rPr>
        <w:t>Harwood Capital LLP (“HC LLP”) was incorporated in 2003 and is the investment manager for Rockwood Strategic Plc, the Harwood Private Equity and Harwood Private Debt funds and Harwood Private Clients. It is the investment adviser to North Atlantic Smaller Companies Investment Trust Plc and Oryx International Growth Plc. HC LLP is a wholly owned subsidiary of Harwood Capital Management Limited and is authorised and regulated by the Financial Conduct Authority (“FCA”), authorisation number 224915 and is led by Christopher Mills. The funds managed and advised by HC LLP follow an active, value approach towards the businesses in which they invest. Mr Mills is a member of the Rockwood Strategic Plc Investment Advisory Group.</w:t>
      </w:r>
    </w:p>
    <w:p w14:paraId="7E04175C" w14:textId="4BA3DFCE" w:rsidR="00482819" w:rsidRPr="00A02B31" w:rsidRDefault="00482819" w:rsidP="009D1381">
      <w:pPr>
        <w:jc w:val="both"/>
        <w:rPr>
          <w:rFonts w:cstheme="minorHAnsi"/>
          <w:sz w:val="20"/>
          <w:szCs w:val="20"/>
        </w:rPr>
      </w:pPr>
    </w:p>
    <w:p w14:paraId="5A78E55E" w14:textId="77777777" w:rsidR="00384045" w:rsidRPr="00A02B31" w:rsidRDefault="009502DB" w:rsidP="009D1381">
      <w:pPr>
        <w:ind w:left="2835"/>
        <w:jc w:val="both"/>
        <w:rPr>
          <w:rFonts w:cstheme="minorHAnsi"/>
          <w:b/>
          <w:bCs/>
          <w:sz w:val="20"/>
          <w:szCs w:val="20"/>
          <w:lang w:val="en-US"/>
        </w:rPr>
      </w:pPr>
      <w:r w:rsidRPr="00A02B31">
        <w:rPr>
          <w:rFonts w:cstheme="minorHAnsi"/>
          <w:b/>
          <w:bCs/>
          <w:sz w:val="20"/>
          <w:szCs w:val="20"/>
          <w:lang w:val="en-US"/>
        </w:rPr>
        <w:t xml:space="preserve">Richard Staveley, </w:t>
      </w:r>
      <w:r w:rsidR="006825A4" w:rsidRPr="00A02B31">
        <w:rPr>
          <w:rFonts w:cstheme="minorHAnsi"/>
          <w:b/>
          <w:bCs/>
          <w:sz w:val="20"/>
          <w:szCs w:val="20"/>
          <w:lang w:val="en-US"/>
        </w:rPr>
        <w:t>Lead Fund Manager</w:t>
      </w:r>
    </w:p>
    <w:p w14:paraId="55E3DF2F" w14:textId="5C9A28D1" w:rsidR="006825A4" w:rsidRPr="00A02B31" w:rsidRDefault="006825A4" w:rsidP="009D1381">
      <w:pPr>
        <w:ind w:left="2835"/>
        <w:jc w:val="both"/>
        <w:rPr>
          <w:rFonts w:cstheme="minorHAnsi"/>
          <w:sz w:val="20"/>
          <w:szCs w:val="20"/>
          <w:lang w:val="en-US"/>
        </w:rPr>
      </w:pPr>
      <w:r w:rsidRPr="00A02B31">
        <w:rPr>
          <w:rFonts w:cstheme="minorHAnsi"/>
          <w:sz w:val="20"/>
          <w:szCs w:val="20"/>
          <w:lang w:val="en-US"/>
        </w:rPr>
        <w:t>Richard has over twenty years’ experience of equity investment and fund management. Having qualified as a chartered accountant at PricewaterhouseCoopers, Richard joined Bradshaw Asset Management, as assistant fund manager in 1999. He subsequently joined Société Générale Asset Management where he became Head of UK Small Companies and a CFA charterholder. In 2006, he co-founded River and Mercantile Asset Management where he launched both the UK Small Company Fund, the UK Income Fund and was Head of Research. In 2013, he joined Majedie Asset Management to co-manage and subsequently solely manage the UK small company investments. In 2019 he joined Gresham House Plc as fund manager for Gresham House Strategic Plc, the Strategic Public Equity LP and eventually the Gresham House UK Small Companies Fund. He currently sits on the boards of Bonhill Plc and Centaur Plc.</w:t>
      </w:r>
    </w:p>
    <w:p w14:paraId="01FBBBE5" w14:textId="75C08D2A" w:rsidR="00482819" w:rsidRPr="00A02B31" w:rsidRDefault="00482819" w:rsidP="009D1381">
      <w:pPr>
        <w:ind w:left="2835"/>
        <w:jc w:val="both"/>
        <w:rPr>
          <w:rFonts w:cstheme="minorHAnsi"/>
          <w:sz w:val="20"/>
          <w:szCs w:val="20"/>
          <w:lang w:val="en-US"/>
        </w:rPr>
      </w:pPr>
    </w:p>
    <w:p w14:paraId="21F60164" w14:textId="4B4BE0E0" w:rsidR="006825A4" w:rsidRPr="00A02B31" w:rsidRDefault="009502DB" w:rsidP="009D1381">
      <w:pPr>
        <w:ind w:left="2835"/>
        <w:jc w:val="both"/>
        <w:rPr>
          <w:rFonts w:cstheme="minorHAnsi"/>
          <w:b/>
          <w:bCs/>
          <w:sz w:val="20"/>
          <w:szCs w:val="20"/>
          <w:lang w:val="en-US"/>
        </w:rPr>
      </w:pPr>
      <w:r w:rsidRPr="00A02B31">
        <w:rPr>
          <w:rFonts w:cstheme="minorHAnsi"/>
          <w:b/>
          <w:bCs/>
          <w:sz w:val="20"/>
          <w:szCs w:val="20"/>
          <w:lang w:val="en-US"/>
        </w:rPr>
        <w:t xml:space="preserve">Nicholas Mills, </w:t>
      </w:r>
      <w:r w:rsidR="006825A4" w:rsidRPr="00A02B31">
        <w:rPr>
          <w:rFonts w:cstheme="minorHAnsi"/>
          <w:b/>
          <w:bCs/>
          <w:sz w:val="20"/>
          <w:szCs w:val="20"/>
          <w:lang w:val="en-US"/>
        </w:rPr>
        <w:t>Assistant Fund Manager</w:t>
      </w:r>
    </w:p>
    <w:p w14:paraId="75A021B5" w14:textId="26E80303" w:rsidR="006825A4" w:rsidRPr="00A02B31" w:rsidRDefault="006825A4" w:rsidP="009D1381">
      <w:pPr>
        <w:ind w:left="2835"/>
        <w:jc w:val="both"/>
        <w:rPr>
          <w:rFonts w:cstheme="minorHAnsi"/>
          <w:sz w:val="20"/>
          <w:szCs w:val="20"/>
          <w:lang w:val="en-US"/>
        </w:rPr>
      </w:pPr>
      <w:r w:rsidRPr="00A02B31">
        <w:rPr>
          <w:rFonts w:cstheme="minorHAnsi"/>
          <w:sz w:val="20"/>
          <w:szCs w:val="20"/>
          <w:lang w:val="en-US"/>
        </w:rPr>
        <w:t>Nicholas</w:t>
      </w:r>
      <w:r w:rsidR="000C5053">
        <w:rPr>
          <w:rFonts w:cstheme="minorHAnsi"/>
          <w:sz w:val="20"/>
          <w:szCs w:val="20"/>
          <w:lang w:val="en-US"/>
        </w:rPr>
        <w:t xml:space="preserve"> </w:t>
      </w:r>
      <w:r w:rsidRPr="00A02B31">
        <w:rPr>
          <w:rFonts w:cstheme="minorHAnsi"/>
          <w:sz w:val="20"/>
          <w:szCs w:val="20"/>
          <w:lang w:val="en-US"/>
        </w:rPr>
        <w:t>joined Harwood Capital LLP in 2019 after spending 5 years at Gabelli Asset Management in New York. He acted primarily as a Research Analyst covering the multi-industrial space and also gained experience in Merger Arbitrage strategies and marketing Closed End Funds. He has a Bachelor of Science Degree from Boston College’s Carroll School of Management. He currently sits on the boards of Circassia Group Plc, Hargreaves Services Plc and Crestchic Plc.</w:t>
      </w:r>
    </w:p>
    <w:p w14:paraId="14D7F08B" w14:textId="0EE423EF" w:rsidR="00482819" w:rsidRPr="00A02B31" w:rsidRDefault="00482819" w:rsidP="009D1381">
      <w:pPr>
        <w:ind w:left="2835"/>
        <w:jc w:val="both"/>
        <w:rPr>
          <w:rFonts w:cstheme="minorHAnsi"/>
          <w:sz w:val="20"/>
          <w:szCs w:val="20"/>
          <w:lang w:val="en-US"/>
        </w:rPr>
      </w:pPr>
    </w:p>
    <w:p w14:paraId="23F2E179" w14:textId="71995630" w:rsidR="00482819" w:rsidRPr="00A02B31" w:rsidRDefault="00482819" w:rsidP="009D1381">
      <w:pPr>
        <w:ind w:left="2835"/>
        <w:jc w:val="both"/>
        <w:rPr>
          <w:rFonts w:cstheme="minorHAnsi"/>
          <w:sz w:val="20"/>
          <w:szCs w:val="20"/>
          <w:lang w:val="en-US"/>
        </w:rPr>
      </w:pPr>
    </w:p>
    <w:p w14:paraId="228C5C16" w14:textId="1A910F42" w:rsidR="00820308" w:rsidRPr="00A02B31" w:rsidRDefault="00820308" w:rsidP="009D1381">
      <w:pPr>
        <w:ind w:left="2835"/>
        <w:jc w:val="both"/>
        <w:rPr>
          <w:rFonts w:cstheme="minorHAnsi"/>
          <w:sz w:val="20"/>
          <w:szCs w:val="20"/>
          <w:lang w:val="en-US"/>
        </w:rPr>
      </w:pPr>
    </w:p>
    <w:p w14:paraId="4A0312D8" w14:textId="77777777" w:rsidR="00820308" w:rsidRPr="00A02B31" w:rsidRDefault="00820308" w:rsidP="009D1381">
      <w:pPr>
        <w:ind w:left="2835"/>
        <w:jc w:val="both"/>
        <w:rPr>
          <w:rFonts w:cstheme="minorHAnsi"/>
          <w:sz w:val="20"/>
          <w:szCs w:val="20"/>
          <w:lang w:val="en-US"/>
        </w:rPr>
      </w:pPr>
    </w:p>
    <w:p w14:paraId="7A46B410" w14:textId="531C11CA" w:rsidR="006825A4" w:rsidRPr="00A02B31" w:rsidRDefault="006825A4" w:rsidP="009D1381">
      <w:pPr>
        <w:ind w:left="2835"/>
        <w:jc w:val="both"/>
        <w:rPr>
          <w:rFonts w:cstheme="minorHAnsi"/>
          <w:b/>
          <w:bCs/>
          <w:sz w:val="20"/>
          <w:szCs w:val="20"/>
          <w:lang w:val="en-US"/>
        </w:rPr>
      </w:pPr>
      <w:r w:rsidRPr="00A02B31">
        <w:rPr>
          <w:rFonts w:cstheme="minorHAnsi"/>
          <w:b/>
          <w:bCs/>
          <w:sz w:val="20"/>
          <w:szCs w:val="20"/>
          <w:lang w:val="en-US"/>
        </w:rPr>
        <w:t>Christopher Mills</w:t>
      </w:r>
      <w:r w:rsidR="00143C64" w:rsidRPr="00A02B31">
        <w:rPr>
          <w:rFonts w:cstheme="minorHAnsi"/>
          <w:b/>
          <w:bCs/>
          <w:sz w:val="20"/>
          <w:szCs w:val="20"/>
          <w:lang w:val="en-US"/>
        </w:rPr>
        <w:t>, CIO Harwood Capital LLP</w:t>
      </w:r>
    </w:p>
    <w:p w14:paraId="0576C6B9" w14:textId="3205C94B" w:rsidR="006825A4" w:rsidRPr="00A02B31" w:rsidRDefault="006825A4" w:rsidP="009D1381">
      <w:pPr>
        <w:ind w:left="2835"/>
        <w:jc w:val="both"/>
        <w:rPr>
          <w:rFonts w:cstheme="minorHAnsi"/>
          <w:sz w:val="20"/>
          <w:szCs w:val="20"/>
          <w:lang w:val="en-US"/>
        </w:rPr>
      </w:pPr>
      <w:r w:rsidRPr="00A02B31">
        <w:rPr>
          <w:rFonts w:cstheme="minorHAnsi"/>
          <w:sz w:val="20"/>
          <w:szCs w:val="20"/>
          <w:lang w:val="en-US"/>
        </w:rPr>
        <w:t xml:space="preserve">Christopher has over 45 years investment experience and </w:t>
      </w:r>
      <w:r w:rsidR="0091098D">
        <w:rPr>
          <w:rFonts w:cstheme="minorHAnsi"/>
          <w:sz w:val="20"/>
          <w:szCs w:val="20"/>
          <w:lang w:val="en-US"/>
        </w:rPr>
        <w:t>has been the</w:t>
      </w:r>
      <w:r w:rsidRPr="00A02B31">
        <w:rPr>
          <w:rFonts w:cstheme="minorHAnsi"/>
          <w:sz w:val="20"/>
          <w:szCs w:val="20"/>
          <w:lang w:val="en-US"/>
        </w:rPr>
        <w:t xml:space="preserve"> Chief Executive Officer and principal shareholder of Harwood Capital Management since 2011. He founded JO Hambro Capital Management with Jamie Hambro in 1993 acting as Chief Investment Officer and Harwood Wealth with Alan Durant in 2013 until their respective sales in 2011 and 2020. He is CEO of North Atlantic Smaller Companies Investment Trust (“NASCIT”) which he has managed since 1982 and Executive Director of Oryx International Growth Fund which he has managed since 1995. NASCIT has delivered a total NAV per share of nearly 200x under Mr. Mills’ management. He has sat on the Board of over 100 companies during his career including most recently Augean, MJ Gleeson, SureServe, Frenkel Topping, Assetco</w:t>
      </w:r>
      <w:r w:rsidR="0024365F" w:rsidRPr="00A02B31">
        <w:rPr>
          <w:rFonts w:cstheme="minorHAnsi"/>
          <w:sz w:val="20"/>
          <w:szCs w:val="20"/>
          <w:lang w:val="en-US"/>
        </w:rPr>
        <w:t>, Ten Entertainment, Bigblu Broadband, Trellus Health, SourceBio International</w:t>
      </w:r>
      <w:r w:rsidRPr="00A02B31">
        <w:rPr>
          <w:rFonts w:cstheme="minorHAnsi"/>
          <w:sz w:val="20"/>
          <w:szCs w:val="20"/>
          <w:lang w:val="en-US"/>
        </w:rPr>
        <w:t xml:space="preserve"> and is currently Chairman of EKF Diagnostics and Renalytix AI.</w:t>
      </w:r>
    </w:p>
    <w:p w14:paraId="311FBDCA" w14:textId="5F444BB7" w:rsidR="00820308" w:rsidRPr="00A02B31" w:rsidRDefault="00820308" w:rsidP="009D1381">
      <w:pPr>
        <w:ind w:left="2835"/>
        <w:jc w:val="both"/>
        <w:rPr>
          <w:rFonts w:cstheme="minorHAnsi"/>
          <w:sz w:val="20"/>
          <w:szCs w:val="20"/>
          <w:lang w:val="en-US"/>
        </w:rPr>
      </w:pPr>
    </w:p>
    <w:p w14:paraId="4C276AE9" w14:textId="345A2397" w:rsidR="00820308" w:rsidRPr="00A02B31" w:rsidRDefault="00820308" w:rsidP="00820308">
      <w:pPr>
        <w:ind w:left="2835"/>
        <w:jc w:val="both"/>
        <w:rPr>
          <w:rFonts w:cstheme="minorHAnsi"/>
          <w:b/>
          <w:bCs/>
          <w:sz w:val="20"/>
          <w:szCs w:val="20"/>
          <w:lang w:val="en-US"/>
        </w:rPr>
      </w:pPr>
      <w:r w:rsidRPr="00A02B31">
        <w:rPr>
          <w:rFonts w:cstheme="minorHAnsi"/>
          <w:b/>
          <w:bCs/>
          <w:sz w:val="20"/>
          <w:szCs w:val="20"/>
          <w:lang w:val="en-US"/>
        </w:rPr>
        <w:t>Investment Advisory Group</w:t>
      </w:r>
    </w:p>
    <w:p w14:paraId="1F3D5C11" w14:textId="77777777" w:rsidR="00820308" w:rsidRPr="00A02B31" w:rsidRDefault="00820308" w:rsidP="00820308">
      <w:pPr>
        <w:ind w:left="2835"/>
        <w:jc w:val="both"/>
        <w:rPr>
          <w:rFonts w:cstheme="minorHAnsi"/>
          <w:sz w:val="20"/>
          <w:szCs w:val="20"/>
          <w:lang w:val="en-US"/>
        </w:rPr>
      </w:pPr>
      <w:r w:rsidRPr="00A02B31">
        <w:rPr>
          <w:rFonts w:cstheme="minorHAnsi"/>
          <w:sz w:val="20"/>
          <w:szCs w:val="20"/>
          <w:lang w:val="en-US"/>
        </w:rPr>
        <w:t xml:space="preserve">Harwood Capital LLP has formed an Investment Advisory Group (IAG) to support the Investment Team for Rockwood Strategic Plc. The members are experienced financial professionals with relevant experience, their details are disclosed on the </w:t>
      </w:r>
      <w:hyperlink r:id="rId11" w:history="1">
        <w:r w:rsidRPr="00A02B31">
          <w:rPr>
            <w:rStyle w:val="Hyperlink"/>
            <w:rFonts w:cstheme="minorHAnsi"/>
            <w:sz w:val="20"/>
            <w:szCs w:val="20"/>
            <w:lang w:val="en-US"/>
          </w:rPr>
          <w:t>www.rockwoodstrategic.co.uk</w:t>
        </w:r>
      </w:hyperlink>
      <w:r w:rsidRPr="00A02B31">
        <w:rPr>
          <w:rFonts w:cstheme="minorHAnsi"/>
          <w:sz w:val="20"/>
          <w:szCs w:val="20"/>
          <w:lang w:val="en-US"/>
        </w:rPr>
        <w:t xml:space="preserve"> website. The IAG members are provided with details of pipeline ‘core’ investments for the strategy prior to the completion of the research process. Their insights, relevant contacts and investment views are incorporated into the Investment Team’s subsequent due diligence. On completion of due diligence, research is shared with the IAG members and their perspectives actively considered prior to any investment decision by the Investment Team.</w:t>
      </w:r>
    </w:p>
    <w:p w14:paraId="58190DAE" w14:textId="77777777" w:rsidR="00820308" w:rsidRPr="00A02B31" w:rsidRDefault="00820308" w:rsidP="009D1381">
      <w:pPr>
        <w:ind w:left="2835"/>
        <w:jc w:val="both"/>
        <w:rPr>
          <w:rFonts w:cstheme="minorHAnsi"/>
          <w:sz w:val="20"/>
          <w:szCs w:val="20"/>
          <w:lang w:val="en-US"/>
        </w:rPr>
      </w:pPr>
    </w:p>
    <w:p w14:paraId="6238752F" w14:textId="77777777" w:rsidR="00827B1F" w:rsidRPr="00A02B31" w:rsidRDefault="00827B1F" w:rsidP="009D1381">
      <w:pPr>
        <w:jc w:val="both"/>
        <w:rPr>
          <w:rFonts w:cstheme="minorHAnsi"/>
          <w:sz w:val="20"/>
          <w:szCs w:val="20"/>
          <w:lang w:val="en-US"/>
        </w:rPr>
      </w:pPr>
    </w:p>
    <w:p w14:paraId="72736D36" w14:textId="563FDFA0" w:rsidR="002A79E3" w:rsidRDefault="002A79E3" w:rsidP="002A79E3">
      <w:pPr>
        <w:spacing w:after="160" w:line="259" w:lineRule="auto"/>
        <w:rPr>
          <w:rFonts w:eastAsia="Calibri" w:cstheme="minorHAnsi"/>
          <w:b/>
          <w:bCs/>
          <w:sz w:val="20"/>
          <w:szCs w:val="20"/>
        </w:rPr>
      </w:pPr>
      <w:r w:rsidRPr="00A02B31">
        <w:rPr>
          <w:rFonts w:eastAsia="Calibri" w:cstheme="minorHAnsi"/>
          <w:b/>
          <w:bCs/>
          <w:sz w:val="20"/>
          <w:szCs w:val="20"/>
        </w:rPr>
        <w:t>Strategic Report 2022</w:t>
      </w:r>
    </w:p>
    <w:p w14:paraId="6B72DF47" w14:textId="77777777" w:rsidR="008B2DDA" w:rsidRPr="00A02B31" w:rsidRDefault="008B2DDA" w:rsidP="002A79E3">
      <w:pPr>
        <w:spacing w:after="160" w:line="259" w:lineRule="auto"/>
        <w:rPr>
          <w:rFonts w:eastAsia="Calibri" w:cstheme="minorHAnsi"/>
          <w:b/>
          <w:bCs/>
          <w:sz w:val="20"/>
          <w:szCs w:val="20"/>
        </w:rPr>
      </w:pPr>
    </w:p>
    <w:p w14:paraId="513197DE" w14:textId="64D1254F" w:rsidR="002A79E3" w:rsidRPr="00A02B31" w:rsidRDefault="002A79E3" w:rsidP="002A79E3">
      <w:pPr>
        <w:spacing w:after="160" w:line="259" w:lineRule="auto"/>
        <w:rPr>
          <w:rFonts w:eastAsia="Calibri" w:cstheme="minorHAnsi"/>
          <w:sz w:val="20"/>
          <w:szCs w:val="20"/>
        </w:rPr>
      </w:pPr>
      <w:r w:rsidRPr="00A02B31">
        <w:rPr>
          <w:rFonts w:eastAsia="Calibri" w:cstheme="minorHAnsi"/>
          <w:sz w:val="20"/>
          <w:szCs w:val="20"/>
        </w:rPr>
        <w:t xml:space="preserve">The Directors present their Strategic Report for the period ended 31 March 2022. Details of the Directors who held office during the period and as at the date of </w:t>
      </w:r>
      <w:r w:rsidR="00F93246" w:rsidRPr="00A02B31">
        <w:rPr>
          <w:rFonts w:eastAsia="Calibri" w:cstheme="minorHAnsi"/>
          <w:sz w:val="20"/>
          <w:szCs w:val="20"/>
        </w:rPr>
        <w:t>this report are given on pages 5</w:t>
      </w:r>
      <w:r w:rsidR="0030187E" w:rsidRPr="0030187E">
        <w:rPr>
          <w:rFonts w:eastAsia="Calibri" w:cstheme="minorHAnsi"/>
          <w:sz w:val="20"/>
          <w:szCs w:val="20"/>
        </w:rPr>
        <w:t xml:space="preserve"> and 15</w:t>
      </w:r>
      <w:r w:rsidRPr="00A02B31">
        <w:rPr>
          <w:rFonts w:eastAsia="Calibri" w:cstheme="minorHAnsi"/>
          <w:sz w:val="20"/>
          <w:szCs w:val="20"/>
        </w:rPr>
        <w:t xml:space="preserve"> of the Annual Report and Accounts. This Strategic Report has been prepared in accordance with the requirements of Section 414 of the Companies Act 2006 and best practice. Its purpose is to inform the members of the Company and help them to assess how the Directors have performed their duty to promote the success of the Company, in accordance with Section 172 of the Companies Act 2006. </w:t>
      </w:r>
    </w:p>
    <w:p w14:paraId="769C052C" w14:textId="77777777" w:rsidR="002A79E3" w:rsidRPr="00A02B31" w:rsidRDefault="002A79E3" w:rsidP="002A79E3">
      <w:pPr>
        <w:spacing w:after="160" w:line="259" w:lineRule="auto"/>
        <w:rPr>
          <w:rFonts w:eastAsia="Calibri" w:cstheme="minorHAnsi"/>
          <w:sz w:val="20"/>
          <w:szCs w:val="20"/>
        </w:rPr>
      </w:pPr>
      <w:r w:rsidRPr="00A02B31">
        <w:rPr>
          <w:rFonts w:eastAsia="Calibri" w:cstheme="minorHAnsi"/>
          <w:b/>
          <w:bCs/>
          <w:sz w:val="20"/>
          <w:szCs w:val="20"/>
        </w:rPr>
        <w:t>Business review and future outlook</w:t>
      </w:r>
      <w:r w:rsidRPr="00A02B31">
        <w:rPr>
          <w:rFonts w:eastAsia="Calibri" w:cstheme="minorHAnsi"/>
          <w:sz w:val="20"/>
          <w:szCs w:val="20"/>
        </w:rPr>
        <w:t xml:space="preserve"> </w:t>
      </w:r>
    </w:p>
    <w:p w14:paraId="5A7F6DE8" w14:textId="77777777" w:rsidR="002A79E3" w:rsidRPr="00A02B31" w:rsidRDefault="002A79E3" w:rsidP="002A79E3">
      <w:pPr>
        <w:spacing w:after="160" w:line="259" w:lineRule="auto"/>
        <w:rPr>
          <w:rFonts w:eastAsia="Calibri" w:cstheme="minorHAnsi"/>
          <w:sz w:val="20"/>
          <w:szCs w:val="20"/>
        </w:rPr>
      </w:pPr>
      <w:r w:rsidRPr="00A02B31">
        <w:rPr>
          <w:rFonts w:eastAsia="Calibri" w:cstheme="minorHAnsi"/>
          <w:sz w:val="20"/>
          <w:szCs w:val="20"/>
        </w:rPr>
        <w:t xml:space="preserve">The Company’s business review, developments during the year and a detailed discussion of the individual asset performance together with future outlook are covered in the Chairman’s Statement and the Investment Manager’s Report. The Directors are of the view the investment strategy has performed well, especially given the events of the past year. </w:t>
      </w:r>
    </w:p>
    <w:p w14:paraId="65A8401C" w14:textId="77777777" w:rsidR="002A79E3" w:rsidRPr="00A02B31" w:rsidRDefault="002A79E3" w:rsidP="002A79E3">
      <w:pPr>
        <w:spacing w:after="160" w:line="259" w:lineRule="auto"/>
        <w:rPr>
          <w:rFonts w:eastAsia="Calibri" w:cstheme="minorHAnsi"/>
          <w:b/>
          <w:bCs/>
          <w:sz w:val="20"/>
          <w:szCs w:val="20"/>
        </w:rPr>
      </w:pPr>
      <w:r w:rsidRPr="00A02B31">
        <w:rPr>
          <w:rFonts w:eastAsia="Calibri" w:cstheme="minorHAnsi"/>
          <w:b/>
          <w:bCs/>
          <w:sz w:val="20"/>
          <w:szCs w:val="20"/>
        </w:rPr>
        <w:t>Key Performance Indicators</w:t>
      </w:r>
    </w:p>
    <w:p w14:paraId="02B0626B" w14:textId="77777777" w:rsidR="002A79E3" w:rsidRPr="00A02B31" w:rsidRDefault="002A79E3" w:rsidP="002A79E3">
      <w:pPr>
        <w:spacing w:after="160" w:line="259" w:lineRule="auto"/>
        <w:rPr>
          <w:rFonts w:eastAsia="Calibri" w:cstheme="minorHAnsi"/>
          <w:sz w:val="20"/>
          <w:szCs w:val="20"/>
        </w:rPr>
      </w:pPr>
      <w:r w:rsidRPr="00A02B31">
        <w:rPr>
          <w:rFonts w:eastAsia="Calibri" w:cstheme="minorHAnsi"/>
          <w:sz w:val="20"/>
          <w:szCs w:val="20"/>
        </w:rPr>
        <w:t xml:space="preserve">At each Board meeting, the Directors consider the performance measures to assess the Company’s success in meeting its objectives. The Board believes the Company’s key performance indicators are: </w:t>
      </w:r>
    </w:p>
    <w:p w14:paraId="43BC5A18" w14:textId="77777777" w:rsidR="002A79E3" w:rsidRPr="00A02B31" w:rsidRDefault="002A79E3" w:rsidP="002A79E3">
      <w:pPr>
        <w:numPr>
          <w:ilvl w:val="0"/>
          <w:numId w:val="65"/>
        </w:numPr>
        <w:spacing w:after="160" w:line="259" w:lineRule="auto"/>
        <w:contextualSpacing/>
        <w:rPr>
          <w:rFonts w:eastAsia="Calibri" w:cstheme="minorHAnsi"/>
          <w:sz w:val="20"/>
          <w:szCs w:val="20"/>
        </w:rPr>
      </w:pPr>
      <w:r w:rsidRPr="00A02B31">
        <w:rPr>
          <w:rFonts w:eastAsia="Calibri" w:cstheme="minorHAnsi"/>
          <w:sz w:val="20"/>
          <w:szCs w:val="20"/>
        </w:rPr>
        <w:t>Net Asset Value Total Return: the sum of NAV per Ordinary Share growth and cumulative dividends paid. This measure incorporates investment performance and company expenses. The manager is targeting and the investment objective is to make investments capable of delivering 15% Internal Rates of Return (IRR) over the medium term.</w:t>
      </w:r>
    </w:p>
    <w:p w14:paraId="2BD91F8B" w14:textId="77777777" w:rsidR="002A79E3" w:rsidRPr="00A02B31" w:rsidRDefault="002A79E3" w:rsidP="002A79E3">
      <w:pPr>
        <w:spacing w:after="160" w:line="259" w:lineRule="auto"/>
        <w:ind w:left="720"/>
        <w:contextualSpacing/>
        <w:rPr>
          <w:rFonts w:eastAsia="Calibri" w:cstheme="minorHAnsi"/>
          <w:sz w:val="20"/>
          <w:szCs w:val="20"/>
        </w:rPr>
      </w:pPr>
    </w:p>
    <w:p w14:paraId="439BD34A" w14:textId="71CF1971" w:rsidR="002A79E3" w:rsidRPr="00A02B31" w:rsidRDefault="002A79E3" w:rsidP="002A79E3">
      <w:pPr>
        <w:numPr>
          <w:ilvl w:val="0"/>
          <w:numId w:val="65"/>
        </w:numPr>
        <w:spacing w:after="160" w:line="259" w:lineRule="auto"/>
        <w:contextualSpacing/>
        <w:rPr>
          <w:rFonts w:eastAsia="Calibri" w:cstheme="minorHAnsi"/>
          <w:sz w:val="20"/>
          <w:szCs w:val="20"/>
        </w:rPr>
      </w:pPr>
      <w:r w:rsidRPr="00A02B31">
        <w:rPr>
          <w:rFonts w:eastAsia="Calibri" w:cstheme="minorHAnsi"/>
          <w:sz w:val="20"/>
          <w:szCs w:val="20"/>
        </w:rPr>
        <w:t>Rockwood Strategic Plc Total Shareholder Return: RKW cumulative share price return for the year and cumulative dividends paid. Implicit in this measure is any movement in the share price discount or premium to NAV which is also measured.</w:t>
      </w:r>
    </w:p>
    <w:p w14:paraId="4C0595C6" w14:textId="333588AB" w:rsidR="002A79E3" w:rsidRPr="00A02B31" w:rsidRDefault="002A79E3" w:rsidP="002A79E3">
      <w:pPr>
        <w:spacing w:after="160" w:line="259" w:lineRule="auto"/>
        <w:rPr>
          <w:rFonts w:eastAsia="Calibri" w:cstheme="minorHAnsi"/>
          <w:sz w:val="20"/>
          <w:szCs w:val="20"/>
        </w:rPr>
      </w:pPr>
      <w:r w:rsidRPr="00A02B31">
        <w:rPr>
          <w:rFonts w:eastAsia="Calibri" w:cstheme="minorHAnsi"/>
          <w:sz w:val="20"/>
          <w:szCs w:val="20"/>
        </w:rPr>
        <w:t>The Directors draw attention to the Investment Highlights section of the Inve</w:t>
      </w:r>
      <w:r w:rsidR="00F93246" w:rsidRPr="00A02B31">
        <w:rPr>
          <w:rFonts w:eastAsia="Calibri" w:cstheme="minorHAnsi"/>
          <w:sz w:val="20"/>
          <w:szCs w:val="20"/>
        </w:rPr>
        <w:t xml:space="preserve">stment Manager’s Report (page 6 </w:t>
      </w:r>
      <w:r w:rsidRPr="00A02B31">
        <w:rPr>
          <w:rFonts w:eastAsia="Calibri" w:cstheme="minorHAnsi"/>
          <w:sz w:val="20"/>
          <w:szCs w:val="20"/>
        </w:rPr>
        <w:t>of the annual report).</w:t>
      </w:r>
    </w:p>
    <w:p w14:paraId="0D4FA93F" w14:textId="77777777" w:rsidR="002A79E3" w:rsidRPr="00A02B31" w:rsidRDefault="002A79E3" w:rsidP="002A79E3">
      <w:pPr>
        <w:spacing w:after="160" w:line="259" w:lineRule="auto"/>
        <w:rPr>
          <w:rFonts w:eastAsia="Calibri" w:cstheme="minorHAnsi"/>
          <w:sz w:val="20"/>
          <w:szCs w:val="20"/>
        </w:rPr>
      </w:pPr>
      <w:r w:rsidRPr="00A02B31">
        <w:rPr>
          <w:rFonts w:eastAsia="Calibri" w:cstheme="minorHAnsi"/>
          <w:b/>
          <w:bCs/>
          <w:sz w:val="20"/>
          <w:szCs w:val="20"/>
        </w:rPr>
        <w:t>Principal Risks and Uncertainties</w:t>
      </w:r>
      <w:r w:rsidRPr="00A02B31">
        <w:rPr>
          <w:rFonts w:eastAsia="Calibri" w:cstheme="minorHAnsi"/>
          <w:sz w:val="20"/>
          <w:szCs w:val="20"/>
        </w:rPr>
        <w:t xml:space="preserve"> </w:t>
      </w:r>
    </w:p>
    <w:p w14:paraId="441C80F8" w14:textId="77777777" w:rsidR="002A79E3" w:rsidRPr="00A02B31" w:rsidRDefault="002A79E3" w:rsidP="002A79E3">
      <w:pPr>
        <w:spacing w:after="160" w:line="259" w:lineRule="auto"/>
        <w:rPr>
          <w:rFonts w:eastAsia="Calibri" w:cstheme="minorHAnsi"/>
          <w:sz w:val="20"/>
          <w:szCs w:val="20"/>
        </w:rPr>
      </w:pPr>
      <w:r w:rsidRPr="00A02B31">
        <w:rPr>
          <w:rFonts w:eastAsia="Calibri" w:cstheme="minorHAnsi"/>
          <w:sz w:val="20"/>
          <w:szCs w:val="20"/>
        </w:rPr>
        <w:t xml:space="preserve">The Board, on behalf of the shareholders, manages a range of risks that might impact the financial position of the Company, the principal risks are as follows: </w:t>
      </w:r>
    </w:p>
    <w:p w14:paraId="148C94F2" w14:textId="77777777" w:rsidR="002A79E3" w:rsidRPr="00A02B31" w:rsidRDefault="002A79E3" w:rsidP="002A79E3">
      <w:pPr>
        <w:numPr>
          <w:ilvl w:val="0"/>
          <w:numId w:val="66"/>
        </w:numPr>
        <w:spacing w:after="160" w:line="259" w:lineRule="auto"/>
        <w:contextualSpacing/>
        <w:rPr>
          <w:rFonts w:eastAsia="Calibri" w:cstheme="minorHAnsi"/>
          <w:sz w:val="20"/>
          <w:szCs w:val="20"/>
        </w:rPr>
      </w:pPr>
      <w:r w:rsidRPr="00A02B31">
        <w:rPr>
          <w:rFonts w:eastAsia="Calibri" w:cstheme="minorHAnsi"/>
          <w:sz w:val="20"/>
          <w:szCs w:val="20"/>
        </w:rPr>
        <w:t xml:space="preserve">Investment value - the largest risk faced, and which is inherent in the strategy of investing in other companies, is the risk that the value of the Company’s investments might fall. See note 14 to the financial statements for further details on this, specifically note 14a “Market Risk”. Our mitigation, as set out in the Investment Manager’s Report, is to manage a diverse portfolio and for the manager to operate with controls and diligence around new investments. </w:t>
      </w:r>
    </w:p>
    <w:p w14:paraId="703ABC23" w14:textId="77777777" w:rsidR="002A79E3" w:rsidRPr="00A02B31" w:rsidRDefault="002A79E3" w:rsidP="002A79E3">
      <w:pPr>
        <w:spacing w:after="160" w:line="259" w:lineRule="auto"/>
        <w:ind w:left="720"/>
        <w:contextualSpacing/>
        <w:rPr>
          <w:rFonts w:eastAsia="Calibri" w:cstheme="minorHAnsi"/>
          <w:sz w:val="20"/>
          <w:szCs w:val="20"/>
        </w:rPr>
      </w:pPr>
    </w:p>
    <w:p w14:paraId="18507BB6" w14:textId="77777777" w:rsidR="002A79E3" w:rsidRPr="00A02B31" w:rsidRDefault="002A79E3" w:rsidP="002A79E3">
      <w:pPr>
        <w:numPr>
          <w:ilvl w:val="0"/>
          <w:numId w:val="66"/>
        </w:numPr>
        <w:spacing w:after="160" w:line="259" w:lineRule="auto"/>
        <w:contextualSpacing/>
        <w:rPr>
          <w:rFonts w:eastAsia="Calibri" w:cstheme="minorHAnsi"/>
          <w:sz w:val="20"/>
          <w:szCs w:val="20"/>
        </w:rPr>
      </w:pPr>
      <w:r w:rsidRPr="00A02B31">
        <w:rPr>
          <w:rFonts w:eastAsia="Calibri" w:cstheme="minorHAnsi"/>
          <w:sz w:val="20"/>
          <w:szCs w:val="20"/>
        </w:rPr>
        <w:t xml:space="preserve">Investment Manager - the Company is reliant on the Investment Manager to implement the investment strategy successfully and the risk that this might not continue is managed by the Board through regular and detailed engagement with, and oversight of, the manager together with the manager’s own comprehensive investment and operating processes. </w:t>
      </w:r>
    </w:p>
    <w:p w14:paraId="62A6A54B" w14:textId="77777777" w:rsidR="002A79E3" w:rsidRPr="00A02B31" w:rsidRDefault="002A79E3" w:rsidP="002A79E3">
      <w:pPr>
        <w:spacing w:after="160" w:line="259" w:lineRule="auto"/>
        <w:ind w:left="720"/>
        <w:contextualSpacing/>
        <w:rPr>
          <w:rFonts w:eastAsia="Calibri" w:cstheme="minorHAnsi"/>
          <w:sz w:val="20"/>
          <w:szCs w:val="20"/>
        </w:rPr>
      </w:pPr>
    </w:p>
    <w:p w14:paraId="2E202695" w14:textId="77777777" w:rsidR="002A79E3" w:rsidRPr="00A02B31" w:rsidRDefault="002A79E3" w:rsidP="002A79E3">
      <w:pPr>
        <w:spacing w:after="160" w:line="259" w:lineRule="auto"/>
        <w:rPr>
          <w:rFonts w:eastAsia="Calibri" w:cstheme="minorHAnsi"/>
          <w:sz w:val="20"/>
          <w:szCs w:val="20"/>
        </w:rPr>
      </w:pPr>
      <w:r w:rsidRPr="00A02B31">
        <w:rPr>
          <w:rFonts w:eastAsia="Calibri" w:cstheme="minorHAnsi"/>
          <w:sz w:val="20"/>
          <w:szCs w:val="20"/>
        </w:rPr>
        <w:t xml:space="preserve">Additional risks - as mentioned under the Corporate Governance section, the Board maintains a register, and in addition to comments above, risks managed there include, among others: the management of key operational and financial controls; risk of key personnel being unavailable; and maintaining regulatory approvals. </w:t>
      </w:r>
    </w:p>
    <w:p w14:paraId="2274F108" w14:textId="77777777" w:rsidR="002A79E3" w:rsidRPr="00A02B31" w:rsidRDefault="002A79E3" w:rsidP="002A79E3">
      <w:pPr>
        <w:spacing w:after="160" w:line="259" w:lineRule="auto"/>
        <w:rPr>
          <w:rFonts w:eastAsia="Calibri" w:cstheme="minorHAnsi"/>
          <w:sz w:val="20"/>
          <w:szCs w:val="20"/>
        </w:rPr>
      </w:pPr>
      <w:r w:rsidRPr="00A02B31">
        <w:rPr>
          <w:rFonts w:eastAsia="Calibri" w:cstheme="minorHAnsi"/>
          <w:b/>
          <w:bCs/>
          <w:sz w:val="20"/>
          <w:szCs w:val="20"/>
        </w:rPr>
        <w:t>Stakeholder Engagement and Statement under Section 172</w:t>
      </w:r>
      <w:r w:rsidRPr="00A02B31">
        <w:rPr>
          <w:rFonts w:eastAsia="Calibri" w:cstheme="minorHAnsi"/>
          <w:sz w:val="20"/>
          <w:szCs w:val="20"/>
        </w:rPr>
        <w:t xml:space="preserve"> </w:t>
      </w:r>
    </w:p>
    <w:p w14:paraId="7B4F7DA5" w14:textId="6A71D598" w:rsidR="002A79E3" w:rsidRPr="00A02B31" w:rsidRDefault="002A79E3" w:rsidP="002A79E3">
      <w:pPr>
        <w:spacing w:after="160" w:line="259" w:lineRule="auto"/>
        <w:rPr>
          <w:rFonts w:eastAsia="Calibri" w:cstheme="minorHAnsi"/>
          <w:sz w:val="20"/>
          <w:szCs w:val="20"/>
        </w:rPr>
      </w:pPr>
      <w:r w:rsidRPr="00A02B31">
        <w:rPr>
          <w:rFonts w:eastAsia="Calibri" w:cstheme="minorHAnsi"/>
          <w:sz w:val="20"/>
          <w:szCs w:val="20"/>
        </w:rPr>
        <w:t xml:space="preserve">The Board recognises that the Company should be run for the benefit of shareholders, but that the long term success of a business is dependent on maintaining relationships with stakeholders and considering the external impact of the </w:t>
      </w:r>
      <w:r w:rsidRPr="00A02B31">
        <w:rPr>
          <w:rFonts w:eastAsia="Calibri" w:cstheme="minorHAnsi"/>
          <w:sz w:val="20"/>
          <w:szCs w:val="20"/>
        </w:rPr>
        <w:lastRenderedPageBreak/>
        <w:t>Company’s activities. The detailed Statement under Se</w:t>
      </w:r>
      <w:r w:rsidR="00767B01" w:rsidRPr="00A02B31">
        <w:rPr>
          <w:rFonts w:eastAsia="Calibri" w:cstheme="minorHAnsi"/>
          <w:sz w:val="20"/>
          <w:szCs w:val="20"/>
        </w:rPr>
        <w:t>ction 172 is covered on pages 19-21</w:t>
      </w:r>
      <w:r w:rsidRPr="00A02B31">
        <w:rPr>
          <w:rFonts w:eastAsia="Calibri" w:cstheme="minorHAnsi"/>
          <w:sz w:val="20"/>
          <w:szCs w:val="20"/>
        </w:rPr>
        <w:t xml:space="preserve"> of the Annual Report and Accounts.</w:t>
      </w:r>
    </w:p>
    <w:p w14:paraId="2217E3EF" w14:textId="6F674A93" w:rsidR="002A79E3" w:rsidRDefault="00FB7970" w:rsidP="009D1381">
      <w:pPr>
        <w:jc w:val="both"/>
        <w:rPr>
          <w:rFonts w:cstheme="minorHAnsi"/>
          <w:b/>
          <w:sz w:val="20"/>
          <w:szCs w:val="20"/>
        </w:rPr>
      </w:pPr>
      <w:r>
        <w:rPr>
          <w:noProof/>
          <w:lang w:eastAsia="en-GB"/>
        </w:rPr>
        <w:drawing>
          <wp:anchor distT="0" distB="0" distL="114300" distR="114300" simplePos="0" relativeHeight="251732992" behindDoc="1" locked="0" layoutInCell="1" allowOverlap="1" wp14:anchorId="0F193B0B" wp14:editId="1032F641">
            <wp:simplePos x="0" y="0"/>
            <wp:positionH relativeFrom="column">
              <wp:posOffset>0</wp:posOffset>
            </wp:positionH>
            <wp:positionV relativeFrom="paragraph">
              <wp:posOffset>1905</wp:posOffset>
            </wp:positionV>
            <wp:extent cx="1085331" cy="546100"/>
            <wp:effectExtent l="0" t="0" r="63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85331" cy="546100"/>
                    </a:xfrm>
                    <a:prstGeom prst="rect">
                      <a:avLst/>
                    </a:prstGeom>
                  </pic:spPr>
                </pic:pic>
              </a:graphicData>
            </a:graphic>
          </wp:anchor>
        </w:drawing>
      </w:r>
    </w:p>
    <w:p w14:paraId="6E9856AC" w14:textId="00EA2FF7" w:rsidR="00FB7970" w:rsidRDefault="00FB7970" w:rsidP="009D1381">
      <w:pPr>
        <w:jc w:val="both"/>
        <w:rPr>
          <w:rFonts w:cstheme="minorHAnsi"/>
          <w:b/>
          <w:sz w:val="20"/>
          <w:szCs w:val="20"/>
        </w:rPr>
      </w:pPr>
    </w:p>
    <w:p w14:paraId="333EBE12" w14:textId="28018870" w:rsidR="00FB7970" w:rsidRDefault="00FB7970" w:rsidP="009D1381">
      <w:pPr>
        <w:jc w:val="both"/>
        <w:rPr>
          <w:rFonts w:cstheme="minorHAnsi"/>
          <w:b/>
          <w:sz w:val="20"/>
          <w:szCs w:val="20"/>
        </w:rPr>
      </w:pPr>
    </w:p>
    <w:p w14:paraId="5DDC0B0D" w14:textId="77777777" w:rsidR="00FB7970" w:rsidRPr="00A02B31" w:rsidRDefault="00FB7970" w:rsidP="009D1381">
      <w:pPr>
        <w:jc w:val="both"/>
        <w:rPr>
          <w:rFonts w:cstheme="minorHAnsi"/>
          <w:b/>
          <w:sz w:val="20"/>
          <w:szCs w:val="20"/>
        </w:rPr>
      </w:pPr>
    </w:p>
    <w:p w14:paraId="6B9AAB8D" w14:textId="77777777" w:rsidR="002A79E3" w:rsidRPr="00A02B31" w:rsidRDefault="002A79E3" w:rsidP="009D1381">
      <w:pPr>
        <w:jc w:val="both"/>
        <w:rPr>
          <w:rFonts w:cstheme="minorHAnsi"/>
          <w:b/>
          <w:sz w:val="20"/>
          <w:szCs w:val="20"/>
        </w:rPr>
      </w:pPr>
    </w:p>
    <w:p w14:paraId="047D02C5" w14:textId="78EBF992" w:rsidR="00E76B11" w:rsidRPr="00A02B31" w:rsidRDefault="00E76B11" w:rsidP="00E76B11">
      <w:pPr>
        <w:jc w:val="both"/>
        <w:rPr>
          <w:rFonts w:cstheme="minorHAnsi"/>
          <w:b/>
          <w:sz w:val="20"/>
          <w:szCs w:val="20"/>
        </w:rPr>
      </w:pPr>
      <w:r w:rsidRPr="00A02B31">
        <w:rPr>
          <w:rFonts w:cstheme="minorHAnsi"/>
          <w:b/>
          <w:sz w:val="20"/>
          <w:szCs w:val="20"/>
        </w:rPr>
        <w:t>Noel Lamb</w:t>
      </w:r>
    </w:p>
    <w:p w14:paraId="4ADFE4A8" w14:textId="1CA5FF52" w:rsidR="00E76B11" w:rsidRPr="00A02B31" w:rsidRDefault="00E76B11" w:rsidP="00E76B11">
      <w:pPr>
        <w:jc w:val="both"/>
        <w:rPr>
          <w:rFonts w:cstheme="minorHAnsi"/>
          <w:b/>
          <w:sz w:val="20"/>
          <w:szCs w:val="20"/>
        </w:rPr>
      </w:pPr>
      <w:r w:rsidRPr="00A02B31">
        <w:rPr>
          <w:rFonts w:cstheme="minorHAnsi"/>
          <w:b/>
          <w:sz w:val="20"/>
          <w:szCs w:val="20"/>
        </w:rPr>
        <w:t>Chairman</w:t>
      </w:r>
    </w:p>
    <w:p w14:paraId="0A53D781" w14:textId="77777777" w:rsidR="00E76B11" w:rsidRPr="00A02B31" w:rsidRDefault="00E76B11" w:rsidP="00E76B11">
      <w:pPr>
        <w:jc w:val="both"/>
        <w:rPr>
          <w:rFonts w:cstheme="minorHAnsi"/>
          <w:b/>
          <w:sz w:val="20"/>
          <w:szCs w:val="20"/>
        </w:rPr>
      </w:pPr>
    </w:p>
    <w:p w14:paraId="75B941D8" w14:textId="4D7F1481" w:rsidR="002A79E3" w:rsidRPr="00A02B31" w:rsidRDefault="00E76B11" w:rsidP="00E76B11">
      <w:pPr>
        <w:jc w:val="both"/>
        <w:rPr>
          <w:rFonts w:cstheme="minorHAnsi"/>
          <w:b/>
          <w:sz w:val="20"/>
          <w:szCs w:val="20"/>
        </w:rPr>
      </w:pPr>
      <w:r w:rsidRPr="00A02B31">
        <w:rPr>
          <w:rFonts w:cstheme="minorHAnsi"/>
          <w:b/>
          <w:sz w:val="20"/>
          <w:szCs w:val="20"/>
        </w:rPr>
        <w:t>22 June 2022</w:t>
      </w:r>
    </w:p>
    <w:p w14:paraId="0FF5D261" w14:textId="77777777" w:rsidR="002A79E3" w:rsidRPr="00A02B31" w:rsidRDefault="002A79E3" w:rsidP="009D1381">
      <w:pPr>
        <w:jc w:val="both"/>
        <w:rPr>
          <w:rFonts w:cstheme="minorHAnsi"/>
          <w:b/>
          <w:sz w:val="20"/>
          <w:szCs w:val="20"/>
        </w:rPr>
      </w:pPr>
    </w:p>
    <w:p w14:paraId="76509966" w14:textId="77777777" w:rsidR="002A79E3" w:rsidRPr="00A02B31" w:rsidRDefault="002A79E3" w:rsidP="009D1381">
      <w:pPr>
        <w:jc w:val="both"/>
        <w:rPr>
          <w:rFonts w:cstheme="minorHAnsi"/>
          <w:b/>
          <w:sz w:val="20"/>
          <w:szCs w:val="20"/>
        </w:rPr>
      </w:pPr>
    </w:p>
    <w:p w14:paraId="6CE6A567" w14:textId="77777777" w:rsidR="002A79E3" w:rsidRPr="00A02B31" w:rsidRDefault="002A79E3" w:rsidP="009D1381">
      <w:pPr>
        <w:jc w:val="both"/>
        <w:rPr>
          <w:rFonts w:cstheme="minorHAnsi"/>
          <w:b/>
          <w:sz w:val="20"/>
          <w:szCs w:val="20"/>
        </w:rPr>
      </w:pPr>
    </w:p>
    <w:p w14:paraId="52EF0569" w14:textId="77777777" w:rsidR="002A79E3" w:rsidRPr="00A02B31" w:rsidRDefault="002A79E3" w:rsidP="009D1381">
      <w:pPr>
        <w:jc w:val="both"/>
        <w:rPr>
          <w:rFonts w:cstheme="minorHAnsi"/>
          <w:b/>
          <w:sz w:val="20"/>
          <w:szCs w:val="20"/>
        </w:rPr>
      </w:pPr>
    </w:p>
    <w:p w14:paraId="46DAC77F" w14:textId="77777777" w:rsidR="002A79E3" w:rsidRPr="00A02B31" w:rsidRDefault="002A79E3" w:rsidP="009D1381">
      <w:pPr>
        <w:jc w:val="both"/>
        <w:rPr>
          <w:rFonts w:cstheme="minorHAnsi"/>
          <w:b/>
          <w:sz w:val="20"/>
          <w:szCs w:val="20"/>
        </w:rPr>
      </w:pPr>
    </w:p>
    <w:p w14:paraId="189A6F9E" w14:textId="77777777" w:rsidR="002A79E3" w:rsidRPr="00A02B31" w:rsidRDefault="002A79E3" w:rsidP="009D1381">
      <w:pPr>
        <w:jc w:val="both"/>
        <w:rPr>
          <w:rFonts w:cstheme="minorHAnsi"/>
          <w:b/>
          <w:sz w:val="20"/>
          <w:szCs w:val="20"/>
        </w:rPr>
      </w:pPr>
    </w:p>
    <w:p w14:paraId="5C4C9599" w14:textId="77777777" w:rsidR="002A79E3" w:rsidRPr="00A02B31" w:rsidRDefault="002A79E3" w:rsidP="009D1381">
      <w:pPr>
        <w:jc w:val="both"/>
        <w:rPr>
          <w:rFonts w:cstheme="minorHAnsi"/>
          <w:b/>
          <w:sz w:val="20"/>
          <w:szCs w:val="20"/>
        </w:rPr>
      </w:pPr>
    </w:p>
    <w:p w14:paraId="409055B0" w14:textId="77777777" w:rsidR="002A79E3" w:rsidRPr="00A02B31" w:rsidRDefault="002A79E3" w:rsidP="009D1381">
      <w:pPr>
        <w:jc w:val="both"/>
        <w:rPr>
          <w:rFonts w:cstheme="minorHAnsi"/>
          <w:b/>
          <w:sz w:val="20"/>
          <w:szCs w:val="20"/>
        </w:rPr>
      </w:pPr>
    </w:p>
    <w:p w14:paraId="7D12E877" w14:textId="77777777" w:rsidR="002A79E3" w:rsidRPr="00A02B31" w:rsidRDefault="002A79E3" w:rsidP="009D1381">
      <w:pPr>
        <w:jc w:val="both"/>
        <w:rPr>
          <w:rFonts w:cstheme="minorHAnsi"/>
          <w:b/>
          <w:sz w:val="20"/>
          <w:szCs w:val="20"/>
        </w:rPr>
      </w:pPr>
    </w:p>
    <w:p w14:paraId="1795B43D" w14:textId="77777777" w:rsidR="002A79E3" w:rsidRPr="00A02B31" w:rsidRDefault="002A79E3" w:rsidP="009D1381">
      <w:pPr>
        <w:jc w:val="both"/>
        <w:rPr>
          <w:rFonts w:cstheme="minorHAnsi"/>
          <w:b/>
          <w:sz w:val="20"/>
          <w:szCs w:val="20"/>
        </w:rPr>
      </w:pPr>
    </w:p>
    <w:p w14:paraId="535AD6D4" w14:textId="77777777" w:rsidR="002A79E3" w:rsidRPr="00A02B31" w:rsidRDefault="002A79E3" w:rsidP="009D1381">
      <w:pPr>
        <w:jc w:val="both"/>
        <w:rPr>
          <w:rFonts w:cstheme="minorHAnsi"/>
          <w:b/>
          <w:sz w:val="20"/>
          <w:szCs w:val="20"/>
        </w:rPr>
      </w:pPr>
    </w:p>
    <w:p w14:paraId="189C2F7B" w14:textId="77777777" w:rsidR="002A79E3" w:rsidRPr="00A02B31" w:rsidRDefault="002A79E3" w:rsidP="009D1381">
      <w:pPr>
        <w:jc w:val="both"/>
        <w:rPr>
          <w:rFonts w:cstheme="minorHAnsi"/>
          <w:b/>
          <w:sz w:val="20"/>
          <w:szCs w:val="20"/>
        </w:rPr>
      </w:pPr>
    </w:p>
    <w:p w14:paraId="730DDC6E" w14:textId="77777777" w:rsidR="002A79E3" w:rsidRPr="00A02B31" w:rsidRDefault="002A79E3" w:rsidP="009D1381">
      <w:pPr>
        <w:jc w:val="both"/>
        <w:rPr>
          <w:rFonts w:cstheme="minorHAnsi"/>
          <w:b/>
          <w:sz w:val="20"/>
          <w:szCs w:val="20"/>
        </w:rPr>
      </w:pPr>
    </w:p>
    <w:p w14:paraId="2F22015B" w14:textId="77777777" w:rsidR="002A79E3" w:rsidRPr="00A02B31" w:rsidRDefault="002A79E3" w:rsidP="009D1381">
      <w:pPr>
        <w:jc w:val="both"/>
        <w:rPr>
          <w:rFonts w:cstheme="minorHAnsi"/>
          <w:b/>
          <w:sz w:val="20"/>
          <w:szCs w:val="20"/>
        </w:rPr>
      </w:pPr>
    </w:p>
    <w:p w14:paraId="14381365" w14:textId="77777777" w:rsidR="002A79E3" w:rsidRPr="00A02B31" w:rsidRDefault="002A79E3" w:rsidP="009D1381">
      <w:pPr>
        <w:jc w:val="both"/>
        <w:rPr>
          <w:rFonts w:cstheme="minorHAnsi"/>
          <w:b/>
          <w:sz w:val="20"/>
          <w:szCs w:val="20"/>
        </w:rPr>
      </w:pPr>
    </w:p>
    <w:p w14:paraId="1434167D" w14:textId="77777777" w:rsidR="002A79E3" w:rsidRPr="00A02B31" w:rsidRDefault="002A79E3" w:rsidP="009D1381">
      <w:pPr>
        <w:jc w:val="both"/>
        <w:rPr>
          <w:rFonts w:cstheme="minorHAnsi"/>
          <w:b/>
          <w:sz w:val="20"/>
          <w:szCs w:val="20"/>
        </w:rPr>
      </w:pPr>
    </w:p>
    <w:p w14:paraId="3D0114B8" w14:textId="77777777" w:rsidR="002A79E3" w:rsidRPr="00A02B31" w:rsidRDefault="002A79E3" w:rsidP="009D1381">
      <w:pPr>
        <w:jc w:val="both"/>
        <w:rPr>
          <w:rFonts w:cstheme="minorHAnsi"/>
          <w:b/>
          <w:sz w:val="20"/>
          <w:szCs w:val="20"/>
        </w:rPr>
      </w:pPr>
    </w:p>
    <w:p w14:paraId="5C7341AD" w14:textId="77777777" w:rsidR="002A79E3" w:rsidRPr="00A02B31" w:rsidRDefault="002A79E3" w:rsidP="009D1381">
      <w:pPr>
        <w:jc w:val="both"/>
        <w:rPr>
          <w:rFonts w:cstheme="minorHAnsi"/>
          <w:b/>
          <w:sz w:val="20"/>
          <w:szCs w:val="20"/>
        </w:rPr>
      </w:pPr>
    </w:p>
    <w:p w14:paraId="6A525547" w14:textId="77777777" w:rsidR="002A79E3" w:rsidRPr="00A02B31" w:rsidRDefault="002A79E3" w:rsidP="009D1381">
      <w:pPr>
        <w:jc w:val="both"/>
        <w:rPr>
          <w:rFonts w:cstheme="minorHAnsi"/>
          <w:b/>
          <w:sz w:val="20"/>
          <w:szCs w:val="20"/>
        </w:rPr>
      </w:pPr>
    </w:p>
    <w:p w14:paraId="1957E01B" w14:textId="77777777" w:rsidR="002A79E3" w:rsidRPr="00A02B31" w:rsidRDefault="002A79E3" w:rsidP="009D1381">
      <w:pPr>
        <w:jc w:val="both"/>
        <w:rPr>
          <w:rFonts w:cstheme="minorHAnsi"/>
          <w:b/>
          <w:sz w:val="20"/>
          <w:szCs w:val="20"/>
        </w:rPr>
      </w:pPr>
    </w:p>
    <w:p w14:paraId="504024D7" w14:textId="77777777" w:rsidR="002A79E3" w:rsidRPr="00A02B31" w:rsidRDefault="002A79E3" w:rsidP="009D1381">
      <w:pPr>
        <w:jc w:val="both"/>
        <w:rPr>
          <w:rFonts w:cstheme="minorHAnsi"/>
          <w:b/>
          <w:sz w:val="20"/>
          <w:szCs w:val="20"/>
        </w:rPr>
      </w:pPr>
    </w:p>
    <w:p w14:paraId="75590C7E" w14:textId="77777777" w:rsidR="002A79E3" w:rsidRPr="00A02B31" w:rsidRDefault="002A79E3" w:rsidP="009D1381">
      <w:pPr>
        <w:jc w:val="both"/>
        <w:rPr>
          <w:rFonts w:cstheme="minorHAnsi"/>
          <w:b/>
          <w:sz w:val="20"/>
          <w:szCs w:val="20"/>
        </w:rPr>
      </w:pPr>
    </w:p>
    <w:p w14:paraId="64B8B2F1" w14:textId="77777777" w:rsidR="002A79E3" w:rsidRPr="00A02B31" w:rsidRDefault="002A79E3" w:rsidP="009D1381">
      <w:pPr>
        <w:jc w:val="both"/>
        <w:rPr>
          <w:rFonts w:cstheme="minorHAnsi"/>
          <w:b/>
          <w:sz w:val="20"/>
          <w:szCs w:val="20"/>
        </w:rPr>
      </w:pPr>
    </w:p>
    <w:p w14:paraId="1B55C073" w14:textId="77777777" w:rsidR="002A79E3" w:rsidRPr="00A02B31" w:rsidRDefault="002A79E3" w:rsidP="009D1381">
      <w:pPr>
        <w:jc w:val="both"/>
        <w:rPr>
          <w:rFonts w:cstheme="minorHAnsi"/>
          <w:b/>
          <w:sz w:val="20"/>
          <w:szCs w:val="20"/>
        </w:rPr>
      </w:pPr>
    </w:p>
    <w:p w14:paraId="2A8853EF" w14:textId="77777777" w:rsidR="002A79E3" w:rsidRPr="00A02B31" w:rsidRDefault="002A79E3" w:rsidP="009D1381">
      <w:pPr>
        <w:jc w:val="both"/>
        <w:rPr>
          <w:rFonts w:cstheme="minorHAnsi"/>
          <w:b/>
          <w:sz w:val="20"/>
          <w:szCs w:val="20"/>
        </w:rPr>
      </w:pPr>
    </w:p>
    <w:p w14:paraId="77BFBE0A" w14:textId="77777777" w:rsidR="002A79E3" w:rsidRPr="00A02B31" w:rsidRDefault="002A79E3" w:rsidP="009D1381">
      <w:pPr>
        <w:jc w:val="both"/>
        <w:rPr>
          <w:rFonts w:cstheme="minorHAnsi"/>
          <w:b/>
          <w:sz w:val="20"/>
          <w:szCs w:val="20"/>
        </w:rPr>
      </w:pPr>
    </w:p>
    <w:p w14:paraId="376843D8" w14:textId="77777777" w:rsidR="002A79E3" w:rsidRPr="00A02B31" w:rsidRDefault="002A79E3" w:rsidP="009D1381">
      <w:pPr>
        <w:jc w:val="both"/>
        <w:rPr>
          <w:rFonts w:cstheme="minorHAnsi"/>
          <w:b/>
          <w:sz w:val="20"/>
          <w:szCs w:val="20"/>
        </w:rPr>
      </w:pPr>
    </w:p>
    <w:p w14:paraId="5BFF3A0C" w14:textId="77777777" w:rsidR="002A79E3" w:rsidRPr="00A02B31" w:rsidRDefault="002A79E3" w:rsidP="009D1381">
      <w:pPr>
        <w:jc w:val="both"/>
        <w:rPr>
          <w:rFonts w:cstheme="minorHAnsi"/>
          <w:b/>
          <w:sz w:val="20"/>
          <w:szCs w:val="20"/>
        </w:rPr>
      </w:pPr>
    </w:p>
    <w:p w14:paraId="42812279" w14:textId="77777777" w:rsidR="002A79E3" w:rsidRPr="00A02B31" w:rsidRDefault="002A79E3" w:rsidP="009D1381">
      <w:pPr>
        <w:jc w:val="both"/>
        <w:rPr>
          <w:rFonts w:cstheme="minorHAnsi"/>
          <w:b/>
          <w:sz w:val="20"/>
          <w:szCs w:val="20"/>
        </w:rPr>
      </w:pPr>
    </w:p>
    <w:p w14:paraId="4D49DF6B" w14:textId="77777777" w:rsidR="002A79E3" w:rsidRPr="00A02B31" w:rsidRDefault="002A79E3" w:rsidP="009D1381">
      <w:pPr>
        <w:jc w:val="both"/>
        <w:rPr>
          <w:rFonts w:cstheme="minorHAnsi"/>
          <w:b/>
          <w:sz w:val="20"/>
          <w:szCs w:val="20"/>
        </w:rPr>
      </w:pPr>
    </w:p>
    <w:p w14:paraId="62CFE03B" w14:textId="77777777" w:rsidR="002A79E3" w:rsidRPr="00A02B31" w:rsidRDefault="002A79E3" w:rsidP="009D1381">
      <w:pPr>
        <w:jc w:val="both"/>
        <w:rPr>
          <w:rFonts w:cstheme="minorHAnsi"/>
          <w:b/>
          <w:sz w:val="20"/>
          <w:szCs w:val="20"/>
        </w:rPr>
      </w:pPr>
    </w:p>
    <w:p w14:paraId="4EED679B" w14:textId="77777777" w:rsidR="002A79E3" w:rsidRPr="00A02B31" w:rsidRDefault="002A79E3" w:rsidP="009D1381">
      <w:pPr>
        <w:jc w:val="both"/>
        <w:rPr>
          <w:rFonts w:cstheme="minorHAnsi"/>
          <w:b/>
          <w:sz w:val="20"/>
          <w:szCs w:val="20"/>
        </w:rPr>
      </w:pPr>
    </w:p>
    <w:p w14:paraId="2B130B96" w14:textId="77777777" w:rsidR="002A79E3" w:rsidRPr="00A02B31" w:rsidRDefault="002A79E3" w:rsidP="009D1381">
      <w:pPr>
        <w:jc w:val="both"/>
        <w:rPr>
          <w:rFonts w:cstheme="minorHAnsi"/>
          <w:b/>
          <w:sz w:val="20"/>
          <w:szCs w:val="20"/>
        </w:rPr>
      </w:pPr>
    </w:p>
    <w:p w14:paraId="44509B54" w14:textId="77777777" w:rsidR="002A79E3" w:rsidRPr="00A02B31" w:rsidRDefault="002A79E3" w:rsidP="009D1381">
      <w:pPr>
        <w:jc w:val="both"/>
        <w:rPr>
          <w:rFonts w:cstheme="minorHAnsi"/>
          <w:b/>
          <w:sz w:val="20"/>
          <w:szCs w:val="20"/>
        </w:rPr>
      </w:pPr>
    </w:p>
    <w:p w14:paraId="7E77B8DB" w14:textId="77777777" w:rsidR="002A79E3" w:rsidRPr="00A02B31" w:rsidRDefault="002A79E3" w:rsidP="009D1381">
      <w:pPr>
        <w:jc w:val="both"/>
        <w:rPr>
          <w:rFonts w:cstheme="minorHAnsi"/>
          <w:b/>
          <w:sz w:val="20"/>
          <w:szCs w:val="20"/>
        </w:rPr>
      </w:pPr>
    </w:p>
    <w:p w14:paraId="3A2D593E" w14:textId="77777777" w:rsidR="002A79E3" w:rsidRPr="00A02B31" w:rsidRDefault="002A79E3" w:rsidP="009D1381">
      <w:pPr>
        <w:jc w:val="both"/>
        <w:rPr>
          <w:rFonts w:cstheme="minorHAnsi"/>
          <w:b/>
          <w:sz w:val="20"/>
          <w:szCs w:val="20"/>
        </w:rPr>
      </w:pPr>
    </w:p>
    <w:p w14:paraId="50729E1F" w14:textId="77777777" w:rsidR="002A79E3" w:rsidRPr="00A02B31" w:rsidRDefault="002A79E3" w:rsidP="009D1381">
      <w:pPr>
        <w:jc w:val="both"/>
        <w:rPr>
          <w:rFonts w:cstheme="minorHAnsi"/>
          <w:b/>
          <w:sz w:val="20"/>
          <w:szCs w:val="20"/>
        </w:rPr>
      </w:pPr>
    </w:p>
    <w:p w14:paraId="0713BD8A" w14:textId="77777777" w:rsidR="002A79E3" w:rsidRPr="00A02B31" w:rsidRDefault="002A79E3" w:rsidP="009D1381">
      <w:pPr>
        <w:jc w:val="both"/>
        <w:rPr>
          <w:rFonts w:cstheme="minorHAnsi"/>
          <w:b/>
          <w:sz w:val="20"/>
          <w:szCs w:val="20"/>
        </w:rPr>
      </w:pPr>
    </w:p>
    <w:p w14:paraId="08F3400C" w14:textId="77777777" w:rsidR="002A79E3" w:rsidRPr="00A02B31" w:rsidRDefault="002A79E3" w:rsidP="009D1381">
      <w:pPr>
        <w:jc w:val="both"/>
        <w:rPr>
          <w:rFonts w:cstheme="minorHAnsi"/>
          <w:b/>
          <w:sz w:val="20"/>
          <w:szCs w:val="20"/>
        </w:rPr>
      </w:pPr>
    </w:p>
    <w:p w14:paraId="3F76161D" w14:textId="77777777" w:rsidR="002A79E3" w:rsidRPr="00A02B31" w:rsidRDefault="002A79E3" w:rsidP="009D1381">
      <w:pPr>
        <w:jc w:val="both"/>
        <w:rPr>
          <w:rFonts w:cstheme="minorHAnsi"/>
          <w:b/>
          <w:sz w:val="20"/>
          <w:szCs w:val="20"/>
        </w:rPr>
      </w:pPr>
    </w:p>
    <w:p w14:paraId="7BB7ED9A" w14:textId="77777777" w:rsidR="002A79E3" w:rsidRPr="00A02B31" w:rsidRDefault="002A79E3" w:rsidP="009D1381">
      <w:pPr>
        <w:jc w:val="both"/>
        <w:rPr>
          <w:rFonts w:cstheme="minorHAnsi"/>
          <w:b/>
          <w:sz w:val="20"/>
          <w:szCs w:val="20"/>
        </w:rPr>
      </w:pPr>
    </w:p>
    <w:p w14:paraId="3F628C45" w14:textId="77777777" w:rsidR="002A79E3" w:rsidRPr="00A02B31" w:rsidRDefault="002A79E3" w:rsidP="009D1381">
      <w:pPr>
        <w:jc w:val="both"/>
        <w:rPr>
          <w:rFonts w:cstheme="minorHAnsi"/>
          <w:b/>
          <w:sz w:val="20"/>
          <w:szCs w:val="20"/>
        </w:rPr>
      </w:pPr>
    </w:p>
    <w:p w14:paraId="10E772AA" w14:textId="77777777" w:rsidR="002A79E3" w:rsidRPr="00A02B31" w:rsidRDefault="002A79E3" w:rsidP="009D1381">
      <w:pPr>
        <w:jc w:val="both"/>
        <w:rPr>
          <w:rFonts w:cstheme="minorHAnsi"/>
          <w:b/>
          <w:sz w:val="20"/>
          <w:szCs w:val="20"/>
        </w:rPr>
      </w:pPr>
    </w:p>
    <w:p w14:paraId="377A8961" w14:textId="5C289172" w:rsidR="002A79E3" w:rsidRDefault="002A79E3" w:rsidP="009D1381">
      <w:pPr>
        <w:jc w:val="both"/>
        <w:rPr>
          <w:rFonts w:cstheme="minorHAnsi"/>
          <w:b/>
          <w:sz w:val="20"/>
          <w:szCs w:val="20"/>
        </w:rPr>
      </w:pPr>
    </w:p>
    <w:p w14:paraId="1B60B821" w14:textId="74E47517" w:rsidR="008B2DDA" w:rsidRDefault="008B2DDA" w:rsidP="009D1381">
      <w:pPr>
        <w:jc w:val="both"/>
        <w:rPr>
          <w:rFonts w:cstheme="minorHAnsi"/>
          <w:b/>
          <w:sz w:val="20"/>
          <w:szCs w:val="20"/>
        </w:rPr>
      </w:pPr>
    </w:p>
    <w:p w14:paraId="7B6CEEE9" w14:textId="76139FD4" w:rsidR="008B2DDA" w:rsidRDefault="008B2DDA" w:rsidP="009D1381">
      <w:pPr>
        <w:jc w:val="both"/>
        <w:rPr>
          <w:rFonts w:cstheme="minorHAnsi"/>
          <w:b/>
          <w:sz w:val="20"/>
          <w:szCs w:val="20"/>
        </w:rPr>
      </w:pPr>
    </w:p>
    <w:p w14:paraId="69E7904F" w14:textId="08D96DDD" w:rsidR="008B2DDA" w:rsidRDefault="008B2DDA" w:rsidP="009D1381">
      <w:pPr>
        <w:jc w:val="both"/>
        <w:rPr>
          <w:rFonts w:cstheme="minorHAnsi"/>
          <w:b/>
          <w:sz w:val="20"/>
          <w:szCs w:val="20"/>
        </w:rPr>
      </w:pPr>
    </w:p>
    <w:p w14:paraId="185869D4" w14:textId="77777777" w:rsidR="008B2DDA" w:rsidRPr="00A02B31" w:rsidRDefault="008B2DDA" w:rsidP="009D1381">
      <w:pPr>
        <w:jc w:val="both"/>
        <w:rPr>
          <w:rFonts w:cstheme="minorHAnsi"/>
          <w:b/>
          <w:sz w:val="20"/>
          <w:szCs w:val="20"/>
        </w:rPr>
      </w:pPr>
    </w:p>
    <w:p w14:paraId="2EA125B0" w14:textId="77777777" w:rsidR="002A79E3" w:rsidRPr="00A02B31" w:rsidRDefault="002A79E3" w:rsidP="009D1381">
      <w:pPr>
        <w:jc w:val="both"/>
        <w:rPr>
          <w:rFonts w:cstheme="minorHAnsi"/>
          <w:b/>
          <w:sz w:val="20"/>
          <w:szCs w:val="20"/>
        </w:rPr>
      </w:pPr>
    </w:p>
    <w:p w14:paraId="037E42B8" w14:textId="77777777" w:rsidR="002A79E3" w:rsidRPr="00A02B31" w:rsidRDefault="002A79E3" w:rsidP="009D1381">
      <w:pPr>
        <w:jc w:val="both"/>
        <w:rPr>
          <w:rFonts w:cstheme="minorHAnsi"/>
          <w:b/>
          <w:sz w:val="20"/>
          <w:szCs w:val="20"/>
        </w:rPr>
      </w:pPr>
    </w:p>
    <w:p w14:paraId="0DC3742D" w14:textId="77777777" w:rsidR="002A79E3" w:rsidRPr="00A02B31" w:rsidRDefault="002A79E3" w:rsidP="009D1381">
      <w:pPr>
        <w:jc w:val="both"/>
        <w:rPr>
          <w:rFonts w:cstheme="minorHAnsi"/>
          <w:b/>
          <w:sz w:val="20"/>
          <w:szCs w:val="20"/>
        </w:rPr>
      </w:pPr>
    </w:p>
    <w:p w14:paraId="3C3F3D11" w14:textId="0BCE8B52" w:rsidR="000A1433" w:rsidRPr="00A02B31" w:rsidRDefault="000A1433" w:rsidP="009D1381">
      <w:pPr>
        <w:jc w:val="both"/>
        <w:rPr>
          <w:rFonts w:cstheme="minorHAnsi"/>
          <w:b/>
          <w:sz w:val="20"/>
          <w:szCs w:val="20"/>
        </w:rPr>
      </w:pPr>
      <w:r w:rsidRPr="00A02B31">
        <w:rPr>
          <w:rFonts w:cstheme="minorHAnsi"/>
          <w:b/>
          <w:sz w:val="20"/>
          <w:szCs w:val="20"/>
        </w:rPr>
        <w:t>CORPORATE GOVERNANCE REPORT</w:t>
      </w:r>
    </w:p>
    <w:p w14:paraId="61169322" w14:textId="77777777" w:rsidR="009347E4" w:rsidRPr="00A02B31" w:rsidRDefault="009347E4" w:rsidP="002512A3">
      <w:pPr>
        <w:jc w:val="center"/>
        <w:rPr>
          <w:rFonts w:cstheme="minorHAnsi"/>
          <w:b/>
          <w:sz w:val="20"/>
          <w:szCs w:val="20"/>
        </w:rPr>
      </w:pPr>
    </w:p>
    <w:p w14:paraId="3A177703" w14:textId="77777777" w:rsidR="000B726E" w:rsidRPr="00A02B31" w:rsidRDefault="00D415EB" w:rsidP="00D415EB">
      <w:pPr>
        <w:rPr>
          <w:rFonts w:cstheme="minorHAnsi"/>
          <w:b/>
          <w:sz w:val="20"/>
          <w:szCs w:val="20"/>
        </w:rPr>
      </w:pPr>
      <w:r w:rsidRPr="00A02B31">
        <w:rPr>
          <w:rFonts w:cstheme="minorHAnsi"/>
          <w:b/>
          <w:sz w:val="20"/>
          <w:szCs w:val="20"/>
        </w:rPr>
        <w:t>AIC Code Statement of Compliance</w:t>
      </w:r>
    </w:p>
    <w:p w14:paraId="313D8B01" w14:textId="77777777" w:rsidR="009347E4" w:rsidRPr="00A02B31" w:rsidRDefault="009347E4" w:rsidP="002512A3">
      <w:pPr>
        <w:jc w:val="center"/>
        <w:rPr>
          <w:rFonts w:cstheme="minorHAnsi"/>
          <w:b/>
          <w:sz w:val="20"/>
          <w:szCs w:val="20"/>
        </w:rPr>
      </w:pPr>
    </w:p>
    <w:p w14:paraId="11A90D0D" w14:textId="21CA757A" w:rsidR="002A7E90" w:rsidRPr="00A02B31" w:rsidRDefault="002A7E90" w:rsidP="002A7E90">
      <w:pPr>
        <w:autoSpaceDE w:val="0"/>
        <w:autoSpaceDN w:val="0"/>
        <w:adjustRightInd w:val="0"/>
        <w:jc w:val="both"/>
        <w:rPr>
          <w:rFonts w:cstheme="minorHAnsi"/>
          <w:sz w:val="20"/>
          <w:szCs w:val="20"/>
        </w:rPr>
      </w:pPr>
      <w:r w:rsidRPr="00A02B31">
        <w:rPr>
          <w:rFonts w:cstheme="minorHAnsi"/>
          <w:sz w:val="20"/>
          <w:szCs w:val="20"/>
        </w:rPr>
        <w:t xml:space="preserve">Despite the changes during the year as referenced within the Chairman’s Statement on page </w:t>
      </w:r>
      <w:r w:rsidR="00684052" w:rsidRPr="00A02B31">
        <w:rPr>
          <w:rFonts w:cstheme="minorHAnsi"/>
          <w:sz w:val="20"/>
          <w:szCs w:val="20"/>
        </w:rPr>
        <w:t>3,</w:t>
      </w:r>
      <w:r w:rsidRPr="00A02B31">
        <w:rPr>
          <w:rFonts w:cstheme="minorHAnsi"/>
          <w:sz w:val="20"/>
          <w:szCs w:val="20"/>
        </w:rPr>
        <w:t xml:space="preserve"> the Company maintained its compliance with </w:t>
      </w:r>
      <w:r w:rsidR="00841F73" w:rsidRPr="00A02B31">
        <w:rPr>
          <w:rFonts w:cstheme="minorHAnsi"/>
          <w:sz w:val="20"/>
          <w:szCs w:val="20"/>
        </w:rPr>
        <w:t>the AIC Code of Corporat</w:t>
      </w:r>
      <w:r w:rsidR="003C256C" w:rsidRPr="00A02B31">
        <w:rPr>
          <w:rFonts w:cstheme="minorHAnsi"/>
          <w:sz w:val="20"/>
          <w:szCs w:val="20"/>
        </w:rPr>
        <w:t>e Governance issued in July 2019</w:t>
      </w:r>
      <w:r w:rsidR="00841F73" w:rsidRPr="00A02B31">
        <w:rPr>
          <w:rFonts w:cstheme="minorHAnsi"/>
          <w:sz w:val="20"/>
          <w:szCs w:val="20"/>
        </w:rPr>
        <w:t xml:space="preserve"> (the AIC Code)</w:t>
      </w:r>
      <w:r w:rsidRPr="00A02B31">
        <w:rPr>
          <w:rFonts w:cstheme="minorHAnsi"/>
          <w:sz w:val="20"/>
          <w:szCs w:val="20"/>
        </w:rPr>
        <w:t>, except as set out below:</w:t>
      </w:r>
    </w:p>
    <w:p w14:paraId="1D66541D" w14:textId="77777777" w:rsidR="002A7E90" w:rsidRPr="00A02B31" w:rsidRDefault="002A7E90" w:rsidP="002A7E90">
      <w:pPr>
        <w:autoSpaceDE w:val="0"/>
        <w:autoSpaceDN w:val="0"/>
        <w:adjustRightInd w:val="0"/>
        <w:jc w:val="both"/>
        <w:rPr>
          <w:rFonts w:cstheme="minorHAnsi"/>
          <w:sz w:val="20"/>
          <w:szCs w:val="20"/>
        </w:rPr>
      </w:pPr>
    </w:p>
    <w:p w14:paraId="3ECA77BC" w14:textId="06E56910" w:rsidR="002A7E90" w:rsidRPr="00A02B31" w:rsidRDefault="002A7E90" w:rsidP="00A02B31">
      <w:pPr>
        <w:pStyle w:val="ListParagraph"/>
        <w:numPr>
          <w:ilvl w:val="0"/>
          <w:numId w:val="16"/>
        </w:numPr>
        <w:autoSpaceDE w:val="0"/>
        <w:autoSpaceDN w:val="0"/>
        <w:adjustRightInd w:val="0"/>
        <w:jc w:val="both"/>
        <w:rPr>
          <w:rFonts w:cstheme="minorHAnsi"/>
          <w:sz w:val="20"/>
          <w:szCs w:val="20"/>
        </w:rPr>
      </w:pPr>
      <w:r w:rsidRPr="00A02B31">
        <w:rPr>
          <w:rFonts w:cstheme="minorHAnsi"/>
          <w:sz w:val="20"/>
          <w:szCs w:val="20"/>
        </w:rPr>
        <w:t>The directors do not consider it appropriate to establish a nomination, remuneration or a management and engagement committee. The functions that carried out by these committees are dealt with by the full Board.</w:t>
      </w:r>
    </w:p>
    <w:p w14:paraId="2829E686" w14:textId="77777777" w:rsidR="002A7E90" w:rsidRPr="00A02B31" w:rsidRDefault="002A7E90" w:rsidP="00A02B31">
      <w:pPr>
        <w:autoSpaceDE w:val="0"/>
        <w:autoSpaceDN w:val="0"/>
        <w:adjustRightInd w:val="0"/>
        <w:ind w:left="360"/>
        <w:jc w:val="both"/>
        <w:rPr>
          <w:rFonts w:cstheme="minorHAnsi"/>
          <w:sz w:val="20"/>
          <w:szCs w:val="20"/>
        </w:rPr>
      </w:pPr>
    </w:p>
    <w:p w14:paraId="592C4847" w14:textId="567791A9" w:rsidR="002A7E90" w:rsidRPr="00A02B31" w:rsidRDefault="002A7E90" w:rsidP="00A02B31">
      <w:pPr>
        <w:pStyle w:val="ListParagraph"/>
        <w:numPr>
          <w:ilvl w:val="0"/>
          <w:numId w:val="16"/>
        </w:numPr>
        <w:autoSpaceDE w:val="0"/>
        <w:autoSpaceDN w:val="0"/>
        <w:adjustRightInd w:val="0"/>
        <w:jc w:val="both"/>
        <w:rPr>
          <w:rFonts w:cstheme="minorHAnsi"/>
          <w:sz w:val="20"/>
          <w:szCs w:val="20"/>
        </w:rPr>
      </w:pPr>
      <w:r w:rsidRPr="00A02B31">
        <w:rPr>
          <w:rFonts w:cstheme="minorHAnsi"/>
          <w:sz w:val="20"/>
          <w:szCs w:val="20"/>
        </w:rPr>
        <w:t>As the Company has no employees and its functions are undertaken by third parties, the Audit Committee does not consider it necessary for the Company to establish its own internal audit function.</w:t>
      </w:r>
    </w:p>
    <w:p w14:paraId="210A61D5" w14:textId="351CE380" w:rsidR="007C57A9" w:rsidRPr="00A02B31" w:rsidRDefault="007C57A9" w:rsidP="00117DBC">
      <w:pPr>
        <w:autoSpaceDE w:val="0"/>
        <w:autoSpaceDN w:val="0"/>
        <w:adjustRightInd w:val="0"/>
        <w:jc w:val="both"/>
        <w:rPr>
          <w:rFonts w:cstheme="minorHAnsi"/>
          <w:sz w:val="20"/>
          <w:szCs w:val="20"/>
        </w:rPr>
      </w:pPr>
    </w:p>
    <w:p w14:paraId="4ABBCF18" w14:textId="09184E34" w:rsidR="00DA67E1" w:rsidRPr="00A02B31" w:rsidRDefault="00DA67E1" w:rsidP="00DA67E1">
      <w:pPr>
        <w:autoSpaceDE w:val="0"/>
        <w:autoSpaceDN w:val="0"/>
        <w:adjustRightInd w:val="0"/>
        <w:jc w:val="both"/>
        <w:rPr>
          <w:rFonts w:cstheme="minorHAnsi"/>
          <w:sz w:val="20"/>
          <w:szCs w:val="20"/>
        </w:rPr>
      </w:pPr>
      <w:r w:rsidRPr="00A02B31">
        <w:rPr>
          <w:rFonts w:cstheme="minorHAnsi"/>
          <w:sz w:val="20"/>
          <w:szCs w:val="20"/>
        </w:rPr>
        <w:t xml:space="preserve">The AIC Code is made up of </w:t>
      </w:r>
      <w:r w:rsidR="00EE12B5" w:rsidRPr="00A02B31">
        <w:rPr>
          <w:rFonts w:cstheme="minorHAnsi"/>
          <w:sz w:val="20"/>
          <w:szCs w:val="20"/>
        </w:rPr>
        <w:t xml:space="preserve">17 </w:t>
      </w:r>
      <w:r w:rsidRPr="00A02B31">
        <w:rPr>
          <w:rFonts w:cstheme="minorHAnsi"/>
          <w:sz w:val="20"/>
          <w:szCs w:val="20"/>
        </w:rPr>
        <w:t xml:space="preserve">principles and </w:t>
      </w:r>
      <w:r w:rsidR="00EE12B5" w:rsidRPr="00A02B31">
        <w:rPr>
          <w:rFonts w:cstheme="minorHAnsi"/>
          <w:sz w:val="20"/>
          <w:szCs w:val="20"/>
        </w:rPr>
        <w:t xml:space="preserve">35 </w:t>
      </w:r>
      <w:r w:rsidRPr="00A02B31">
        <w:rPr>
          <w:rFonts w:cstheme="minorHAnsi"/>
          <w:sz w:val="20"/>
          <w:szCs w:val="20"/>
        </w:rPr>
        <w:t>provisions over five sections covering:</w:t>
      </w:r>
    </w:p>
    <w:p w14:paraId="2204B6A5" w14:textId="2F8C36FE" w:rsidR="00DA67E1" w:rsidRPr="00A02B31" w:rsidRDefault="00DA67E1" w:rsidP="000B0253">
      <w:pPr>
        <w:pStyle w:val="ListParagraph"/>
        <w:numPr>
          <w:ilvl w:val="0"/>
          <w:numId w:val="22"/>
        </w:numPr>
        <w:autoSpaceDE w:val="0"/>
        <w:autoSpaceDN w:val="0"/>
        <w:adjustRightInd w:val="0"/>
        <w:jc w:val="both"/>
        <w:rPr>
          <w:rFonts w:cstheme="minorHAnsi"/>
          <w:sz w:val="20"/>
          <w:szCs w:val="20"/>
        </w:rPr>
      </w:pPr>
      <w:r w:rsidRPr="00A02B31">
        <w:rPr>
          <w:rFonts w:cstheme="minorHAnsi"/>
          <w:sz w:val="20"/>
          <w:szCs w:val="20"/>
        </w:rPr>
        <w:t>Board Leadership and Purpose;</w:t>
      </w:r>
    </w:p>
    <w:p w14:paraId="29DF9323" w14:textId="27EB42EB" w:rsidR="00DA67E1" w:rsidRPr="00A02B31" w:rsidRDefault="00DA67E1" w:rsidP="000B0253">
      <w:pPr>
        <w:pStyle w:val="ListParagraph"/>
        <w:numPr>
          <w:ilvl w:val="0"/>
          <w:numId w:val="22"/>
        </w:numPr>
        <w:autoSpaceDE w:val="0"/>
        <w:autoSpaceDN w:val="0"/>
        <w:adjustRightInd w:val="0"/>
        <w:jc w:val="both"/>
        <w:rPr>
          <w:rFonts w:cstheme="minorHAnsi"/>
          <w:sz w:val="20"/>
          <w:szCs w:val="20"/>
        </w:rPr>
      </w:pPr>
      <w:r w:rsidRPr="00A02B31">
        <w:rPr>
          <w:rFonts w:cstheme="minorHAnsi"/>
          <w:sz w:val="20"/>
          <w:szCs w:val="20"/>
        </w:rPr>
        <w:t>Division of Responsibilities;</w:t>
      </w:r>
    </w:p>
    <w:p w14:paraId="011C6C3A" w14:textId="3A38AF2E" w:rsidR="00DA67E1" w:rsidRPr="00A02B31" w:rsidRDefault="00DA67E1" w:rsidP="000B0253">
      <w:pPr>
        <w:pStyle w:val="ListParagraph"/>
        <w:numPr>
          <w:ilvl w:val="0"/>
          <w:numId w:val="22"/>
        </w:numPr>
        <w:autoSpaceDE w:val="0"/>
        <w:autoSpaceDN w:val="0"/>
        <w:adjustRightInd w:val="0"/>
        <w:jc w:val="both"/>
        <w:rPr>
          <w:rFonts w:cstheme="minorHAnsi"/>
          <w:sz w:val="20"/>
          <w:szCs w:val="20"/>
        </w:rPr>
      </w:pPr>
      <w:r w:rsidRPr="00A02B31">
        <w:rPr>
          <w:rFonts w:cstheme="minorHAnsi"/>
          <w:sz w:val="20"/>
          <w:szCs w:val="20"/>
        </w:rPr>
        <w:t>Composition, Succession and Evaluation;</w:t>
      </w:r>
    </w:p>
    <w:p w14:paraId="3A709DA0" w14:textId="7F62D7E8" w:rsidR="00DA67E1" w:rsidRPr="00A02B31" w:rsidRDefault="00DA67E1" w:rsidP="000B0253">
      <w:pPr>
        <w:pStyle w:val="ListParagraph"/>
        <w:numPr>
          <w:ilvl w:val="0"/>
          <w:numId w:val="22"/>
        </w:numPr>
        <w:autoSpaceDE w:val="0"/>
        <w:autoSpaceDN w:val="0"/>
        <w:adjustRightInd w:val="0"/>
        <w:jc w:val="both"/>
        <w:rPr>
          <w:rFonts w:cstheme="minorHAnsi"/>
          <w:sz w:val="20"/>
          <w:szCs w:val="20"/>
        </w:rPr>
      </w:pPr>
      <w:r w:rsidRPr="00A02B31">
        <w:rPr>
          <w:rFonts w:cstheme="minorHAnsi"/>
          <w:sz w:val="20"/>
          <w:szCs w:val="20"/>
        </w:rPr>
        <w:t>Audit, Risk and Internal Control; and</w:t>
      </w:r>
    </w:p>
    <w:p w14:paraId="03FACB9B" w14:textId="4EFE5748" w:rsidR="00AA35F7" w:rsidRPr="00A02B31" w:rsidRDefault="00DA67E1" w:rsidP="00A02B31">
      <w:pPr>
        <w:pStyle w:val="ListParagraph"/>
        <w:numPr>
          <w:ilvl w:val="0"/>
          <w:numId w:val="22"/>
        </w:numPr>
        <w:autoSpaceDE w:val="0"/>
        <w:autoSpaceDN w:val="0"/>
        <w:adjustRightInd w:val="0"/>
        <w:jc w:val="both"/>
        <w:rPr>
          <w:rFonts w:cstheme="minorHAnsi"/>
          <w:sz w:val="20"/>
          <w:szCs w:val="20"/>
        </w:rPr>
      </w:pPr>
      <w:r w:rsidRPr="00A02B31">
        <w:rPr>
          <w:rFonts w:cstheme="minorHAnsi"/>
          <w:sz w:val="20"/>
          <w:szCs w:val="20"/>
        </w:rPr>
        <w:t>Remuneration</w:t>
      </w:r>
    </w:p>
    <w:p w14:paraId="54EA8FC6" w14:textId="2C4EFCEF" w:rsidR="00D36293" w:rsidRPr="00A02B31" w:rsidRDefault="00D36293" w:rsidP="00D36293">
      <w:pPr>
        <w:autoSpaceDE w:val="0"/>
        <w:autoSpaceDN w:val="0"/>
        <w:adjustRightInd w:val="0"/>
        <w:rPr>
          <w:rFonts w:cstheme="minorHAnsi"/>
          <w:color w:val="000000"/>
          <w:sz w:val="20"/>
          <w:szCs w:val="20"/>
        </w:rPr>
      </w:pPr>
    </w:p>
    <w:p w14:paraId="17E11D39" w14:textId="77777777" w:rsidR="00F542BC" w:rsidRPr="00A02B31" w:rsidRDefault="00F542BC" w:rsidP="00F542BC">
      <w:pPr>
        <w:autoSpaceDE w:val="0"/>
        <w:autoSpaceDN w:val="0"/>
        <w:adjustRightInd w:val="0"/>
        <w:jc w:val="both"/>
        <w:rPr>
          <w:rFonts w:cstheme="minorHAnsi"/>
          <w:sz w:val="20"/>
          <w:szCs w:val="20"/>
        </w:rPr>
      </w:pPr>
      <w:r w:rsidRPr="00A02B31">
        <w:rPr>
          <w:rFonts w:cstheme="minorHAnsi"/>
          <w:sz w:val="20"/>
          <w:szCs w:val="20"/>
        </w:rPr>
        <w:t>Details of how the Company has complied with the principles and provisions of the AIC Code are set out its Corporate Governance Statement which can be found on the Company’s website.</w:t>
      </w:r>
    </w:p>
    <w:p w14:paraId="0226EA0C" w14:textId="55FC3A06" w:rsidR="00F542BC" w:rsidRPr="00A02B31" w:rsidRDefault="00F542BC" w:rsidP="00117DBC">
      <w:pPr>
        <w:autoSpaceDE w:val="0"/>
        <w:autoSpaceDN w:val="0"/>
        <w:adjustRightInd w:val="0"/>
        <w:jc w:val="both"/>
        <w:rPr>
          <w:rFonts w:cstheme="minorHAnsi"/>
          <w:sz w:val="20"/>
          <w:szCs w:val="20"/>
        </w:rPr>
      </w:pPr>
    </w:p>
    <w:p w14:paraId="0C7C347A" w14:textId="49611AF7" w:rsidR="00F542BC" w:rsidRPr="00A02B31" w:rsidRDefault="00AC31D9" w:rsidP="00EC0CE4">
      <w:pPr>
        <w:autoSpaceDE w:val="0"/>
        <w:autoSpaceDN w:val="0"/>
        <w:adjustRightInd w:val="0"/>
        <w:jc w:val="both"/>
        <w:rPr>
          <w:rFonts w:cstheme="minorHAnsi"/>
          <w:sz w:val="20"/>
          <w:szCs w:val="20"/>
        </w:rPr>
      </w:pPr>
      <w:r w:rsidRPr="00A02B31">
        <w:rPr>
          <w:rFonts w:cstheme="minorHAnsi"/>
          <w:sz w:val="20"/>
          <w:szCs w:val="20"/>
        </w:rPr>
        <w:t>The AIC Code is available on the AIC website (www.theaic.co.uk). It includes an explanation of how the AIC Code adapts the Principles and Provisions set out in the UK Code to make them relevant for investment companies.</w:t>
      </w:r>
    </w:p>
    <w:p w14:paraId="78E4BB15" w14:textId="77777777" w:rsidR="00F542BC" w:rsidRPr="00A02B31" w:rsidRDefault="00F542BC" w:rsidP="00117DBC">
      <w:pPr>
        <w:rPr>
          <w:rFonts w:cstheme="minorHAnsi"/>
          <w:b/>
          <w:sz w:val="20"/>
          <w:szCs w:val="20"/>
        </w:rPr>
      </w:pPr>
    </w:p>
    <w:p w14:paraId="7E8242D9" w14:textId="767EC8A8" w:rsidR="00490B8C" w:rsidRPr="00A02B31" w:rsidRDefault="00490B8C" w:rsidP="00117DBC">
      <w:pPr>
        <w:rPr>
          <w:rFonts w:cstheme="minorHAnsi"/>
          <w:b/>
          <w:sz w:val="20"/>
          <w:szCs w:val="20"/>
        </w:rPr>
      </w:pPr>
      <w:r w:rsidRPr="00A02B31">
        <w:rPr>
          <w:rFonts w:cstheme="minorHAnsi"/>
          <w:b/>
          <w:sz w:val="20"/>
          <w:szCs w:val="20"/>
        </w:rPr>
        <w:t>The Board of Directors</w:t>
      </w:r>
    </w:p>
    <w:p w14:paraId="664B7511" w14:textId="77777777" w:rsidR="00117DBC" w:rsidRPr="00A02B31" w:rsidRDefault="00117DBC" w:rsidP="00117DBC">
      <w:pPr>
        <w:rPr>
          <w:rFonts w:cstheme="minorHAnsi"/>
          <w:b/>
          <w:sz w:val="20"/>
          <w:szCs w:val="20"/>
        </w:rPr>
      </w:pPr>
    </w:p>
    <w:p w14:paraId="77D6FF4A" w14:textId="69A72BC2" w:rsidR="00DA26E5" w:rsidRPr="00A02B31" w:rsidRDefault="00DA26E5" w:rsidP="00DA26E5">
      <w:pPr>
        <w:autoSpaceDE w:val="0"/>
        <w:autoSpaceDN w:val="0"/>
        <w:adjustRightInd w:val="0"/>
        <w:jc w:val="both"/>
        <w:rPr>
          <w:rFonts w:cstheme="minorHAnsi"/>
          <w:sz w:val="20"/>
          <w:szCs w:val="20"/>
        </w:rPr>
      </w:pPr>
      <w:r w:rsidRPr="00A02B31">
        <w:rPr>
          <w:rFonts w:cstheme="minorHAnsi"/>
          <w:sz w:val="20"/>
          <w:szCs w:val="20"/>
        </w:rPr>
        <w:t xml:space="preserve">The </w:t>
      </w:r>
      <w:r w:rsidR="00F874B4" w:rsidRPr="00A02B31">
        <w:rPr>
          <w:rFonts w:cstheme="minorHAnsi"/>
          <w:sz w:val="20"/>
          <w:szCs w:val="20"/>
        </w:rPr>
        <w:t>b</w:t>
      </w:r>
      <w:r w:rsidRPr="00A02B31">
        <w:rPr>
          <w:rFonts w:cstheme="minorHAnsi"/>
          <w:sz w:val="20"/>
          <w:szCs w:val="20"/>
        </w:rPr>
        <w:t>oard is responsible for the</w:t>
      </w:r>
      <w:r w:rsidR="001F5E4D" w:rsidRPr="00A02B31">
        <w:rPr>
          <w:rFonts w:cstheme="minorHAnsi"/>
          <w:sz w:val="20"/>
          <w:szCs w:val="20"/>
        </w:rPr>
        <w:t xml:space="preserve"> effective oversight and</w:t>
      </w:r>
      <w:r w:rsidRPr="00A02B31">
        <w:rPr>
          <w:rFonts w:cstheme="minorHAnsi"/>
          <w:sz w:val="20"/>
          <w:szCs w:val="20"/>
        </w:rPr>
        <w:t xml:space="preserve"> long-term sustainable success of the Company, generating value for shareholders and controlling of all aspects of the Company’s affairs, notwithstanding any delegation of responsibilities to third parties.</w:t>
      </w:r>
    </w:p>
    <w:p w14:paraId="5B0F8332" w14:textId="6EB1EF8B" w:rsidR="008E1B8C" w:rsidRPr="00A02B31" w:rsidRDefault="008E1B8C" w:rsidP="00DA26E5">
      <w:pPr>
        <w:autoSpaceDE w:val="0"/>
        <w:autoSpaceDN w:val="0"/>
        <w:adjustRightInd w:val="0"/>
        <w:jc w:val="both"/>
        <w:rPr>
          <w:rFonts w:cstheme="minorHAnsi"/>
          <w:sz w:val="20"/>
          <w:szCs w:val="20"/>
        </w:rPr>
      </w:pPr>
    </w:p>
    <w:p w14:paraId="3B3F9591" w14:textId="1767F5B4" w:rsidR="008E1B8C" w:rsidRPr="00A02B31" w:rsidRDefault="008E1B8C" w:rsidP="00DA26E5">
      <w:pPr>
        <w:autoSpaceDE w:val="0"/>
        <w:autoSpaceDN w:val="0"/>
        <w:adjustRightInd w:val="0"/>
        <w:jc w:val="both"/>
        <w:rPr>
          <w:rFonts w:cstheme="minorHAnsi"/>
          <w:sz w:val="20"/>
          <w:szCs w:val="20"/>
        </w:rPr>
      </w:pPr>
      <w:r w:rsidRPr="00A02B31">
        <w:rPr>
          <w:rFonts w:cstheme="minorHAnsi"/>
          <w:sz w:val="20"/>
          <w:szCs w:val="20"/>
        </w:rPr>
        <w:t xml:space="preserve">The </w:t>
      </w:r>
      <w:r w:rsidR="00F874B4" w:rsidRPr="00A02B31">
        <w:rPr>
          <w:rFonts w:cstheme="minorHAnsi"/>
          <w:sz w:val="20"/>
          <w:szCs w:val="20"/>
        </w:rPr>
        <w:t>b</w:t>
      </w:r>
      <w:r w:rsidRPr="00A02B31">
        <w:rPr>
          <w:rFonts w:cstheme="minorHAnsi"/>
          <w:sz w:val="20"/>
          <w:szCs w:val="20"/>
        </w:rPr>
        <w:t>oard oversees the role of the</w:t>
      </w:r>
      <w:r w:rsidR="00F874B4" w:rsidRPr="00A02B31">
        <w:rPr>
          <w:rFonts w:cstheme="minorHAnsi"/>
          <w:sz w:val="20"/>
          <w:szCs w:val="20"/>
        </w:rPr>
        <w:t xml:space="preserve"> i</w:t>
      </w:r>
      <w:r w:rsidRPr="00A02B31">
        <w:rPr>
          <w:rFonts w:cstheme="minorHAnsi"/>
          <w:sz w:val="20"/>
          <w:szCs w:val="20"/>
        </w:rPr>
        <w:t xml:space="preserve">nvestment </w:t>
      </w:r>
      <w:r w:rsidR="00F874B4" w:rsidRPr="00A02B31">
        <w:rPr>
          <w:rFonts w:cstheme="minorHAnsi"/>
          <w:sz w:val="20"/>
          <w:szCs w:val="20"/>
        </w:rPr>
        <w:t>m</w:t>
      </w:r>
      <w:r w:rsidRPr="00A02B31">
        <w:rPr>
          <w:rFonts w:cstheme="minorHAnsi"/>
          <w:sz w:val="20"/>
          <w:szCs w:val="20"/>
        </w:rPr>
        <w:t xml:space="preserve">anager who </w:t>
      </w:r>
      <w:r w:rsidR="0091098D">
        <w:rPr>
          <w:rFonts w:cstheme="minorHAnsi"/>
          <w:sz w:val="20"/>
          <w:szCs w:val="20"/>
        </w:rPr>
        <w:t>are</w:t>
      </w:r>
      <w:r w:rsidRPr="00A02B31">
        <w:rPr>
          <w:rFonts w:cstheme="minorHAnsi"/>
          <w:sz w:val="20"/>
          <w:szCs w:val="20"/>
        </w:rPr>
        <w:t xml:space="preserve"> seeking to grow net asset value over the long-term by executing on the agreed investment policy.</w:t>
      </w:r>
    </w:p>
    <w:p w14:paraId="0E0CAC3A" w14:textId="77777777" w:rsidR="00DA26E5" w:rsidRPr="00A02B31" w:rsidRDefault="00DA26E5" w:rsidP="009347E4">
      <w:pPr>
        <w:autoSpaceDE w:val="0"/>
        <w:autoSpaceDN w:val="0"/>
        <w:adjustRightInd w:val="0"/>
        <w:jc w:val="both"/>
        <w:rPr>
          <w:rFonts w:cstheme="minorHAnsi"/>
          <w:sz w:val="20"/>
          <w:szCs w:val="20"/>
        </w:rPr>
      </w:pPr>
    </w:p>
    <w:p w14:paraId="3051CBEF" w14:textId="327F1C99" w:rsidR="008E1B8C" w:rsidRPr="00A02B31" w:rsidRDefault="008E1B8C" w:rsidP="009347E4">
      <w:pPr>
        <w:autoSpaceDE w:val="0"/>
        <w:autoSpaceDN w:val="0"/>
        <w:adjustRightInd w:val="0"/>
        <w:jc w:val="both"/>
        <w:rPr>
          <w:rFonts w:cstheme="minorHAnsi"/>
          <w:sz w:val="20"/>
          <w:szCs w:val="20"/>
        </w:rPr>
      </w:pPr>
      <w:r w:rsidRPr="00A02B31">
        <w:rPr>
          <w:rFonts w:cstheme="minorHAnsi"/>
          <w:sz w:val="20"/>
          <w:szCs w:val="20"/>
        </w:rPr>
        <w:t xml:space="preserve">The </w:t>
      </w:r>
      <w:r w:rsidR="00F874B4" w:rsidRPr="00A02B31">
        <w:rPr>
          <w:rFonts w:cstheme="minorHAnsi"/>
          <w:sz w:val="20"/>
          <w:szCs w:val="20"/>
        </w:rPr>
        <w:t>b</w:t>
      </w:r>
      <w:r w:rsidRPr="00A02B31">
        <w:rPr>
          <w:rFonts w:cstheme="minorHAnsi"/>
          <w:sz w:val="20"/>
          <w:szCs w:val="20"/>
        </w:rPr>
        <w:t>oard consists of t</w:t>
      </w:r>
      <w:r w:rsidR="00F874B4" w:rsidRPr="00A02B31">
        <w:rPr>
          <w:rFonts w:cstheme="minorHAnsi"/>
          <w:sz w:val="20"/>
          <w:szCs w:val="20"/>
        </w:rPr>
        <w:t>hree</w:t>
      </w:r>
      <w:r w:rsidRPr="00A02B31">
        <w:rPr>
          <w:rFonts w:cstheme="minorHAnsi"/>
          <w:sz w:val="20"/>
          <w:szCs w:val="20"/>
        </w:rPr>
        <w:t xml:space="preserve"> </w:t>
      </w:r>
      <w:r w:rsidR="00F874B4" w:rsidRPr="00A02B31">
        <w:rPr>
          <w:rFonts w:cstheme="minorHAnsi"/>
          <w:sz w:val="20"/>
          <w:szCs w:val="20"/>
        </w:rPr>
        <w:t>n</w:t>
      </w:r>
      <w:r w:rsidRPr="00A02B31">
        <w:rPr>
          <w:rFonts w:cstheme="minorHAnsi"/>
          <w:sz w:val="20"/>
          <w:szCs w:val="20"/>
        </w:rPr>
        <w:t>on-</w:t>
      </w:r>
      <w:r w:rsidR="00F874B4" w:rsidRPr="00A02B31">
        <w:rPr>
          <w:rFonts w:cstheme="minorHAnsi"/>
          <w:sz w:val="20"/>
          <w:szCs w:val="20"/>
        </w:rPr>
        <w:t>e</w:t>
      </w:r>
      <w:r w:rsidRPr="00A02B31">
        <w:rPr>
          <w:rFonts w:cstheme="minorHAnsi"/>
          <w:sz w:val="20"/>
          <w:szCs w:val="20"/>
        </w:rPr>
        <w:t xml:space="preserve">xecutive </w:t>
      </w:r>
      <w:r w:rsidR="00F874B4" w:rsidRPr="00A02B31">
        <w:rPr>
          <w:rFonts w:cstheme="minorHAnsi"/>
          <w:sz w:val="20"/>
          <w:szCs w:val="20"/>
        </w:rPr>
        <w:t>d</w:t>
      </w:r>
      <w:r w:rsidRPr="00A02B31">
        <w:rPr>
          <w:rFonts w:cstheme="minorHAnsi"/>
          <w:sz w:val="20"/>
          <w:szCs w:val="20"/>
        </w:rPr>
        <w:t>irectors, one of which is an</w:t>
      </w:r>
      <w:r w:rsidR="00F874B4" w:rsidRPr="00A02B31">
        <w:rPr>
          <w:rFonts w:cstheme="minorHAnsi"/>
          <w:sz w:val="20"/>
          <w:szCs w:val="20"/>
        </w:rPr>
        <w:t xml:space="preserve"> i</w:t>
      </w:r>
      <w:r w:rsidRPr="00A02B31">
        <w:rPr>
          <w:rFonts w:cstheme="minorHAnsi"/>
          <w:sz w:val="20"/>
          <w:szCs w:val="20"/>
        </w:rPr>
        <w:t xml:space="preserve">ndependent </w:t>
      </w:r>
      <w:r w:rsidR="00F874B4" w:rsidRPr="00A02B31">
        <w:rPr>
          <w:rFonts w:cstheme="minorHAnsi"/>
          <w:sz w:val="20"/>
          <w:szCs w:val="20"/>
        </w:rPr>
        <w:t>n</w:t>
      </w:r>
      <w:r w:rsidRPr="00A02B31">
        <w:rPr>
          <w:rFonts w:cstheme="minorHAnsi"/>
          <w:sz w:val="20"/>
          <w:szCs w:val="20"/>
        </w:rPr>
        <w:t>on-</w:t>
      </w:r>
      <w:r w:rsidR="00F874B4" w:rsidRPr="00A02B31">
        <w:rPr>
          <w:rFonts w:cstheme="minorHAnsi"/>
          <w:sz w:val="20"/>
          <w:szCs w:val="20"/>
        </w:rPr>
        <w:t>e</w:t>
      </w:r>
      <w:r w:rsidRPr="00A02B31">
        <w:rPr>
          <w:rFonts w:cstheme="minorHAnsi"/>
          <w:sz w:val="20"/>
          <w:szCs w:val="20"/>
        </w:rPr>
        <w:t xml:space="preserve">xecutive Chairman and all of whom are independent of the </w:t>
      </w:r>
      <w:r w:rsidR="00F874B4" w:rsidRPr="00A02B31">
        <w:rPr>
          <w:rFonts w:cstheme="minorHAnsi"/>
          <w:sz w:val="20"/>
          <w:szCs w:val="20"/>
        </w:rPr>
        <w:t>i</w:t>
      </w:r>
      <w:r w:rsidRPr="00A02B31">
        <w:rPr>
          <w:rFonts w:cstheme="minorHAnsi"/>
          <w:sz w:val="20"/>
          <w:szCs w:val="20"/>
        </w:rPr>
        <w:t xml:space="preserve">nvestment </w:t>
      </w:r>
      <w:r w:rsidR="00F874B4" w:rsidRPr="00A02B31">
        <w:rPr>
          <w:rFonts w:cstheme="minorHAnsi"/>
          <w:sz w:val="20"/>
          <w:szCs w:val="20"/>
        </w:rPr>
        <w:t>m</w:t>
      </w:r>
      <w:r w:rsidRPr="00A02B31">
        <w:rPr>
          <w:rFonts w:cstheme="minorHAnsi"/>
          <w:sz w:val="20"/>
          <w:szCs w:val="20"/>
        </w:rPr>
        <w:t xml:space="preserve">anager. No one individual dominates the </w:t>
      </w:r>
      <w:r w:rsidR="00F874B4" w:rsidRPr="00A02B31">
        <w:rPr>
          <w:rFonts w:cstheme="minorHAnsi"/>
          <w:sz w:val="20"/>
          <w:szCs w:val="20"/>
        </w:rPr>
        <w:t>b</w:t>
      </w:r>
      <w:r w:rsidRPr="00A02B31">
        <w:rPr>
          <w:rFonts w:cstheme="minorHAnsi"/>
          <w:sz w:val="20"/>
          <w:szCs w:val="20"/>
        </w:rPr>
        <w:t xml:space="preserve">oard’s decision making. The </w:t>
      </w:r>
      <w:r w:rsidR="00F874B4" w:rsidRPr="00A02B31">
        <w:rPr>
          <w:rFonts w:cstheme="minorHAnsi"/>
          <w:sz w:val="20"/>
          <w:szCs w:val="20"/>
        </w:rPr>
        <w:t>b</w:t>
      </w:r>
      <w:r w:rsidRPr="00A02B31">
        <w:rPr>
          <w:rFonts w:cstheme="minorHAnsi"/>
          <w:sz w:val="20"/>
          <w:szCs w:val="20"/>
        </w:rPr>
        <w:t xml:space="preserve">oard have an </w:t>
      </w:r>
      <w:r w:rsidR="0091098D">
        <w:rPr>
          <w:rFonts w:cstheme="minorHAnsi"/>
          <w:sz w:val="20"/>
          <w:szCs w:val="20"/>
        </w:rPr>
        <w:t>I</w:t>
      </w:r>
      <w:r w:rsidRPr="00A02B31">
        <w:rPr>
          <w:rFonts w:cstheme="minorHAnsi"/>
          <w:sz w:val="20"/>
          <w:szCs w:val="20"/>
        </w:rPr>
        <w:t xml:space="preserve">nvestment </w:t>
      </w:r>
      <w:r w:rsidR="0091098D">
        <w:rPr>
          <w:rFonts w:cstheme="minorHAnsi"/>
          <w:sz w:val="20"/>
          <w:szCs w:val="20"/>
        </w:rPr>
        <w:t>M</w:t>
      </w:r>
      <w:r w:rsidRPr="00A02B31">
        <w:rPr>
          <w:rFonts w:cstheme="minorHAnsi"/>
          <w:sz w:val="20"/>
          <w:szCs w:val="20"/>
        </w:rPr>
        <w:t>anager Agreement in place and this agreement is reviewed annually.</w:t>
      </w:r>
    </w:p>
    <w:p w14:paraId="56C2201D" w14:textId="77777777" w:rsidR="00934481" w:rsidRPr="00A02B31" w:rsidRDefault="00934481" w:rsidP="009347E4">
      <w:pPr>
        <w:autoSpaceDE w:val="0"/>
        <w:autoSpaceDN w:val="0"/>
        <w:adjustRightInd w:val="0"/>
        <w:jc w:val="both"/>
        <w:rPr>
          <w:rFonts w:cstheme="minorHAnsi"/>
          <w:sz w:val="20"/>
          <w:szCs w:val="20"/>
        </w:rPr>
      </w:pPr>
    </w:p>
    <w:p w14:paraId="664D490A" w14:textId="4ED20369" w:rsidR="00827B1F" w:rsidRPr="00A02B31" w:rsidRDefault="008E1B8C" w:rsidP="009347E4">
      <w:pPr>
        <w:autoSpaceDE w:val="0"/>
        <w:autoSpaceDN w:val="0"/>
        <w:adjustRightInd w:val="0"/>
        <w:jc w:val="both"/>
        <w:rPr>
          <w:rFonts w:cstheme="minorHAnsi"/>
          <w:sz w:val="20"/>
          <w:szCs w:val="20"/>
        </w:rPr>
      </w:pPr>
      <w:r w:rsidRPr="00A02B31">
        <w:rPr>
          <w:rFonts w:cstheme="minorHAnsi"/>
          <w:sz w:val="20"/>
          <w:szCs w:val="20"/>
        </w:rPr>
        <w:t xml:space="preserve">The </w:t>
      </w:r>
      <w:r w:rsidR="00F874B4" w:rsidRPr="00A02B31">
        <w:rPr>
          <w:rFonts w:cstheme="minorHAnsi"/>
          <w:sz w:val="20"/>
          <w:szCs w:val="20"/>
        </w:rPr>
        <w:t>b</w:t>
      </w:r>
      <w:r w:rsidRPr="00A02B31">
        <w:rPr>
          <w:rFonts w:cstheme="minorHAnsi"/>
          <w:sz w:val="20"/>
          <w:szCs w:val="20"/>
        </w:rPr>
        <w:t xml:space="preserve">oard considers the required time commitment annually and during the year under review all Directors continued to devote sufficient amount of time to the business of RKW. The </w:t>
      </w:r>
      <w:r w:rsidR="00F874B4" w:rsidRPr="00A02B31">
        <w:rPr>
          <w:rFonts w:cstheme="minorHAnsi"/>
          <w:sz w:val="20"/>
          <w:szCs w:val="20"/>
        </w:rPr>
        <w:t>d</w:t>
      </w:r>
      <w:r w:rsidRPr="00A02B31">
        <w:rPr>
          <w:rFonts w:cstheme="minorHAnsi"/>
          <w:sz w:val="20"/>
          <w:szCs w:val="20"/>
        </w:rPr>
        <w:t xml:space="preserve">irectors possess a wide range of skills, knowledge and experience relevant to the leadership of the Company, including financial, legal, </w:t>
      </w:r>
      <w:r w:rsidR="00827B1F" w:rsidRPr="00A02B31">
        <w:rPr>
          <w:rFonts w:cstheme="minorHAnsi"/>
          <w:sz w:val="20"/>
          <w:szCs w:val="20"/>
        </w:rPr>
        <w:t>and regulatory</w:t>
      </w:r>
      <w:r w:rsidRPr="00A02B31">
        <w:rPr>
          <w:rFonts w:cstheme="minorHAnsi"/>
          <w:sz w:val="20"/>
          <w:szCs w:val="20"/>
        </w:rPr>
        <w:t xml:space="preserve"> and industry experience as well as the ability to provide constructive challenge to the views and assumptions of the Investment Manager and hold third party service providers to account. </w:t>
      </w:r>
    </w:p>
    <w:p w14:paraId="65123C45" w14:textId="77777777" w:rsidR="00DA79AE" w:rsidRPr="00A02B31" w:rsidRDefault="00DA79AE" w:rsidP="009347E4">
      <w:pPr>
        <w:autoSpaceDE w:val="0"/>
        <w:autoSpaceDN w:val="0"/>
        <w:adjustRightInd w:val="0"/>
        <w:jc w:val="both"/>
        <w:rPr>
          <w:rFonts w:cstheme="minorHAnsi"/>
          <w:sz w:val="20"/>
          <w:szCs w:val="20"/>
        </w:rPr>
      </w:pPr>
    </w:p>
    <w:p w14:paraId="7056EC4C" w14:textId="5178F153" w:rsidR="009347E4" w:rsidRPr="00A02B31" w:rsidRDefault="0011602F" w:rsidP="009347E4">
      <w:pPr>
        <w:autoSpaceDE w:val="0"/>
        <w:autoSpaceDN w:val="0"/>
        <w:adjustRightInd w:val="0"/>
        <w:jc w:val="both"/>
        <w:rPr>
          <w:rFonts w:cstheme="minorHAnsi"/>
          <w:sz w:val="20"/>
          <w:szCs w:val="20"/>
        </w:rPr>
      </w:pPr>
      <w:r w:rsidRPr="00A02B31">
        <w:rPr>
          <w:rFonts w:cstheme="minorHAnsi"/>
          <w:sz w:val="20"/>
          <w:szCs w:val="20"/>
        </w:rPr>
        <w:t xml:space="preserve">All members of the </w:t>
      </w:r>
      <w:r w:rsidR="00F874B4" w:rsidRPr="00A02B31">
        <w:rPr>
          <w:rFonts w:cstheme="minorHAnsi"/>
          <w:sz w:val="20"/>
          <w:szCs w:val="20"/>
        </w:rPr>
        <w:t>b</w:t>
      </w:r>
      <w:r w:rsidRPr="00A02B31">
        <w:rPr>
          <w:rFonts w:cstheme="minorHAnsi"/>
          <w:sz w:val="20"/>
          <w:szCs w:val="20"/>
        </w:rPr>
        <w:t xml:space="preserve">oard </w:t>
      </w:r>
      <w:r w:rsidR="002A765C" w:rsidRPr="00A02B31">
        <w:rPr>
          <w:rFonts w:cstheme="minorHAnsi"/>
          <w:sz w:val="20"/>
          <w:szCs w:val="20"/>
        </w:rPr>
        <w:t xml:space="preserve">own </w:t>
      </w:r>
      <w:r w:rsidRPr="00A02B31">
        <w:rPr>
          <w:rFonts w:cstheme="minorHAnsi"/>
          <w:sz w:val="20"/>
          <w:szCs w:val="20"/>
        </w:rPr>
        <w:t xml:space="preserve">shares in the </w:t>
      </w:r>
      <w:r w:rsidR="00064D8A" w:rsidRPr="00A02B31">
        <w:rPr>
          <w:rFonts w:cstheme="minorHAnsi"/>
          <w:sz w:val="20"/>
          <w:szCs w:val="20"/>
        </w:rPr>
        <w:t>Company</w:t>
      </w:r>
      <w:r w:rsidR="004A109E" w:rsidRPr="00A02B31">
        <w:rPr>
          <w:rFonts w:cstheme="minorHAnsi"/>
          <w:sz w:val="20"/>
          <w:szCs w:val="20"/>
        </w:rPr>
        <w:t xml:space="preserve">. Further detail on each of their shareholding can be found on page </w:t>
      </w:r>
      <w:r w:rsidR="00684052" w:rsidRPr="00A02B31">
        <w:rPr>
          <w:rFonts w:cstheme="minorHAnsi"/>
          <w:sz w:val="20"/>
          <w:szCs w:val="20"/>
        </w:rPr>
        <w:t>24</w:t>
      </w:r>
      <w:r w:rsidR="004A109E" w:rsidRPr="00A02B31">
        <w:rPr>
          <w:rFonts w:cstheme="minorHAnsi"/>
          <w:sz w:val="20"/>
          <w:szCs w:val="20"/>
        </w:rPr>
        <w:t xml:space="preserve">. </w:t>
      </w:r>
      <w:r w:rsidR="00934481" w:rsidRPr="00A02B31">
        <w:rPr>
          <w:rFonts w:cstheme="minorHAnsi"/>
          <w:sz w:val="20"/>
          <w:szCs w:val="20"/>
        </w:rPr>
        <w:t xml:space="preserve"> After consideration of the above factors, </w:t>
      </w:r>
      <w:r w:rsidR="00064D8A" w:rsidRPr="00A02B31">
        <w:rPr>
          <w:rFonts w:cstheme="minorHAnsi"/>
          <w:sz w:val="20"/>
          <w:szCs w:val="20"/>
        </w:rPr>
        <w:t xml:space="preserve">and taking into </w:t>
      </w:r>
      <w:r w:rsidR="00510167" w:rsidRPr="00A02B31">
        <w:rPr>
          <w:rFonts w:cstheme="minorHAnsi"/>
          <w:sz w:val="20"/>
          <w:szCs w:val="20"/>
        </w:rPr>
        <w:t>account</w:t>
      </w:r>
      <w:r w:rsidR="00064D8A" w:rsidRPr="00A02B31">
        <w:rPr>
          <w:rFonts w:cstheme="minorHAnsi"/>
          <w:sz w:val="20"/>
          <w:szCs w:val="20"/>
        </w:rPr>
        <w:t xml:space="preserve"> guidance from the AIC, which encourages </w:t>
      </w:r>
      <w:r w:rsidR="002D508D" w:rsidRPr="00A02B31">
        <w:rPr>
          <w:rFonts w:cstheme="minorHAnsi"/>
          <w:sz w:val="20"/>
          <w:szCs w:val="20"/>
        </w:rPr>
        <w:t>d</w:t>
      </w:r>
      <w:r w:rsidR="00064D8A" w:rsidRPr="00A02B31">
        <w:rPr>
          <w:rFonts w:cstheme="minorHAnsi"/>
          <w:sz w:val="20"/>
          <w:szCs w:val="20"/>
        </w:rPr>
        <w:t xml:space="preserve">irectors owning shares, </w:t>
      </w:r>
      <w:r w:rsidR="00934481" w:rsidRPr="00A02B31">
        <w:rPr>
          <w:rFonts w:cstheme="minorHAnsi"/>
          <w:sz w:val="20"/>
          <w:szCs w:val="20"/>
        </w:rPr>
        <w:t xml:space="preserve">the </w:t>
      </w:r>
      <w:r w:rsidR="00F874B4" w:rsidRPr="00A02B31">
        <w:rPr>
          <w:rFonts w:cstheme="minorHAnsi"/>
          <w:sz w:val="20"/>
          <w:szCs w:val="20"/>
        </w:rPr>
        <w:t>b</w:t>
      </w:r>
      <w:r w:rsidR="00934481" w:rsidRPr="00A02B31">
        <w:rPr>
          <w:rFonts w:cstheme="minorHAnsi"/>
          <w:sz w:val="20"/>
          <w:szCs w:val="20"/>
        </w:rPr>
        <w:t xml:space="preserve">oard is of the view </w:t>
      </w:r>
      <w:r w:rsidR="001F5E4D" w:rsidRPr="00A02B31">
        <w:rPr>
          <w:rFonts w:cstheme="minorHAnsi"/>
          <w:sz w:val="20"/>
          <w:szCs w:val="20"/>
        </w:rPr>
        <w:t xml:space="preserve">that all the Non-executive Directors continue to be independent in character and judgement and free from relationships or circumstances that could affect their judgement within the meaning of the AIC Code. The </w:t>
      </w:r>
      <w:r w:rsidR="00F874B4" w:rsidRPr="00A02B31">
        <w:rPr>
          <w:rFonts w:cstheme="minorHAnsi"/>
          <w:sz w:val="20"/>
          <w:szCs w:val="20"/>
        </w:rPr>
        <w:t>b</w:t>
      </w:r>
      <w:r w:rsidR="001F5E4D" w:rsidRPr="00A02B31">
        <w:rPr>
          <w:rFonts w:cstheme="minorHAnsi"/>
          <w:sz w:val="20"/>
          <w:szCs w:val="20"/>
        </w:rPr>
        <w:t xml:space="preserve">oard considers that all Directors continue to be committed to their roles and have sufficient time available to meet their </w:t>
      </w:r>
      <w:r w:rsidR="00F874B4" w:rsidRPr="00A02B31">
        <w:rPr>
          <w:rFonts w:cstheme="minorHAnsi"/>
          <w:sz w:val="20"/>
          <w:szCs w:val="20"/>
        </w:rPr>
        <w:t>b</w:t>
      </w:r>
      <w:r w:rsidR="001F5E4D" w:rsidRPr="00A02B31">
        <w:rPr>
          <w:rFonts w:cstheme="minorHAnsi"/>
          <w:sz w:val="20"/>
          <w:szCs w:val="20"/>
        </w:rPr>
        <w:t>oard responsibilities.</w:t>
      </w:r>
    </w:p>
    <w:p w14:paraId="66E3BA3D" w14:textId="7EA377CF" w:rsidR="00F0354C" w:rsidRPr="00A02B31" w:rsidRDefault="00F0354C" w:rsidP="009347E4">
      <w:pPr>
        <w:autoSpaceDE w:val="0"/>
        <w:autoSpaceDN w:val="0"/>
        <w:adjustRightInd w:val="0"/>
        <w:jc w:val="both"/>
        <w:rPr>
          <w:rFonts w:cstheme="minorHAnsi"/>
          <w:sz w:val="20"/>
          <w:szCs w:val="20"/>
        </w:rPr>
      </w:pPr>
    </w:p>
    <w:p w14:paraId="041BB86C" w14:textId="27CECB87" w:rsidR="00510167" w:rsidRPr="00A02B31" w:rsidRDefault="00510167" w:rsidP="00510167">
      <w:pPr>
        <w:autoSpaceDE w:val="0"/>
        <w:autoSpaceDN w:val="0"/>
        <w:adjustRightInd w:val="0"/>
        <w:jc w:val="both"/>
        <w:rPr>
          <w:rFonts w:cstheme="minorHAnsi"/>
          <w:sz w:val="20"/>
          <w:szCs w:val="20"/>
        </w:rPr>
      </w:pPr>
      <w:r w:rsidRPr="00A02B31">
        <w:rPr>
          <w:rFonts w:cstheme="minorHAnsi"/>
          <w:sz w:val="20"/>
          <w:szCs w:val="20"/>
        </w:rPr>
        <w:t xml:space="preserve">The names and responsibilities of the </w:t>
      </w:r>
      <w:r w:rsidR="00F874B4" w:rsidRPr="00A02B31">
        <w:rPr>
          <w:rFonts w:cstheme="minorHAnsi"/>
          <w:sz w:val="20"/>
          <w:szCs w:val="20"/>
        </w:rPr>
        <w:t>d</w:t>
      </w:r>
      <w:r w:rsidRPr="00A02B31">
        <w:rPr>
          <w:rFonts w:cstheme="minorHAnsi"/>
          <w:sz w:val="20"/>
          <w:szCs w:val="20"/>
        </w:rPr>
        <w:t xml:space="preserve">irectors, together with their biographies and details of their significant commitments, are set out on page </w:t>
      </w:r>
      <w:r w:rsidR="00684052" w:rsidRPr="00A02B31">
        <w:rPr>
          <w:rFonts w:cstheme="minorHAnsi"/>
          <w:sz w:val="20"/>
          <w:szCs w:val="20"/>
        </w:rPr>
        <w:t>5</w:t>
      </w:r>
      <w:r w:rsidRPr="00A02B31">
        <w:rPr>
          <w:rFonts w:cstheme="minorHAnsi"/>
          <w:sz w:val="20"/>
          <w:szCs w:val="20"/>
        </w:rPr>
        <w:t xml:space="preserve">. </w:t>
      </w:r>
    </w:p>
    <w:p w14:paraId="367EBDA2" w14:textId="1F35215C" w:rsidR="00BA002E" w:rsidRDefault="00BA002E" w:rsidP="004448C0">
      <w:pPr>
        <w:rPr>
          <w:rFonts w:cstheme="minorHAnsi"/>
          <w:b/>
          <w:sz w:val="20"/>
          <w:szCs w:val="20"/>
        </w:rPr>
      </w:pPr>
    </w:p>
    <w:p w14:paraId="544D99AB" w14:textId="45714216" w:rsidR="00841FAD" w:rsidRDefault="00841FAD" w:rsidP="004448C0">
      <w:pPr>
        <w:rPr>
          <w:rFonts w:cstheme="minorHAnsi"/>
          <w:b/>
          <w:sz w:val="20"/>
          <w:szCs w:val="20"/>
        </w:rPr>
      </w:pPr>
    </w:p>
    <w:p w14:paraId="25011C76" w14:textId="77777777" w:rsidR="00841FAD" w:rsidRPr="00A02B31" w:rsidRDefault="00841FAD" w:rsidP="004448C0">
      <w:pPr>
        <w:rPr>
          <w:rFonts w:cstheme="minorHAnsi"/>
          <w:b/>
          <w:sz w:val="20"/>
          <w:szCs w:val="20"/>
        </w:rPr>
      </w:pPr>
    </w:p>
    <w:p w14:paraId="373DC4BF" w14:textId="1387E34C" w:rsidR="004448C0" w:rsidRPr="00A02B31" w:rsidRDefault="004448C0" w:rsidP="004448C0">
      <w:pPr>
        <w:rPr>
          <w:rFonts w:cstheme="minorHAnsi"/>
          <w:b/>
          <w:sz w:val="20"/>
          <w:szCs w:val="20"/>
        </w:rPr>
      </w:pPr>
      <w:r w:rsidRPr="00A02B31">
        <w:rPr>
          <w:rFonts w:cstheme="minorHAnsi"/>
          <w:b/>
          <w:sz w:val="20"/>
          <w:szCs w:val="20"/>
        </w:rPr>
        <w:lastRenderedPageBreak/>
        <w:t xml:space="preserve">Board and Committee </w:t>
      </w:r>
      <w:r w:rsidR="008D367B" w:rsidRPr="00A02B31">
        <w:rPr>
          <w:rFonts w:cstheme="minorHAnsi"/>
          <w:b/>
          <w:sz w:val="20"/>
          <w:szCs w:val="20"/>
        </w:rPr>
        <w:t>m</w:t>
      </w:r>
      <w:r w:rsidRPr="00A02B31">
        <w:rPr>
          <w:rFonts w:cstheme="minorHAnsi"/>
          <w:b/>
          <w:sz w:val="20"/>
          <w:szCs w:val="20"/>
        </w:rPr>
        <w:t>eetings</w:t>
      </w:r>
    </w:p>
    <w:p w14:paraId="57B1A582" w14:textId="77777777" w:rsidR="004448C0" w:rsidRPr="00A02B31" w:rsidRDefault="004448C0" w:rsidP="004448C0">
      <w:pPr>
        <w:rPr>
          <w:rFonts w:cstheme="minorHAnsi"/>
          <w:b/>
          <w:sz w:val="20"/>
          <w:szCs w:val="20"/>
        </w:rPr>
      </w:pPr>
    </w:p>
    <w:p w14:paraId="55274910" w14:textId="26C51702" w:rsidR="004448C0" w:rsidRPr="00A02B31" w:rsidRDefault="004448C0" w:rsidP="004448C0">
      <w:pPr>
        <w:autoSpaceDE w:val="0"/>
        <w:autoSpaceDN w:val="0"/>
        <w:adjustRightInd w:val="0"/>
        <w:jc w:val="both"/>
        <w:rPr>
          <w:rFonts w:cstheme="minorHAnsi"/>
          <w:sz w:val="20"/>
          <w:szCs w:val="20"/>
        </w:rPr>
      </w:pPr>
      <w:r w:rsidRPr="00A02B31">
        <w:rPr>
          <w:rFonts w:cstheme="minorHAnsi"/>
          <w:sz w:val="20"/>
          <w:szCs w:val="20"/>
        </w:rPr>
        <w:t xml:space="preserve">The </w:t>
      </w:r>
      <w:r w:rsidR="00F874B4" w:rsidRPr="00A02B31">
        <w:rPr>
          <w:rFonts w:cstheme="minorHAnsi"/>
          <w:sz w:val="20"/>
          <w:szCs w:val="20"/>
        </w:rPr>
        <w:t>b</w:t>
      </w:r>
      <w:r w:rsidRPr="00A02B31">
        <w:rPr>
          <w:rFonts w:cstheme="minorHAnsi"/>
          <w:sz w:val="20"/>
          <w:szCs w:val="20"/>
        </w:rPr>
        <w:t xml:space="preserve">oard holds quarterly </w:t>
      </w:r>
      <w:r w:rsidR="00F874B4" w:rsidRPr="00A02B31">
        <w:rPr>
          <w:rFonts w:cstheme="minorHAnsi"/>
          <w:sz w:val="20"/>
          <w:szCs w:val="20"/>
        </w:rPr>
        <w:t>b</w:t>
      </w:r>
      <w:r w:rsidRPr="00A02B31">
        <w:rPr>
          <w:rFonts w:cstheme="minorHAnsi"/>
          <w:sz w:val="20"/>
          <w:szCs w:val="20"/>
        </w:rPr>
        <w:t xml:space="preserve">oard meetings (with additional meetings arranged as necessary) where it considers investment performance, investor relations, share price performance and other relevant matters. Regular discussions are held with the </w:t>
      </w:r>
      <w:r w:rsidR="00F874B4" w:rsidRPr="00A02B31">
        <w:rPr>
          <w:rFonts w:cstheme="minorHAnsi"/>
          <w:sz w:val="20"/>
          <w:szCs w:val="20"/>
        </w:rPr>
        <w:t>m</w:t>
      </w:r>
      <w:r w:rsidRPr="00A02B31">
        <w:rPr>
          <w:rFonts w:cstheme="minorHAnsi"/>
          <w:sz w:val="20"/>
          <w:szCs w:val="20"/>
        </w:rPr>
        <w:t xml:space="preserve">anager and its advisers about the discount to </w:t>
      </w:r>
      <w:r w:rsidR="004371D9" w:rsidRPr="00A02B31">
        <w:rPr>
          <w:rFonts w:cstheme="minorHAnsi"/>
          <w:sz w:val="20"/>
          <w:szCs w:val="20"/>
        </w:rPr>
        <w:t>NAV</w:t>
      </w:r>
      <w:r w:rsidRPr="00A02B31">
        <w:rPr>
          <w:rFonts w:cstheme="minorHAnsi"/>
          <w:sz w:val="20"/>
          <w:szCs w:val="20"/>
        </w:rPr>
        <w:t xml:space="preserve"> at which the shares trade and how this migh</w:t>
      </w:r>
      <w:r w:rsidR="00F327B4" w:rsidRPr="00A02B31">
        <w:rPr>
          <w:rFonts w:cstheme="minorHAnsi"/>
          <w:sz w:val="20"/>
          <w:szCs w:val="20"/>
        </w:rPr>
        <w:t>t be reduce</w:t>
      </w:r>
      <w:r w:rsidR="00181CA8" w:rsidRPr="00A02B31">
        <w:rPr>
          <w:rFonts w:cstheme="minorHAnsi"/>
          <w:sz w:val="20"/>
          <w:szCs w:val="20"/>
        </w:rPr>
        <w:t xml:space="preserve">d. </w:t>
      </w:r>
      <w:r w:rsidR="00F327B4" w:rsidRPr="00A02B31">
        <w:rPr>
          <w:rFonts w:cstheme="minorHAnsi"/>
          <w:sz w:val="20"/>
          <w:szCs w:val="20"/>
        </w:rPr>
        <w:t xml:space="preserve">Over the past </w:t>
      </w:r>
      <w:r w:rsidR="00742990" w:rsidRPr="00A02B31">
        <w:rPr>
          <w:rFonts w:cstheme="minorHAnsi"/>
          <w:sz w:val="20"/>
          <w:szCs w:val="20"/>
        </w:rPr>
        <w:t xml:space="preserve">four </w:t>
      </w:r>
      <w:r w:rsidRPr="00A02B31">
        <w:rPr>
          <w:rFonts w:cstheme="minorHAnsi"/>
          <w:sz w:val="20"/>
          <w:szCs w:val="20"/>
        </w:rPr>
        <w:t xml:space="preserve">years, the Company has undertaken share buybacks in an effort to reduce this discount. </w:t>
      </w:r>
    </w:p>
    <w:p w14:paraId="5F2AC6AC" w14:textId="77777777" w:rsidR="004448C0" w:rsidRPr="00A02B31" w:rsidRDefault="004448C0" w:rsidP="004448C0">
      <w:pPr>
        <w:autoSpaceDE w:val="0"/>
        <w:autoSpaceDN w:val="0"/>
        <w:adjustRightInd w:val="0"/>
        <w:jc w:val="both"/>
        <w:rPr>
          <w:rFonts w:cstheme="minorHAnsi"/>
          <w:color w:val="000000"/>
          <w:sz w:val="20"/>
          <w:szCs w:val="20"/>
        </w:rPr>
      </w:pPr>
    </w:p>
    <w:p w14:paraId="0714A8DA" w14:textId="224A0BA8" w:rsidR="004448C0" w:rsidRPr="00A02B31" w:rsidRDefault="004448C0" w:rsidP="004448C0">
      <w:pPr>
        <w:autoSpaceDE w:val="0"/>
        <w:autoSpaceDN w:val="0"/>
        <w:adjustRightInd w:val="0"/>
        <w:jc w:val="both"/>
        <w:rPr>
          <w:rFonts w:cstheme="minorHAnsi"/>
          <w:sz w:val="20"/>
          <w:szCs w:val="20"/>
        </w:rPr>
      </w:pPr>
      <w:r w:rsidRPr="00A02B31">
        <w:rPr>
          <w:rFonts w:cstheme="minorHAnsi"/>
          <w:sz w:val="20"/>
          <w:szCs w:val="20"/>
        </w:rPr>
        <w:t xml:space="preserve">The </w:t>
      </w:r>
      <w:r w:rsidR="00F874B4" w:rsidRPr="00A02B31">
        <w:rPr>
          <w:rFonts w:cstheme="minorHAnsi"/>
          <w:sz w:val="20"/>
          <w:szCs w:val="20"/>
        </w:rPr>
        <w:t>c</w:t>
      </w:r>
      <w:r w:rsidRPr="00A02B31">
        <w:rPr>
          <w:rFonts w:cstheme="minorHAnsi"/>
          <w:sz w:val="20"/>
          <w:szCs w:val="20"/>
        </w:rPr>
        <w:t xml:space="preserve">ompany </w:t>
      </w:r>
      <w:r w:rsidR="00F874B4" w:rsidRPr="00A02B31">
        <w:rPr>
          <w:rFonts w:cstheme="minorHAnsi"/>
          <w:sz w:val="20"/>
          <w:szCs w:val="20"/>
        </w:rPr>
        <w:t>s</w:t>
      </w:r>
      <w:r w:rsidRPr="00A02B31">
        <w:rPr>
          <w:rFonts w:cstheme="minorHAnsi"/>
          <w:sz w:val="20"/>
          <w:szCs w:val="20"/>
        </w:rPr>
        <w:t xml:space="preserve">ecretary and </w:t>
      </w:r>
      <w:r w:rsidR="00F874B4" w:rsidRPr="00A02B31">
        <w:rPr>
          <w:rFonts w:cstheme="minorHAnsi"/>
          <w:sz w:val="20"/>
          <w:szCs w:val="20"/>
        </w:rPr>
        <w:t>i</w:t>
      </w:r>
      <w:r w:rsidRPr="00A02B31">
        <w:rPr>
          <w:rFonts w:cstheme="minorHAnsi"/>
          <w:sz w:val="20"/>
          <w:szCs w:val="20"/>
        </w:rPr>
        <w:t xml:space="preserve">nvestment </w:t>
      </w:r>
      <w:r w:rsidR="00F874B4" w:rsidRPr="00A02B31">
        <w:rPr>
          <w:rFonts w:cstheme="minorHAnsi"/>
          <w:sz w:val="20"/>
          <w:szCs w:val="20"/>
        </w:rPr>
        <w:t>m</w:t>
      </w:r>
      <w:r w:rsidRPr="00A02B31">
        <w:rPr>
          <w:rFonts w:cstheme="minorHAnsi"/>
          <w:sz w:val="20"/>
          <w:szCs w:val="20"/>
        </w:rPr>
        <w:t xml:space="preserve">anager regularly provide the </w:t>
      </w:r>
      <w:r w:rsidR="00F874B4" w:rsidRPr="00A02B31">
        <w:rPr>
          <w:rFonts w:cstheme="minorHAnsi"/>
          <w:sz w:val="20"/>
          <w:szCs w:val="20"/>
        </w:rPr>
        <w:t>b</w:t>
      </w:r>
      <w:r w:rsidRPr="00A02B31">
        <w:rPr>
          <w:rFonts w:cstheme="minorHAnsi"/>
          <w:sz w:val="20"/>
          <w:szCs w:val="20"/>
        </w:rPr>
        <w:t xml:space="preserve">oard with relevant statutory, regulatory and corporate governance updates relating to the sector in which the Company operates. At each </w:t>
      </w:r>
      <w:r w:rsidR="00F874B4" w:rsidRPr="00A02B31">
        <w:rPr>
          <w:rFonts w:cstheme="minorHAnsi"/>
          <w:sz w:val="20"/>
          <w:szCs w:val="20"/>
        </w:rPr>
        <w:t>b</w:t>
      </w:r>
      <w:r w:rsidRPr="00A02B31">
        <w:rPr>
          <w:rFonts w:cstheme="minorHAnsi"/>
          <w:sz w:val="20"/>
          <w:szCs w:val="20"/>
        </w:rPr>
        <w:t xml:space="preserve">oard meeting, representatives from the </w:t>
      </w:r>
      <w:r w:rsidR="00F874B4" w:rsidRPr="00A02B31">
        <w:rPr>
          <w:rFonts w:cstheme="minorHAnsi"/>
          <w:sz w:val="20"/>
          <w:szCs w:val="20"/>
        </w:rPr>
        <w:t>i</w:t>
      </w:r>
      <w:r w:rsidRPr="00A02B31">
        <w:rPr>
          <w:rFonts w:cstheme="minorHAnsi"/>
          <w:sz w:val="20"/>
          <w:szCs w:val="20"/>
        </w:rPr>
        <w:t xml:space="preserve">nvestment </w:t>
      </w:r>
      <w:r w:rsidR="00F874B4" w:rsidRPr="00A02B31">
        <w:rPr>
          <w:rFonts w:cstheme="minorHAnsi"/>
          <w:sz w:val="20"/>
          <w:szCs w:val="20"/>
        </w:rPr>
        <w:t>m</w:t>
      </w:r>
      <w:r w:rsidRPr="00A02B31">
        <w:rPr>
          <w:rFonts w:cstheme="minorHAnsi"/>
          <w:sz w:val="20"/>
          <w:szCs w:val="20"/>
        </w:rPr>
        <w:t xml:space="preserve">anager attend to present verbal and written reports covering the Company’s portfolio and investment performance over the period. Communication between the </w:t>
      </w:r>
      <w:r w:rsidR="00F874B4" w:rsidRPr="00A02B31">
        <w:rPr>
          <w:rFonts w:cstheme="minorHAnsi"/>
          <w:sz w:val="20"/>
          <w:szCs w:val="20"/>
        </w:rPr>
        <w:t>b</w:t>
      </w:r>
      <w:r w:rsidRPr="00A02B31">
        <w:rPr>
          <w:rFonts w:cstheme="minorHAnsi"/>
          <w:sz w:val="20"/>
          <w:szCs w:val="20"/>
        </w:rPr>
        <w:t xml:space="preserve">oard and the </w:t>
      </w:r>
      <w:r w:rsidR="00F874B4" w:rsidRPr="00A02B31">
        <w:rPr>
          <w:rFonts w:cstheme="minorHAnsi"/>
          <w:sz w:val="20"/>
          <w:szCs w:val="20"/>
        </w:rPr>
        <w:t>i</w:t>
      </w:r>
      <w:r w:rsidRPr="00A02B31">
        <w:rPr>
          <w:rFonts w:cstheme="minorHAnsi"/>
          <w:sz w:val="20"/>
          <w:szCs w:val="20"/>
        </w:rPr>
        <w:t xml:space="preserve">nvestment </w:t>
      </w:r>
      <w:r w:rsidR="00F874B4" w:rsidRPr="00A02B31">
        <w:rPr>
          <w:rFonts w:cstheme="minorHAnsi"/>
          <w:sz w:val="20"/>
          <w:szCs w:val="20"/>
        </w:rPr>
        <w:t>m</w:t>
      </w:r>
      <w:r w:rsidRPr="00A02B31">
        <w:rPr>
          <w:rFonts w:cstheme="minorHAnsi"/>
          <w:sz w:val="20"/>
          <w:szCs w:val="20"/>
        </w:rPr>
        <w:t>anager and other service providers is maintained between formal meetings.</w:t>
      </w:r>
    </w:p>
    <w:p w14:paraId="3E9E6A0B" w14:textId="77777777" w:rsidR="004448C0" w:rsidRPr="00A02B31" w:rsidRDefault="004448C0" w:rsidP="004448C0">
      <w:pPr>
        <w:autoSpaceDE w:val="0"/>
        <w:autoSpaceDN w:val="0"/>
        <w:adjustRightInd w:val="0"/>
        <w:jc w:val="both"/>
        <w:rPr>
          <w:rFonts w:cstheme="minorHAnsi"/>
          <w:sz w:val="20"/>
          <w:szCs w:val="20"/>
        </w:rPr>
      </w:pPr>
    </w:p>
    <w:p w14:paraId="5E570056" w14:textId="386D2BD3" w:rsidR="004448C0" w:rsidRPr="00A02B31" w:rsidRDefault="004448C0" w:rsidP="004448C0">
      <w:pPr>
        <w:autoSpaceDE w:val="0"/>
        <w:autoSpaceDN w:val="0"/>
        <w:adjustRightInd w:val="0"/>
        <w:jc w:val="both"/>
        <w:rPr>
          <w:rFonts w:cstheme="minorHAnsi"/>
          <w:sz w:val="20"/>
          <w:szCs w:val="20"/>
        </w:rPr>
      </w:pPr>
      <w:r w:rsidRPr="00A02B31">
        <w:rPr>
          <w:rFonts w:cstheme="minorHAnsi"/>
          <w:sz w:val="20"/>
          <w:szCs w:val="20"/>
        </w:rPr>
        <w:t xml:space="preserve">The </w:t>
      </w:r>
      <w:r w:rsidR="00F874B4" w:rsidRPr="00A02B31">
        <w:rPr>
          <w:rFonts w:cstheme="minorHAnsi"/>
          <w:sz w:val="20"/>
          <w:szCs w:val="20"/>
        </w:rPr>
        <w:t>b</w:t>
      </w:r>
      <w:r w:rsidRPr="00A02B31">
        <w:rPr>
          <w:rFonts w:cstheme="minorHAnsi"/>
          <w:sz w:val="20"/>
          <w:szCs w:val="20"/>
        </w:rPr>
        <w:t>oard reviews annually the performance</w:t>
      </w:r>
      <w:r w:rsidR="00FB2DD8" w:rsidRPr="00A02B31">
        <w:rPr>
          <w:rFonts w:cstheme="minorHAnsi"/>
          <w:sz w:val="20"/>
          <w:szCs w:val="20"/>
        </w:rPr>
        <w:t>, services</w:t>
      </w:r>
      <w:r w:rsidRPr="00A02B31">
        <w:rPr>
          <w:rFonts w:cstheme="minorHAnsi"/>
          <w:sz w:val="20"/>
          <w:szCs w:val="20"/>
        </w:rPr>
        <w:t xml:space="preserve"> and the terms of its engagement with all the Company’s third-party providers</w:t>
      </w:r>
      <w:r w:rsidR="00FB2DD8" w:rsidRPr="00A02B31">
        <w:rPr>
          <w:rFonts w:cstheme="minorHAnsi"/>
          <w:sz w:val="20"/>
          <w:szCs w:val="20"/>
        </w:rPr>
        <w:t xml:space="preserve"> to ensure they continue to be competitive and effective.</w:t>
      </w:r>
      <w:r w:rsidRPr="00A02B31">
        <w:rPr>
          <w:rFonts w:cstheme="minorHAnsi"/>
          <w:sz w:val="20"/>
          <w:szCs w:val="20"/>
        </w:rPr>
        <w:t xml:space="preserve"> </w:t>
      </w:r>
      <w:r w:rsidR="007809FB" w:rsidRPr="00A02B31">
        <w:rPr>
          <w:rFonts w:cstheme="minorHAnsi"/>
          <w:sz w:val="20"/>
          <w:szCs w:val="20"/>
        </w:rPr>
        <w:t xml:space="preserve">Strategy sessions are held </w:t>
      </w:r>
      <w:r w:rsidR="002A6D5F" w:rsidRPr="00A02B31">
        <w:rPr>
          <w:rFonts w:cstheme="minorHAnsi"/>
          <w:sz w:val="20"/>
          <w:szCs w:val="20"/>
        </w:rPr>
        <w:t>annually,</w:t>
      </w:r>
      <w:r w:rsidRPr="00A02B31">
        <w:rPr>
          <w:rFonts w:cstheme="minorHAnsi"/>
          <w:sz w:val="20"/>
          <w:szCs w:val="20"/>
        </w:rPr>
        <w:t xml:space="preserve"> and </w:t>
      </w:r>
      <w:r w:rsidR="007809FB" w:rsidRPr="00A02B31">
        <w:rPr>
          <w:rFonts w:cstheme="minorHAnsi"/>
          <w:sz w:val="20"/>
          <w:szCs w:val="20"/>
        </w:rPr>
        <w:t xml:space="preserve">the </w:t>
      </w:r>
      <w:r w:rsidR="00F874B4" w:rsidRPr="00A02B31">
        <w:rPr>
          <w:rFonts w:cstheme="minorHAnsi"/>
          <w:sz w:val="20"/>
          <w:szCs w:val="20"/>
        </w:rPr>
        <w:t>b</w:t>
      </w:r>
      <w:r w:rsidR="007809FB" w:rsidRPr="00A02B31">
        <w:rPr>
          <w:rFonts w:cstheme="minorHAnsi"/>
          <w:sz w:val="20"/>
          <w:szCs w:val="20"/>
        </w:rPr>
        <w:t xml:space="preserve">oard </w:t>
      </w:r>
      <w:r w:rsidRPr="00A02B31">
        <w:rPr>
          <w:rFonts w:cstheme="minorHAnsi"/>
          <w:sz w:val="20"/>
          <w:szCs w:val="20"/>
        </w:rPr>
        <w:t xml:space="preserve">may meet from time to time without the </w:t>
      </w:r>
      <w:r w:rsidR="00F874B4" w:rsidRPr="00A02B31">
        <w:rPr>
          <w:rFonts w:cstheme="minorHAnsi"/>
          <w:sz w:val="20"/>
          <w:szCs w:val="20"/>
        </w:rPr>
        <w:t>i</w:t>
      </w:r>
      <w:r w:rsidRPr="00A02B31">
        <w:rPr>
          <w:rFonts w:cstheme="minorHAnsi"/>
          <w:sz w:val="20"/>
          <w:szCs w:val="20"/>
        </w:rPr>
        <w:t xml:space="preserve">nvestment </w:t>
      </w:r>
      <w:r w:rsidR="00F874B4" w:rsidRPr="00A02B31">
        <w:rPr>
          <w:rFonts w:cstheme="minorHAnsi"/>
          <w:sz w:val="20"/>
          <w:szCs w:val="20"/>
        </w:rPr>
        <w:t>m</w:t>
      </w:r>
      <w:r w:rsidRPr="00A02B31">
        <w:rPr>
          <w:rFonts w:cstheme="minorHAnsi"/>
          <w:sz w:val="20"/>
          <w:szCs w:val="20"/>
        </w:rPr>
        <w:t xml:space="preserve">anager present, when considering the </w:t>
      </w:r>
      <w:r w:rsidR="00F874B4" w:rsidRPr="00A02B31">
        <w:rPr>
          <w:rFonts w:cstheme="minorHAnsi"/>
          <w:sz w:val="20"/>
          <w:szCs w:val="20"/>
        </w:rPr>
        <w:t>m</w:t>
      </w:r>
      <w:r w:rsidRPr="00A02B31">
        <w:rPr>
          <w:rFonts w:cstheme="minorHAnsi"/>
          <w:sz w:val="20"/>
          <w:szCs w:val="20"/>
        </w:rPr>
        <w:t xml:space="preserve">anager’s performance, fees and contractual arrangements.  </w:t>
      </w:r>
    </w:p>
    <w:p w14:paraId="4AB4C300" w14:textId="77777777" w:rsidR="004448C0" w:rsidRPr="00A02B31" w:rsidRDefault="004448C0" w:rsidP="004448C0">
      <w:pPr>
        <w:autoSpaceDE w:val="0"/>
        <w:autoSpaceDN w:val="0"/>
        <w:adjustRightInd w:val="0"/>
        <w:jc w:val="both"/>
        <w:rPr>
          <w:rFonts w:cstheme="minorHAnsi"/>
          <w:sz w:val="20"/>
          <w:szCs w:val="20"/>
        </w:rPr>
      </w:pPr>
    </w:p>
    <w:p w14:paraId="13A9B616" w14:textId="1ACE61E9" w:rsidR="004448C0" w:rsidRPr="00A02B31" w:rsidRDefault="004448C0" w:rsidP="004448C0">
      <w:pPr>
        <w:autoSpaceDE w:val="0"/>
        <w:autoSpaceDN w:val="0"/>
        <w:adjustRightInd w:val="0"/>
        <w:jc w:val="both"/>
        <w:rPr>
          <w:rFonts w:cstheme="minorHAnsi"/>
          <w:sz w:val="20"/>
          <w:szCs w:val="20"/>
        </w:rPr>
      </w:pPr>
      <w:r w:rsidRPr="00A02B31">
        <w:rPr>
          <w:rFonts w:cstheme="minorHAnsi"/>
          <w:sz w:val="20"/>
          <w:szCs w:val="20"/>
        </w:rPr>
        <w:t xml:space="preserve">The </w:t>
      </w:r>
      <w:r w:rsidR="00F874B4" w:rsidRPr="00A02B31">
        <w:rPr>
          <w:rFonts w:cstheme="minorHAnsi"/>
          <w:sz w:val="20"/>
          <w:szCs w:val="20"/>
        </w:rPr>
        <w:t>b</w:t>
      </w:r>
      <w:r w:rsidRPr="00A02B31">
        <w:rPr>
          <w:rFonts w:cstheme="minorHAnsi"/>
          <w:sz w:val="20"/>
          <w:szCs w:val="20"/>
        </w:rPr>
        <w:t xml:space="preserve">oard has delegated certain responsibilities to its </w:t>
      </w:r>
      <w:r w:rsidR="00F874B4" w:rsidRPr="00A02B31">
        <w:rPr>
          <w:rFonts w:cstheme="minorHAnsi"/>
          <w:sz w:val="20"/>
          <w:szCs w:val="20"/>
        </w:rPr>
        <w:t>a</w:t>
      </w:r>
      <w:r w:rsidRPr="00A02B31">
        <w:rPr>
          <w:rFonts w:cstheme="minorHAnsi"/>
          <w:sz w:val="20"/>
          <w:szCs w:val="20"/>
        </w:rPr>
        <w:t xml:space="preserve">udit </w:t>
      </w:r>
      <w:r w:rsidR="00F874B4" w:rsidRPr="00A02B31">
        <w:rPr>
          <w:rFonts w:cstheme="minorHAnsi"/>
          <w:sz w:val="20"/>
          <w:szCs w:val="20"/>
        </w:rPr>
        <w:t>c</w:t>
      </w:r>
      <w:r w:rsidRPr="00A02B31">
        <w:rPr>
          <w:rFonts w:cstheme="minorHAnsi"/>
          <w:sz w:val="20"/>
          <w:szCs w:val="20"/>
        </w:rPr>
        <w:t xml:space="preserve">ommittee so that it can operate efficiently and give an appropriate level of attention and consideration to relevant matters. Given the size of the </w:t>
      </w:r>
      <w:r w:rsidR="00F874B4" w:rsidRPr="00A02B31">
        <w:rPr>
          <w:rFonts w:cstheme="minorHAnsi"/>
          <w:sz w:val="20"/>
          <w:szCs w:val="20"/>
        </w:rPr>
        <w:t>b</w:t>
      </w:r>
      <w:r w:rsidRPr="00A02B31">
        <w:rPr>
          <w:rFonts w:cstheme="minorHAnsi"/>
          <w:sz w:val="20"/>
          <w:szCs w:val="20"/>
        </w:rPr>
        <w:t xml:space="preserve">oard, the </w:t>
      </w:r>
      <w:r w:rsidR="00F874B4" w:rsidRPr="00A02B31">
        <w:rPr>
          <w:rFonts w:cstheme="minorHAnsi"/>
          <w:sz w:val="20"/>
          <w:szCs w:val="20"/>
        </w:rPr>
        <w:t>d</w:t>
      </w:r>
      <w:r w:rsidRPr="00A02B31">
        <w:rPr>
          <w:rFonts w:cstheme="minorHAnsi"/>
          <w:sz w:val="20"/>
          <w:szCs w:val="20"/>
        </w:rPr>
        <w:t xml:space="preserve">irectors do not consider it appropriate to establish a nomination, remuneration or a </w:t>
      </w:r>
      <w:r w:rsidR="00F874B4" w:rsidRPr="00A02B31">
        <w:rPr>
          <w:rFonts w:cstheme="minorHAnsi"/>
          <w:sz w:val="20"/>
          <w:szCs w:val="20"/>
        </w:rPr>
        <w:t>m</w:t>
      </w:r>
      <w:r w:rsidRPr="00A02B31">
        <w:rPr>
          <w:rFonts w:cstheme="minorHAnsi"/>
          <w:sz w:val="20"/>
          <w:szCs w:val="20"/>
        </w:rPr>
        <w:t xml:space="preserve">anagement and </w:t>
      </w:r>
      <w:r w:rsidR="00F874B4" w:rsidRPr="00A02B31">
        <w:rPr>
          <w:rFonts w:cstheme="minorHAnsi"/>
          <w:sz w:val="20"/>
          <w:szCs w:val="20"/>
        </w:rPr>
        <w:t>e</w:t>
      </w:r>
      <w:r w:rsidRPr="00A02B31">
        <w:rPr>
          <w:rFonts w:cstheme="minorHAnsi"/>
          <w:sz w:val="20"/>
          <w:szCs w:val="20"/>
        </w:rPr>
        <w:t xml:space="preserve">ngagement </w:t>
      </w:r>
      <w:r w:rsidR="00F874B4" w:rsidRPr="00A02B31">
        <w:rPr>
          <w:rFonts w:cstheme="minorHAnsi"/>
          <w:sz w:val="20"/>
          <w:szCs w:val="20"/>
        </w:rPr>
        <w:t>c</w:t>
      </w:r>
      <w:r w:rsidRPr="00A02B31">
        <w:rPr>
          <w:rFonts w:cstheme="minorHAnsi"/>
          <w:sz w:val="20"/>
          <w:szCs w:val="20"/>
        </w:rPr>
        <w:t xml:space="preserve">ommittee. The functions that would normally be carried out by these committees are dealt with by the full </w:t>
      </w:r>
      <w:r w:rsidR="00F874B4" w:rsidRPr="00A02B31">
        <w:rPr>
          <w:rFonts w:cstheme="minorHAnsi"/>
          <w:sz w:val="20"/>
          <w:szCs w:val="20"/>
        </w:rPr>
        <w:t>b</w:t>
      </w:r>
      <w:r w:rsidRPr="00A02B31">
        <w:rPr>
          <w:rFonts w:cstheme="minorHAnsi"/>
          <w:sz w:val="20"/>
          <w:szCs w:val="20"/>
        </w:rPr>
        <w:t>oard.</w:t>
      </w:r>
    </w:p>
    <w:p w14:paraId="70BB30B9" w14:textId="77777777" w:rsidR="004448C0" w:rsidRPr="00A02B31" w:rsidRDefault="004448C0" w:rsidP="004448C0">
      <w:pPr>
        <w:autoSpaceDE w:val="0"/>
        <w:autoSpaceDN w:val="0"/>
        <w:adjustRightInd w:val="0"/>
        <w:jc w:val="both"/>
        <w:rPr>
          <w:rFonts w:cstheme="minorHAnsi"/>
          <w:sz w:val="20"/>
          <w:szCs w:val="20"/>
        </w:rPr>
      </w:pPr>
    </w:p>
    <w:p w14:paraId="58491507" w14:textId="00546F9D" w:rsidR="004448C0" w:rsidRPr="00A02B31" w:rsidRDefault="004448C0" w:rsidP="004448C0">
      <w:pPr>
        <w:autoSpaceDE w:val="0"/>
        <w:autoSpaceDN w:val="0"/>
        <w:adjustRightInd w:val="0"/>
        <w:jc w:val="both"/>
        <w:rPr>
          <w:rFonts w:cstheme="minorHAnsi"/>
          <w:sz w:val="20"/>
          <w:szCs w:val="20"/>
        </w:rPr>
      </w:pPr>
      <w:r w:rsidRPr="00A02B31">
        <w:rPr>
          <w:rFonts w:cstheme="minorHAnsi"/>
          <w:sz w:val="20"/>
          <w:szCs w:val="20"/>
        </w:rPr>
        <w:t xml:space="preserve">The </w:t>
      </w:r>
      <w:r w:rsidR="00F874B4" w:rsidRPr="00A02B31">
        <w:rPr>
          <w:rFonts w:cstheme="minorHAnsi"/>
          <w:sz w:val="20"/>
          <w:szCs w:val="20"/>
        </w:rPr>
        <w:t>b</w:t>
      </w:r>
      <w:r w:rsidRPr="00A02B31">
        <w:rPr>
          <w:rFonts w:cstheme="minorHAnsi"/>
          <w:sz w:val="20"/>
          <w:szCs w:val="20"/>
        </w:rPr>
        <w:t xml:space="preserve">oard and its </w:t>
      </w:r>
      <w:r w:rsidR="00F874B4" w:rsidRPr="00A02B31">
        <w:rPr>
          <w:rFonts w:cstheme="minorHAnsi"/>
          <w:sz w:val="20"/>
          <w:szCs w:val="20"/>
        </w:rPr>
        <w:t>a</w:t>
      </w:r>
      <w:r w:rsidR="00A62669" w:rsidRPr="00A02B31">
        <w:rPr>
          <w:rFonts w:cstheme="minorHAnsi"/>
          <w:sz w:val="20"/>
          <w:szCs w:val="20"/>
        </w:rPr>
        <w:t xml:space="preserve">udit </w:t>
      </w:r>
      <w:r w:rsidR="00F874B4" w:rsidRPr="00A02B31">
        <w:rPr>
          <w:rFonts w:cstheme="minorHAnsi"/>
          <w:sz w:val="20"/>
          <w:szCs w:val="20"/>
        </w:rPr>
        <w:t>c</w:t>
      </w:r>
      <w:r w:rsidRPr="00A02B31">
        <w:rPr>
          <w:rFonts w:cstheme="minorHAnsi"/>
          <w:sz w:val="20"/>
          <w:szCs w:val="20"/>
        </w:rPr>
        <w:t xml:space="preserve">ommittee are supported by the </w:t>
      </w:r>
      <w:r w:rsidR="00F874B4" w:rsidRPr="00A02B31">
        <w:rPr>
          <w:rFonts w:cstheme="minorHAnsi"/>
          <w:sz w:val="20"/>
          <w:szCs w:val="20"/>
        </w:rPr>
        <w:t>c</w:t>
      </w:r>
      <w:r w:rsidRPr="00A02B31">
        <w:rPr>
          <w:rFonts w:cstheme="minorHAnsi"/>
          <w:sz w:val="20"/>
          <w:szCs w:val="20"/>
        </w:rPr>
        <w:t>ompany</w:t>
      </w:r>
      <w:r w:rsidR="005136BC" w:rsidRPr="00A02B31">
        <w:rPr>
          <w:rFonts w:cstheme="minorHAnsi"/>
          <w:sz w:val="20"/>
          <w:szCs w:val="20"/>
        </w:rPr>
        <w:t xml:space="preserve"> </w:t>
      </w:r>
      <w:r w:rsidR="00F874B4" w:rsidRPr="00A02B31">
        <w:rPr>
          <w:rFonts w:cstheme="minorHAnsi"/>
          <w:sz w:val="20"/>
          <w:szCs w:val="20"/>
        </w:rPr>
        <w:t>s</w:t>
      </w:r>
      <w:r w:rsidR="005136BC" w:rsidRPr="00A02B31">
        <w:rPr>
          <w:rFonts w:cstheme="minorHAnsi"/>
          <w:sz w:val="20"/>
          <w:szCs w:val="20"/>
        </w:rPr>
        <w:t xml:space="preserve">ecretary who ensures that </w:t>
      </w:r>
      <w:r w:rsidRPr="00A02B31">
        <w:rPr>
          <w:rFonts w:cstheme="minorHAnsi"/>
          <w:sz w:val="20"/>
          <w:szCs w:val="20"/>
        </w:rPr>
        <w:t xml:space="preserve">appropriate policies and procedures </w:t>
      </w:r>
      <w:r w:rsidR="009610FA" w:rsidRPr="00A02B31">
        <w:rPr>
          <w:rFonts w:cstheme="minorHAnsi"/>
          <w:sz w:val="20"/>
          <w:szCs w:val="20"/>
        </w:rPr>
        <w:t xml:space="preserve">are </w:t>
      </w:r>
      <w:r w:rsidRPr="00A02B31">
        <w:rPr>
          <w:rFonts w:cstheme="minorHAnsi"/>
          <w:sz w:val="20"/>
          <w:szCs w:val="20"/>
        </w:rPr>
        <w:t>in place in order</w:t>
      </w:r>
      <w:r w:rsidR="005136BC" w:rsidRPr="00A02B31">
        <w:rPr>
          <w:rFonts w:cstheme="minorHAnsi"/>
          <w:sz w:val="20"/>
          <w:szCs w:val="20"/>
        </w:rPr>
        <w:t xml:space="preserve"> for the </w:t>
      </w:r>
      <w:r w:rsidR="00F874B4" w:rsidRPr="00A02B31">
        <w:rPr>
          <w:rFonts w:cstheme="minorHAnsi"/>
          <w:sz w:val="20"/>
          <w:szCs w:val="20"/>
        </w:rPr>
        <w:t>b</w:t>
      </w:r>
      <w:r w:rsidR="005136BC" w:rsidRPr="00A02B31">
        <w:rPr>
          <w:rFonts w:cstheme="minorHAnsi"/>
          <w:sz w:val="20"/>
          <w:szCs w:val="20"/>
        </w:rPr>
        <w:t>oard</w:t>
      </w:r>
      <w:r w:rsidRPr="00A02B31">
        <w:rPr>
          <w:rFonts w:cstheme="minorHAnsi"/>
          <w:sz w:val="20"/>
          <w:szCs w:val="20"/>
        </w:rPr>
        <w:t xml:space="preserve"> to function effectively and efficiently. A formal agenda is produced for each meeting and papers are distributed several days before meetings take place allowing all </w:t>
      </w:r>
      <w:r w:rsidR="00F874B4" w:rsidRPr="00A02B31">
        <w:rPr>
          <w:rFonts w:cstheme="minorHAnsi"/>
          <w:sz w:val="20"/>
          <w:szCs w:val="20"/>
        </w:rPr>
        <w:t>b</w:t>
      </w:r>
      <w:r w:rsidRPr="00A02B31">
        <w:rPr>
          <w:rFonts w:cstheme="minorHAnsi"/>
          <w:sz w:val="20"/>
          <w:szCs w:val="20"/>
        </w:rPr>
        <w:t>oard members to contribute even if they are unable</w:t>
      </w:r>
      <w:r w:rsidR="009610FA" w:rsidRPr="00A02B31">
        <w:rPr>
          <w:rFonts w:cstheme="minorHAnsi"/>
          <w:sz w:val="20"/>
          <w:szCs w:val="20"/>
        </w:rPr>
        <w:t xml:space="preserve"> to</w:t>
      </w:r>
      <w:r w:rsidRPr="00A02B31">
        <w:rPr>
          <w:rFonts w:cstheme="minorHAnsi"/>
          <w:sz w:val="20"/>
          <w:szCs w:val="20"/>
        </w:rPr>
        <w:t xml:space="preserve"> attend. </w:t>
      </w:r>
    </w:p>
    <w:p w14:paraId="06B89612" w14:textId="77777777" w:rsidR="004448C0" w:rsidRPr="00A02B31" w:rsidRDefault="004448C0" w:rsidP="004448C0">
      <w:pPr>
        <w:autoSpaceDE w:val="0"/>
        <w:autoSpaceDN w:val="0"/>
        <w:adjustRightInd w:val="0"/>
        <w:jc w:val="both"/>
        <w:rPr>
          <w:rFonts w:cstheme="minorHAnsi"/>
          <w:sz w:val="20"/>
          <w:szCs w:val="20"/>
        </w:rPr>
      </w:pPr>
    </w:p>
    <w:p w14:paraId="7261F2EC" w14:textId="3A64CC60" w:rsidR="004448C0" w:rsidRPr="00A02B31" w:rsidRDefault="004448C0" w:rsidP="004448C0">
      <w:pPr>
        <w:autoSpaceDE w:val="0"/>
        <w:autoSpaceDN w:val="0"/>
        <w:adjustRightInd w:val="0"/>
        <w:jc w:val="both"/>
        <w:rPr>
          <w:rFonts w:cstheme="minorHAnsi"/>
          <w:sz w:val="20"/>
          <w:szCs w:val="20"/>
        </w:rPr>
      </w:pPr>
      <w:r w:rsidRPr="00A02B31">
        <w:rPr>
          <w:rFonts w:cstheme="minorHAnsi"/>
          <w:sz w:val="20"/>
          <w:szCs w:val="20"/>
        </w:rPr>
        <w:t xml:space="preserve">The </w:t>
      </w:r>
      <w:r w:rsidR="00C42807" w:rsidRPr="00A02B31">
        <w:rPr>
          <w:rFonts w:cstheme="minorHAnsi"/>
          <w:sz w:val="20"/>
          <w:szCs w:val="20"/>
        </w:rPr>
        <w:t>d</w:t>
      </w:r>
      <w:r w:rsidRPr="00A02B31">
        <w:rPr>
          <w:rFonts w:cstheme="minorHAnsi"/>
          <w:sz w:val="20"/>
          <w:szCs w:val="20"/>
        </w:rPr>
        <w:t xml:space="preserve">irectors have access to the advice and services of the </w:t>
      </w:r>
      <w:r w:rsidR="00C42807" w:rsidRPr="00A02B31">
        <w:rPr>
          <w:rFonts w:cstheme="minorHAnsi"/>
          <w:sz w:val="20"/>
          <w:szCs w:val="20"/>
        </w:rPr>
        <w:t>c</w:t>
      </w:r>
      <w:r w:rsidRPr="00A02B31">
        <w:rPr>
          <w:rFonts w:cstheme="minorHAnsi"/>
          <w:sz w:val="20"/>
          <w:szCs w:val="20"/>
        </w:rPr>
        <w:t xml:space="preserve">ompany </w:t>
      </w:r>
      <w:r w:rsidR="00C42807" w:rsidRPr="00A02B31">
        <w:rPr>
          <w:rFonts w:cstheme="minorHAnsi"/>
          <w:sz w:val="20"/>
          <w:szCs w:val="20"/>
        </w:rPr>
        <w:t>s</w:t>
      </w:r>
      <w:r w:rsidRPr="00A02B31">
        <w:rPr>
          <w:rFonts w:cstheme="minorHAnsi"/>
          <w:sz w:val="20"/>
          <w:szCs w:val="20"/>
        </w:rPr>
        <w:t xml:space="preserve">ecretary and individual </w:t>
      </w:r>
      <w:r w:rsidR="00C42807" w:rsidRPr="00A02B31">
        <w:rPr>
          <w:rFonts w:cstheme="minorHAnsi"/>
          <w:sz w:val="20"/>
          <w:szCs w:val="20"/>
        </w:rPr>
        <w:t>d</w:t>
      </w:r>
      <w:r w:rsidRPr="00A02B31">
        <w:rPr>
          <w:rFonts w:cstheme="minorHAnsi"/>
          <w:sz w:val="20"/>
          <w:szCs w:val="20"/>
        </w:rPr>
        <w:t xml:space="preserve">irectors are able to take independent legal and financial advice at the Company’s expense when necessary to support the performance of their duties as </w:t>
      </w:r>
      <w:r w:rsidR="00C42807" w:rsidRPr="00A02B31">
        <w:rPr>
          <w:rFonts w:cstheme="minorHAnsi"/>
          <w:sz w:val="20"/>
          <w:szCs w:val="20"/>
        </w:rPr>
        <w:t>d</w:t>
      </w:r>
      <w:r w:rsidRPr="00A02B31">
        <w:rPr>
          <w:rFonts w:cstheme="minorHAnsi"/>
          <w:sz w:val="20"/>
          <w:szCs w:val="20"/>
        </w:rPr>
        <w:t>irectors. During the year, the Chair</w:t>
      </w:r>
      <w:r w:rsidR="00D079BC" w:rsidRPr="00A02B31">
        <w:rPr>
          <w:rFonts w:cstheme="minorHAnsi"/>
          <w:sz w:val="20"/>
          <w:szCs w:val="20"/>
        </w:rPr>
        <w:t>man</w:t>
      </w:r>
      <w:r w:rsidRPr="00A02B31">
        <w:rPr>
          <w:rFonts w:cstheme="minorHAnsi"/>
          <w:sz w:val="20"/>
          <w:szCs w:val="20"/>
        </w:rPr>
        <w:t xml:space="preserve"> met regularly with the non-executive </w:t>
      </w:r>
      <w:r w:rsidR="00C42807" w:rsidRPr="00A02B31">
        <w:rPr>
          <w:rFonts w:cstheme="minorHAnsi"/>
          <w:sz w:val="20"/>
          <w:szCs w:val="20"/>
        </w:rPr>
        <w:t>d</w:t>
      </w:r>
      <w:r w:rsidRPr="00A02B31">
        <w:rPr>
          <w:rFonts w:cstheme="minorHAnsi"/>
          <w:sz w:val="20"/>
          <w:szCs w:val="20"/>
        </w:rPr>
        <w:t xml:space="preserve">irectors without the </w:t>
      </w:r>
      <w:r w:rsidR="006A1830" w:rsidRPr="00A02B31">
        <w:rPr>
          <w:rFonts w:cstheme="minorHAnsi"/>
          <w:sz w:val="20"/>
          <w:szCs w:val="20"/>
        </w:rPr>
        <w:t>manager</w:t>
      </w:r>
      <w:r w:rsidRPr="00A02B31">
        <w:rPr>
          <w:rFonts w:cstheme="minorHAnsi"/>
          <w:sz w:val="20"/>
          <w:szCs w:val="20"/>
        </w:rPr>
        <w:t xml:space="preserve"> present.</w:t>
      </w:r>
    </w:p>
    <w:p w14:paraId="32B14564" w14:textId="77777777" w:rsidR="00732832" w:rsidRPr="00A02B31" w:rsidRDefault="00732832" w:rsidP="004448C0">
      <w:pPr>
        <w:autoSpaceDE w:val="0"/>
        <w:autoSpaceDN w:val="0"/>
        <w:adjustRightInd w:val="0"/>
        <w:jc w:val="both"/>
        <w:rPr>
          <w:rFonts w:cstheme="minorHAnsi"/>
          <w:sz w:val="20"/>
          <w:szCs w:val="20"/>
        </w:rPr>
      </w:pPr>
    </w:p>
    <w:p w14:paraId="55BFD855" w14:textId="32A4E5AB" w:rsidR="00732832" w:rsidRPr="00A02B31" w:rsidRDefault="00732832" w:rsidP="00732832">
      <w:pPr>
        <w:autoSpaceDE w:val="0"/>
        <w:autoSpaceDN w:val="0"/>
        <w:adjustRightInd w:val="0"/>
        <w:jc w:val="both"/>
        <w:rPr>
          <w:rFonts w:cstheme="minorHAnsi"/>
          <w:sz w:val="20"/>
          <w:szCs w:val="20"/>
        </w:rPr>
      </w:pPr>
      <w:r w:rsidRPr="00A02B31">
        <w:rPr>
          <w:rFonts w:cstheme="minorHAnsi"/>
          <w:sz w:val="20"/>
          <w:szCs w:val="20"/>
        </w:rPr>
        <w:t xml:space="preserve">The table below sets out the attendance record of individual </w:t>
      </w:r>
      <w:r w:rsidR="00C42807" w:rsidRPr="00A02B31">
        <w:rPr>
          <w:rFonts w:cstheme="minorHAnsi"/>
          <w:sz w:val="20"/>
          <w:szCs w:val="20"/>
        </w:rPr>
        <w:t>d</w:t>
      </w:r>
      <w:r w:rsidRPr="00A02B31">
        <w:rPr>
          <w:rFonts w:cstheme="minorHAnsi"/>
          <w:sz w:val="20"/>
          <w:szCs w:val="20"/>
        </w:rPr>
        <w:t xml:space="preserve">irectors at the scheduled </w:t>
      </w:r>
      <w:r w:rsidR="00C42807" w:rsidRPr="00A02B31">
        <w:rPr>
          <w:rFonts w:cstheme="minorHAnsi"/>
          <w:sz w:val="20"/>
          <w:szCs w:val="20"/>
        </w:rPr>
        <w:t>b</w:t>
      </w:r>
      <w:r w:rsidRPr="00A02B31">
        <w:rPr>
          <w:rFonts w:cstheme="minorHAnsi"/>
          <w:sz w:val="20"/>
          <w:szCs w:val="20"/>
        </w:rPr>
        <w:t xml:space="preserve">oard and </w:t>
      </w:r>
      <w:r w:rsidR="00C42807" w:rsidRPr="00A02B31">
        <w:rPr>
          <w:rFonts w:cstheme="minorHAnsi"/>
          <w:sz w:val="20"/>
          <w:szCs w:val="20"/>
        </w:rPr>
        <w:t>c</w:t>
      </w:r>
      <w:r w:rsidRPr="00A02B31">
        <w:rPr>
          <w:rFonts w:cstheme="minorHAnsi"/>
          <w:sz w:val="20"/>
          <w:szCs w:val="20"/>
        </w:rPr>
        <w:t>ommittee</w:t>
      </w:r>
    </w:p>
    <w:p w14:paraId="3BDB07E6" w14:textId="470B6A9A" w:rsidR="00732832" w:rsidRPr="00A02B31" w:rsidRDefault="00732832" w:rsidP="00732832">
      <w:pPr>
        <w:autoSpaceDE w:val="0"/>
        <w:autoSpaceDN w:val="0"/>
        <w:adjustRightInd w:val="0"/>
        <w:jc w:val="both"/>
        <w:rPr>
          <w:rFonts w:cstheme="minorHAnsi"/>
          <w:sz w:val="20"/>
          <w:szCs w:val="20"/>
        </w:rPr>
      </w:pPr>
      <w:r w:rsidRPr="00A02B31">
        <w:rPr>
          <w:rFonts w:cstheme="minorHAnsi"/>
          <w:sz w:val="20"/>
          <w:szCs w:val="20"/>
        </w:rPr>
        <w:t>meetings held during the year</w:t>
      </w:r>
      <w:r w:rsidR="004371D9" w:rsidRPr="00A02B31">
        <w:rPr>
          <w:rFonts w:cstheme="minorHAnsi"/>
          <w:sz w:val="20"/>
          <w:szCs w:val="20"/>
        </w:rPr>
        <w:t>-</w:t>
      </w:r>
      <w:r w:rsidR="00E2506D" w:rsidRPr="00A02B31">
        <w:rPr>
          <w:rFonts w:cstheme="minorHAnsi"/>
          <w:sz w:val="20"/>
          <w:szCs w:val="20"/>
        </w:rPr>
        <w:t>ended 31 March 202</w:t>
      </w:r>
      <w:r w:rsidR="00F34F18" w:rsidRPr="00A02B31">
        <w:rPr>
          <w:rFonts w:cstheme="minorHAnsi"/>
          <w:sz w:val="20"/>
          <w:szCs w:val="20"/>
        </w:rPr>
        <w:t>2</w:t>
      </w:r>
      <w:r w:rsidRPr="00A02B31">
        <w:rPr>
          <w:rFonts w:cstheme="minorHAnsi"/>
          <w:sz w:val="20"/>
          <w:szCs w:val="20"/>
        </w:rPr>
        <w:t>:</w:t>
      </w:r>
    </w:p>
    <w:p w14:paraId="5CCAE648" w14:textId="78A68E06" w:rsidR="00732832" w:rsidRPr="00A02B31" w:rsidRDefault="00732832" w:rsidP="00732832">
      <w:pPr>
        <w:autoSpaceDE w:val="0"/>
        <w:autoSpaceDN w:val="0"/>
        <w:adjustRightInd w:val="0"/>
        <w:jc w:val="both"/>
        <w:rPr>
          <w:rFonts w:cstheme="minorHAnsi"/>
          <w:sz w:val="20"/>
          <w:szCs w:val="20"/>
        </w:rPr>
      </w:pPr>
    </w:p>
    <w:tbl>
      <w:tblPr>
        <w:tblW w:w="9923" w:type="dxa"/>
        <w:tblInd w:w="-5" w:type="dxa"/>
        <w:tblLook w:val="04A0" w:firstRow="1" w:lastRow="0" w:firstColumn="1" w:lastColumn="0" w:noHBand="0" w:noVBand="1"/>
      </w:tblPr>
      <w:tblGrid>
        <w:gridCol w:w="4395"/>
        <w:gridCol w:w="2409"/>
        <w:gridCol w:w="3119"/>
      </w:tblGrid>
      <w:tr w:rsidR="00437C0D" w:rsidRPr="008B2DDA" w14:paraId="13C155A9" w14:textId="77777777" w:rsidTr="009D1381">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EC9201" w14:textId="77777777" w:rsidR="00437C0D" w:rsidRPr="00A02B31" w:rsidRDefault="00437C0D" w:rsidP="00437C0D">
            <w:pPr>
              <w:rPr>
                <w:rFonts w:eastAsia="Times New Roman" w:cstheme="minorHAnsi"/>
                <w:b/>
                <w:bCs/>
                <w:color w:val="000000"/>
                <w:sz w:val="20"/>
                <w:szCs w:val="20"/>
                <w:lang w:eastAsia="en-GB"/>
              </w:rPr>
            </w:pPr>
            <w:r w:rsidRPr="00A02B31">
              <w:rPr>
                <w:rFonts w:eastAsia="Times New Roman" w:cstheme="minorHAnsi"/>
                <w:b/>
                <w:bCs/>
                <w:color w:val="000000"/>
                <w:sz w:val="20"/>
                <w:szCs w:val="20"/>
                <w:lang w:eastAsia="en-GB"/>
              </w:rPr>
              <w:t xml:space="preserve">Current Directors </w:t>
            </w:r>
          </w:p>
        </w:tc>
        <w:tc>
          <w:tcPr>
            <w:tcW w:w="2409" w:type="dxa"/>
            <w:tcBorders>
              <w:top w:val="single" w:sz="4" w:space="0" w:color="auto"/>
              <w:left w:val="nil"/>
              <w:bottom w:val="single" w:sz="4" w:space="0" w:color="auto"/>
              <w:right w:val="single" w:sz="4" w:space="0" w:color="auto"/>
            </w:tcBorders>
            <w:shd w:val="clear" w:color="auto" w:fill="auto"/>
            <w:noWrap/>
            <w:vAlign w:val="bottom"/>
            <w:hideMark/>
          </w:tcPr>
          <w:p w14:paraId="7FA9F884" w14:textId="7B0B9EF8" w:rsidR="00437C0D" w:rsidRPr="00A02B31" w:rsidRDefault="00437C0D" w:rsidP="00437C0D">
            <w:pPr>
              <w:rPr>
                <w:rFonts w:eastAsia="Times New Roman" w:cstheme="minorHAnsi"/>
                <w:b/>
                <w:bCs/>
                <w:color w:val="000000"/>
                <w:sz w:val="20"/>
                <w:szCs w:val="20"/>
                <w:lang w:eastAsia="en-GB"/>
              </w:rPr>
            </w:pPr>
            <w:r w:rsidRPr="00A02B31">
              <w:rPr>
                <w:rFonts w:eastAsia="Times New Roman" w:cstheme="minorHAnsi"/>
                <w:b/>
                <w:bCs/>
                <w:color w:val="000000"/>
                <w:sz w:val="20"/>
                <w:szCs w:val="20"/>
                <w:lang w:eastAsia="en-GB"/>
              </w:rPr>
              <w:t xml:space="preserve">Scheduled Board </w:t>
            </w:r>
            <w:r w:rsidR="00C42807" w:rsidRPr="00A02B31">
              <w:rPr>
                <w:rFonts w:eastAsia="Times New Roman" w:cstheme="minorHAnsi"/>
                <w:b/>
                <w:bCs/>
                <w:color w:val="000000"/>
                <w:sz w:val="20"/>
                <w:szCs w:val="20"/>
                <w:lang w:eastAsia="en-GB"/>
              </w:rPr>
              <w:t>M</w:t>
            </w:r>
            <w:r w:rsidRPr="00A02B31">
              <w:rPr>
                <w:rFonts w:eastAsia="Times New Roman" w:cstheme="minorHAnsi"/>
                <w:b/>
                <w:bCs/>
                <w:color w:val="000000"/>
                <w:sz w:val="20"/>
                <w:szCs w:val="20"/>
                <w:lang w:eastAsia="en-GB"/>
              </w:rPr>
              <w:t>eetings</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14:paraId="36AFDD16" w14:textId="07DE85BC" w:rsidR="00437C0D" w:rsidRPr="00A02B31" w:rsidRDefault="00437C0D" w:rsidP="00437C0D">
            <w:pPr>
              <w:rPr>
                <w:rFonts w:eastAsia="Times New Roman" w:cstheme="minorHAnsi"/>
                <w:b/>
                <w:bCs/>
                <w:color w:val="000000"/>
                <w:sz w:val="20"/>
                <w:szCs w:val="20"/>
                <w:lang w:eastAsia="en-GB"/>
              </w:rPr>
            </w:pPr>
            <w:r w:rsidRPr="00A02B31">
              <w:rPr>
                <w:rFonts w:eastAsia="Times New Roman" w:cstheme="minorHAnsi"/>
                <w:b/>
                <w:bCs/>
                <w:color w:val="000000"/>
                <w:sz w:val="20"/>
                <w:szCs w:val="20"/>
                <w:lang w:eastAsia="en-GB"/>
              </w:rPr>
              <w:t xml:space="preserve">Scheduled Audit Committee </w:t>
            </w:r>
            <w:r w:rsidR="00C42807" w:rsidRPr="00A02B31">
              <w:rPr>
                <w:rFonts w:eastAsia="Times New Roman" w:cstheme="minorHAnsi"/>
                <w:b/>
                <w:bCs/>
                <w:color w:val="000000"/>
                <w:sz w:val="20"/>
                <w:szCs w:val="20"/>
                <w:lang w:eastAsia="en-GB"/>
              </w:rPr>
              <w:t>M</w:t>
            </w:r>
            <w:r w:rsidRPr="00A02B31">
              <w:rPr>
                <w:rFonts w:eastAsia="Times New Roman" w:cstheme="minorHAnsi"/>
                <w:b/>
                <w:bCs/>
                <w:color w:val="000000"/>
                <w:sz w:val="20"/>
                <w:szCs w:val="20"/>
                <w:lang w:eastAsia="en-GB"/>
              </w:rPr>
              <w:t>eetings</w:t>
            </w:r>
          </w:p>
        </w:tc>
      </w:tr>
      <w:tr w:rsidR="00437C0D" w:rsidRPr="008B2DDA" w14:paraId="1EDFB17C" w14:textId="77777777" w:rsidTr="009D1381">
        <w:trPr>
          <w:trHeight w:val="300"/>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14:paraId="7AFFDE80" w14:textId="77777777" w:rsidR="00437C0D" w:rsidRPr="00A02B31" w:rsidRDefault="00437C0D" w:rsidP="00437C0D">
            <w:pPr>
              <w:rPr>
                <w:rFonts w:eastAsia="Times New Roman" w:cstheme="minorHAnsi"/>
                <w:b/>
                <w:bCs/>
                <w:color w:val="000000"/>
                <w:sz w:val="20"/>
                <w:szCs w:val="20"/>
                <w:lang w:eastAsia="en-GB"/>
              </w:rPr>
            </w:pPr>
            <w:r w:rsidRPr="00A02B31">
              <w:rPr>
                <w:rFonts w:eastAsia="Times New Roman" w:cstheme="minorHAnsi"/>
                <w:b/>
                <w:bCs/>
                <w:color w:val="000000"/>
                <w:sz w:val="20"/>
                <w:szCs w:val="20"/>
                <w:lang w:eastAsia="en-GB"/>
              </w:rPr>
              <w:t> </w:t>
            </w:r>
          </w:p>
        </w:tc>
        <w:tc>
          <w:tcPr>
            <w:tcW w:w="2409" w:type="dxa"/>
            <w:tcBorders>
              <w:top w:val="nil"/>
              <w:left w:val="nil"/>
              <w:bottom w:val="single" w:sz="4" w:space="0" w:color="auto"/>
              <w:right w:val="single" w:sz="4" w:space="0" w:color="auto"/>
            </w:tcBorders>
            <w:shd w:val="clear" w:color="auto" w:fill="auto"/>
            <w:noWrap/>
            <w:vAlign w:val="bottom"/>
            <w:hideMark/>
          </w:tcPr>
          <w:p w14:paraId="4507D7D9" w14:textId="77777777" w:rsidR="00437C0D" w:rsidRPr="00A02B31" w:rsidRDefault="00437C0D" w:rsidP="00437C0D">
            <w:pPr>
              <w:rPr>
                <w:rFonts w:eastAsia="Times New Roman" w:cstheme="minorHAnsi"/>
                <w:b/>
                <w:bCs/>
                <w:color w:val="000000"/>
                <w:sz w:val="20"/>
                <w:szCs w:val="20"/>
                <w:lang w:eastAsia="en-GB"/>
              </w:rPr>
            </w:pPr>
            <w:r w:rsidRPr="00A02B31">
              <w:rPr>
                <w:rFonts w:eastAsia="Times New Roman" w:cstheme="minorHAnsi"/>
                <w:b/>
                <w:bCs/>
                <w:color w:val="000000"/>
                <w:sz w:val="20"/>
                <w:szCs w:val="20"/>
                <w:lang w:eastAsia="en-GB"/>
              </w:rPr>
              <w:t>Number attended</w:t>
            </w:r>
          </w:p>
        </w:tc>
        <w:tc>
          <w:tcPr>
            <w:tcW w:w="3119" w:type="dxa"/>
            <w:tcBorders>
              <w:top w:val="nil"/>
              <w:left w:val="nil"/>
              <w:bottom w:val="single" w:sz="4" w:space="0" w:color="auto"/>
              <w:right w:val="single" w:sz="4" w:space="0" w:color="auto"/>
            </w:tcBorders>
            <w:shd w:val="clear" w:color="auto" w:fill="auto"/>
            <w:noWrap/>
            <w:vAlign w:val="bottom"/>
            <w:hideMark/>
          </w:tcPr>
          <w:p w14:paraId="58F089B4" w14:textId="77777777" w:rsidR="00437C0D" w:rsidRPr="00A02B31" w:rsidRDefault="00437C0D" w:rsidP="00437C0D">
            <w:pPr>
              <w:rPr>
                <w:rFonts w:eastAsia="Times New Roman" w:cstheme="minorHAnsi"/>
                <w:b/>
                <w:bCs/>
                <w:color w:val="000000"/>
                <w:sz w:val="20"/>
                <w:szCs w:val="20"/>
                <w:lang w:eastAsia="en-GB"/>
              </w:rPr>
            </w:pPr>
            <w:r w:rsidRPr="00A02B31">
              <w:rPr>
                <w:rFonts w:eastAsia="Times New Roman" w:cstheme="minorHAnsi"/>
                <w:b/>
                <w:bCs/>
                <w:color w:val="000000"/>
                <w:sz w:val="20"/>
                <w:szCs w:val="20"/>
                <w:lang w:eastAsia="en-GB"/>
              </w:rPr>
              <w:t>Number attended</w:t>
            </w:r>
          </w:p>
        </w:tc>
      </w:tr>
      <w:tr w:rsidR="00437C0D" w:rsidRPr="008B2DDA" w14:paraId="31BAD738" w14:textId="77777777" w:rsidTr="009D1381">
        <w:trPr>
          <w:trHeight w:val="300"/>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14:paraId="06A89587" w14:textId="77777777" w:rsidR="00437C0D" w:rsidRPr="00A02B31" w:rsidRDefault="00437C0D" w:rsidP="00437C0D">
            <w:pPr>
              <w:rPr>
                <w:rFonts w:eastAsia="Times New Roman" w:cstheme="minorHAnsi"/>
                <w:color w:val="000000"/>
                <w:sz w:val="20"/>
                <w:szCs w:val="20"/>
                <w:lang w:eastAsia="en-GB"/>
              </w:rPr>
            </w:pPr>
            <w:r w:rsidRPr="00A02B31">
              <w:rPr>
                <w:rFonts w:eastAsia="Times New Roman" w:cstheme="minorHAnsi"/>
                <w:color w:val="000000"/>
                <w:sz w:val="20"/>
                <w:szCs w:val="20"/>
                <w:lang w:eastAsia="en-GB"/>
              </w:rPr>
              <w:t>Noel Lamb* (appointed 20/01/2022)</w:t>
            </w:r>
          </w:p>
        </w:tc>
        <w:tc>
          <w:tcPr>
            <w:tcW w:w="2409" w:type="dxa"/>
            <w:tcBorders>
              <w:top w:val="nil"/>
              <w:left w:val="nil"/>
              <w:bottom w:val="single" w:sz="4" w:space="0" w:color="auto"/>
              <w:right w:val="single" w:sz="4" w:space="0" w:color="auto"/>
            </w:tcBorders>
            <w:shd w:val="clear" w:color="auto" w:fill="auto"/>
            <w:noWrap/>
            <w:vAlign w:val="bottom"/>
            <w:hideMark/>
          </w:tcPr>
          <w:p w14:paraId="0C7D075B" w14:textId="77777777" w:rsidR="00437C0D" w:rsidRPr="00A02B31" w:rsidRDefault="00437C0D" w:rsidP="00437C0D">
            <w:pPr>
              <w:jc w:val="center"/>
              <w:rPr>
                <w:rFonts w:eastAsia="Times New Roman" w:cstheme="minorHAnsi"/>
                <w:color w:val="000000"/>
                <w:sz w:val="20"/>
                <w:szCs w:val="20"/>
                <w:lang w:eastAsia="en-GB"/>
              </w:rPr>
            </w:pPr>
            <w:r w:rsidRPr="00A02B31">
              <w:rPr>
                <w:rFonts w:eastAsia="Times New Roman" w:cstheme="minorHAnsi"/>
                <w:color w:val="000000"/>
                <w:sz w:val="20"/>
                <w:szCs w:val="20"/>
                <w:lang w:eastAsia="en-GB"/>
              </w:rPr>
              <w:t>3/3</w:t>
            </w:r>
          </w:p>
        </w:tc>
        <w:tc>
          <w:tcPr>
            <w:tcW w:w="3119" w:type="dxa"/>
            <w:tcBorders>
              <w:top w:val="nil"/>
              <w:left w:val="nil"/>
              <w:bottom w:val="single" w:sz="4" w:space="0" w:color="auto"/>
              <w:right w:val="single" w:sz="4" w:space="0" w:color="auto"/>
            </w:tcBorders>
            <w:shd w:val="clear" w:color="auto" w:fill="auto"/>
            <w:noWrap/>
            <w:vAlign w:val="bottom"/>
            <w:hideMark/>
          </w:tcPr>
          <w:p w14:paraId="338FE116" w14:textId="77777777" w:rsidR="00437C0D" w:rsidRPr="00A02B31" w:rsidRDefault="00437C0D" w:rsidP="00437C0D">
            <w:pPr>
              <w:jc w:val="center"/>
              <w:rPr>
                <w:rFonts w:eastAsia="Times New Roman" w:cstheme="minorHAnsi"/>
                <w:color w:val="000000"/>
                <w:sz w:val="20"/>
                <w:szCs w:val="20"/>
                <w:lang w:eastAsia="en-GB"/>
              </w:rPr>
            </w:pPr>
            <w:r w:rsidRPr="00A02B31">
              <w:rPr>
                <w:rFonts w:eastAsia="Times New Roman" w:cstheme="minorHAnsi"/>
                <w:color w:val="000000"/>
                <w:sz w:val="20"/>
                <w:szCs w:val="20"/>
                <w:lang w:eastAsia="en-GB"/>
              </w:rPr>
              <w:t>n/a</w:t>
            </w:r>
          </w:p>
        </w:tc>
      </w:tr>
      <w:tr w:rsidR="00437C0D" w:rsidRPr="008B2DDA" w14:paraId="24E8CB7A" w14:textId="77777777" w:rsidTr="009D1381">
        <w:trPr>
          <w:trHeight w:val="300"/>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14:paraId="67DF4B18" w14:textId="77777777" w:rsidR="00437C0D" w:rsidRPr="00A02B31" w:rsidRDefault="00437C0D" w:rsidP="00437C0D">
            <w:pPr>
              <w:rPr>
                <w:rFonts w:eastAsia="Times New Roman" w:cstheme="minorHAnsi"/>
                <w:color w:val="000000"/>
                <w:sz w:val="20"/>
                <w:szCs w:val="20"/>
                <w:lang w:eastAsia="en-GB"/>
              </w:rPr>
            </w:pPr>
            <w:r w:rsidRPr="00A02B31">
              <w:rPr>
                <w:rFonts w:eastAsia="Times New Roman" w:cstheme="minorHAnsi"/>
                <w:color w:val="000000"/>
                <w:sz w:val="20"/>
                <w:szCs w:val="20"/>
                <w:lang w:eastAsia="en-GB"/>
              </w:rPr>
              <w:t>Kenneth Lever</w:t>
            </w:r>
          </w:p>
        </w:tc>
        <w:tc>
          <w:tcPr>
            <w:tcW w:w="2409" w:type="dxa"/>
            <w:tcBorders>
              <w:top w:val="nil"/>
              <w:left w:val="nil"/>
              <w:bottom w:val="single" w:sz="4" w:space="0" w:color="auto"/>
              <w:right w:val="single" w:sz="4" w:space="0" w:color="auto"/>
            </w:tcBorders>
            <w:shd w:val="clear" w:color="auto" w:fill="auto"/>
            <w:noWrap/>
            <w:vAlign w:val="bottom"/>
            <w:hideMark/>
          </w:tcPr>
          <w:p w14:paraId="7C50CA0E" w14:textId="77777777" w:rsidR="00437C0D" w:rsidRPr="00A02B31" w:rsidRDefault="00437C0D" w:rsidP="00437C0D">
            <w:pPr>
              <w:jc w:val="center"/>
              <w:rPr>
                <w:rFonts w:eastAsia="Times New Roman" w:cstheme="minorHAnsi"/>
                <w:color w:val="000000"/>
                <w:sz w:val="20"/>
                <w:szCs w:val="20"/>
                <w:lang w:eastAsia="en-GB"/>
              </w:rPr>
            </w:pPr>
            <w:r w:rsidRPr="00A02B31">
              <w:rPr>
                <w:rFonts w:eastAsia="Times New Roman" w:cstheme="minorHAnsi"/>
                <w:color w:val="000000"/>
                <w:sz w:val="20"/>
                <w:szCs w:val="20"/>
                <w:lang w:eastAsia="en-GB"/>
              </w:rPr>
              <w:t>23/23</w:t>
            </w:r>
          </w:p>
        </w:tc>
        <w:tc>
          <w:tcPr>
            <w:tcW w:w="3119" w:type="dxa"/>
            <w:tcBorders>
              <w:top w:val="nil"/>
              <w:left w:val="nil"/>
              <w:bottom w:val="single" w:sz="4" w:space="0" w:color="auto"/>
              <w:right w:val="single" w:sz="4" w:space="0" w:color="auto"/>
            </w:tcBorders>
            <w:shd w:val="clear" w:color="auto" w:fill="auto"/>
            <w:noWrap/>
            <w:vAlign w:val="bottom"/>
            <w:hideMark/>
          </w:tcPr>
          <w:p w14:paraId="42648255" w14:textId="77777777" w:rsidR="00437C0D" w:rsidRPr="00A02B31" w:rsidRDefault="00437C0D" w:rsidP="00437C0D">
            <w:pPr>
              <w:jc w:val="center"/>
              <w:rPr>
                <w:rFonts w:eastAsia="Times New Roman" w:cstheme="minorHAnsi"/>
                <w:color w:val="000000"/>
                <w:sz w:val="20"/>
                <w:szCs w:val="20"/>
                <w:lang w:eastAsia="en-GB"/>
              </w:rPr>
            </w:pPr>
            <w:r w:rsidRPr="00A02B31">
              <w:rPr>
                <w:rFonts w:eastAsia="Times New Roman" w:cstheme="minorHAnsi"/>
                <w:color w:val="000000"/>
                <w:sz w:val="20"/>
                <w:szCs w:val="20"/>
                <w:lang w:eastAsia="en-GB"/>
              </w:rPr>
              <w:t>2/2</w:t>
            </w:r>
          </w:p>
        </w:tc>
      </w:tr>
      <w:tr w:rsidR="00437C0D" w:rsidRPr="008B2DDA" w14:paraId="5165D916" w14:textId="77777777" w:rsidTr="009D1381">
        <w:trPr>
          <w:trHeight w:val="300"/>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14:paraId="11D2BD92" w14:textId="77777777" w:rsidR="00437C0D" w:rsidRPr="00A02B31" w:rsidRDefault="00437C0D" w:rsidP="00437C0D">
            <w:pPr>
              <w:rPr>
                <w:rFonts w:eastAsia="Times New Roman" w:cstheme="minorHAnsi"/>
                <w:color w:val="000000"/>
                <w:sz w:val="20"/>
                <w:szCs w:val="20"/>
                <w:lang w:eastAsia="en-GB"/>
              </w:rPr>
            </w:pPr>
            <w:r w:rsidRPr="00A02B31">
              <w:rPr>
                <w:rFonts w:eastAsia="Times New Roman" w:cstheme="minorHAnsi"/>
                <w:color w:val="000000"/>
                <w:sz w:val="20"/>
                <w:szCs w:val="20"/>
                <w:lang w:eastAsia="en-GB"/>
              </w:rPr>
              <w:t>Graham Bird (appointed 10/06/2021)</w:t>
            </w:r>
          </w:p>
        </w:tc>
        <w:tc>
          <w:tcPr>
            <w:tcW w:w="2409" w:type="dxa"/>
            <w:tcBorders>
              <w:top w:val="nil"/>
              <w:left w:val="nil"/>
              <w:bottom w:val="single" w:sz="4" w:space="0" w:color="auto"/>
              <w:right w:val="single" w:sz="4" w:space="0" w:color="auto"/>
            </w:tcBorders>
            <w:shd w:val="clear" w:color="auto" w:fill="auto"/>
            <w:noWrap/>
            <w:vAlign w:val="bottom"/>
            <w:hideMark/>
          </w:tcPr>
          <w:p w14:paraId="5CBF50FF" w14:textId="77777777" w:rsidR="00437C0D" w:rsidRPr="00A02B31" w:rsidRDefault="00437C0D" w:rsidP="00437C0D">
            <w:pPr>
              <w:jc w:val="center"/>
              <w:rPr>
                <w:rFonts w:eastAsia="Times New Roman" w:cstheme="minorHAnsi"/>
                <w:color w:val="000000"/>
                <w:sz w:val="20"/>
                <w:szCs w:val="20"/>
                <w:lang w:eastAsia="en-GB"/>
              </w:rPr>
            </w:pPr>
            <w:r w:rsidRPr="00A02B31">
              <w:rPr>
                <w:rFonts w:eastAsia="Times New Roman" w:cstheme="minorHAnsi"/>
                <w:color w:val="000000"/>
                <w:sz w:val="20"/>
                <w:szCs w:val="20"/>
                <w:lang w:eastAsia="en-GB"/>
              </w:rPr>
              <w:t>14/14</w:t>
            </w:r>
          </w:p>
        </w:tc>
        <w:tc>
          <w:tcPr>
            <w:tcW w:w="3119" w:type="dxa"/>
            <w:tcBorders>
              <w:top w:val="nil"/>
              <w:left w:val="nil"/>
              <w:bottom w:val="single" w:sz="4" w:space="0" w:color="auto"/>
              <w:right w:val="single" w:sz="4" w:space="0" w:color="auto"/>
            </w:tcBorders>
            <w:shd w:val="clear" w:color="auto" w:fill="auto"/>
            <w:noWrap/>
            <w:vAlign w:val="bottom"/>
            <w:hideMark/>
          </w:tcPr>
          <w:p w14:paraId="32932100" w14:textId="77777777" w:rsidR="00437C0D" w:rsidRPr="00A02B31" w:rsidRDefault="00437C0D" w:rsidP="00437C0D">
            <w:pPr>
              <w:jc w:val="center"/>
              <w:rPr>
                <w:rFonts w:eastAsia="Times New Roman" w:cstheme="minorHAnsi"/>
                <w:color w:val="000000"/>
                <w:sz w:val="20"/>
                <w:szCs w:val="20"/>
                <w:lang w:eastAsia="en-GB"/>
              </w:rPr>
            </w:pPr>
            <w:r w:rsidRPr="00A02B31">
              <w:rPr>
                <w:rFonts w:eastAsia="Times New Roman" w:cstheme="minorHAnsi"/>
                <w:color w:val="000000"/>
                <w:sz w:val="20"/>
                <w:szCs w:val="20"/>
                <w:lang w:eastAsia="en-GB"/>
              </w:rPr>
              <w:t>1/1</w:t>
            </w:r>
          </w:p>
        </w:tc>
      </w:tr>
    </w:tbl>
    <w:p w14:paraId="28A36707" w14:textId="133B11D5" w:rsidR="00437C0D" w:rsidRPr="00A02B31" w:rsidRDefault="00437C0D" w:rsidP="00732832">
      <w:pPr>
        <w:autoSpaceDE w:val="0"/>
        <w:autoSpaceDN w:val="0"/>
        <w:adjustRightInd w:val="0"/>
        <w:jc w:val="both"/>
        <w:rPr>
          <w:rFonts w:cstheme="minorHAnsi"/>
          <w:sz w:val="20"/>
          <w:szCs w:val="20"/>
        </w:rPr>
      </w:pPr>
    </w:p>
    <w:tbl>
      <w:tblPr>
        <w:tblW w:w="9923" w:type="dxa"/>
        <w:tblInd w:w="-5" w:type="dxa"/>
        <w:tblLook w:val="04A0" w:firstRow="1" w:lastRow="0" w:firstColumn="1" w:lastColumn="0" w:noHBand="0" w:noVBand="1"/>
      </w:tblPr>
      <w:tblGrid>
        <w:gridCol w:w="4395"/>
        <w:gridCol w:w="2409"/>
        <w:gridCol w:w="3119"/>
      </w:tblGrid>
      <w:tr w:rsidR="00437C0D" w:rsidRPr="008B2DDA" w14:paraId="10B6581A" w14:textId="77777777" w:rsidTr="009D1381">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0B64B0" w14:textId="23A291C5" w:rsidR="00437C0D" w:rsidRPr="00A02B31" w:rsidRDefault="00437C0D" w:rsidP="00437C0D">
            <w:pPr>
              <w:rPr>
                <w:rFonts w:eastAsia="Times New Roman" w:cstheme="minorHAnsi"/>
                <w:b/>
                <w:bCs/>
                <w:color w:val="000000"/>
                <w:sz w:val="20"/>
                <w:szCs w:val="20"/>
                <w:lang w:eastAsia="en-GB"/>
              </w:rPr>
            </w:pPr>
            <w:r w:rsidRPr="00A02B31">
              <w:rPr>
                <w:rFonts w:eastAsia="Times New Roman" w:cstheme="minorHAnsi"/>
                <w:b/>
                <w:bCs/>
                <w:color w:val="000000"/>
                <w:sz w:val="20"/>
                <w:szCs w:val="20"/>
                <w:lang w:eastAsia="en-GB"/>
              </w:rPr>
              <w:t xml:space="preserve">Directors that resigned during year-ended March 2022 </w:t>
            </w:r>
          </w:p>
        </w:tc>
        <w:tc>
          <w:tcPr>
            <w:tcW w:w="2409" w:type="dxa"/>
            <w:tcBorders>
              <w:top w:val="single" w:sz="4" w:space="0" w:color="auto"/>
              <w:left w:val="nil"/>
              <w:bottom w:val="single" w:sz="4" w:space="0" w:color="auto"/>
              <w:right w:val="single" w:sz="4" w:space="0" w:color="auto"/>
            </w:tcBorders>
            <w:shd w:val="clear" w:color="auto" w:fill="auto"/>
            <w:noWrap/>
            <w:vAlign w:val="bottom"/>
            <w:hideMark/>
          </w:tcPr>
          <w:p w14:paraId="692292A5" w14:textId="77777777" w:rsidR="00437C0D" w:rsidRPr="00A02B31" w:rsidRDefault="00437C0D" w:rsidP="00437C0D">
            <w:pPr>
              <w:rPr>
                <w:rFonts w:eastAsia="Times New Roman" w:cstheme="minorHAnsi"/>
                <w:b/>
                <w:bCs/>
                <w:color w:val="000000"/>
                <w:sz w:val="20"/>
                <w:szCs w:val="20"/>
                <w:lang w:eastAsia="en-GB"/>
              </w:rPr>
            </w:pPr>
            <w:r w:rsidRPr="00A02B31">
              <w:rPr>
                <w:rFonts w:eastAsia="Times New Roman" w:cstheme="minorHAnsi"/>
                <w:b/>
                <w:bCs/>
                <w:color w:val="000000"/>
                <w:sz w:val="20"/>
                <w:szCs w:val="20"/>
                <w:lang w:eastAsia="en-GB"/>
              </w:rPr>
              <w:t>Scheduled Board meetings</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14:paraId="6E60C018" w14:textId="77777777" w:rsidR="00437C0D" w:rsidRPr="00A02B31" w:rsidRDefault="00437C0D" w:rsidP="00437C0D">
            <w:pPr>
              <w:rPr>
                <w:rFonts w:eastAsia="Times New Roman" w:cstheme="minorHAnsi"/>
                <w:b/>
                <w:bCs/>
                <w:color w:val="000000"/>
                <w:sz w:val="20"/>
                <w:szCs w:val="20"/>
                <w:lang w:eastAsia="en-GB"/>
              </w:rPr>
            </w:pPr>
            <w:r w:rsidRPr="00A02B31">
              <w:rPr>
                <w:rFonts w:eastAsia="Times New Roman" w:cstheme="minorHAnsi"/>
                <w:b/>
                <w:bCs/>
                <w:color w:val="000000"/>
                <w:sz w:val="20"/>
                <w:szCs w:val="20"/>
                <w:lang w:eastAsia="en-GB"/>
              </w:rPr>
              <w:t>Scheduled Audit Committee meetings</w:t>
            </w:r>
          </w:p>
        </w:tc>
      </w:tr>
      <w:tr w:rsidR="00437C0D" w:rsidRPr="008B2DDA" w14:paraId="0D909A50" w14:textId="77777777" w:rsidTr="009D1381">
        <w:trPr>
          <w:trHeight w:val="300"/>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14:paraId="3E5E88D4" w14:textId="77777777" w:rsidR="00437C0D" w:rsidRPr="00A02B31" w:rsidRDefault="00437C0D" w:rsidP="00437C0D">
            <w:pPr>
              <w:rPr>
                <w:rFonts w:eastAsia="Times New Roman" w:cstheme="minorHAnsi"/>
                <w:b/>
                <w:bCs/>
                <w:color w:val="000000"/>
                <w:sz w:val="20"/>
                <w:szCs w:val="20"/>
                <w:lang w:eastAsia="en-GB"/>
              </w:rPr>
            </w:pPr>
            <w:r w:rsidRPr="00A02B31">
              <w:rPr>
                <w:rFonts w:eastAsia="Times New Roman" w:cstheme="minorHAnsi"/>
                <w:b/>
                <w:bCs/>
                <w:color w:val="000000"/>
                <w:sz w:val="20"/>
                <w:szCs w:val="20"/>
                <w:lang w:eastAsia="en-GB"/>
              </w:rPr>
              <w:t> </w:t>
            </w:r>
          </w:p>
        </w:tc>
        <w:tc>
          <w:tcPr>
            <w:tcW w:w="2409" w:type="dxa"/>
            <w:tcBorders>
              <w:top w:val="nil"/>
              <w:left w:val="nil"/>
              <w:bottom w:val="single" w:sz="4" w:space="0" w:color="auto"/>
              <w:right w:val="single" w:sz="4" w:space="0" w:color="auto"/>
            </w:tcBorders>
            <w:shd w:val="clear" w:color="auto" w:fill="auto"/>
            <w:noWrap/>
            <w:vAlign w:val="bottom"/>
            <w:hideMark/>
          </w:tcPr>
          <w:p w14:paraId="4BB40D5F" w14:textId="77777777" w:rsidR="00437C0D" w:rsidRPr="00A02B31" w:rsidRDefault="00437C0D" w:rsidP="00437C0D">
            <w:pPr>
              <w:rPr>
                <w:rFonts w:eastAsia="Times New Roman" w:cstheme="minorHAnsi"/>
                <w:b/>
                <w:bCs/>
                <w:color w:val="000000"/>
                <w:sz w:val="20"/>
                <w:szCs w:val="20"/>
                <w:lang w:eastAsia="en-GB"/>
              </w:rPr>
            </w:pPr>
            <w:r w:rsidRPr="00A02B31">
              <w:rPr>
                <w:rFonts w:eastAsia="Times New Roman" w:cstheme="minorHAnsi"/>
                <w:b/>
                <w:bCs/>
                <w:color w:val="000000"/>
                <w:sz w:val="20"/>
                <w:szCs w:val="20"/>
                <w:lang w:eastAsia="en-GB"/>
              </w:rPr>
              <w:t>Number attended</w:t>
            </w:r>
          </w:p>
        </w:tc>
        <w:tc>
          <w:tcPr>
            <w:tcW w:w="3119" w:type="dxa"/>
            <w:tcBorders>
              <w:top w:val="nil"/>
              <w:left w:val="nil"/>
              <w:bottom w:val="single" w:sz="4" w:space="0" w:color="auto"/>
              <w:right w:val="single" w:sz="4" w:space="0" w:color="auto"/>
            </w:tcBorders>
            <w:shd w:val="clear" w:color="auto" w:fill="auto"/>
            <w:noWrap/>
            <w:vAlign w:val="bottom"/>
            <w:hideMark/>
          </w:tcPr>
          <w:p w14:paraId="5571E5FA" w14:textId="77777777" w:rsidR="00437C0D" w:rsidRPr="00A02B31" w:rsidRDefault="00437C0D" w:rsidP="00437C0D">
            <w:pPr>
              <w:rPr>
                <w:rFonts w:eastAsia="Times New Roman" w:cstheme="minorHAnsi"/>
                <w:b/>
                <w:bCs/>
                <w:color w:val="000000"/>
                <w:sz w:val="20"/>
                <w:szCs w:val="20"/>
                <w:lang w:eastAsia="en-GB"/>
              </w:rPr>
            </w:pPr>
            <w:r w:rsidRPr="00A02B31">
              <w:rPr>
                <w:rFonts w:eastAsia="Times New Roman" w:cstheme="minorHAnsi"/>
                <w:b/>
                <w:bCs/>
                <w:color w:val="000000"/>
                <w:sz w:val="20"/>
                <w:szCs w:val="20"/>
                <w:lang w:eastAsia="en-GB"/>
              </w:rPr>
              <w:t>Number attended</w:t>
            </w:r>
          </w:p>
        </w:tc>
      </w:tr>
      <w:tr w:rsidR="00437C0D" w:rsidRPr="008B2DDA" w14:paraId="3DD3B0E3" w14:textId="77777777" w:rsidTr="009D1381">
        <w:trPr>
          <w:trHeight w:val="300"/>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14:paraId="7F7CB784" w14:textId="3EE3F0E5" w:rsidR="00437C0D" w:rsidRPr="00A02B31" w:rsidRDefault="00437C0D" w:rsidP="00437C0D">
            <w:pPr>
              <w:rPr>
                <w:rFonts w:eastAsia="Times New Roman" w:cstheme="minorHAnsi"/>
                <w:color w:val="000000"/>
                <w:sz w:val="20"/>
                <w:szCs w:val="20"/>
                <w:lang w:eastAsia="en-GB"/>
              </w:rPr>
            </w:pPr>
            <w:r w:rsidRPr="00A02B31">
              <w:rPr>
                <w:rFonts w:eastAsia="Times New Roman" w:cstheme="minorHAnsi"/>
                <w:color w:val="000000"/>
                <w:sz w:val="20"/>
                <w:szCs w:val="20"/>
                <w:lang w:eastAsia="en-GB"/>
              </w:rPr>
              <w:t>Simon Pyper* (appointed 22/01/2022 -resigned 31/03/2022)</w:t>
            </w:r>
          </w:p>
        </w:tc>
        <w:tc>
          <w:tcPr>
            <w:tcW w:w="2409" w:type="dxa"/>
            <w:tcBorders>
              <w:top w:val="nil"/>
              <w:left w:val="nil"/>
              <w:bottom w:val="single" w:sz="4" w:space="0" w:color="auto"/>
              <w:right w:val="single" w:sz="4" w:space="0" w:color="auto"/>
            </w:tcBorders>
            <w:shd w:val="clear" w:color="auto" w:fill="auto"/>
            <w:noWrap/>
            <w:vAlign w:val="bottom"/>
            <w:hideMark/>
          </w:tcPr>
          <w:p w14:paraId="6E993597" w14:textId="77777777" w:rsidR="00437C0D" w:rsidRPr="00A02B31" w:rsidRDefault="00437C0D" w:rsidP="00437C0D">
            <w:pPr>
              <w:jc w:val="center"/>
              <w:rPr>
                <w:rFonts w:eastAsia="Times New Roman" w:cstheme="minorHAnsi"/>
                <w:color w:val="000000"/>
                <w:sz w:val="20"/>
                <w:szCs w:val="20"/>
                <w:lang w:eastAsia="en-GB"/>
              </w:rPr>
            </w:pPr>
            <w:r w:rsidRPr="00A02B31">
              <w:rPr>
                <w:rFonts w:eastAsia="Times New Roman" w:cstheme="minorHAnsi"/>
                <w:color w:val="000000"/>
                <w:sz w:val="20"/>
                <w:szCs w:val="20"/>
                <w:lang w:eastAsia="en-GB"/>
              </w:rPr>
              <w:t>9/10</w:t>
            </w:r>
          </w:p>
        </w:tc>
        <w:tc>
          <w:tcPr>
            <w:tcW w:w="3119" w:type="dxa"/>
            <w:tcBorders>
              <w:top w:val="nil"/>
              <w:left w:val="nil"/>
              <w:bottom w:val="single" w:sz="4" w:space="0" w:color="auto"/>
              <w:right w:val="single" w:sz="4" w:space="0" w:color="auto"/>
            </w:tcBorders>
            <w:shd w:val="clear" w:color="auto" w:fill="auto"/>
            <w:noWrap/>
            <w:vAlign w:val="bottom"/>
            <w:hideMark/>
          </w:tcPr>
          <w:p w14:paraId="06A9DEC4" w14:textId="77777777" w:rsidR="00437C0D" w:rsidRPr="00A02B31" w:rsidRDefault="00437C0D" w:rsidP="00437C0D">
            <w:pPr>
              <w:jc w:val="center"/>
              <w:rPr>
                <w:rFonts w:eastAsia="Times New Roman" w:cstheme="minorHAnsi"/>
                <w:color w:val="000000"/>
                <w:sz w:val="20"/>
                <w:szCs w:val="20"/>
                <w:lang w:eastAsia="en-GB"/>
              </w:rPr>
            </w:pPr>
            <w:r w:rsidRPr="00A02B31">
              <w:rPr>
                <w:rFonts w:eastAsia="Times New Roman" w:cstheme="minorHAnsi"/>
                <w:color w:val="000000"/>
                <w:sz w:val="20"/>
                <w:szCs w:val="20"/>
                <w:lang w:eastAsia="en-GB"/>
              </w:rPr>
              <w:t>n/a</w:t>
            </w:r>
          </w:p>
        </w:tc>
      </w:tr>
      <w:tr w:rsidR="00437C0D" w:rsidRPr="008B2DDA" w14:paraId="54E7783F" w14:textId="77777777" w:rsidTr="009D1381">
        <w:trPr>
          <w:trHeight w:val="300"/>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14:paraId="7D35CA54" w14:textId="77777777" w:rsidR="00437C0D" w:rsidRPr="00A02B31" w:rsidRDefault="00437C0D" w:rsidP="00437C0D">
            <w:pPr>
              <w:rPr>
                <w:rFonts w:eastAsia="Times New Roman" w:cstheme="minorHAnsi"/>
                <w:color w:val="000000"/>
                <w:sz w:val="20"/>
                <w:szCs w:val="20"/>
                <w:lang w:eastAsia="en-GB"/>
              </w:rPr>
            </w:pPr>
            <w:r w:rsidRPr="00A02B31">
              <w:rPr>
                <w:rFonts w:eastAsia="Times New Roman" w:cstheme="minorHAnsi"/>
                <w:color w:val="000000"/>
                <w:sz w:val="20"/>
                <w:szCs w:val="20"/>
                <w:lang w:eastAsia="en-GB"/>
              </w:rPr>
              <w:t>Charles Berry (resigned 22/11/2021)</w:t>
            </w:r>
          </w:p>
        </w:tc>
        <w:tc>
          <w:tcPr>
            <w:tcW w:w="2409" w:type="dxa"/>
            <w:tcBorders>
              <w:top w:val="nil"/>
              <w:left w:val="nil"/>
              <w:bottom w:val="single" w:sz="4" w:space="0" w:color="auto"/>
              <w:right w:val="single" w:sz="4" w:space="0" w:color="auto"/>
            </w:tcBorders>
            <w:shd w:val="clear" w:color="auto" w:fill="auto"/>
            <w:noWrap/>
            <w:vAlign w:val="bottom"/>
            <w:hideMark/>
          </w:tcPr>
          <w:p w14:paraId="139FFEDD" w14:textId="77777777" w:rsidR="00437C0D" w:rsidRPr="00A02B31" w:rsidRDefault="00437C0D" w:rsidP="00437C0D">
            <w:pPr>
              <w:jc w:val="center"/>
              <w:rPr>
                <w:rFonts w:eastAsia="Times New Roman" w:cstheme="minorHAnsi"/>
                <w:color w:val="000000"/>
                <w:sz w:val="20"/>
                <w:szCs w:val="20"/>
                <w:lang w:eastAsia="en-GB"/>
              </w:rPr>
            </w:pPr>
            <w:r w:rsidRPr="00A02B31">
              <w:rPr>
                <w:rFonts w:eastAsia="Times New Roman" w:cstheme="minorHAnsi"/>
                <w:color w:val="000000"/>
                <w:sz w:val="20"/>
                <w:szCs w:val="20"/>
                <w:lang w:eastAsia="en-GB"/>
              </w:rPr>
              <w:t>12/12</w:t>
            </w:r>
          </w:p>
        </w:tc>
        <w:tc>
          <w:tcPr>
            <w:tcW w:w="3119" w:type="dxa"/>
            <w:tcBorders>
              <w:top w:val="nil"/>
              <w:left w:val="nil"/>
              <w:bottom w:val="single" w:sz="4" w:space="0" w:color="auto"/>
              <w:right w:val="single" w:sz="4" w:space="0" w:color="auto"/>
            </w:tcBorders>
            <w:shd w:val="clear" w:color="auto" w:fill="auto"/>
            <w:noWrap/>
            <w:vAlign w:val="bottom"/>
            <w:hideMark/>
          </w:tcPr>
          <w:p w14:paraId="7C0131FC" w14:textId="77777777" w:rsidR="00437C0D" w:rsidRPr="00A02B31" w:rsidRDefault="00437C0D" w:rsidP="00437C0D">
            <w:pPr>
              <w:jc w:val="center"/>
              <w:rPr>
                <w:rFonts w:eastAsia="Times New Roman" w:cstheme="minorHAnsi"/>
                <w:color w:val="000000"/>
                <w:sz w:val="20"/>
                <w:szCs w:val="20"/>
                <w:lang w:eastAsia="en-GB"/>
              </w:rPr>
            </w:pPr>
            <w:r w:rsidRPr="00A02B31">
              <w:rPr>
                <w:rFonts w:eastAsia="Times New Roman" w:cstheme="minorHAnsi"/>
                <w:color w:val="000000"/>
                <w:sz w:val="20"/>
                <w:szCs w:val="20"/>
                <w:lang w:eastAsia="en-GB"/>
              </w:rPr>
              <w:t>1/1</w:t>
            </w:r>
          </w:p>
        </w:tc>
      </w:tr>
      <w:tr w:rsidR="00437C0D" w:rsidRPr="008B2DDA" w14:paraId="1D2BA1CA" w14:textId="77777777" w:rsidTr="009D1381">
        <w:trPr>
          <w:trHeight w:val="300"/>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14:paraId="4EFCF1B6" w14:textId="77777777" w:rsidR="00437C0D" w:rsidRPr="00A02B31" w:rsidRDefault="00437C0D" w:rsidP="00437C0D">
            <w:pPr>
              <w:rPr>
                <w:rFonts w:eastAsia="Times New Roman" w:cstheme="minorHAnsi"/>
                <w:color w:val="000000"/>
                <w:sz w:val="20"/>
                <w:szCs w:val="20"/>
                <w:lang w:eastAsia="en-GB"/>
              </w:rPr>
            </w:pPr>
            <w:r w:rsidRPr="00A02B31">
              <w:rPr>
                <w:rFonts w:eastAsia="Times New Roman" w:cstheme="minorHAnsi"/>
                <w:color w:val="000000"/>
                <w:sz w:val="20"/>
                <w:szCs w:val="20"/>
                <w:lang w:eastAsia="en-GB"/>
              </w:rPr>
              <w:t>David Potter* (resigned 11/06/2021)</w:t>
            </w:r>
          </w:p>
        </w:tc>
        <w:tc>
          <w:tcPr>
            <w:tcW w:w="2409" w:type="dxa"/>
            <w:tcBorders>
              <w:top w:val="nil"/>
              <w:left w:val="nil"/>
              <w:bottom w:val="single" w:sz="4" w:space="0" w:color="auto"/>
              <w:right w:val="single" w:sz="4" w:space="0" w:color="auto"/>
            </w:tcBorders>
            <w:shd w:val="clear" w:color="auto" w:fill="auto"/>
            <w:noWrap/>
            <w:vAlign w:val="bottom"/>
            <w:hideMark/>
          </w:tcPr>
          <w:p w14:paraId="58D1B160" w14:textId="77777777" w:rsidR="00437C0D" w:rsidRPr="00A02B31" w:rsidRDefault="00437C0D" w:rsidP="00437C0D">
            <w:pPr>
              <w:jc w:val="center"/>
              <w:rPr>
                <w:rFonts w:eastAsia="Times New Roman" w:cstheme="minorHAnsi"/>
                <w:color w:val="000000"/>
                <w:sz w:val="20"/>
                <w:szCs w:val="20"/>
                <w:lang w:eastAsia="en-GB"/>
              </w:rPr>
            </w:pPr>
            <w:r w:rsidRPr="00A02B31">
              <w:rPr>
                <w:rFonts w:eastAsia="Times New Roman" w:cstheme="minorHAnsi"/>
                <w:color w:val="000000"/>
                <w:sz w:val="20"/>
                <w:szCs w:val="20"/>
                <w:lang w:eastAsia="en-GB"/>
              </w:rPr>
              <w:t>5/5</w:t>
            </w:r>
          </w:p>
        </w:tc>
        <w:tc>
          <w:tcPr>
            <w:tcW w:w="3119" w:type="dxa"/>
            <w:tcBorders>
              <w:top w:val="nil"/>
              <w:left w:val="nil"/>
              <w:bottom w:val="single" w:sz="4" w:space="0" w:color="auto"/>
              <w:right w:val="single" w:sz="4" w:space="0" w:color="auto"/>
            </w:tcBorders>
            <w:shd w:val="clear" w:color="auto" w:fill="auto"/>
            <w:noWrap/>
            <w:vAlign w:val="bottom"/>
            <w:hideMark/>
          </w:tcPr>
          <w:p w14:paraId="7F8E9D0B" w14:textId="77777777" w:rsidR="00437C0D" w:rsidRPr="00A02B31" w:rsidRDefault="00437C0D" w:rsidP="00437C0D">
            <w:pPr>
              <w:jc w:val="center"/>
              <w:rPr>
                <w:rFonts w:eastAsia="Times New Roman" w:cstheme="minorHAnsi"/>
                <w:color w:val="000000"/>
                <w:sz w:val="20"/>
                <w:szCs w:val="20"/>
                <w:lang w:eastAsia="en-GB"/>
              </w:rPr>
            </w:pPr>
            <w:r w:rsidRPr="00A02B31">
              <w:rPr>
                <w:rFonts w:eastAsia="Times New Roman" w:cstheme="minorHAnsi"/>
                <w:color w:val="000000"/>
                <w:sz w:val="20"/>
                <w:szCs w:val="20"/>
                <w:lang w:eastAsia="en-GB"/>
              </w:rPr>
              <w:t>n/a</w:t>
            </w:r>
          </w:p>
        </w:tc>
      </w:tr>
      <w:tr w:rsidR="00437C0D" w:rsidRPr="008B2DDA" w14:paraId="29E54549" w14:textId="77777777" w:rsidTr="009D1381">
        <w:trPr>
          <w:trHeight w:val="300"/>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14:paraId="2DEA805A" w14:textId="77777777" w:rsidR="00437C0D" w:rsidRPr="00A02B31" w:rsidRDefault="00437C0D" w:rsidP="00437C0D">
            <w:pPr>
              <w:rPr>
                <w:rFonts w:eastAsia="Times New Roman" w:cstheme="minorHAnsi"/>
                <w:color w:val="000000"/>
                <w:sz w:val="20"/>
                <w:szCs w:val="20"/>
                <w:lang w:eastAsia="en-GB"/>
              </w:rPr>
            </w:pPr>
            <w:r w:rsidRPr="00A02B31">
              <w:rPr>
                <w:rFonts w:eastAsia="Times New Roman" w:cstheme="minorHAnsi"/>
                <w:color w:val="000000"/>
                <w:sz w:val="20"/>
                <w:szCs w:val="20"/>
                <w:lang w:eastAsia="en-GB"/>
              </w:rPr>
              <w:t>Helen Sinclair (resigned 05/11/2021)</w:t>
            </w:r>
          </w:p>
        </w:tc>
        <w:tc>
          <w:tcPr>
            <w:tcW w:w="2409" w:type="dxa"/>
            <w:tcBorders>
              <w:top w:val="nil"/>
              <w:left w:val="nil"/>
              <w:bottom w:val="single" w:sz="4" w:space="0" w:color="auto"/>
              <w:right w:val="single" w:sz="4" w:space="0" w:color="auto"/>
            </w:tcBorders>
            <w:shd w:val="clear" w:color="auto" w:fill="auto"/>
            <w:noWrap/>
            <w:vAlign w:val="bottom"/>
            <w:hideMark/>
          </w:tcPr>
          <w:p w14:paraId="184AB87E" w14:textId="77777777" w:rsidR="00437C0D" w:rsidRPr="00A02B31" w:rsidRDefault="00437C0D" w:rsidP="00437C0D">
            <w:pPr>
              <w:jc w:val="center"/>
              <w:rPr>
                <w:rFonts w:eastAsia="Times New Roman" w:cstheme="minorHAnsi"/>
                <w:color w:val="000000"/>
                <w:sz w:val="20"/>
                <w:szCs w:val="20"/>
                <w:lang w:eastAsia="en-GB"/>
              </w:rPr>
            </w:pPr>
            <w:r w:rsidRPr="00A02B31">
              <w:rPr>
                <w:rFonts w:eastAsia="Times New Roman" w:cstheme="minorHAnsi"/>
                <w:color w:val="000000"/>
                <w:sz w:val="20"/>
                <w:szCs w:val="20"/>
                <w:lang w:eastAsia="en-GB"/>
              </w:rPr>
              <w:t>11/12</w:t>
            </w:r>
          </w:p>
        </w:tc>
        <w:tc>
          <w:tcPr>
            <w:tcW w:w="3119" w:type="dxa"/>
            <w:tcBorders>
              <w:top w:val="nil"/>
              <w:left w:val="nil"/>
              <w:bottom w:val="single" w:sz="4" w:space="0" w:color="auto"/>
              <w:right w:val="single" w:sz="4" w:space="0" w:color="auto"/>
            </w:tcBorders>
            <w:shd w:val="clear" w:color="auto" w:fill="auto"/>
            <w:noWrap/>
            <w:vAlign w:val="bottom"/>
            <w:hideMark/>
          </w:tcPr>
          <w:p w14:paraId="05946B4E" w14:textId="77777777" w:rsidR="00437C0D" w:rsidRPr="00A02B31" w:rsidRDefault="00437C0D" w:rsidP="00437C0D">
            <w:pPr>
              <w:jc w:val="center"/>
              <w:rPr>
                <w:rFonts w:eastAsia="Times New Roman" w:cstheme="minorHAnsi"/>
                <w:color w:val="000000"/>
                <w:sz w:val="20"/>
                <w:szCs w:val="20"/>
                <w:lang w:eastAsia="en-GB"/>
              </w:rPr>
            </w:pPr>
            <w:r w:rsidRPr="00A02B31">
              <w:rPr>
                <w:rFonts w:eastAsia="Times New Roman" w:cstheme="minorHAnsi"/>
                <w:color w:val="000000"/>
                <w:sz w:val="20"/>
                <w:szCs w:val="20"/>
                <w:lang w:eastAsia="en-GB"/>
              </w:rPr>
              <w:t>1/1</w:t>
            </w:r>
          </w:p>
        </w:tc>
      </w:tr>
    </w:tbl>
    <w:p w14:paraId="789343FC" w14:textId="5692E82F" w:rsidR="00732832" w:rsidRPr="008B2DDA" w:rsidRDefault="006A1830" w:rsidP="004448C0">
      <w:pPr>
        <w:autoSpaceDE w:val="0"/>
        <w:autoSpaceDN w:val="0"/>
        <w:adjustRightInd w:val="0"/>
        <w:jc w:val="both"/>
        <w:rPr>
          <w:rFonts w:cstheme="minorHAnsi"/>
          <w:i/>
          <w:sz w:val="20"/>
          <w:szCs w:val="20"/>
        </w:rPr>
      </w:pPr>
      <w:r w:rsidRPr="008B2DDA">
        <w:rPr>
          <w:rFonts w:cstheme="minorHAnsi"/>
          <w:i/>
          <w:sz w:val="20"/>
          <w:szCs w:val="20"/>
        </w:rPr>
        <w:t>*not a member of the Audit Committee</w:t>
      </w:r>
    </w:p>
    <w:p w14:paraId="391217F9" w14:textId="77777777" w:rsidR="0080037D" w:rsidRPr="00A02B31" w:rsidRDefault="0080037D" w:rsidP="00510167">
      <w:pPr>
        <w:rPr>
          <w:rFonts w:cstheme="minorHAnsi"/>
          <w:b/>
          <w:sz w:val="20"/>
          <w:szCs w:val="20"/>
        </w:rPr>
      </w:pPr>
    </w:p>
    <w:p w14:paraId="643BE52C" w14:textId="1A0F2F9E" w:rsidR="00510167" w:rsidRPr="00A02B31" w:rsidRDefault="00510167" w:rsidP="00510167">
      <w:pPr>
        <w:rPr>
          <w:rFonts w:cstheme="minorHAnsi"/>
          <w:b/>
          <w:sz w:val="20"/>
          <w:szCs w:val="20"/>
        </w:rPr>
      </w:pPr>
      <w:r w:rsidRPr="00A02B31">
        <w:rPr>
          <w:rFonts w:cstheme="minorHAnsi"/>
          <w:b/>
          <w:sz w:val="20"/>
          <w:szCs w:val="20"/>
        </w:rPr>
        <w:t xml:space="preserve">Conflicts of </w:t>
      </w:r>
      <w:r w:rsidR="008D367B" w:rsidRPr="00A02B31">
        <w:rPr>
          <w:rFonts w:cstheme="minorHAnsi"/>
          <w:b/>
          <w:sz w:val="20"/>
          <w:szCs w:val="20"/>
        </w:rPr>
        <w:t>i</w:t>
      </w:r>
      <w:r w:rsidRPr="00A02B31">
        <w:rPr>
          <w:rFonts w:cstheme="minorHAnsi"/>
          <w:b/>
          <w:sz w:val="20"/>
          <w:szCs w:val="20"/>
        </w:rPr>
        <w:t>nterest</w:t>
      </w:r>
    </w:p>
    <w:p w14:paraId="68D3A8E4" w14:textId="77777777" w:rsidR="003643ED" w:rsidRPr="00A02B31" w:rsidRDefault="003643ED" w:rsidP="00352AD1">
      <w:pPr>
        <w:autoSpaceDE w:val="0"/>
        <w:autoSpaceDN w:val="0"/>
        <w:adjustRightInd w:val="0"/>
        <w:jc w:val="both"/>
        <w:rPr>
          <w:rFonts w:cstheme="minorHAnsi"/>
          <w:sz w:val="20"/>
          <w:szCs w:val="20"/>
        </w:rPr>
      </w:pPr>
    </w:p>
    <w:p w14:paraId="1B031FDA" w14:textId="489E71DD" w:rsidR="009347E4" w:rsidRPr="00A02B31" w:rsidRDefault="00EA58BC" w:rsidP="00352AD1">
      <w:pPr>
        <w:autoSpaceDE w:val="0"/>
        <w:autoSpaceDN w:val="0"/>
        <w:adjustRightInd w:val="0"/>
        <w:jc w:val="both"/>
        <w:rPr>
          <w:rFonts w:cstheme="minorHAnsi"/>
          <w:sz w:val="20"/>
          <w:szCs w:val="20"/>
        </w:rPr>
      </w:pPr>
      <w:r w:rsidRPr="00A02B31">
        <w:rPr>
          <w:rFonts w:cstheme="minorHAnsi"/>
          <w:sz w:val="20"/>
          <w:szCs w:val="20"/>
        </w:rPr>
        <w:t xml:space="preserve">The Company has effective procedures in place to monitor and deal with conflicts of interest. </w:t>
      </w:r>
      <w:r w:rsidR="00097ED6" w:rsidRPr="00A02B31">
        <w:rPr>
          <w:rFonts w:cstheme="minorHAnsi"/>
          <w:sz w:val="20"/>
          <w:szCs w:val="20"/>
        </w:rPr>
        <w:t>A</w:t>
      </w:r>
      <w:r w:rsidR="00352AD1" w:rsidRPr="00A02B31">
        <w:rPr>
          <w:rFonts w:cstheme="minorHAnsi"/>
          <w:sz w:val="20"/>
          <w:szCs w:val="20"/>
        </w:rPr>
        <w:t xml:space="preserve"> register has </w:t>
      </w:r>
      <w:r w:rsidR="00097ED6" w:rsidRPr="00A02B31">
        <w:rPr>
          <w:rFonts w:cstheme="minorHAnsi"/>
          <w:sz w:val="20"/>
          <w:szCs w:val="20"/>
        </w:rPr>
        <w:t xml:space="preserve">been set up </w:t>
      </w:r>
      <w:r w:rsidR="00352AD1" w:rsidRPr="00A02B31">
        <w:rPr>
          <w:rFonts w:cstheme="minorHAnsi"/>
          <w:sz w:val="20"/>
          <w:szCs w:val="20"/>
        </w:rPr>
        <w:t>to record all actual and potential</w:t>
      </w:r>
      <w:r w:rsidR="00097ED6" w:rsidRPr="00A02B31">
        <w:rPr>
          <w:rFonts w:cstheme="minorHAnsi"/>
          <w:sz w:val="20"/>
          <w:szCs w:val="20"/>
        </w:rPr>
        <w:t xml:space="preserve"> conflict situations which have </w:t>
      </w:r>
      <w:r w:rsidR="00352AD1" w:rsidRPr="00A02B31">
        <w:rPr>
          <w:rFonts w:cstheme="minorHAnsi"/>
          <w:sz w:val="20"/>
          <w:szCs w:val="20"/>
        </w:rPr>
        <w:t>been declared. All declared conflicts have been approved by</w:t>
      </w:r>
      <w:r w:rsidR="00097ED6" w:rsidRPr="00A02B31">
        <w:rPr>
          <w:rFonts w:cstheme="minorHAnsi"/>
          <w:sz w:val="20"/>
          <w:szCs w:val="20"/>
        </w:rPr>
        <w:t xml:space="preserve"> </w:t>
      </w:r>
      <w:r w:rsidR="00352AD1" w:rsidRPr="00A02B31">
        <w:rPr>
          <w:rFonts w:cstheme="minorHAnsi"/>
          <w:sz w:val="20"/>
          <w:szCs w:val="20"/>
        </w:rPr>
        <w:lastRenderedPageBreak/>
        <w:t xml:space="preserve">the </w:t>
      </w:r>
      <w:r w:rsidR="00C42807" w:rsidRPr="00A02B31">
        <w:rPr>
          <w:rFonts w:cstheme="minorHAnsi"/>
          <w:sz w:val="20"/>
          <w:szCs w:val="20"/>
        </w:rPr>
        <w:t>b</w:t>
      </w:r>
      <w:r w:rsidR="00352AD1" w:rsidRPr="00A02B31">
        <w:rPr>
          <w:rFonts w:cstheme="minorHAnsi"/>
          <w:sz w:val="20"/>
          <w:szCs w:val="20"/>
        </w:rPr>
        <w:t>oard.</w:t>
      </w:r>
      <w:r w:rsidR="00097ED6" w:rsidRPr="00A02B31">
        <w:rPr>
          <w:rFonts w:cstheme="minorHAnsi"/>
          <w:sz w:val="20"/>
          <w:szCs w:val="20"/>
        </w:rPr>
        <w:t xml:space="preserve"> T</w:t>
      </w:r>
      <w:r w:rsidRPr="00A02B31">
        <w:rPr>
          <w:rFonts w:cstheme="minorHAnsi"/>
          <w:sz w:val="20"/>
          <w:szCs w:val="20"/>
        </w:rPr>
        <w:t xml:space="preserve">he </w:t>
      </w:r>
      <w:r w:rsidR="00C42807" w:rsidRPr="00A02B31">
        <w:rPr>
          <w:rFonts w:cstheme="minorHAnsi"/>
          <w:sz w:val="20"/>
          <w:szCs w:val="20"/>
        </w:rPr>
        <w:t>b</w:t>
      </w:r>
      <w:r w:rsidRPr="00A02B31">
        <w:rPr>
          <w:rFonts w:cstheme="minorHAnsi"/>
          <w:sz w:val="20"/>
          <w:szCs w:val="20"/>
        </w:rPr>
        <w:t xml:space="preserve">oard is aware of the other commitments and interests of its </w:t>
      </w:r>
      <w:r w:rsidR="00C42807" w:rsidRPr="00A02B31">
        <w:rPr>
          <w:rFonts w:cstheme="minorHAnsi"/>
          <w:sz w:val="20"/>
          <w:szCs w:val="20"/>
        </w:rPr>
        <w:t>D</w:t>
      </w:r>
      <w:r w:rsidRPr="00A02B31">
        <w:rPr>
          <w:rFonts w:cstheme="minorHAnsi"/>
          <w:sz w:val="20"/>
          <w:szCs w:val="20"/>
        </w:rPr>
        <w:t xml:space="preserve">irectors, and changes to these commitments and interests are reported to and, where appropriate, agreed with the rest of the </w:t>
      </w:r>
      <w:r w:rsidR="00C42807" w:rsidRPr="00A02B31">
        <w:rPr>
          <w:rFonts w:cstheme="minorHAnsi"/>
          <w:sz w:val="20"/>
          <w:szCs w:val="20"/>
        </w:rPr>
        <w:t>b</w:t>
      </w:r>
      <w:r w:rsidRPr="00A02B31">
        <w:rPr>
          <w:rFonts w:cstheme="minorHAnsi"/>
          <w:sz w:val="20"/>
          <w:szCs w:val="20"/>
        </w:rPr>
        <w:t>oard.</w:t>
      </w:r>
    </w:p>
    <w:p w14:paraId="61E9ACAF" w14:textId="5395AE1B" w:rsidR="00097ED6" w:rsidRDefault="00097ED6" w:rsidP="00352AD1">
      <w:pPr>
        <w:autoSpaceDE w:val="0"/>
        <w:autoSpaceDN w:val="0"/>
        <w:adjustRightInd w:val="0"/>
        <w:jc w:val="both"/>
        <w:rPr>
          <w:rFonts w:cstheme="minorHAnsi"/>
          <w:sz w:val="20"/>
          <w:szCs w:val="20"/>
        </w:rPr>
      </w:pPr>
    </w:p>
    <w:p w14:paraId="30453713" w14:textId="274ACE1F" w:rsidR="008B2DDA" w:rsidRDefault="008B2DDA" w:rsidP="00352AD1">
      <w:pPr>
        <w:autoSpaceDE w:val="0"/>
        <w:autoSpaceDN w:val="0"/>
        <w:adjustRightInd w:val="0"/>
        <w:jc w:val="both"/>
        <w:rPr>
          <w:rFonts w:cstheme="minorHAnsi"/>
          <w:sz w:val="20"/>
          <w:szCs w:val="20"/>
        </w:rPr>
      </w:pPr>
    </w:p>
    <w:p w14:paraId="7BD2492F" w14:textId="77777777" w:rsidR="008B2DDA" w:rsidRPr="00A02B31" w:rsidRDefault="008B2DDA" w:rsidP="00352AD1">
      <w:pPr>
        <w:autoSpaceDE w:val="0"/>
        <w:autoSpaceDN w:val="0"/>
        <w:adjustRightInd w:val="0"/>
        <w:jc w:val="both"/>
        <w:rPr>
          <w:rFonts w:cstheme="minorHAnsi"/>
          <w:sz w:val="20"/>
          <w:szCs w:val="20"/>
        </w:rPr>
      </w:pPr>
    </w:p>
    <w:p w14:paraId="5C92A225" w14:textId="1D0A2A1B" w:rsidR="00510167" w:rsidRPr="00A02B31" w:rsidRDefault="00510167" w:rsidP="00510167">
      <w:pPr>
        <w:rPr>
          <w:rFonts w:cstheme="minorHAnsi"/>
          <w:b/>
          <w:sz w:val="20"/>
          <w:szCs w:val="20"/>
        </w:rPr>
      </w:pPr>
      <w:r w:rsidRPr="00A02B31">
        <w:rPr>
          <w:rFonts w:cstheme="minorHAnsi"/>
          <w:b/>
          <w:sz w:val="20"/>
          <w:szCs w:val="20"/>
        </w:rPr>
        <w:t xml:space="preserve">Directors’ </w:t>
      </w:r>
      <w:r w:rsidR="008D367B" w:rsidRPr="00A02B31">
        <w:rPr>
          <w:rFonts w:cstheme="minorHAnsi"/>
          <w:b/>
          <w:sz w:val="20"/>
          <w:szCs w:val="20"/>
        </w:rPr>
        <w:t>a</w:t>
      </w:r>
      <w:r w:rsidRPr="00A02B31">
        <w:rPr>
          <w:rFonts w:cstheme="minorHAnsi"/>
          <w:b/>
          <w:sz w:val="20"/>
          <w:szCs w:val="20"/>
        </w:rPr>
        <w:t xml:space="preserve">ppointment and </w:t>
      </w:r>
      <w:r w:rsidR="008D367B" w:rsidRPr="00A02B31">
        <w:rPr>
          <w:rFonts w:cstheme="minorHAnsi"/>
          <w:b/>
          <w:sz w:val="20"/>
          <w:szCs w:val="20"/>
        </w:rPr>
        <w:t>r</w:t>
      </w:r>
      <w:r w:rsidRPr="00A02B31">
        <w:rPr>
          <w:rFonts w:cstheme="minorHAnsi"/>
          <w:b/>
          <w:sz w:val="20"/>
          <w:szCs w:val="20"/>
        </w:rPr>
        <w:t>e-election</w:t>
      </w:r>
    </w:p>
    <w:p w14:paraId="006346DA" w14:textId="77777777" w:rsidR="003643ED" w:rsidRPr="00A02B31" w:rsidRDefault="003643ED" w:rsidP="009347E4">
      <w:pPr>
        <w:autoSpaceDE w:val="0"/>
        <w:autoSpaceDN w:val="0"/>
        <w:adjustRightInd w:val="0"/>
        <w:jc w:val="both"/>
        <w:rPr>
          <w:rFonts w:cstheme="minorHAnsi"/>
          <w:sz w:val="20"/>
          <w:szCs w:val="20"/>
        </w:rPr>
      </w:pPr>
    </w:p>
    <w:p w14:paraId="7BA1D1C3" w14:textId="44F0FDE3" w:rsidR="00F52249" w:rsidRPr="00A02B31" w:rsidRDefault="00F52249" w:rsidP="009347E4">
      <w:pPr>
        <w:autoSpaceDE w:val="0"/>
        <w:autoSpaceDN w:val="0"/>
        <w:adjustRightInd w:val="0"/>
        <w:jc w:val="both"/>
        <w:rPr>
          <w:rFonts w:cstheme="minorHAnsi"/>
          <w:sz w:val="20"/>
          <w:szCs w:val="20"/>
        </w:rPr>
      </w:pPr>
      <w:r w:rsidRPr="00A02B31">
        <w:rPr>
          <w:rFonts w:cstheme="minorHAnsi"/>
          <w:sz w:val="20"/>
          <w:szCs w:val="20"/>
        </w:rPr>
        <w:t xml:space="preserve">All </w:t>
      </w:r>
      <w:r w:rsidR="00C42807" w:rsidRPr="00A02B31">
        <w:rPr>
          <w:rFonts w:cstheme="minorHAnsi"/>
          <w:sz w:val="20"/>
          <w:szCs w:val="20"/>
        </w:rPr>
        <w:t>n</w:t>
      </w:r>
      <w:r w:rsidRPr="00A02B31">
        <w:rPr>
          <w:rFonts w:cstheme="minorHAnsi"/>
          <w:sz w:val="20"/>
          <w:szCs w:val="20"/>
        </w:rPr>
        <w:t>on-</w:t>
      </w:r>
      <w:r w:rsidR="00C42807" w:rsidRPr="00A02B31">
        <w:rPr>
          <w:rFonts w:cstheme="minorHAnsi"/>
          <w:sz w:val="20"/>
          <w:szCs w:val="20"/>
        </w:rPr>
        <w:t>e</w:t>
      </w:r>
      <w:r w:rsidRPr="00A02B31">
        <w:rPr>
          <w:rFonts w:cstheme="minorHAnsi"/>
          <w:sz w:val="20"/>
          <w:szCs w:val="20"/>
        </w:rPr>
        <w:t xml:space="preserve">xecutive </w:t>
      </w:r>
      <w:r w:rsidR="00C42807" w:rsidRPr="00A02B31">
        <w:rPr>
          <w:rFonts w:cstheme="minorHAnsi"/>
          <w:sz w:val="20"/>
          <w:szCs w:val="20"/>
        </w:rPr>
        <w:t>d</w:t>
      </w:r>
      <w:r w:rsidRPr="00A02B31">
        <w:rPr>
          <w:rFonts w:cstheme="minorHAnsi"/>
          <w:sz w:val="20"/>
          <w:szCs w:val="20"/>
        </w:rPr>
        <w:t>irectors are appointed on the basis of letters of appointments</w:t>
      </w:r>
      <w:r w:rsidR="00545C23" w:rsidRPr="00A02B31">
        <w:rPr>
          <w:rFonts w:cstheme="minorHAnsi"/>
          <w:sz w:val="20"/>
          <w:szCs w:val="20"/>
        </w:rPr>
        <w:t xml:space="preserve"> which provide for a maximum of three months’ notice of termination by the </w:t>
      </w:r>
      <w:r w:rsidR="00C42807" w:rsidRPr="00A02B31">
        <w:rPr>
          <w:rFonts w:cstheme="minorHAnsi"/>
          <w:sz w:val="20"/>
          <w:szCs w:val="20"/>
        </w:rPr>
        <w:t>d</w:t>
      </w:r>
      <w:r w:rsidR="00545C23" w:rsidRPr="00A02B31">
        <w:rPr>
          <w:rFonts w:cstheme="minorHAnsi"/>
          <w:sz w:val="20"/>
          <w:szCs w:val="20"/>
        </w:rPr>
        <w:t>irector or the Company. The letters of appointment</w:t>
      </w:r>
      <w:r w:rsidRPr="00A02B31">
        <w:rPr>
          <w:rFonts w:cstheme="minorHAnsi"/>
          <w:sz w:val="20"/>
          <w:szCs w:val="20"/>
        </w:rPr>
        <w:t xml:space="preserve"> are available for inspection </w:t>
      </w:r>
      <w:r w:rsidR="00545C23" w:rsidRPr="00A02B31">
        <w:rPr>
          <w:rFonts w:cstheme="minorHAnsi"/>
          <w:sz w:val="20"/>
          <w:szCs w:val="20"/>
        </w:rPr>
        <w:t xml:space="preserve">at each </w:t>
      </w:r>
      <w:r w:rsidR="009610FA" w:rsidRPr="00A02B31">
        <w:rPr>
          <w:rFonts w:cstheme="minorHAnsi"/>
          <w:sz w:val="20"/>
          <w:szCs w:val="20"/>
        </w:rPr>
        <w:t>AGM</w:t>
      </w:r>
      <w:r w:rsidRPr="00A02B31">
        <w:rPr>
          <w:rFonts w:cstheme="minorHAnsi"/>
          <w:sz w:val="20"/>
          <w:szCs w:val="20"/>
        </w:rPr>
        <w:t xml:space="preserve">. </w:t>
      </w:r>
    </w:p>
    <w:p w14:paraId="6C1A9F85" w14:textId="789B1481" w:rsidR="00742990" w:rsidRPr="00A02B31" w:rsidRDefault="00742990" w:rsidP="009347E4">
      <w:pPr>
        <w:autoSpaceDE w:val="0"/>
        <w:autoSpaceDN w:val="0"/>
        <w:adjustRightInd w:val="0"/>
        <w:jc w:val="both"/>
        <w:rPr>
          <w:rFonts w:cstheme="minorHAnsi"/>
          <w:sz w:val="20"/>
          <w:szCs w:val="20"/>
        </w:rPr>
      </w:pPr>
    </w:p>
    <w:p w14:paraId="551BCADB" w14:textId="2E031BF0" w:rsidR="00437C0D" w:rsidRPr="00A02B31" w:rsidRDefault="00437C0D" w:rsidP="00B80A6A">
      <w:pPr>
        <w:autoSpaceDE w:val="0"/>
        <w:autoSpaceDN w:val="0"/>
        <w:adjustRightInd w:val="0"/>
        <w:jc w:val="both"/>
        <w:rPr>
          <w:rFonts w:cstheme="minorHAnsi"/>
          <w:sz w:val="20"/>
          <w:szCs w:val="20"/>
        </w:rPr>
      </w:pPr>
      <w:r w:rsidRPr="00A02B31">
        <w:rPr>
          <w:rFonts w:cstheme="minorHAnsi"/>
          <w:sz w:val="20"/>
          <w:szCs w:val="20"/>
        </w:rPr>
        <w:t xml:space="preserve">The </w:t>
      </w:r>
      <w:r w:rsidR="00C42807" w:rsidRPr="00A02B31">
        <w:rPr>
          <w:rFonts w:cstheme="minorHAnsi"/>
          <w:sz w:val="20"/>
          <w:szCs w:val="20"/>
        </w:rPr>
        <w:t>b</w:t>
      </w:r>
      <w:r w:rsidRPr="00A02B31">
        <w:rPr>
          <w:rFonts w:cstheme="minorHAnsi"/>
          <w:sz w:val="20"/>
          <w:szCs w:val="20"/>
        </w:rPr>
        <w:t xml:space="preserve">oard’s policy on tenure is that the maximum period that any </w:t>
      </w:r>
      <w:r w:rsidR="00C42807" w:rsidRPr="00A02B31">
        <w:rPr>
          <w:rFonts w:cstheme="minorHAnsi"/>
          <w:sz w:val="20"/>
          <w:szCs w:val="20"/>
        </w:rPr>
        <w:t>d</w:t>
      </w:r>
      <w:r w:rsidRPr="00A02B31">
        <w:rPr>
          <w:rFonts w:cstheme="minorHAnsi"/>
          <w:sz w:val="20"/>
          <w:szCs w:val="20"/>
        </w:rPr>
        <w:t xml:space="preserve">irector shall serve as a director of the Company shall be limited and no </w:t>
      </w:r>
      <w:r w:rsidR="00C42807" w:rsidRPr="00A02B31">
        <w:rPr>
          <w:rFonts w:cstheme="minorHAnsi"/>
          <w:sz w:val="20"/>
          <w:szCs w:val="20"/>
        </w:rPr>
        <w:t>d</w:t>
      </w:r>
      <w:r w:rsidRPr="00A02B31">
        <w:rPr>
          <w:rFonts w:cstheme="minorHAnsi"/>
          <w:sz w:val="20"/>
          <w:szCs w:val="20"/>
        </w:rPr>
        <w:t xml:space="preserve">irector shall be eligible to serve beyond the 9th Annual General Meeting following his or her appointment. In the event that a </w:t>
      </w:r>
      <w:r w:rsidR="00C42807" w:rsidRPr="00A02B31">
        <w:rPr>
          <w:rFonts w:cstheme="minorHAnsi"/>
          <w:sz w:val="20"/>
          <w:szCs w:val="20"/>
        </w:rPr>
        <w:t>d</w:t>
      </w:r>
      <w:r w:rsidRPr="00A02B31">
        <w:rPr>
          <w:rFonts w:cstheme="minorHAnsi"/>
          <w:sz w:val="20"/>
          <w:szCs w:val="20"/>
        </w:rPr>
        <w:t>irector is appointed at an Annual General Meeting, for these purposes, that Annual General Meeting will not count towards the number.</w:t>
      </w:r>
    </w:p>
    <w:p w14:paraId="2F3615BB" w14:textId="77777777" w:rsidR="00742990" w:rsidRPr="00A02B31" w:rsidRDefault="00742990" w:rsidP="00B80A6A">
      <w:pPr>
        <w:autoSpaceDE w:val="0"/>
        <w:autoSpaceDN w:val="0"/>
        <w:adjustRightInd w:val="0"/>
        <w:jc w:val="both"/>
        <w:rPr>
          <w:rFonts w:cstheme="minorHAnsi"/>
          <w:color w:val="000000"/>
          <w:sz w:val="20"/>
          <w:szCs w:val="20"/>
        </w:rPr>
      </w:pPr>
    </w:p>
    <w:p w14:paraId="37016ADF" w14:textId="6E1A0448" w:rsidR="00D93041" w:rsidRPr="00A02B31" w:rsidRDefault="00490B8C" w:rsidP="00D93041">
      <w:pPr>
        <w:autoSpaceDE w:val="0"/>
        <w:autoSpaceDN w:val="0"/>
        <w:adjustRightInd w:val="0"/>
        <w:jc w:val="both"/>
        <w:rPr>
          <w:rFonts w:cstheme="minorHAnsi"/>
          <w:sz w:val="20"/>
          <w:szCs w:val="20"/>
        </w:rPr>
      </w:pPr>
      <w:r w:rsidRPr="00A02B31">
        <w:rPr>
          <w:rFonts w:cstheme="minorHAnsi"/>
          <w:sz w:val="20"/>
          <w:szCs w:val="20"/>
        </w:rPr>
        <w:t xml:space="preserve">The appointment of any new </w:t>
      </w:r>
      <w:r w:rsidR="00C42807" w:rsidRPr="00A02B31">
        <w:rPr>
          <w:rFonts w:cstheme="minorHAnsi"/>
          <w:sz w:val="20"/>
          <w:szCs w:val="20"/>
        </w:rPr>
        <w:t>d</w:t>
      </w:r>
      <w:r w:rsidRPr="00A02B31">
        <w:rPr>
          <w:rFonts w:cstheme="minorHAnsi"/>
          <w:sz w:val="20"/>
          <w:szCs w:val="20"/>
        </w:rPr>
        <w:t xml:space="preserve">irector </w:t>
      </w:r>
      <w:r w:rsidR="00BB1D07" w:rsidRPr="00A02B31">
        <w:rPr>
          <w:rFonts w:cstheme="minorHAnsi"/>
          <w:sz w:val="20"/>
          <w:szCs w:val="20"/>
        </w:rPr>
        <w:t>is</w:t>
      </w:r>
      <w:r w:rsidRPr="00A02B31">
        <w:rPr>
          <w:rFonts w:cstheme="minorHAnsi"/>
          <w:sz w:val="20"/>
          <w:szCs w:val="20"/>
        </w:rPr>
        <w:t xml:space="preserve"> made on the basis of assessing th</w:t>
      </w:r>
      <w:r w:rsidR="00BB1D07" w:rsidRPr="00A02B31">
        <w:rPr>
          <w:rFonts w:cstheme="minorHAnsi"/>
          <w:sz w:val="20"/>
          <w:szCs w:val="20"/>
        </w:rPr>
        <w:t xml:space="preserve">e candidate’s merits and </w:t>
      </w:r>
      <w:r w:rsidR="00B80A6A" w:rsidRPr="00A02B31">
        <w:rPr>
          <w:rFonts w:cstheme="minorHAnsi"/>
          <w:sz w:val="20"/>
          <w:szCs w:val="20"/>
        </w:rPr>
        <w:t xml:space="preserve">measuring </w:t>
      </w:r>
      <w:r w:rsidRPr="00A02B31">
        <w:rPr>
          <w:rFonts w:cstheme="minorHAnsi"/>
          <w:sz w:val="20"/>
          <w:szCs w:val="20"/>
        </w:rPr>
        <w:t>his or her skills and experience against the c</w:t>
      </w:r>
      <w:r w:rsidR="00D93041" w:rsidRPr="00A02B31">
        <w:rPr>
          <w:rFonts w:cstheme="minorHAnsi"/>
          <w:sz w:val="20"/>
          <w:szCs w:val="20"/>
        </w:rPr>
        <w:t xml:space="preserve">riteria identified by the </w:t>
      </w:r>
      <w:r w:rsidR="00C42807" w:rsidRPr="00A02B31">
        <w:rPr>
          <w:rFonts w:cstheme="minorHAnsi"/>
          <w:sz w:val="20"/>
          <w:szCs w:val="20"/>
        </w:rPr>
        <w:t>b</w:t>
      </w:r>
      <w:r w:rsidR="00D93041" w:rsidRPr="00A02B31">
        <w:rPr>
          <w:rFonts w:cstheme="minorHAnsi"/>
          <w:sz w:val="20"/>
          <w:szCs w:val="20"/>
        </w:rPr>
        <w:t>oard</w:t>
      </w:r>
      <w:r w:rsidRPr="00A02B31">
        <w:rPr>
          <w:rFonts w:cstheme="minorHAnsi"/>
          <w:sz w:val="20"/>
          <w:szCs w:val="20"/>
        </w:rPr>
        <w:t xml:space="preserve">. </w:t>
      </w:r>
      <w:r w:rsidR="00A64EA7" w:rsidRPr="00A02B31">
        <w:rPr>
          <w:rFonts w:cstheme="minorHAnsi"/>
          <w:sz w:val="20"/>
          <w:szCs w:val="20"/>
        </w:rPr>
        <w:t xml:space="preserve">Whilst the </w:t>
      </w:r>
      <w:r w:rsidR="00C42807" w:rsidRPr="00A02B31">
        <w:rPr>
          <w:rFonts w:cstheme="minorHAnsi"/>
          <w:sz w:val="20"/>
          <w:szCs w:val="20"/>
        </w:rPr>
        <w:t>b</w:t>
      </w:r>
      <w:r w:rsidR="00A64EA7" w:rsidRPr="00A02B31">
        <w:rPr>
          <w:rFonts w:cstheme="minorHAnsi"/>
          <w:sz w:val="20"/>
          <w:szCs w:val="20"/>
        </w:rPr>
        <w:t xml:space="preserve">oard has not put in place a policy on </w:t>
      </w:r>
      <w:r w:rsidR="00C42807" w:rsidRPr="00A02B31">
        <w:rPr>
          <w:rFonts w:cstheme="minorHAnsi"/>
          <w:sz w:val="20"/>
          <w:szCs w:val="20"/>
        </w:rPr>
        <w:t>d</w:t>
      </w:r>
      <w:r w:rsidR="00A64EA7" w:rsidRPr="00A02B31">
        <w:rPr>
          <w:rFonts w:cstheme="minorHAnsi"/>
          <w:sz w:val="20"/>
          <w:szCs w:val="20"/>
        </w:rPr>
        <w:t>iversity, t</w:t>
      </w:r>
      <w:r w:rsidR="00D93041" w:rsidRPr="00A02B31">
        <w:rPr>
          <w:rFonts w:cstheme="minorHAnsi"/>
          <w:sz w:val="20"/>
          <w:szCs w:val="20"/>
        </w:rPr>
        <w:t xml:space="preserve">he </w:t>
      </w:r>
      <w:r w:rsidR="00C42807" w:rsidRPr="00A02B31">
        <w:rPr>
          <w:rFonts w:cstheme="minorHAnsi"/>
          <w:sz w:val="20"/>
          <w:szCs w:val="20"/>
        </w:rPr>
        <w:t>b</w:t>
      </w:r>
      <w:r w:rsidR="00D93041" w:rsidRPr="00A02B31">
        <w:rPr>
          <w:rFonts w:cstheme="minorHAnsi"/>
          <w:sz w:val="20"/>
          <w:szCs w:val="20"/>
        </w:rPr>
        <w:t xml:space="preserve">oard fully endorses the AIC Code </w:t>
      </w:r>
      <w:r w:rsidR="00A64EA7" w:rsidRPr="00A02B31">
        <w:rPr>
          <w:rFonts w:cstheme="minorHAnsi"/>
          <w:sz w:val="20"/>
          <w:szCs w:val="20"/>
        </w:rPr>
        <w:t>principle</w:t>
      </w:r>
      <w:r w:rsidR="00D93041" w:rsidRPr="00A02B31">
        <w:rPr>
          <w:rFonts w:cstheme="minorHAnsi"/>
          <w:sz w:val="20"/>
          <w:szCs w:val="20"/>
        </w:rPr>
        <w:t xml:space="preserve"> to </w:t>
      </w:r>
      <w:r w:rsidR="00A64EA7" w:rsidRPr="00A02B31">
        <w:rPr>
          <w:rFonts w:cstheme="minorHAnsi"/>
          <w:sz w:val="20"/>
          <w:szCs w:val="20"/>
        </w:rPr>
        <w:t xml:space="preserve">promote </w:t>
      </w:r>
      <w:r w:rsidR="00D93041" w:rsidRPr="00A02B31">
        <w:rPr>
          <w:rFonts w:cstheme="minorHAnsi"/>
          <w:sz w:val="20"/>
          <w:szCs w:val="20"/>
        </w:rPr>
        <w:t xml:space="preserve">diversity of gender, social and ethnic backgrounds on the </w:t>
      </w:r>
      <w:r w:rsidR="00C42807" w:rsidRPr="00A02B31">
        <w:rPr>
          <w:rFonts w:cstheme="minorHAnsi"/>
          <w:sz w:val="20"/>
          <w:szCs w:val="20"/>
        </w:rPr>
        <w:t>b</w:t>
      </w:r>
      <w:r w:rsidR="00D93041" w:rsidRPr="00A02B31">
        <w:rPr>
          <w:rFonts w:cstheme="minorHAnsi"/>
          <w:sz w:val="20"/>
          <w:szCs w:val="20"/>
        </w:rPr>
        <w:t xml:space="preserve">oard and would always consider this when making any new </w:t>
      </w:r>
      <w:r w:rsidR="00C42807" w:rsidRPr="00A02B31">
        <w:rPr>
          <w:rFonts w:cstheme="minorHAnsi"/>
          <w:sz w:val="20"/>
          <w:szCs w:val="20"/>
        </w:rPr>
        <w:t>d</w:t>
      </w:r>
      <w:r w:rsidR="00D93041" w:rsidRPr="00A02B31">
        <w:rPr>
          <w:rFonts w:cstheme="minorHAnsi"/>
          <w:sz w:val="20"/>
          <w:szCs w:val="20"/>
        </w:rPr>
        <w:t>irector appointments.</w:t>
      </w:r>
      <w:r w:rsidR="00C21CEA" w:rsidRPr="00A02B31">
        <w:rPr>
          <w:rFonts w:cstheme="minorHAnsi"/>
          <w:sz w:val="20"/>
          <w:szCs w:val="20"/>
        </w:rPr>
        <w:t xml:space="preserve"> </w:t>
      </w:r>
    </w:p>
    <w:p w14:paraId="4C6DCFEB" w14:textId="77777777" w:rsidR="008D2B5A" w:rsidRPr="00A02B31" w:rsidRDefault="008D2B5A" w:rsidP="00D93041">
      <w:pPr>
        <w:autoSpaceDE w:val="0"/>
        <w:autoSpaceDN w:val="0"/>
        <w:adjustRightInd w:val="0"/>
        <w:jc w:val="both"/>
        <w:rPr>
          <w:rFonts w:cstheme="minorHAnsi"/>
          <w:sz w:val="20"/>
          <w:szCs w:val="20"/>
        </w:rPr>
      </w:pPr>
    </w:p>
    <w:p w14:paraId="2BCE3B38" w14:textId="13B183BE" w:rsidR="008D2B5A" w:rsidRPr="00A02B31" w:rsidRDefault="008D2B5A" w:rsidP="00DA7DA0">
      <w:pPr>
        <w:autoSpaceDE w:val="0"/>
        <w:autoSpaceDN w:val="0"/>
        <w:adjustRightInd w:val="0"/>
        <w:jc w:val="both"/>
        <w:rPr>
          <w:rFonts w:cstheme="minorHAnsi"/>
          <w:sz w:val="20"/>
          <w:szCs w:val="20"/>
        </w:rPr>
      </w:pPr>
      <w:r w:rsidRPr="00A02B31">
        <w:rPr>
          <w:rFonts w:cstheme="minorHAnsi"/>
          <w:sz w:val="20"/>
          <w:szCs w:val="20"/>
        </w:rPr>
        <w:t xml:space="preserve">The </w:t>
      </w:r>
      <w:r w:rsidR="00C42807" w:rsidRPr="00A02B31">
        <w:rPr>
          <w:rFonts w:cstheme="minorHAnsi"/>
          <w:sz w:val="20"/>
          <w:szCs w:val="20"/>
        </w:rPr>
        <w:t>b</w:t>
      </w:r>
      <w:r w:rsidRPr="00A02B31">
        <w:rPr>
          <w:rFonts w:cstheme="minorHAnsi"/>
          <w:sz w:val="20"/>
          <w:szCs w:val="20"/>
        </w:rPr>
        <w:t>oard recognises the importance of succession planning to r</w:t>
      </w:r>
      <w:r w:rsidR="00DA7DA0" w:rsidRPr="00A02B31">
        <w:rPr>
          <w:rFonts w:cstheme="minorHAnsi"/>
          <w:sz w:val="20"/>
          <w:szCs w:val="20"/>
        </w:rPr>
        <w:t xml:space="preserve">efresh the </w:t>
      </w:r>
      <w:r w:rsidR="00C42807" w:rsidRPr="00A02B31">
        <w:rPr>
          <w:rFonts w:cstheme="minorHAnsi"/>
          <w:sz w:val="20"/>
          <w:szCs w:val="20"/>
        </w:rPr>
        <w:t>b</w:t>
      </w:r>
      <w:r w:rsidR="00DA7DA0" w:rsidRPr="00A02B31">
        <w:rPr>
          <w:rFonts w:cstheme="minorHAnsi"/>
          <w:sz w:val="20"/>
          <w:szCs w:val="20"/>
        </w:rPr>
        <w:t xml:space="preserve">oard and the AIC provisions relating to this. Whilst the </w:t>
      </w:r>
      <w:r w:rsidR="00C42807" w:rsidRPr="00A02B31">
        <w:rPr>
          <w:rFonts w:cstheme="minorHAnsi"/>
          <w:sz w:val="20"/>
          <w:szCs w:val="20"/>
        </w:rPr>
        <w:t>b</w:t>
      </w:r>
      <w:r w:rsidR="00DA7DA0" w:rsidRPr="00A02B31">
        <w:rPr>
          <w:rFonts w:cstheme="minorHAnsi"/>
          <w:sz w:val="20"/>
          <w:szCs w:val="20"/>
        </w:rPr>
        <w:t xml:space="preserve">oard has no succession plans in place at this time, it is envisaged that should a </w:t>
      </w:r>
      <w:r w:rsidR="00C42807" w:rsidRPr="00A02B31">
        <w:rPr>
          <w:rFonts w:cstheme="minorHAnsi"/>
          <w:sz w:val="20"/>
          <w:szCs w:val="20"/>
        </w:rPr>
        <w:t>b</w:t>
      </w:r>
      <w:r w:rsidR="00DA7DA0" w:rsidRPr="00A02B31">
        <w:rPr>
          <w:rFonts w:cstheme="minorHAnsi"/>
          <w:sz w:val="20"/>
          <w:szCs w:val="20"/>
        </w:rPr>
        <w:t xml:space="preserve">oard member be unable to fulfil their duties for a period of time, one of the other </w:t>
      </w:r>
      <w:r w:rsidR="00C42807" w:rsidRPr="00A02B31">
        <w:rPr>
          <w:rFonts w:cstheme="minorHAnsi"/>
          <w:sz w:val="20"/>
          <w:szCs w:val="20"/>
        </w:rPr>
        <w:t>d</w:t>
      </w:r>
      <w:r w:rsidR="00DA7DA0" w:rsidRPr="00A02B31">
        <w:rPr>
          <w:rFonts w:cstheme="minorHAnsi"/>
          <w:sz w:val="20"/>
          <w:szCs w:val="20"/>
        </w:rPr>
        <w:t xml:space="preserve">irectors with the most appropriate experience would step in to perform the role on an interim basis until a longer-term </w:t>
      </w:r>
      <w:r w:rsidR="00804907" w:rsidRPr="00A02B31">
        <w:rPr>
          <w:rFonts w:cstheme="minorHAnsi"/>
          <w:sz w:val="20"/>
          <w:szCs w:val="20"/>
        </w:rPr>
        <w:t>solution i</w:t>
      </w:r>
      <w:r w:rsidR="00DA7DA0" w:rsidRPr="00A02B31">
        <w:rPr>
          <w:rFonts w:cstheme="minorHAnsi"/>
          <w:sz w:val="20"/>
          <w:szCs w:val="20"/>
        </w:rPr>
        <w:t>s identified.</w:t>
      </w:r>
      <w:r w:rsidR="00804907" w:rsidRPr="00A02B31">
        <w:rPr>
          <w:rFonts w:cstheme="minorHAnsi"/>
          <w:sz w:val="20"/>
          <w:szCs w:val="20"/>
        </w:rPr>
        <w:t xml:space="preserve"> </w:t>
      </w:r>
    </w:p>
    <w:p w14:paraId="21C2ACCF" w14:textId="77777777" w:rsidR="00871973" w:rsidRPr="00A02B31" w:rsidRDefault="00871973" w:rsidP="00D93041">
      <w:pPr>
        <w:autoSpaceDE w:val="0"/>
        <w:autoSpaceDN w:val="0"/>
        <w:adjustRightInd w:val="0"/>
        <w:jc w:val="both"/>
        <w:rPr>
          <w:rFonts w:cstheme="minorHAnsi"/>
          <w:sz w:val="20"/>
          <w:szCs w:val="20"/>
        </w:rPr>
      </w:pPr>
    </w:p>
    <w:p w14:paraId="446C5665" w14:textId="084855F0" w:rsidR="00DE09FC" w:rsidRPr="00A02B31" w:rsidRDefault="00DE09FC" w:rsidP="00DE09FC">
      <w:pPr>
        <w:autoSpaceDE w:val="0"/>
        <w:autoSpaceDN w:val="0"/>
        <w:adjustRightInd w:val="0"/>
        <w:jc w:val="both"/>
        <w:rPr>
          <w:rFonts w:cstheme="minorHAnsi"/>
          <w:sz w:val="20"/>
          <w:szCs w:val="20"/>
        </w:rPr>
      </w:pPr>
      <w:r w:rsidRPr="00A02B31">
        <w:rPr>
          <w:rFonts w:cstheme="minorHAnsi"/>
          <w:sz w:val="20"/>
          <w:szCs w:val="20"/>
        </w:rPr>
        <w:t xml:space="preserve">The Company </w:t>
      </w:r>
      <w:r w:rsidR="00E543BD" w:rsidRPr="00A02B31">
        <w:rPr>
          <w:rFonts w:cstheme="minorHAnsi"/>
          <w:sz w:val="20"/>
          <w:szCs w:val="20"/>
        </w:rPr>
        <w:t>considers annual re-election</w:t>
      </w:r>
      <w:r w:rsidRPr="00A02B31">
        <w:rPr>
          <w:rFonts w:cstheme="minorHAnsi"/>
          <w:sz w:val="20"/>
          <w:szCs w:val="20"/>
        </w:rPr>
        <w:t xml:space="preserve"> </w:t>
      </w:r>
      <w:r w:rsidR="00E543BD" w:rsidRPr="00A02B31">
        <w:rPr>
          <w:rFonts w:cstheme="minorHAnsi"/>
          <w:sz w:val="20"/>
          <w:szCs w:val="20"/>
        </w:rPr>
        <w:t xml:space="preserve">of </w:t>
      </w:r>
      <w:r w:rsidR="00C42807" w:rsidRPr="00A02B31">
        <w:rPr>
          <w:rFonts w:cstheme="minorHAnsi"/>
          <w:sz w:val="20"/>
          <w:szCs w:val="20"/>
        </w:rPr>
        <w:t>d</w:t>
      </w:r>
      <w:r w:rsidR="00E543BD" w:rsidRPr="00A02B31">
        <w:rPr>
          <w:rFonts w:cstheme="minorHAnsi"/>
          <w:sz w:val="20"/>
          <w:szCs w:val="20"/>
        </w:rPr>
        <w:t xml:space="preserve">irectors </w:t>
      </w:r>
      <w:r w:rsidRPr="00A02B31">
        <w:rPr>
          <w:rFonts w:cstheme="minorHAnsi"/>
          <w:sz w:val="20"/>
          <w:szCs w:val="20"/>
        </w:rPr>
        <w:t xml:space="preserve">to be good corporate governance and has therefore chosen to follow this practice. The </w:t>
      </w:r>
      <w:r w:rsidR="00C42807" w:rsidRPr="00A02B31">
        <w:rPr>
          <w:rFonts w:cstheme="minorHAnsi"/>
          <w:sz w:val="20"/>
          <w:szCs w:val="20"/>
        </w:rPr>
        <w:t>d</w:t>
      </w:r>
      <w:r w:rsidRPr="00A02B31">
        <w:rPr>
          <w:rFonts w:cstheme="minorHAnsi"/>
          <w:sz w:val="20"/>
          <w:szCs w:val="20"/>
        </w:rPr>
        <w:t xml:space="preserve">irectors </w:t>
      </w:r>
      <w:r w:rsidR="00FF03A6" w:rsidRPr="00A02B31">
        <w:rPr>
          <w:rFonts w:cstheme="minorHAnsi"/>
          <w:sz w:val="20"/>
          <w:szCs w:val="20"/>
        </w:rPr>
        <w:t xml:space="preserve">have </w:t>
      </w:r>
      <w:r w:rsidRPr="00A02B31">
        <w:rPr>
          <w:rFonts w:cstheme="minorHAnsi"/>
          <w:sz w:val="20"/>
          <w:szCs w:val="20"/>
        </w:rPr>
        <w:t>consider</w:t>
      </w:r>
      <w:r w:rsidR="00FF03A6" w:rsidRPr="00A02B31">
        <w:rPr>
          <w:rFonts w:cstheme="minorHAnsi"/>
          <w:sz w:val="20"/>
          <w:szCs w:val="20"/>
        </w:rPr>
        <w:t>ed</w:t>
      </w:r>
      <w:r w:rsidRPr="00A02B31">
        <w:rPr>
          <w:rFonts w:cstheme="minorHAnsi"/>
          <w:sz w:val="20"/>
          <w:szCs w:val="20"/>
        </w:rPr>
        <w:t xml:space="preserve"> the performance of each </w:t>
      </w:r>
      <w:r w:rsidR="00C42807" w:rsidRPr="00A02B31">
        <w:rPr>
          <w:rFonts w:cstheme="minorHAnsi"/>
          <w:sz w:val="20"/>
          <w:szCs w:val="20"/>
        </w:rPr>
        <w:t>d</w:t>
      </w:r>
      <w:r w:rsidRPr="00A02B31">
        <w:rPr>
          <w:rFonts w:cstheme="minorHAnsi"/>
          <w:sz w:val="20"/>
          <w:szCs w:val="20"/>
        </w:rPr>
        <w:t>irector</w:t>
      </w:r>
      <w:r w:rsidR="00BB1D07" w:rsidRPr="00A02B31">
        <w:rPr>
          <w:rFonts w:cstheme="minorHAnsi"/>
          <w:sz w:val="20"/>
          <w:szCs w:val="20"/>
        </w:rPr>
        <w:t xml:space="preserve"> serving on the </w:t>
      </w:r>
      <w:r w:rsidR="00C42807" w:rsidRPr="00A02B31">
        <w:rPr>
          <w:rFonts w:cstheme="minorHAnsi"/>
          <w:sz w:val="20"/>
          <w:szCs w:val="20"/>
        </w:rPr>
        <w:t>b</w:t>
      </w:r>
      <w:r w:rsidR="00BB1D07" w:rsidRPr="00A02B31">
        <w:rPr>
          <w:rFonts w:cstheme="minorHAnsi"/>
          <w:sz w:val="20"/>
          <w:szCs w:val="20"/>
        </w:rPr>
        <w:t>oard</w:t>
      </w:r>
      <w:r w:rsidRPr="00A02B31">
        <w:rPr>
          <w:rFonts w:cstheme="minorHAnsi"/>
          <w:sz w:val="20"/>
          <w:szCs w:val="20"/>
        </w:rPr>
        <w:t xml:space="preserve">, including the </w:t>
      </w:r>
      <w:r w:rsidR="00C42807" w:rsidRPr="00A02B31">
        <w:rPr>
          <w:rFonts w:cstheme="minorHAnsi"/>
          <w:sz w:val="20"/>
          <w:szCs w:val="20"/>
        </w:rPr>
        <w:t>c</w:t>
      </w:r>
      <w:r w:rsidRPr="00A02B31">
        <w:rPr>
          <w:rFonts w:cstheme="minorHAnsi"/>
          <w:sz w:val="20"/>
          <w:szCs w:val="20"/>
        </w:rPr>
        <w:t>hairman</w:t>
      </w:r>
      <w:r w:rsidR="00FF03A6" w:rsidRPr="00A02B31">
        <w:rPr>
          <w:rFonts w:cstheme="minorHAnsi"/>
          <w:sz w:val="20"/>
          <w:szCs w:val="20"/>
        </w:rPr>
        <w:t>, and</w:t>
      </w:r>
      <w:r w:rsidR="00BB1D07" w:rsidRPr="00A02B31">
        <w:rPr>
          <w:rFonts w:cstheme="minorHAnsi"/>
          <w:sz w:val="20"/>
          <w:szCs w:val="20"/>
        </w:rPr>
        <w:t xml:space="preserve"> believe</w:t>
      </w:r>
      <w:r w:rsidRPr="00A02B31">
        <w:rPr>
          <w:rFonts w:cstheme="minorHAnsi"/>
          <w:sz w:val="20"/>
          <w:szCs w:val="20"/>
        </w:rPr>
        <w:t xml:space="preserve"> that each of the </w:t>
      </w:r>
      <w:r w:rsidR="00C42807" w:rsidRPr="00A02B31">
        <w:rPr>
          <w:rFonts w:cstheme="minorHAnsi"/>
          <w:sz w:val="20"/>
          <w:szCs w:val="20"/>
        </w:rPr>
        <w:t>d</w:t>
      </w:r>
      <w:r w:rsidRPr="00A02B31">
        <w:rPr>
          <w:rFonts w:cstheme="minorHAnsi"/>
          <w:sz w:val="20"/>
          <w:szCs w:val="20"/>
        </w:rPr>
        <w:t xml:space="preserve">irectors continues to make a valuable contribution to </w:t>
      </w:r>
      <w:r w:rsidR="00C42807" w:rsidRPr="00A02B31">
        <w:rPr>
          <w:rFonts w:cstheme="minorHAnsi"/>
          <w:sz w:val="20"/>
          <w:szCs w:val="20"/>
        </w:rPr>
        <w:t>b</w:t>
      </w:r>
      <w:r w:rsidRPr="00A02B31">
        <w:rPr>
          <w:rFonts w:cstheme="minorHAnsi"/>
          <w:sz w:val="20"/>
          <w:szCs w:val="20"/>
        </w:rPr>
        <w:t>oard discussions and decisions and supports their re-election at the</w:t>
      </w:r>
      <w:r w:rsidR="00BB1D07" w:rsidRPr="00A02B31">
        <w:rPr>
          <w:rFonts w:cstheme="minorHAnsi"/>
          <w:sz w:val="20"/>
          <w:szCs w:val="20"/>
        </w:rPr>
        <w:t xml:space="preserve"> 20</w:t>
      </w:r>
      <w:r w:rsidR="00E2506D" w:rsidRPr="00A02B31">
        <w:rPr>
          <w:rFonts w:cstheme="minorHAnsi"/>
          <w:sz w:val="20"/>
          <w:szCs w:val="20"/>
        </w:rPr>
        <w:t>2</w:t>
      </w:r>
      <w:r w:rsidR="003B50BC" w:rsidRPr="00A02B31">
        <w:rPr>
          <w:rFonts w:cstheme="minorHAnsi"/>
          <w:sz w:val="20"/>
          <w:szCs w:val="20"/>
        </w:rPr>
        <w:t>2</w:t>
      </w:r>
      <w:r w:rsidRPr="00A02B31">
        <w:rPr>
          <w:rFonts w:cstheme="minorHAnsi"/>
          <w:sz w:val="20"/>
          <w:szCs w:val="20"/>
        </w:rPr>
        <w:t xml:space="preserve"> AGM. </w:t>
      </w:r>
      <w:r w:rsidR="00D748CF" w:rsidRPr="00A02B31">
        <w:rPr>
          <w:rFonts w:cstheme="minorHAnsi"/>
          <w:sz w:val="20"/>
          <w:szCs w:val="20"/>
        </w:rPr>
        <w:t>As stated in the Directors’ biographies, Graham Bird will retire from the Board at the conclusion of the AGM to be held on 13 September 2022 and will not seek re-election.</w:t>
      </w:r>
    </w:p>
    <w:p w14:paraId="0B3B2854" w14:textId="77777777" w:rsidR="00DE09FC" w:rsidRPr="00A02B31" w:rsidRDefault="00DE09FC" w:rsidP="00D93041">
      <w:pPr>
        <w:autoSpaceDE w:val="0"/>
        <w:autoSpaceDN w:val="0"/>
        <w:adjustRightInd w:val="0"/>
        <w:jc w:val="both"/>
        <w:rPr>
          <w:rFonts w:cstheme="minorHAnsi"/>
          <w:sz w:val="20"/>
          <w:szCs w:val="20"/>
        </w:rPr>
      </w:pPr>
    </w:p>
    <w:p w14:paraId="7786C480" w14:textId="15ABE083" w:rsidR="00871973" w:rsidRPr="00A02B31" w:rsidRDefault="00871973" w:rsidP="00D93041">
      <w:pPr>
        <w:autoSpaceDE w:val="0"/>
        <w:autoSpaceDN w:val="0"/>
        <w:adjustRightInd w:val="0"/>
        <w:jc w:val="both"/>
        <w:rPr>
          <w:rFonts w:cstheme="minorHAnsi"/>
          <w:sz w:val="20"/>
          <w:szCs w:val="20"/>
        </w:rPr>
      </w:pPr>
      <w:r w:rsidRPr="00A02B31">
        <w:rPr>
          <w:rFonts w:cstheme="minorHAnsi"/>
          <w:sz w:val="20"/>
          <w:szCs w:val="20"/>
        </w:rPr>
        <w:t xml:space="preserve">The Company has maintained Directors’ and Officers’ </w:t>
      </w:r>
      <w:r w:rsidR="00C42807" w:rsidRPr="00A02B31">
        <w:rPr>
          <w:rFonts w:cstheme="minorHAnsi"/>
          <w:sz w:val="20"/>
          <w:szCs w:val="20"/>
        </w:rPr>
        <w:t>L</w:t>
      </w:r>
      <w:r w:rsidRPr="00A02B31">
        <w:rPr>
          <w:rFonts w:cstheme="minorHAnsi"/>
          <w:sz w:val="20"/>
          <w:szCs w:val="20"/>
        </w:rPr>
        <w:t xml:space="preserve">iability </w:t>
      </w:r>
      <w:r w:rsidR="00C42807" w:rsidRPr="00A02B31">
        <w:rPr>
          <w:rFonts w:cstheme="minorHAnsi"/>
          <w:sz w:val="20"/>
          <w:szCs w:val="20"/>
        </w:rPr>
        <w:t>I</w:t>
      </w:r>
      <w:r w:rsidRPr="00A02B31">
        <w:rPr>
          <w:rFonts w:cstheme="minorHAnsi"/>
          <w:sz w:val="20"/>
          <w:szCs w:val="20"/>
        </w:rPr>
        <w:t xml:space="preserve">nsurance on behalf of the </w:t>
      </w:r>
      <w:r w:rsidR="00C42807" w:rsidRPr="00A02B31">
        <w:rPr>
          <w:rFonts w:cstheme="minorHAnsi"/>
          <w:sz w:val="20"/>
          <w:szCs w:val="20"/>
        </w:rPr>
        <w:t>d</w:t>
      </w:r>
      <w:r w:rsidRPr="00A02B31">
        <w:rPr>
          <w:rFonts w:cstheme="minorHAnsi"/>
          <w:sz w:val="20"/>
          <w:szCs w:val="20"/>
        </w:rPr>
        <w:t xml:space="preserve">irectors, through a policy arranged by the manager, indemnifying the </w:t>
      </w:r>
      <w:r w:rsidR="00C42807" w:rsidRPr="00A02B31">
        <w:rPr>
          <w:rFonts w:cstheme="minorHAnsi"/>
          <w:sz w:val="20"/>
          <w:szCs w:val="20"/>
        </w:rPr>
        <w:t>d</w:t>
      </w:r>
      <w:r w:rsidRPr="00A02B31">
        <w:rPr>
          <w:rFonts w:cstheme="minorHAnsi"/>
          <w:sz w:val="20"/>
          <w:szCs w:val="20"/>
        </w:rPr>
        <w:t xml:space="preserve">irectors in respect of certain liabilities which may be incurred by them in connection with the activities of the Company. </w:t>
      </w:r>
    </w:p>
    <w:p w14:paraId="7DD0CE3D" w14:textId="64BFAC09" w:rsidR="00917869" w:rsidRPr="00A02B31" w:rsidRDefault="00917869" w:rsidP="00D93041">
      <w:pPr>
        <w:autoSpaceDE w:val="0"/>
        <w:autoSpaceDN w:val="0"/>
        <w:adjustRightInd w:val="0"/>
        <w:jc w:val="both"/>
        <w:rPr>
          <w:rFonts w:cstheme="minorHAnsi"/>
          <w:sz w:val="20"/>
          <w:szCs w:val="20"/>
        </w:rPr>
      </w:pPr>
    </w:p>
    <w:p w14:paraId="2BB417BF" w14:textId="282FDA7B" w:rsidR="00917869" w:rsidRPr="00A02B31" w:rsidRDefault="00917869" w:rsidP="00917869">
      <w:pPr>
        <w:autoSpaceDE w:val="0"/>
        <w:autoSpaceDN w:val="0"/>
        <w:adjustRightInd w:val="0"/>
        <w:jc w:val="both"/>
        <w:rPr>
          <w:rFonts w:cstheme="minorHAnsi"/>
          <w:sz w:val="20"/>
          <w:szCs w:val="20"/>
        </w:rPr>
      </w:pPr>
      <w:r w:rsidRPr="00A02B31">
        <w:rPr>
          <w:rFonts w:cstheme="minorHAnsi"/>
          <w:sz w:val="20"/>
          <w:szCs w:val="20"/>
        </w:rPr>
        <w:t xml:space="preserve">During the year there were two appointments to the Board, Simon Pyper and Noel Lamb.  </w:t>
      </w:r>
    </w:p>
    <w:p w14:paraId="4EDD5F40" w14:textId="77777777" w:rsidR="00917869" w:rsidRPr="00A02B31" w:rsidRDefault="00917869" w:rsidP="00917869">
      <w:pPr>
        <w:autoSpaceDE w:val="0"/>
        <w:autoSpaceDN w:val="0"/>
        <w:adjustRightInd w:val="0"/>
        <w:jc w:val="both"/>
        <w:rPr>
          <w:rFonts w:cstheme="minorHAnsi"/>
          <w:sz w:val="20"/>
          <w:szCs w:val="20"/>
        </w:rPr>
      </w:pPr>
    </w:p>
    <w:p w14:paraId="36FFD1C1" w14:textId="5AFC520E" w:rsidR="00917869" w:rsidRPr="00A02B31" w:rsidRDefault="00917869" w:rsidP="00917869">
      <w:pPr>
        <w:autoSpaceDE w:val="0"/>
        <w:autoSpaceDN w:val="0"/>
        <w:adjustRightInd w:val="0"/>
        <w:jc w:val="both"/>
        <w:rPr>
          <w:rFonts w:cstheme="minorHAnsi"/>
          <w:sz w:val="20"/>
          <w:szCs w:val="20"/>
        </w:rPr>
      </w:pPr>
      <w:r w:rsidRPr="00A02B31">
        <w:rPr>
          <w:rFonts w:cstheme="minorHAnsi"/>
          <w:sz w:val="20"/>
          <w:szCs w:val="20"/>
        </w:rPr>
        <w:t>Simon Pyper was appointed as a non-executive director at the request of the then largest shareholder Gresham House plc.  Simon was interviewed by then then interim chairman, Charles Berry and the senior independent director, Ken Lever.  Simon had previously been a director of one of the investments of Rockwood Strategic plc and it was not considered necessary to use an external search firm.  Simon has now left the board due to work commitments.</w:t>
      </w:r>
    </w:p>
    <w:p w14:paraId="1CE4DCC6" w14:textId="77777777" w:rsidR="00917869" w:rsidRPr="00A02B31" w:rsidRDefault="00917869" w:rsidP="00917869">
      <w:pPr>
        <w:autoSpaceDE w:val="0"/>
        <w:autoSpaceDN w:val="0"/>
        <w:adjustRightInd w:val="0"/>
        <w:jc w:val="both"/>
        <w:rPr>
          <w:rFonts w:cstheme="minorHAnsi"/>
          <w:sz w:val="20"/>
          <w:szCs w:val="20"/>
        </w:rPr>
      </w:pPr>
    </w:p>
    <w:p w14:paraId="2837B70D" w14:textId="0F1EAB03" w:rsidR="00917869" w:rsidRPr="00A02B31" w:rsidRDefault="00917869" w:rsidP="00917869">
      <w:pPr>
        <w:autoSpaceDE w:val="0"/>
        <w:autoSpaceDN w:val="0"/>
        <w:adjustRightInd w:val="0"/>
        <w:jc w:val="both"/>
        <w:rPr>
          <w:rFonts w:cstheme="minorHAnsi"/>
          <w:sz w:val="20"/>
          <w:szCs w:val="20"/>
        </w:rPr>
      </w:pPr>
      <w:r w:rsidRPr="00A02B31">
        <w:rPr>
          <w:rFonts w:cstheme="minorHAnsi"/>
          <w:sz w:val="20"/>
          <w:szCs w:val="20"/>
        </w:rPr>
        <w:t>Noel Lamb, the current chairman was appointed following a search process conducted by an independent search firm, Fletcher Jones.  A number of candidates were considered and the individuals included on the short list of candidates were met separately by Ken Lever, senior independent director, Graham Bird, non-executive director and Simon Pyper, then interim chairman.</w:t>
      </w:r>
    </w:p>
    <w:p w14:paraId="082D663A" w14:textId="77777777" w:rsidR="00064D8A" w:rsidRPr="00A02B31" w:rsidRDefault="00064D8A" w:rsidP="00871973">
      <w:pPr>
        <w:autoSpaceDE w:val="0"/>
        <w:autoSpaceDN w:val="0"/>
        <w:adjustRightInd w:val="0"/>
        <w:jc w:val="both"/>
        <w:rPr>
          <w:rFonts w:cstheme="minorHAnsi"/>
          <w:sz w:val="20"/>
          <w:szCs w:val="20"/>
        </w:rPr>
      </w:pPr>
    </w:p>
    <w:p w14:paraId="50B77F22" w14:textId="1321E110" w:rsidR="00490B8C" w:rsidRPr="00A02B31" w:rsidRDefault="00490B8C" w:rsidP="00934481">
      <w:pPr>
        <w:rPr>
          <w:rFonts w:cstheme="minorHAnsi"/>
          <w:b/>
          <w:sz w:val="20"/>
          <w:szCs w:val="20"/>
        </w:rPr>
      </w:pPr>
      <w:r w:rsidRPr="00A02B31">
        <w:rPr>
          <w:rFonts w:cstheme="minorHAnsi"/>
          <w:b/>
          <w:sz w:val="20"/>
          <w:szCs w:val="20"/>
        </w:rPr>
        <w:t xml:space="preserve">Board </w:t>
      </w:r>
      <w:r w:rsidR="008D367B" w:rsidRPr="00A02B31">
        <w:rPr>
          <w:rFonts w:cstheme="minorHAnsi"/>
          <w:b/>
          <w:sz w:val="20"/>
          <w:szCs w:val="20"/>
        </w:rPr>
        <w:t>e</w:t>
      </w:r>
      <w:r w:rsidRPr="00A02B31">
        <w:rPr>
          <w:rFonts w:cstheme="minorHAnsi"/>
          <w:b/>
          <w:sz w:val="20"/>
          <w:szCs w:val="20"/>
        </w:rPr>
        <w:t>valuation</w:t>
      </w:r>
    </w:p>
    <w:p w14:paraId="2A9520CE" w14:textId="77777777" w:rsidR="005D5960" w:rsidRPr="00A02B31" w:rsidRDefault="005D5960" w:rsidP="00224102">
      <w:pPr>
        <w:autoSpaceDE w:val="0"/>
        <w:autoSpaceDN w:val="0"/>
        <w:adjustRightInd w:val="0"/>
        <w:jc w:val="both"/>
        <w:rPr>
          <w:rFonts w:cstheme="minorHAnsi"/>
          <w:sz w:val="20"/>
          <w:szCs w:val="20"/>
        </w:rPr>
      </w:pPr>
    </w:p>
    <w:p w14:paraId="3618566E" w14:textId="0C56E987" w:rsidR="00224102" w:rsidRPr="00A02B31" w:rsidRDefault="00224102" w:rsidP="00224102">
      <w:pPr>
        <w:autoSpaceDE w:val="0"/>
        <w:autoSpaceDN w:val="0"/>
        <w:adjustRightInd w:val="0"/>
        <w:jc w:val="both"/>
        <w:rPr>
          <w:rFonts w:cstheme="minorHAnsi"/>
          <w:sz w:val="20"/>
          <w:szCs w:val="20"/>
        </w:rPr>
      </w:pPr>
      <w:r w:rsidRPr="00A02B31">
        <w:rPr>
          <w:rFonts w:cstheme="minorHAnsi"/>
          <w:sz w:val="20"/>
          <w:szCs w:val="20"/>
        </w:rPr>
        <w:t xml:space="preserve">The </w:t>
      </w:r>
      <w:r w:rsidR="00C42807" w:rsidRPr="00A02B31">
        <w:rPr>
          <w:rFonts w:cstheme="minorHAnsi"/>
          <w:sz w:val="20"/>
          <w:szCs w:val="20"/>
        </w:rPr>
        <w:t>b</w:t>
      </w:r>
      <w:r w:rsidRPr="00A02B31">
        <w:rPr>
          <w:rFonts w:cstheme="minorHAnsi"/>
          <w:sz w:val="20"/>
          <w:szCs w:val="20"/>
        </w:rPr>
        <w:t>o</w:t>
      </w:r>
      <w:r w:rsidR="005D5960" w:rsidRPr="00A02B31">
        <w:rPr>
          <w:rFonts w:cstheme="minorHAnsi"/>
          <w:sz w:val="20"/>
          <w:szCs w:val="20"/>
        </w:rPr>
        <w:t xml:space="preserve">ard has formalised a process to conduct a regular evaluation of its performance </w:t>
      </w:r>
      <w:r w:rsidRPr="00A02B31">
        <w:rPr>
          <w:rFonts w:cstheme="minorHAnsi"/>
          <w:sz w:val="20"/>
          <w:szCs w:val="20"/>
        </w:rPr>
        <w:t xml:space="preserve">and </w:t>
      </w:r>
      <w:r w:rsidR="000B0FF8" w:rsidRPr="00A02B31">
        <w:rPr>
          <w:rFonts w:cstheme="minorHAnsi"/>
          <w:sz w:val="20"/>
          <w:szCs w:val="20"/>
        </w:rPr>
        <w:t>that</w:t>
      </w:r>
      <w:r w:rsidR="008D2B5A" w:rsidRPr="00A02B31">
        <w:rPr>
          <w:rFonts w:cstheme="minorHAnsi"/>
          <w:sz w:val="20"/>
          <w:szCs w:val="20"/>
        </w:rPr>
        <w:t xml:space="preserve"> of individual </w:t>
      </w:r>
      <w:r w:rsidR="00C42807" w:rsidRPr="00A02B31">
        <w:rPr>
          <w:rFonts w:cstheme="minorHAnsi"/>
          <w:sz w:val="20"/>
          <w:szCs w:val="20"/>
        </w:rPr>
        <w:t>d</w:t>
      </w:r>
      <w:r w:rsidR="008D2B5A" w:rsidRPr="00A02B31">
        <w:rPr>
          <w:rFonts w:cstheme="minorHAnsi"/>
          <w:sz w:val="20"/>
          <w:szCs w:val="20"/>
        </w:rPr>
        <w:t xml:space="preserve">irectors and </w:t>
      </w:r>
      <w:r w:rsidRPr="00A02B31">
        <w:rPr>
          <w:rFonts w:cstheme="minorHAnsi"/>
          <w:sz w:val="20"/>
          <w:szCs w:val="20"/>
        </w:rPr>
        <w:t xml:space="preserve">its </w:t>
      </w:r>
      <w:r w:rsidR="00C42807" w:rsidRPr="00A02B31">
        <w:rPr>
          <w:rFonts w:cstheme="minorHAnsi"/>
          <w:sz w:val="20"/>
          <w:szCs w:val="20"/>
        </w:rPr>
        <w:t>a</w:t>
      </w:r>
      <w:r w:rsidRPr="00A02B31">
        <w:rPr>
          <w:rFonts w:cstheme="minorHAnsi"/>
          <w:sz w:val="20"/>
          <w:szCs w:val="20"/>
        </w:rPr>
        <w:t xml:space="preserve">udit </w:t>
      </w:r>
      <w:r w:rsidR="00C42807" w:rsidRPr="00A02B31">
        <w:rPr>
          <w:rFonts w:cstheme="minorHAnsi"/>
          <w:sz w:val="20"/>
          <w:szCs w:val="20"/>
        </w:rPr>
        <w:t>c</w:t>
      </w:r>
      <w:r w:rsidRPr="00A02B31">
        <w:rPr>
          <w:rFonts w:cstheme="minorHAnsi"/>
          <w:sz w:val="20"/>
          <w:szCs w:val="20"/>
        </w:rPr>
        <w:t xml:space="preserve">ommittee on an annual basis. This process is led by the </w:t>
      </w:r>
      <w:r w:rsidR="00C42807" w:rsidRPr="00A02B31">
        <w:rPr>
          <w:rFonts w:cstheme="minorHAnsi"/>
          <w:sz w:val="20"/>
          <w:szCs w:val="20"/>
        </w:rPr>
        <w:t>c</w:t>
      </w:r>
      <w:r w:rsidRPr="00A02B31">
        <w:rPr>
          <w:rFonts w:cstheme="minorHAnsi"/>
          <w:sz w:val="20"/>
          <w:szCs w:val="20"/>
        </w:rPr>
        <w:t>hair</w:t>
      </w:r>
      <w:r w:rsidR="00D079BC" w:rsidRPr="00A02B31">
        <w:rPr>
          <w:rFonts w:cstheme="minorHAnsi"/>
          <w:sz w:val="20"/>
          <w:szCs w:val="20"/>
        </w:rPr>
        <w:t>man</w:t>
      </w:r>
      <w:r w:rsidRPr="00A02B31">
        <w:rPr>
          <w:rFonts w:cstheme="minorHAnsi"/>
          <w:sz w:val="20"/>
          <w:szCs w:val="20"/>
        </w:rPr>
        <w:t xml:space="preserve"> (supported b</w:t>
      </w:r>
      <w:r w:rsidR="000809E9" w:rsidRPr="00A02B31">
        <w:rPr>
          <w:rFonts w:cstheme="minorHAnsi"/>
          <w:sz w:val="20"/>
          <w:szCs w:val="20"/>
        </w:rPr>
        <w:t xml:space="preserve">y the </w:t>
      </w:r>
      <w:r w:rsidR="00C42807" w:rsidRPr="00A02B31">
        <w:rPr>
          <w:rFonts w:cstheme="minorHAnsi"/>
          <w:sz w:val="20"/>
          <w:szCs w:val="20"/>
        </w:rPr>
        <w:t>c</w:t>
      </w:r>
      <w:r w:rsidR="000809E9" w:rsidRPr="00A02B31">
        <w:rPr>
          <w:rFonts w:cstheme="minorHAnsi"/>
          <w:sz w:val="20"/>
          <w:szCs w:val="20"/>
        </w:rPr>
        <w:t xml:space="preserve">ompany </w:t>
      </w:r>
      <w:r w:rsidR="00C42807" w:rsidRPr="00A02B31">
        <w:rPr>
          <w:rFonts w:cstheme="minorHAnsi"/>
          <w:sz w:val="20"/>
          <w:szCs w:val="20"/>
        </w:rPr>
        <w:t>s</w:t>
      </w:r>
      <w:r w:rsidR="000809E9" w:rsidRPr="00A02B31">
        <w:rPr>
          <w:rFonts w:cstheme="minorHAnsi"/>
          <w:sz w:val="20"/>
          <w:szCs w:val="20"/>
        </w:rPr>
        <w:t xml:space="preserve">ecretary) and is </w:t>
      </w:r>
      <w:r w:rsidR="00E05081" w:rsidRPr="00A02B31">
        <w:rPr>
          <w:rFonts w:cstheme="minorHAnsi"/>
          <w:sz w:val="20"/>
          <w:szCs w:val="20"/>
        </w:rPr>
        <w:t>conducted internally</w:t>
      </w:r>
      <w:r w:rsidR="000809E9" w:rsidRPr="00A02B31">
        <w:rPr>
          <w:rFonts w:cstheme="minorHAnsi"/>
          <w:sz w:val="20"/>
          <w:szCs w:val="20"/>
        </w:rPr>
        <w:t xml:space="preserve"> using a questionnaire</w:t>
      </w:r>
      <w:r w:rsidR="00E05081" w:rsidRPr="00A02B31">
        <w:rPr>
          <w:rFonts w:cstheme="minorHAnsi"/>
          <w:sz w:val="20"/>
          <w:szCs w:val="20"/>
        </w:rPr>
        <w:t xml:space="preserve"> </w:t>
      </w:r>
      <w:r w:rsidR="00E741EA" w:rsidRPr="00A02B31">
        <w:rPr>
          <w:rFonts w:cstheme="minorHAnsi"/>
          <w:sz w:val="20"/>
          <w:szCs w:val="20"/>
        </w:rPr>
        <w:t xml:space="preserve">designed to </w:t>
      </w:r>
      <w:r w:rsidRPr="00A02B31">
        <w:rPr>
          <w:rFonts w:cstheme="minorHAnsi"/>
          <w:sz w:val="20"/>
          <w:szCs w:val="20"/>
        </w:rPr>
        <w:t>assess</w:t>
      </w:r>
      <w:r w:rsidR="00E741EA" w:rsidRPr="00A02B31">
        <w:rPr>
          <w:rFonts w:cstheme="minorHAnsi"/>
          <w:sz w:val="20"/>
          <w:szCs w:val="20"/>
        </w:rPr>
        <w:t xml:space="preserve"> </w:t>
      </w:r>
      <w:r w:rsidRPr="00A02B31">
        <w:rPr>
          <w:rFonts w:cstheme="minorHAnsi"/>
          <w:sz w:val="20"/>
          <w:szCs w:val="20"/>
        </w:rPr>
        <w:t>the strengths and weaknesses</w:t>
      </w:r>
      <w:r w:rsidR="000D1D45" w:rsidRPr="00A02B31">
        <w:rPr>
          <w:rFonts w:cstheme="minorHAnsi"/>
          <w:sz w:val="20"/>
          <w:szCs w:val="20"/>
        </w:rPr>
        <w:t xml:space="preserve"> of the </w:t>
      </w:r>
      <w:r w:rsidR="00C42807" w:rsidRPr="00A02B31">
        <w:rPr>
          <w:rFonts w:cstheme="minorHAnsi"/>
          <w:sz w:val="20"/>
          <w:szCs w:val="20"/>
        </w:rPr>
        <w:t>b</w:t>
      </w:r>
      <w:r w:rsidR="000D1D45" w:rsidRPr="00A02B31">
        <w:rPr>
          <w:rFonts w:cstheme="minorHAnsi"/>
          <w:sz w:val="20"/>
          <w:szCs w:val="20"/>
        </w:rPr>
        <w:t xml:space="preserve">oard and its </w:t>
      </w:r>
      <w:r w:rsidR="00C42807" w:rsidRPr="00A02B31">
        <w:rPr>
          <w:rFonts w:cstheme="minorHAnsi"/>
          <w:sz w:val="20"/>
          <w:szCs w:val="20"/>
        </w:rPr>
        <w:t>c</w:t>
      </w:r>
      <w:r w:rsidR="000D1D45" w:rsidRPr="00A02B31">
        <w:rPr>
          <w:rFonts w:cstheme="minorHAnsi"/>
          <w:sz w:val="20"/>
          <w:szCs w:val="20"/>
        </w:rPr>
        <w:t>ommittees</w:t>
      </w:r>
      <w:r w:rsidR="00AD0115" w:rsidRPr="00A02B31">
        <w:rPr>
          <w:rFonts w:cstheme="minorHAnsi"/>
          <w:sz w:val="20"/>
          <w:szCs w:val="20"/>
        </w:rPr>
        <w:t>,</w:t>
      </w:r>
      <w:r w:rsidR="000D1D45" w:rsidRPr="00A02B31">
        <w:rPr>
          <w:rFonts w:cstheme="minorHAnsi"/>
          <w:sz w:val="20"/>
          <w:szCs w:val="20"/>
        </w:rPr>
        <w:t xml:space="preserve"> </w:t>
      </w:r>
      <w:r w:rsidR="00951672" w:rsidRPr="00A02B31">
        <w:rPr>
          <w:rFonts w:cstheme="minorHAnsi"/>
          <w:sz w:val="20"/>
          <w:szCs w:val="20"/>
        </w:rPr>
        <w:t xml:space="preserve">the composition of the </w:t>
      </w:r>
      <w:r w:rsidR="00C42807" w:rsidRPr="00A02B31">
        <w:rPr>
          <w:rFonts w:cstheme="minorHAnsi"/>
          <w:sz w:val="20"/>
          <w:szCs w:val="20"/>
        </w:rPr>
        <w:t>b</w:t>
      </w:r>
      <w:r w:rsidR="00951672" w:rsidRPr="00A02B31">
        <w:rPr>
          <w:rFonts w:cstheme="minorHAnsi"/>
          <w:sz w:val="20"/>
          <w:szCs w:val="20"/>
        </w:rPr>
        <w:t xml:space="preserve">oard, </w:t>
      </w:r>
      <w:r w:rsidR="000D1D45" w:rsidRPr="00A02B31">
        <w:rPr>
          <w:rFonts w:cstheme="minorHAnsi"/>
          <w:sz w:val="20"/>
          <w:szCs w:val="20"/>
        </w:rPr>
        <w:t xml:space="preserve">how effectively </w:t>
      </w:r>
      <w:r w:rsidR="00C42807" w:rsidRPr="00A02B31">
        <w:rPr>
          <w:rFonts w:cstheme="minorHAnsi"/>
          <w:sz w:val="20"/>
          <w:szCs w:val="20"/>
        </w:rPr>
        <w:t>b</w:t>
      </w:r>
      <w:r w:rsidR="000D1D45" w:rsidRPr="00A02B31">
        <w:rPr>
          <w:rFonts w:cstheme="minorHAnsi"/>
          <w:sz w:val="20"/>
          <w:szCs w:val="20"/>
        </w:rPr>
        <w:t>oard members work together</w:t>
      </w:r>
      <w:r w:rsidR="00E741EA" w:rsidRPr="00A02B31">
        <w:rPr>
          <w:rFonts w:cstheme="minorHAnsi"/>
          <w:sz w:val="20"/>
          <w:szCs w:val="20"/>
        </w:rPr>
        <w:t xml:space="preserve">. </w:t>
      </w:r>
      <w:r w:rsidRPr="00A02B31">
        <w:rPr>
          <w:rFonts w:cstheme="minorHAnsi"/>
          <w:sz w:val="20"/>
          <w:szCs w:val="20"/>
        </w:rPr>
        <w:t xml:space="preserve">Each </w:t>
      </w:r>
      <w:r w:rsidR="00C42807" w:rsidRPr="00A02B31">
        <w:rPr>
          <w:rFonts w:cstheme="minorHAnsi"/>
          <w:sz w:val="20"/>
          <w:szCs w:val="20"/>
        </w:rPr>
        <w:t>d</w:t>
      </w:r>
      <w:r w:rsidRPr="00A02B31">
        <w:rPr>
          <w:rFonts w:cstheme="minorHAnsi"/>
          <w:sz w:val="20"/>
          <w:szCs w:val="20"/>
        </w:rPr>
        <w:t>irector is required to complete a questio</w:t>
      </w:r>
      <w:r w:rsidR="00FA0251" w:rsidRPr="00A02B31">
        <w:rPr>
          <w:rFonts w:cstheme="minorHAnsi"/>
          <w:sz w:val="20"/>
          <w:szCs w:val="20"/>
        </w:rPr>
        <w:t>nnaire covering</w:t>
      </w:r>
      <w:r w:rsidRPr="00A02B31">
        <w:rPr>
          <w:rFonts w:cstheme="minorHAnsi"/>
          <w:sz w:val="20"/>
          <w:szCs w:val="20"/>
        </w:rPr>
        <w:t xml:space="preserve"> the </w:t>
      </w:r>
      <w:r w:rsidR="00FA0251" w:rsidRPr="00A02B31">
        <w:rPr>
          <w:rFonts w:cstheme="minorHAnsi"/>
          <w:sz w:val="20"/>
          <w:szCs w:val="20"/>
        </w:rPr>
        <w:t xml:space="preserve">assessment of the </w:t>
      </w:r>
      <w:r w:rsidR="000B0FF8" w:rsidRPr="00A02B31">
        <w:rPr>
          <w:rFonts w:cstheme="minorHAnsi"/>
          <w:sz w:val="20"/>
          <w:szCs w:val="20"/>
        </w:rPr>
        <w:t>composition</w:t>
      </w:r>
      <w:r w:rsidR="00E741EA" w:rsidRPr="00A02B31">
        <w:rPr>
          <w:rFonts w:cstheme="minorHAnsi"/>
          <w:sz w:val="20"/>
          <w:szCs w:val="20"/>
        </w:rPr>
        <w:t xml:space="preserve">, </w:t>
      </w:r>
      <w:r w:rsidRPr="00A02B31">
        <w:rPr>
          <w:rFonts w:cstheme="minorHAnsi"/>
          <w:sz w:val="20"/>
          <w:szCs w:val="20"/>
        </w:rPr>
        <w:t xml:space="preserve">functioning </w:t>
      </w:r>
      <w:r w:rsidR="00E741EA" w:rsidRPr="00A02B31">
        <w:rPr>
          <w:rFonts w:cstheme="minorHAnsi"/>
          <w:sz w:val="20"/>
          <w:szCs w:val="20"/>
        </w:rPr>
        <w:t xml:space="preserve">and operation </w:t>
      </w:r>
      <w:r w:rsidRPr="00A02B31">
        <w:rPr>
          <w:rFonts w:cstheme="minorHAnsi"/>
          <w:sz w:val="20"/>
          <w:szCs w:val="20"/>
        </w:rPr>
        <w:t xml:space="preserve">of the </w:t>
      </w:r>
      <w:r w:rsidR="00C42807" w:rsidRPr="00A02B31">
        <w:rPr>
          <w:rFonts w:cstheme="minorHAnsi"/>
          <w:sz w:val="20"/>
          <w:szCs w:val="20"/>
        </w:rPr>
        <w:t>b</w:t>
      </w:r>
      <w:r w:rsidRPr="00A02B31">
        <w:rPr>
          <w:rFonts w:cstheme="minorHAnsi"/>
          <w:sz w:val="20"/>
          <w:szCs w:val="20"/>
        </w:rPr>
        <w:t xml:space="preserve">oard as a whole and a similar review of the effectiveness of the </w:t>
      </w:r>
      <w:r w:rsidR="00C42807" w:rsidRPr="00A02B31">
        <w:rPr>
          <w:rFonts w:cstheme="minorHAnsi"/>
          <w:sz w:val="20"/>
          <w:szCs w:val="20"/>
        </w:rPr>
        <w:t>a</w:t>
      </w:r>
      <w:r w:rsidR="00E741EA" w:rsidRPr="00A02B31">
        <w:rPr>
          <w:rFonts w:cstheme="minorHAnsi"/>
          <w:sz w:val="20"/>
          <w:szCs w:val="20"/>
        </w:rPr>
        <w:t xml:space="preserve">udit </w:t>
      </w:r>
      <w:r w:rsidR="00C42807" w:rsidRPr="00A02B31">
        <w:rPr>
          <w:rFonts w:cstheme="minorHAnsi"/>
          <w:sz w:val="20"/>
          <w:szCs w:val="20"/>
        </w:rPr>
        <w:t>c</w:t>
      </w:r>
      <w:r w:rsidR="00E741EA" w:rsidRPr="00A02B31">
        <w:rPr>
          <w:rFonts w:cstheme="minorHAnsi"/>
          <w:sz w:val="20"/>
          <w:szCs w:val="20"/>
        </w:rPr>
        <w:t>ommittee</w:t>
      </w:r>
      <w:r w:rsidR="00FB2DD8" w:rsidRPr="00A02B31">
        <w:rPr>
          <w:rFonts w:cstheme="minorHAnsi"/>
          <w:sz w:val="20"/>
          <w:szCs w:val="20"/>
        </w:rPr>
        <w:t xml:space="preserve"> and </w:t>
      </w:r>
      <w:r w:rsidR="00C42807" w:rsidRPr="00A02B31">
        <w:rPr>
          <w:rFonts w:cstheme="minorHAnsi"/>
          <w:sz w:val="20"/>
          <w:szCs w:val="20"/>
        </w:rPr>
        <w:t>i</w:t>
      </w:r>
      <w:r w:rsidR="00FB2DD8" w:rsidRPr="00A02B31">
        <w:rPr>
          <w:rFonts w:cstheme="minorHAnsi"/>
          <w:sz w:val="20"/>
          <w:szCs w:val="20"/>
        </w:rPr>
        <w:t xml:space="preserve">nvestment </w:t>
      </w:r>
      <w:r w:rsidR="00C42807" w:rsidRPr="00A02B31">
        <w:rPr>
          <w:rFonts w:cstheme="minorHAnsi"/>
          <w:sz w:val="20"/>
          <w:szCs w:val="20"/>
        </w:rPr>
        <w:t>m</w:t>
      </w:r>
      <w:r w:rsidR="00FB2DD8" w:rsidRPr="00A02B31">
        <w:rPr>
          <w:rFonts w:cstheme="minorHAnsi"/>
          <w:sz w:val="20"/>
          <w:szCs w:val="20"/>
        </w:rPr>
        <w:t>anager</w:t>
      </w:r>
      <w:r w:rsidRPr="00A02B31">
        <w:rPr>
          <w:rFonts w:cstheme="minorHAnsi"/>
          <w:sz w:val="20"/>
          <w:szCs w:val="20"/>
        </w:rPr>
        <w:t xml:space="preserve"> is also carried out. </w:t>
      </w:r>
      <w:r w:rsidR="003B50BC" w:rsidRPr="00A02B31">
        <w:rPr>
          <w:rFonts w:cstheme="minorHAnsi"/>
          <w:sz w:val="20"/>
          <w:szCs w:val="20"/>
        </w:rPr>
        <w:t xml:space="preserve">Given the recent changes to the composition of the </w:t>
      </w:r>
      <w:r w:rsidR="00C42807" w:rsidRPr="00A02B31">
        <w:rPr>
          <w:rFonts w:cstheme="minorHAnsi"/>
          <w:sz w:val="20"/>
          <w:szCs w:val="20"/>
        </w:rPr>
        <w:t>b</w:t>
      </w:r>
      <w:r w:rsidR="003B50BC" w:rsidRPr="00A02B31">
        <w:rPr>
          <w:rFonts w:cstheme="minorHAnsi"/>
          <w:sz w:val="20"/>
          <w:szCs w:val="20"/>
        </w:rPr>
        <w:t>oard, it is envisaged that a succession plan be reviewed towards the end of the year.</w:t>
      </w:r>
    </w:p>
    <w:p w14:paraId="5EB87A66" w14:textId="77777777" w:rsidR="00224102" w:rsidRPr="00A02B31" w:rsidRDefault="00224102" w:rsidP="00224102">
      <w:pPr>
        <w:autoSpaceDE w:val="0"/>
        <w:autoSpaceDN w:val="0"/>
        <w:adjustRightInd w:val="0"/>
        <w:jc w:val="both"/>
        <w:rPr>
          <w:rFonts w:cstheme="minorHAnsi"/>
          <w:sz w:val="20"/>
          <w:szCs w:val="20"/>
          <w:highlight w:val="yellow"/>
        </w:rPr>
      </w:pPr>
    </w:p>
    <w:p w14:paraId="663C7CFC" w14:textId="31AE5189" w:rsidR="00064D8A" w:rsidRPr="00A02B31" w:rsidRDefault="000960EB" w:rsidP="00224102">
      <w:pPr>
        <w:autoSpaceDE w:val="0"/>
        <w:autoSpaceDN w:val="0"/>
        <w:adjustRightInd w:val="0"/>
        <w:jc w:val="both"/>
        <w:rPr>
          <w:rFonts w:cstheme="minorHAnsi"/>
          <w:sz w:val="20"/>
          <w:szCs w:val="20"/>
        </w:rPr>
      </w:pPr>
      <w:r w:rsidRPr="00A02B31">
        <w:rPr>
          <w:rFonts w:cstheme="minorHAnsi"/>
          <w:sz w:val="20"/>
          <w:szCs w:val="20"/>
        </w:rPr>
        <w:lastRenderedPageBreak/>
        <w:t>T</w:t>
      </w:r>
      <w:r w:rsidR="00224102" w:rsidRPr="00A02B31">
        <w:rPr>
          <w:rFonts w:cstheme="minorHAnsi"/>
          <w:sz w:val="20"/>
          <w:szCs w:val="20"/>
        </w:rPr>
        <w:t xml:space="preserve">he </w:t>
      </w:r>
      <w:r w:rsidR="00C42807" w:rsidRPr="00A02B31">
        <w:rPr>
          <w:rFonts w:cstheme="minorHAnsi"/>
          <w:sz w:val="20"/>
          <w:szCs w:val="20"/>
        </w:rPr>
        <w:t>b</w:t>
      </w:r>
      <w:r w:rsidR="00224102" w:rsidRPr="00A02B31">
        <w:rPr>
          <w:rFonts w:cstheme="minorHAnsi"/>
          <w:sz w:val="20"/>
          <w:szCs w:val="20"/>
        </w:rPr>
        <w:t>oard does not consider it necessary at present to employ the services or to incur the additional expense of an external third party to</w:t>
      </w:r>
      <w:r w:rsidR="006E05F4" w:rsidRPr="00A02B31">
        <w:rPr>
          <w:rFonts w:cstheme="minorHAnsi"/>
          <w:sz w:val="20"/>
          <w:szCs w:val="20"/>
        </w:rPr>
        <w:t xml:space="preserve"> conduct the evaluation process but will keep this under review.</w:t>
      </w:r>
    </w:p>
    <w:p w14:paraId="077AB224" w14:textId="1CC1CF56" w:rsidR="009300F5" w:rsidRPr="00A02B31" w:rsidRDefault="009300F5" w:rsidP="00224102">
      <w:pPr>
        <w:autoSpaceDE w:val="0"/>
        <w:autoSpaceDN w:val="0"/>
        <w:adjustRightInd w:val="0"/>
        <w:jc w:val="both"/>
        <w:rPr>
          <w:rFonts w:cstheme="minorHAnsi"/>
          <w:sz w:val="20"/>
          <w:szCs w:val="20"/>
        </w:rPr>
      </w:pPr>
    </w:p>
    <w:p w14:paraId="523BDCC0" w14:textId="5D307FEF" w:rsidR="009300F5" w:rsidRPr="00A02B31" w:rsidRDefault="009300F5" w:rsidP="00224102">
      <w:pPr>
        <w:autoSpaceDE w:val="0"/>
        <w:autoSpaceDN w:val="0"/>
        <w:adjustRightInd w:val="0"/>
        <w:jc w:val="both"/>
        <w:rPr>
          <w:rFonts w:cstheme="minorHAnsi"/>
          <w:sz w:val="20"/>
          <w:szCs w:val="20"/>
        </w:rPr>
      </w:pPr>
      <w:r w:rsidRPr="00A02B31">
        <w:rPr>
          <w:rFonts w:cstheme="minorHAnsi"/>
          <w:sz w:val="20"/>
          <w:szCs w:val="20"/>
        </w:rPr>
        <w:t>During the year the largest shareholder proposed Graham Bird join the Board as a Non-Independent Executive Director. This was agreed by the Board. Following the resignation of the Interim Chairpersons, a process was run by the Board, with engagement with advisors and shareholder consultation resulting in the appointment of the new Chairman.</w:t>
      </w:r>
    </w:p>
    <w:p w14:paraId="6269B7AF" w14:textId="549058E2" w:rsidR="001702DD" w:rsidRPr="00A02B31" w:rsidRDefault="001702DD" w:rsidP="00224102">
      <w:pPr>
        <w:autoSpaceDE w:val="0"/>
        <w:autoSpaceDN w:val="0"/>
        <w:adjustRightInd w:val="0"/>
        <w:jc w:val="both"/>
        <w:rPr>
          <w:rFonts w:cstheme="minorHAnsi"/>
          <w:sz w:val="20"/>
          <w:szCs w:val="20"/>
        </w:rPr>
      </w:pPr>
    </w:p>
    <w:p w14:paraId="000CB5F9" w14:textId="1425A6CA" w:rsidR="001702DD" w:rsidRPr="00A02B31" w:rsidRDefault="001702DD" w:rsidP="001702DD">
      <w:pPr>
        <w:rPr>
          <w:rFonts w:cstheme="minorHAnsi"/>
          <w:b/>
          <w:sz w:val="20"/>
          <w:szCs w:val="20"/>
        </w:rPr>
      </w:pPr>
      <w:r w:rsidRPr="00A02B31">
        <w:rPr>
          <w:rFonts w:cstheme="minorHAnsi"/>
          <w:b/>
          <w:sz w:val="20"/>
          <w:szCs w:val="20"/>
        </w:rPr>
        <w:t xml:space="preserve">Internal </w:t>
      </w:r>
      <w:r w:rsidR="008D367B" w:rsidRPr="00A02B31">
        <w:rPr>
          <w:rFonts w:cstheme="minorHAnsi"/>
          <w:b/>
          <w:sz w:val="20"/>
          <w:szCs w:val="20"/>
        </w:rPr>
        <w:t>c</w:t>
      </w:r>
      <w:r w:rsidRPr="00A02B31">
        <w:rPr>
          <w:rFonts w:cstheme="minorHAnsi"/>
          <w:b/>
          <w:sz w:val="20"/>
          <w:szCs w:val="20"/>
        </w:rPr>
        <w:t xml:space="preserve">ontrols and </w:t>
      </w:r>
      <w:r w:rsidR="008D367B" w:rsidRPr="00A02B31">
        <w:rPr>
          <w:rFonts w:cstheme="minorHAnsi"/>
          <w:b/>
          <w:sz w:val="20"/>
          <w:szCs w:val="20"/>
        </w:rPr>
        <w:t>r</w:t>
      </w:r>
      <w:r w:rsidRPr="00A02B31">
        <w:rPr>
          <w:rFonts w:cstheme="minorHAnsi"/>
          <w:b/>
          <w:sz w:val="20"/>
          <w:szCs w:val="20"/>
        </w:rPr>
        <w:t xml:space="preserve">isk </w:t>
      </w:r>
      <w:r w:rsidR="008D367B" w:rsidRPr="00A02B31">
        <w:rPr>
          <w:rFonts w:cstheme="minorHAnsi"/>
          <w:b/>
          <w:sz w:val="20"/>
          <w:szCs w:val="20"/>
        </w:rPr>
        <w:t>m</w:t>
      </w:r>
      <w:r w:rsidRPr="00A02B31">
        <w:rPr>
          <w:rFonts w:cstheme="minorHAnsi"/>
          <w:b/>
          <w:sz w:val="20"/>
          <w:szCs w:val="20"/>
        </w:rPr>
        <w:t xml:space="preserve">anagement </w:t>
      </w:r>
      <w:r w:rsidR="008D367B" w:rsidRPr="00A02B31">
        <w:rPr>
          <w:rFonts w:cstheme="minorHAnsi"/>
          <w:b/>
          <w:sz w:val="20"/>
          <w:szCs w:val="20"/>
        </w:rPr>
        <w:t>s</w:t>
      </w:r>
      <w:r w:rsidRPr="00A02B31">
        <w:rPr>
          <w:rFonts w:cstheme="minorHAnsi"/>
          <w:b/>
          <w:sz w:val="20"/>
          <w:szCs w:val="20"/>
        </w:rPr>
        <w:t>ystems</w:t>
      </w:r>
    </w:p>
    <w:p w14:paraId="02ADAE89" w14:textId="77777777" w:rsidR="001702DD" w:rsidRPr="00A02B31" w:rsidRDefault="001702DD" w:rsidP="001702DD">
      <w:pPr>
        <w:jc w:val="both"/>
        <w:rPr>
          <w:rFonts w:cstheme="minorHAnsi"/>
          <w:sz w:val="20"/>
          <w:szCs w:val="20"/>
        </w:rPr>
      </w:pPr>
    </w:p>
    <w:p w14:paraId="5C0D5D2A" w14:textId="0D8A2603" w:rsidR="001702DD" w:rsidRPr="00A02B31" w:rsidRDefault="001702DD" w:rsidP="001702DD">
      <w:pPr>
        <w:jc w:val="both"/>
        <w:rPr>
          <w:rFonts w:cstheme="minorHAnsi"/>
          <w:sz w:val="20"/>
          <w:szCs w:val="20"/>
        </w:rPr>
      </w:pPr>
      <w:r w:rsidRPr="00A02B31">
        <w:rPr>
          <w:rFonts w:cstheme="minorHAnsi"/>
          <w:sz w:val="20"/>
          <w:szCs w:val="20"/>
        </w:rPr>
        <w:t xml:space="preserve">The </w:t>
      </w:r>
      <w:r w:rsidR="00C42807" w:rsidRPr="00A02B31">
        <w:rPr>
          <w:rFonts w:cstheme="minorHAnsi"/>
          <w:sz w:val="20"/>
          <w:szCs w:val="20"/>
        </w:rPr>
        <w:t>b</w:t>
      </w:r>
      <w:r w:rsidRPr="00A02B31">
        <w:rPr>
          <w:rFonts w:cstheme="minorHAnsi"/>
          <w:sz w:val="20"/>
          <w:szCs w:val="20"/>
        </w:rPr>
        <w:t xml:space="preserve">oard has established an ongoing process for identifying, evaluating and managing the significant risks faced by the Company. </w:t>
      </w:r>
    </w:p>
    <w:p w14:paraId="07BBFFE1" w14:textId="77777777" w:rsidR="001702DD" w:rsidRPr="00A02B31" w:rsidRDefault="001702DD" w:rsidP="001702DD">
      <w:pPr>
        <w:jc w:val="both"/>
        <w:rPr>
          <w:rFonts w:cstheme="minorHAnsi"/>
          <w:sz w:val="20"/>
          <w:szCs w:val="20"/>
        </w:rPr>
      </w:pPr>
    </w:p>
    <w:p w14:paraId="5254000D" w14:textId="07E10B7F" w:rsidR="001702DD" w:rsidRPr="00A02B31" w:rsidRDefault="001702DD" w:rsidP="001702DD">
      <w:pPr>
        <w:jc w:val="both"/>
        <w:rPr>
          <w:rFonts w:cstheme="minorHAnsi"/>
          <w:sz w:val="20"/>
          <w:szCs w:val="20"/>
        </w:rPr>
      </w:pPr>
      <w:r w:rsidRPr="00A02B31">
        <w:rPr>
          <w:rFonts w:cstheme="minorHAnsi"/>
          <w:sz w:val="20"/>
          <w:szCs w:val="20"/>
        </w:rPr>
        <w:t xml:space="preserve">The </w:t>
      </w:r>
      <w:r w:rsidR="00C42807" w:rsidRPr="00A02B31">
        <w:rPr>
          <w:rFonts w:cstheme="minorHAnsi"/>
          <w:sz w:val="20"/>
          <w:szCs w:val="20"/>
        </w:rPr>
        <w:t>b</w:t>
      </w:r>
      <w:r w:rsidRPr="00A02B31">
        <w:rPr>
          <w:rFonts w:cstheme="minorHAnsi"/>
          <w:sz w:val="20"/>
          <w:szCs w:val="20"/>
        </w:rPr>
        <w:t xml:space="preserve">oard maintains a risk register to identify any new risks and makes the necessary adjustments required to </w:t>
      </w:r>
      <w:r w:rsidR="004248D9" w:rsidRPr="00A02B31">
        <w:rPr>
          <w:rFonts w:cstheme="minorHAnsi"/>
          <w:sz w:val="20"/>
          <w:szCs w:val="20"/>
        </w:rPr>
        <w:t xml:space="preserve">existing risks </w:t>
      </w:r>
      <w:r w:rsidRPr="00A02B31">
        <w:rPr>
          <w:rFonts w:cstheme="minorHAnsi"/>
          <w:sz w:val="20"/>
          <w:szCs w:val="20"/>
        </w:rPr>
        <w:t xml:space="preserve">and the controls and mitigation measures in place in respect of these risks. </w:t>
      </w:r>
    </w:p>
    <w:p w14:paraId="7B92DE17" w14:textId="77777777" w:rsidR="001702DD" w:rsidRPr="00A02B31" w:rsidRDefault="001702DD" w:rsidP="001702DD">
      <w:pPr>
        <w:jc w:val="both"/>
        <w:rPr>
          <w:rFonts w:cstheme="minorHAnsi"/>
          <w:sz w:val="20"/>
          <w:szCs w:val="20"/>
        </w:rPr>
      </w:pPr>
    </w:p>
    <w:p w14:paraId="4C5F23B9" w14:textId="037C5C5E" w:rsidR="001702DD" w:rsidRPr="00A02B31" w:rsidRDefault="001702DD" w:rsidP="001702DD">
      <w:pPr>
        <w:jc w:val="both"/>
        <w:rPr>
          <w:rFonts w:cstheme="minorHAnsi"/>
          <w:b/>
          <w:sz w:val="20"/>
          <w:szCs w:val="20"/>
        </w:rPr>
      </w:pPr>
      <w:r w:rsidRPr="00A02B31">
        <w:rPr>
          <w:rFonts w:cstheme="minorHAnsi"/>
          <w:b/>
          <w:sz w:val="20"/>
          <w:szCs w:val="20"/>
        </w:rPr>
        <w:t xml:space="preserve">Share </w:t>
      </w:r>
      <w:r w:rsidR="008D367B" w:rsidRPr="00A02B31">
        <w:rPr>
          <w:rFonts w:cstheme="minorHAnsi"/>
          <w:b/>
          <w:sz w:val="20"/>
          <w:szCs w:val="20"/>
        </w:rPr>
        <w:t>c</w:t>
      </w:r>
      <w:r w:rsidRPr="00A02B31">
        <w:rPr>
          <w:rFonts w:cstheme="minorHAnsi"/>
          <w:b/>
          <w:sz w:val="20"/>
          <w:szCs w:val="20"/>
        </w:rPr>
        <w:t>apital</w:t>
      </w:r>
    </w:p>
    <w:p w14:paraId="51963F57" w14:textId="52DBF32C" w:rsidR="00F44C99" w:rsidRPr="00A02B31" w:rsidRDefault="00F44C99" w:rsidP="001702DD">
      <w:pPr>
        <w:jc w:val="both"/>
        <w:rPr>
          <w:rFonts w:cstheme="minorHAnsi"/>
          <w:sz w:val="20"/>
          <w:szCs w:val="20"/>
        </w:rPr>
      </w:pPr>
    </w:p>
    <w:p w14:paraId="7C801CC0" w14:textId="77674C82" w:rsidR="001702DD" w:rsidRPr="00A02B31" w:rsidRDefault="001702DD" w:rsidP="001702DD">
      <w:pPr>
        <w:jc w:val="both"/>
        <w:rPr>
          <w:rFonts w:cstheme="minorHAnsi"/>
          <w:sz w:val="20"/>
          <w:szCs w:val="20"/>
        </w:rPr>
      </w:pPr>
      <w:r w:rsidRPr="00A02B31">
        <w:rPr>
          <w:rFonts w:cstheme="minorHAnsi"/>
          <w:sz w:val="20"/>
          <w:szCs w:val="20"/>
        </w:rPr>
        <w:t>As at 31 March 202</w:t>
      </w:r>
      <w:r w:rsidR="003B50BC" w:rsidRPr="00A02B31">
        <w:rPr>
          <w:rFonts w:cstheme="minorHAnsi"/>
          <w:sz w:val="20"/>
          <w:szCs w:val="20"/>
        </w:rPr>
        <w:t>2</w:t>
      </w:r>
      <w:r w:rsidRPr="00A02B31">
        <w:rPr>
          <w:rFonts w:cstheme="minorHAnsi"/>
          <w:sz w:val="20"/>
          <w:szCs w:val="20"/>
        </w:rPr>
        <w:t>, the Com</w:t>
      </w:r>
      <w:r w:rsidR="001B2113" w:rsidRPr="00A02B31">
        <w:rPr>
          <w:rFonts w:cstheme="minorHAnsi"/>
          <w:sz w:val="20"/>
          <w:szCs w:val="20"/>
        </w:rPr>
        <w:t xml:space="preserve">pany’s issued share capital was </w:t>
      </w:r>
      <w:r w:rsidR="003B50BC" w:rsidRPr="00A02B31">
        <w:rPr>
          <w:rFonts w:cstheme="minorHAnsi"/>
          <w:sz w:val="20"/>
          <w:szCs w:val="20"/>
        </w:rPr>
        <w:t xml:space="preserve">2,541,046 </w:t>
      </w:r>
      <w:r w:rsidRPr="00A02B31">
        <w:rPr>
          <w:rFonts w:cstheme="minorHAnsi"/>
          <w:sz w:val="20"/>
          <w:szCs w:val="20"/>
        </w:rPr>
        <w:t>Ordinary Shares of 50</w:t>
      </w:r>
      <w:r w:rsidR="00395B54" w:rsidRPr="00A02B31">
        <w:rPr>
          <w:rFonts w:cstheme="minorHAnsi"/>
          <w:sz w:val="20"/>
          <w:szCs w:val="20"/>
        </w:rPr>
        <w:t xml:space="preserve"> </w:t>
      </w:r>
      <w:r w:rsidRPr="00A02B31">
        <w:rPr>
          <w:rFonts w:cstheme="minorHAnsi"/>
          <w:sz w:val="20"/>
          <w:szCs w:val="20"/>
        </w:rPr>
        <w:t>p</w:t>
      </w:r>
      <w:r w:rsidR="00395B54" w:rsidRPr="00A02B31">
        <w:rPr>
          <w:rFonts w:cstheme="minorHAnsi"/>
          <w:sz w:val="20"/>
          <w:szCs w:val="20"/>
        </w:rPr>
        <w:t>ence</w:t>
      </w:r>
      <w:r w:rsidRPr="00A02B31">
        <w:rPr>
          <w:rFonts w:cstheme="minorHAnsi"/>
          <w:sz w:val="20"/>
          <w:szCs w:val="20"/>
        </w:rPr>
        <w:t xml:space="preserve"> each, of which none were held in treasury. </w:t>
      </w:r>
    </w:p>
    <w:p w14:paraId="59DBFE2A" w14:textId="77777777" w:rsidR="001702DD" w:rsidRPr="00A02B31" w:rsidRDefault="001702DD" w:rsidP="001702DD">
      <w:pPr>
        <w:jc w:val="both"/>
        <w:rPr>
          <w:rFonts w:cstheme="minorHAnsi"/>
          <w:sz w:val="20"/>
          <w:szCs w:val="20"/>
        </w:rPr>
      </w:pPr>
    </w:p>
    <w:p w14:paraId="67B27A61" w14:textId="50EF1721" w:rsidR="001702DD" w:rsidRPr="00A02B31" w:rsidRDefault="001702DD" w:rsidP="001702DD">
      <w:pPr>
        <w:jc w:val="both"/>
        <w:rPr>
          <w:rFonts w:cstheme="minorHAnsi"/>
          <w:sz w:val="20"/>
          <w:szCs w:val="20"/>
        </w:rPr>
      </w:pPr>
      <w:r w:rsidRPr="00A02B31">
        <w:rPr>
          <w:rFonts w:cstheme="minorHAnsi"/>
          <w:sz w:val="20"/>
          <w:szCs w:val="20"/>
        </w:rPr>
        <w:t xml:space="preserve">The Company’s Ordinary Shares are quoted on the Alternative Investment Market of the London Stock Exchange under reference </w:t>
      </w:r>
      <w:r w:rsidR="003B50BC" w:rsidRPr="00A02B31">
        <w:rPr>
          <w:rFonts w:cstheme="minorHAnsi"/>
          <w:sz w:val="20"/>
          <w:szCs w:val="20"/>
        </w:rPr>
        <w:t>RKW</w:t>
      </w:r>
      <w:r w:rsidRPr="00A02B31">
        <w:rPr>
          <w:rFonts w:cstheme="minorHAnsi"/>
          <w:sz w:val="20"/>
          <w:szCs w:val="20"/>
        </w:rPr>
        <w:t>.</w:t>
      </w:r>
    </w:p>
    <w:p w14:paraId="66FD3E1B" w14:textId="77777777" w:rsidR="00A0091A" w:rsidRPr="00A02B31" w:rsidRDefault="00A0091A" w:rsidP="00224102">
      <w:pPr>
        <w:autoSpaceDE w:val="0"/>
        <w:autoSpaceDN w:val="0"/>
        <w:adjustRightInd w:val="0"/>
        <w:jc w:val="both"/>
        <w:rPr>
          <w:rFonts w:cstheme="minorHAnsi"/>
          <w:sz w:val="20"/>
          <w:szCs w:val="20"/>
        </w:rPr>
        <w:sectPr w:rsidR="00A0091A" w:rsidRPr="00A02B31" w:rsidSect="009D1381">
          <w:headerReference w:type="default" r:id="rId13"/>
          <w:footerReference w:type="default" r:id="rId14"/>
          <w:pgSz w:w="11910" w:h="16840"/>
          <w:pgMar w:top="680" w:right="995" w:bottom="1140" w:left="1020" w:header="0" w:footer="848" w:gutter="0"/>
          <w:cols w:space="720"/>
        </w:sectPr>
      </w:pPr>
    </w:p>
    <w:p w14:paraId="40AEB21D" w14:textId="3FD4EFB8" w:rsidR="001702DD" w:rsidRPr="00A02B31" w:rsidRDefault="001702DD" w:rsidP="00224102">
      <w:pPr>
        <w:autoSpaceDE w:val="0"/>
        <w:autoSpaceDN w:val="0"/>
        <w:adjustRightInd w:val="0"/>
        <w:jc w:val="both"/>
        <w:rPr>
          <w:rFonts w:cstheme="minorHAnsi"/>
          <w:sz w:val="20"/>
          <w:szCs w:val="20"/>
        </w:rPr>
      </w:pPr>
    </w:p>
    <w:p w14:paraId="3993B8E6" w14:textId="77777777" w:rsidR="00352AD1" w:rsidRPr="00A02B31" w:rsidRDefault="00352AD1" w:rsidP="00490B8C">
      <w:pPr>
        <w:autoSpaceDE w:val="0"/>
        <w:autoSpaceDN w:val="0"/>
        <w:adjustRightInd w:val="0"/>
        <w:rPr>
          <w:rFonts w:cstheme="minorHAnsi"/>
          <w:color w:val="000000"/>
          <w:sz w:val="20"/>
          <w:szCs w:val="20"/>
        </w:rPr>
      </w:pPr>
    </w:p>
    <w:p w14:paraId="77CDC7C2" w14:textId="494C3985" w:rsidR="00FB46E6" w:rsidRPr="00A02B31" w:rsidRDefault="00FB46E6" w:rsidP="00A11367">
      <w:pPr>
        <w:jc w:val="center"/>
        <w:rPr>
          <w:rFonts w:cstheme="minorHAnsi"/>
          <w:b/>
          <w:sz w:val="20"/>
          <w:szCs w:val="20"/>
        </w:rPr>
      </w:pPr>
      <w:r w:rsidRPr="00A02B31">
        <w:rPr>
          <w:rFonts w:cstheme="minorHAnsi"/>
          <w:b/>
          <w:sz w:val="20"/>
          <w:szCs w:val="20"/>
        </w:rPr>
        <w:t>Section 172 Statement</w:t>
      </w:r>
    </w:p>
    <w:p w14:paraId="2C754DCC" w14:textId="7BE35CEB" w:rsidR="00FB46E6" w:rsidRPr="00A02B31" w:rsidRDefault="00FB46E6" w:rsidP="00FB46E6">
      <w:pPr>
        <w:autoSpaceDE w:val="0"/>
        <w:autoSpaceDN w:val="0"/>
        <w:adjustRightInd w:val="0"/>
        <w:rPr>
          <w:rFonts w:cstheme="minorHAnsi"/>
          <w:b/>
          <w:i/>
          <w:color w:val="000000"/>
          <w:sz w:val="20"/>
          <w:szCs w:val="20"/>
          <w:highlight w:val="yellow"/>
        </w:rPr>
      </w:pPr>
    </w:p>
    <w:p w14:paraId="1F1196A9" w14:textId="375D3244" w:rsidR="00A0091A" w:rsidRPr="00A02B31" w:rsidRDefault="00A0091A" w:rsidP="00A0091A">
      <w:pPr>
        <w:autoSpaceDE w:val="0"/>
        <w:autoSpaceDN w:val="0"/>
        <w:adjustRightInd w:val="0"/>
        <w:jc w:val="both"/>
        <w:rPr>
          <w:rFonts w:cstheme="minorHAnsi"/>
          <w:sz w:val="20"/>
          <w:szCs w:val="20"/>
        </w:rPr>
      </w:pPr>
      <w:r w:rsidRPr="00A02B31">
        <w:rPr>
          <w:rFonts w:cstheme="minorHAnsi"/>
          <w:sz w:val="20"/>
          <w:szCs w:val="20"/>
        </w:rPr>
        <w:t xml:space="preserve">Section 172 of the Companies Act 2006 (the ‘Act’) requires </w:t>
      </w:r>
      <w:r w:rsidR="00C42807" w:rsidRPr="00A02B31">
        <w:rPr>
          <w:rFonts w:cstheme="minorHAnsi"/>
          <w:sz w:val="20"/>
          <w:szCs w:val="20"/>
        </w:rPr>
        <w:t>d</w:t>
      </w:r>
      <w:r w:rsidRPr="00A02B31">
        <w:rPr>
          <w:rFonts w:cstheme="minorHAnsi"/>
          <w:sz w:val="20"/>
          <w:szCs w:val="20"/>
        </w:rPr>
        <w:t xml:space="preserve">irectors to act in good faith and in a way that is the most likely to promote the success of the Company. In doing so, </w:t>
      </w:r>
      <w:r w:rsidR="00C42807" w:rsidRPr="00A02B31">
        <w:rPr>
          <w:rFonts w:cstheme="minorHAnsi"/>
          <w:sz w:val="20"/>
          <w:szCs w:val="20"/>
        </w:rPr>
        <w:t>d</w:t>
      </w:r>
      <w:r w:rsidRPr="00A02B31">
        <w:rPr>
          <w:rFonts w:cstheme="minorHAnsi"/>
          <w:sz w:val="20"/>
          <w:szCs w:val="20"/>
        </w:rPr>
        <w:t>irectors must take into consideration the interests of the Company’s various stakeholders, the impact on the wider community and the environment when making decisions.</w:t>
      </w:r>
    </w:p>
    <w:p w14:paraId="00CD8F84" w14:textId="77777777" w:rsidR="00A0091A" w:rsidRPr="00A02B31" w:rsidRDefault="00A0091A" w:rsidP="00A0091A">
      <w:pPr>
        <w:autoSpaceDE w:val="0"/>
        <w:autoSpaceDN w:val="0"/>
        <w:adjustRightInd w:val="0"/>
        <w:jc w:val="both"/>
        <w:rPr>
          <w:rFonts w:cstheme="minorHAnsi"/>
          <w:sz w:val="20"/>
          <w:szCs w:val="20"/>
        </w:rPr>
      </w:pPr>
    </w:p>
    <w:p w14:paraId="69075E51" w14:textId="655579B2" w:rsidR="00A0091A" w:rsidRPr="00A02B31" w:rsidRDefault="00A0091A" w:rsidP="00A0091A">
      <w:pPr>
        <w:autoSpaceDE w:val="0"/>
        <w:autoSpaceDN w:val="0"/>
        <w:adjustRightInd w:val="0"/>
        <w:jc w:val="both"/>
        <w:rPr>
          <w:rFonts w:cstheme="minorHAnsi"/>
          <w:sz w:val="20"/>
          <w:szCs w:val="20"/>
        </w:rPr>
      </w:pPr>
      <w:r w:rsidRPr="00A02B31">
        <w:rPr>
          <w:rFonts w:cstheme="minorHAnsi"/>
          <w:sz w:val="20"/>
          <w:szCs w:val="20"/>
        </w:rPr>
        <w:t xml:space="preserve">The Company has no employees and delegates its day-to-day management and administration to third parties. The </w:t>
      </w:r>
      <w:r w:rsidR="00193BFE" w:rsidRPr="00A02B31">
        <w:rPr>
          <w:rFonts w:cstheme="minorHAnsi"/>
          <w:sz w:val="20"/>
          <w:szCs w:val="20"/>
        </w:rPr>
        <w:t>b</w:t>
      </w:r>
      <w:r w:rsidRPr="00A02B31">
        <w:rPr>
          <w:rFonts w:cstheme="minorHAnsi"/>
          <w:sz w:val="20"/>
          <w:szCs w:val="20"/>
        </w:rPr>
        <w:t>oard considers its key stakeholders to be its shareholders, its investment manager and its third</w:t>
      </w:r>
      <w:r w:rsidR="00680C66" w:rsidRPr="00A02B31">
        <w:rPr>
          <w:rFonts w:cstheme="minorHAnsi"/>
          <w:sz w:val="20"/>
          <w:szCs w:val="20"/>
        </w:rPr>
        <w:t>-</w:t>
      </w:r>
      <w:r w:rsidRPr="00A02B31">
        <w:rPr>
          <w:rFonts w:cstheme="minorHAnsi"/>
          <w:sz w:val="20"/>
          <w:szCs w:val="20"/>
        </w:rPr>
        <w:t xml:space="preserve">party service providers while also taking into account the Company’s responsibilities to regulators and the wider community. Given the out-sourced nature of the Company’s operations, the Company has very little direct impact on the community or the environment. However, the </w:t>
      </w:r>
      <w:r w:rsidR="00193BFE" w:rsidRPr="00A02B31">
        <w:rPr>
          <w:rFonts w:cstheme="minorHAnsi"/>
          <w:sz w:val="20"/>
          <w:szCs w:val="20"/>
        </w:rPr>
        <w:t>d</w:t>
      </w:r>
      <w:r w:rsidRPr="00A02B31">
        <w:rPr>
          <w:rFonts w:cstheme="minorHAnsi"/>
          <w:sz w:val="20"/>
          <w:szCs w:val="20"/>
        </w:rPr>
        <w:t xml:space="preserve">irectors recognise that the investment manager can influence an investee company’s approach to Environmental, Social and Governance (ESG) matters. </w:t>
      </w:r>
      <w:r w:rsidR="001022FC" w:rsidRPr="00A02B31">
        <w:rPr>
          <w:rFonts w:cstheme="minorHAnsi"/>
          <w:sz w:val="20"/>
          <w:szCs w:val="20"/>
        </w:rPr>
        <w:t>T</w:t>
      </w:r>
      <w:r w:rsidRPr="00A02B31">
        <w:rPr>
          <w:rFonts w:cstheme="minorHAnsi"/>
          <w:sz w:val="20"/>
          <w:szCs w:val="20"/>
        </w:rPr>
        <w:t xml:space="preserve">he </w:t>
      </w:r>
      <w:r w:rsidR="00193BFE" w:rsidRPr="00A02B31">
        <w:rPr>
          <w:rFonts w:cstheme="minorHAnsi"/>
          <w:sz w:val="20"/>
          <w:szCs w:val="20"/>
        </w:rPr>
        <w:t>i</w:t>
      </w:r>
      <w:r w:rsidRPr="00A02B31">
        <w:rPr>
          <w:rFonts w:cstheme="minorHAnsi"/>
          <w:sz w:val="20"/>
          <w:szCs w:val="20"/>
        </w:rPr>
        <w:t xml:space="preserve">nvestment </w:t>
      </w:r>
      <w:r w:rsidR="00193BFE" w:rsidRPr="00A02B31">
        <w:rPr>
          <w:rFonts w:cstheme="minorHAnsi"/>
          <w:sz w:val="20"/>
          <w:szCs w:val="20"/>
        </w:rPr>
        <w:t>m</w:t>
      </w:r>
      <w:r w:rsidRPr="00A02B31">
        <w:rPr>
          <w:rFonts w:cstheme="minorHAnsi"/>
          <w:sz w:val="20"/>
          <w:szCs w:val="20"/>
        </w:rPr>
        <w:t xml:space="preserve">anager is committed to operating responsibly. The </w:t>
      </w:r>
      <w:r w:rsidR="00193BFE" w:rsidRPr="00A02B31">
        <w:rPr>
          <w:rFonts w:cstheme="minorHAnsi"/>
          <w:sz w:val="20"/>
          <w:szCs w:val="20"/>
        </w:rPr>
        <w:t>i</w:t>
      </w:r>
      <w:r w:rsidRPr="00A02B31">
        <w:rPr>
          <w:rFonts w:cstheme="minorHAnsi"/>
          <w:sz w:val="20"/>
          <w:szCs w:val="20"/>
        </w:rPr>
        <w:t xml:space="preserve">nvestment </w:t>
      </w:r>
      <w:r w:rsidR="00193BFE" w:rsidRPr="00A02B31">
        <w:rPr>
          <w:rFonts w:cstheme="minorHAnsi"/>
          <w:sz w:val="20"/>
          <w:szCs w:val="20"/>
        </w:rPr>
        <w:t>m</w:t>
      </w:r>
      <w:r w:rsidRPr="00A02B31">
        <w:rPr>
          <w:rFonts w:cstheme="minorHAnsi"/>
          <w:sz w:val="20"/>
          <w:szCs w:val="20"/>
        </w:rPr>
        <w:t xml:space="preserve">anager </w:t>
      </w:r>
      <w:r w:rsidR="00D53EDE" w:rsidRPr="00A02B31">
        <w:rPr>
          <w:rFonts w:cstheme="minorHAnsi"/>
          <w:sz w:val="20"/>
          <w:szCs w:val="20"/>
        </w:rPr>
        <w:t xml:space="preserve">also </w:t>
      </w:r>
      <w:r w:rsidRPr="00A02B31">
        <w:rPr>
          <w:rFonts w:cstheme="minorHAnsi"/>
          <w:sz w:val="20"/>
          <w:szCs w:val="20"/>
        </w:rPr>
        <w:t xml:space="preserve">recognises that the integration of ESG considerations into its </w:t>
      </w:r>
      <w:r w:rsidR="009D1381" w:rsidRPr="00A02B31">
        <w:rPr>
          <w:rFonts w:cstheme="minorHAnsi"/>
          <w:sz w:val="20"/>
          <w:szCs w:val="20"/>
        </w:rPr>
        <w:t>investment assessments</w:t>
      </w:r>
      <w:r w:rsidR="00D53EDE" w:rsidRPr="00A02B31">
        <w:rPr>
          <w:rFonts w:cstheme="minorHAnsi"/>
          <w:sz w:val="20"/>
          <w:szCs w:val="20"/>
        </w:rPr>
        <w:t xml:space="preserve"> is important</w:t>
      </w:r>
      <w:r w:rsidR="00181981" w:rsidRPr="00A02B31">
        <w:rPr>
          <w:rFonts w:cstheme="minorHAnsi"/>
          <w:sz w:val="20"/>
          <w:szCs w:val="20"/>
        </w:rPr>
        <w:t xml:space="preserve"> </w:t>
      </w:r>
      <w:r w:rsidR="00D53EDE" w:rsidRPr="00A02B31">
        <w:rPr>
          <w:rFonts w:cstheme="minorHAnsi"/>
          <w:sz w:val="20"/>
          <w:szCs w:val="20"/>
        </w:rPr>
        <w:t xml:space="preserve">and that when these factors are addressed well they </w:t>
      </w:r>
      <w:r w:rsidRPr="00A02B31">
        <w:rPr>
          <w:rFonts w:cstheme="minorHAnsi"/>
          <w:sz w:val="20"/>
          <w:szCs w:val="20"/>
        </w:rPr>
        <w:t xml:space="preserve">can have a positive impact on </w:t>
      </w:r>
      <w:r w:rsidR="00D53EDE" w:rsidRPr="00A02B31">
        <w:rPr>
          <w:rFonts w:cstheme="minorHAnsi"/>
          <w:sz w:val="20"/>
          <w:szCs w:val="20"/>
        </w:rPr>
        <w:t xml:space="preserve">the </w:t>
      </w:r>
      <w:r w:rsidRPr="00A02B31">
        <w:rPr>
          <w:rFonts w:cstheme="minorHAnsi"/>
          <w:sz w:val="20"/>
          <w:szCs w:val="20"/>
        </w:rPr>
        <w:t xml:space="preserve">financial performance of the </w:t>
      </w:r>
      <w:r w:rsidR="00F513FB" w:rsidRPr="00A02B31">
        <w:rPr>
          <w:rFonts w:cstheme="minorHAnsi"/>
          <w:sz w:val="20"/>
          <w:szCs w:val="20"/>
        </w:rPr>
        <w:t>fund investments</w:t>
      </w:r>
      <w:r w:rsidRPr="00A02B31">
        <w:rPr>
          <w:rFonts w:cstheme="minorHAnsi"/>
          <w:sz w:val="20"/>
          <w:szCs w:val="20"/>
        </w:rPr>
        <w:t>.</w:t>
      </w:r>
    </w:p>
    <w:p w14:paraId="5ABA3F70" w14:textId="552D5025" w:rsidR="00A0091A" w:rsidRPr="00A02B31" w:rsidRDefault="00A0091A" w:rsidP="00A0091A">
      <w:pPr>
        <w:autoSpaceDE w:val="0"/>
        <w:autoSpaceDN w:val="0"/>
        <w:adjustRightInd w:val="0"/>
        <w:jc w:val="both"/>
        <w:rPr>
          <w:rFonts w:cstheme="minorHAnsi"/>
          <w:sz w:val="20"/>
          <w:szCs w:val="20"/>
        </w:rPr>
      </w:pPr>
    </w:p>
    <w:p w14:paraId="46688B02" w14:textId="22E9B5AD" w:rsidR="00F513FB" w:rsidRPr="00A02B31" w:rsidRDefault="00F513FB" w:rsidP="00F513FB">
      <w:pPr>
        <w:autoSpaceDE w:val="0"/>
        <w:autoSpaceDN w:val="0"/>
        <w:adjustRightInd w:val="0"/>
        <w:jc w:val="both"/>
        <w:rPr>
          <w:rFonts w:cstheme="minorHAnsi"/>
          <w:sz w:val="20"/>
          <w:szCs w:val="20"/>
        </w:rPr>
      </w:pPr>
      <w:r w:rsidRPr="00A02B31">
        <w:rPr>
          <w:rFonts w:cstheme="minorHAnsi"/>
          <w:sz w:val="20"/>
          <w:szCs w:val="20"/>
        </w:rPr>
        <w:t xml:space="preserve">The </w:t>
      </w:r>
      <w:r w:rsidR="00193BFE" w:rsidRPr="00A02B31">
        <w:rPr>
          <w:rFonts w:cstheme="minorHAnsi"/>
          <w:sz w:val="20"/>
          <w:szCs w:val="20"/>
        </w:rPr>
        <w:t>investment m</w:t>
      </w:r>
      <w:r w:rsidRPr="00A02B31">
        <w:rPr>
          <w:rFonts w:cstheme="minorHAnsi"/>
          <w:sz w:val="20"/>
          <w:szCs w:val="20"/>
        </w:rPr>
        <w:t>anager assesses ESG factors during due diligence and incorporate</w:t>
      </w:r>
      <w:r w:rsidR="00D53EDE" w:rsidRPr="00A02B31">
        <w:rPr>
          <w:rFonts w:cstheme="minorHAnsi"/>
          <w:sz w:val="20"/>
          <w:szCs w:val="20"/>
        </w:rPr>
        <w:t>s</w:t>
      </w:r>
      <w:r w:rsidRPr="00A02B31">
        <w:rPr>
          <w:rFonts w:cstheme="minorHAnsi"/>
          <w:sz w:val="20"/>
          <w:szCs w:val="20"/>
        </w:rPr>
        <w:t xml:space="preserve"> conclusions into its engagement, strategic and operational plan</w:t>
      </w:r>
      <w:r w:rsidR="00D53EDE" w:rsidRPr="00A02B31">
        <w:rPr>
          <w:rFonts w:cstheme="minorHAnsi"/>
          <w:sz w:val="20"/>
          <w:szCs w:val="20"/>
        </w:rPr>
        <w:t xml:space="preserve">, </w:t>
      </w:r>
      <w:r w:rsidRPr="00A02B31">
        <w:rPr>
          <w:rFonts w:cstheme="minorHAnsi"/>
          <w:sz w:val="20"/>
          <w:szCs w:val="20"/>
        </w:rPr>
        <w:t xml:space="preserve">investment thesis and investment risk assessment. They continue to monitor factors post-investment and engage when appropriate. The </w:t>
      </w:r>
      <w:r w:rsidR="00193BFE" w:rsidRPr="00A02B31">
        <w:rPr>
          <w:rFonts w:cstheme="minorHAnsi"/>
          <w:sz w:val="20"/>
          <w:szCs w:val="20"/>
        </w:rPr>
        <w:t>investment m</w:t>
      </w:r>
      <w:r w:rsidRPr="00A02B31">
        <w:rPr>
          <w:rFonts w:cstheme="minorHAnsi"/>
          <w:sz w:val="20"/>
          <w:szCs w:val="20"/>
        </w:rPr>
        <w:t>anager expects companies to be minimising their environmental footprint, without damaging the outlook for cash earnings and will engage where necessary to address</w:t>
      </w:r>
      <w:r w:rsidR="00181981" w:rsidRPr="00A02B31">
        <w:rPr>
          <w:rFonts w:cstheme="minorHAnsi"/>
          <w:sz w:val="20"/>
          <w:szCs w:val="20"/>
        </w:rPr>
        <w:t xml:space="preserve"> lack of active attention in this area</w:t>
      </w:r>
      <w:r w:rsidRPr="00A02B31">
        <w:rPr>
          <w:rFonts w:cstheme="minorHAnsi"/>
          <w:sz w:val="20"/>
          <w:szCs w:val="20"/>
        </w:rPr>
        <w:t>.</w:t>
      </w:r>
      <w:r w:rsidR="00181981" w:rsidRPr="00A02B31">
        <w:rPr>
          <w:rFonts w:cstheme="minorHAnsi"/>
          <w:sz w:val="20"/>
          <w:szCs w:val="20"/>
        </w:rPr>
        <w:t xml:space="preserve"> The </w:t>
      </w:r>
      <w:r w:rsidR="00193BFE" w:rsidRPr="00A02B31">
        <w:rPr>
          <w:rFonts w:cstheme="minorHAnsi"/>
          <w:sz w:val="20"/>
          <w:szCs w:val="20"/>
        </w:rPr>
        <w:t>investment m</w:t>
      </w:r>
      <w:r w:rsidR="00181981" w:rsidRPr="00A02B31">
        <w:rPr>
          <w:rFonts w:cstheme="minorHAnsi"/>
          <w:sz w:val="20"/>
          <w:szCs w:val="20"/>
        </w:rPr>
        <w:t>anager</w:t>
      </w:r>
      <w:r w:rsidRPr="00A02B31">
        <w:rPr>
          <w:rFonts w:cstheme="minorHAnsi"/>
          <w:sz w:val="20"/>
          <w:szCs w:val="20"/>
        </w:rPr>
        <w:t xml:space="preserve"> believe</w:t>
      </w:r>
      <w:r w:rsidR="00181981" w:rsidRPr="00A02B31">
        <w:rPr>
          <w:rFonts w:cstheme="minorHAnsi"/>
          <w:sz w:val="20"/>
          <w:szCs w:val="20"/>
        </w:rPr>
        <w:t>s</w:t>
      </w:r>
      <w:r w:rsidRPr="00A02B31">
        <w:rPr>
          <w:rFonts w:cstheme="minorHAnsi"/>
          <w:sz w:val="20"/>
          <w:szCs w:val="20"/>
        </w:rPr>
        <w:t xml:space="preserve"> successful companies incorporate the interests of multiple </w:t>
      </w:r>
      <w:r w:rsidR="00181981" w:rsidRPr="00A02B31">
        <w:rPr>
          <w:rFonts w:cstheme="minorHAnsi"/>
          <w:sz w:val="20"/>
          <w:szCs w:val="20"/>
        </w:rPr>
        <w:t>s</w:t>
      </w:r>
      <w:r w:rsidRPr="00A02B31">
        <w:rPr>
          <w:rFonts w:cstheme="minorHAnsi"/>
          <w:sz w:val="20"/>
          <w:szCs w:val="20"/>
        </w:rPr>
        <w:t xml:space="preserve">takeholders into their business operations and </w:t>
      </w:r>
      <w:r w:rsidR="00181981" w:rsidRPr="00A02B31">
        <w:rPr>
          <w:rFonts w:cstheme="minorHAnsi"/>
          <w:sz w:val="20"/>
          <w:szCs w:val="20"/>
        </w:rPr>
        <w:t xml:space="preserve">their </w:t>
      </w:r>
      <w:r w:rsidRPr="00A02B31">
        <w:rPr>
          <w:rFonts w:cstheme="minorHAnsi"/>
          <w:sz w:val="20"/>
          <w:szCs w:val="20"/>
        </w:rPr>
        <w:t xml:space="preserve">strategy for maximising </w:t>
      </w:r>
      <w:r w:rsidR="00181981" w:rsidRPr="00A02B31">
        <w:rPr>
          <w:rFonts w:cstheme="minorHAnsi"/>
          <w:sz w:val="20"/>
          <w:szCs w:val="20"/>
        </w:rPr>
        <w:t>s</w:t>
      </w:r>
      <w:r w:rsidRPr="00A02B31">
        <w:rPr>
          <w:rFonts w:cstheme="minorHAnsi"/>
          <w:sz w:val="20"/>
          <w:szCs w:val="20"/>
        </w:rPr>
        <w:t>hareholder value</w:t>
      </w:r>
      <w:r w:rsidR="00181981" w:rsidRPr="00A02B31">
        <w:rPr>
          <w:rFonts w:cstheme="minorHAnsi"/>
          <w:sz w:val="20"/>
          <w:szCs w:val="20"/>
        </w:rPr>
        <w:t xml:space="preserve">. </w:t>
      </w:r>
      <w:r w:rsidRPr="00A02B31">
        <w:rPr>
          <w:rFonts w:cstheme="minorHAnsi"/>
          <w:sz w:val="20"/>
          <w:szCs w:val="20"/>
        </w:rPr>
        <w:t>Th</w:t>
      </w:r>
      <w:r w:rsidR="00181981" w:rsidRPr="00A02B31">
        <w:rPr>
          <w:rFonts w:cstheme="minorHAnsi"/>
          <w:sz w:val="20"/>
          <w:szCs w:val="20"/>
        </w:rPr>
        <w:t>e governance</w:t>
      </w:r>
      <w:r w:rsidRPr="00A02B31">
        <w:rPr>
          <w:rFonts w:cstheme="minorHAnsi"/>
          <w:sz w:val="20"/>
          <w:szCs w:val="20"/>
        </w:rPr>
        <w:t xml:space="preserve"> factor is most importan</w:t>
      </w:r>
      <w:r w:rsidR="00181981" w:rsidRPr="00A02B31">
        <w:rPr>
          <w:rFonts w:cstheme="minorHAnsi"/>
          <w:sz w:val="20"/>
          <w:szCs w:val="20"/>
        </w:rPr>
        <w:t xml:space="preserve">t to our </w:t>
      </w:r>
      <w:r w:rsidR="00193BFE" w:rsidRPr="00A02B31">
        <w:rPr>
          <w:rFonts w:cstheme="minorHAnsi"/>
          <w:sz w:val="20"/>
          <w:szCs w:val="20"/>
        </w:rPr>
        <w:t>m</w:t>
      </w:r>
      <w:r w:rsidR="00181981" w:rsidRPr="00A02B31">
        <w:rPr>
          <w:rFonts w:cstheme="minorHAnsi"/>
          <w:sz w:val="20"/>
          <w:szCs w:val="20"/>
        </w:rPr>
        <w:t xml:space="preserve">anager and investment </w:t>
      </w:r>
      <w:r w:rsidR="00193BFE" w:rsidRPr="00A02B31">
        <w:rPr>
          <w:rFonts w:cstheme="minorHAnsi"/>
          <w:sz w:val="20"/>
          <w:szCs w:val="20"/>
        </w:rPr>
        <w:t>s</w:t>
      </w:r>
      <w:r w:rsidR="00181981" w:rsidRPr="00A02B31">
        <w:rPr>
          <w:rFonts w:cstheme="minorHAnsi"/>
          <w:sz w:val="20"/>
          <w:szCs w:val="20"/>
        </w:rPr>
        <w:t>trategy</w:t>
      </w:r>
      <w:r w:rsidRPr="00A02B31">
        <w:rPr>
          <w:rFonts w:cstheme="minorHAnsi"/>
          <w:sz w:val="20"/>
          <w:szCs w:val="20"/>
        </w:rPr>
        <w:t xml:space="preserve">, enabling </w:t>
      </w:r>
      <w:r w:rsidR="00181981" w:rsidRPr="00A02B31">
        <w:rPr>
          <w:rFonts w:cstheme="minorHAnsi"/>
          <w:sz w:val="20"/>
          <w:szCs w:val="20"/>
        </w:rPr>
        <w:t>effective approaches to environmental and social factors</w:t>
      </w:r>
      <w:r w:rsidRPr="00A02B31">
        <w:rPr>
          <w:rFonts w:cstheme="minorHAnsi"/>
          <w:sz w:val="20"/>
          <w:szCs w:val="20"/>
        </w:rPr>
        <w:t xml:space="preserve">. </w:t>
      </w:r>
      <w:r w:rsidR="00181981" w:rsidRPr="00A02B31">
        <w:rPr>
          <w:rFonts w:cstheme="minorHAnsi"/>
          <w:sz w:val="20"/>
          <w:szCs w:val="20"/>
        </w:rPr>
        <w:t>The manager</w:t>
      </w:r>
      <w:r w:rsidRPr="00A02B31">
        <w:rPr>
          <w:rFonts w:cstheme="minorHAnsi"/>
          <w:sz w:val="20"/>
          <w:szCs w:val="20"/>
        </w:rPr>
        <w:t xml:space="preserve"> actively engage</w:t>
      </w:r>
      <w:r w:rsidR="00181981" w:rsidRPr="00A02B31">
        <w:rPr>
          <w:rFonts w:cstheme="minorHAnsi"/>
          <w:sz w:val="20"/>
          <w:szCs w:val="20"/>
        </w:rPr>
        <w:t>s</w:t>
      </w:r>
      <w:r w:rsidRPr="00A02B31">
        <w:rPr>
          <w:rFonts w:cstheme="minorHAnsi"/>
          <w:sz w:val="20"/>
          <w:szCs w:val="20"/>
        </w:rPr>
        <w:t xml:space="preserve"> with companies as an integrated part of </w:t>
      </w:r>
      <w:r w:rsidR="00181981" w:rsidRPr="00A02B31">
        <w:rPr>
          <w:rFonts w:cstheme="minorHAnsi"/>
          <w:sz w:val="20"/>
          <w:szCs w:val="20"/>
        </w:rPr>
        <w:t>their</w:t>
      </w:r>
      <w:r w:rsidRPr="00A02B31">
        <w:rPr>
          <w:rFonts w:cstheme="minorHAnsi"/>
          <w:sz w:val="20"/>
          <w:szCs w:val="20"/>
        </w:rPr>
        <w:t xml:space="preserve"> philosophy and process. This is often including through </w:t>
      </w:r>
      <w:r w:rsidR="00193BFE" w:rsidRPr="00A02B31">
        <w:rPr>
          <w:rFonts w:cstheme="minorHAnsi"/>
          <w:sz w:val="20"/>
          <w:szCs w:val="20"/>
        </w:rPr>
        <w:t>b</w:t>
      </w:r>
      <w:r w:rsidRPr="00A02B31">
        <w:rPr>
          <w:rFonts w:cstheme="minorHAnsi"/>
          <w:sz w:val="20"/>
          <w:szCs w:val="20"/>
        </w:rPr>
        <w:t>oard representation</w:t>
      </w:r>
      <w:r w:rsidR="00D53EDE" w:rsidRPr="00A02B31">
        <w:rPr>
          <w:rFonts w:cstheme="minorHAnsi"/>
          <w:sz w:val="20"/>
          <w:szCs w:val="20"/>
        </w:rPr>
        <w:t>,</w:t>
      </w:r>
      <w:r w:rsidR="00181981" w:rsidRPr="00A02B31">
        <w:rPr>
          <w:rFonts w:cstheme="minorHAnsi"/>
          <w:sz w:val="20"/>
          <w:szCs w:val="20"/>
        </w:rPr>
        <w:t xml:space="preserve"> which helps</w:t>
      </w:r>
      <w:r w:rsidRPr="00A02B31">
        <w:rPr>
          <w:rFonts w:cstheme="minorHAnsi"/>
          <w:sz w:val="20"/>
          <w:szCs w:val="20"/>
        </w:rPr>
        <w:t xml:space="preserve"> ensure corporate </w:t>
      </w:r>
      <w:r w:rsidR="00181981" w:rsidRPr="00A02B31">
        <w:rPr>
          <w:rFonts w:cstheme="minorHAnsi"/>
          <w:sz w:val="20"/>
          <w:szCs w:val="20"/>
        </w:rPr>
        <w:t>g</w:t>
      </w:r>
      <w:r w:rsidRPr="00A02B31">
        <w:rPr>
          <w:rFonts w:cstheme="minorHAnsi"/>
          <w:sz w:val="20"/>
          <w:szCs w:val="20"/>
        </w:rPr>
        <w:t xml:space="preserve">overnance is structured appropriately, </w:t>
      </w:r>
      <w:r w:rsidR="00181981" w:rsidRPr="00A02B31">
        <w:rPr>
          <w:rFonts w:cstheme="minorHAnsi"/>
          <w:sz w:val="20"/>
          <w:szCs w:val="20"/>
        </w:rPr>
        <w:t>‘g</w:t>
      </w:r>
      <w:r w:rsidRPr="00A02B31">
        <w:rPr>
          <w:rFonts w:cstheme="minorHAnsi"/>
          <w:sz w:val="20"/>
          <w:szCs w:val="20"/>
        </w:rPr>
        <w:t>roupthink</w:t>
      </w:r>
      <w:r w:rsidR="00181981" w:rsidRPr="00A02B31">
        <w:rPr>
          <w:rFonts w:cstheme="minorHAnsi"/>
          <w:sz w:val="20"/>
          <w:szCs w:val="20"/>
        </w:rPr>
        <w:t>’ is avoided</w:t>
      </w:r>
      <w:r w:rsidRPr="00A02B31">
        <w:rPr>
          <w:rFonts w:cstheme="minorHAnsi"/>
          <w:sz w:val="20"/>
          <w:szCs w:val="20"/>
        </w:rPr>
        <w:t xml:space="preserve"> and </w:t>
      </w:r>
      <w:r w:rsidR="00181981" w:rsidRPr="00A02B31">
        <w:rPr>
          <w:rFonts w:cstheme="minorHAnsi"/>
          <w:sz w:val="20"/>
          <w:szCs w:val="20"/>
        </w:rPr>
        <w:t xml:space="preserve">the </w:t>
      </w:r>
      <w:r w:rsidR="00193BFE" w:rsidRPr="00A02B31">
        <w:rPr>
          <w:rFonts w:cstheme="minorHAnsi"/>
          <w:sz w:val="20"/>
          <w:szCs w:val="20"/>
        </w:rPr>
        <w:t>b</w:t>
      </w:r>
      <w:r w:rsidR="00181981" w:rsidRPr="00A02B31">
        <w:rPr>
          <w:rFonts w:cstheme="minorHAnsi"/>
          <w:sz w:val="20"/>
          <w:szCs w:val="20"/>
        </w:rPr>
        <w:t xml:space="preserve">oard </w:t>
      </w:r>
      <w:r w:rsidRPr="00A02B31">
        <w:rPr>
          <w:rFonts w:cstheme="minorHAnsi"/>
          <w:sz w:val="20"/>
          <w:szCs w:val="20"/>
        </w:rPr>
        <w:t xml:space="preserve">is working effectively to deliver </w:t>
      </w:r>
      <w:r w:rsidR="00193BFE" w:rsidRPr="00A02B31">
        <w:rPr>
          <w:rFonts w:cstheme="minorHAnsi"/>
          <w:sz w:val="20"/>
          <w:szCs w:val="20"/>
        </w:rPr>
        <w:t>s</w:t>
      </w:r>
      <w:r w:rsidRPr="00A02B31">
        <w:rPr>
          <w:rFonts w:cstheme="minorHAnsi"/>
          <w:sz w:val="20"/>
          <w:szCs w:val="20"/>
        </w:rPr>
        <w:t>hareholder value.</w:t>
      </w:r>
    </w:p>
    <w:p w14:paraId="3EB18458" w14:textId="77777777" w:rsidR="00181981" w:rsidRPr="00A02B31" w:rsidRDefault="00181981" w:rsidP="00F513FB">
      <w:pPr>
        <w:autoSpaceDE w:val="0"/>
        <w:autoSpaceDN w:val="0"/>
        <w:adjustRightInd w:val="0"/>
        <w:jc w:val="both"/>
        <w:rPr>
          <w:rFonts w:cstheme="minorHAnsi"/>
          <w:sz w:val="20"/>
          <w:szCs w:val="20"/>
        </w:rPr>
      </w:pPr>
    </w:p>
    <w:p w14:paraId="36209437" w14:textId="472E9C9E" w:rsidR="00A0091A" w:rsidRPr="00A02B31" w:rsidRDefault="00A0091A" w:rsidP="00A0091A">
      <w:pPr>
        <w:autoSpaceDE w:val="0"/>
        <w:autoSpaceDN w:val="0"/>
        <w:adjustRightInd w:val="0"/>
        <w:jc w:val="both"/>
        <w:rPr>
          <w:rFonts w:cstheme="minorHAnsi"/>
          <w:sz w:val="20"/>
          <w:szCs w:val="20"/>
        </w:rPr>
      </w:pPr>
    </w:p>
    <w:tbl>
      <w:tblPr>
        <w:tblStyle w:val="TableGrid"/>
        <w:tblpPr w:leftFromText="180" w:rightFromText="180" w:vertAnchor="text" w:horzAnchor="margin" w:tblpY="505"/>
        <w:tblW w:w="5043" w:type="pct"/>
        <w:tblLook w:val="04A0" w:firstRow="1" w:lastRow="0" w:firstColumn="1" w:lastColumn="0" w:noHBand="0" w:noVBand="1"/>
      </w:tblPr>
      <w:tblGrid>
        <w:gridCol w:w="1316"/>
        <w:gridCol w:w="1492"/>
        <w:gridCol w:w="2343"/>
        <w:gridCol w:w="2218"/>
        <w:gridCol w:w="2343"/>
      </w:tblGrid>
      <w:tr w:rsidR="00D92291" w:rsidRPr="008B2DDA" w14:paraId="1AC489D6" w14:textId="77777777" w:rsidTr="00D92291">
        <w:trPr>
          <w:trHeight w:val="250"/>
        </w:trPr>
        <w:tc>
          <w:tcPr>
            <w:tcW w:w="678" w:type="pct"/>
          </w:tcPr>
          <w:p w14:paraId="0850500E" w14:textId="119E94C3" w:rsidR="00D92291" w:rsidRPr="008B2DDA" w:rsidRDefault="00D92291" w:rsidP="00240669">
            <w:pPr>
              <w:rPr>
                <w:rStyle w:val="IntenseEmphasis"/>
                <w:rFonts w:cstheme="minorHAnsi"/>
                <w:b/>
                <w:i w:val="0"/>
                <w:iCs w:val="0"/>
                <w:sz w:val="20"/>
                <w:szCs w:val="20"/>
              </w:rPr>
            </w:pPr>
            <w:r w:rsidRPr="008B2DDA">
              <w:rPr>
                <w:rStyle w:val="IntenseEmphasis"/>
                <w:rFonts w:cstheme="minorHAnsi"/>
                <w:b/>
                <w:i w:val="0"/>
                <w:sz w:val="20"/>
                <w:szCs w:val="20"/>
              </w:rPr>
              <w:t xml:space="preserve">Stakeholder </w:t>
            </w:r>
            <w:r w:rsidR="003C42F6" w:rsidRPr="008B2DDA">
              <w:rPr>
                <w:rStyle w:val="IntenseEmphasis"/>
                <w:rFonts w:cstheme="minorHAnsi"/>
                <w:b/>
                <w:i w:val="0"/>
                <w:sz w:val="20"/>
                <w:szCs w:val="20"/>
              </w:rPr>
              <w:t>g</w:t>
            </w:r>
            <w:r w:rsidRPr="008B2DDA">
              <w:rPr>
                <w:rStyle w:val="IntenseEmphasis"/>
                <w:rFonts w:cstheme="minorHAnsi"/>
                <w:b/>
                <w:i w:val="0"/>
                <w:sz w:val="20"/>
                <w:szCs w:val="20"/>
              </w:rPr>
              <w:t>roup</w:t>
            </w:r>
          </w:p>
        </w:tc>
        <w:tc>
          <w:tcPr>
            <w:tcW w:w="768" w:type="pct"/>
          </w:tcPr>
          <w:p w14:paraId="0C1BE9AD" w14:textId="77777777" w:rsidR="00D92291" w:rsidRPr="008B2DDA" w:rsidRDefault="00D92291" w:rsidP="00240669">
            <w:pPr>
              <w:rPr>
                <w:rStyle w:val="IntenseEmphasis"/>
                <w:rFonts w:cstheme="minorHAnsi"/>
                <w:b/>
                <w:i w:val="0"/>
                <w:iCs w:val="0"/>
                <w:sz w:val="20"/>
                <w:szCs w:val="20"/>
              </w:rPr>
            </w:pPr>
            <w:r w:rsidRPr="008B2DDA">
              <w:rPr>
                <w:rStyle w:val="IntenseEmphasis"/>
                <w:rFonts w:cstheme="minorHAnsi"/>
                <w:b/>
                <w:i w:val="0"/>
                <w:sz w:val="20"/>
                <w:szCs w:val="20"/>
              </w:rPr>
              <w:t>Importance of engagement</w:t>
            </w:r>
          </w:p>
        </w:tc>
        <w:tc>
          <w:tcPr>
            <w:tcW w:w="1206" w:type="pct"/>
          </w:tcPr>
          <w:p w14:paraId="25E05B5B" w14:textId="7EA38F33" w:rsidR="00D92291" w:rsidRPr="008B2DDA" w:rsidRDefault="00D92291" w:rsidP="00240669">
            <w:pPr>
              <w:rPr>
                <w:rStyle w:val="IntenseEmphasis"/>
                <w:rFonts w:cstheme="minorHAnsi"/>
                <w:b/>
                <w:i w:val="0"/>
                <w:iCs w:val="0"/>
                <w:sz w:val="20"/>
                <w:szCs w:val="20"/>
              </w:rPr>
            </w:pPr>
            <w:r w:rsidRPr="008B2DDA">
              <w:rPr>
                <w:rStyle w:val="IntenseEmphasis"/>
                <w:rFonts w:cstheme="minorHAnsi"/>
                <w:b/>
                <w:i w:val="0"/>
                <w:sz w:val="20"/>
                <w:szCs w:val="20"/>
              </w:rPr>
              <w:t xml:space="preserve">Key </w:t>
            </w:r>
            <w:r w:rsidR="0047537B" w:rsidRPr="008B2DDA">
              <w:rPr>
                <w:rStyle w:val="IntenseEmphasis"/>
                <w:rFonts w:cstheme="minorHAnsi"/>
                <w:b/>
                <w:i w:val="0"/>
                <w:sz w:val="20"/>
                <w:szCs w:val="20"/>
              </w:rPr>
              <w:t>m</w:t>
            </w:r>
            <w:r w:rsidRPr="008B2DDA">
              <w:rPr>
                <w:rStyle w:val="IntenseEmphasis"/>
                <w:rFonts w:cstheme="minorHAnsi"/>
                <w:b/>
                <w:i w:val="0"/>
                <w:sz w:val="20"/>
                <w:szCs w:val="20"/>
              </w:rPr>
              <w:t xml:space="preserve">ethods of </w:t>
            </w:r>
            <w:r w:rsidR="00E902EF" w:rsidRPr="008B2DDA">
              <w:rPr>
                <w:rStyle w:val="IntenseEmphasis"/>
                <w:rFonts w:cstheme="minorHAnsi"/>
                <w:b/>
                <w:i w:val="0"/>
                <w:sz w:val="20"/>
                <w:szCs w:val="20"/>
              </w:rPr>
              <w:t>e</w:t>
            </w:r>
            <w:r w:rsidRPr="008B2DDA">
              <w:rPr>
                <w:rStyle w:val="IntenseEmphasis"/>
                <w:rFonts w:cstheme="minorHAnsi"/>
                <w:b/>
                <w:i w:val="0"/>
                <w:sz w:val="20"/>
                <w:szCs w:val="20"/>
              </w:rPr>
              <w:t xml:space="preserve">ngagement </w:t>
            </w:r>
          </w:p>
        </w:tc>
        <w:tc>
          <w:tcPr>
            <w:tcW w:w="1142" w:type="pct"/>
          </w:tcPr>
          <w:p w14:paraId="2B1D6CCE" w14:textId="63B99C26" w:rsidR="00D92291" w:rsidRPr="008B2DDA" w:rsidRDefault="00D92291" w:rsidP="00240669">
            <w:pPr>
              <w:rPr>
                <w:rStyle w:val="IntenseEmphasis"/>
                <w:rFonts w:cstheme="minorHAnsi"/>
                <w:b/>
                <w:i w:val="0"/>
                <w:iCs w:val="0"/>
                <w:sz w:val="20"/>
                <w:szCs w:val="20"/>
              </w:rPr>
            </w:pPr>
            <w:r w:rsidRPr="008B2DDA">
              <w:rPr>
                <w:rStyle w:val="IntenseEmphasis"/>
                <w:rFonts w:cstheme="minorHAnsi"/>
                <w:b/>
                <w:i w:val="0"/>
                <w:sz w:val="20"/>
                <w:szCs w:val="20"/>
              </w:rPr>
              <w:t xml:space="preserve">Topics of </w:t>
            </w:r>
            <w:r w:rsidR="00E902EF" w:rsidRPr="008B2DDA">
              <w:rPr>
                <w:rStyle w:val="IntenseEmphasis"/>
                <w:rFonts w:cstheme="minorHAnsi"/>
                <w:b/>
                <w:i w:val="0"/>
                <w:sz w:val="20"/>
                <w:szCs w:val="20"/>
              </w:rPr>
              <w:t>e</w:t>
            </w:r>
            <w:r w:rsidRPr="008B2DDA">
              <w:rPr>
                <w:rStyle w:val="IntenseEmphasis"/>
                <w:rFonts w:cstheme="minorHAnsi"/>
                <w:b/>
                <w:i w:val="0"/>
                <w:sz w:val="20"/>
                <w:szCs w:val="20"/>
              </w:rPr>
              <w:t>ngagement</w:t>
            </w:r>
          </w:p>
        </w:tc>
        <w:tc>
          <w:tcPr>
            <w:tcW w:w="1206" w:type="pct"/>
          </w:tcPr>
          <w:p w14:paraId="22E3DDE6" w14:textId="77777777" w:rsidR="00D92291" w:rsidRPr="008B2DDA" w:rsidRDefault="00D92291" w:rsidP="00240669">
            <w:pPr>
              <w:rPr>
                <w:rStyle w:val="IntenseEmphasis"/>
                <w:rFonts w:cstheme="minorHAnsi"/>
                <w:b/>
                <w:i w:val="0"/>
                <w:iCs w:val="0"/>
                <w:sz w:val="20"/>
                <w:szCs w:val="20"/>
              </w:rPr>
            </w:pPr>
            <w:r w:rsidRPr="008B2DDA">
              <w:rPr>
                <w:rStyle w:val="IntenseEmphasis"/>
                <w:rFonts w:cstheme="minorHAnsi"/>
                <w:b/>
                <w:i w:val="0"/>
                <w:sz w:val="20"/>
                <w:szCs w:val="20"/>
              </w:rPr>
              <w:t>Outcome and actions</w:t>
            </w:r>
          </w:p>
        </w:tc>
      </w:tr>
      <w:tr w:rsidR="00D92291" w:rsidRPr="008B2DDA" w14:paraId="3CA96707" w14:textId="77777777" w:rsidTr="00D92291">
        <w:trPr>
          <w:trHeight w:val="235"/>
        </w:trPr>
        <w:tc>
          <w:tcPr>
            <w:tcW w:w="678" w:type="pct"/>
          </w:tcPr>
          <w:p w14:paraId="00E8A2F3" w14:textId="77777777" w:rsidR="00D92291" w:rsidRPr="008B2DDA" w:rsidRDefault="00D92291" w:rsidP="00240669">
            <w:pPr>
              <w:rPr>
                <w:rStyle w:val="IntenseEmphasis"/>
                <w:rFonts w:cstheme="minorHAnsi"/>
                <w:i w:val="0"/>
                <w:iCs w:val="0"/>
                <w:sz w:val="20"/>
                <w:szCs w:val="20"/>
              </w:rPr>
            </w:pPr>
          </w:p>
        </w:tc>
        <w:tc>
          <w:tcPr>
            <w:tcW w:w="768" w:type="pct"/>
          </w:tcPr>
          <w:p w14:paraId="77BFED56" w14:textId="77777777" w:rsidR="00D92291" w:rsidRPr="008B2DDA" w:rsidRDefault="00D92291" w:rsidP="00240669">
            <w:pPr>
              <w:rPr>
                <w:rStyle w:val="IntenseEmphasis"/>
                <w:rFonts w:cstheme="minorHAnsi"/>
                <w:i w:val="0"/>
                <w:iCs w:val="0"/>
                <w:sz w:val="20"/>
                <w:szCs w:val="20"/>
              </w:rPr>
            </w:pPr>
          </w:p>
        </w:tc>
        <w:tc>
          <w:tcPr>
            <w:tcW w:w="1206" w:type="pct"/>
          </w:tcPr>
          <w:p w14:paraId="1900EAC4" w14:textId="77777777" w:rsidR="00D92291" w:rsidRPr="008B2DDA" w:rsidRDefault="00D92291" w:rsidP="00240669">
            <w:pPr>
              <w:rPr>
                <w:rStyle w:val="IntenseEmphasis"/>
                <w:rFonts w:cstheme="minorHAnsi"/>
                <w:i w:val="0"/>
                <w:iCs w:val="0"/>
                <w:sz w:val="20"/>
                <w:szCs w:val="20"/>
              </w:rPr>
            </w:pPr>
          </w:p>
        </w:tc>
        <w:tc>
          <w:tcPr>
            <w:tcW w:w="1142" w:type="pct"/>
          </w:tcPr>
          <w:p w14:paraId="533B1D38" w14:textId="77777777" w:rsidR="00D92291" w:rsidRPr="008B2DDA" w:rsidRDefault="00D92291" w:rsidP="00240669">
            <w:pPr>
              <w:rPr>
                <w:rStyle w:val="IntenseEmphasis"/>
                <w:rFonts w:cstheme="minorHAnsi"/>
                <w:i w:val="0"/>
                <w:iCs w:val="0"/>
                <w:sz w:val="20"/>
                <w:szCs w:val="20"/>
              </w:rPr>
            </w:pPr>
          </w:p>
        </w:tc>
        <w:tc>
          <w:tcPr>
            <w:tcW w:w="1206" w:type="pct"/>
          </w:tcPr>
          <w:p w14:paraId="1DDCDA24" w14:textId="77777777" w:rsidR="00D92291" w:rsidRPr="008B2DDA" w:rsidRDefault="00D92291" w:rsidP="00240669">
            <w:pPr>
              <w:rPr>
                <w:rStyle w:val="IntenseEmphasis"/>
                <w:rFonts w:cstheme="minorHAnsi"/>
                <w:i w:val="0"/>
                <w:iCs w:val="0"/>
                <w:sz w:val="20"/>
                <w:szCs w:val="20"/>
              </w:rPr>
            </w:pPr>
          </w:p>
        </w:tc>
      </w:tr>
      <w:tr w:rsidR="00D92291" w:rsidRPr="008B2DDA" w14:paraId="27F81583" w14:textId="77777777" w:rsidTr="00D92291">
        <w:trPr>
          <w:trHeight w:val="916"/>
        </w:trPr>
        <w:tc>
          <w:tcPr>
            <w:tcW w:w="678" w:type="pct"/>
          </w:tcPr>
          <w:p w14:paraId="49E24A1D" w14:textId="77777777" w:rsidR="00D92291" w:rsidRPr="008B2DDA" w:rsidRDefault="00D92291" w:rsidP="00240669">
            <w:pPr>
              <w:jc w:val="both"/>
              <w:rPr>
                <w:rStyle w:val="IntenseEmphasis"/>
                <w:rFonts w:cstheme="minorHAnsi"/>
                <w:b/>
                <w:i w:val="0"/>
                <w:iCs w:val="0"/>
                <w:sz w:val="20"/>
                <w:szCs w:val="20"/>
              </w:rPr>
            </w:pPr>
            <w:r w:rsidRPr="008B2DDA">
              <w:rPr>
                <w:rStyle w:val="IntenseEmphasis"/>
                <w:rFonts w:cstheme="minorHAnsi"/>
                <w:b/>
                <w:i w:val="0"/>
                <w:sz w:val="20"/>
                <w:szCs w:val="20"/>
              </w:rPr>
              <w:t xml:space="preserve">Shareholders </w:t>
            </w:r>
          </w:p>
        </w:tc>
        <w:tc>
          <w:tcPr>
            <w:tcW w:w="768" w:type="pct"/>
          </w:tcPr>
          <w:p w14:paraId="09421AD2" w14:textId="62A84B20" w:rsidR="00D92291" w:rsidRPr="008B2DDA" w:rsidRDefault="00D92291" w:rsidP="004925BA">
            <w:pPr>
              <w:autoSpaceDE w:val="0"/>
              <w:autoSpaceDN w:val="0"/>
              <w:adjustRightInd w:val="0"/>
              <w:rPr>
                <w:rFonts w:cstheme="minorHAnsi"/>
                <w:color w:val="000000"/>
                <w:sz w:val="20"/>
                <w:szCs w:val="20"/>
              </w:rPr>
            </w:pPr>
            <w:r w:rsidRPr="008B2DDA">
              <w:rPr>
                <w:rFonts w:cstheme="minorHAnsi"/>
                <w:color w:val="000000"/>
                <w:sz w:val="20"/>
                <w:szCs w:val="20"/>
              </w:rPr>
              <w:t>Shareholders remain central to the Company’s ability to access capital to support its strategic objectives and goals and in ensuring the long-term success of the business</w:t>
            </w:r>
          </w:p>
          <w:p w14:paraId="480BAD6D" w14:textId="77777777" w:rsidR="00D92291" w:rsidRPr="008B2DDA" w:rsidRDefault="00D92291" w:rsidP="004925BA">
            <w:pPr>
              <w:autoSpaceDE w:val="0"/>
              <w:autoSpaceDN w:val="0"/>
              <w:adjustRightInd w:val="0"/>
              <w:rPr>
                <w:rFonts w:cstheme="minorHAnsi"/>
                <w:sz w:val="20"/>
                <w:szCs w:val="20"/>
              </w:rPr>
            </w:pPr>
          </w:p>
          <w:p w14:paraId="0308FEDA" w14:textId="374B8D6C" w:rsidR="00D92291" w:rsidRPr="008B2DDA" w:rsidRDefault="00D92291" w:rsidP="004925BA">
            <w:pPr>
              <w:autoSpaceDE w:val="0"/>
              <w:autoSpaceDN w:val="0"/>
              <w:adjustRightInd w:val="0"/>
              <w:rPr>
                <w:rStyle w:val="IntenseEmphasis"/>
                <w:rFonts w:cstheme="minorHAnsi"/>
                <w:i w:val="0"/>
                <w:iCs w:val="0"/>
                <w:sz w:val="20"/>
                <w:szCs w:val="20"/>
              </w:rPr>
            </w:pPr>
            <w:r w:rsidRPr="00A02B31">
              <w:rPr>
                <w:rFonts w:cstheme="minorHAnsi"/>
                <w:sz w:val="20"/>
                <w:szCs w:val="20"/>
              </w:rPr>
              <w:t xml:space="preserve">The </w:t>
            </w:r>
            <w:r w:rsidR="00193BFE" w:rsidRPr="008B2DDA">
              <w:rPr>
                <w:rFonts w:cstheme="minorHAnsi"/>
                <w:sz w:val="20"/>
                <w:szCs w:val="20"/>
              </w:rPr>
              <w:t>b</w:t>
            </w:r>
            <w:r w:rsidRPr="008B2DDA">
              <w:rPr>
                <w:rFonts w:cstheme="minorHAnsi"/>
                <w:sz w:val="20"/>
                <w:szCs w:val="20"/>
              </w:rPr>
              <w:t xml:space="preserve">oard is committed to ensuring that there is open and effective communication with the Company’s shareholders on a range of </w:t>
            </w:r>
            <w:r w:rsidRPr="008B2DDA">
              <w:rPr>
                <w:rFonts w:cstheme="minorHAnsi"/>
                <w:sz w:val="20"/>
                <w:szCs w:val="20"/>
              </w:rPr>
              <w:lastRenderedPageBreak/>
              <w:t xml:space="preserve">matters including: governance, strategy and performance against the Company’s investment objective and policy to ensure that the </w:t>
            </w:r>
            <w:r w:rsidR="00193BFE" w:rsidRPr="008B2DDA">
              <w:rPr>
                <w:rFonts w:cstheme="minorHAnsi"/>
                <w:sz w:val="20"/>
                <w:szCs w:val="20"/>
              </w:rPr>
              <w:t>d</w:t>
            </w:r>
            <w:r w:rsidRPr="008B2DDA">
              <w:rPr>
                <w:rFonts w:cstheme="minorHAnsi"/>
                <w:sz w:val="20"/>
                <w:szCs w:val="20"/>
              </w:rPr>
              <w:t>irectors understand the views of shareholders on such matters</w:t>
            </w:r>
          </w:p>
        </w:tc>
        <w:tc>
          <w:tcPr>
            <w:tcW w:w="1206" w:type="pct"/>
          </w:tcPr>
          <w:p w14:paraId="0B2592EB" w14:textId="77777777" w:rsidR="00D92291" w:rsidRPr="008B2DDA" w:rsidRDefault="00D92291" w:rsidP="004925BA">
            <w:pPr>
              <w:rPr>
                <w:rFonts w:cstheme="minorHAnsi"/>
                <w:sz w:val="20"/>
                <w:szCs w:val="20"/>
              </w:rPr>
            </w:pPr>
            <w:r w:rsidRPr="008B2DDA">
              <w:rPr>
                <w:rFonts w:cstheme="minorHAnsi"/>
                <w:sz w:val="20"/>
                <w:szCs w:val="20"/>
              </w:rPr>
              <w:lastRenderedPageBreak/>
              <w:t xml:space="preserve">The Company communicates with its shareholders in a number of ways including: </w:t>
            </w:r>
          </w:p>
          <w:p w14:paraId="3B81EACF" w14:textId="77777777" w:rsidR="00D92291" w:rsidRPr="008B2DDA" w:rsidRDefault="00D92291" w:rsidP="004925BA">
            <w:pPr>
              <w:rPr>
                <w:rFonts w:cstheme="minorHAnsi"/>
                <w:sz w:val="20"/>
                <w:szCs w:val="20"/>
              </w:rPr>
            </w:pPr>
          </w:p>
          <w:p w14:paraId="0219E2D5" w14:textId="687D4046" w:rsidR="00D92291" w:rsidRPr="008B2DDA" w:rsidRDefault="00193BFE" w:rsidP="00193BFE">
            <w:pPr>
              <w:pStyle w:val="ListParagraph"/>
              <w:numPr>
                <w:ilvl w:val="0"/>
                <w:numId w:val="29"/>
              </w:numPr>
              <w:ind w:left="196" w:hanging="218"/>
              <w:rPr>
                <w:rFonts w:cstheme="minorHAnsi"/>
                <w:sz w:val="20"/>
                <w:szCs w:val="20"/>
              </w:rPr>
            </w:pPr>
            <w:r w:rsidRPr="008B2DDA">
              <w:rPr>
                <w:rFonts w:cstheme="minorHAnsi"/>
                <w:sz w:val="20"/>
                <w:szCs w:val="20"/>
              </w:rPr>
              <w:t>T</w:t>
            </w:r>
            <w:r w:rsidR="00D92291" w:rsidRPr="008B2DDA">
              <w:rPr>
                <w:rFonts w:cstheme="minorHAnsi"/>
                <w:sz w:val="20"/>
                <w:szCs w:val="20"/>
              </w:rPr>
              <w:t>hrough its annual and half-yearly reports</w:t>
            </w:r>
          </w:p>
          <w:p w14:paraId="361FAF31" w14:textId="216FAE9F" w:rsidR="00D92291" w:rsidRPr="008B2DDA" w:rsidRDefault="00D92291" w:rsidP="00193BFE">
            <w:pPr>
              <w:pStyle w:val="ListParagraph"/>
              <w:numPr>
                <w:ilvl w:val="0"/>
                <w:numId w:val="29"/>
              </w:numPr>
              <w:ind w:left="196" w:hanging="218"/>
              <w:rPr>
                <w:rFonts w:cstheme="minorHAnsi"/>
                <w:sz w:val="20"/>
                <w:szCs w:val="20"/>
              </w:rPr>
            </w:pPr>
            <w:r w:rsidRPr="008B2DDA">
              <w:rPr>
                <w:rFonts w:cstheme="minorHAnsi"/>
                <w:sz w:val="20"/>
                <w:szCs w:val="20"/>
              </w:rPr>
              <w:t>Regulatory announcements</w:t>
            </w:r>
          </w:p>
          <w:p w14:paraId="7890ABEA" w14:textId="548ABB37" w:rsidR="00D92291" w:rsidRPr="008B2DDA" w:rsidRDefault="00D92291" w:rsidP="00193BFE">
            <w:pPr>
              <w:pStyle w:val="ListParagraph"/>
              <w:numPr>
                <w:ilvl w:val="0"/>
                <w:numId w:val="29"/>
              </w:numPr>
              <w:ind w:left="196" w:hanging="218"/>
              <w:rPr>
                <w:rFonts w:cstheme="minorHAnsi"/>
                <w:sz w:val="20"/>
                <w:szCs w:val="20"/>
              </w:rPr>
            </w:pPr>
            <w:r w:rsidRPr="008B2DDA">
              <w:rPr>
                <w:rFonts w:cstheme="minorHAnsi"/>
                <w:sz w:val="20"/>
                <w:szCs w:val="20"/>
              </w:rPr>
              <w:t>Website - the website provides all existing and potential shareholders with information about the Company, its investment policy and performance to allow shareholders to fully understand the risk/reward balance of holding shares in the Company</w:t>
            </w:r>
          </w:p>
          <w:p w14:paraId="61201AEE" w14:textId="693D0252" w:rsidR="00D92291" w:rsidRPr="008B2DDA" w:rsidRDefault="00D92291" w:rsidP="00193BFE">
            <w:pPr>
              <w:pStyle w:val="ListParagraph"/>
              <w:numPr>
                <w:ilvl w:val="0"/>
                <w:numId w:val="29"/>
              </w:numPr>
              <w:ind w:left="196" w:hanging="218"/>
              <w:rPr>
                <w:rFonts w:cstheme="minorHAnsi"/>
                <w:sz w:val="20"/>
                <w:szCs w:val="20"/>
              </w:rPr>
            </w:pPr>
            <w:r w:rsidRPr="008B2DDA">
              <w:rPr>
                <w:rFonts w:cstheme="minorHAnsi"/>
                <w:sz w:val="20"/>
                <w:szCs w:val="20"/>
              </w:rPr>
              <w:t xml:space="preserve">Informal meetings: the Chairman meets with the Company’s major </w:t>
            </w:r>
            <w:r w:rsidRPr="008B2DDA">
              <w:rPr>
                <w:rFonts w:cstheme="minorHAnsi"/>
                <w:sz w:val="20"/>
                <w:szCs w:val="20"/>
              </w:rPr>
              <w:lastRenderedPageBreak/>
              <w:t>shareholders annually if they wish to do so to discuss matters of governance, strategy and performance against the Company’s investment objective and policy</w:t>
            </w:r>
          </w:p>
          <w:p w14:paraId="27B5FE18" w14:textId="57EBEF89" w:rsidR="00D92291" w:rsidRPr="008B2DDA" w:rsidRDefault="00D92291" w:rsidP="009A15AA">
            <w:pPr>
              <w:pStyle w:val="ListParagraph"/>
              <w:numPr>
                <w:ilvl w:val="0"/>
                <w:numId w:val="29"/>
              </w:numPr>
              <w:ind w:left="196" w:hanging="218"/>
              <w:rPr>
                <w:rStyle w:val="IntenseEmphasis"/>
                <w:rFonts w:cstheme="minorHAnsi"/>
                <w:i w:val="0"/>
                <w:iCs w:val="0"/>
                <w:sz w:val="20"/>
                <w:szCs w:val="20"/>
              </w:rPr>
            </w:pPr>
            <w:r w:rsidRPr="00A02B31">
              <w:rPr>
                <w:rFonts w:cstheme="minorHAnsi"/>
                <w:sz w:val="20"/>
                <w:szCs w:val="20"/>
              </w:rPr>
              <w:t>Annual General Meeting: this provides a further opportunity to communicate with shareholders who attend and for the Board to respond to their questions at the meeting. All shareholders are encouraged to attend and vote at the Company’s AGM, to be held on 1</w:t>
            </w:r>
            <w:r w:rsidR="00F2762B" w:rsidRPr="008B2DDA">
              <w:rPr>
                <w:rFonts w:cstheme="minorHAnsi"/>
                <w:sz w:val="20"/>
                <w:szCs w:val="20"/>
              </w:rPr>
              <w:t>3 September 2022</w:t>
            </w:r>
            <w:r w:rsidRPr="008B2DDA">
              <w:rPr>
                <w:rFonts w:cstheme="minorHAnsi"/>
                <w:sz w:val="20"/>
                <w:szCs w:val="20"/>
              </w:rPr>
              <w:t xml:space="preserve"> at 1</w:t>
            </w:r>
            <w:r w:rsidR="009A15AA" w:rsidRPr="008B2DDA">
              <w:rPr>
                <w:rFonts w:cstheme="minorHAnsi"/>
                <w:sz w:val="20"/>
                <w:szCs w:val="20"/>
              </w:rPr>
              <w:t>1</w:t>
            </w:r>
            <w:r w:rsidRPr="008B2DDA">
              <w:rPr>
                <w:rFonts w:cstheme="minorHAnsi"/>
                <w:sz w:val="20"/>
                <w:szCs w:val="20"/>
              </w:rPr>
              <w:t>:00am</w:t>
            </w:r>
            <w:r w:rsidR="00340783" w:rsidRPr="008B2DDA">
              <w:rPr>
                <w:rFonts w:cstheme="minorHAnsi"/>
                <w:sz w:val="20"/>
                <w:szCs w:val="20"/>
              </w:rPr>
              <w:t>.</w:t>
            </w:r>
          </w:p>
        </w:tc>
        <w:tc>
          <w:tcPr>
            <w:tcW w:w="1142" w:type="pct"/>
          </w:tcPr>
          <w:p w14:paraId="4F4D5F83" w14:textId="67A26383" w:rsidR="00193BFE" w:rsidRPr="008B2DDA" w:rsidRDefault="00D53EDE" w:rsidP="00B5708A">
            <w:pPr>
              <w:ind w:left="-22"/>
              <w:rPr>
                <w:rFonts w:cstheme="minorHAnsi"/>
                <w:sz w:val="20"/>
                <w:szCs w:val="20"/>
              </w:rPr>
            </w:pPr>
            <w:r w:rsidRPr="008B2DDA">
              <w:rPr>
                <w:rFonts w:cstheme="minorHAnsi"/>
                <w:sz w:val="20"/>
                <w:szCs w:val="20"/>
              </w:rPr>
              <w:lastRenderedPageBreak/>
              <w:t>A ’Strategic Review’ was conducted during the year inv</w:t>
            </w:r>
            <w:r w:rsidR="00281BB5" w:rsidRPr="008B2DDA">
              <w:rPr>
                <w:rFonts w:cstheme="minorHAnsi"/>
                <w:sz w:val="20"/>
                <w:szCs w:val="20"/>
              </w:rPr>
              <w:t>olving significant engagement with shareholders</w:t>
            </w:r>
            <w:r w:rsidR="00193BFE" w:rsidRPr="008B2DDA">
              <w:rPr>
                <w:rFonts w:cstheme="minorHAnsi"/>
                <w:sz w:val="20"/>
                <w:szCs w:val="20"/>
              </w:rPr>
              <w:t>.</w:t>
            </w:r>
          </w:p>
          <w:p w14:paraId="0BEE2057" w14:textId="67FCF8B1" w:rsidR="00281BB5" w:rsidRPr="00A02B31" w:rsidRDefault="00281BB5" w:rsidP="00B5708A">
            <w:pPr>
              <w:ind w:left="-22"/>
              <w:rPr>
                <w:rFonts w:cstheme="minorHAnsi"/>
                <w:sz w:val="20"/>
                <w:szCs w:val="20"/>
              </w:rPr>
            </w:pPr>
          </w:p>
          <w:p w14:paraId="0B4E39E3" w14:textId="42E1D902" w:rsidR="00193BFE" w:rsidRPr="008B2DDA" w:rsidRDefault="009B5A13" w:rsidP="00B5708A">
            <w:pPr>
              <w:rPr>
                <w:rFonts w:cstheme="minorHAnsi"/>
                <w:sz w:val="20"/>
                <w:szCs w:val="20"/>
              </w:rPr>
            </w:pPr>
            <w:r w:rsidRPr="008B2DDA">
              <w:rPr>
                <w:rFonts w:cstheme="minorHAnsi"/>
                <w:sz w:val="20"/>
                <w:szCs w:val="20"/>
              </w:rPr>
              <w:t>Board composition</w:t>
            </w:r>
            <w:r w:rsidR="007A3545" w:rsidRPr="008B2DDA">
              <w:rPr>
                <w:rFonts w:cstheme="minorHAnsi"/>
                <w:sz w:val="20"/>
                <w:szCs w:val="20"/>
              </w:rPr>
              <w:t xml:space="preserve"> changed to reflect the new investment policy.</w:t>
            </w:r>
          </w:p>
          <w:p w14:paraId="0426998D" w14:textId="77777777" w:rsidR="009B5A13" w:rsidRPr="00A02B31" w:rsidRDefault="009B5A13" w:rsidP="00B5708A">
            <w:pPr>
              <w:rPr>
                <w:rFonts w:cstheme="minorHAnsi"/>
                <w:sz w:val="20"/>
                <w:szCs w:val="20"/>
              </w:rPr>
            </w:pPr>
          </w:p>
          <w:p w14:paraId="399EC831" w14:textId="082BCED8" w:rsidR="00D92291" w:rsidRPr="008B2DDA" w:rsidRDefault="00281BB5" w:rsidP="00B5708A">
            <w:pPr>
              <w:rPr>
                <w:rFonts w:cstheme="minorHAnsi"/>
                <w:sz w:val="20"/>
                <w:szCs w:val="20"/>
              </w:rPr>
            </w:pPr>
            <w:r w:rsidRPr="008B2DDA">
              <w:rPr>
                <w:rFonts w:cstheme="minorHAnsi"/>
                <w:sz w:val="20"/>
                <w:szCs w:val="20"/>
              </w:rPr>
              <w:t xml:space="preserve">Following further material evolution of the shareholder register </w:t>
            </w:r>
            <w:r w:rsidR="0024365F" w:rsidRPr="008B2DDA">
              <w:rPr>
                <w:rFonts w:cstheme="minorHAnsi"/>
                <w:sz w:val="20"/>
                <w:szCs w:val="20"/>
              </w:rPr>
              <w:t>further</w:t>
            </w:r>
            <w:r w:rsidRPr="008B2DDA">
              <w:rPr>
                <w:rFonts w:cstheme="minorHAnsi"/>
                <w:sz w:val="20"/>
                <w:szCs w:val="20"/>
              </w:rPr>
              <w:t xml:space="preserve"> discussions</w:t>
            </w:r>
            <w:r w:rsidR="0024365F" w:rsidRPr="008B2DDA">
              <w:rPr>
                <w:rFonts w:cstheme="minorHAnsi"/>
                <w:sz w:val="20"/>
                <w:szCs w:val="20"/>
              </w:rPr>
              <w:t xml:space="preserve"> were held </w:t>
            </w:r>
            <w:r w:rsidR="00193BFE" w:rsidRPr="008B2DDA">
              <w:rPr>
                <w:rFonts w:cstheme="minorHAnsi"/>
                <w:sz w:val="20"/>
                <w:szCs w:val="20"/>
              </w:rPr>
              <w:t>with shareholders</w:t>
            </w:r>
            <w:r w:rsidRPr="008B2DDA">
              <w:rPr>
                <w:rFonts w:cstheme="minorHAnsi"/>
                <w:sz w:val="20"/>
                <w:szCs w:val="20"/>
              </w:rPr>
              <w:t>.</w:t>
            </w:r>
          </w:p>
          <w:p w14:paraId="14A4900F" w14:textId="284149C6" w:rsidR="00D92291" w:rsidRPr="008B2DDA" w:rsidRDefault="00D92291" w:rsidP="00EE2D0E">
            <w:pPr>
              <w:pStyle w:val="ListParagraph"/>
              <w:rPr>
                <w:rStyle w:val="IntenseEmphasis"/>
                <w:rFonts w:cstheme="minorHAnsi"/>
                <w:i w:val="0"/>
                <w:iCs w:val="0"/>
                <w:sz w:val="20"/>
                <w:szCs w:val="20"/>
              </w:rPr>
            </w:pPr>
          </w:p>
        </w:tc>
        <w:tc>
          <w:tcPr>
            <w:tcW w:w="1206" w:type="pct"/>
          </w:tcPr>
          <w:p w14:paraId="71BE2E03" w14:textId="4A247C8D" w:rsidR="00D92291" w:rsidRPr="008B2DDA" w:rsidRDefault="00F3613B" w:rsidP="00F3613B">
            <w:pPr>
              <w:pStyle w:val="ListParagraph"/>
              <w:ind w:left="163"/>
              <w:rPr>
                <w:rStyle w:val="IntenseEmphasis"/>
                <w:rFonts w:cstheme="minorHAnsi"/>
                <w:i w:val="0"/>
                <w:iCs w:val="0"/>
                <w:sz w:val="20"/>
                <w:szCs w:val="20"/>
              </w:rPr>
            </w:pPr>
            <w:r w:rsidRPr="008B2DDA">
              <w:rPr>
                <w:rStyle w:val="IntenseEmphasis"/>
                <w:rFonts w:cstheme="minorHAnsi"/>
                <w:i w:val="0"/>
                <w:iCs w:val="0"/>
                <w:sz w:val="20"/>
                <w:szCs w:val="20"/>
              </w:rPr>
              <w:t xml:space="preserve">During the year there was a continuing dialogue with the previous largest shareholder, Gresham House plc. Gresham House plc was keen to make certain changes and as a result of the engagement Gresham House plc secured the appointment of a non-independent director, Graham Bird, the initiation of a strategic review and a change of Chairman. Subsequently Gresham House plc, through the mechanism of an extraordinary meeting of shareholders also secured the appointment of a further director, Simon </w:t>
            </w:r>
            <w:r w:rsidRPr="008B2DDA">
              <w:rPr>
                <w:rStyle w:val="IntenseEmphasis"/>
                <w:rFonts w:cstheme="minorHAnsi"/>
                <w:i w:val="0"/>
                <w:iCs w:val="0"/>
                <w:sz w:val="20"/>
                <w:szCs w:val="20"/>
              </w:rPr>
              <w:lastRenderedPageBreak/>
              <w:t>Pyper, a change of investment policy moving the company into run-off and a substantial return of capital to shareholders, as described in the chairman’s statement.  Following the sale of the shareholding of Gresham House plc to the new investment manager, Harwood Capital, there has been further engagement with shareholders at an extraordinary general meeting which resulted in overwhelming support for the return to the previous investment strategy.</w:t>
            </w:r>
          </w:p>
        </w:tc>
      </w:tr>
      <w:tr w:rsidR="00D92291" w:rsidRPr="008B2DDA" w14:paraId="3C7224FF" w14:textId="77777777" w:rsidTr="00D92291">
        <w:trPr>
          <w:trHeight w:val="235"/>
        </w:trPr>
        <w:tc>
          <w:tcPr>
            <w:tcW w:w="678" w:type="pct"/>
          </w:tcPr>
          <w:p w14:paraId="735E1622" w14:textId="77777777" w:rsidR="00D92291" w:rsidRPr="008B2DDA" w:rsidRDefault="00D92291" w:rsidP="00240669">
            <w:pPr>
              <w:rPr>
                <w:rStyle w:val="IntenseEmphasis"/>
                <w:rFonts w:cstheme="minorHAnsi"/>
                <w:i w:val="0"/>
                <w:iCs w:val="0"/>
                <w:sz w:val="20"/>
                <w:szCs w:val="20"/>
              </w:rPr>
            </w:pPr>
          </w:p>
        </w:tc>
        <w:tc>
          <w:tcPr>
            <w:tcW w:w="768" w:type="pct"/>
          </w:tcPr>
          <w:p w14:paraId="7B84047E" w14:textId="77777777" w:rsidR="00D92291" w:rsidRPr="008B2DDA" w:rsidRDefault="00D92291" w:rsidP="00240669">
            <w:pPr>
              <w:rPr>
                <w:rStyle w:val="IntenseEmphasis"/>
                <w:rFonts w:cstheme="minorHAnsi"/>
                <w:i w:val="0"/>
                <w:iCs w:val="0"/>
                <w:sz w:val="20"/>
                <w:szCs w:val="20"/>
              </w:rPr>
            </w:pPr>
          </w:p>
        </w:tc>
        <w:tc>
          <w:tcPr>
            <w:tcW w:w="1206" w:type="pct"/>
          </w:tcPr>
          <w:p w14:paraId="12AD5694" w14:textId="77777777" w:rsidR="00D92291" w:rsidRPr="008B2DDA" w:rsidRDefault="00D92291" w:rsidP="00240669">
            <w:pPr>
              <w:rPr>
                <w:rStyle w:val="IntenseEmphasis"/>
                <w:rFonts w:cstheme="minorHAnsi"/>
                <w:i w:val="0"/>
                <w:iCs w:val="0"/>
                <w:sz w:val="20"/>
                <w:szCs w:val="20"/>
              </w:rPr>
            </w:pPr>
          </w:p>
        </w:tc>
        <w:tc>
          <w:tcPr>
            <w:tcW w:w="1142" w:type="pct"/>
          </w:tcPr>
          <w:p w14:paraId="1EDF2889" w14:textId="77777777" w:rsidR="00D92291" w:rsidRPr="008B2DDA" w:rsidRDefault="00D92291" w:rsidP="00240669">
            <w:pPr>
              <w:rPr>
                <w:rStyle w:val="IntenseEmphasis"/>
                <w:rFonts w:cstheme="minorHAnsi"/>
                <w:i w:val="0"/>
                <w:iCs w:val="0"/>
                <w:sz w:val="20"/>
                <w:szCs w:val="20"/>
              </w:rPr>
            </w:pPr>
          </w:p>
        </w:tc>
        <w:tc>
          <w:tcPr>
            <w:tcW w:w="1206" w:type="pct"/>
          </w:tcPr>
          <w:p w14:paraId="7222CF28" w14:textId="77777777" w:rsidR="00D92291" w:rsidRPr="008B2DDA" w:rsidRDefault="00D92291" w:rsidP="00240669">
            <w:pPr>
              <w:rPr>
                <w:rStyle w:val="IntenseEmphasis"/>
                <w:rFonts w:cstheme="minorHAnsi"/>
                <w:i w:val="0"/>
                <w:iCs w:val="0"/>
                <w:sz w:val="20"/>
                <w:szCs w:val="20"/>
              </w:rPr>
            </w:pPr>
          </w:p>
        </w:tc>
      </w:tr>
      <w:tr w:rsidR="00D92291" w:rsidRPr="008B2DDA" w14:paraId="61E4C6D6" w14:textId="77777777" w:rsidTr="00D92291">
        <w:trPr>
          <w:trHeight w:val="783"/>
        </w:trPr>
        <w:tc>
          <w:tcPr>
            <w:tcW w:w="678" w:type="pct"/>
          </w:tcPr>
          <w:p w14:paraId="02022108" w14:textId="77777777" w:rsidR="00D92291" w:rsidRPr="008B2DDA" w:rsidRDefault="00D92291" w:rsidP="00240669">
            <w:pPr>
              <w:rPr>
                <w:rStyle w:val="IntenseEmphasis"/>
                <w:rFonts w:cstheme="minorHAnsi"/>
                <w:b/>
                <w:i w:val="0"/>
                <w:iCs w:val="0"/>
                <w:sz w:val="20"/>
                <w:szCs w:val="20"/>
              </w:rPr>
            </w:pPr>
            <w:r w:rsidRPr="008B2DDA">
              <w:rPr>
                <w:rStyle w:val="IntenseEmphasis"/>
                <w:rFonts w:cstheme="minorHAnsi"/>
                <w:b/>
                <w:i w:val="0"/>
                <w:sz w:val="20"/>
                <w:szCs w:val="20"/>
              </w:rPr>
              <w:t>Investment Manager</w:t>
            </w:r>
          </w:p>
        </w:tc>
        <w:tc>
          <w:tcPr>
            <w:tcW w:w="768" w:type="pct"/>
          </w:tcPr>
          <w:p w14:paraId="26B9F3F1" w14:textId="08D0E9F7" w:rsidR="00D92291" w:rsidRPr="008B2DDA" w:rsidRDefault="00D92291" w:rsidP="00240669">
            <w:pPr>
              <w:jc w:val="both"/>
              <w:rPr>
                <w:rFonts w:cstheme="minorHAnsi"/>
                <w:sz w:val="20"/>
                <w:szCs w:val="20"/>
              </w:rPr>
            </w:pPr>
            <w:r w:rsidRPr="008B2DDA">
              <w:rPr>
                <w:rFonts w:cstheme="minorHAnsi"/>
                <w:sz w:val="20"/>
                <w:szCs w:val="20"/>
              </w:rPr>
              <w:t xml:space="preserve">The </w:t>
            </w:r>
            <w:r w:rsidR="00193BFE" w:rsidRPr="008B2DDA">
              <w:rPr>
                <w:rFonts w:cstheme="minorHAnsi"/>
                <w:sz w:val="20"/>
                <w:szCs w:val="20"/>
              </w:rPr>
              <w:t>b</w:t>
            </w:r>
            <w:r w:rsidRPr="008B2DDA">
              <w:rPr>
                <w:rFonts w:cstheme="minorHAnsi"/>
                <w:sz w:val="20"/>
                <w:szCs w:val="20"/>
              </w:rPr>
              <w:t xml:space="preserve">oard has contractually delegated the management of the portfolio to the </w:t>
            </w:r>
            <w:r w:rsidR="007A3545" w:rsidRPr="008B2DDA">
              <w:rPr>
                <w:rFonts w:cstheme="minorHAnsi"/>
                <w:sz w:val="20"/>
                <w:szCs w:val="20"/>
              </w:rPr>
              <w:t>investment</w:t>
            </w:r>
            <w:r w:rsidRPr="008B2DDA">
              <w:rPr>
                <w:rFonts w:cstheme="minorHAnsi"/>
                <w:sz w:val="20"/>
                <w:szCs w:val="20"/>
              </w:rPr>
              <w:t xml:space="preserve"> </w:t>
            </w:r>
            <w:r w:rsidR="00193BFE" w:rsidRPr="008B2DDA">
              <w:rPr>
                <w:rFonts w:cstheme="minorHAnsi"/>
                <w:sz w:val="20"/>
                <w:szCs w:val="20"/>
              </w:rPr>
              <w:t>m</w:t>
            </w:r>
            <w:r w:rsidRPr="008B2DDA">
              <w:rPr>
                <w:rFonts w:cstheme="minorHAnsi"/>
                <w:sz w:val="20"/>
                <w:szCs w:val="20"/>
              </w:rPr>
              <w:t>anager (</w:t>
            </w:r>
            <w:r w:rsidR="009B5A13" w:rsidRPr="008B2DDA">
              <w:rPr>
                <w:rFonts w:cstheme="minorHAnsi"/>
                <w:sz w:val="20"/>
                <w:szCs w:val="20"/>
              </w:rPr>
              <w:t>Harwood Capital</w:t>
            </w:r>
            <w:r w:rsidRPr="008B2DDA">
              <w:rPr>
                <w:rFonts w:cstheme="minorHAnsi"/>
                <w:sz w:val="20"/>
                <w:szCs w:val="20"/>
              </w:rPr>
              <w:t xml:space="preserve">). The performance of </w:t>
            </w:r>
            <w:r w:rsidR="009B5A13" w:rsidRPr="008B2DDA">
              <w:rPr>
                <w:rFonts w:cstheme="minorHAnsi"/>
                <w:sz w:val="20"/>
                <w:szCs w:val="20"/>
              </w:rPr>
              <w:t xml:space="preserve">Harwood Capital </w:t>
            </w:r>
            <w:r w:rsidRPr="008B2DDA">
              <w:rPr>
                <w:rFonts w:cstheme="minorHAnsi"/>
                <w:sz w:val="20"/>
                <w:szCs w:val="20"/>
              </w:rPr>
              <w:t xml:space="preserve">is crucial to the Company executing its investment strategy successfully and providing attractive returns to shareholders. Therefore, maintaining a close and constructive working relationship with </w:t>
            </w:r>
            <w:r w:rsidR="009B5A13" w:rsidRPr="008B2DDA">
              <w:rPr>
                <w:rFonts w:cstheme="minorHAnsi"/>
                <w:sz w:val="20"/>
                <w:szCs w:val="20"/>
              </w:rPr>
              <w:t xml:space="preserve">Harwood Capital </w:t>
            </w:r>
            <w:r w:rsidRPr="008B2DDA">
              <w:rPr>
                <w:rFonts w:cstheme="minorHAnsi"/>
                <w:sz w:val="20"/>
                <w:szCs w:val="20"/>
              </w:rPr>
              <w:t xml:space="preserve">remains important to the </w:t>
            </w:r>
            <w:r w:rsidR="00193BFE" w:rsidRPr="008B2DDA">
              <w:rPr>
                <w:rFonts w:cstheme="minorHAnsi"/>
                <w:sz w:val="20"/>
                <w:szCs w:val="20"/>
              </w:rPr>
              <w:t>b</w:t>
            </w:r>
            <w:r w:rsidRPr="008B2DDA">
              <w:rPr>
                <w:rFonts w:cstheme="minorHAnsi"/>
                <w:sz w:val="20"/>
                <w:szCs w:val="20"/>
              </w:rPr>
              <w:t xml:space="preserve">oard and the long-term success of the Company. </w:t>
            </w:r>
          </w:p>
          <w:p w14:paraId="46D03BB2" w14:textId="77777777" w:rsidR="00D92291" w:rsidRPr="008B2DDA" w:rsidRDefault="00D92291" w:rsidP="00240669">
            <w:pPr>
              <w:jc w:val="both"/>
              <w:rPr>
                <w:rStyle w:val="IntenseEmphasis"/>
                <w:rFonts w:cstheme="minorHAnsi"/>
                <w:i w:val="0"/>
                <w:iCs w:val="0"/>
                <w:sz w:val="20"/>
                <w:szCs w:val="20"/>
              </w:rPr>
            </w:pPr>
          </w:p>
        </w:tc>
        <w:tc>
          <w:tcPr>
            <w:tcW w:w="1206" w:type="pct"/>
          </w:tcPr>
          <w:p w14:paraId="3D8EEFA9" w14:textId="038A3669" w:rsidR="00D92291" w:rsidRPr="008B2DDA" w:rsidRDefault="00D92291" w:rsidP="00240669">
            <w:pPr>
              <w:jc w:val="both"/>
              <w:rPr>
                <w:rFonts w:cstheme="minorHAnsi"/>
                <w:sz w:val="20"/>
                <w:szCs w:val="20"/>
              </w:rPr>
            </w:pPr>
            <w:r w:rsidRPr="00A02B31">
              <w:rPr>
                <w:rFonts w:cstheme="minorHAnsi"/>
                <w:sz w:val="20"/>
                <w:szCs w:val="20"/>
              </w:rPr>
              <w:lastRenderedPageBreak/>
              <w:t xml:space="preserve">The </w:t>
            </w:r>
            <w:r w:rsidR="00193BFE" w:rsidRPr="008B2DDA">
              <w:rPr>
                <w:rFonts w:cstheme="minorHAnsi"/>
                <w:sz w:val="20"/>
                <w:szCs w:val="20"/>
              </w:rPr>
              <w:t>b</w:t>
            </w:r>
            <w:r w:rsidRPr="008B2DDA">
              <w:rPr>
                <w:rFonts w:cstheme="minorHAnsi"/>
                <w:sz w:val="20"/>
                <w:szCs w:val="20"/>
              </w:rPr>
              <w:t xml:space="preserve">oard regularly engages with the </w:t>
            </w:r>
            <w:r w:rsidR="00193BFE" w:rsidRPr="008B2DDA">
              <w:rPr>
                <w:rFonts w:cstheme="minorHAnsi"/>
                <w:sz w:val="20"/>
                <w:szCs w:val="20"/>
              </w:rPr>
              <w:t>i</w:t>
            </w:r>
            <w:r w:rsidRPr="008B2DDA">
              <w:rPr>
                <w:rFonts w:cstheme="minorHAnsi"/>
                <w:sz w:val="20"/>
                <w:szCs w:val="20"/>
              </w:rPr>
              <w:t xml:space="preserve">nvestment </w:t>
            </w:r>
            <w:r w:rsidR="00193BFE" w:rsidRPr="008B2DDA">
              <w:rPr>
                <w:rFonts w:cstheme="minorHAnsi"/>
                <w:sz w:val="20"/>
                <w:szCs w:val="20"/>
              </w:rPr>
              <w:t>m</w:t>
            </w:r>
            <w:r w:rsidRPr="008B2DDA">
              <w:rPr>
                <w:rFonts w:cstheme="minorHAnsi"/>
                <w:sz w:val="20"/>
                <w:szCs w:val="20"/>
              </w:rPr>
              <w:t xml:space="preserve">anager and meets with the </w:t>
            </w:r>
            <w:r w:rsidR="00193BFE" w:rsidRPr="008B2DDA">
              <w:rPr>
                <w:rFonts w:cstheme="minorHAnsi"/>
                <w:sz w:val="20"/>
                <w:szCs w:val="20"/>
              </w:rPr>
              <w:t>i</w:t>
            </w:r>
            <w:r w:rsidRPr="008B2DDA">
              <w:rPr>
                <w:rFonts w:cstheme="minorHAnsi"/>
                <w:sz w:val="20"/>
                <w:szCs w:val="20"/>
              </w:rPr>
              <w:t xml:space="preserve">nvestment </w:t>
            </w:r>
            <w:r w:rsidR="00193BFE" w:rsidRPr="008B2DDA">
              <w:rPr>
                <w:rFonts w:cstheme="minorHAnsi"/>
                <w:sz w:val="20"/>
                <w:szCs w:val="20"/>
              </w:rPr>
              <w:t>m</w:t>
            </w:r>
            <w:r w:rsidRPr="008B2DDA">
              <w:rPr>
                <w:rFonts w:cstheme="minorHAnsi"/>
                <w:sz w:val="20"/>
                <w:szCs w:val="20"/>
              </w:rPr>
              <w:t xml:space="preserve">anager on a quarterly basis and other times throughout the year enabling the </w:t>
            </w:r>
            <w:r w:rsidR="00193BFE" w:rsidRPr="008B2DDA">
              <w:rPr>
                <w:rFonts w:cstheme="minorHAnsi"/>
                <w:sz w:val="20"/>
                <w:szCs w:val="20"/>
              </w:rPr>
              <w:t>d</w:t>
            </w:r>
            <w:r w:rsidRPr="008B2DDA">
              <w:rPr>
                <w:rFonts w:cstheme="minorHAnsi"/>
                <w:sz w:val="20"/>
                <w:szCs w:val="20"/>
              </w:rPr>
              <w:t xml:space="preserve">irectors to discuss the performance of the investee companies (amongst other matters) and probe further should there be matters of concern or requirement for clarification on certain matters. </w:t>
            </w:r>
          </w:p>
          <w:p w14:paraId="2F8CF1A0" w14:textId="77777777" w:rsidR="00D92291" w:rsidRPr="008B2DDA" w:rsidRDefault="00D92291" w:rsidP="00240669">
            <w:pPr>
              <w:jc w:val="both"/>
              <w:rPr>
                <w:rFonts w:cstheme="minorHAnsi"/>
                <w:sz w:val="20"/>
                <w:szCs w:val="20"/>
              </w:rPr>
            </w:pPr>
          </w:p>
          <w:p w14:paraId="4D1E48B0" w14:textId="2A8222CE" w:rsidR="00D92291" w:rsidRPr="008B2DDA" w:rsidRDefault="00D92291" w:rsidP="00193BFE">
            <w:pPr>
              <w:jc w:val="both"/>
              <w:rPr>
                <w:rFonts w:cstheme="minorHAnsi"/>
                <w:sz w:val="20"/>
                <w:szCs w:val="20"/>
              </w:rPr>
            </w:pPr>
            <w:r w:rsidRPr="008B2DDA">
              <w:rPr>
                <w:rFonts w:cstheme="minorHAnsi"/>
                <w:sz w:val="20"/>
                <w:szCs w:val="20"/>
              </w:rPr>
              <w:t xml:space="preserve">The performance of the </w:t>
            </w:r>
            <w:r w:rsidR="00193BFE" w:rsidRPr="008B2DDA">
              <w:rPr>
                <w:rFonts w:cstheme="minorHAnsi"/>
                <w:sz w:val="20"/>
                <w:szCs w:val="20"/>
              </w:rPr>
              <w:t>i</w:t>
            </w:r>
            <w:r w:rsidRPr="008B2DDA">
              <w:rPr>
                <w:rFonts w:cstheme="minorHAnsi"/>
                <w:sz w:val="20"/>
                <w:szCs w:val="20"/>
              </w:rPr>
              <w:t xml:space="preserve">nvestment </w:t>
            </w:r>
            <w:r w:rsidR="00193BFE" w:rsidRPr="008B2DDA">
              <w:rPr>
                <w:rFonts w:cstheme="minorHAnsi"/>
                <w:sz w:val="20"/>
                <w:szCs w:val="20"/>
              </w:rPr>
              <w:t>m</w:t>
            </w:r>
            <w:r w:rsidRPr="008B2DDA">
              <w:rPr>
                <w:rFonts w:cstheme="minorHAnsi"/>
                <w:sz w:val="20"/>
                <w:szCs w:val="20"/>
              </w:rPr>
              <w:t xml:space="preserve">anager is monitored and reviewed by the </w:t>
            </w:r>
            <w:r w:rsidR="00193BFE" w:rsidRPr="008B2DDA">
              <w:rPr>
                <w:rFonts w:cstheme="minorHAnsi"/>
                <w:sz w:val="20"/>
                <w:szCs w:val="20"/>
              </w:rPr>
              <w:t>b</w:t>
            </w:r>
            <w:r w:rsidRPr="008B2DDA">
              <w:rPr>
                <w:rFonts w:cstheme="minorHAnsi"/>
                <w:sz w:val="20"/>
                <w:szCs w:val="20"/>
              </w:rPr>
              <w:t xml:space="preserve">oard as a whole in the absence of a management and engagement Committee. In addition, an annual appraisal of the </w:t>
            </w:r>
            <w:r w:rsidR="00193BFE" w:rsidRPr="008B2DDA">
              <w:rPr>
                <w:rFonts w:cstheme="minorHAnsi"/>
                <w:sz w:val="20"/>
                <w:szCs w:val="20"/>
              </w:rPr>
              <w:t>i</w:t>
            </w:r>
            <w:r w:rsidRPr="008B2DDA">
              <w:rPr>
                <w:rFonts w:cstheme="minorHAnsi"/>
                <w:sz w:val="20"/>
                <w:szCs w:val="20"/>
              </w:rPr>
              <w:t xml:space="preserve">nvestment </w:t>
            </w:r>
            <w:r w:rsidR="00193BFE" w:rsidRPr="008B2DDA">
              <w:rPr>
                <w:rFonts w:cstheme="minorHAnsi"/>
                <w:sz w:val="20"/>
                <w:szCs w:val="20"/>
              </w:rPr>
              <w:t>m</w:t>
            </w:r>
            <w:r w:rsidRPr="008B2DDA">
              <w:rPr>
                <w:rFonts w:cstheme="minorHAnsi"/>
                <w:sz w:val="20"/>
                <w:szCs w:val="20"/>
              </w:rPr>
              <w:t xml:space="preserve">anager’s performance is undertaken as part of the </w:t>
            </w:r>
            <w:r w:rsidR="00193BFE" w:rsidRPr="008B2DDA">
              <w:rPr>
                <w:rFonts w:cstheme="minorHAnsi"/>
                <w:sz w:val="20"/>
                <w:szCs w:val="20"/>
              </w:rPr>
              <w:t>b</w:t>
            </w:r>
            <w:r w:rsidRPr="008B2DDA">
              <w:rPr>
                <w:rFonts w:cstheme="minorHAnsi"/>
                <w:sz w:val="20"/>
                <w:szCs w:val="20"/>
              </w:rPr>
              <w:t xml:space="preserve">oard </w:t>
            </w:r>
            <w:r w:rsidR="00193BFE" w:rsidRPr="008B2DDA">
              <w:rPr>
                <w:rFonts w:cstheme="minorHAnsi"/>
                <w:sz w:val="20"/>
                <w:szCs w:val="20"/>
              </w:rPr>
              <w:t>e</w:t>
            </w:r>
            <w:r w:rsidRPr="008B2DDA">
              <w:rPr>
                <w:rFonts w:cstheme="minorHAnsi"/>
                <w:sz w:val="20"/>
                <w:szCs w:val="20"/>
              </w:rPr>
              <w:t xml:space="preserve">valuation process. It is the opinion of the </w:t>
            </w:r>
            <w:r w:rsidR="00193BFE" w:rsidRPr="008B2DDA">
              <w:rPr>
                <w:rFonts w:cstheme="minorHAnsi"/>
                <w:sz w:val="20"/>
                <w:szCs w:val="20"/>
              </w:rPr>
              <w:t>b</w:t>
            </w:r>
            <w:r w:rsidRPr="008B2DDA">
              <w:rPr>
                <w:rFonts w:cstheme="minorHAnsi"/>
                <w:sz w:val="20"/>
                <w:szCs w:val="20"/>
              </w:rPr>
              <w:t xml:space="preserve">oard that the continuing appointment of the </w:t>
            </w:r>
            <w:r w:rsidR="00193BFE" w:rsidRPr="008B2DDA">
              <w:rPr>
                <w:rFonts w:cstheme="minorHAnsi"/>
                <w:sz w:val="20"/>
                <w:szCs w:val="20"/>
              </w:rPr>
              <w:t>i</w:t>
            </w:r>
            <w:r w:rsidRPr="008B2DDA">
              <w:rPr>
                <w:rFonts w:cstheme="minorHAnsi"/>
                <w:sz w:val="20"/>
                <w:szCs w:val="20"/>
              </w:rPr>
              <w:t xml:space="preserve">nvestment </w:t>
            </w:r>
            <w:r w:rsidR="00193BFE" w:rsidRPr="008B2DDA">
              <w:rPr>
                <w:rFonts w:cstheme="minorHAnsi"/>
                <w:sz w:val="20"/>
                <w:szCs w:val="20"/>
              </w:rPr>
              <w:t>m</w:t>
            </w:r>
            <w:r w:rsidRPr="008B2DDA">
              <w:rPr>
                <w:rFonts w:cstheme="minorHAnsi"/>
                <w:sz w:val="20"/>
                <w:szCs w:val="20"/>
              </w:rPr>
              <w:t>anager is in the interests of shareholders as a whole.</w:t>
            </w:r>
          </w:p>
        </w:tc>
        <w:tc>
          <w:tcPr>
            <w:tcW w:w="1142" w:type="pct"/>
          </w:tcPr>
          <w:p w14:paraId="50A2FE52" w14:textId="679F4D54" w:rsidR="00D92291" w:rsidRPr="008B2DDA" w:rsidRDefault="009B5A13" w:rsidP="00B5708A">
            <w:pPr>
              <w:rPr>
                <w:rFonts w:cstheme="minorHAnsi"/>
                <w:sz w:val="20"/>
                <w:szCs w:val="20"/>
              </w:rPr>
            </w:pPr>
            <w:r w:rsidRPr="008B2DDA">
              <w:rPr>
                <w:rFonts w:cstheme="minorHAnsi"/>
                <w:sz w:val="20"/>
                <w:szCs w:val="20"/>
              </w:rPr>
              <w:t xml:space="preserve">Full review of all aspects of the </w:t>
            </w:r>
            <w:r w:rsidR="00193BFE" w:rsidRPr="008B2DDA">
              <w:rPr>
                <w:rFonts w:cstheme="minorHAnsi"/>
                <w:sz w:val="20"/>
                <w:szCs w:val="20"/>
              </w:rPr>
              <w:t>i</w:t>
            </w:r>
            <w:r w:rsidRPr="008B2DDA">
              <w:rPr>
                <w:rFonts w:cstheme="minorHAnsi"/>
                <w:sz w:val="20"/>
                <w:szCs w:val="20"/>
              </w:rPr>
              <w:t xml:space="preserve">nvestment </w:t>
            </w:r>
            <w:r w:rsidR="00193BFE" w:rsidRPr="008B2DDA">
              <w:rPr>
                <w:rFonts w:cstheme="minorHAnsi"/>
                <w:sz w:val="20"/>
                <w:szCs w:val="20"/>
              </w:rPr>
              <w:t>m</w:t>
            </w:r>
            <w:r w:rsidRPr="008B2DDA">
              <w:rPr>
                <w:rFonts w:cstheme="minorHAnsi"/>
                <w:sz w:val="20"/>
                <w:szCs w:val="20"/>
              </w:rPr>
              <w:t xml:space="preserve">anager agreement and suitability of </w:t>
            </w:r>
            <w:r w:rsidR="00193BFE" w:rsidRPr="008B2DDA">
              <w:rPr>
                <w:rFonts w:cstheme="minorHAnsi"/>
                <w:sz w:val="20"/>
                <w:szCs w:val="20"/>
              </w:rPr>
              <w:t>m</w:t>
            </w:r>
            <w:r w:rsidRPr="008B2DDA">
              <w:rPr>
                <w:rFonts w:cstheme="minorHAnsi"/>
                <w:sz w:val="20"/>
                <w:szCs w:val="20"/>
              </w:rPr>
              <w:t>anager as part o</w:t>
            </w:r>
            <w:r w:rsidR="005703FE" w:rsidRPr="008B2DDA">
              <w:rPr>
                <w:rFonts w:cstheme="minorHAnsi"/>
                <w:sz w:val="20"/>
                <w:szCs w:val="20"/>
              </w:rPr>
              <w:t>f</w:t>
            </w:r>
            <w:r w:rsidRPr="008B2DDA">
              <w:rPr>
                <w:rFonts w:cstheme="minorHAnsi"/>
                <w:sz w:val="20"/>
                <w:szCs w:val="20"/>
              </w:rPr>
              <w:t xml:space="preserve"> the </w:t>
            </w:r>
            <w:r w:rsidR="00193BFE" w:rsidRPr="008B2DDA">
              <w:rPr>
                <w:rFonts w:cstheme="minorHAnsi"/>
                <w:sz w:val="20"/>
                <w:szCs w:val="20"/>
              </w:rPr>
              <w:t>s</w:t>
            </w:r>
            <w:r w:rsidRPr="008B2DDA">
              <w:rPr>
                <w:rFonts w:cstheme="minorHAnsi"/>
                <w:sz w:val="20"/>
                <w:szCs w:val="20"/>
              </w:rPr>
              <w:t xml:space="preserve">trategic </w:t>
            </w:r>
            <w:r w:rsidR="00193BFE" w:rsidRPr="008B2DDA">
              <w:rPr>
                <w:rFonts w:cstheme="minorHAnsi"/>
                <w:sz w:val="20"/>
                <w:szCs w:val="20"/>
              </w:rPr>
              <w:t>r</w:t>
            </w:r>
            <w:r w:rsidRPr="008B2DDA">
              <w:rPr>
                <w:rFonts w:cstheme="minorHAnsi"/>
                <w:sz w:val="20"/>
                <w:szCs w:val="20"/>
              </w:rPr>
              <w:t>eview</w:t>
            </w:r>
            <w:r w:rsidR="00193BFE" w:rsidRPr="008B2DDA">
              <w:rPr>
                <w:rFonts w:cstheme="minorHAnsi"/>
                <w:sz w:val="20"/>
                <w:szCs w:val="20"/>
              </w:rPr>
              <w:t xml:space="preserve">. </w:t>
            </w:r>
          </w:p>
          <w:p w14:paraId="18037F96" w14:textId="77777777" w:rsidR="00D92291" w:rsidRPr="008B2DDA" w:rsidRDefault="00D92291" w:rsidP="00240669">
            <w:pPr>
              <w:jc w:val="both"/>
              <w:rPr>
                <w:rFonts w:cstheme="minorHAnsi"/>
                <w:sz w:val="20"/>
                <w:szCs w:val="20"/>
              </w:rPr>
            </w:pPr>
          </w:p>
          <w:p w14:paraId="59425144" w14:textId="77777777" w:rsidR="00D92291" w:rsidRPr="008B2DDA" w:rsidRDefault="00D92291" w:rsidP="00240669">
            <w:pPr>
              <w:jc w:val="both"/>
              <w:rPr>
                <w:rFonts w:cstheme="minorHAnsi"/>
                <w:sz w:val="20"/>
                <w:szCs w:val="20"/>
              </w:rPr>
            </w:pPr>
          </w:p>
          <w:p w14:paraId="60348B3F" w14:textId="77777777" w:rsidR="00D92291" w:rsidRPr="008B2DDA" w:rsidRDefault="00D92291" w:rsidP="00240669">
            <w:pPr>
              <w:jc w:val="both"/>
              <w:rPr>
                <w:rFonts w:cstheme="minorHAnsi"/>
                <w:sz w:val="20"/>
                <w:szCs w:val="20"/>
              </w:rPr>
            </w:pPr>
          </w:p>
          <w:p w14:paraId="5ACEDF27" w14:textId="77777777" w:rsidR="00D92291" w:rsidRPr="008B2DDA" w:rsidRDefault="00D92291" w:rsidP="00240669">
            <w:pPr>
              <w:jc w:val="both"/>
              <w:rPr>
                <w:rFonts w:cstheme="minorHAnsi"/>
                <w:sz w:val="20"/>
                <w:szCs w:val="20"/>
              </w:rPr>
            </w:pPr>
          </w:p>
          <w:p w14:paraId="238F8EA5" w14:textId="77777777" w:rsidR="00D92291" w:rsidRPr="008B2DDA" w:rsidRDefault="00D92291" w:rsidP="00240669">
            <w:pPr>
              <w:jc w:val="both"/>
              <w:rPr>
                <w:rFonts w:cstheme="minorHAnsi"/>
                <w:sz w:val="20"/>
                <w:szCs w:val="20"/>
              </w:rPr>
            </w:pPr>
          </w:p>
          <w:p w14:paraId="55601639" w14:textId="788E35FC" w:rsidR="00D92291" w:rsidRPr="008B2DDA" w:rsidRDefault="00D92291" w:rsidP="00F2762B">
            <w:pPr>
              <w:pStyle w:val="ListParagraph"/>
              <w:jc w:val="both"/>
              <w:rPr>
                <w:rFonts w:cstheme="minorHAnsi"/>
                <w:sz w:val="20"/>
                <w:szCs w:val="20"/>
              </w:rPr>
            </w:pPr>
          </w:p>
        </w:tc>
        <w:tc>
          <w:tcPr>
            <w:tcW w:w="1206" w:type="pct"/>
          </w:tcPr>
          <w:p w14:paraId="6DA1591E" w14:textId="18E24910" w:rsidR="00D92291" w:rsidRPr="008B2DDA" w:rsidRDefault="00F3613B" w:rsidP="00B5708A">
            <w:pPr>
              <w:jc w:val="both"/>
              <w:rPr>
                <w:rFonts w:cstheme="minorHAnsi"/>
                <w:sz w:val="20"/>
                <w:szCs w:val="20"/>
              </w:rPr>
            </w:pPr>
            <w:r w:rsidRPr="008B2DDA">
              <w:rPr>
                <w:rFonts w:cstheme="minorHAnsi"/>
                <w:sz w:val="20"/>
                <w:szCs w:val="20"/>
              </w:rPr>
              <w:t>Harwood Group was appointed as asset manager following the conclusion of the strategic review.</w:t>
            </w:r>
          </w:p>
        </w:tc>
      </w:tr>
      <w:tr w:rsidR="00D92291" w:rsidRPr="008B2DDA" w14:paraId="08768943" w14:textId="77777777" w:rsidTr="00D92291">
        <w:trPr>
          <w:trHeight w:val="235"/>
        </w:trPr>
        <w:tc>
          <w:tcPr>
            <w:tcW w:w="678" w:type="pct"/>
          </w:tcPr>
          <w:p w14:paraId="20ACF229" w14:textId="77777777" w:rsidR="00D92291" w:rsidRPr="008B2DDA" w:rsidRDefault="00D92291" w:rsidP="00240669">
            <w:pPr>
              <w:rPr>
                <w:rStyle w:val="IntenseEmphasis"/>
                <w:rFonts w:cstheme="minorHAnsi"/>
                <w:b/>
                <w:i w:val="0"/>
                <w:iCs w:val="0"/>
                <w:sz w:val="20"/>
                <w:szCs w:val="20"/>
              </w:rPr>
            </w:pPr>
          </w:p>
        </w:tc>
        <w:tc>
          <w:tcPr>
            <w:tcW w:w="768" w:type="pct"/>
          </w:tcPr>
          <w:p w14:paraId="25D2D062" w14:textId="77777777" w:rsidR="00D92291" w:rsidRPr="008B2DDA" w:rsidRDefault="00D92291" w:rsidP="00240669">
            <w:pPr>
              <w:rPr>
                <w:rStyle w:val="IntenseEmphasis"/>
                <w:rFonts w:cstheme="minorHAnsi"/>
                <w:i w:val="0"/>
                <w:iCs w:val="0"/>
                <w:sz w:val="20"/>
                <w:szCs w:val="20"/>
              </w:rPr>
            </w:pPr>
          </w:p>
        </w:tc>
        <w:tc>
          <w:tcPr>
            <w:tcW w:w="1206" w:type="pct"/>
          </w:tcPr>
          <w:p w14:paraId="23911000" w14:textId="77777777" w:rsidR="00D92291" w:rsidRPr="008B2DDA" w:rsidRDefault="00D92291" w:rsidP="00240669">
            <w:pPr>
              <w:rPr>
                <w:rStyle w:val="IntenseEmphasis"/>
                <w:rFonts w:cstheme="minorHAnsi"/>
                <w:i w:val="0"/>
                <w:iCs w:val="0"/>
                <w:sz w:val="20"/>
                <w:szCs w:val="20"/>
              </w:rPr>
            </w:pPr>
          </w:p>
        </w:tc>
        <w:tc>
          <w:tcPr>
            <w:tcW w:w="1142" w:type="pct"/>
          </w:tcPr>
          <w:p w14:paraId="0F1FA605" w14:textId="77777777" w:rsidR="00D92291" w:rsidRPr="008B2DDA" w:rsidRDefault="00D92291" w:rsidP="00240669">
            <w:pPr>
              <w:rPr>
                <w:rStyle w:val="IntenseEmphasis"/>
                <w:rFonts w:cstheme="minorHAnsi"/>
                <w:i w:val="0"/>
                <w:iCs w:val="0"/>
                <w:sz w:val="20"/>
                <w:szCs w:val="20"/>
              </w:rPr>
            </w:pPr>
          </w:p>
        </w:tc>
        <w:tc>
          <w:tcPr>
            <w:tcW w:w="1206" w:type="pct"/>
          </w:tcPr>
          <w:p w14:paraId="4C30D55F" w14:textId="77777777" w:rsidR="00D92291" w:rsidRPr="008B2DDA" w:rsidRDefault="00D92291" w:rsidP="00240669">
            <w:pPr>
              <w:rPr>
                <w:rStyle w:val="IntenseEmphasis"/>
                <w:rFonts w:cstheme="minorHAnsi"/>
                <w:i w:val="0"/>
                <w:iCs w:val="0"/>
                <w:sz w:val="20"/>
                <w:szCs w:val="20"/>
              </w:rPr>
            </w:pPr>
          </w:p>
        </w:tc>
      </w:tr>
      <w:tr w:rsidR="00D92291" w:rsidRPr="008B2DDA" w14:paraId="45220E48" w14:textId="77777777" w:rsidTr="00D92291">
        <w:trPr>
          <w:trHeight w:val="501"/>
        </w:trPr>
        <w:tc>
          <w:tcPr>
            <w:tcW w:w="678" w:type="pct"/>
          </w:tcPr>
          <w:p w14:paraId="467C8A75" w14:textId="03ABA890" w:rsidR="00D92291" w:rsidRPr="008B2DDA" w:rsidRDefault="00D92291" w:rsidP="00240669">
            <w:pPr>
              <w:rPr>
                <w:rStyle w:val="IntenseEmphasis"/>
                <w:rFonts w:cstheme="minorHAnsi"/>
                <w:b/>
                <w:i w:val="0"/>
                <w:iCs w:val="0"/>
                <w:sz w:val="20"/>
                <w:szCs w:val="20"/>
              </w:rPr>
            </w:pPr>
            <w:r w:rsidRPr="008B2DDA">
              <w:rPr>
                <w:rStyle w:val="IntenseEmphasis"/>
                <w:rFonts w:cstheme="minorHAnsi"/>
                <w:b/>
                <w:i w:val="0"/>
                <w:sz w:val="20"/>
                <w:szCs w:val="20"/>
              </w:rPr>
              <w:t xml:space="preserve">Service </w:t>
            </w:r>
            <w:r w:rsidR="00585344" w:rsidRPr="008B2DDA">
              <w:rPr>
                <w:rStyle w:val="IntenseEmphasis"/>
                <w:rFonts w:cstheme="minorHAnsi"/>
                <w:b/>
                <w:i w:val="0"/>
                <w:sz w:val="20"/>
                <w:szCs w:val="20"/>
              </w:rPr>
              <w:t>p</w:t>
            </w:r>
            <w:r w:rsidRPr="008B2DDA">
              <w:rPr>
                <w:rStyle w:val="IntenseEmphasis"/>
                <w:rFonts w:cstheme="minorHAnsi"/>
                <w:b/>
                <w:i w:val="0"/>
                <w:sz w:val="20"/>
                <w:szCs w:val="20"/>
              </w:rPr>
              <w:t>roviders and suppliers</w:t>
            </w:r>
          </w:p>
        </w:tc>
        <w:tc>
          <w:tcPr>
            <w:tcW w:w="768" w:type="pct"/>
          </w:tcPr>
          <w:p w14:paraId="32D89068" w14:textId="34F554BB" w:rsidR="00D92291" w:rsidRPr="008B2DDA" w:rsidRDefault="00D92291" w:rsidP="00240669">
            <w:pPr>
              <w:jc w:val="both"/>
              <w:rPr>
                <w:rFonts w:cstheme="minorHAnsi"/>
                <w:sz w:val="20"/>
                <w:szCs w:val="20"/>
              </w:rPr>
            </w:pPr>
            <w:r w:rsidRPr="008B2DDA">
              <w:rPr>
                <w:rFonts w:cstheme="minorHAnsi"/>
                <w:sz w:val="20"/>
                <w:szCs w:val="20"/>
              </w:rPr>
              <w:t xml:space="preserve">As an externally managed investment Company, </w:t>
            </w:r>
            <w:r w:rsidR="00C56A33" w:rsidRPr="008B2DDA">
              <w:rPr>
                <w:rFonts w:cstheme="minorHAnsi"/>
                <w:sz w:val="20"/>
                <w:szCs w:val="20"/>
              </w:rPr>
              <w:t>RKW</w:t>
            </w:r>
            <w:r w:rsidRPr="008B2DDA">
              <w:rPr>
                <w:rFonts w:cstheme="minorHAnsi"/>
                <w:sz w:val="20"/>
                <w:szCs w:val="20"/>
              </w:rPr>
              <w:t xml:space="preserve"> relies on a diverse range of advisors to support the Company in meeting all its relevant obligations including: the company secretary, administrator, auditors, registrar, depositary and brokers. </w:t>
            </w:r>
          </w:p>
          <w:p w14:paraId="3928C0D2" w14:textId="77777777" w:rsidR="00D92291" w:rsidRPr="008B2DDA" w:rsidRDefault="00D92291" w:rsidP="00240669">
            <w:pPr>
              <w:rPr>
                <w:rStyle w:val="IntenseEmphasis"/>
                <w:rFonts w:cstheme="minorHAnsi"/>
                <w:i w:val="0"/>
                <w:iCs w:val="0"/>
                <w:sz w:val="20"/>
                <w:szCs w:val="20"/>
              </w:rPr>
            </w:pPr>
          </w:p>
        </w:tc>
        <w:tc>
          <w:tcPr>
            <w:tcW w:w="1206" w:type="pct"/>
          </w:tcPr>
          <w:p w14:paraId="6B7A065D" w14:textId="298AA431" w:rsidR="00D92291" w:rsidRPr="008B2DDA" w:rsidRDefault="00D92291" w:rsidP="002632A4">
            <w:pPr>
              <w:jc w:val="both"/>
              <w:rPr>
                <w:rStyle w:val="IntenseEmphasis"/>
                <w:rFonts w:cstheme="minorHAnsi"/>
                <w:i w:val="0"/>
                <w:iCs w:val="0"/>
                <w:sz w:val="20"/>
                <w:szCs w:val="20"/>
              </w:rPr>
            </w:pPr>
            <w:r w:rsidRPr="00A02B31">
              <w:rPr>
                <w:rFonts w:cstheme="minorHAnsi"/>
                <w:sz w:val="20"/>
                <w:szCs w:val="20"/>
              </w:rPr>
              <w:t xml:space="preserve">The </w:t>
            </w:r>
            <w:r w:rsidR="00193BFE" w:rsidRPr="008B2DDA">
              <w:rPr>
                <w:rFonts w:cstheme="minorHAnsi"/>
                <w:sz w:val="20"/>
                <w:szCs w:val="20"/>
              </w:rPr>
              <w:t>b</w:t>
            </w:r>
            <w:r w:rsidRPr="008B2DDA">
              <w:rPr>
                <w:rFonts w:cstheme="minorHAnsi"/>
                <w:sz w:val="20"/>
                <w:szCs w:val="20"/>
              </w:rPr>
              <w:t xml:space="preserve">oard maintains regular contact with its key external providers and receives regular reporting from them, both through the </w:t>
            </w:r>
            <w:r w:rsidR="00193BFE" w:rsidRPr="008B2DDA">
              <w:rPr>
                <w:rFonts w:cstheme="minorHAnsi"/>
                <w:sz w:val="20"/>
                <w:szCs w:val="20"/>
              </w:rPr>
              <w:t>b</w:t>
            </w:r>
            <w:r w:rsidRPr="008B2DDA">
              <w:rPr>
                <w:rFonts w:cstheme="minorHAnsi"/>
                <w:sz w:val="20"/>
                <w:szCs w:val="20"/>
              </w:rPr>
              <w:t xml:space="preserve">oard and committee meetings, as well as outside of the regular meeting cycle. </w:t>
            </w:r>
          </w:p>
        </w:tc>
        <w:tc>
          <w:tcPr>
            <w:tcW w:w="1142" w:type="pct"/>
          </w:tcPr>
          <w:p w14:paraId="435301F7" w14:textId="42E71653" w:rsidR="00D92291" w:rsidRPr="008B2DDA" w:rsidRDefault="00BD7558" w:rsidP="00B5708A">
            <w:pPr>
              <w:rPr>
                <w:rStyle w:val="IntenseEmphasis"/>
                <w:rFonts w:cstheme="minorHAnsi"/>
                <w:i w:val="0"/>
                <w:iCs w:val="0"/>
                <w:sz w:val="20"/>
                <w:szCs w:val="20"/>
              </w:rPr>
            </w:pPr>
            <w:r w:rsidRPr="00A02B31">
              <w:rPr>
                <w:rFonts w:cstheme="minorHAnsi"/>
                <w:sz w:val="20"/>
                <w:szCs w:val="20"/>
              </w:rPr>
              <w:t xml:space="preserve">The Board assesses the performance, fees and continuing appointment </w:t>
            </w:r>
            <w:r w:rsidR="00E65D5A" w:rsidRPr="008B2DDA">
              <w:rPr>
                <w:rFonts w:cstheme="minorHAnsi"/>
                <w:sz w:val="20"/>
                <w:szCs w:val="20"/>
              </w:rPr>
              <w:t xml:space="preserve">of its service providers and suppliers </w:t>
            </w:r>
            <w:r w:rsidRPr="008B2DDA">
              <w:rPr>
                <w:rFonts w:cstheme="minorHAnsi"/>
                <w:sz w:val="20"/>
                <w:szCs w:val="20"/>
              </w:rPr>
              <w:t>annually to ensure that the key service providers continue to function at an acceptable level and are appropriately remunerated to deliver the expected level of service.</w:t>
            </w:r>
            <w:r w:rsidR="00E65D5A" w:rsidRPr="008B2DDA">
              <w:rPr>
                <w:rFonts w:cstheme="minorHAnsi"/>
                <w:sz w:val="20"/>
                <w:szCs w:val="20"/>
              </w:rPr>
              <w:t xml:space="preserve"> </w:t>
            </w:r>
          </w:p>
        </w:tc>
        <w:tc>
          <w:tcPr>
            <w:tcW w:w="1206" w:type="pct"/>
          </w:tcPr>
          <w:p w14:paraId="627F3506" w14:textId="14430215" w:rsidR="00D92291" w:rsidRPr="008B2DDA" w:rsidRDefault="00D92291" w:rsidP="00240669">
            <w:pPr>
              <w:rPr>
                <w:rStyle w:val="IntenseEmphasis"/>
                <w:rFonts w:cstheme="minorHAnsi"/>
                <w:i w:val="0"/>
                <w:iCs w:val="0"/>
                <w:sz w:val="20"/>
                <w:szCs w:val="20"/>
              </w:rPr>
            </w:pPr>
            <w:r w:rsidRPr="00A02B31">
              <w:rPr>
                <w:rFonts w:cstheme="minorHAnsi"/>
                <w:sz w:val="20"/>
                <w:szCs w:val="20"/>
              </w:rPr>
              <w:t>No specific action was undertaken in this area</w:t>
            </w:r>
            <w:r w:rsidR="005703FE" w:rsidRPr="008B2DDA">
              <w:rPr>
                <w:rFonts w:cstheme="minorHAnsi"/>
                <w:sz w:val="20"/>
                <w:szCs w:val="20"/>
              </w:rPr>
              <w:t xml:space="preserve"> during the year, however the new </w:t>
            </w:r>
            <w:r w:rsidR="00481EEC" w:rsidRPr="008B2DDA">
              <w:rPr>
                <w:rFonts w:cstheme="minorHAnsi"/>
                <w:sz w:val="20"/>
                <w:szCs w:val="20"/>
              </w:rPr>
              <w:t>i</w:t>
            </w:r>
            <w:r w:rsidR="005703FE" w:rsidRPr="008B2DDA">
              <w:rPr>
                <w:rFonts w:cstheme="minorHAnsi"/>
                <w:sz w:val="20"/>
                <w:szCs w:val="20"/>
              </w:rPr>
              <w:t xml:space="preserve">nvestment </w:t>
            </w:r>
            <w:r w:rsidR="00481EEC" w:rsidRPr="008B2DDA">
              <w:rPr>
                <w:rFonts w:cstheme="minorHAnsi"/>
                <w:sz w:val="20"/>
                <w:szCs w:val="20"/>
              </w:rPr>
              <w:t>m</w:t>
            </w:r>
            <w:r w:rsidR="005703FE" w:rsidRPr="008B2DDA">
              <w:rPr>
                <w:rFonts w:cstheme="minorHAnsi"/>
                <w:sz w:val="20"/>
                <w:szCs w:val="20"/>
              </w:rPr>
              <w:t>anager on behalf o</w:t>
            </w:r>
            <w:r w:rsidR="00543248" w:rsidRPr="008B2DDA">
              <w:rPr>
                <w:rFonts w:cstheme="minorHAnsi"/>
                <w:sz w:val="20"/>
                <w:szCs w:val="20"/>
              </w:rPr>
              <w:t>f</w:t>
            </w:r>
            <w:r w:rsidR="005703FE" w:rsidRPr="008B2DDA">
              <w:rPr>
                <w:rFonts w:cstheme="minorHAnsi"/>
                <w:sz w:val="20"/>
                <w:szCs w:val="20"/>
              </w:rPr>
              <w:t xml:space="preserve"> the </w:t>
            </w:r>
            <w:r w:rsidR="00481EEC" w:rsidRPr="008B2DDA">
              <w:rPr>
                <w:rFonts w:cstheme="minorHAnsi"/>
                <w:sz w:val="20"/>
                <w:szCs w:val="20"/>
              </w:rPr>
              <w:t>b</w:t>
            </w:r>
            <w:r w:rsidR="005703FE" w:rsidRPr="008B2DDA">
              <w:rPr>
                <w:rFonts w:cstheme="minorHAnsi"/>
                <w:sz w:val="20"/>
                <w:szCs w:val="20"/>
              </w:rPr>
              <w:t>oard has been conducting a full review of suppliers post year-end</w:t>
            </w:r>
            <w:r w:rsidR="00543248" w:rsidRPr="008B2DDA">
              <w:rPr>
                <w:rFonts w:cstheme="minorHAnsi"/>
                <w:sz w:val="20"/>
                <w:szCs w:val="20"/>
              </w:rPr>
              <w:t xml:space="preserve"> which is leading to various supplier changes, and cost reductions. Details will be provided when the process is complete.</w:t>
            </w:r>
          </w:p>
        </w:tc>
      </w:tr>
      <w:tr w:rsidR="00D92291" w:rsidRPr="008B2DDA" w14:paraId="29EB0D26" w14:textId="77777777" w:rsidTr="00D92291">
        <w:trPr>
          <w:trHeight w:val="235"/>
        </w:trPr>
        <w:tc>
          <w:tcPr>
            <w:tcW w:w="678" w:type="pct"/>
          </w:tcPr>
          <w:p w14:paraId="468AB799" w14:textId="77777777" w:rsidR="00D92291" w:rsidRPr="008B2DDA" w:rsidRDefault="00D92291" w:rsidP="00240669">
            <w:pPr>
              <w:rPr>
                <w:rStyle w:val="IntenseEmphasis"/>
                <w:rFonts w:cstheme="minorHAnsi"/>
                <w:i w:val="0"/>
                <w:iCs w:val="0"/>
                <w:sz w:val="20"/>
                <w:szCs w:val="20"/>
              </w:rPr>
            </w:pPr>
          </w:p>
        </w:tc>
        <w:tc>
          <w:tcPr>
            <w:tcW w:w="768" w:type="pct"/>
          </w:tcPr>
          <w:p w14:paraId="52B24172" w14:textId="77777777" w:rsidR="00D92291" w:rsidRPr="008B2DDA" w:rsidRDefault="00D92291" w:rsidP="00240669">
            <w:pPr>
              <w:rPr>
                <w:rStyle w:val="IntenseEmphasis"/>
                <w:rFonts w:cstheme="minorHAnsi"/>
                <w:i w:val="0"/>
                <w:iCs w:val="0"/>
                <w:sz w:val="20"/>
                <w:szCs w:val="20"/>
              </w:rPr>
            </w:pPr>
          </w:p>
        </w:tc>
        <w:tc>
          <w:tcPr>
            <w:tcW w:w="1206" w:type="pct"/>
          </w:tcPr>
          <w:p w14:paraId="1B859C97" w14:textId="77777777" w:rsidR="00D92291" w:rsidRPr="008B2DDA" w:rsidRDefault="00D92291" w:rsidP="00240669">
            <w:pPr>
              <w:rPr>
                <w:rStyle w:val="IntenseEmphasis"/>
                <w:rFonts w:cstheme="minorHAnsi"/>
                <w:i w:val="0"/>
                <w:iCs w:val="0"/>
                <w:sz w:val="20"/>
                <w:szCs w:val="20"/>
              </w:rPr>
            </w:pPr>
          </w:p>
        </w:tc>
        <w:tc>
          <w:tcPr>
            <w:tcW w:w="1142" w:type="pct"/>
          </w:tcPr>
          <w:p w14:paraId="6FD50F17" w14:textId="77777777" w:rsidR="00D92291" w:rsidRPr="008B2DDA" w:rsidRDefault="00D92291" w:rsidP="00240669">
            <w:pPr>
              <w:rPr>
                <w:rStyle w:val="IntenseEmphasis"/>
                <w:rFonts w:cstheme="minorHAnsi"/>
                <w:i w:val="0"/>
                <w:iCs w:val="0"/>
                <w:sz w:val="20"/>
                <w:szCs w:val="20"/>
              </w:rPr>
            </w:pPr>
          </w:p>
        </w:tc>
        <w:tc>
          <w:tcPr>
            <w:tcW w:w="1206" w:type="pct"/>
          </w:tcPr>
          <w:p w14:paraId="5BB0D512" w14:textId="77777777" w:rsidR="00D92291" w:rsidRPr="008B2DDA" w:rsidRDefault="00D92291" w:rsidP="00240669">
            <w:pPr>
              <w:rPr>
                <w:rStyle w:val="IntenseEmphasis"/>
                <w:rFonts w:cstheme="minorHAnsi"/>
                <w:i w:val="0"/>
                <w:iCs w:val="0"/>
                <w:sz w:val="20"/>
                <w:szCs w:val="20"/>
              </w:rPr>
            </w:pPr>
          </w:p>
        </w:tc>
      </w:tr>
      <w:tr w:rsidR="00D92291" w:rsidRPr="008B2DDA" w14:paraId="5BBB7E9D" w14:textId="77777777" w:rsidTr="00D92291">
        <w:trPr>
          <w:trHeight w:val="235"/>
        </w:trPr>
        <w:tc>
          <w:tcPr>
            <w:tcW w:w="678" w:type="pct"/>
          </w:tcPr>
          <w:p w14:paraId="39643D14" w14:textId="77777777" w:rsidR="00D92291" w:rsidRPr="008B2DDA" w:rsidRDefault="00D92291" w:rsidP="00240669">
            <w:pPr>
              <w:rPr>
                <w:rStyle w:val="IntenseEmphasis"/>
                <w:rFonts w:cstheme="minorHAnsi"/>
                <w:b/>
                <w:i w:val="0"/>
                <w:iCs w:val="0"/>
                <w:sz w:val="20"/>
                <w:szCs w:val="20"/>
              </w:rPr>
            </w:pPr>
            <w:r w:rsidRPr="008B2DDA">
              <w:rPr>
                <w:rStyle w:val="IntenseEmphasis"/>
                <w:rFonts w:cstheme="minorHAnsi"/>
                <w:b/>
                <w:i w:val="0"/>
                <w:sz w:val="20"/>
                <w:szCs w:val="20"/>
              </w:rPr>
              <w:t>Regulators</w:t>
            </w:r>
          </w:p>
        </w:tc>
        <w:tc>
          <w:tcPr>
            <w:tcW w:w="768" w:type="pct"/>
          </w:tcPr>
          <w:p w14:paraId="5587ECAD" w14:textId="69F15267" w:rsidR="00D92291" w:rsidRPr="008B2DDA" w:rsidRDefault="00C56A33" w:rsidP="00240669">
            <w:pPr>
              <w:jc w:val="both"/>
              <w:rPr>
                <w:rFonts w:cstheme="minorHAnsi"/>
                <w:sz w:val="20"/>
                <w:szCs w:val="20"/>
              </w:rPr>
            </w:pPr>
            <w:r w:rsidRPr="008B2DDA">
              <w:rPr>
                <w:rFonts w:cstheme="minorHAnsi"/>
                <w:sz w:val="20"/>
                <w:szCs w:val="20"/>
              </w:rPr>
              <w:t>RKW</w:t>
            </w:r>
            <w:r w:rsidR="00D92291" w:rsidRPr="008B2DDA">
              <w:rPr>
                <w:rFonts w:cstheme="minorHAnsi"/>
                <w:sz w:val="20"/>
                <w:szCs w:val="20"/>
              </w:rPr>
              <w:t xml:space="preserve"> can only operate with the approval of its regulators who have a legitimate interest in how the Company operates in the market and treats its shareholders. </w:t>
            </w:r>
          </w:p>
          <w:p w14:paraId="5A8F7C77" w14:textId="77777777" w:rsidR="00D92291" w:rsidRPr="008B2DDA" w:rsidRDefault="00D92291" w:rsidP="00240669">
            <w:pPr>
              <w:rPr>
                <w:rFonts w:cstheme="minorHAnsi"/>
                <w:sz w:val="20"/>
                <w:szCs w:val="20"/>
              </w:rPr>
            </w:pPr>
          </w:p>
        </w:tc>
        <w:tc>
          <w:tcPr>
            <w:tcW w:w="1206" w:type="pct"/>
          </w:tcPr>
          <w:p w14:paraId="4DA6D658" w14:textId="77777777" w:rsidR="00D92291" w:rsidRPr="008B2DDA" w:rsidRDefault="00D92291" w:rsidP="00240669">
            <w:pPr>
              <w:jc w:val="both"/>
              <w:rPr>
                <w:rFonts w:cstheme="minorHAnsi"/>
                <w:sz w:val="20"/>
                <w:szCs w:val="20"/>
              </w:rPr>
            </w:pPr>
            <w:r w:rsidRPr="008B2DDA">
              <w:rPr>
                <w:rFonts w:cstheme="minorHAnsi"/>
                <w:sz w:val="20"/>
                <w:szCs w:val="20"/>
              </w:rPr>
              <w:t>The Company continues to monitor and ensure its compliance with the relevant regulatory, legal and statutory obligations along with corporate governance best practice.</w:t>
            </w:r>
          </w:p>
          <w:p w14:paraId="1479C424" w14:textId="77777777" w:rsidR="00D92291" w:rsidRPr="008B2DDA" w:rsidRDefault="00D92291" w:rsidP="00240669">
            <w:pPr>
              <w:rPr>
                <w:rStyle w:val="IntenseEmphasis"/>
                <w:rFonts w:cstheme="minorHAnsi"/>
                <w:i w:val="0"/>
                <w:iCs w:val="0"/>
                <w:sz w:val="20"/>
                <w:szCs w:val="20"/>
              </w:rPr>
            </w:pPr>
          </w:p>
        </w:tc>
        <w:tc>
          <w:tcPr>
            <w:tcW w:w="1142" w:type="pct"/>
          </w:tcPr>
          <w:p w14:paraId="54ECFCC2" w14:textId="29B7D2B5" w:rsidR="00D92291" w:rsidRPr="008B2DDA" w:rsidRDefault="00D92291" w:rsidP="00216F1D">
            <w:pPr>
              <w:autoSpaceDE w:val="0"/>
              <w:autoSpaceDN w:val="0"/>
              <w:adjustRightInd w:val="0"/>
              <w:jc w:val="both"/>
              <w:rPr>
                <w:rFonts w:cstheme="minorHAnsi"/>
                <w:sz w:val="20"/>
                <w:szCs w:val="20"/>
              </w:rPr>
            </w:pPr>
            <w:r w:rsidRPr="00A02B31">
              <w:rPr>
                <w:rFonts w:cstheme="minorHAnsi"/>
                <w:sz w:val="20"/>
                <w:szCs w:val="20"/>
              </w:rPr>
              <w:t xml:space="preserve">The </w:t>
            </w:r>
            <w:r w:rsidR="00481EEC" w:rsidRPr="008B2DDA">
              <w:rPr>
                <w:rFonts w:cstheme="minorHAnsi"/>
                <w:sz w:val="20"/>
                <w:szCs w:val="20"/>
              </w:rPr>
              <w:t>b</w:t>
            </w:r>
            <w:r w:rsidRPr="008B2DDA">
              <w:rPr>
                <w:rFonts w:cstheme="minorHAnsi"/>
                <w:sz w:val="20"/>
                <w:szCs w:val="20"/>
              </w:rPr>
              <w:t xml:space="preserve">oard reviewed its compliance with the AIC Code of Governance published in February 2019 to assess the extent of its compliance and identify any gaps. Regular updates are received from the </w:t>
            </w:r>
            <w:r w:rsidR="00481EEC" w:rsidRPr="008B2DDA">
              <w:rPr>
                <w:rFonts w:cstheme="minorHAnsi"/>
                <w:sz w:val="20"/>
                <w:szCs w:val="20"/>
              </w:rPr>
              <w:t>c</w:t>
            </w:r>
            <w:r w:rsidRPr="008B2DDA">
              <w:rPr>
                <w:rFonts w:cstheme="minorHAnsi"/>
                <w:sz w:val="20"/>
                <w:szCs w:val="20"/>
              </w:rPr>
              <w:t xml:space="preserve">ompany </w:t>
            </w:r>
            <w:r w:rsidR="00481EEC" w:rsidRPr="008B2DDA">
              <w:rPr>
                <w:rFonts w:cstheme="minorHAnsi"/>
                <w:sz w:val="20"/>
                <w:szCs w:val="20"/>
              </w:rPr>
              <w:t>s</w:t>
            </w:r>
            <w:r w:rsidRPr="008B2DDA">
              <w:rPr>
                <w:rFonts w:cstheme="minorHAnsi"/>
                <w:sz w:val="20"/>
                <w:szCs w:val="20"/>
              </w:rPr>
              <w:t xml:space="preserve">ecretary on governance matters to inform the </w:t>
            </w:r>
            <w:r w:rsidR="00481EEC" w:rsidRPr="008B2DDA">
              <w:rPr>
                <w:rFonts w:cstheme="minorHAnsi"/>
                <w:sz w:val="20"/>
                <w:szCs w:val="20"/>
              </w:rPr>
              <w:t>b</w:t>
            </w:r>
            <w:r w:rsidRPr="008B2DDA">
              <w:rPr>
                <w:rFonts w:cstheme="minorHAnsi"/>
                <w:sz w:val="20"/>
                <w:szCs w:val="20"/>
              </w:rPr>
              <w:t>oard of any changes in market practice or any legal or statutory obligations which could affect the Company.</w:t>
            </w:r>
          </w:p>
        </w:tc>
        <w:tc>
          <w:tcPr>
            <w:tcW w:w="1206" w:type="pct"/>
          </w:tcPr>
          <w:p w14:paraId="22A980B6" w14:textId="77777777" w:rsidR="00D92291" w:rsidRPr="008B2DDA" w:rsidRDefault="00D92291" w:rsidP="00240669">
            <w:pPr>
              <w:rPr>
                <w:rFonts w:cstheme="minorHAnsi"/>
                <w:sz w:val="20"/>
                <w:szCs w:val="20"/>
              </w:rPr>
            </w:pPr>
            <w:r w:rsidRPr="008B2DDA">
              <w:rPr>
                <w:rFonts w:cstheme="minorHAnsi"/>
                <w:sz w:val="20"/>
                <w:szCs w:val="20"/>
              </w:rPr>
              <w:t>No specific action required</w:t>
            </w:r>
          </w:p>
        </w:tc>
      </w:tr>
    </w:tbl>
    <w:p w14:paraId="5BF8B76D" w14:textId="15A14EBC" w:rsidR="000E0671" w:rsidRDefault="000E0671" w:rsidP="000A1433">
      <w:pPr>
        <w:rPr>
          <w:rFonts w:cstheme="minorHAnsi"/>
          <w:sz w:val="20"/>
          <w:szCs w:val="20"/>
        </w:rPr>
      </w:pPr>
    </w:p>
    <w:p w14:paraId="68562FDA" w14:textId="5DB421BE" w:rsidR="00FB7970" w:rsidRDefault="00FB7970" w:rsidP="000A1433">
      <w:pPr>
        <w:rPr>
          <w:rFonts w:cstheme="minorHAnsi"/>
          <w:sz w:val="20"/>
          <w:szCs w:val="20"/>
        </w:rPr>
      </w:pPr>
    </w:p>
    <w:p w14:paraId="627F59FA" w14:textId="692C791C" w:rsidR="00FB7970" w:rsidRDefault="00FB7970" w:rsidP="000A1433">
      <w:pPr>
        <w:rPr>
          <w:rFonts w:cstheme="minorHAnsi"/>
          <w:sz w:val="20"/>
          <w:szCs w:val="20"/>
        </w:rPr>
      </w:pPr>
    </w:p>
    <w:p w14:paraId="6A2F244D" w14:textId="2C12665B" w:rsidR="00FB7970" w:rsidRDefault="00FB7970" w:rsidP="000A1433">
      <w:pPr>
        <w:rPr>
          <w:rFonts w:cstheme="minorHAnsi"/>
          <w:sz w:val="20"/>
          <w:szCs w:val="20"/>
        </w:rPr>
      </w:pPr>
      <w:r>
        <w:rPr>
          <w:noProof/>
          <w:lang w:eastAsia="en-GB"/>
        </w:rPr>
        <w:drawing>
          <wp:anchor distT="0" distB="0" distL="114300" distR="114300" simplePos="0" relativeHeight="251734016" behindDoc="1" locked="0" layoutInCell="1" allowOverlap="1" wp14:anchorId="0FC758D7" wp14:editId="6A4A075A">
            <wp:simplePos x="0" y="0"/>
            <wp:positionH relativeFrom="column">
              <wp:posOffset>-2540</wp:posOffset>
            </wp:positionH>
            <wp:positionV relativeFrom="paragraph">
              <wp:posOffset>-635</wp:posOffset>
            </wp:positionV>
            <wp:extent cx="882650" cy="510448"/>
            <wp:effectExtent l="0" t="0" r="0"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82650" cy="510448"/>
                    </a:xfrm>
                    <a:prstGeom prst="rect">
                      <a:avLst/>
                    </a:prstGeom>
                  </pic:spPr>
                </pic:pic>
              </a:graphicData>
            </a:graphic>
          </wp:anchor>
        </w:drawing>
      </w:r>
    </w:p>
    <w:p w14:paraId="686ABA16" w14:textId="2C56B6F6" w:rsidR="00FB7970" w:rsidRDefault="00FB7970" w:rsidP="000A1433">
      <w:pPr>
        <w:rPr>
          <w:rFonts w:cstheme="minorHAnsi"/>
          <w:sz w:val="20"/>
          <w:szCs w:val="20"/>
        </w:rPr>
      </w:pPr>
    </w:p>
    <w:p w14:paraId="15B5C806" w14:textId="77777777" w:rsidR="00FB7970" w:rsidRPr="00A02B31" w:rsidRDefault="00FB7970" w:rsidP="000A1433">
      <w:pPr>
        <w:rPr>
          <w:rFonts w:cstheme="minorHAnsi"/>
          <w:sz w:val="20"/>
          <w:szCs w:val="20"/>
        </w:rPr>
      </w:pPr>
    </w:p>
    <w:p w14:paraId="6FA1C15D" w14:textId="77777777" w:rsidR="000E0671" w:rsidRPr="00A02B31" w:rsidRDefault="000E0671" w:rsidP="000A1433">
      <w:pPr>
        <w:rPr>
          <w:rFonts w:cstheme="minorHAnsi"/>
          <w:sz w:val="20"/>
          <w:szCs w:val="20"/>
        </w:rPr>
      </w:pPr>
    </w:p>
    <w:p w14:paraId="2B83F4CA" w14:textId="77777777" w:rsidR="004D36A0" w:rsidRPr="00A02B31" w:rsidRDefault="004D36A0" w:rsidP="004D36A0">
      <w:pPr>
        <w:rPr>
          <w:rFonts w:cstheme="minorHAnsi"/>
          <w:b/>
          <w:sz w:val="20"/>
          <w:szCs w:val="20"/>
        </w:rPr>
      </w:pPr>
      <w:r w:rsidRPr="00A02B31">
        <w:rPr>
          <w:rFonts w:cstheme="minorHAnsi"/>
          <w:b/>
          <w:sz w:val="20"/>
          <w:szCs w:val="20"/>
        </w:rPr>
        <w:t xml:space="preserve">SGH Company Secretaries Limited </w:t>
      </w:r>
    </w:p>
    <w:p w14:paraId="0052A15C" w14:textId="77777777" w:rsidR="000A1433" w:rsidRPr="00A02B31" w:rsidRDefault="000A1433" w:rsidP="000A1433">
      <w:pPr>
        <w:rPr>
          <w:rFonts w:cstheme="minorHAnsi"/>
          <w:sz w:val="20"/>
          <w:szCs w:val="20"/>
        </w:rPr>
      </w:pPr>
      <w:r w:rsidRPr="00A02B31">
        <w:rPr>
          <w:rFonts w:cstheme="minorHAnsi"/>
          <w:sz w:val="20"/>
          <w:szCs w:val="20"/>
        </w:rPr>
        <w:t>Company Secretary</w:t>
      </w:r>
    </w:p>
    <w:p w14:paraId="7D04EDD5" w14:textId="77777777" w:rsidR="000E0671" w:rsidRPr="00A02B31" w:rsidRDefault="000E0671" w:rsidP="000A1433">
      <w:pPr>
        <w:rPr>
          <w:rFonts w:cstheme="minorHAnsi"/>
          <w:sz w:val="20"/>
          <w:szCs w:val="20"/>
        </w:rPr>
      </w:pPr>
    </w:p>
    <w:p w14:paraId="4124F30D" w14:textId="51AC6127" w:rsidR="000A1433" w:rsidRPr="00A02B31" w:rsidRDefault="004F7B9E" w:rsidP="000A1433">
      <w:pPr>
        <w:rPr>
          <w:rFonts w:cstheme="minorHAnsi"/>
          <w:sz w:val="20"/>
          <w:szCs w:val="20"/>
        </w:rPr>
      </w:pPr>
      <w:r w:rsidRPr="00A02B31">
        <w:rPr>
          <w:rFonts w:cstheme="minorHAnsi"/>
          <w:sz w:val="20"/>
          <w:szCs w:val="20"/>
        </w:rPr>
        <w:t>2</w:t>
      </w:r>
      <w:r w:rsidR="00E65D8E" w:rsidRPr="00A02B31">
        <w:rPr>
          <w:rFonts w:cstheme="minorHAnsi"/>
          <w:sz w:val="20"/>
          <w:szCs w:val="20"/>
        </w:rPr>
        <w:t>2</w:t>
      </w:r>
      <w:r w:rsidRPr="00A02B31">
        <w:rPr>
          <w:rFonts w:cstheme="minorHAnsi"/>
          <w:sz w:val="20"/>
          <w:szCs w:val="20"/>
        </w:rPr>
        <w:t xml:space="preserve"> </w:t>
      </w:r>
      <w:r w:rsidR="00FE356E" w:rsidRPr="00A02B31">
        <w:rPr>
          <w:rFonts w:cstheme="minorHAnsi"/>
          <w:sz w:val="20"/>
          <w:szCs w:val="20"/>
        </w:rPr>
        <w:t>June 202</w:t>
      </w:r>
      <w:r w:rsidR="003B50BC" w:rsidRPr="00A02B31">
        <w:rPr>
          <w:rFonts w:cstheme="minorHAnsi"/>
          <w:sz w:val="20"/>
          <w:szCs w:val="20"/>
        </w:rPr>
        <w:t>2</w:t>
      </w:r>
    </w:p>
    <w:p w14:paraId="418D0686" w14:textId="77777777" w:rsidR="000A1433" w:rsidRPr="00A02B31" w:rsidRDefault="000A1433" w:rsidP="000A1433">
      <w:pPr>
        <w:rPr>
          <w:rFonts w:cstheme="minorHAnsi"/>
          <w:sz w:val="20"/>
          <w:szCs w:val="20"/>
        </w:rPr>
      </w:pPr>
    </w:p>
    <w:p w14:paraId="5FD3DFE1" w14:textId="77777777" w:rsidR="00E6489E" w:rsidRPr="00A02B31" w:rsidRDefault="00E6489E">
      <w:pPr>
        <w:rPr>
          <w:rFonts w:cstheme="minorHAnsi"/>
          <w:b/>
          <w:sz w:val="20"/>
          <w:szCs w:val="20"/>
        </w:rPr>
      </w:pPr>
      <w:r w:rsidRPr="00A02B31">
        <w:rPr>
          <w:rFonts w:cstheme="minorHAnsi"/>
          <w:b/>
          <w:sz w:val="20"/>
          <w:szCs w:val="20"/>
        </w:rPr>
        <w:br w:type="page"/>
      </w:r>
    </w:p>
    <w:p w14:paraId="5A40237C" w14:textId="79C6EF36" w:rsidR="00847F73" w:rsidRPr="00A02B31" w:rsidRDefault="00847F73" w:rsidP="005A3719">
      <w:pPr>
        <w:jc w:val="center"/>
        <w:rPr>
          <w:rFonts w:cstheme="minorHAnsi"/>
          <w:b/>
          <w:sz w:val="20"/>
          <w:szCs w:val="20"/>
        </w:rPr>
      </w:pPr>
      <w:r w:rsidRPr="00A02B31">
        <w:rPr>
          <w:rFonts w:cstheme="minorHAnsi"/>
          <w:b/>
          <w:sz w:val="20"/>
          <w:szCs w:val="20"/>
        </w:rPr>
        <w:lastRenderedPageBreak/>
        <w:t>AUDIT COMMITTEE REPORT</w:t>
      </w:r>
    </w:p>
    <w:p w14:paraId="699E3FF5" w14:textId="77777777" w:rsidR="00847F73" w:rsidRPr="00A02B31" w:rsidRDefault="00847F73" w:rsidP="00847F73">
      <w:pPr>
        <w:rPr>
          <w:rFonts w:cstheme="minorHAnsi"/>
          <w:sz w:val="20"/>
          <w:szCs w:val="20"/>
        </w:rPr>
      </w:pPr>
    </w:p>
    <w:p w14:paraId="77089A21" w14:textId="77777777" w:rsidR="00847F73" w:rsidRPr="00A02B31" w:rsidRDefault="00847F73" w:rsidP="00847F73">
      <w:pPr>
        <w:rPr>
          <w:rFonts w:cstheme="minorHAnsi"/>
          <w:sz w:val="20"/>
          <w:szCs w:val="20"/>
        </w:rPr>
      </w:pPr>
    </w:p>
    <w:p w14:paraId="200DD50F" w14:textId="77777777" w:rsidR="000A1433" w:rsidRPr="00A02B31" w:rsidRDefault="000A1433" w:rsidP="00922D3F">
      <w:pPr>
        <w:jc w:val="both"/>
        <w:rPr>
          <w:rFonts w:cstheme="minorHAnsi"/>
          <w:sz w:val="20"/>
          <w:szCs w:val="20"/>
        </w:rPr>
      </w:pPr>
    </w:p>
    <w:p w14:paraId="6C24C4AF" w14:textId="0E2133C9" w:rsidR="003E35B7" w:rsidRPr="00A02B31" w:rsidRDefault="003E35B7" w:rsidP="003E35B7">
      <w:pPr>
        <w:autoSpaceDE w:val="0"/>
        <w:autoSpaceDN w:val="0"/>
        <w:adjustRightInd w:val="0"/>
        <w:jc w:val="both"/>
        <w:rPr>
          <w:rFonts w:cstheme="minorHAnsi"/>
          <w:sz w:val="20"/>
          <w:szCs w:val="20"/>
        </w:rPr>
      </w:pPr>
      <w:r w:rsidRPr="00A02B31">
        <w:rPr>
          <w:rFonts w:cstheme="minorHAnsi"/>
          <w:sz w:val="20"/>
          <w:szCs w:val="20"/>
        </w:rPr>
        <w:t xml:space="preserve">The Audit Committee is now chaired by Ken Lever who assumed the role when the previous Chair, Charles Berry, stepped off the </w:t>
      </w:r>
      <w:r w:rsidR="00481EEC" w:rsidRPr="00A02B31">
        <w:rPr>
          <w:rFonts w:cstheme="minorHAnsi"/>
          <w:sz w:val="20"/>
          <w:szCs w:val="20"/>
        </w:rPr>
        <w:t>b</w:t>
      </w:r>
      <w:r w:rsidRPr="00A02B31">
        <w:rPr>
          <w:rFonts w:cstheme="minorHAnsi"/>
          <w:sz w:val="20"/>
          <w:szCs w:val="20"/>
        </w:rPr>
        <w:t>oard.  The other member is Graham Bird.  Ken Lever is a Chartered Accountant and is the Audit Committee Chair of Vertu Motors plc.  Until recently he also was the Audit Committee Chair of Blue Prism plc. The Chair is considered to have recent and relevant financial experience and the Audit Committee</w:t>
      </w:r>
      <w:r w:rsidR="009300F5" w:rsidRPr="00A02B31">
        <w:rPr>
          <w:rFonts w:cstheme="minorHAnsi"/>
          <w:sz w:val="20"/>
          <w:szCs w:val="20"/>
        </w:rPr>
        <w:t>,</w:t>
      </w:r>
      <w:r w:rsidRPr="00A02B31">
        <w:rPr>
          <w:rFonts w:cstheme="minorHAnsi"/>
          <w:sz w:val="20"/>
          <w:szCs w:val="20"/>
        </w:rPr>
        <w:t xml:space="preserve"> as a whole, has competence in the investment company sector. The Chair of Rockwood Strategic plc and the </w:t>
      </w:r>
      <w:r w:rsidR="00481EEC" w:rsidRPr="00A02B31">
        <w:rPr>
          <w:rFonts w:cstheme="minorHAnsi"/>
          <w:sz w:val="20"/>
          <w:szCs w:val="20"/>
        </w:rPr>
        <w:t>i</w:t>
      </w:r>
      <w:r w:rsidRPr="00A02B31">
        <w:rPr>
          <w:rFonts w:cstheme="minorHAnsi"/>
          <w:sz w:val="20"/>
          <w:szCs w:val="20"/>
        </w:rPr>
        <w:t xml:space="preserve">nvestment </w:t>
      </w:r>
      <w:r w:rsidR="00481EEC" w:rsidRPr="00A02B31">
        <w:rPr>
          <w:rFonts w:cstheme="minorHAnsi"/>
          <w:sz w:val="20"/>
          <w:szCs w:val="20"/>
        </w:rPr>
        <w:t>m</w:t>
      </w:r>
      <w:r w:rsidRPr="00A02B31">
        <w:rPr>
          <w:rFonts w:cstheme="minorHAnsi"/>
          <w:sz w:val="20"/>
          <w:szCs w:val="20"/>
        </w:rPr>
        <w:t xml:space="preserve">anager are not members of the </w:t>
      </w:r>
      <w:r w:rsidR="00481EEC" w:rsidRPr="00A02B31">
        <w:rPr>
          <w:rFonts w:cstheme="minorHAnsi"/>
          <w:sz w:val="20"/>
          <w:szCs w:val="20"/>
        </w:rPr>
        <w:t>c</w:t>
      </w:r>
      <w:r w:rsidRPr="00A02B31">
        <w:rPr>
          <w:rFonts w:cstheme="minorHAnsi"/>
          <w:sz w:val="20"/>
          <w:szCs w:val="20"/>
        </w:rPr>
        <w:t xml:space="preserve">ommittee but are invited to attend meetings of the </w:t>
      </w:r>
      <w:r w:rsidR="00481EEC" w:rsidRPr="00A02B31">
        <w:rPr>
          <w:rFonts w:cstheme="minorHAnsi"/>
          <w:sz w:val="20"/>
          <w:szCs w:val="20"/>
        </w:rPr>
        <w:t>c</w:t>
      </w:r>
      <w:r w:rsidRPr="00A02B31">
        <w:rPr>
          <w:rFonts w:cstheme="minorHAnsi"/>
          <w:sz w:val="20"/>
          <w:szCs w:val="20"/>
        </w:rPr>
        <w:t xml:space="preserve">ommittee from time to time. Representatives of the Company’s </w:t>
      </w:r>
      <w:r w:rsidR="00481EEC" w:rsidRPr="00A02B31">
        <w:rPr>
          <w:rFonts w:cstheme="minorHAnsi"/>
          <w:sz w:val="20"/>
          <w:szCs w:val="20"/>
        </w:rPr>
        <w:t>a</w:t>
      </w:r>
      <w:r w:rsidRPr="00A02B31">
        <w:rPr>
          <w:rFonts w:cstheme="minorHAnsi"/>
          <w:sz w:val="20"/>
          <w:szCs w:val="20"/>
        </w:rPr>
        <w:t xml:space="preserve">uditor attend the </w:t>
      </w:r>
      <w:r w:rsidR="00481EEC" w:rsidRPr="00A02B31">
        <w:rPr>
          <w:rFonts w:cstheme="minorHAnsi"/>
          <w:sz w:val="20"/>
          <w:szCs w:val="20"/>
        </w:rPr>
        <w:t>c</w:t>
      </w:r>
      <w:r w:rsidRPr="00A02B31">
        <w:rPr>
          <w:rFonts w:cstheme="minorHAnsi"/>
          <w:sz w:val="20"/>
          <w:szCs w:val="20"/>
        </w:rPr>
        <w:t xml:space="preserve">ommittee meetings at which the draft half year and full year accounts are reviewed.  The </w:t>
      </w:r>
      <w:r w:rsidR="00481EEC" w:rsidRPr="00A02B31">
        <w:rPr>
          <w:rFonts w:cstheme="minorHAnsi"/>
          <w:sz w:val="20"/>
          <w:szCs w:val="20"/>
        </w:rPr>
        <w:t>a</w:t>
      </w:r>
      <w:r w:rsidRPr="00A02B31">
        <w:rPr>
          <w:rFonts w:cstheme="minorHAnsi"/>
          <w:sz w:val="20"/>
          <w:szCs w:val="20"/>
        </w:rPr>
        <w:t xml:space="preserve">uditor is given the opportunity to speak to the </w:t>
      </w:r>
      <w:r w:rsidR="00481EEC" w:rsidRPr="00A02B31">
        <w:rPr>
          <w:rFonts w:cstheme="minorHAnsi"/>
          <w:sz w:val="20"/>
          <w:szCs w:val="20"/>
        </w:rPr>
        <w:t>c</w:t>
      </w:r>
      <w:r w:rsidRPr="00A02B31">
        <w:rPr>
          <w:rFonts w:cstheme="minorHAnsi"/>
          <w:sz w:val="20"/>
          <w:szCs w:val="20"/>
        </w:rPr>
        <w:t xml:space="preserve">ommittee members without the presence of the </w:t>
      </w:r>
      <w:r w:rsidR="00481EEC" w:rsidRPr="00A02B31">
        <w:rPr>
          <w:rFonts w:cstheme="minorHAnsi"/>
          <w:sz w:val="20"/>
          <w:szCs w:val="20"/>
        </w:rPr>
        <w:t>m</w:t>
      </w:r>
      <w:r w:rsidRPr="00A02B31">
        <w:rPr>
          <w:rFonts w:cstheme="minorHAnsi"/>
          <w:sz w:val="20"/>
          <w:szCs w:val="20"/>
        </w:rPr>
        <w:t>anager.</w:t>
      </w:r>
    </w:p>
    <w:p w14:paraId="599A6B01" w14:textId="77777777" w:rsidR="003E35B7" w:rsidRPr="00A02B31" w:rsidRDefault="003E35B7" w:rsidP="003E35B7">
      <w:pPr>
        <w:jc w:val="both"/>
        <w:rPr>
          <w:rFonts w:cstheme="minorHAnsi"/>
          <w:sz w:val="20"/>
          <w:szCs w:val="20"/>
        </w:rPr>
      </w:pPr>
    </w:p>
    <w:p w14:paraId="1407E1E7" w14:textId="180E9BFC" w:rsidR="003E35B7" w:rsidRPr="00A02B31" w:rsidRDefault="003E35B7" w:rsidP="003E35B7">
      <w:pPr>
        <w:jc w:val="both"/>
        <w:rPr>
          <w:rFonts w:cstheme="minorHAnsi"/>
          <w:sz w:val="20"/>
          <w:szCs w:val="20"/>
        </w:rPr>
      </w:pPr>
      <w:r w:rsidRPr="00A02B31">
        <w:rPr>
          <w:rFonts w:cstheme="minorHAnsi"/>
          <w:sz w:val="20"/>
          <w:szCs w:val="20"/>
        </w:rPr>
        <w:t xml:space="preserve">The Audit Committee operates within a scope and remit defined by specific terms of reference determined by the </w:t>
      </w:r>
      <w:r w:rsidR="00481EEC" w:rsidRPr="00A02B31">
        <w:rPr>
          <w:rFonts w:cstheme="minorHAnsi"/>
          <w:sz w:val="20"/>
          <w:szCs w:val="20"/>
        </w:rPr>
        <w:t>b</w:t>
      </w:r>
      <w:r w:rsidRPr="00A02B31">
        <w:rPr>
          <w:rFonts w:cstheme="minorHAnsi"/>
          <w:sz w:val="20"/>
          <w:szCs w:val="20"/>
        </w:rPr>
        <w:t xml:space="preserve">oard. The </w:t>
      </w:r>
      <w:r w:rsidR="00481EEC" w:rsidRPr="00A02B31">
        <w:rPr>
          <w:rFonts w:cstheme="minorHAnsi"/>
          <w:sz w:val="20"/>
          <w:szCs w:val="20"/>
        </w:rPr>
        <w:t>c</w:t>
      </w:r>
      <w:r w:rsidRPr="00A02B31">
        <w:rPr>
          <w:rFonts w:cstheme="minorHAnsi"/>
          <w:sz w:val="20"/>
          <w:szCs w:val="20"/>
        </w:rPr>
        <w:t xml:space="preserve">ommittee meets twice a year to review and discuss the Company’s half-year and full year accounts. </w:t>
      </w:r>
    </w:p>
    <w:p w14:paraId="0D721AE9" w14:textId="77777777" w:rsidR="003E35B7" w:rsidRPr="00A02B31" w:rsidRDefault="003E35B7" w:rsidP="003E35B7">
      <w:pPr>
        <w:jc w:val="both"/>
        <w:rPr>
          <w:rFonts w:cstheme="minorHAnsi"/>
          <w:sz w:val="20"/>
          <w:szCs w:val="20"/>
        </w:rPr>
      </w:pPr>
    </w:p>
    <w:p w14:paraId="6D7F14C3" w14:textId="0382D935" w:rsidR="003E35B7" w:rsidRPr="00A02B31" w:rsidRDefault="003E35B7" w:rsidP="003E35B7">
      <w:pPr>
        <w:jc w:val="both"/>
        <w:rPr>
          <w:rFonts w:cstheme="minorHAnsi"/>
          <w:sz w:val="20"/>
          <w:szCs w:val="20"/>
        </w:rPr>
      </w:pPr>
      <w:r w:rsidRPr="00A02B31">
        <w:rPr>
          <w:rFonts w:cstheme="minorHAnsi"/>
          <w:sz w:val="20"/>
          <w:szCs w:val="20"/>
        </w:rPr>
        <w:t xml:space="preserve">The principal areas of focus of the </w:t>
      </w:r>
      <w:r w:rsidR="00481EEC" w:rsidRPr="00A02B31">
        <w:rPr>
          <w:rFonts w:cstheme="minorHAnsi"/>
          <w:sz w:val="20"/>
          <w:szCs w:val="20"/>
        </w:rPr>
        <w:t>c</w:t>
      </w:r>
      <w:r w:rsidRPr="00A02B31">
        <w:rPr>
          <w:rFonts w:cstheme="minorHAnsi"/>
          <w:sz w:val="20"/>
          <w:szCs w:val="20"/>
        </w:rPr>
        <w:t>ommittee are:</w:t>
      </w:r>
    </w:p>
    <w:p w14:paraId="3F4C7EEA" w14:textId="77777777" w:rsidR="003E35B7" w:rsidRPr="00A02B31" w:rsidRDefault="003E35B7" w:rsidP="003E35B7">
      <w:pPr>
        <w:jc w:val="both"/>
        <w:rPr>
          <w:rFonts w:cstheme="minorHAnsi"/>
          <w:sz w:val="20"/>
          <w:szCs w:val="20"/>
        </w:rPr>
      </w:pPr>
    </w:p>
    <w:p w14:paraId="74ADBD6F" w14:textId="77777777" w:rsidR="003E35B7" w:rsidRPr="00A02B31" w:rsidRDefault="003E35B7" w:rsidP="003E35B7">
      <w:pPr>
        <w:pStyle w:val="ListParagraph"/>
        <w:numPr>
          <w:ilvl w:val="0"/>
          <w:numId w:val="6"/>
        </w:numPr>
        <w:jc w:val="both"/>
        <w:rPr>
          <w:rFonts w:cstheme="minorHAnsi"/>
          <w:sz w:val="20"/>
          <w:szCs w:val="20"/>
        </w:rPr>
      </w:pPr>
      <w:r w:rsidRPr="00A02B31">
        <w:rPr>
          <w:rFonts w:cstheme="minorHAnsi"/>
          <w:sz w:val="20"/>
          <w:szCs w:val="20"/>
        </w:rPr>
        <w:t>Monitor the integrity of the financial statements of the Company and any formal announcements relating to the Company’s financial performance;</w:t>
      </w:r>
    </w:p>
    <w:p w14:paraId="484930C7" w14:textId="77777777" w:rsidR="003E35B7" w:rsidRPr="00A02B31" w:rsidRDefault="003E35B7" w:rsidP="003E35B7">
      <w:pPr>
        <w:jc w:val="both"/>
        <w:rPr>
          <w:rFonts w:cstheme="minorHAnsi"/>
          <w:sz w:val="20"/>
          <w:szCs w:val="20"/>
        </w:rPr>
      </w:pPr>
    </w:p>
    <w:p w14:paraId="3AE11A09" w14:textId="77777777" w:rsidR="003E35B7" w:rsidRPr="00A02B31" w:rsidRDefault="003E35B7" w:rsidP="003E35B7">
      <w:pPr>
        <w:pStyle w:val="ListParagraph"/>
        <w:numPr>
          <w:ilvl w:val="0"/>
          <w:numId w:val="6"/>
        </w:numPr>
        <w:jc w:val="both"/>
        <w:rPr>
          <w:rFonts w:cstheme="minorHAnsi"/>
          <w:sz w:val="20"/>
          <w:szCs w:val="20"/>
        </w:rPr>
      </w:pPr>
      <w:r w:rsidRPr="00A02B31">
        <w:rPr>
          <w:rFonts w:cstheme="minorHAnsi"/>
          <w:sz w:val="20"/>
          <w:szCs w:val="20"/>
        </w:rPr>
        <w:t xml:space="preserve">Review the significant issues/judgements relating to the financial statements, and how these issues were addressed; </w:t>
      </w:r>
    </w:p>
    <w:p w14:paraId="68B099A4" w14:textId="77777777" w:rsidR="003E35B7" w:rsidRPr="00A02B31" w:rsidRDefault="003E35B7" w:rsidP="003E35B7">
      <w:pPr>
        <w:jc w:val="both"/>
        <w:rPr>
          <w:rFonts w:cstheme="minorHAnsi"/>
          <w:sz w:val="20"/>
          <w:szCs w:val="20"/>
        </w:rPr>
      </w:pPr>
    </w:p>
    <w:p w14:paraId="5A0328A1" w14:textId="77777777" w:rsidR="003E35B7" w:rsidRPr="00A02B31" w:rsidRDefault="003E35B7" w:rsidP="003E35B7">
      <w:pPr>
        <w:pStyle w:val="ListParagraph"/>
        <w:numPr>
          <w:ilvl w:val="0"/>
          <w:numId w:val="6"/>
        </w:numPr>
        <w:jc w:val="both"/>
        <w:rPr>
          <w:rFonts w:cstheme="minorHAnsi"/>
          <w:sz w:val="20"/>
          <w:szCs w:val="20"/>
        </w:rPr>
      </w:pPr>
      <w:r w:rsidRPr="00A02B31">
        <w:rPr>
          <w:rFonts w:cstheme="minorHAnsi"/>
          <w:sz w:val="20"/>
          <w:szCs w:val="20"/>
        </w:rPr>
        <w:t xml:space="preserve">Ensure that the Company has followed appropriate accounting standards and made appropriate estimates and judgements, taking into account the views of the external auditor; </w:t>
      </w:r>
    </w:p>
    <w:p w14:paraId="463A9296" w14:textId="77777777" w:rsidR="003E35B7" w:rsidRPr="00A02B31" w:rsidRDefault="003E35B7" w:rsidP="003E35B7">
      <w:pPr>
        <w:jc w:val="both"/>
        <w:rPr>
          <w:rFonts w:cstheme="minorHAnsi"/>
          <w:sz w:val="20"/>
          <w:szCs w:val="20"/>
        </w:rPr>
      </w:pPr>
    </w:p>
    <w:p w14:paraId="50166620" w14:textId="4DD384BE" w:rsidR="003E35B7" w:rsidRPr="00A02B31" w:rsidRDefault="003E35B7" w:rsidP="003E35B7">
      <w:pPr>
        <w:pStyle w:val="ListParagraph"/>
        <w:numPr>
          <w:ilvl w:val="0"/>
          <w:numId w:val="6"/>
        </w:numPr>
        <w:jc w:val="both"/>
        <w:rPr>
          <w:rFonts w:cstheme="minorHAnsi"/>
          <w:sz w:val="20"/>
          <w:szCs w:val="20"/>
        </w:rPr>
      </w:pPr>
      <w:r w:rsidRPr="00A02B31">
        <w:rPr>
          <w:rFonts w:cstheme="minorHAnsi"/>
          <w:sz w:val="20"/>
          <w:szCs w:val="20"/>
        </w:rPr>
        <w:t xml:space="preserve">Review and make recommendations to the </w:t>
      </w:r>
      <w:r w:rsidR="00481EEC" w:rsidRPr="00A02B31">
        <w:rPr>
          <w:rFonts w:cstheme="minorHAnsi"/>
          <w:sz w:val="20"/>
          <w:szCs w:val="20"/>
        </w:rPr>
        <w:t>b</w:t>
      </w:r>
      <w:r w:rsidRPr="00A02B31">
        <w:rPr>
          <w:rFonts w:cstheme="minorHAnsi"/>
          <w:sz w:val="20"/>
          <w:szCs w:val="20"/>
        </w:rPr>
        <w:t>oard relating to the content of the Financial Statements and accompanying narrative included within the Annual Report;</w:t>
      </w:r>
    </w:p>
    <w:p w14:paraId="0658A71B" w14:textId="77777777" w:rsidR="003E35B7" w:rsidRPr="00A02B31" w:rsidRDefault="003E35B7" w:rsidP="003E35B7">
      <w:pPr>
        <w:jc w:val="both"/>
        <w:rPr>
          <w:rFonts w:cstheme="minorHAnsi"/>
          <w:sz w:val="20"/>
          <w:szCs w:val="20"/>
        </w:rPr>
      </w:pPr>
    </w:p>
    <w:p w14:paraId="120F633F" w14:textId="46985998" w:rsidR="003E35B7" w:rsidRPr="00A02B31" w:rsidRDefault="003E35B7" w:rsidP="003E35B7">
      <w:pPr>
        <w:pStyle w:val="ListParagraph"/>
        <w:numPr>
          <w:ilvl w:val="0"/>
          <w:numId w:val="6"/>
        </w:numPr>
        <w:jc w:val="both"/>
        <w:rPr>
          <w:rFonts w:cstheme="minorHAnsi"/>
          <w:sz w:val="20"/>
          <w:szCs w:val="20"/>
        </w:rPr>
      </w:pPr>
      <w:r w:rsidRPr="00A02B31">
        <w:rPr>
          <w:rFonts w:cstheme="minorHAnsi"/>
          <w:sz w:val="20"/>
          <w:szCs w:val="20"/>
        </w:rPr>
        <w:t xml:space="preserve">Review and assess the independence, objectivity and effectiveness of the external audit process and the approach taken to the appointment or reappointment of the </w:t>
      </w:r>
      <w:r w:rsidR="00481EEC" w:rsidRPr="00A02B31">
        <w:rPr>
          <w:rFonts w:cstheme="minorHAnsi"/>
          <w:sz w:val="20"/>
          <w:szCs w:val="20"/>
        </w:rPr>
        <w:t xml:space="preserve">independent </w:t>
      </w:r>
      <w:r w:rsidRPr="00A02B31">
        <w:rPr>
          <w:rFonts w:cstheme="minorHAnsi"/>
          <w:sz w:val="20"/>
          <w:szCs w:val="20"/>
        </w:rPr>
        <w:t xml:space="preserve">auditor; </w:t>
      </w:r>
    </w:p>
    <w:p w14:paraId="735F1058" w14:textId="77777777" w:rsidR="003E35B7" w:rsidRPr="00A02B31" w:rsidRDefault="003E35B7" w:rsidP="003E35B7">
      <w:pPr>
        <w:pStyle w:val="ListParagraph"/>
        <w:rPr>
          <w:rFonts w:cstheme="minorHAnsi"/>
          <w:sz w:val="20"/>
          <w:szCs w:val="20"/>
        </w:rPr>
      </w:pPr>
    </w:p>
    <w:p w14:paraId="21030378" w14:textId="77777777" w:rsidR="003E35B7" w:rsidRPr="00A02B31" w:rsidRDefault="003E35B7" w:rsidP="003E35B7">
      <w:pPr>
        <w:pStyle w:val="ListParagraph"/>
        <w:numPr>
          <w:ilvl w:val="0"/>
          <w:numId w:val="6"/>
        </w:numPr>
        <w:jc w:val="both"/>
        <w:rPr>
          <w:rFonts w:cstheme="minorHAnsi"/>
          <w:sz w:val="20"/>
          <w:szCs w:val="20"/>
        </w:rPr>
      </w:pPr>
      <w:r w:rsidRPr="00A02B31">
        <w:rPr>
          <w:rFonts w:cstheme="minorHAnsi"/>
          <w:sz w:val="20"/>
          <w:szCs w:val="20"/>
        </w:rPr>
        <w:t>Approve the remuneration of the independent auditors; and</w:t>
      </w:r>
    </w:p>
    <w:p w14:paraId="0BA8E40B" w14:textId="77777777" w:rsidR="003E35B7" w:rsidRPr="00A02B31" w:rsidRDefault="003E35B7" w:rsidP="003E35B7">
      <w:pPr>
        <w:jc w:val="both"/>
        <w:rPr>
          <w:rFonts w:cstheme="minorHAnsi"/>
          <w:sz w:val="20"/>
          <w:szCs w:val="20"/>
        </w:rPr>
      </w:pPr>
    </w:p>
    <w:p w14:paraId="69413E7A" w14:textId="77777777" w:rsidR="003E35B7" w:rsidRPr="00A02B31" w:rsidRDefault="003E35B7" w:rsidP="003E35B7">
      <w:pPr>
        <w:pStyle w:val="ListParagraph"/>
        <w:numPr>
          <w:ilvl w:val="0"/>
          <w:numId w:val="6"/>
        </w:numPr>
        <w:jc w:val="both"/>
        <w:rPr>
          <w:rFonts w:cstheme="minorHAnsi"/>
          <w:sz w:val="20"/>
          <w:szCs w:val="20"/>
        </w:rPr>
      </w:pPr>
      <w:r w:rsidRPr="00A02B31">
        <w:rPr>
          <w:rFonts w:cstheme="minorHAnsi"/>
          <w:sz w:val="20"/>
          <w:szCs w:val="20"/>
        </w:rPr>
        <w:t>Monitor and review the effectiveness of the Company’s internal financial controls, internal control and risk management systems.</w:t>
      </w:r>
    </w:p>
    <w:p w14:paraId="0706CF47" w14:textId="77777777" w:rsidR="003E35B7" w:rsidRPr="00A02B31" w:rsidRDefault="003E35B7" w:rsidP="003E35B7">
      <w:pPr>
        <w:jc w:val="both"/>
        <w:rPr>
          <w:rFonts w:cstheme="minorHAnsi"/>
          <w:sz w:val="20"/>
          <w:szCs w:val="20"/>
        </w:rPr>
      </w:pPr>
    </w:p>
    <w:p w14:paraId="2B4A7B0F" w14:textId="77777777" w:rsidR="003E35B7" w:rsidRPr="00A02B31" w:rsidRDefault="003E35B7" w:rsidP="003E35B7">
      <w:pPr>
        <w:jc w:val="both"/>
        <w:rPr>
          <w:rFonts w:cstheme="minorHAnsi"/>
          <w:sz w:val="20"/>
          <w:szCs w:val="20"/>
        </w:rPr>
      </w:pPr>
    </w:p>
    <w:p w14:paraId="635FC4FD" w14:textId="77777777" w:rsidR="003E35B7" w:rsidRPr="00A02B31" w:rsidRDefault="003E35B7" w:rsidP="003E35B7">
      <w:pPr>
        <w:rPr>
          <w:rFonts w:cstheme="minorHAnsi"/>
          <w:b/>
          <w:sz w:val="20"/>
          <w:szCs w:val="20"/>
        </w:rPr>
      </w:pPr>
      <w:r w:rsidRPr="00A02B31">
        <w:rPr>
          <w:rFonts w:cstheme="minorHAnsi"/>
          <w:b/>
          <w:sz w:val="20"/>
          <w:szCs w:val="20"/>
        </w:rPr>
        <w:t>Principal activities during the year</w:t>
      </w:r>
    </w:p>
    <w:p w14:paraId="6C15163E" w14:textId="77777777" w:rsidR="003E35B7" w:rsidRPr="00A02B31" w:rsidRDefault="003E35B7" w:rsidP="003E35B7">
      <w:pPr>
        <w:jc w:val="both"/>
        <w:rPr>
          <w:rFonts w:cstheme="minorHAnsi"/>
          <w:sz w:val="20"/>
          <w:szCs w:val="20"/>
        </w:rPr>
      </w:pPr>
    </w:p>
    <w:p w14:paraId="00033DCA" w14:textId="77777777" w:rsidR="003E35B7" w:rsidRPr="00A02B31" w:rsidRDefault="003E35B7" w:rsidP="003E35B7">
      <w:pPr>
        <w:pStyle w:val="ListParagraph"/>
        <w:numPr>
          <w:ilvl w:val="0"/>
          <w:numId w:val="7"/>
        </w:numPr>
        <w:jc w:val="both"/>
        <w:rPr>
          <w:rFonts w:cstheme="minorHAnsi"/>
          <w:sz w:val="20"/>
          <w:szCs w:val="20"/>
        </w:rPr>
      </w:pPr>
      <w:r w:rsidRPr="00A02B31">
        <w:rPr>
          <w:rFonts w:cstheme="minorHAnsi"/>
          <w:sz w:val="20"/>
          <w:szCs w:val="20"/>
        </w:rPr>
        <w:t>Considered the independent auditor’s annual scope and report on the full year accounts and the key areas of focus;</w:t>
      </w:r>
    </w:p>
    <w:p w14:paraId="17662C34" w14:textId="77777777" w:rsidR="003E35B7" w:rsidRPr="00A02B31" w:rsidRDefault="003E35B7" w:rsidP="003E35B7">
      <w:pPr>
        <w:pStyle w:val="ListParagraph"/>
        <w:jc w:val="both"/>
        <w:rPr>
          <w:rFonts w:cstheme="minorHAnsi"/>
          <w:sz w:val="20"/>
          <w:szCs w:val="20"/>
        </w:rPr>
      </w:pPr>
    </w:p>
    <w:p w14:paraId="45BA74C0" w14:textId="77777777" w:rsidR="003E35B7" w:rsidRPr="00A02B31" w:rsidRDefault="003E35B7" w:rsidP="003E35B7">
      <w:pPr>
        <w:pStyle w:val="ListParagraph"/>
        <w:numPr>
          <w:ilvl w:val="0"/>
          <w:numId w:val="7"/>
        </w:numPr>
        <w:jc w:val="both"/>
        <w:rPr>
          <w:rFonts w:cstheme="minorHAnsi"/>
          <w:sz w:val="20"/>
          <w:szCs w:val="20"/>
        </w:rPr>
      </w:pPr>
      <w:r w:rsidRPr="00A02B31">
        <w:rPr>
          <w:rFonts w:cstheme="minorHAnsi"/>
          <w:sz w:val="20"/>
          <w:szCs w:val="20"/>
        </w:rPr>
        <w:t>Reviewed the full year and half-year results, including the underlying accounting issues, judgements and estimates and the processes underpinning the preparation of those documents;</w:t>
      </w:r>
    </w:p>
    <w:p w14:paraId="1D1DB159" w14:textId="77777777" w:rsidR="003E35B7" w:rsidRPr="00A02B31" w:rsidRDefault="003E35B7" w:rsidP="003E35B7">
      <w:pPr>
        <w:pStyle w:val="ListParagraph"/>
        <w:rPr>
          <w:rFonts w:cstheme="minorHAnsi"/>
          <w:sz w:val="20"/>
          <w:szCs w:val="20"/>
        </w:rPr>
      </w:pPr>
    </w:p>
    <w:p w14:paraId="172958FC" w14:textId="5DB1FDA0" w:rsidR="003E35B7" w:rsidRPr="00A02B31" w:rsidRDefault="003E35B7" w:rsidP="003E35B7">
      <w:pPr>
        <w:pStyle w:val="ListParagraph"/>
        <w:numPr>
          <w:ilvl w:val="0"/>
          <w:numId w:val="7"/>
        </w:numPr>
        <w:jc w:val="both"/>
        <w:rPr>
          <w:rFonts w:cstheme="minorHAnsi"/>
          <w:sz w:val="20"/>
          <w:szCs w:val="20"/>
        </w:rPr>
      </w:pPr>
      <w:r w:rsidRPr="00A02B31">
        <w:rPr>
          <w:rFonts w:cstheme="minorHAnsi"/>
          <w:sz w:val="20"/>
          <w:szCs w:val="20"/>
        </w:rPr>
        <w:t>Considered the report prepared by the third party service provider with respect to the review o</w:t>
      </w:r>
      <w:r w:rsidR="00481EEC" w:rsidRPr="00A02B31">
        <w:rPr>
          <w:rFonts w:cstheme="minorHAnsi"/>
          <w:sz w:val="20"/>
          <w:szCs w:val="20"/>
        </w:rPr>
        <w:t>f</w:t>
      </w:r>
      <w:r w:rsidRPr="00A02B31">
        <w:rPr>
          <w:rFonts w:cstheme="minorHAnsi"/>
          <w:sz w:val="20"/>
          <w:szCs w:val="20"/>
        </w:rPr>
        <w:t xml:space="preserve"> internal controls, accounting systems and processes used to prepare the financial information,</w:t>
      </w:r>
    </w:p>
    <w:p w14:paraId="2847711F" w14:textId="77777777" w:rsidR="003E35B7" w:rsidRPr="00A02B31" w:rsidRDefault="003E35B7" w:rsidP="003E35B7">
      <w:pPr>
        <w:pStyle w:val="ListParagraph"/>
        <w:rPr>
          <w:rFonts w:cstheme="minorHAnsi"/>
          <w:sz w:val="20"/>
          <w:szCs w:val="20"/>
        </w:rPr>
      </w:pPr>
    </w:p>
    <w:p w14:paraId="57CB873B" w14:textId="77777777" w:rsidR="003E35B7" w:rsidRPr="00A02B31" w:rsidRDefault="003E35B7" w:rsidP="003E35B7">
      <w:pPr>
        <w:pStyle w:val="ListParagraph"/>
        <w:numPr>
          <w:ilvl w:val="0"/>
          <w:numId w:val="7"/>
        </w:numPr>
        <w:jc w:val="both"/>
        <w:rPr>
          <w:rFonts w:cstheme="minorHAnsi"/>
          <w:sz w:val="20"/>
          <w:szCs w:val="20"/>
        </w:rPr>
      </w:pPr>
      <w:r w:rsidRPr="00A02B31">
        <w:rPr>
          <w:rFonts w:cstheme="minorHAnsi"/>
          <w:sz w:val="20"/>
          <w:szCs w:val="20"/>
        </w:rPr>
        <w:t xml:space="preserve">Reviewed the information presented in the half-year and full year reports to assess whether, taken as a whole, the reports are fair, balanced and understandable and the information presented enable the shareholders to assess the Company’s performance and strategy; </w:t>
      </w:r>
    </w:p>
    <w:p w14:paraId="360FBB86" w14:textId="77777777" w:rsidR="003E35B7" w:rsidRPr="00A02B31" w:rsidRDefault="003E35B7" w:rsidP="003E35B7">
      <w:pPr>
        <w:pStyle w:val="ListParagraph"/>
        <w:jc w:val="both"/>
        <w:rPr>
          <w:rFonts w:cstheme="minorHAnsi"/>
          <w:sz w:val="20"/>
          <w:szCs w:val="20"/>
        </w:rPr>
      </w:pPr>
    </w:p>
    <w:p w14:paraId="1499DC66" w14:textId="77777777" w:rsidR="003E35B7" w:rsidRPr="00A02B31" w:rsidRDefault="003E35B7" w:rsidP="003E35B7">
      <w:pPr>
        <w:pStyle w:val="ListParagraph"/>
        <w:numPr>
          <w:ilvl w:val="0"/>
          <w:numId w:val="7"/>
        </w:numPr>
        <w:jc w:val="both"/>
        <w:rPr>
          <w:rFonts w:cstheme="minorHAnsi"/>
          <w:sz w:val="20"/>
          <w:szCs w:val="20"/>
        </w:rPr>
      </w:pPr>
      <w:r w:rsidRPr="00A02B31">
        <w:rPr>
          <w:rFonts w:cstheme="minorHAnsi"/>
          <w:sz w:val="20"/>
          <w:szCs w:val="20"/>
        </w:rPr>
        <w:t>Reviewed and recommended the reappointment of BDO LLP as the external auditor for the Company and agreed the remuneration of the Auditor; and,</w:t>
      </w:r>
    </w:p>
    <w:p w14:paraId="6DA8EAED" w14:textId="77777777" w:rsidR="003E35B7" w:rsidRPr="00A02B31" w:rsidRDefault="003E35B7" w:rsidP="003E35B7">
      <w:pPr>
        <w:jc w:val="both"/>
        <w:rPr>
          <w:rFonts w:cstheme="minorHAnsi"/>
          <w:sz w:val="20"/>
          <w:szCs w:val="20"/>
        </w:rPr>
      </w:pPr>
    </w:p>
    <w:p w14:paraId="044976F2" w14:textId="63B5C77E" w:rsidR="003E35B7" w:rsidRPr="00A02B31" w:rsidRDefault="003E35B7" w:rsidP="003E35B7">
      <w:pPr>
        <w:pStyle w:val="ListParagraph"/>
        <w:numPr>
          <w:ilvl w:val="0"/>
          <w:numId w:val="7"/>
        </w:numPr>
        <w:jc w:val="both"/>
        <w:rPr>
          <w:rFonts w:cstheme="minorHAnsi"/>
          <w:sz w:val="20"/>
          <w:szCs w:val="20"/>
        </w:rPr>
      </w:pPr>
      <w:r w:rsidRPr="00A02B31">
        <w:rPr>
          <w:rFonts w:cstheme="minorHAnsi"/>
          <w:sz w:val="20"/>
          <w:szCs w:val="20"/>
        </w:rPr>
        <w:t>Reviewed the need to establish or otherwise an internal audit function.</w:t>
      </w:r>
    </w:p>
    <w:p w14:paraId="55D109EC" w14:textId="77777777" w:rsidR="00F3613B" w:rsidRPr="00A02B31" w:rsidRDefault="00F3613B" w:rsidP="00A02B31">
      <w:pPr>
        <w:pStyle w:val="ListParagraph"/>
        <w:rPr>
          <w:rFonts w:cstheme="minorHAnsi"/>
          <w:sz w:val="20"/>
          <w:szCs w:val="20"/>
        </w:rPr>
      </w:pPr>
    </w:p>
    <w:p w14:paraId="53670739" w14:textId="103B1906" w:rsidR="00F3613B" w:rsidRPr="00A02B31" w:rsidRDefault="00F3613B" w:rsidP="00F3613B">
      <w:pPr>
        <w:pStyle w:val="ListParagraph"/>
        <w:numPr>
          <w:ilvl w:val="0"/>
          <w:numId w:val="7"/>
        </w:numPr>
        <w:jc w:val="both"/>
        <w:rPr>
          <w:rFonts w:cstheme="minorHAnsi"/>
          <w:sz w:val="20"/>
          <w:szCs w:val="20"/>
        </w:rPr>
      </w:pPr>
      <w:r w:rsidRPr="00A02B31">
        <w:rPr>
          <w:rFonts w:cstheme="minorHAnsi"/>
          <w:sz w:val="20"/>
          <w:szCs w:val="20"/>
        </w:rPr>
        <w:lastRenderedPageBreak/>
        <w:t>Oversaw the inclusion of financial information contained in the circular to shareholders prepared for each of the extraordinary meetings of shareholders.</w:t>
      </w:r>
    </w:p>
    <w:p w14:paraId="65B05A66" w14:textId="77777777" w:rsidR="00F3613B" w:rsidRPr="00A02B31" w:rsidRDefault="00F3613B" w:rsidP="00A02B31">
      <w:pPr>
        <w:pStyle w:val="ListParagraph"/>
        <w:rPr>
          <w:rFonts w:cstheme="minorHAnsi"/>
          <w:sz w:val="20"/>
          <w:szCs w:val="20"/>
        </w:rPr>
      </w:pPr>
    </w:p>
    <w:p w14:paraId="328CFB16" w14:textId="585EF3FC" w:rsidR="00F3613B" w:rsidRPr="00A02B31" w:rsidRDefault="00F3613B" w:rsidP="00F3613B">
      <w:pPr>
        <w:pStyle w:val="ListParagraph"/>
        <w:numPr>
          <w:ilvl w:val="0"/>
          <w:numId w:val="7"/>
        </w:numPr>
        <w:jc w:val="both"/>
        <w:rPr>
          <w:rFonts w:cstheme="minorHAnsi"/>
          <w:sz w:val="20"/>
          <w:szCs w:val="20"/>
        </w:rPr>
      </w:pPr>
      <w:r w:rsidRPr="00A02B31">
        <w:rPr>
          <w:rFonts w:cstheme="minorHAnsi"/>
          <w:sz w:val="20"/>
          <w:szCs w:val="20"/>
        </w:rPr>
        <w:t>Oversaw the accounting required for the return of capital to shareholders through the B share scheme and tender offer during the year.</w:t>
      </w:r>
    </w:p>
    <w:p w14:paraId="5BCEB52D" w14:textId="77777777" w:rsidR="00F3613B" w:rsidRPr="00A02B31" w:rsidRDefault="00F3613B" w:rsidP="00A02B31">
      <w:pPr>
        <w:pStyle w:val="ListParagraph"/>
        <w:rPr>
          <w:rFonts w:cstheme="minorHAnsi"/>
          <w:sz w:val="20"/>
          <w:szCs w:val="20"/>
        </w:rPr>
      </w:pPr>
    </w:p>
    <w:p w14:paraId="58E1BE80" w14:textId="77777777" w:rsidR="00F3613B" w:rsidRPr="00A02B31" w:rsidRDefault="00F3613B" w:rsidP="00F3613B">
      <w:pPr>
        <w:pStyle w:val="ListParagraph"/>
        <w:numPr>
          <w:ilvl w:val="0"/>
          <w:numId w:val="7"/>
        </w:numPr>
        <w:jc w:val="both"/>
        <w:rPr>
          <w:rFonts w:cstheme="minorHAnsi"/>
          <w:sz w:val="20"/>
          <w:szCs w:val="20"/>
        </w:rPr>
      </w:pPr>
      <w:r w:rsidRPr="00A02B31">
        <w:rPr>
          <w:rFonts w:cstheme="minorHAnsi"/>
          <w:sz w:val="20"/>
          <w:szCs w:val="20"/>
        </w:rPr>
        <w:t>Reviewed the background to the need to include a tax liability in the accounts following the change to the tax legislation in 2020 with regard to the use of carry forward tax losses (as referred to in the chairman’s statement).</w:t>
      </w:r>
    </w:p>
    <w:p w14:paraId="7E185B13" w14:textId="77777777" w:rsidR="00F3613B" w:rsidRPr="00A02B31" w:rsidRDefault="00F3613B" w:rsidP="00A02B31">
      <w:pPr>
        <w:pStyle w:val="ListParagraph"/>
        <w:rPr>
          <w:rFonts w:cstheme="minorHAnsi"/>
          <w:sz w:val="20"/>
          <w:szCs w:val="20"/>
        </w:rPr>
      </w:pPr>
    </w:p>
    <w:p w14:paraId="4FB31D64" w14:textId="5A6E2733" w:rsidR="00F3613B" w:rsidRPr="00A02B31" w:rsidRDefault="00F3613B" w:rsidP="00F3613B">
      <w:pPr>
        <w:pStyle w:val="ListParagraph"/>
        <w:numPr>
          <w:ilvl w:val="0"/>
          <w:numId w:val="7"/>
        </w:numPr>
        <w:jc w:val="both"/>
        <w:rPr>
          <w:rFonts w:cstheme="minorHAnsi"/>
          <w:sz w:val="20"/>
          <w:szCs w:val="20"/>
        </w:rPr>
      </w:pPr>
      <w:r w:rsidRPr="00A02B31">
        <w:rPr>
          <w:rFonts w:cstheme="minorHAnsi"/>
          <w:sz w:val="20"/>
          <w:szCs w:val="20"/>
        </w:rPr>
        <w:t>Reviewed the accounting and disclosures with respect to related party transactions as set out in note 15 to the financial statements.</w:t>
      </w:r>
    </w:p>
    <w:p w14:paraId="1164C44F" w14:textId="77777777" w:rsidR="003E35B7" w:rsidRPr="00A02B31" w:rsidRDefault="003E35B7" w:rsidP="003E35B7">
      <w:pPr>
        <w:rPr>
          <w:rFonts w:cstheme="minorHAnsi"/>
          <w:b/>
          <w:sz w:val="20"/>
          <w:szCs w:val="20"/>
        </w:rPr>
      </w:pPr>
    </w:p>
    <w:p w14:paraId="61CBCC7C" w14:textId="77777777" w:rsidR="003E35B7" w:rsidRPr="00A02B31" w:rsidRDefault="003E35B7" w:rsidP="003E35B7">
      <w:pPr>
        <w:rPr>
          <w:rFonts w:cstheme="minorHAnsi"/>
          <w:b/>
          <w:sz w:val="20"/>
          <w:szCs w:val="20"/>
        </w:rPr>
      </w:pPr>
      <w:r w:rsidRPr="00A02B31">
        <w:rPr>
          <w:rFonts w:cstheme="minorHAnsi"/>
          <w:b/>
          <w:sz w:val="20"/>
          <w:szCs w:val="20"/>
        </w:rPr>
        <w:t>Independent Auditor</w:t>
      </w:r>
    </w:p>
    <w:p w14:paraId="62709D51" w14:textId="77777777" w:rsidR="003E35B7" w:rsidRPr="00A02B31" w:rsidRDefault="003E35B7" w:rsidP="003E35B7">
      <w:pPr>
        <w:jc w:val="both"/>
        <w:rPr>
          <w:rFonts w:cstheme="minorHAnsi"/>
          <w:sz w:val="20"/>
          <w:szCs w:val="20"/>
        </w:rPr>
      </w:pPr>
    </w:p>
    <w:p w14:paraId="15501853" w14:textId="105BC210" w:rsidR="003E35B7" w:rsidRPr="00A02B31" w:rsidRDefault="003E35B7" w:rsidP="003E35B7">
      <w:pPr>
        <w:jc w:val="both"/>
        <w:rPr>
          <w:rFonts w:cstheme="minorHAnsi"/>
          <w:sz w:val="20"/>
          <w:szCs w:val="20"/>
        </w:rPr>
      </w:pPr>
      <w:r w:rsidRPr="00A02B31">
        <w:rPr>
          <w:rFonts w:eastAsia="Symbol" w:cstheme="minorHAnsi"/>
          <w:color w:val="000000"/>
          <w:sz w:val="20"/>
          <w:szCs w:val="20"/>
        </w:rPr>
        <w:t xml:space="preserve">BDO LLP has been the independent auditor for the Company since 2014. The </w:t>
      </w:r>
      <w:r w:rsidR="00481EEC" w:rsidRPr="00A02B31">
        <w:rPr>
          <w:rFonts w:eastAsia="Symbol" w:cstheme="minorHAnsi"/>
          <w:color w:val="000000"/>
          <w:sz w:val="20"/>
          <w:szCs w:val="20"/>
        </w:rPr>
        <w:t>c</w:t>
      </w:r>
      <w:r w:rsidRPr="00A02B31">
        <w:rPr>
          <w:rFonts w:eastAsia="Symbol" w:cstheme="minorHAnsi"/>
          <w:color w:val="000000"/>
          <w:sz w:val="20"/>
          <w:szCs w:val="20"/>
        </w:rPr>
        <w:t>ommittee reviews the appointment of BDO LLP</w:t>
      </w:r>
      <w:r w:rsidRPr="00A02B31">
        <w:rPr>
          <w:rFonts w:eastAsia="Arial" w:cstheme="minorHAnsi"/>
          <w:color w:val="000000"/>
          <w:sz w:val="20"/>
          <w:szCs w:val="20"/>
        </w:rPr>
        <w:t xml:space="preserve"> each year, taking into account relevant legislation, guidance and best practice</w:t>
      </w:r>
      <w:r w:rsidRPr="00A02B31">
        <w:rPr>
          <w:rFonts w:cstheme="minorHAnsi"/>
          <w:sz w:val="20"/>
          <w:szCs w:val="20"/>
        </w:rPr>
        <w:t xml:space="preserve"> appropriate for a company of its size, nature and stage of development. The committee meets with the independent auditor at least once a year at the time of the approval of the full year results.</w:t>
      </w:r>
    </w:p>
    <w:p w14:paraId="3CC1F135" w14:textId="77777777" w:rsidR="003E35B7" w:rsidRPr="00A02B31" w:rsidRDefault="003E35B7" w:rsidP="003E35B7">
      <w:pPr>
        <w:jc w:val="both"/>
        <w:rPr>
          <w:rFonts w:cstheme="minorHAnsi"/>
          <w:sz w:val="20"/>
          <w:szCs w:val="20"/>
        </w:rPr>
      </w:pPr>
    </w:p>
    <w:p w14:paraId="774F5BE9" w14:textId="2B30989C" w:rsidR="003E35B7" w:rsidRPr="00A02B31" w:rsidRDefault="003E35B7" w:rsidP="003E35B7">
      <w:pPr>
        <w:jc w:val="both"/>
        <w:rPr>
          <w:rFonts w:cstheme="minorHAnsi"/>
          <w:sz w:val="20"/>
          <w:szCs w:val="20"/>
        </w:rPr>
      </w:pPr>
      <w:r w:rsidRPr="00A02B31">
        <w:rPr>
          <w:rFonts w:cstheme="minorHAnsi"/>
          <w:sz w:val="20"/>
          <w:szCs w:val="20"/>
        </w:rPr>
        <w:t xml:space="preserve">Each year the performance of the independent auditor and the effectiveness of the audit process are considered by the board including consideration of the independence and objectivity of the Independent Auditor. The </w:t>
      </w:r>
      <w:r w:rsidR="00481EEC" w:rsidRPr="00A02B31">
        <w:rPr>
          <w:rFonts w:cstheme="minorHAnsi"/>
          <w:sz w:val="20"/>
          <w:szCs w:val="20"/>
        </w:rPr>
        <w:t>c</w:t>
      </w:r>
      <w:r w:rsidRPr="00A02B31">
        <w:rPr>
          <w:rFonts w:cstheme="minorHAnsi"/>
          <w:sz w:val="20"/>
          <w:szCs w:val="20"/>
        </w:rPr>
        <w:t>ommittee is satisfied with the effectiveness of the independent auditor and recommends the reappointment of BDO LLP as the independent auditor for the Company at its 2022 AGM.</w:t>
      </w:r>
    </w:p>
    <w:p w14:paraId="3A85FBCC" w14:textId="77777777" w:rsidR="003E35B7" w:rsidRPr="00A02B31" w:rsidRDefault="003E35B7" w:rsidP="003E35B7">
      <w:pPr>
        <w:jc w:val="both"/>
        <w:rPr>
          <w:rFonts w:cstheme="minorHAnsi"/>
          <w:sz w:val="20"/>
          <w:szCs w:val="20"/>
        </w:rPr>
      </w:pPr>
    </w:p>
    <w:p w14:paraId="41198837" w14:textId="033F2A02" w:rsidR="003E35B7" w:rsidRPr="00A02B31" w:rsidRDefault="003E35B7" w:rsidP="003E35B7">
      <w:pPr>
        <w:jc w:val="both"/>
        <w:rPr>
          <w:rFonts w:cstheme="minorHAnsi"/>
          <w:sz w:val="20"/>
          <w:szCs w:val="20"/>
        </w:rPr>
      </w:pPr>
      <w:r w:rsidRPr="00A02B31">
        <w:rPr>
          <w:rFonts w:cstheme="minorHAnsi"/>
          <w:sz w:val="20"/>
          <w:szCs w:val="20"/>
        </w:rPr>
        <w:t xml:space="preserve">The breakdown of fees between audit and non-audit services paid to BDO LLP during the financial year is set out in note [4] of the Financial Statements. </w:t>
      </w:r>
    </w:p>
    <w:p w14:paraId="0B8B8E49" w14:textId="704401B2" w:rsidR="003E35B7" w:rsidRPr="00A02B31" w:rsidRDefault="00FB7970" w:rsidP="003E35B7">
      <w:pPr>
        <w:jc w:val="both"/>
        <w:rPr>
          <w:rFonts w:cstheme="minorHAnsi"/>
          <w:sz w:val="20"/>
          <w:szCs w:val="20"/>
        </w:rPr>
      </w:pPr>
      <w:r>
        <w:rPr>
          <w:noProof/>
          <w:lang w:eastAsia="en-GB"/>
        </w:rPr>
        <w:drawing>
          <wp:anchor distT="0" distB="0" distL="114300" distR="114300" simplePos="0" relativeHeight="251737088" behindDoc="1" locked="0" layoutInCell="1" allowOverlap="1" wp14:anchorId="4358DB84" wp14:editId="7C2430DC">
            <wp:simplePos x="0" y="0"/>
            <wp:positionH relativeFrom="margin">
              <wp:align>left</wp:align>
            </wp:positionH>
            <wp:positionV relativeFrom="paragraph">
              <wp:posOffset>119380</wp:posOffset>
            </wp:positionV>
            <wp:extent cx="1866669" cy="596900"/>
            <wp:effectExtent l="0" t="0" r="63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1866669" cy="596900"/>
                    </a:xfrm>
                    <a:prstGeom prst="rect">
                      <a:avLst/>
                    </a:prstGeom>
                  </pic:spPr>
                </pic:pic>
              </a:graphicData>
            </a:graphic>
            <wp14:sizeRelH relativeFrom="margin">
              <wp14:pctWidth>0</wp14:pctWidth>
            </wp14:sizeRelH>
            <wp14:sizeRelV relativeFrom="margin">
              <wp14:pctHeight>0</wp14:pctHeight>
            </wp14:sizeRelV>
          </wp:anchor>
        </w:drawing>
      </w:r>
    </w:p>
    <w:p w14:paraId="03DE3401" w14:textId="28F97C04" w:rsidR="003E35B7" w:rsidRPr="00A02B31" w:rsidRDefault="003E35B7" w:rsidP="003E35B7">
      <w:pPr>
        <w:jc w:val="both"/>
        <w:rPr>
          <w:rFonts w:cstheme="minorHAnsi"/>
          <w:sz w:val="20"/>
          <w:szCs w:val="20"/>
        </w:rPr>
      </w:pPr>
    </w:p>
    <w:p w14:paraId="7E7DC7A7" w14:textId="30ECD2C0" w:rsidR="003E35B7" w:rsidRPr="00A02B31" w:rsidRDefault="003E35B7" w:rsidP="003E35B7">
      <w:pPr>
        <w:jc w:val="both"/>
        <w:rPr>
          <w:rFonts w:cstheme="minorHAnsi"/>
          <w:sz w:val="20"/>
          <w:szCs w:val="20"/>
        </w:rPr>
      </w:pPr>
    </w:p>
    <w:p w14:paraId="3A6141D6" w14:textId="3FC7D505" w:rsidR="003E35B7" w:rsidRPr="00A02B31" w:rsidRDefault="003E35B7" w:rsidP="003E35B7">
      <w:pPr>
        <w:jc w:val="both"/>
        <w:rPr>
          <w:rFonts w:cstheme="minorHAnsi"/>
          <w:sz w:val="20"/>
          <w:szCs w:val="20"/>
        </w:rPr>
      </w:pPr>
    </w:p>
    <w:p w14:paraId="4027856F" w14:textId="77777777" w:rsidR="003E35B7" w:rsidRPr="00A02B31" w:rsidRDefault="003E35B7" w:rsidP="003E35B7">
      <w:pPr>
        <w:jc w:val="both"/>
        <w:rPr>
          <w:rFonts w:cstheme="minorHAnsi"/>
          <w:b/>
          <w:sz w:val="20"/>
          <w:szCs w:val="20"/>
        </w:rPr>
      </w:pPr>
      <w:r w:rsidRPr="00A02B31">
        <w:rPr>
          <w:rFonts w:cstheme="minorHAnsi"/>
          <w:b/>
          <w:sz w:val="20"/>
          <w:szCs w:val="20"/>
        </w:rPr>
        <w:t>Ken Lever</w:t>
      </w:r>
    </w:p>
    <w:p w14:paraId="4736D33B" w14:textId="77777777" w:rsidR="003E35B7" w:rsidRPr="00A02B31" w:rsidRDefault="003E35B7" w:rsidP="003E35B7">
      <w:pPr>
        <w:jc w:val="both"/>
        <w:rPr>
          <w:rFonts w:cstheme="minorHAnsi"/>
          <w:sz w:val="20"/>
          <w:szCs w:val="20"/>
        </w:rPr>
      </w:pPr>
      <w:r w:rsidRPr="00A02B31">
        <w:rPr>
          <w:rFonts w:cstheme="minorHAnsi"/>
          <w:sz w:val="20"/>
          <w:szCs w:val="20"/>
        </w:rPr>
        <w:t>Chair, Audit Committee</w:t>
      </w:r>
    </w:p>
    <w:p w14:paraId="76EB8D4F" w14:textId="68FFE813" w:rsidR="00684052" w:rsidRPr="00A02B31" w:rsidRDefault="00E65D8E" w:rsidP="00684052">
      <w:pPr>
        <w:rPr>
          <w:rFonts w:cstheme="minorHAnsi"/>
          <w:sz w:val="20"/>
          <w:szCs w:val="20"/>
        </w:rPr>
      </w:pPr>
      <w:r w:rsidRPr="00A02B31">
        <w:rPr>
          <w:rFonts w:cstheme="minorHAnsi"/>
          <w:sz w:val="20"/>
          <w:szCs w:val="20"/>
        </w:rPr>
        <w:t>22</w:t>
      </w:r>
      <w:r w:rsidR="00684052" w:rsidRPr="00A02B31">
        <w:rPr>
          <w:rFonts w:cstheme="minorHAnsi"/>
          <w:sz w:val="20"/>
          <w:szCs w:val="20"/>
        </w:rPr>
        <w:t xml:space="preserve"> June 2022</w:t>
      </w:r>
    </w:p>
    <w:p w14:paraId="7DF125FE" w14:textId="77777777" w:rsidR="003E35B7" w:rsidRPr="00A02B31" w:rsidRDefault="003E35B7" w:rsidP="003E35B7">
      <w:pPr>
        <w:jc w:val="both"/>
        <w:rPr>
          <w:rFonts w:cstheme="minorHAnsi"/>
          <w:sz w:val="20"/>
          <w:szCs w:val="20"/>
        </w:rPr>
      </w:pPr>
    </w:p>
    <w:p w14:paraId="102EDF30" w14:textId="77777777" w:rsidR="00CB3C92" w:rsidRPr="00A02B31" w:rsidRDefault="00CB3C92" w:rsidP="000F7512">
      <w:pPr>
        <w:jc w:val="both"/>
        <w:rPr>
          <w:rFonts w:cstheme="minorHAnsi"/>
          <w:sz w:val="20"/>
          <w:szCs w:val="20"/>
        </w:rPr>
      </w:pPr>
    </w:p>
    <w:p w14:paraId="7134E464" w14:textId="77777777" w:rsidR="00CB3C92" w:rsidRPr="00A02B31" w:rsidRDefault="00CB3C92" w:rsidP="000F7512">
      <w:pPr>
        <w:jc w:val="both"/>
        <w:rPr>
          <w:rFonts w:cstheme="minorHAnsi"/>
          <w:sz w:val="20"/>
          <w:szCs w:val="20"/>
        </w:rPr>
      </w:pPr>
    </w:p>
    <w:p w14:paraId="152AB3C3" w14:textId="77777777" w:rsidR="00CB3C92" w:rsidRPr="00A02B31" w:rsidRDefault="00CB3C92" w:rsidP="000F7512">
      <w:pPr>
        <w:jc w:val="both"/>
        <w:rPr>
          <w:rFonts w:cstheme="minorHAnsi"/>
          <w:sz w:val="20"/>
          <w:szCs w:val="20"/>
        </w:rPr>
      </w:pPr>
    </w:p>
    <w:p w14:paraId="223EF4D1" w14:textId="77777777" w:rsidR="00CB3C92" w:rsidRPr="00A02B31" w:rsidRDefault="00CB3C92" w:rsidP="000F7512">
      <w:pPr>
        <w:jc w:val="both"/>
        <w:rPr>
          <w:rFonts w:cstheme="minorHAnsi"/>
          <w:sz w:val="20"/>
          <w:szCs w:val="20"/>
        </w:rPr>
      </w:pPr>
    </w:p>
    <w:p w14:paraId="6442B982" w14:textId="77777777" w:rsidR="00CB3C92" w:rsidRPr="00A02B31" w:rsidRDefault="00CB3C92">
      <w:pPr>
        <w:rPr>
          <w:rFonts w:cstheme="minorHAnsi"/>
          <w:sz w:val="20"/>
          <w:szCs w:val="20"/>
        </w:rPr>
      </w:pPr>
      <w:r w:rsidRPr="00A02B31">
        <w:rPr>
          <w:rFonts w:cstheme="minorHAnsi"/>
          <w:sz w:val="20"/>
          <w:szCs w:val="20"/>
        </w:rPr>
        <w:br w:type="page"/>
      </w:r>
    </w:p>
    <w:p w14:paraId="6ED3AA48" w14:textId="6569D33E" w:rsidR="000A1433" w:rsidRPr="00A02B31" w:rsidRDefault="00FC535B" w:rsidP="00EB7E1E">
      <w:pPr>
        <w:jc w:val="center"/>
        <w:rPr>
          <w:rFonts w:cstheme="minorHAnsi"/>
          <w:sz w:val="20"/>
          <w:szCs w:val="20"/>
        </w:rPr>
      </w:pPr>
      <w:r w:rsidRPr="00A02B31">
        <w:rPr>
          <w:rFonts w:cstheme="minorHAnsi"/>
          <w:b/>
          <w:sz w:val="20"/>
          <w:szCs w:val="20"/>
        </w:rPr>
        <w:lastRenderedPageBreak/>
        <w:t>DIRECTOR’S</w:t>
      </w:r>
      <w:r w:rsidR="009B6027" w:rsidRPr="00A02B31">
        <w:rPr>
          <w:rFonts w:cstheme="minorHAnsi"/>
          <w:b/>
          <w:sz w:val="20"/>
          <w:szCs w:val="20"/>
        </w:rPr>
        <w:t xml:space="preserve"> </w:t>
      </w:r>
      <w:r w:rsidR="005D0BCE" w:rsidRPr="00A02B31">
        <w:rPr>
          <w:rFonts w:cstheme="minorHAnsi"/>
          <w:b/>
          <w:sz w:val="20"/>
          <w:szCs w:val="20"/>
        </w:rPr>
        <w:t xml:space="preserve">REMUNERATION </w:t>
      </w:r>
      <w:r w:rsidR="007F3217">
        <w:rPr>
          <w:rFonts w:cstheme="minorHAnsi"/>
          <w:b/>
          <w:sz w:val="20"/>
          <w:szCs w:val="20"/>
        </w:rPr>
        <w:t>REPORT</w:t>
      </w:r>
    </w:p>
    <w:p w14:paraId="4938883D" w14:textId="77777777" w:rsidR="001D3F77" w:rsidRPr="00A02B31" w:rsidRDefault="001D3F77">
      <w:pPr>
        <w:rPr>
          <w:rFonts w:cstheme="minorHAnsi"/>
          <w:b/>
          <w:sz w:val="20"/>
          <w:szCs w:val="20"/>
        </w:rPr>
      </w:pPr>
    </w:p>
    <w:p w14:paraId="18CF5E36" w14:textId="77777777" w:rsidR="001D3F77" w:rsidRPr="00A02B31" w:rsidRDefault="001D3F77" w:rsidP="00F90A61">
      <w:pPr>
        <w:jc w:val="both"/>
        <w:rPr>
          <w:rFonts w:cstheme="minorHAnsi"/>
          <w:b/>
          <w:sz w:val="20"/>
          <w:szCs w:val="20"/>
        </w:rPr>
      </w:pPr>
    </w:p>
    <w:p w14:paraId="665DED1F" w14:textId="07733237" w:rsidR="001D3F77" w:rsidRPr="00A02B31" w:rsidRDefault="001D3F77" w:rsidP="00F90A61">
      <w:pPr>
        <w:jc w:val="both"/>
        <w:rPr>
          <w:rFonts w:cstheme="minorHAnsi"/>
          <w:sz w:val="20"/>
          <w:szCs w:val="20"/>
        </w:rPr>
      </w:pPr>
      <w:r w:rsidRPr="00A02B31">
        <w:rPr>
          <w:rFonts w:cstheme="minorHAnsi"/>
          <w:sz w:val="20"/>
          <w:szCs w:val="20"/>
        </w:rPr>
        <w:t xml:space="preserve">The report on </w:t>
      </w:r>
      <w:r w:rsidR="00481EEC" w:rsidRPr="00A02B31">
        <w:rPr>
          <w:rFonts w:cstheme="minorHAnsi"/>
          <w:sz w:val="20"/>
          <w:szCs w:val="20"/>
        </w:rPr>
        <w:t>d</w:t>
      </w:r>
      <w:r w:rsidRPr="00A02B31">
        <w:rPr>
          <w:rFonts w:cstheme="minorHAnsi"/>
          <w:sz w:val="20"/>
          <w:szCs w:val="20"/>
        </w:rPr>
        <w:t>irectors’ remuneration for the ye</w:t>
      </w:r>
      <w:r w:rsidR="00F90A61" w:rsidRPr="00A02B31">
        <w:rPr>
          <w:rFonts w:cstheme="minorHAnsi"/>
          <w:sz w:val="20"/>
          <w:szCs w:val="20"/>
        </w:rPr>
        <w:t>ar</w:t>
      </w:r>
      <w:r w:rsidR="004371D9" w:rsidRPr="00A02B31">
        <w:rPr>
          <w:rFonts w:cstheme="minorHAnsi"/>
          <w:sz w:val="20"/>
          <w:szCs w:val="20"/>
        </w:rPr>
        <w:t>-</w:t>
      </w:r>
      <w:r w:rsidR="00F90A61" w:rsidRPr="00A02B31">
        <w:rPr>
          <w:rFonts w:cstheme="minorHAnsi"/>
          <w:sz w:val="20"/>
          <w:szCs w:val="20"/>
        </w:rPr>
        <w:t>ended 31 March 20</w:t>
      </w:r>
      <w:r w:rsidR="00575365" w:rsidRPr="00A02B31">
        <w:rPr>
          <w:rFonts w:cstheme="minorHAnsi"/>
          <w:sz w:val="20"/>
          <w:szCs w:val="20"/>
        </w:rPr>
        <w:t>2</w:t>
      </w:r>
      <w:r w:rsidR="003B50BC" w:rsidRPr="00A02B31">
        <w:rPr>
          <w:rFonts w:cstheme="minorHAnsi"/>
          <w:sz w:val="20"/>
          <w:szCs w:val="20"/>
        </w:rPr>
        <w:t>2</w:t>
      </w:r>
      <w:r w:rsidR="00F90A61" w:rsidRPr="00A02B31">
        <w:rPr>
          <w:rFonts w:cstheme="minorHAnsi"/>
          <w:sz w:val="20"/>
          <w:szCs w:val="20"/>
        </w:rPr>
        <w:t xml:space="preserve"> is </w:t>
      </w:r>
      <w:r w:rsidR="00C079B6" w:rsidRPr="00A02B31">
        <w:rPr>
          <w:rFonts w:cstheme="minorHAnsi"/>
          <w:sz w:val="20"/>
          <w:szCs w:val="20"/>
        </w:rPr>
        <w:t>set out in the table below</w:t>
      </w:r>
      <w:r w:rsidR="00F90A61" w:rsidRPr="00A02B31">
        <w:rPr>
          <w:rFonts w:cstheme="minorHAnsi"/>
          <w:sz w:val="20"/>
          <w:szCs w:val="20"/>
        </w:rPr>
        <w:t>.</w:t>
      </w:r>
      <w:r w:rsidRPr="00A02B31">
        <w:rPr>
          <w:rFonts w:cstheme="minorHAnsi"/>
          <w:sz w:val="20"/>
          <w:szCs w:val="20"/>
        </w:rPr>
        <w:t xml:space="preserve"> </w:t>
      </w:r>
      <w:r w:rsidR="00F90A61" w:rsidRPr="00A02B31">
        <w:rPr>
          <w:rFonts w:cstheme="minorHAnsi"/>
          <w:sz w:val="20"/>
          <w:szCs w:val="20"/>
        </w:rPr>
        <w:t xml:space="preserve">As </w:t>
      </w:r>
      <w:r w:rsidR="00F314BD" w:rsidRPr="00A02B31">
        <w:rPr>
          <w:rFonts w:cstheme="minorHAnsi"/>
          <w:sz w:val="20"/>
          <w:szCs w:val="20"/>
        </w:rPr>
        <w:t xml:space="preserve">mentioned previously, the full </w:t>
      </w:r>
      <w:r w:rsidR="00481EEC" w:rsidRPr="00A02B31">
        <w:rPr>
          <w:rFonts w:cstheme="minorHAnsi"/>
          <w:sz w:val="20"/>
          <w:szCs w:val="20"/>
        </w:rPr>
        <w:t>b</w:t>
      </w:r>
      <w:r w:rsidR="00F314BD" w:rsidRPr="00A02B31">
        <w:rPr>
          <w:rFonts w:cstheme="minorHAnsi"/>
          <w:sz w:val="20"/>
          <w:szCs w:val="20"/>
        </w:rPr>
        <w:t>oard undertake the role of the</w:t>
      </w:r>
      <w:r w:rsidR="00F90A61" w:rsidRPr="00A02B31">
        <w:rPr>
          <w:rFonts w:cstheme="minorHAnsi"/>
          <w:sz w:val="20"/>
          <w:szCs w:val="20"/>
        </w:rPr>
        <w:t xml:space="preserve"> Remuneration</w:t>
      </w:r>
      <w:r w:rsidR="00F314BD" w:rsidRPr="00A02B31">
        <w:rPr>
          <w:rFonts w:cstheme="minorHAnsi"/>
          <w:sz w:val="20"/>
          <w:szCs w:val="20"/>
        </w:rPr>
        <w:t xml:space="preserve"> Committee given the size of the Board.</w:t>
      </w:r>
    </w:p>
    <w:p w14:paraId="3C5E9E3F" w14:textId="77777777" w:rsidR="001D3F77" w:rsidRPr="00A02B31" w:rsidRDefault="001D3F77" w:rsidP="00F90A61">
      <w:pPr>
        <w:jc w:val="both"/>
        <w:rPr>
          <w:rFonts w:cstheme="minorHAnsi"/>
          <w:sz w:val="20"/>
          <w:szCs w:val="20"/>
        </w:rPr>
      </w:pPr>
    </w:p>
    <w:p w14:paraId="56D17CE0" w14:textId="37E61FEF" w:rsidR="003A1013" w:rsidRPr="00A02B31" w:rsidRDefault="00F90A61" w:rsidP="003A1013">
      <w:pPr>
        <w:jc w:val="both"/>
        <w:rPr>
          <w:rFonts w:cstheme="minorHAnsi"/>
          <w:sz w:val="20"/>
          <w:szCs w:val="20"/>
        </w:rPr>
      </w:pPr>
      <w:r w:rsidRPr="00A02B31">
        <w:rPr>
          <w:rFonts w:cstheme="minorHAnsi"/>
          <w:sz w:val="20"/>
          <w:szCs w:val="20"/>
        </w:rPr>
        <w:t>Furthermore, as the</w:t>
      </w:r>
      <w:r w:rsidR="00F314BD" w:rsidRPr="00A02B31">
        <w:rPr>
          <w:rFonts w:cstheme="minorHAnsi"/>
          <w:sz w:val="20"/>
          <w:szCs w:val="20"/>
        </w:rPr>
        <w:t xml:space="preserve"> Company is an externally managed</w:t>
      </w:r>
      <w:r w:rsidRPr="00A02B31">
        <w:rPr>
          <w:rFonts w:cstheme="minorHAnsi"/>
          <w:sz w:val="20"/>
          <w:szCs w:val="20"/>
        </w:rPr>
        <w:t xml:space="preserve"> investment company with</w:t>
      </w:r>
      <w:r w:rsidR="00F314BD" w:rsidRPr="00A02B31">
        <w:rPr>
          <w:rFonts w:cstheme="minorHAnsi"/>
          <w:sz w:val="20"/>
          <w:szCs w:val="20"/>
        </w:rPr>
        <w:t xml:space="preserve"> no employees or executive </w:t>
      </w:r>
      <w:r w:rsidR="00481EEC" w:rsidRPr="00A02B31">
        <w:rPr>
          <w:rFonts w:cstheme="minorHAnsi"/>
          <w:sz w:val="20"/>
          <w:szCs w:val="20"/>
        </w:rPr>
        <w:t>d</w:t>
      </w:r>
      <w:r w:rsidR="00F314BD" w:rsidRPr="00A02B31">
        <w:rPr>
          <w:rFonts w:cstheme="minorHAnsi"/>
          <w:sz w:val="20"/>
          <w:szCs w:val="20"/>
        </w:rPr>
        <w:t>irectors</w:t>
      </w:r>
      <w:r w:rsidRPr="00A02B31">
        <w:rPr>
          <w:rFonts w:cstheme="minorHAnsi"/>
          <w:sz w:val="20"/>
          <w:szCs w:val="20"/>
        </w:rPr>
        <w:t>,</w:t>
      </w:r>
      <w:r w:rsidR="00F314BD" w:rsidRPr="00A02B31">
        <w:rPr>
          <w:rFonts w:cstheme="minorHAnsi"/>
          <w:sz w:val="20"/>
          <w:szCs w:val="20"/>
        </w:rPr>
        <w:t xml:space="preserve"> </w:t>
      </w:r>
      <w:r w:rsidRPr="00A02B31">
        <w:rPr>
          <w:rFonts w:cstheme="minorHAnsi"/>
          <w:sz w:val="20"/>
          <w:szCs w:val="20"/>
        </w:rPr>
        <w:t xml:space="preserve">the </w:t>
      </w:r>
      <w:r w:rsidR="00481EEC" w:rsidRPr="00A02B31">
        <w:rPr>
          <w:rFonts w:cstheme="minorHAnsi"/>
          <w:sz w:val="20"/>
          <w:szCs w:val="20"/>
        </w:rPr>
        <w:t>b</w:t>
      </w:r>
      <w:r w:rsidRPr="00A02B31">
        <w:rPr>
          <w:rFonts w:cstheme="minorHAnsi"/>
          <w:sz w:val="20"/>
          <w:szCs w:val="20"/>
        </w:rPr>
        <w:t>oard does not consider it appropriate to put in place a remuneration policy.</w:t>
      </w:r>
      <w:r w:rsidR="00EB34CA" w:rsidRPr="00A02B31">
        <w:rPr>
          <w:rFonts w:cstheme="minorHAnsi"/>
          <w:sz w:val="20"/>
          <w:szCs w:val="20"/>
        </w:rPr>
        <w:t xml:space="preserve">  The fees paid to the </w:t>
      </w:r>
      <w:r w:rsidR="00481EEC" w:rsidRPr="00A02B31">
        <w:rPr>
          <w:rFonts w:cstheme="minorHAnsi"/>
          <w:sz w:val="20"/>
          <w:szCs w:val="20"/>
        </w:rPr>
        <w:t>b</w:t>
      </w:r>
      <w:r w:rsidR="00EB34CA" w:rsidRPr="00A02B31">
        <w:rPr>
          <w:rFonts w:cstheme="minorHAnsi"/>
          <w:sz w:val="20"/>
          <w:szCs w:val="20"/>
        </w:rPr>
        <w:t xml:space="preserve">oard </w:t>
      </w:r>
      <w:r w:rsidR="00E52DC1" w:rsidRPr="00A02B31">
        <w:rPr>
          <w:rFonts w:cstheme="minorHAnsi"/>
          <w:sz w:val="20"/>
          <w:szCs w:val="20"/>
        </w:rPr>
        <w:t>are</w:t>
      </w:r>
      <w:r w:rsidR="00EB34CA" w:rsidRPr="00A02B31">
        <w:rPr>
          <w:rFonts w:cstheme="minorHAnsi"/>
          <w:sz w:val="20"/>
          <w:szCs w:val="20"/>
        </w:rPr>
        <w:t xml:space="preserve"> reviewed </w:t>
      </w:r>
      <w:r w:rsidR="00E52DC1" w:rsidRPr="00A02B31">
        <w:rPr>
          <w:rFonts w:cstheme="minorHAnsi"/>
          <w:sz w:val="20"/>
          <w:szCs w:val="20"/>
        </w:rPr>
        <w:t>periodically</w:t>
      </w:r>
      <w:r w:rsidR="00EB34CA" w:rsidRPr="00A02B31">
        <w:rPr>
          <w:rFonts w:cstheme="minorHAnsi"/>
          <w:sz w:val="20"/>
          <w:szCs w:val="20"/>
        </w:rPr>
        <w:t xml:space="preserve"> and may also be reviewed when new </w:t>
      </w:r>
      <w:r w:rsidR="00481EEC" w:rsidRPr="00A02B31">
        <w:rPr>
          <w:rFonts w:cstheme="minorHAnsi"/>
          <w:sz w:val="20"/>
          <w:szCs w:val="20"/>
        </w:rPr>
        <w:t>n</w:t>
      </w:r>
      <w:r w:rsidR="00EB34CA" w:rsidRPr="00A02B31">
        <w:rPr>
          <w:rFonts w:cstheme="minorHAnsi"/>
          <w:sz w:val="20"/>
          <w:szCs w:val="20"/>
        </w:rPr>
        <w:t>on-</w:t>
      </w:r>
      <w:r w:rsidR="00481EEC" w:rsidRPr="00A02B31">
        <w:rPr>
          <w:rFonts w:cstheme="minorHAnsi"/>
          <w:sz w:val="20"/>
          <w:szCs w:val="20"/>
        </w:rPr>
        <w:t>e</w:t>
      </w:r>
      <w:r w:rsidR="00EB34CA" w:rsidRPr="00A02B31">
        <w:rPr>
          <w:rFonts w:cstheme="minorHAnsi"/>
          <w:sz w:val="20"/>
          <w:szCs w:val="20"/>
        </w:rPr>
        <w:t xml:space="preserve">xecutive </w:t>
      </w:r>
      <w:r w:rsidR="00481EEC" w:rsidRPr="00A02B31">
        <w:rPr>
          <w:rFonts w:cstheme="minorHAnsi"/>
          <w:sz w:val="20"/>
          <w:szCs w:val="20"/>
        </w:rPr>
        <w:t>d</w:t>
      </w:r>
      <w:r w:rsidR="00EB34CA" w:rsidRPr="00A02B31">
        <w:rPr>
          <w:rFonts w:cstheme="minorHAnsi"/>
          <w:sz w:val="20"/>
          <w:szCs w:val="20"/>
        </w:rPr>
        <w:t xml:space="preserve">irectors are recruited to the </w:t>
      </w:r>
      <w:r w:rsidR="00481EEC" w:rsidRPr="00A02B31">
        <w:rPr>
          <w:rFonts w:cstheme="minorHAnsi"/>
          <w:sz w:val="20"/>
          <w:szCs w:val="20"/>
        </w:rPr>
        <w:t>b</w:t>
      </w:r>
      <w:r w:rsidR="00EB34CA" w:rsidRPr="00A02B31">
        <w:rPr>
          <w:rFonts w:cstheme="minorHAnsi"/>
          <w:sz w:val="20"/>
          <w:szCs w:val="20"/>
        </w:rPr>
        <w:t xml:space="preserve">oard. </w:t>
      </w:r>
      <w:r w:rsidR="003A1013" w:rsidRPr="00A02B31">
        <w:rPr>
          <w:rFonts w:cstheme="minorHAnsi"/>
          <w:sz w:val="20"/>
          <w:szCs w:val="20"/>
        </w:rPr>
        <w:t xml:space="preserve">The </w:t>
      </w:r>
      <w:r w:rsidR="00481EEC" w:rsidRPr="00A02B31">
        <w:rPr>
          <w:rFonts w:cstheme="minorHAnsi"/>
          <w:sz w:val="20"/>
          <w:szCs w:val="20"/>
        </w:rPr>
        <w:t>d</w:t>
      </w:r>
      <w:r w:rsidR="003A1013" w:rsidRPr="00A02B31">
        <w:rPr>
          <w:rFonts w:cstheme="minorHAnsi"/>
          <w:sz w:val="20"/>
          <w:szCs w:val="20"/>
        </w:rPr>
        <w:t xml:space="preserve">irectors’ fees </w:t>
      </w:r>
      <w:r w:rsidR="00660EAB" w:rsidRPr="00A02B31">
        <w:rPr>
          <w:rFonts w:cstheme="minorHAnsi"/>
          <w:sz w:val="20"/>
          <w:szCs w:val="20"/>
        </w:rPr>
        <w:t>were last reviewed and increased in 2020</w:t>
      </w:r>
      <w:r w:rsidR="003A1013" w:rsidRPr="00A02B31">
        <w:rPr>
          <w:rFonts w:cstheme="minorHAnsi"/>
          <w:sz w:val="20"/>
          <w:szCs w:val="20"/>
        </w:rPr>
        <w:t>.</w:t>
      </w:r>
    </w:p>
    <w:p w14:paraId="618FD0B0" w14:textId="5768248D" w:rsidR="0038523A" w:rsidRPr="00A02B31" w:rsidRDefault="0038523A" w:rsidP="002E538B">
      <w:pPr>
        <w:jc w:val="both"/>
        <w:rPr>
          <w:rFonts w:cstheme="minorHAnsi"/>
          <w:sz w:val="20"/>
          <w:szCs w:val="20"/>
        </w:rPr>
      </w:pPr>
    </w:p>
    <w:p w14:paraId="5DB2DE01" w14:textId="1263EA4B" w:rsidR="001D3F77" w:rsidRPr="00A02B31" w:rsidRDefault="00390318" w:rsidP="00390318">
      <w:pPr>
        <w:jc w:val="both"/>
        <w:rPr>
          <w:rFonts w:cstheme="minorHAnsi"/>
          <w:sz w:val="20"/>
          <w:szCs w:val="20"/>
        </w:rPr>
      </w:pPr>
      <w:r w:rsidRPr="00A02B31">
        <w:rPr>
          <w:rFonts w:cstheme="minorHAnsi"/>
          <w:sz w:val="20"/>
          <w:szCs w:val="20"/>
        </w:rPr>
        <w:t xml:space="preserve">The fees payable </w:t>
      </w:r>
      <w:r w:rsidR="0037223A" w:rsidRPr="00A02B31">
        <w:rPr>
          <w:rFonts w:cstheme="minorHAnsi"/>
          <w:sz w:val="20"/>
          <w:szCs w:val="20"/>
        </w:rPr>
        <w:t xml:space="preserve">per annum </w:t>
      </w:r>
      <w:r w:rsidRPr="00A02B31">
        <w:rPr>
          <w:rFonts w:cstheme="minorHAnsi"/>
          <w:sz w:val="20"/>
          <w:szCs w:val="20"/>
        </w:rPr>
        <w:t xml:space="preserve">in respect of each of the </w:t>
      </w:r>
      <w:r w:rsidR="00481EEC" w:rsidRPr="00A02B31">
        <w:rPr>
          <w:rFonts w:cstheme="minorHAnsi"/>
          <w:sz w:val="20"/>
          <w:szCs w:val="20"/>
        </w:rPr>
        <w:t>d</w:t>
      </w:r>
      <w:r w:rsidRPr="00A02B31">
        <w:rPr>
          <w:rFonts w:cstheme="minorHAnsi"/>
          <w:sz w:val="20"/>
          <w:szCs w:val="20"/>
        </w:rPr>
        <w:t>irectors who served during the financial year were as follows:</w:t>
      </w:r>
    </w:p>
    <w:p w14:paraId="3264EA0A" w14:textId="77777777" w:rsidR="00390318" w:rsidRPr="00A02B31" w:rsidRDefault="00390318" w:rsidP="001D3F77">
      <w:pPr>
        <w:rPr>
          <w:rFonts w:cstheme="minorHAnsi"/>
          <w:sz w:val="20"/>
          <w:szCs w:val="20"/>
        </w:rPr>
      </w:pPr>
    </w:p>
    <w:tbl>
      <w:tblPr>
        <w:tblStyle w:val="TableGrid"/>
        <w:tblW w:w="0" w:type="auto"/>
        <w:tblLook w:val="04A0" w:firstRow="1" w:lastRow="0" w:firstColumn="1" w:lastColumn="0" w:noHBand="0" w:noVBand="1"/>
      </w:tblPr>
      <w:tblGrid>
        <w:gridCol w:w="3579"/>
        <w:gridCol w:w="2653"/>
        <w:gridCol w:w="2977"/>
      </w:tblGrid>
      <w:tr w:rsidR="00F847C2" w:rsidRPr="008B2DDA" w14:paraId="576C5286" w14:textId="4929E339" w:rsidTr="009D1381">
        <w:trPr>
          <w:trHeight w:val="342"/>
        </w:trPr>
        <w:tc>
          <w:tcPr>
            <w:tcW w:w="3579" w:type="dxa"/>
          </w:tcPr>
          <w:p w14:paraId="31FBA920" w14:textId="77777777" w:rsidR="00F847C2" w:rsidRPr="00A02B31" w:rsidRDefault="00F847C2" w:rsidP="001D3F77">
            <w:pPr>
              <w:rPr>
                <w:rFonts w:cstheme="minorHAnsi"/>
                <w:sz w:val="20"/>
                <w:szCs w:val="20"/>
              </w:rPr>
            </w:pPr>
          </w:p>
        </w:tc>
        <w:tc>
          <w:tcPr>
            <w:tcW w:w="2653" w:type="dxa"/>
          </w:tcPr>
          <w:p w14:paraId="2FA49170" w14:textId="78F0727C" w:rsidR="00F847C2" w:rsidRPr="00A02B31" w:rsidRDefault="00F847C2" w:rsidP="003B50BC">
            <w:pPr>
              <w:jc w:val="right"/>
              <w:rPr>
                <w:rFonts w:cstheme="minorHAnsi"/>
                <w:b/>
                <w:sz w:val="20"/>
                <w:szCs w:val="20"/>
              </w:rPr>
            </w:pPr>
            <w:r w:rsidRPr="00A02B31">
              <w:rPr>
                <w:rFonts w:cstheme="minorHAnsi"/>
                <w:b/>
                <w:sz w:val="20"/>
                <w:szCs w:val="20"/>
              </w:rPr>
              <w:t>31 March 202</w:t>
            </w:r>
            <w:r w:rsidR="003B50BC" w:rsidRPr="00A02B31">
              <w:rPr>
                <w:rFonts w:cstheme="minorHAnsi"/>
                <w:b/>
                <w:sz w:val="20"/>
                <w:szCs w:val="20"/>
              </w:rPr>
              <w:t>2</w:t>
            </w:r>
            <w:r w:rsidR="003E35B7" w:rsidRPr="00A02B31">
              <w:rPr>
                <w:rFonts w:cstheme="minorHAnsi"/>
                <w:b/>
                <w:sz w:val="20"/>
                <w:szCs w:val="20"/>
              </w:rPr>
              <w:t xml:space="preserve"> (£)</w:t>
            </w:r>
          </w:p>
        </w:tc>
        <w:tc>
          <w:tcPr>
            <w:tcW w:w="2977" w:type="dxa"/>
          </w:tcPr>
          <w:p w14:paraId="66FED7F3" w14:textId="3B64FF06" w:rsidR="00F847C2" w:rsidRPr="00A02B31" w:rsidRDefault="00F847C2" w:rsidP="002970D8">
            <w:pPr>
              <w:jc w:val="right"/>
              <w:rPr>
                <w:rFonts w:cstheme="minorHAnsi"/>
                <w:b/>
                <w:sz w:val="20"/>
                <w:szCs w:val="20"/>
              </w:rPr>
            </w:pPr>
            <w:r w:rsidRPr="00A02B31">
              <w:rPr>
                <w:rFonts w:cstheme="minorHAnsi"/>
                <w:b/>
                <w:sz w:val="20"/>
                <w:szCs w:val="20"/>
              </w:rPr>
              <w:t>31 March 20</w:t>
            </w:r>
            <w:r w:rsidR="003B50BC" w:rsidRPr="00A02B31">
              <w:rPr>
                <w:rFonts w:cstheme="minorHAnsi"/>
                <w:b/>
                <w:sz w:val="20"/>
                <w:szCs w:val="20"/>
              </w:rPr>
              <w:t>21</w:t>
            </w:r>
            <w:r w:rsidR="003E35B7" w:rsidRPr="00A02B31">
              <w:rPr>
                <w:rFonts w:cstheme="minorHAnsi"/>
                <w:b/>
                <w:sz w:val="20"/>
                <w:szCs w:val="20"/>
              </w:rPr>
              <w:t xml:space="preserve"> (£)</w:t>
            </w:r>
          </w:p>
        </w:tc>
      </w:tr>
      <w:tr w:rsidR="003B50BC" w:rsidRPr="008B2DDA" w14:paraId="70F58D3A" w14:textId="77777777" w:rsidTr="009D1381">
        <w:trPr>
          <w:trHeight w:val="342"/>
        </w:trPr>
        <w:tc>
          <w:tcPr>
            <w:tcW w:w="3579" w:type="dxa"/>
          </w:tcPr>
          <w:p w14:paraId="1B6E3BAB" w14:textId="1DD24AA1" w:rsidR="003B50BC" w:rsidRPr="00A02B31" w:rsidRDefault="003B50BC" w:rsidP="001D3F77">
            <w:pPr>
              <w:rPr>
                <w:rFonts w:cstheme="minorHAnsi"/>
                <w:sz w:val="20"/>
                <w:szCs w:val="20"/>
              </w:rPr>
            </w:pPr>
            <w:r w:rsidRPr="00A02B31">
              <w:rPr>
                <w:rFonts w:cstheme="minorHAnsi"/>
                <w:sz w:val="20"/>
                <w:szCs w:val="20"/>
              </w:rPr>
              <w:t>Noel Lamb</w:t>
            </w:r>
          </w:p>
        </w:tc>
        <w:tc>
          <w:tcPr>
            <w:tcW w:w="2653" w:type="dxa"/>
          </w:tcPr>
          <w:p w14:paraId="6EF3DD45" w14:textId="519AA6AB" w:rsidR="003B50BC" w:rsidRPr="00A02B31" w:rsidRDefault="0037223A" w:rsidP="003B50BC">
            <w:pPr>
              <w:jc w:val="right"/>
              <w:rPr>
                <w:rFonts w:cstheme="minorHAnsi"/>
                <w:sz w:val="20"/>
                <w:szCs w:val="20"/>
              </w:rPr>
            </w:pPr>
            <w:r w:rsidRPr="00A02B31">
              <w:rPr>
                <w:rFonts w:cstheme="minorHAnsi"/>
                <w:sz w:val="20"/>
                <w:szCs w:val="20"/>
              </w:rPr>
              <w:t>40,000</w:t>
            </w:r>
          </w:p>
        </w:tc>
        <w:tc>
          <w:tcPr>
            <w:tcW w:w="2977" w:type="dxa"/>
          </w:tcPr>
          <w:p w14:paraId="1C7C8B37" w14:textId="222945D8" w:rsidR="003B50BC" w:rsidRPr="00A02B31" w:rsidRDefault="0037223A" w:rsidP="002970D8">
            <w:pPr>
              <w:jc w:val="right"/>
              <w:rPr>
                <w:rFonts w:cstheme="minorHAnsi"/>
                <w:sz w:val="20"/>
                <w:szCs w:val="20"/>
              </w:rPr>
            </w:pPr>
            <w:r w:rsidRPr="00A02B31">
              <w:rPr>
                <w:rFonts w:cstheme="minorHAnsi"/>
                <w:sz w:val="20"/>
                <w:szCs w:val="20"/>
              </w:rPr>
              <w:t>n/a</w:t>
            </w:r>
          </w:p>
        </w:tc>
      </w:tr>
      <w:tr w:rsidR="003B50BC" w:rsidRPr="008B2DDA" w14:paraId="714BF2BA" w14:textId="77777777" w:rsidTr="009D1381">
        <w:trPr>
          <w:trHeight w:val="342"/>
        </w:trPr>
        <w:tc>
          <w:tcPr>
            <w:tcW w:w="3579" w:type="dxa"/>
          </w:tcPr>
          <w:p w14:paraId="46C9F516" w14:textId="25D1FC26" w:rsidR="003B50BC" w:rsidRPr="00A02B31" w:rsidRDefault="003B50BC" w:rsidP="003B50BC">
            <w:pPr>
              <w:rPr>
                <w:rFonts w:cstheme="minorHAnsi"/>
                <w:sz w:val="20"/>
                <w:szCs w:val="20"/>
              </w:rPr>
            </w:pPr>
            <w:r w:rsidRPr="00A02B31">
              <w:rPr>
                <w:rFonts w:cstheme="minorHAnsi"/>
                <w:sz w:val="20"/>
                <w:szCs w:val="20"/>
              </w:rPr>
              <w:t>Kenneth Lever</w:t>
            </w:r>
          </w:p>
        </w:tc>
        <w:tc>
          <w:tcPr>
            <w:tcW w:w="2653" w:type="dxa"/>
          </w:tcPr>
          <w:p w14:paraId="4CCC16A5" w14:textId="148AB39F" w:rsidR="003B50BC" w:rsidRPr="00A02B31" w:rsidRDefault="0037223A" w:rsidP="003B50BC">
            <w:pPr>
              <w:jc w:val="right"/>
              <w:rPr>
                <w:rFonts w:cstheme="minorHAnsi"/>
                <w:b/>
                <w:sz w:val="20"/>
                <w:szCs w:val="20"/>
              </w:rPr>
            </w:pPr>
            <w:r w:rsidRPr="00A02B31">
              <w:rPr>
                <w:rFonts w:cstheme="minorHAnsi"/>
                <w:sz w:val="20"/>
                <w:szCs w:val="20"/>
              </w:rPr>
              <w:t>27,500</w:t>
            </w:r>
          </w:p>
        </w:tc>
        <w:tc>
          <w:tcPr>
            <w:tcW w:w="2977" w:type="dxa"/>
          </w:tcPr>
          <w:p w14:paraId="4C8DA6FC" w14:textId="68CD5DEE" w:rsidR="003B50BC" w:rsidRPr="00A02B31" w:rsidRDefault="0037223A" w:rsidP="003B50BC">
            <w:pPr>
              <w:jc w:val="right"/>
              <w:rPr>
                <w:rFonts w:cstheme="minorHAnsi"/>
                <w:b/>
                <w:sz w:val="20"/>
                <w:szCs w:val="20"/>
              </w:rPr>
            </w:pPr>
            <w:r w:rsidRPr="00A02B31">
              <w:rPr>
                <w:rFonts w:cstheme="minorHAnsi"/>
                <w:sz w:val="20"/>
                <w:szCs w:val="20"/>
              </w:rPr>
              <w:t>27,500</w:t>
            </w:r>
          </w:p>
        </w:tc>
      </w:tr>
      <w:tr w:rsidR="003B50BC" w:rsidRPr="008B2DDA" w14:paraId="04D0612C" w14:textId="77777777" w:rsidTr="009D1381">
        <w:trPr>
          <w:trHeight w:val="342"/>
        </w:trPr>
        <w:tc>
          <w:tcPr>
            <w:tcW w:w="3579" w:type="dxa"/>
          </w:tcPr>
          <w:p w14:paraId="3F9180BF" w14:textId="0CB61528" w:rsidR="003B50BC" w:rsidRPr="00A02B31" w:rsidRDefault="003B50BC" w:rsidP="001D3F77">
            <w:pPr>
              <w:rPr>
                <w:rFonts w:cstheme="minorHAnsi"/>
                <w:sz w:val="20"/>
                <w:szCs w:val="20"/>
              </w:rPr>
            </w:pPr>
            <w:r w:rsidRPr="00A02B31">
              <w:rPr>
                <w:rFonts w:cstheme="minorHAnsi"/>
                <w:sz w:val="20"/>
                <w:szCs w:val="20"/>
              </w:rPr>
              <w:t>Graham Bird</w:t>
            </w:r>
          </w:p>
        </w:tc>
        <w:tc>
          <w:tcPr>
            <w:tcW w:w="2653" w:type="dxa"/>
          </w:tcPr>
          <w:p w14:paraId="4C05019E" w14:textId="5D395B23" w:rsidR="003B50BC" w:rsidRPr="00A02B31" w:rsidRDefault="0037223A" w:rsidP="003B50BC">
            <w:pPr>
              <w:jc w:val="right"/>
              <w:rPr>
                <w:rFonts w:cstheme="minorHAnsi"/>
                <w:b/>
                <w:sz w:val="20"/>
                <w:szCs w:val="20"/>
              </w:rPr>
            </w:pPr>
            <w:r w:rsidRPr="00A02B31">
              <w:rPr>
                <w:rFonts w:cstheme="minorHAnsi"/>
                <w:sz w:val="20"/>
                <w:szCs w:val="20"/>
              </w:rPr>
              <w:t>27,500</w:t>
            </w:r>
          </w:p>
        </w:tc>
        <w:tc>
          <w:tcPr>
            <w:tcW w:w="2977" w:type="dxa"/>
          </w:tcPr>
          <w:p w14:paraId="771BE941" w14:textId="5215EAA6" w:rsidR="003B50BC" w:rsidRPr="00A02B31" w:rsidRDefault="0037223A" w:rsidP="002970D8">
            <w:pPr>
              <w:jc w:val="right"/>
              <w:rPr>
                <w:rFonts w:cstheme="minorHAnsi"/>
                <w:sz w:val="20"/>
                <w:szCs w:val="20"/>
              </w:rPr>
            </w:pPr>
            <w:r w:rsidRPr="00A02B31">
              <w:rPr>
                <w:rFonts w:cstheme="minorHAnsi"/>
                <w:sz w:val="20"/>
                <w:szCs w:val="20"/>
              </w:rPr>
              <w:t>n/a</w:t>
            </w:r>
          </w:p>
        </w:tc>
      </w:tr>
      <w:tr w:rsidR="00F847C2" w:rsidRPr="008B2DDA" w14:paraId="0D9DC96D" w14:textId="59AF61BD" w:rsidTr="009D1381">
        <w:trPr>
          <w:trHeight w:val="360"/>
        </w:trPr>
        <w:tc>
          <w:tcPr>
            <w:tcW w:w="3579" w:type="dxa"/>
          </w:tcPr>
          <w:p w14:paraId="71A6BA8A" w14:textId="2C986C50" w:rsidR="00F847C2" w:rsidRPr="00A02B31" w:rsidRDefault="003B50BC" w:rsidP="001D3F77">
            <w:pPr>
              <w:rPr>
                <w:rFonts w:cstheme="minorHAnsi"/>
                <w:sz w:val="20"/>
                <w:szCs w:val="20"/>
              </w:rPr>
            </w:pPr>
            <w:r w:rsidRPr="00A02B31">
              <w:rPr>
                <w:rFonts w:cstheme="minorHAnsi"/>
                <w:sz w:val="20"/>
                <w:szCs w:val="20"/>
              </w:rPr>
              <w:t>Simon Pyper</w:t>
            </w:r>
            <w:r w:rsidR="003E35B7" w:rsidRPr="00A02B31">
              <w:rPr>
                <w:rFonts w:cstheme="minorHAnsi"/>
                <w:sz w:val="20"/>
                <w:szCs w:val="20"/>
              </w:rPr>
              <w:t xml:space="preserve"> </w:t>
            </w:r>
          </w:p>
        </w:tc>
        <w:tc>
          <w:tcPr>
            <w:tcW w:w="2653" w:type="dxa"/>
          </w:tcPr>
          <w:p w14:paraId="165AA410" w14:textId="77777777" w:rsidR="003E35B7" w:rsidRPr="00A02B31" w:rsidRDefault="003E35B7" w:rsidP="002970D8">
            <w:pPr>
              <w:jc w:val="right"/>
              <w:rPr>
                <w:rFonts w:cstheme="minorHAnsi"/>
                <w:sz w:val="20"/>
                <w:szCs w:val="20"/>
              </w:rPr>
            </w:pPr>
            <w:r w:rsidRPr="00A02B31">
              <w:rPr>
                <w:rFonts w:cstheme="minorHAnsi"/>
                <w:sz w:val="20"/>
                <w:szCs w:val="20"/>
              </w:rPr>
              <w:t>27,500</w:t>
            </w:r>
          </w:p>
          <w:p w14:paraId="244F3480" w14:textId="6E7FF873" w:rsidR="00F847C2" w:rsidRPr="00A02B31" w:rsidRDefault="003E35B7" w:rsidP="002970D8">
            <w:pPr>
              <w:jc w:val="right"/>
              <w:rPr>
                <w:rFonts w:cstheme="minorHAnsi"/>
                <w:sz w:val="20"/>
                <w:szCs w:val="20"/>
              </w:rPr>
            </w:pPr>
            <w:r w:rsidRPr="00A02B31">
              <w:rPr>
                <w:rFonts w:cstheme="minorHAnsi"/>
                <w:sz w:val="20"/>
                <w:szCs w:val="20"/>
              </w:rPr>
              <w:t>(As Interim Chair) 37,500</w:t>
            </w:r>
          </w:p>
        </w:tc>
        <w:tc>
          <w:tcPr>
            <w:tcW w:w="2977" w:type="dxa"/>
          </w:tcPr>
          <w:p w14:paraId="38456F0B" w14:textId="3E6B473E" w:rsidR="00F847C2" w:rsidRPr="00A02B31" w:rsidRDefault="003E35B7" w:rsidP="002970D8">
            <w:pPr>
              <w:jc w:val="right"/>
              <w:rPr>
                <w:rFonts w:cstheme="minorHAnsi"/>
                <w:sz w:val="20"/>
                <w:szCs w:val="20"/>
              </w:rPr>
            </w:pPr>
            <w:r w:rsidRPr="00A02B31">
              <w:rPr>
                <w:rFonts w:cstheme="minorHAnsi"/>
                <w:sz w:val="20"/>
                <w:szCs w:val="20"/>
              </w:rPr>
              <w:t>n/a</w:t>
            </w:r>
          </w:p>
        </w:tc>
      </w:tr>
      <w:tr w:rsidR="003B50BC" w:rsidRPr="008B2DDA" w14:paraId="59B1D2E2" w14:textId="5AC1DB9A" w:rsidTr="009D1381">
        <w:trPr>
          <w:trHeight w:val="340"/>
        </w:trPr>
        <w:tc>
          <w:tcPr>
            <w:tcW w:w="3579" w:type="dxa"/>
          </w:tcPr>
          <w:p w14:paraId="7945138A" w14:textId="3498EBEB" w:rsidR="003B50BC" w:rsidRPr="00A02B31" w:rsidRDefault="003B50BC" w:rsidP="003B50BC">
            <w:pPr>
              <w:rPr>
                <w:rFonts w:cstheme="minorHAnsi"/>
                <w:sz w:val="20"/>
                <w:szCs w:val="20"/>
              </w:rPr>
            </w:pPr>
            <w:r w:rsidRPr="00A02B31">
              <w:rPr>
                <w:rFonts w:cstheme="minorHAnsi"/>
                <w:sz w:val="20"/>
                <w:szCs w:val="20"/>
              </w:rPr>
              <w:t>David Potter</w:t>
            </w:r>
          </w:p>
        </w:tc>
        <w:tc>
          <w:tcPr>
            <w:tcW w:w="2653" w:type="dxa"/>
          </w:tcPr>
          <w:p w14:paraId="6A0B9722" w14:textId="699F5A67" w:rsidR="003B50BC" w:rsidRPr="00A02B31" w:rsidRDefault="003B50BC" w:rsidP="003E35B7">
            <w:pPr>
              <w:jc w:val="right"/>
              <w:rPr>
                <w:rFonts w:cstheme="minorHAnsi"/>
                <w:sz w:val="20"/>
                <w:szCs w:val="20"/>
              </w:rPr>
            </w:pPr>
            <w:r w:rsidRPr="00A02B31">
              <w:rPr>
                <w:rFonts w:cstheme="minorHAnsi"/>
                <w:sz w:val="20"/>
                <w:szCs w:val="20"/>
              </w:rPr>
              <w:t>5</w:t>
            </w:r>
            <w:r w:rsidR="003E35B7" w:rsidRPr="00A02B31">
              <w:rPr>
                <w:rFonts w:cstheme="minorHAnsi"/>
                <w:sz w:val="20"/>
                <w:szCs w:val="20"/>
              </w:rPr>
              <w:t>5,00</w:t>
            </w:r>
            <w:r w:rsidRPr="00A02B31">
              <w:rPr>
                <w:rFonts w:cstheme="minorHAnsi"/>
                <w:sz w:val="20"/>
                <w:szCs w:val="20"/>
              </w:rPr>
              <w:t>0</w:t>
            </w:r>
          </w:p>
        </w:tc>
        <w:tc>
          <w:tcPr>
            <w:tcW w:w="2977" w:type="dxa"/>
          </w:tcPr>
          <w:p w14:paraId="5A127E48" w14:textId="215C1EED" w:rsidR="003B50BC" w:rsidRPr="00A02B31" w:rsidRDefault="003B50BC" w:rsidP="003E35B7">
            <w:pPr>
              <w:jc w:val="right"/>
              <w:rPr>
                <w:rFonts w:cstheme="minorHAnsi"/>
                <w:sz w:val="20"/>
                <w:szCs w:val="20"/>
              </w:rPr>
            </w:pPr>
            <w:r w:rsidRPr="00A02B31">
              <w:rPr>
                <w:rFonts w:cstheme="minorHAnsi"/>
                <w:sz w:val="20"/>
                <w:szCs w:val="20"/>
              </w:rPr>
              <w:t>5</w:t>
            </w:r>
            <w:r w:rsidR="003E35B7" w:rsidRPr="00A02B31">
              <w:rPr>
                <w:rFonts w:cstheme="minorHAnsi"/>
                <w:sz w:val="20"/>
                <w:szCs w:val="20"/>
              </w:rPr>
              <w:t>5</w:t>
            </w:r>
            <w:r w:rsidRPr="00A02B31">
              <w:rPr>
                <w:rFonts w:cstheme="minorHAnsi"/>
                <w:sz w:val="20"/>
                <w:szCs w:val="20"/>
              </w:rPr>
              <w:t>,000</w:t>
            </w:r>
          </w:p>
        </w:tc>
      </w:tr>
      <w:tr w:rsidR="003B50BC" w:rsidRPr="008B2DDA" w14:paraId="64FF54F7" w14:textId="12837A1C" w:rsidTr="009D1381">
        <w:trPr>
          <w:trHeight w:val="360"/>
        </w:trPr>
        <w:tc>
          <w:tcPr>
            <w:tcW w:w="3579" w:type="dxa"/>
          </w:tcPr>
          <w:p w14:paraId="15F418A6" w14:textId="661B2716" w:rsidR="003B50BC" w:rsidRPr="00A02B31" w:rsidRDefault="003B50BC" w:rsidP="003B50BC">
            <w:pPr>
              <w:rPr>
                <w:rFonts w:cstheme="minorHAnsi"/>
                <w:sz w:val="20"/>
                <w:szCs w:val="20"/>
              </w:rPr>
            </w:pPr>
            <w:r w:rsidRPr="00A02B31">
              <w:rPr>
                <w:rFonts w:cstheme="minorHAnsi"/>
                <w:sz w:val="20"/>
                <w:szCs w:val="20"/>
              </w:rPr>
              <w:t>Charles Berry</w:t>
            </w:r>
          </w:p>
        </w:tc>
        <w:tc>
          <w:tcPr>
            <w:tcW w:w="2653" w:type="dxa"/>
          </w:tcPr>
          <w:p w14:paraId="50624509" w14:textId="3AB771A7" w:rsidR="003B50BC" w:rsidRPr="00A02B31" w:rsidRDefault="003E35B7" w:rsidP="003B50BC">
            <w:pPr>
              <w:jc w:val="right"/>
              <w:rPr>
                <w:rFonts w:cstheme="minorHAnsi"/>
                <w:sz w:val="20"/>
                <w:szCs w:val="20"/>
              </w:rPr>
            </w:pPr>
            <w:r w:rsidRPr="00A02B31">
              <w:rPr>
                <w:rFonts w:cstheme="minorHAnsi"/>
                <w:sz w:val="20"/>
                <w:szCs w:val="20"/>
              </w:rPr>
              <w:t>27,500</w:t>
            </w:r>
          </w:p>
        </w:tc>
        <w:tc>
          <w:tcPr>
            <w:tcW w:w="2977" w:type="dxa"/>
          </w:tcPr>
          <w:p w14:paraId="58F03181" w14:textId="2A8FD468" w:rsidR="003B50BC" w:rsidRPr="00A02B31" w:rsidRDefault="003E35B7" w:rsidP="003B50BC">
            <w:pPr>
              <w:jc w:val="right"/>
              <w:rPr>
                <w:rFonts w:cstheme="minorHAnsi"/>
                <w:sz w:val="20"/>
                <w:szCs w:val="20"/>
              </w:rPr>
            </w:pPr>
            <w:r w:rsidRPr="00A02B31">
              <w:rPr>
                <w:rFonts w:cstheme="minorHAnsi"/>
                <w:sz w:val="20"/>
                <w:szCs w:val="20"/>
              </w:rPr>
              <w:t>27,500</w:t>
            </w:r>
          </w:p>
        </w:tc>
      </w:tr>
      <w:tr w:rsidR="00F847C2" w:rsidRPr="008B2DDA" w14:paraId="1585EDC6" w14:textId="11A7F796" w:rsidTr="009D1381">
        <w:trPr>
          <w:trHeight w:val="340"/>
        </w:trPr>
        <w:tc>
          <w:tcPr>
            <w:tcW w:w="3579" w:type="dxa"/>
          </w:tcPr>
          <w:p w14:paraId="326B7ABF" w14:textId="77777777" w:rsidR="00F847C2" w:rsidRPr="00A02B31" w:rsidRDefault="00F847C2" w:rsidP="00F847C2">
            <w:pPr>
              <w:rPr>
                <w:rFonts w:cstheme="minorHAnsi"/>
                <w:sz w:val="20"/>
                <w:szCs w:val="20"/>
              </w:rPr>
            </w:pPr>
            <w:r w:rsidRPr="00A02B31">
              <w:rPr>
                <w:rFonts w:cstheme="minorHAnsi"/>
                <w:sz w:val="20"/>
                <w:szCs w:val="20"/>
              </w:rPr>
              <w:t>Helen Sinclair</w:t>
            </w:r>
          </w:p>
        </w:tc>
        <w:tc>
          <w:tcPr>
            <w:tcW w:w="2653" w:type="dxa"/>
          </w:tcPr>
          <w:p w14:paraId="6050C441" w14:textId="6AD47138" w:rsidR="00F847C2" w:rsidRPr="00A02B31" w:rsidRDefault="003E35B7" w:rsidP="00F847C2">
            <w:pPr>
              <w:jc w:val="right"/>
              <w:rPr>
                <w:rFonts w:cstheme="minorHAnsi"/>
                <w:sz w:val="20"/>
                <w:szCs w:val="20"/>
              </w:rPr>
            </w:pPr>
            <w:r w:rsidRPr="00A02B31">
              <w:rPr>
                <w:rFonts w:cstheme="minorHAnsi"/>
                <w:sz w:val="20"/>
                <w:szCs w:val="20"/>
              </w:rPr>
              <w:t>27,500</w:t>
            </w:r>
          </w:p>
        </w:tc>
        <w:tc>
          <w:tcPr>
            <w:tcW w:w="2977" w:type="dxa"/>
          </w:tcPr>
          <w:p w14:paraId="73D1E12C" w14:textId="25D37B5D" w:rsidR="00F847C2" w:rsidRPr="00A02B31" w:rsidRDefault="003E35B7" w:rsidP="00F847C2">
            <w:pPr>
              <w:jc w:val="right"/>
              <w:rPr>
                <w:rFonts w:cstheme="minorHAnsi"/>
                <w:sz w:val="20"/>
                <w:szCs w:val="20"/>
              </w:rPr>
            </w:pPr>
            <w:r w:rsidRPr="00A02B31">
              <w:rPr>
                <w:rFonts w:cstheme="minorHAnsi"/>
                <w:sz w:val="20"/>
                <w:szCs w:val="20"/>
              </w:rPr>
              <w:t>27</w:t>
            </w:r>
            <w:r w:rsidR="00F847C2" w:rsidRPr="00A02B31">
              <w:rPr>
                <w:rFonts w:cstheme="minorHAnsi"/>
                <w:sz w:val="20"/>
                <w:szCs w:val="20"/>
              </w:rPr>
              <w:t>,</w:t>
            </w:r>
            <w:r w:rsidRPr="00A02B31">
              <w:rPr>
                <w:rFonts w:cstheme="minorHAnsi"/>
                <w:sz w:val="20"/>
                <w:szCs w:val="20"/>
              </w:rPr>
              <w:t>5</w:t>
            </w:r>
            <w:r w:rsidR="00F847C2" w:rsidRPr="00A02B31">
              <w:rPr>
                <w:rFonts w:cstheme="minorHAnsi"/>
                <w:sz w:val="20"/>
                <w:szCs w:val="20"/>
              </w:rPr>
              <w:t>00</w:t>
            </w:r>
          </w:p>
        </w:tc>
      </w:tr>
      <w:tr w:rsidR="00390318" w:rsidRPr="008B2DDA" w14:paraId="1D64AB7D" w14:textId="77777777" w:rsidTr="009D1381">
        <w:trPr>
          <w:trHeight w:val="340"/>
        </w:trPr>
        <w:tc>
          <w:tcPr>
            <w:tcW w:w="3579" w:type="dxa"/>
          </w:tcPr>
          <w:p w14:paraId="45549EAD" w14:textId="169A7E73" w:rsidR="00390318" w:rsidRPr="00A02B31" w:rsidRDefault="00390318" w:rsidP="00F847C2">
            <w:pPr>
              <w:rPr>
                <w:rFonts w:cstheme="minorHAnsi"/>
                <w:b/>
                <w:sz w:val="20"/>
                <w:szCs w:val="20"/>
              </w:rPr>
            </w:pPr>
            <w:r w:rsidRPr="00A02B31">
              <w:rPr>
                <w:rFonts w:cstheme="minorHAnsi"/>
                <w:b/>
                <w:sz w:val="20"/>
                <w:szCs w:val="20"/>
              </w:rPr>
              <w:t>Total</w:t>
            </w:r>
            <w:r w:rsidR="003E35B7" w:rsidRPr="00A02B31">
              <w:rPr>
                <w:rFonts w:cstheme="minorHAnsi"/>
                <w:b/>
                <w:sz w:val="20"/>
                <w:szCs w:val="20"/>
              </w:rPr>
              <w:t xml:space="preserve"> </w:t>
            </w:r>
            <w:r w:rsidR="00D92530" w:rsidRPr="00A02B31">
              <w:rPr>
                <w:rFonts w:cstheme="minorHAnsi"/>
                <w:b/>
                <w:sz w:val="20"/>
                <w:szCs w:val="20"/>
              </w:rPr>
              <w:t xml:space="preserve">annual fees payable </w:t>
            </w:r>
            <w:r w:rsidR="003E35B7" w:rsidRPr="00A02B31">
              <w:rPr>
                <w:rFonts w:cstheme="minorHAnsi"/>
                <w:b/>
                <w:sz w:val="20"/>
                <w:szCs w:val="20"/>
              </w:rPr>
              <w:t xml:space="preserve">as at the Year End </w:t>
            </w:r>
          </w:p>
        </w:tc>
        <w:tc>
          <w:tcPr>
            <w:tcW w:w="2653" w:type="dxa"/>
          </w:tcPr>
          <w:p w14:paraId="5A583082" w14:textId="3D306F09" w:rsidR="00390318" w:rsidRPr="00A02B31" w:rsidRDefault="003E35B7" w:rsidP="00F847C2">
            <w:pPr>
              <w:jc w:val="right"/>
              <w:rPr>
                <w:rFonts w:cstheme="minorHAnsi"/>
                <w:sz w:val="20"/>
                <w:szCs w:val="20"/>
              </w:rPr>
            </w:pPr>
            <w:r w:rsidRPr="00A02B31">
              <w:rPr>
                <w:rFonts w:cstheme="minorHAnsi"/>
                <w:sz w:val="20"/>
                <w:szCs w:val="20"/>
              </w:rPr>
              <w:t>95,000</w:t>
            </w:r>
          </w:p>
        </w:tc>
        <w:tc>
          <w:tcPr>
            <w:tcW w:w="2977" w:type="dxa"/>
          </w:tcPr>
          <w:p w14:paraId="0449C705" w14:textId="0620745B" w:rsidR="00390318" w:rsidRPr="00A02B31" w:rsidRDefault="00C56A33" w:rsidP="00F847C2">
            <w:pPr>
              <w:jc w:val="right"/>
              <w:rPr>
                <w:rFonts w:cstheme="minorHAnsi"/>
                <w:sz w:val="20"/>
                <w:szCs w:val="20"/>
              </w:rPr>
            </w:pPr>
            <w:r w:rsidRPr="00A02B31">
              <w:rPr>
                <w:rFonts w:cstheme="minorHAnsi"/>
                <w:sz w:val="20"/>
                <w:szCs w:val="20"/>
              </w:rPr>
              <w:t>137,500</w:t>
            </w:r>
          </w:p>
        </w:tc>
      </w:tr>
    </w:tbl>
    <w:p w14:paraId="4DFF7795" w14:textId="77777777" w:rsidR="0003039A" w:rsidRPr="00A02B31" w:rsidRDefault="001D3F77" w:rsidP="001D3F77">
      <w:pPr>
        <w:rPr>
          <w:rFonts w:cstheme="minorHAnsi"/>
          <w:sz w:val="20"/>
          <w:szCs w:val="20"/>
        </w:rPr>
      </w:pPr>
      <w:r w:rsidRPr="00A02B31">
        <w:rPr>
          <w:rFonts w:cstheme="minorHAnsi"/>
          <w:sz w:val="20"/>
          <w:szCs w:val="20"/>
        </w:rPr>
        <w:t xml:space="preserve"> </w:t>
      </w:r>
    </w:p>
    <w:p w14:paraId="6BC09EE8" w14:textId="3FFA1099" w:rsidR="00E561BA" w:rsidRPr="00A02B31" w:rsidRDefault="00BE7A9F" w:rsidP="00E561BA">
      <w:pPr>
        <w:jc w:val="both"/>
        <w:rPr>
          <w:rFonts w:cstheme="minorHAnsi"/>
          <w:sz w:val="20"/>
          <w:szCs w:val="20"/>
        </w:rPr>
      </w:pPr>
      <w:r w:rsidRPr="00A02B31">
        <w:rPr>
          <w:rFonts w:cstheme="minorHAnsi"/>
          <w:sz w:val="20"/>
          <w:szCs w:val="20"/>
        </w:rPr>
        <w:t xml:space="preserve">The total aggregate annual fees payable </w:t>
      </w:r>
      <w:r w:rsidR="00B22CAE" w:rsidRPr="00A02B31">
        <w:rPr>
          <w:rFonts w:cstheme="minorHAnsi"/>
          <w:sz w:val="20"/>
          <w:szCs w:val="20"/>
        </w:rPr>
        <w:t xml:space="preserve">to </w:t>
      </w:r>
      <w:r w:rsidR="00481EEC" w:rsidRPr="00A02B31">
        <w:rPr>
          <w:rFonts w:cstheme="minorHAnsi"/>
          <w:sz w:val="20"/>
          <w:szCs w:val="20"/>
        </w:rPr>
        <w:t>d</w:t>
      </w:r>
      <w:r w:rsidRPr="00A02B31">
        <w:rPr>
          <w:rFonts w:cstheme="minorHAnsi"/>
          <w:sz w:val="20"/>
          <w:szCs w:val="20"/>
        </w:rPr>
        <w:t>irectors under the Company’s Articles of Association</w:t>
      </w:r>
      <w:r w:rsidR="00B22CAE" w:rsidRPr="00A02B31">
        <w:rPr>
          <w:rFonts w:cstheme="minorHAnsi"/>
          <w:sz w:val="20"/>
          <w:szCs w:val="20"/>
        </w:rPr>
        <w:t xml:space="preserve"> (Articles)</w:t>
      </w:r>
      <w:r w:rsidRPr="00A02B31">
        <w:rPr>
          <w:rFonts w:cstheme="minorHAnsi"/>
          <w:sz w:val="20"/>
          <w:szCs w:val="20"/>
        </w:rPr>
        <w:t xml:space="preserve"> is £250,000.</w:t>
      </w:r>
      <w:r w:rsidR="00B22CAE" w:rsidRPr="00A02B31">
        <w:rPr>
          <w:rFonts w:cstheme="minorHAnsi"/>
          <w:sz w:val="20"/>
          <w:szCs w:val="20"/>
        </w:rPr>
        <w:t xml:space="preserve"> As per the Company’s Articles, </w:t>
      </w:r>
      <w:r w:rsidR="00E50F47" w:rsidRPr="00A02B31">
        <w:rPr>
          <w:rFonts w:cstheme="minorHAnsi"/>
          <w:sz w:val="20"/>
          <w:szCs w:val="20"/>
        </w:rPr>
        <w:t>d</w:t>
      </w:r>
      <w:r w:rsidR="00E561BA" w:rsidRPr="00A02B31">
        <w:rPr>
          <w:rFonts w:cstheme="minorHAnsi"/>
          <w:sz w:val="20"/>
          <w:szCs w:val="20"/>
        </w:rPr>
        <w:t xml:space="preserve">irectors are entitled to be paid all reasonable expenses properly incurred in the performance of their duties as </w:t>
      </w:r>
      <w:r w:rsidR="00E50F47" w:rsidRPr="00A02B31">
        <w:rPr>
          <w:rFonts w:cstheme="minorHAnsi"/>
          <w:sz w:val="20"/>
          <w:szCs w:val="20"/>
        </w:rPr>
        <w:t>d</w:t>
      </w:r>
      <w:r w:rsidR="00E561BA" w:rsidRPr="00A02B31">
        <w:rPr>
          <w:rFonts w:cstheme="minorHAnsi"/>
          <w:sz w:val="20"/>
          <w:szCs w:val="20"/>
        </w:rPr>
        <w:t xml:space="preserve">irectors including their expenses travelling to and from </w:t>
      </w:r>
      <w:r w:rsidR="00E50F47" w:rsidRPr="00A02B31">
        <w:rPr>
          <w:rFonts w:cstheme="minorHAnsi"/>
          <w:sz w:val="20"/>
          <w:szCs w:val="20"/>
        </w:rPr>
        <w:t>b</w:t>
      </w:r>
      <w:r w:rsidR="00E561BA" w:rsidRPr="00A02B31">
        <w:rPr>
          <w:rFonts w:cstheme="minorHAnsi"/>
          <w:sz w:val="20"/>
          <w:szCs w:val="20"/>
        </w:rPr>
        <w:t xml:space="preserve">oard and </w:t>
      </w:r>
      <w:r w:rsidR="00E50F47" w:rsidRPr="00A02B31">
        <w:rPr>
          <w:rFonts w:cstheme="minorHAnsi"/>
          <w:sz w:val="20"/>
          <w:szCs w:val="20"/>
        </w:rPr>
        <w:t>c</w:t>
      </w:r>
      <w:r w:rsidR="00E561BA" w:rsidRPr="00A02B31">
        <w:rPr>
          <w:rFonts w:cstheme="minorHAnsi"/>
          <w:sz w:val="20"/>
          <w:szCs w:val="20"/>
        </w:rPr>
        <w:t xml:space="preserve">ommittee meetings. </w:t>
      </w:r>
    </w:p>
    <w:p w14:paraId="579D253D" w14:textId="77777777" w:rsidR="00E561BA" w:rsidRPr="00A02B31" w:rsidRDefault="00E561BA" w:rsidP="00E561BA">
      <w:pPr>
        <w:jc w:val="both"/>
        <w:rPr>
          <w:rFonts w:cstheme="minorHAnsi"/>
          <w:sz w:val="20"/>
          <w:szCs w:val="20"/>
        </w:rPr>
      </w:pPr>
    </w:p>
    <w:p w14:paraId="42AA71D9" w14:textId="6F67E82D" w:rsidR="00E561BA" w:rsidRPr="00A02B31" w:rsidRDefault="00E561BA" w:rsidP="00E561BA">
      <w:pPr>
        <w:jc w:val="both"/>
        <w:rPr>
          <w:rFonts w:cstheme="minorHAnsi"/>
          <w:sz w:val="20"/>
          <w:szCs w:val="20"/>
        </w:rPr>
      </w:pPr>
      <w:r w:rsidRPr="00A02B31">
        <w:rPr>
          <w:rFonts w:cstheme="minorHAnsi"/>
          <w:sz w:val="20"/>
          <w:szCs w:val="20"/>
        </w:rPr>
        <w:t xml:space="preserve">As the </w:t>
      </w:r>
      <w:r w:rsidR="00E50F47" w:rsidRPr="00A02B31">
        <w:rPr>
          <w:rFonts w:cstheme="minorHAnsi"/>
          <w:sz w:val="20"/>
          <w:szCs w:val="20"/>
        </w:rPr>
        <w:t>b</w:t>
      </w:r>
      <w:r w:rsidRPr="00A02B31">
        <w:rPr>
          <w:rFonts w:cstheme="minorHAnsi"/>
          <w:sz w:val="20"/>
          <w:szCs w:val="20"/>
        </w:rPr>
        <w:t xml:space="preserve">oard is solely composed of </w:t>
      </w:r>
      <w:r w:rsidR="00E50F47" w:rsidRPr="00A02B31">
        <w:rPr>
          <w:rFonts w:cstheme="minorHAnsi"/>
          <w:sz w:val="20"/>
          <w:szCs w:val="20"/>
        </w:rPr>
        <w:t>n</w:t>
      </w:r>
      <w:r w:rsidRPr="00A02B31">
        <w:rPr>
          <w:rFonts w:cstheme="minorHAnsi"/>
          <w:sz w:val="20"/>
          <w:szCs w:val="20"/>
        </w:rPr>
        <w:t>on-</w:t>
      </w:r>
      <w:r w:rsidR="00E50F47" w:rsidRPr="00A02B31">
        <w:rPr>
          <w:rFonts w:cstheme="minorHAnsi"/>
          <w:sz w:val="20"/>
          <w:szCs w:val="20"/>
        </w:rPr>
        <w:t>e</w:t>
      </w:r>
      <w:r w:rsidRPr="00A02B31">
        <w:rPr>
          <w:rFonts w:cstheme="minorHAnsi"/>
          <w:sz w:val="20"/>
          <w:szCs w:val="20"/>
        </w:rPr>
        <w:t xml:space="preserve">xecutive </w:t>
      </w:r>
      <w:r w:rsidR="00E50F47" w:rsidRPr="00A02B31">
        <w:rPr>
          <w:rFonts w:cstheme="minorHAnsi"/>
          <w:sz w:val="20"/>
          <w:szCs w:val="20"/>
        </w:rPr>
        <w:t>d</w:t>
      </w:r>
      <w:r w:rsidRPr="00A02B31">
        <w:rPr>
          <w:rFonts w:cstheme="minorHAnsi"/>
          <w:sz w:val="20"/>
          <w:szCs w:val="20"/>
        </w:rPr>
        <w:t xml:space="preserve">irectors, the consideration of their remuneration does not involve any variable or performance-related bonuses, or other benefits such as pensions. The level of remuneration has been set in order to attract individuals of a calibre appropriate to the future development of the Company and reflects the duties and responsibilities of the </w:t>
      </w:r>
      <w:r w:rsidR="00E50F47" w:rsidRPr="00A02B31">
        <w:rPr>
          <w:rFonts w:cstheme="minorHAnsi"/>
          <w:sz w:val="20"/>
          <w:szCs w:val="20"/>
        </w:rPr>
        <w:t>d</w:t>
      </w:r>
      <w:r w:rsidRPr="00A02B31">
        <w:rPr>
          <w:rFonts w:cstheme="minorHAnsi"/>
          <w:sz w:val="20"/>
          <w:szCs w:val="20"/>
        </w:rPr>
        <w:t>irectors and the value and amount of time committed to the Company’s affairs.</w:t>
      </w:r>
    </w:p>
    <w:p w14:paraId="4D05162B" w14:textId="77777777" w:rsidR="00BE7A9F" w:rsidRPr="00A02B31" w:rsidRDefault="00BE7A9F" w:rsidP="00E561BA">
      <w:pPr>
        <w:jc w:val="both"/>
        <w:rPr>
          <w:rFonts w:cstheme="minorHAnsi"/>
          <w:sz w:val="20"/>
          <w:szCs w:val="20"/>
        </w:rPr>
      </w:pPr>
    </w:p>
    <w:p w14:paraId="5195ED50" w14:textId="64A69786" w:rsidR="0003039A" w:rsidRPr="00A02B31" w:rsidRDefault="0003039A" w:rsidP="0003039A">
      <w:pPr>
        <w:jc w:val="both"/>
        <w:rPr>
          <w:rFonts w:cstheme="minorHAnsi"/>
          <w:b/>
          <w:sz w:val="20"/>
          <w:szCs w:val="20"/>
        </w:rPr>
      </w:pPr>
      <w:r w:rsidRPr="00A02B31">
        <w:rPr>
          <w:rFonts w:cstheme="minorHAnsi"/>
          <w:b/>
          <w:sz w:val="20"/>
          <w:szCs w:val="20"/>
        </w:rPr>
        <w:t>Directors and their interests</w:t>
      </w:r>
    </w:p>
    <w:p w14:paraId="7FBE08B3" w14:textId="0042EFDA" w:rsidR="0003039A" w:rsidRPr="00A02B31" w:rsidRDefault="0003039A" w:rsidP="0003039A">
      <w:pPr>
        <w:jc w:val="both"/>
        <w:rPr>
          <w:rFonts w:cstheme="minorHAnsi"/>
          <w:sz w:val="20"/>
          <w:szCs w:val="20"/>
        </w:rPr>
      </w:pPr>
      <w:r w:rsidRPr="00A02B31">
        <w:rPr>
          <w:rFonts w:cstheme="minorHAnsi"/>
          <w:sz w:val="20"/>
          <w:szCs w:val="20"/>
        </w:rPr>
        <w:t xml:space="preserve">The </w:t>
      </w:r>
      <w:r w:rsidR="00E50F47" w:rsidRPr="00A02B31">
        <w:rPr>
          <w:rFonts w:cstheme="minorHAnsi"/>
          <w:sz w:val="20"/>
          <w:szCs w:val="20"/>
        </w:rPr>
        <w:t>d</w:t>
      </w:r>
      <w:r w:rsidRPr="00A02B31">
        <w:rPr>
          <w:rFonts w:cstheme="minorHAnsi"/>
          <w:sz w:val="20"/>
          <w:szCs w:val="20"/>
        </w:rPr>
        <w:t>irectors serving during the year</w:t>
      </w:r>
      <w:r w:rsidR="004371D9" w:rsidRPr="00A02B31">
        <w:rPr>
          <w:rFonts w:cstheme="minorHAnsi"/>
          <w:sz w:val="20"/>
          <w:szCs w:val="20"/>
        </w:rPr>
        <w:t>-</w:t>
      </w:r>
      <w:r w:rsidR="00A55CCD" w:rsidRPr="00A02B31">
        <w:rPr>
          <w:rFonts w:cstheme="minorHAnsi"/>
          <w:sz w:val="20"/>
          <w:szCs w:val="20"/>
        </w:rPr>
        <w:t>ended 31 March 202</w:t>
      </w:r>
      <w:r w:rsidR="0037223A" w:rsidRPr="00A02B31">
        <w:rPr>
          <w:rFonts w:cstheme="minorHAnsi"/>
          <w:sz w:val="20"/>
          <w:szCs w:val="20"/>
        </w:rPr>
        <w:t>2</w:t>
      </w:r>
      <w:r w:rsidRPr="00A02B31">
        <w:rPr>
          <w:rFonts w:cstheme="minorHAnsi"/>
          <w:sz w:val="20"/>
          <w:szCs w:val="20"/>
        </w:rPr>
        <w:t xml:space="preserve"> had the following interests in the share capital of the </w:t>
      </w:r>
      <w:r w:rsidR="009610FA" w:rsidRPr="00A02B31">
        <w:rPr>
          <w:rFonts w:cstheme="minorHAnsi"/>
          <w:sz w:val="20"/>
          <w:szCs w:val="20"/>
        </w:rPr>
        <w:t>C</w:t>
      </w:r>
      <w:r w:rsidRPr="00A02B31">
        <w:rPr>
          <w:rFonts w:cstheme="minorHAnsi"/>
          <w:sz w:val="20"/>
          <w:szCs w:val="20"/>
        </w:rPr>
        <w:t>ompany:</w:t>
      </w:r>
    </w:p>
    <w:p w14:paraId="3860B7C9" w14:textId="77777777" w:rsidR="0003039A" w:rsidRPr="00A02B31" w:rsidRDefault="0003039A" w:rsidP="0003039A">
      <w:pPr>
        <w:ind w:left="4320" w:firstLine="720"/>
        <w:jc w:val="both"/>
        <w:rPr>
          <w:rFonts w:cstheme="minorHAnsi"/>
          <w:sz w:val="20"/>
          <w:szCs w:val="20"/>
        </w:rPr>
      </w:pPr>
    </w:p>
    <w:tbl>
      <w:tblPr>
        <w:tblStyle w:val="TableGrid"/>
        <w:tblW w:w="0" w:type="auto"/>
        <w:tblLook w:val="04A0" w:firstRow="1" w:lastRow="0" w:firstColumn="1" w:lastColumn="0" w:noHBand="0" w:noVBand="1"/>
      </w:tblPr>
      <w:tblGrid>
        <w:gridCol w:w="2223"/>
        <w:gridCol w:w="1751"/>
        <w:gridCol w:w="2964"/>
        <w:gridCol w:w="2691"/>
      </w:tblGrid>
      <w:tr w:rsidR="008234FA" w:rsidRPr="008B2DDA" w14:paraId="1C9AB90D" w14:textId="77777777" w:rsidTr="004925BA">
        <w:trPr>
          <w:trHeight w:val="289"/>
        </w:trPr>
        <w:tc>
          <w:tcPr>
            <w:tcW w:w="2223" w:type="dxa"/>
          </w:tcPr>
          <w:p w14:paraId="6E87FC50" w14:textId="77777777" w:rsidR="008234FA" w:rsidRPr="00A02B31" w:rsidRDefault="008234FA" w:rsidP="00510167">
            <w:pPr>
              <w:jc w:val="both"/>
              <w:rPr>
                <w:rFonts w:cstheme="minorHAnsi"/>
                <w:b/>
                <w:sz w:val="20"/>
                <w:szCs w:val="20"/>
              </w:rPr>
            </w:pPr>
          </w:p>
        </w:tc>
        <w:tc>
          <w:tcPr>
            <w:tcW w:w="1752" w:type="dxa"/>
          </w:tcPr>
          <w:p w14:paraId="58A14F72" w14:textId="0EA5D4FD" w:rsidR="008234FA" w:rsidRPr="00A02B31" w:rsidRDefault="008234FA" w:rsidP="00962B04">
            <w:pPr>
              <w:jc w:val="right"/>
              <w:rPr>
                <w:rFonts w:cstheme="minorHAnsi"/>
                <w:b/>
                <w:sz w:val="20"/>
                <w:szCs w:val="20"/>
              </w:rPr>
            </w:pPr>
            <w:r w:rsidRPr="00A02B31">
              <w:rPr>
                <w:rFonts w:cstheme="minorHAnsi"/>
                <w:b/>
                <w:sz w:val="20"/>
                <w:szCs w:val="20"/>
              </w:rPr>
              <w:t>As at 23 June 202</w:t>
            </w:r>
            <w:r w:rsidR="0037223A" w:rsidRPr="00A02B31">
              <w:rPr>
                <w:rFonts w:cstheme="minorHAnsi"/>
                <w:b/>
                <w:sz w:val="20"/>
                <w:szCs w:val="20"/>
              </w:rPr>
              <w:t>2</w:t>
            </w:r>
          </w:p>
        </w:tc>
        <w:tc>
          <w:tcPr>
            <w:tcW w:w="2966" w:type="dxa"/>
          </w:tcPr>
          <w:p w14:paraId="04586791" w14:textId="0AE8B40C" w:rsidR="008234FA" w:rsidRPr="00A02B31" w:rsidRDefault="008234FA" w:rsidP="00510167">
            <w:pPr>
              <w:jc w:val="right"/>
              <w:rPr>
                <w:rFonts w:cstheme="minorHAnsi"/>
                <w:b/>
                <w:sz w:val="20"/>
                <w:szCs w:val="20"/>
              </w:rPr>
            </w:pPr>
            <w:r w:rsidRPr="00A02B31">
              <w:rPr>
                <w:rFonts w:cstheme="minorHAnsi"/>
                <w:b/>
                <w:sz w:val="20"/>
                <w:szCs w:val="20"/>
              </w:rPr>
              <w:t>As at 31 March 202</w:t>
            </w:r>
            <w:r w:rsidR="0037223A" w:rsidRPr="00A02B31">
              <w:rPr>
                <w:rFonts w:cstheme="minorHAnsi"/>
                <w:b/>
                <w:sz w:val="20"/>
                <w:szCs w:val="20"/>
              </w:rPr>
              <w:t>2</w:t>
            </w:r>
          </w:p>
        </w:tc>
        <w:tc>
          <w:tcPr>
            <w:tcW w:w="2693" w:type="dxa"/>
          </w:tcPr>
          <w:p w14:paraId="6E877AC8" w14:textId="1C4FE470" w:rsidR="008234FA" w:rsidRPr="00A02B31" w:rsidRDefault="008234FA" w:rsidP="00510167">
            <w:pPr>
              <w:jc w:val="right"/>
              <w:rPr>
                <w:rFonts w:cstheme="minorHAnsi"/>
                <w:b/>
                <w:sz w:val="20"/>
                <w:szCs w:val="20"/>
              </w:rPr>
            </w:pPr>
            <w:r w:rsidRPr="00A02B31">
              <w:rPr>
                <w:rFonts w:cstheme="minorHAnsi"/>
                <w:b/>
                <w:sz w:val="20"/>
                <w:szCs w:val="20"/>
              </w:rPr>
              <w:t>As at 31 March 202</w:t>
            </w:r>
            <w:r w:rsidR="0037223A" w:rsidRPr="00A02B31">
              <w:rPr>
                <w:rFonts w:cstheme="minorHAnsi"/>
                <w:b/>
                <w:sz w:val="20"/>
                <w:szCs w:val="20"/>
              </w:rPr>
              <w:t>1</w:t>
            </w:r>
          </w:p>
        </w:tc>
      </w:tr>
      <w:tr w:rsidR="0037223A" w:rsidRPr="008B2DDA" w14:paraId="5E2B4220" w14:textId="77777777" w:rsidTr="004925BA">
        <w:trPr>
          <w:trHeight w:val="289"/>
        </w:trPr>
        <w:tc>
          <w:tcPr>
            <w:tcW w:w="2223" w:type="dxa"/>
          </w:tcPr>
          <w:p w14:paraId="463F052E" w14:textId="53AA256B" w:rsidR="0037223A" w:rsidRPr="00A02B31" w:rsidRDefault="0037223A" w:rsidP="00510167">
            <w:pPr>
              <w:jc w:val="both"/>
              <w:rPr>
                <w:rFonts w:cstheme="minorHAnsi"/>
                <w:b/>
                <w:sz w:val="20"/>
                <w:szCs w:val="20"/>
              </w:rPr>
            </w:pPr>
            <w:r w:rsidRPr="00A02B31">
              <w:rPr>
                <w:rFonts w:cstheme="minorHAnsi"/>
                <w:b/>
                <w:sz w:val="20"/>
                <w:szCs w:val="20"/>
              </w:rPr>
              <w:t>Noel Lamb</w:t>
            </w:r>
          </w:p>
        </w:tc>
        <w:tc>
          <w:tcPr>
            <w:tcW w:w="1752" w:type="dxa"/>
          </w:tcPr>
          <w:p w14:paraId="7AB695D7" w14:textId="69F729C3" w:rsidR="0037223A" w:rsidRPr="00A02B31" w:rsidRDefault="00DD43E2" w:rsidP="00962B04">
            <w:pPr>
              <w:jc w:val="right"/>
              <w:rPr>
                <w:rFonts w:cstheme="minorHAnsi"/>
                <w:sz w:val="20"/>
                <w:szCs w:val="20"/>
              </w:rPr>
            </w:pPr>
            <w:r w:rsidRPr="00A02B31">
              <w:rPr>
                <w:rFonts w:cstheme="minorHAnsi"/>
                <w:sz w:val="20"/>
                <w:szCs w:val="20"/>
              </w:rPr>
              <w:t>1,500</w:t>
            </w:r>
          </w:p>
        </w:tc>
        <w:tc>
          <w:tcPr>
            <w:tcW w:w="2966" w:type="dxa"/>
          </w:tcPr>
          <w:p w14:paraId="499F5B08" w14:textId="7F368E81" w:rsidR="0037223A" w:rsidRPr="00A02B31" w:rsidRDefault="00DD43E2" w:rsidP="00510167">
            <w:pPr>
              <w:jc w:val="right"/>
              <w:rPr>
                <w:rFonts w:cstheme="minorHAnsi"/>
                <w:sz w:val="20"/>
                <w:szCs w:val="20"/>
              </w:rPr>
            </w:pPr>
            <w:r w:rsidRPr="00A02B31">
              <w:rPr>
                <w:rFonts w:cstheme="minorHAnsi"/>
                <w:sz w:val="20"/>
                <w:szCs w:val="20"/>
              </w:rPr>
              <w:t>1,500</w:t>
            </w:r>
          </w:p>
        </w:tc>
        <w:tc>
          <w:tcPr>
            <w:tcW w:w="2693" w:type="dxa"/>
          </w:tcPr>
          <w:p w14:paraId="01741A8D" w14:textId="1C49C5E5" w:rsidR="0037223A" w:rsidRPr="00A02B31" w:rsidRDefault="00331F5B" w:rsidP="00510167">
            <w:pPr>
              <w:jc w:val="right"/>
              <w:rPr>
                <w:rFonts w:cstheme="minorHAnsi"/>
                <w:sz w:val="20"/>
                <w:szCs w:val="20"/>
              </w:rPr>
            </w:pPr>
            <w:r w:rsidRPr="00A02B31">
              <w:rPr>
                <w:rFonts w:cstheme="minorHAnsi"/>
                <w:sz w:val="20"/>
                <w:szCs w:val="20"/>
              </w:rPr>
              <w:t>0</w:t>
            </w:r>
          </w:p>
        </w:tc>
      </w:tr>
      <w:tr w:rsidR="0037223A" w:rsidRPr="008B2DDA" w14:paraId="7C4EE1B5" w14:textId="77777777" w:rsidTr="004925BA">
        <w:trPr>
          <w:trHeight w:val="289"/>
        </w:trPr>
        <w:tc>
          <w:tcPr>
            <w:tcW w:w="2223" w:type="dxa"/>
          </w:tcPr>
          <w:p w14:paraId="577AFC09" w14:textId="2B7D3836" w:rsidR="0037223A" w:rsidRPr="00A02B31" w:rsidRDefault="0037223A" w:rsidP="0037223A">
            <w:pPr>
              <w:jc w:val="both"/>
              <w:rPr>
                <w:rFonts w:cstheme="minorHAnsi"/>
                <w:b/>
                <w:sz w:val="20"/>
                <w:szCs w:val="20"/>
              </w:rPr>
            </w:pPr>
            <w:r w:rsidRPr="00A02B31">
              <w:rPr>
                <w:rFonts w:cstheme="minorHAnsi"/>
                <w:b/>
                <w:sz w:val="20"/>
                <w:szCs w:val="20"/>
              </w:rPr>
              <w:t>Kenneth Lever</w:t>
            </w:r>
          </w:p>
        </w:tc>
        <w:tc>
          <w:tcPr>
            <w:tcW w:w="1752" w:type="dxa"/>
          </w:tcPr>
          <w:p w14:paraId="2423C8ED" w14:textId="20953EA4" w:rsidR="0037223A" w:rsidRPr="00A02B31" w:rsidRDefault="00331F5B" w:rsidP="0037223A">
            <w:pPr>
              <w:jc w:val="right"/>
              <w:rPr>
                <w:rFonts w:cstheme="minorHAnsi"/>
                <w:sz w:val="20"/>
                <w:szCs w:val="20"/>
              </w:rPr>
            </w:pPr>
            <w:r w:rsidRPr="00A02B31">
              <w:rPr>
                <w:rFonts w:cstheme="minorHAnsi"/>
                <w:sz w:val="20"/>
                <w:szCs w:val="20"/>
              </w:rPr>
              <w:t>3,555</w:t>
            </w:r>
          </w:p>
        </w:tc>
        <w:tc>
          <w:tcPr>
            <w:tcW w:w="2966" w:type="dxa"/>
          </w:tcPr>
          <w:p w14:paraId="0BDFF5E8" w14:textId="16B7074D" w:rsidR="0037223A" w:rsidRPr="00A02B31" w:rsidRDefault="00DD43E2" w:rsidP="0037223A">
            <w:pPr>
              <w:jc w:val="right"/>
              <w:rPr>
                <w:rFonts w:cstheme="minorHAnsi"/>
                <w:sz w:val="20"/>
                <w:szCs w:val="20"/>
              </w:rPr>
            </w:pPr>
            <w:r w:rsidRPr="00A02B31">
              <w:rPr>
                <w:rFonts w:cstheme="minorHAnsi"/>
                <w:sz w:val="20"/>
                <w:szCs w:val="20"/>
              </w:rPr>
              <w:t>3,555</w:t>
            </w:r>
          </w:p>
        </w:tc>
        <w:tc>
          <w:tcPr>
            <w:tcW w:w="2693" w:type="dxa"/>
          </w:tcPr>
          <w:p w14:paraId="29E97589" w14:textId="5A4376C7" w:rsidR="0037223A" w:rsidRPr="00A02B31" w:rsidRDefault="00DD43E2" w:rsidP="0037223A">
            <w:pPr>
              <w:jc w:val="right"/>
              <w:rPr>
                <w:rFonts w:cstheme="minorHAnsi"/>
                <w:sz w:val="20"/>
                <w:szCs w:val="20"/>
              </w:rPr>
            </w:pPr>
            <w:r w:rsidRPr="00A02B31">
              <w:rPr>
                <w:rFonts w:cstheme="minorHAnsi"/>
                <w:sz w:val="20"/>
                <w:szCs w:val="20"/>
              </w:rPr>
              <w:t>5,830</w:t>
            </w:r>
          </w:p>
        </w:tc>
      </w:tr>
      <w:tr w:rsidR="0037223A" w:rsidRPr="008B2DDA" w14:paraId="63317846" w14:textId="77777777" w:rsidTr="004925BA">
        <w:trPr>
          <w:trHeight w:val="289"/>
        </w:trPr>
        <w:tc>
          <w:tcPr>
            <w:tcW w:w="2223" w:type="dxa"/>
          </w:tcPr>
          <w:p w14:paraId="4EBC54F0" w14:textId="3638C986" w:rsidR="0037223A" w:rsidRPr="00A02B31" w:rsidRDefault="0037223A" w:rsidP="00510167">
            <w:pPr>
              <w:jc w:val="both"/>
              <w:rPr>
                <w:rFonts w:cstheme="minorHAnsi"/>
                <w:b/>
                <w:sz w:val="20"/>
                <w:szCs w:val="20"/>
              </w:rPr>
            </w:pPr>
            <w:r w:rsidRPr="00A02B31">
              <w:rPr>
                <w:rFonts w:cstheme="minorHAnsi"/>
                <w:b/>
                <w:sz w:val="20"/>
                <w:szCs w:val="20"/>
              </w:rPr>
              <w:t xml:space="preserve">Graham Bird </w:t>
            </w:r>
          </w:p>
        </w:tc>
        <w:tc>
          <w:tcPr>
            <w:tcW w:w="1752" w:type="dxa"/>
          </w:tcPr>
          <w:p w14:paraId="2A135361" w14:textId="31A9DFD4" w:rsidR="0037223A" w:rsidRPr="00A02B31" w:rsidRDefault="00331F5B" w:rsidP="00962B04">
            <w:pPr>
              <w:jc w:val="right"/>
              <w:rPr>
                <w:rFonts w:cstheme="minorHAnsi"/>
                <w:sz w:val="20"/>
                <w:szCs w:val="20"/>
              </w:rPr>
            </w:pPr>
            <w:r w:rsidRPr="00A02B31">
              <w:rPr>
                <w:rFonts w:cstheme="minorHAnsi"/>
                <w:sz w:val="20"/>
                <w:szCs w:val="20"/>
              </w:rPr>
              <w:t>17,462</w:t>
            </w:r>
          </w:p>
        </w:tc>
        <w:tc>
          <w:tcPr>
            <w:tcW w:w="2966" w:type="dxa"/>
          </w:tcPr>
          <w:p w14:paraId="4272820F" w14:textId="0E37AA2B" w:rsidR="0037223A" w:rsidRPr="00A02B31" w:rsidRDefault="00331F5B" w:rsidP="00510167">
            <w:pPr>
              <w:jc w:val="right"/>
              <w:rPr>
                <w:rFonts w:cstheme="minorHAnsi"/>
                <w:sz w:val="20"/>
                <w:szCs w:val="20"/>
              </w:rPr>
            </w:pPr>
            <w:r w:rsidRPr="00A02B31">
              <w:rPr>
                <w:rFonts w:cstheme="minorHAnsi"/>
                <w:sz w:val="20"/>
                <w:szCs w:val="20"/>
              </w:rPr>
              <w:t>17,462</w:t>
            </w:r>
          </w:p>
        </w:tc>
        <w:tc>
          <w:tcPr>
            <w:tcW w:w="2693" w:type="dxa"/>
          </w:tcPr>
          <w:p w14:paraId="3DF460C7" w14:textId="270FABBC" w:rsidR="0037223A" w:rsidRPr="00A02B31" w:rsidRDefault="00331F5B" w:rsidP="00510167">
            <w:pPr>
              <w:jc w:val="right"/>
              <w:rPr>
                <w:rFonts w:cstheme="minorHAnsi"/>
                <w:sz w:val="20"/>
                <w:szCs w:val="20"/>
              </w:rPr>
            </w:pPr>
            <w:r w:rsidRPr="00A02B31">
              <w:rPr>
                <w:rFonts w:cstheme="minorHAnsi"/>
                <w:sz w:val="20"/>
                <w:szCs w:val="20"/>
              </w:rPr>
              <w:t>22,651</w:t>
            </w:r>
          </w:p>
        </w:tc>
      </w:tr>
      <w:tr w:rsidR="0037223A" w:rsidRPr="008B2DDA" w14:paraId="7C71C890" w14:textId="77777777" w:rsidTr="004925BA">
        <w:trPr>
          <w:trHeight w:val="289"/>
        </w:trPr>
        <w:tc>
          <w:tcPr>
            <w:tcW w:w="2223" w:type="dxa"/>
          </w:tcPr>
          <w:p w14:paraId="58718740" w14:textId="177324C2" w:rsidR="0037223A" w:rsidRPr="00A02B31" w:rsidRDefault="0037223A" w:rsidP="00510167">
            <w:pPr>
              <w:jc w:val="both"/>
              <w:rPr>
                <w:rFonts w:cstheme="minorHAnsi"/>
                <w:b/>
                <w:sz w:val="20"/>
                <w:szCs w:val="20"/>
              </w:rPr>
            </w:pPr>
            <w:r w:rsidRPr="00A02B31">
              <w:rPr>
                <w:rFonts w:cstheme="minorHAnsi"/>
                <w:b/>
                <w:sz w:val="20"/>
                <w:szCs w:val="20"/>
              </w:rPr>
              <w:t>Simon Pyper</w:t>
            </w:r>
          </w:p>
        </w:tc>
        <w:tc>
          <w:tcPr>
            <w:tcW w:w="1752" w:type="dxa"/>
          </w:tcPr>
          <w:p w14:paraId="165E7F3D" w14:textId="7313A97C" w:rsidR="0037223A" w:rsidRPr="00A02B31" w:rsidRDefault="00331F5B" w:rsidP="00962B04">
            <w:pPr>
              <w:jc w:val="right"/>
              <w:rPr>
                <w:rFonts w:cstheme="minorHAnsi"/>
                <w:sz w:val="20"/>
                <w:szCs w:val="20"/>
              </w:rPr>
            </w:pPr>
            <w:r w:rsidRPr="00A02B31">
              <w:rPr>
                <w:rFonts w:cstheme="minorHAnsi"/>
                <w:sz w:val="20"/>
                <w:szCs w:val="20"/>
              </w:rPr>
              <w:t>n/a</w:t>
            </w:r>
          </w:p>
        </w:tc>
        <w:tc>
          <w:tcPr>
            <w:tcW w:w="2966" w:type="dxa"/>
          </w:tcPr>
          <w:p w14:paraId="42440A99" w14:textId="258897A0" w:rsidR="0037223A" w:rsidRPr="00A02B31" w:rsidRDefault="00331F5B" w:rsidP="00510167">
            <w:pPr>
              <w:jc w:val="right"/>
              <w:rPr>
                <w:rFonts w:cstheme="minorHAnsi"/>
                <w:sz w:val="20"/>
                <w:szCs w:val="20"/>
              </w:rPr>
            </w:pPr>
            <w:r w:rsidRPr="00A02B31">
              <w:rPr>
                <w:rFonts w:cstheme="minorHAnsi"/>
                <w:sz w:val="20"/>
                <w:szCs w:val="20"/>
              </w:rPr>
              <w:t>0</w:t>
            </w:r>
          </w:p>
        </w:tc>
        <w:tc>
          <w:tcPr>
            <w:tcW w:w="2693" w:type="dxa"/>
          </w:tcPr>
          <w:p w14:paraId="47575557" w14:textId="635FDE84" w:rsidR="0037223A" w:rsidRPr="00A02B31" w:rsidRDefault="00331F5B" w:rsidP="00510167">
            <w:pPr>
              <w:jc w:val="right"/>
              <w:rPr>
                <w:rFonts w:cstheme="minorHAnsi"/>
                <w:sz w:val="20"/>
                <w:szCs w:val="20"/>
              </w:rPr>
            </w:pPr>
            <w:r w:rsidRPr="00A02B31">
              <w:rPr>
                <w:rFonts w:cstheme="minorHAnsi"/>
                <w:sz w:val="20"/>
                <w:szCs w:val="20"/>
              </w:rPr>
              <w:t>0</w:t>
            </w:r>
          </w:p>
        </w:tc>
      </w:tr>
      <w:tr w:rsidR="008234FA" w:rsidRPr="008B2DDA" w14:paraId="4ACFF541" w14:textId="77777777" w:rsidTr="004925BA">
        <w:trPr>
          <w:trHeight w:val="306"/>
        </w:trPr>
        <w:tc>
          <w:tcPr>
            <w:tcW w:w="2223" w:type="dxa"/>
          </w:tcPr>
          <w:p w14:paraId="76B9EF5A" w14:textId="5E9EF617" w:rsidR="008234FA" w:rsidRPr="00A02B31" w:rsidRDefault="008234FA" w:rsidP="006B1585">
            <w:pPr>
              <w:jc w:val="both"/>
              <w:rPr>
                <w:rFonts w:cstheme="minorHAnsi"/>
                <w:b/>
                <w:sz w:val="20"/>
                <w:szCs w:val="20"/>
              </w:rPr>
            </w:pPr>
            <w:r w:rsidRPr="00A02B31">
              <w:rPr>
                <w:rFonts w:cstheme="minorHAnsi"/>
                <w:b/>
                <w:sz w:val="20"/>
                <w:szCs w:val="20"/>
              </w:rPr>
              <w:t>David Potter</w:t>
            </w:r>
          </w:p>
        </w:tc>
        <w:tc>
          <w:tcPr>
            <w:tcW w:w="1752" w:type="dxa"/>
          </w:tcPr>
          <w:p w14:paraId="05D1E4A2" w14:textId="3FFB5961" w:rsidR="008234FA" w:rsidRPr="00A02B31" w:rsidRDefault="00331F5B" w:rsidP="006B1585">
            <w:pPr>
              <w:jc w:val="right"/>
              <w:rPr>
                <w:rFonts w:cstheme="minorHAnsi"/>
                <w:sz w:val="20"/>
                <w:szCs w:val="20"/>
              </w:rPr>
            </w:pPr>
            <w:r w:rsidRPr="00A02B31">
              <w:rPr>
                <w:rFonts w:cstheme="minorHAnsi"/>
                <w:sz w:val="20"/>
                <w:szCs w:val="20"/>
              </w:rPr>
              <w:t>n/a</w:t>
            </w:r>
          </w:p>
        </w:tc>
        <w:tc>
          <w:tcPr>
            <w:tcW w:w="2966" w:type="dxa"/>
          </w:tcPr>
          <w:p w14:paraId="193FC023" w14:textId="0F084E84" w:rsidR="008234FA" w:rsidRPr="00A02B31" w:rsidRDefault="008234FA" w:rsidP="008234FA">
            <w:pPr>
              <w:jc w:val="right"/>
              <w:rPr>
                <w:rFonts w:cstheme="minorHAnsi"/>
                <w:sz w:val="20"/>
                <w:szCs w:val="20"/>
              </w:rPr>
            </w:pPr>
            <w:r w:rsidRPr="00A02B31">
              <w:rPr>
                <w:rFonts w:cstheme="minorHAnsi"/>
                <w:sz w:val="20"/>
                <w:szCs w:val="20"/>
              </w:rPr>
              <w:t>29,483</w:t>
            </w:r>
          </w:p>
        </w:tc>
        <w:tc>
          <w:tcPr>
            <w:tcW w:w="2693" w:type="dxa"/>
          </w:tcPr>
          <w:p w14:paraId="2D193689" w14:textId="28A0BD06" w:rsidR="008234FA" w:rsidRPr="00A02B31" w:rsidRDefault="00DD43E2" w:rsidP="006B1585">
            <w:pPr>
              <w:jc w:val="right"/>
              <w:rPr>
                <w:rFonts w:cstheme="minorHAnsi"/>
                <w:sz w:val="20"/>
                <w:szCs w:val="20"/>
              </w:rPr>
            </w:pPr>
            <w:r w:rsidRPr="00A02B31">
              <w:rPr>
                <w:rFonts w:cstheme="minorHAnsi"/>
                <w:sz w:val="20"/>
                <w:szCs w:val="20"/>
              </w:rPr>
              <w:t>29,483</w:t>
            </w:r>
          </w:p>
        </w:tc>
      </w:tr>
      <w:tr w:rsidR="008234FA" w:rsidRPr="008B2DDA" w14:paraId="3CEEDFD3" w14:textId="77777777" w:rsidTr="004925BA">
        <w:trPr>
          <w:trHeight w:val="289"/>
        </w:trPr>
        <w:tc>
          <w:tcPr>
            <w:tcW w:w="2223" w:type="dxa"/>
          </w:tcPr>
          <w:p w14:paraId="2700A126" w14:textId="51BB1ECE" w:rsidR="008234FA" w:rsidRPr="00A02B31" w:rsidRDefault="008234FA" w:rsidP="00A55CCD">
            <w:pPr>
              <w:jc w:val="both"/>
              <w:rPr>
                <w:rFonts w:cstheme="minorHAnsi"/>
                <w:b/>
                <w:sz w:val="20"/>
                <w:szCs w:val="20"/>
              </w:rPr>
            </w:pPr>
            <w:r w:rsidRPr="00A02B31">
              <w:rPr>
                <w:rFonts w:cstheme="minorHAnsi"/>
                <w:b/>
                <w:sz w:val="20"/>
                <w:szCs w:val="20"/>
              </w:rPr>
              <w:t>Charles Berry</w:t>
            </w:r>
          </w:p>
        </w:tc>
        <w:tc>
          <w:tcPr>
            <w:tcW w:w="1752" w:type="dxa"/>
          </w:tcPr>
          <w:p w14:paraId="1876762C" w14:textId="39806067" w:rsidR="008234FA" w:rsidRPr="00A02B31" w:rsidRDefault="00331F5B" w:rsidP="00A55CCD">
            <w:pPr>
              <w:jc w:val="right"/>
              <w:rPr>
                <w:rFonts w:cstheme="minorHAnsi"/>
                <w:sz w:val="20"/>
                <w:szCs w:val="20"/>
              </w:rPr>
            </w:pPr>
            <w:r w:rsidRPr="00A02B31">
              <w:rPr>
                <w:rFonts w:cstheme="minorHAnsi"/>
                <w:sz w:val="20"/>
                <w:szCs w:val="20"/>
              </w:rPr>
              <w:t>n/a</w:t>
            </w:r>
          </w:p>
        </w:tc>
        <w:tc>
          <w:tcPr>
            <w:tcW w:w="2966" w:type="dxa"/>
          </w:tcPr>
          <w:p w14:paraId="3EAECF56" w14:textId="060C639B" w:rsidR="008234FA" w:rsidRPr="00A02B31" w:rsidRDefault="008234FA" w:rsidP="008234FA">
            <w:pPr>
              <w:jc w:val="right"/>
              <w:rPr>
                <w:rFonts w:cstheme="minorHAnsi"/>
                <w:sz w:val="20"/>
                <w:szCs w:val="20"/>
              </w:rPr>
            </w:pPr>
            <w:r w:rsidRPr="00A02B31">
              <w:rPr>
                <w:rFonts w:cstheme="minorHAnsi"/>
                <w:sz w:val="20"/>
                <w:szCs w:val="20"/>
              </w:rPr>
              <w:t>3,980</w:t>
            </w:r>
          </w:p>
        </w:tc>
        <w:tc>
          <w:tcPr>
            <w:tcW w:w="2693" w:type="dxa"/>
          </w:tcPr>
          <w:p w14:paraId="35B0AAC2" w14:textId="3DBAB497" w:rsidR="008234FA" w:rsidRPr="00A02B31" w:rsidRDefault="008234FA" w:rsidP="00A55CCD">
            <w:pPr>
              <w:jc w:val="right"/>
              <w:rPr>
                <w:rFonts w:cstheme="minorHAnsi"/>
                <w:sz w:val="20"/>
                <w:szCs w:val="20"/>
              </w:rPr>
            </w:pPr>
            <w:r w:rsidRPr="00A02B31">
              <w:rPr>
                <w:rFonts w:cstheme="minorHAnsi"/>
                <w:sz w:val="20"/>
                <w:szCs w:val="20"/>
              </w:rPr>
              <w:t>2,550</w:t>
            </w:r>
          </w:p>
        </w:tc>
      </w:tr>
      <w:tr w:rsidR="00331F5B" w:rsidRPr="008B2DDA" w14:paraId="4FD5C700" w14:textId="77777777" w:rsidTr="004925BA">
        <w:trPr>
          <w:trHeight w:val="289"/>
        </w:trPr>
        <w:tc>
          <w:tcPr>
            <w:tcW w:w="2223" w:type="dxa"/>
          </w:tcPr>
          <w:p w14:paraId="1E133400" w14:textId="080F3961" w:rsidR="00331F5B" w:rsidRPr="00A02B31" w:rsidRDefault="00331F5B" w:rsidP="00331F5B">
            <w:pPr>
              <w:jc w:val="both"/>
              <w:rPr>
                <w:rFonts w:cstheme="minorHAnsi"/>
                <w:b/>
                <w:sz w:val="20"/>
                <w:szCs w:val="20"/>
              </w:rPr>
            </w:pPr>
            <w:r w:rsidRPr="00A02B31">
              <w:rPr>
                <w:rFonts w:cstheme="minorHAnsi"/>
                <w:b/>
                <w:sz w:val="20"/>
                <w:szCs w:val="20"/>
              </w:rPr>
              <w:t>Helen Sinclair</w:t>
            </w:r>
          </w:p>
        </w:tc>
        <w:tc>
          <w:tcPr>
            <w:tcW w:w="1752" w:type="dxa"/>
          </w:tcPr>
          <w:p w14:paraId="3708DCF8" w14:textId="0CFF255D" w:rsidR="00331F5B" w:rsidRPr="00A02B31" w:rsidRDefault="00331F5B" w:rsidP="00331F5B">
            <w:pPr>
              <w:jc w:val="right"/>
              <w:rPr>
                <w:rFonts w:cstheme="minorHAnsi"/>
                <w:sz w:val="20"/>
                <w:szCs w:val="20"/>
              </w:rPr>
            </w:pPr>
            <w:r w:rsidRPr="00A02B31">
              <w:rPr>
                <w:rFonts w:cstheme="minorHAnsi"/>
                <w:sz w:val="20"/>
                <w:szCs w:val="20"/>
              </w:rPr>
              <w:t>n/a</w:t>
            </w:r>
          </w:p>
        </w:tc>
        <w:tc>
          <w:tcPr>
            <w:tcW w:w="2966" w:type="dxa"/>
          </w:tcPr>
          <w:p w14:paraId="39254573" w14:textId="1FBDDE04" w:rsidR="00331F5B" w:rsidRPr="00A02B31" w:rsidRDefault="00331F5B" w:rsidP="00331F5B">
            <w:pPr>
              <w:jc w:val="right"/>
              <w:rPr>
                <w:rFonts w:cstheme="minorHAnsi"/>
                <w:sz w:val="20"/>
                <w:szCs w:val="20"/>
              </w:rPr>
            </w:pPr>
            <w:r w:rsidRPr="00A02B31">
              <w:rPr>
                <w:rFonts w:cstheme="minorHAnsi"/>
                <w:sz w:val="20"/>
                <w:szCs w:val="20"/>
              </w:rPr>
              <w:t>2,277</w:t>
            </w:r>
          </w:p>
        </w:tc>
        <w:tc>
          <w:tcPr>
            <w:tcW w:w="2693" w:type="dxa"/>
          </w:tcPr>
          <w:p w14:paraId="17563812" w14:textId="33492160" w:rsidR="00331F5B" w:rsidRPr="00A02B31" w:rsidRDefault="00331F5B" w:rsidP="00331F5B">
            <w:pPr>
              <w:jc w:val="right"/>
              <w:rPr>
                <w:rFonts w:cstheme="minorHAnsi"/>
                <w:sz w:val="20"/>
                <w:szCs w:val="20"/>
              </w:rPr>
            </w:pPr>
            <w:r w:rsidRPr="00A02B31">
              <w:rPr>
                <w:rFonts w:cstheme="minorHAnsi"/>
                <w:sz w:val="20"/>
                <w:szCs w:val="20"/>
              </w:rPr>
              <w:t>2,277</w:t>
            </w:r>
          </w:p>
        </w:tc>
      </w:tr>
    </w:tbl>
    <w:p w14:paraId="39D191B2" w14:textId="27591DFF" w:rsidR="00C002BE" w:rsidRPr="00A02B31" w:rsidRDefault="00C002BE" w:rsidP="0003039A">
      <w:pPr>
        <w:jc w:val="both"/>
        <w:rPr>
          <w:rFonts w:cstheme="minorHAnsi"/>
          <w:sz w:val="20"/>
          <w:szCs w:val="20"/>
        </w:rPr>
      </w:pPr>
    </w:p>
    <w:p w14:paraId="75A82434" w14:textId="5D4A4F58" w:rsidR="00907BA9" w:rsidRPr="00A02B31" w:rsidRDefault="00907BA9">
      <w:pPr>
        <w:rPr>
          <w:rFonts w:cstheme="minorHAnsi"/>
          <w:b/>
          <w:sz w:val="20"/>
          <w:szCs w:val="20"/>
        </w:rPr>
      </w:pPr>
    </w:p>
    <w:p w14:paraId="7F39D5CB" w14:textId="77777777" w:rsidR="008B2DDA" w:rsidRDefault="008B2DDA" w:rsidP="002512A3">
      <w:pPr>
        <w:jc w:val="center"/>
        <w:rPr>
          <w:rFonts w:cstheme="minorHAnsi"/>
          <w:b/>
          <w:sz w:val="20"/>
          <w:szCs w:val="20"/>
        </w:rPr>
      </w:pPr>
    </w:p>
    <w:p w14:paraId="1B2030AD" w14:textId="77777777" w:rsidR="008B2DDA" w:rsidRDefault="008B2DDA" w:rsidP="002512A3">
      <w:pPr>
        <w:jc w:val="center"/>
        <w:rPr>
          <w:rFonts w:cstheme="minorHAnsi"/>
          <w:b/>
          <w:sz w:val="20"/>
          <w:szCs w:val="20"/>
        </w:rPr>
      </w:pPr>
    </w:p>
    <w:p w14:paraId="6864B622" w14:textId="77777777" w:rsidR="008B2DDA" w:rsidRDefault="008B2DDA" w:rsidP="002512A3">
      <w:pPr>
        <w:jc w:val="center"/>
        <w:rPr>
          <w:rFonts w:cstheme="minorHAnsi"/>
          <w:b/>
          <w:sz w:val="20"/>
          <w:szCs w:val="20"/>
        </w:rPr>
      </w:pPr>
    </w:p>
    <w:p w14:paraId="5389644F" w14:textId="77777777" w:rsidR="008B2DDA" w:rsidRDefault="008B2DDA" w:rsidP="002512A3">
      <w:pPr>
        <w:jc w:val="center"/>
        <w:rPr>
          <w:rFonts w:cstheme="minorHAnsi"/>
          <w:b/>
          <w:sz w:val="20"/>
          <w:szCs w:val="20"/>
        </w:rPr>
      </w:pPr>
    </w:p>
    <w:p w14:paraId="5F222058" w14:textId="77777777" w:rsidR="008B2DDA" w:rsidRDefault="008B2DDA" w:rsidP="002512A3">
      <w:pPr>
        <w:jc w:val="center"/>
        <w:rPr>
          <w:rFonts w:cstheme="minorHAnsi"/>
          <w:b/>
          <w:sz w:val="20"/>
          <w:szCs w:val="20"/>
        </w:rPr>
      </w:pPr>
    </w:p>
    <w:p w14:paraId="0C66E3E1" w14:textId="77777777" w:rsidR="008B2DDA" w:rsidRDefault="008B2DDA" w:rsidP="002512A3">
      <w:pPr>
        <w:jc w:val="center"/>
        <w:rPr>
          <w:rFonts w:cstheme="minorHAnsi"/>
          <w:b/>
          <w:sz w:val="20"/>
          <w:szCs w:val="20"/>
        </w:rPr>
      </w:pPr>
    </w:p>
    <w:p w14:paraId="4E81D9EC" w14:textId="2C0D118C" w:rsidR="000A1433" w:rsidRPr="00A02B31" w:rsidRDefault="000A1433" w:rsidP="002512A3">
      <w:pPr>
        <w:jc w:val="center"/>
        <w:rPr>
          <w:rFonts w:cstheme="minorHAnsi"/>
          <w:b/>
          <w:sz w:val="20"/>
          <w:szCs w:val="20"/>
        </w:rPr>
      </w:pPr>
      <w:r w:rsidRPr="00A02B31">
        <w:rPr>
          <w:rFonts w:cstheme="minorHAnsi"/>
          <w:b/>
          <w:sz w:val="20"/>
          <w:szCs w:val="20"/>
        </w:rPr>
        <w:lastRenderedPageBreak/>
        <w:t>DIRECTORS’ REPORT</w:t>
      </w:r>
    </w:p>
    <w:p w14:paraId="66921676" w14:textId="77777777" w:rsidR="000A1433" w:rsidRPr="00A02B31" w:rsidRDefault="000A1433" w:rsidP="000A1433">
      <w:pPr>
        <w:rPr>
          <w:rFonts w:cstheme="minorHAnsi"/>
          <w:sz w:val="20"/>
          <w:szCs w:val="20"/>
        </w:rPr>
      </w:pPr>
    </w:p>
    <w:p w14:paraId="0D74A402" w14:textId="77777777" w:rsidR="000A1433" w:rsidRPr="00A02B31" w:rsidRDefault="000A1433" w:rsidP="002512A3">
      <w:pPr>
        <w:jc w:val="both"/>
        <w:rPr>
          <w:rFonts w:cstheme="minorHAnsi"/>
          <w:sz w:val="20"/>
          <w:szCs w:val="20"/>
        </w:rPr>
      </w:pPr>
    </w:p>
    <w:p w14:paraId="4EC48CDC" w14:textId="77777777" w:rsidR="005452DB" w:rsidRPr="00A02B31" w:rsidRDefault="005452DB" w:rsidP="000A1433">
      <w:pPr>
        <w:tabs>
          <w:tab w:val="left" w:pos="920"/>
        </w:tabs>
        <w:rPr>
          <w:rFonts w:cstheme="minorHAnsi"/>
          <w:sz w:val="20"/>
          <w:szCs w:val="20"/>
        </w:rPr>
      </w:pPr>
    </w:p>
    <w:p w14:paraId="655CAD3C" w14:textId="22F83678" w:rsidR="000175F1" w:rsidRPr="00A02B31" w:rsidRDefault="000175F1" w:rsidP="000175F1">
      <w:pPr>
        <w:jc w:val="both"/>
        <w:rPr>
          <w:rFonts w:cstheme="minorHAnsi"/>
          <w:sz w:val="20"/>
          <w:szCs w:val="20"/>
        </w:rPr>
      </w:pPr>
      <w:r w:rsidRPr="00A02B31">
        <w:rPr>
          <w:rFonts w:cstheme="minorHAnsi"/>
          <w:sz w:val="20"/>
          <w:szCs w:val="20"/>
        </w:rPr>
        <w:t xml:space="preserve">The contents of the Strategic Report are spread between the Chairman’s Statement and Investment Manager’s Report. The </w:t>
      </w:r>
      <w:r w:rsidR="00E50F47" w:rsidRPr="00A02B31">
        <w:rPr>
          <w:rFonts w:cstheme="minorHAnsi"/>
          <w:sz w:val="20"/>
          <w:szCs w:val="20"/>
        </w:rPr>
        <w:t>d</w:t>
      </w:r>
      <w:r w:rsidRPr="00A02B31">
        <w:rPr>
          <w:rFonts w:cstheme="minorHAnsi"/>
          <w:sz w:val="20"/>
          <w:szCs w:val="20"/>
        </w:rPr>
        <w:t xml:space="preserve">irectors present their </w:t>
      </w:r>
      <w:r w:rsidR="009610FA" w:rsidRPr="00A02B31">
        <w:rPr>
          <w:rFonts w:cstheme="minorHAnsi"/>
          <w:sz w:val="20"/>
          <w:szCs w:val="20"/>
        </w:rPr>
        <w:t>A</w:t>
      </w:r>
      <w:r w:rsidRPr="00A02B31">
        <w:rPr>
          <w:rFonts w:cstheme="minorHAnsi"/>
          <w:sz w:val="20"/>
          <w:szCs w:val="20"/>
        </w:rPr>
        <w:t xml:space="preserve">nnual </w:t>
      </w:r>
      <w:r w:rsidR="009610FA" w:rsidRPr="00A02B31">
        <w:rPr>
          <w:rFonts w:cstheme="minorHAnsi"/>
          <w:sz w:val="20"/>
          <w:szCs w:val="20"/>
        </w:rPr>
        <w:t>R</w:t>
      </w:r>
      <w:r w:rsidRPr="00A02B31">
        <w:rPr>
          <w:rFonts w:cstheme="minorHAnsi"/>
          <w:sz w:val="20"/>
          <w:szCs w:val="20"/>
        </w:rPr>
        <w:t>eport and the audited financial statements for the year</w:t>
      </w:r>
      <w:r w:rsidR="004371D9" w:rsidRPr="00A02B31">
        <w:rPr>
          <w:rFonts w:cstheme="minorHAnsi"/>
          <w:sz w:val="20"/>
          <w:szCs w:val="20"/>
        </w:rPr>
        <w:t>-</w:t>
      </w:r>
      <w:r w:rsidR="008248DC" w:rsidRPr="00A02B31">
        <w:rPr>
          <w:rFonts w:cstheme="minorHAnsi"/>
          <w:sz w:val="20"/>
          <w:szCs w:val="20"/>
        </w:rPr>
        <w:t>ended 31 March 202</w:t>
      </w:r>
      <w:r w:rsidR="00331F5B" w:rsidRPr="00A02B31">
        <w:rPr>
          <w:rFonts w:cstheme="minorHAnsi"/>
          <w:sz w:val="20"/>
          <w:szCs w:val="20"/>
        </w:rPr>
        <w:t>2</w:t>
      </w:r>
      <w:r w:rsidRPr="00A02B31">
        <w:rPr>
          <w:rFonts w:cstheme="minorHAnsi"/>
          <w:sz w:val="20"/>
          <w:szCs w:val="20"/>
        </w:rPr>
        <w:t>.</w:t>
      </w:r>
    </w:p>
    <w:p w14:paraId="2F6EC46B" w14:textId="77777777" w:rsidR="00D9747D" w:rsidRPr="00A02B31" w:rsidRDefault="00D9747D" w:rsidP="00490B8C">
      <w:pPr>
        <w:autoSpaceDE w:val="0"/>
        <w:autoSpaceDN w:val="0"/>
        <w:adjustRightInd w:val="0"/>
        <w:rPr>
          <w:rFonts w:cstheme="minorHAnsi"/>
          <w:sz w:val="20"/>
          <w:szCs w:val="20"/>
        </w:rPr>
      </w:pPr>
    </w:p>
    <w:p w14:paraId="47720CBF" w14:textId="77777777" w:rsidR="00D9747D" w:rsidRPr="00A02B31" w:rsidRDefault="00D9747D" w:rsidP="00D9747D">
      <w:pPr>
        <w:jc w:val="both"/>
        <w:rPr>
          <w:rFonts w:cstheme="minorHAnsi"/>
          <w:b/>
          <w:sz w:val="20"/>
          <w:szCs w:val="20"/>
        </w:rPr>
      </w:pPr>
      <w:r w:rsidRPr="00A02B31">
        <w:rPr>
          <w:rFonts w:cstheme="minorHAnsi"/>
          <w:b/>
          <w:sz w:val="20"/>
          <w:szCs w:val="20"/>
        </w:rPr>
        <w:t>Activities</w:t>
      </w:r>
    </w:p>
    <w:p w14:paraId="7D5FC6FC" w14:textId="0853E08F" w:rsidR="00D9747D" w:rsidRPr="00A02B31" w:rsidRDefault="00331F5B" w:rsidP="00D9747D">
      <w:pPr>
        <w:jc w:val="both"/>
        <w:rPr>
          <w:rFonts w:cstheme="minorHAnsi"/>
          <w:sz w:val="20"/>
          <w:szCs w:val="20"/>
        </w:rPr>
      </w:pPr>
      <w:r w:rsidRPr="00A02B31">
        <w:rPr>
          <w:rFonts w:cstheme="minorHAnsi"/>
          <w:sz w:val="20"/>
          <w:szCs w:val="20"/>
        </w:rPr>
        <w:t>Rockwood</w:t>
      </w:r>
      <w:r w:rsidR="00D9747D" w:rsidRPr="00A02B31">
        <w:rPr>
          <w:rFonts w:cstheme="minorHAnsi"/>
          <w:sz w:val="20"/>
          <w:szCs w:val="20"/>
        </w:rPr>
        <w:t xml:space="preserve"> Strategic plc (the Company) </w:t>
      </w:r>
      <w:r w:rsidRPr="00A02B31">
        <w:rPr>
          <w:rFonts w:cstheme="minorHAnsi"/>
          <w:sz w:val="20"/>
          <w:szCs w:val="20"/>
        </w:rPr>
        <w:t>is an AIM-quoted investment company invested in a focused portfolio of smaller UK public companies. The strategy identifies undervalued shares, where the potential exists to improve returns and where the company is benefitting, or will benefit, from operational, strategic or management changes. These unlock, create or realise shareholder value for investors.</w:t>
      </w:r>
    </w:p>
    <w:p w14:paraId="5E61BC50" w14:textId="77777777" w:rsidR="00D9747D" w:rsidRPr="00A02B31" w:rsidRDefault="00D9747D" w:rsidP="00D9747D">
      <w:pPr>
        <w:jc w:val="both"/>
        <w:rPr>
          <w:rFonts w:cstheme="minorHAnsi"/>
          <w:sz w:val="20"/>
          <w:szCs w:val="20"/>
        </w:rPr>
      </w:pPr>
    </w:p>
    <w:p w14:paraId="6682322F" w14:textId="117652BF" w:rsidR="00D9747D" w:rsidRPr="00A02B31" w:rsidRDefault="00D9747D" w:rsidP="00D9747D">
      <w:pPr>
        <w:jc w:val="both"/>
        <w:rPr>
          <w:rFonts w:cstheme="minorHAnsi"/>
          <w:sz w:val="20"/>
          <w:szCs w:val="20"/>
        </w:rPr>
      </w:pPr>
      <w:r w:rsidRPr="00A02B31">
        <w:rPr>
          <w:rFonts w:cstheme="minorHAnsi"/>
          <w:noProof/>
          <w:sz w:val="20"/>
          <w:szCs w:val="20"/>
          <w:lang w:eastAsia="en-GB"/>
        </w:rPr>
        <mc:AlternateContent>
          <mc:Choice Requires="wpi">
            <w:drawing>
              <wp:anchor distT="0" distB="0" distL="114300" distR="114300" simplePos="0" relativeHeight="251704320" behindDoc="0" locked="0" layoutInCell="1" allowOverlap="1" wp14:anchorId="34C06591" wp14:editId="54053FF8">
                <wp:simplePos x="0" y="0"/>
                <wp:positionH relativeFrom="column">
                  <wp:posOffset>2874517</wp:posOffset>
                </wp:positionH>
                <wp:positionV relativeFrom="paragraph">
                  <wp:posOffset>115630</wp:posOffset>
                </wp:positionV>
                <wp:extent cx="23040" cy="10440"/>
                <wp:effectExtent l="38100" t="38100" r="53340" b="46990"/>
                <wp:wrapNone/>
                <wp:docPr id="3" name="Ink 3"/>
                <wp:cNvGraphicFramePr/>
                <a:graphic xmlns:a="http://schemas.openxmlformats.org/drawingml/2006/main">
                  <a:graphicData uri="http://schemas.microsoft.com/office/word/2010/wordprocessingInk">
                    <w14:contentPart bwMode="auto" r:id="rId17">
                      <w14:nvContentPartPr>
                        <w14:cNvContentPartPr/>
                      </w14:nvContentPartPr>
                      <w14:xfrm>
                        <a:off x="0" y="0"/>
                        <a:ext cx="23040" cy="10440"/>
                      </w14:xfrm>
                    </w14:contentPart>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C11E21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225.65pt;margin-top:8.35pt;width:3.2pt;height:2.25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">
                <v:imagedata r:id="rId25" o:title=""/>
              </v:shape>
            </w:pict>
          </mc:Fallback>
        </mc:AlternateContent>
      </w:r>
      <w:r w:rsidRPr="00A02B31">
        <w:rPr>
          <w:rFonts w:cstheme="minorHAnsi"/>
          <w:sz w:val="20"/>
          <w:szCs w:val="20"/>
        </w:rPr>
        <w:t xml:space="preserve">The Company has no employees but has a </w:t>
      </w:r>
      <w:r w:rsidR="00E50F47" w:rsidRPr="00A02B31">
        <w:rPr>
          <w:rFonts w:cstheme="minorHAnsi"/>
          <w:sz w:val="20"/>
          <w:szCs w:val="20"/>
        </w:rPr>
        <w:t>b</w:t>
      </w:r>
      <w:r w:rsidRPr="00A02B31">
        <w:rPr>
          <w:rFonts w:cstheme="minorHAnsi"/>
          <w:sz w:val="20"/>
          <w:szCs w:val="20"/>
        </w:rPr>
        <w:t xml:space="preserve">oard consisting of </w:t>
      </w:r>
      <w:r w:rsidR="00331F5B" w:rsidRPr="00A02B31">
        <w:rPr>
          <w:rFonts w:cstheme="minorHAnsi"/>
          <w:sz w:val="20"/>
          <w:szCs w:val="20"/>
        </w:rPr>
        <w:t>three</w:t>
      </w:r>
      <w:r w:rsidRPr="00A02B31">
        <w:rPr>
          <w:rFonts w:cstheme="minorHAnsi"/>
          <w:sz w:val="20"/>
          <w:szCs w:val="20"/>
        </w:rPr>
        <w:t xml:space="preserve"> </w:t>
      </w:r>
      <w:r w:rsidR="00E50F47" w:rsidRPr="00A02B31">
        <w:rPr>
          <w:rFonts w:cstheme="minorHAnsi"/>
          <w:sz w:val="20"/>
          <w:szCs w:val="20"/>
        </w:rPr>
        <w:t>n</w:t>
      </w:r>
      <w:r w:rsidRPr="00A02B31">
        <w:rPr>
          <w:rFonts w:cstheme="minorHAnsi"/>
          <w:sz w:val="20"/>
          <w:szCs w:val="20"/>
        </w:rPr>
        <w:t>on-</w:t>
      </w:r>
      <w:r w:rsidR="00E50F47" w:rsidRPr="00A02B31">
        <w:rPr>
          <w:rFonts w:cstheme="minorHAnsi"/>
          <w:sz w:val="20"/>
          <w:szCs w:val="20"/>
        </w:rPr>
        <w:t>e</w:t>
      </w:r>
      <w:r w:rsidRPr="00A02B31">
        <w:rPr>
          <w:rFonts w:cstheme="minorHAnsi"/>
          <w:sz w:val="20"/>
          <w:szCs w:val="20"/>
        </w:rPr>
        <w:t xml:space="preserve">xecutive </w:t>
      </w:r>
      <w:r w:rsidR="00E50F47" w:rsidRPr="00A02B31">
        <w:rPr>
          <w:rFonts w:cstheme="minorHAnsi"/>
          <w:sz w:val="20"/>
          <w:szCs w:val="20"/>
        </w:rPr>
        <w:t>d</w:t>
      </w:r>
      <w:r w:rsidRPr="00A02B31">
        <w:rPr>
          <w:rFonts w:cstheme="minorHAnsi"/>
          <w:sz w:val="20"/>
          <w:szCs w:val="20"/>
        </w:rPr>
        <w:t>irectors.</w:t>
      </w:r>
    </w:p>
    <w:p w14:paraId="645ACB2B" w14:textId="77777777" w:rsidR="00730B23" w:rsidRPr="00A02B31" w:rsidRDefault="00730B23" w:rsidP="00D9747D">
      <w:pPr>
        <w:rPr>
          <w:rFonts w:cstheme="minorHAnsi"/>
          <w:b/>
          <w:sz w:val="20"/>
          <w:szCs w:val="20"/>
        </w:rPr>
      </w:pPr>
    </w:p>
    <w:p w14:paraId="533BE0F0" w14:textId="77070BC0" w:rsidR="00490B8C" w:rsidRPr="00A02B31" w:rsidRDefault="00490B8C" w:rsidP="00D9747D">
      <w:pPr>
        <w:rPr>
          <w:rFonts w:cstheme="minorHAnsi"/>
          <w:b/>
          <w:sz w:val="20"/>
          <w:szCs w:val="20"/>
        </w:rPr>
      </w:pPr>
      <w:r w:rsidRPr="00A02B31">
        <w:rPr>
          <w:rFonts w:cstheme="minorHAnsi"/>
          <w:b/>
          <w:sz w:val="20"/>
          <w:szCs w:val="20"/>
        </w:rPr>
        <w:t>Directors</w:t>
      </w:r>
    </w:p>
    <w:p w14:paraId="3B314B7A" w14:textId="2A77F70F" w:rsidR="00490B8C" w:rsidRPr="00A02B31" w:rsidRDefault="00D9747D" w:rsidP="00D9747D">
      <w:pPr>
        <w:jc w:val="both"/>
        <w:rPr>
          <w:rFonts w:cstheme="minorHAnsi"/>
          <w:sz w:val="20"/>
          <w:szCs w:val="20"/>
        </w:rPr>
      </w:pPr>
      <w:r w:rsidRPr="00A02B31">
        <w:rPr>
          <w:rFonts w:cstheme="minorHAnsi"/>
          <w:sz w:val="20"/>
          <w:szCs w:val="20"/>
        </w:rPr>
        <w:t xml:space="preserve">The </w:t>
      </w:r>
      <w:r w:rsidR="00E50F47" w:rsidRPr="00A02B31">
        <w:rPr>
          <w:rFonts w:cstheme="minorHAnsi"/>
          <w:sz w:val="20"/>
          <w:szCs w:val="20"/>
        </w:rPr>
        <w:t>d</w:t>
      </w:r>
      <w:r w:rsidRPr="00A02B31">
        <w:rPr>
          <w:rFonts w:cstheme="minorHAnsi"/>
          <w:sz w:val="20"/>
          <w:szCs w:val="20"/>
        </w:rPr>
        <w:t xml:space="preserve">irectors in office at the date of this Annual Report are shown on page </w:t>
      </w:r>
      <w:r w:rsidR="00684052" w:rsidRPr="00A02B31">
        <w:rPr>
          <w:rFonts w:cstheme="minorHAnsi"/>
          <w:sz w:val="20"/>
          <w:szCs w:val="20"/>
        </w:rPr>
        <w:t>5</w:t>
      </w:r>
      <w:r w:rsidRPr="00A02B31">
        <w:rPr>
          <w:rFonts w:cstheme="minorHAnsi"/>
          <w:sz w:val="20"/>
          <w:szCs w:val="20"/>
        </w:rPr>
        <w:t>.</w:t>
      </w:r>
    </w:p>
    <w:p w14:paraId="6D295D8F" w14:textId="77777777" w:rsidR="00D9747D" w:rsidRPr="00A02B31" w:rsidRDefault="00D9747D" w:rsidP="00D9747D">
      <w:pPr>
        <w:rPr>
          <w:rFonts w:cstheme="minorHAnsi"/>
          <w:b/>
          <w:sz w:val="20"/>
          <w:szCs w:val="20"/>
        </w:rPr>
      </w:pPr>
    </w:p>
    <w:p w14:paraId="66F739C6" w14:textId="4F424840" w:rsidR="00490B8C" w:rsidRPr="00A02B31" w:rsidRDefault="00490B8C" w:rsidP="00D9747D">
      <w:pPr>
        <w:rPr>
          <w:rFonts w:cstheme="minorHAnsi"/>
          <w:b/>
          <w:sz w:val="20"/>
          <w:szCs w:val="20"/>
        </w:rPr>
      </w:pPr>
      <w:r w:rsidRPr="00A02B31">
        <w:rPr>
          <w:rFonts w:cstheme="minorHAnsi"/>
          <w:b/>
          <w:sz w:val="20"/>
          <w:szCs w:val="20"/>
        </w:rPr>
        <w:t xml:space="preserve">Substantial </w:t>
      </w:r>
      <w:r w:rsidR="001526C6" w:rsidRPr="00A02B31">
        <w:rPr>
          <w:rFonts w:cstheme="minorHAnsi"/>
          <w:b/>
          <w:sz w:val="20"/>
          <w:szCs w:val="20"/>
        </w:rPr>
        <w:t>s</w:t>
      </w:r>
      <w:r w:rsidRPr="00A02B31">
        <w:rPr>
          <w:rFonts w:cstheme="minorHAnsi"/>
          <w:b/>
          <w:sz w:val="20"/>
          <w:szCs w:val="20"/>
        </w:rPr>
        <w:t>hareholdings</w:t>
      </w:r>
    </w:p>
    <w:p w14:paraId="35704077" w14:textId="77777777" w:rsidR="00D9747D" w:rsidRPr="00A02B31" w:rsidRDefault="00D9747D" w:rsidP="00D9747D">
      <w:pPr>
        <w:jc w:val="both"/>
        <w:rPr>
          <w:rFonts w:cstheme="minorHAnsi"/>
          <w:sz w:val="20"/>
          <w:szCs w:val="20"/>
        </w:rPr>
      </w:pPr>
      <w:r w:rsidRPr="00A02B31">
        <w:rPr>
          <w:rFonts w:cstheme="minorHAnsi"/>
          <w:sz w:val="20"/>
          <w:szCs w:val="20"/>
        </w:rPr>
        <w:t>A</w:t>
      </w:r>
      <w:r w:rsidR="009A6F0B" w:rsidRPr="00A02B31">
        <w:rPr>
          <w:rFonts w:cstheme="minorHAnsi"/>
          <w:sz w:val="20"/>
          <w:szCs w:val="20"/>
        </w:rPr>
        <w:t>s a</w:t>
      </w:r>
      <w:r w:rsidRPr="00A02B31">
        <w:rPr>
          <w:rFonts w:cstheme="minorHAnsi"/>
          <w:sz w:val="20"/>
          <w:szCs w:val="20"/>
        </w:rPr>
        <w:t>t the date of this report</w:t>
      </w:r>
      <w:r w:rsidR="009A6F0B" w:rsidRPr="00A02B31">
        <w:rPr>
          <w:rFonts w:cstheme="minorHAnsi"/>
          <w:sz w:val="20"/>
          <w:szCs w:val="20"/>
        </w:rPr>
        <w:t>,</w:t>
      </w:r>
      <w:r w:rsidRPr="00A02B31">
        <w:rPr>
          <w:rFonts w:cstheme="minorHAnsi"/>
          <w:sz w:val="20"/>
          <w:szCs w:val="20"/>
        </w:rPr>
        <w:t xml:space="preserve"> the Company has been notified of the following substantial interests representing 3% or more of its total voting rights: </w:t>
      </w:r>
    </w:p>
    <w:p w14:paraId="2E65DF69" w14:textId="77777777" w:rsidR="00D9747D" w:rsidRPr="00A02B31" w:rsidRDefault="00D9747D" w:rsidP="00D9747D">
      <w:pPr>
        <w:jc w:val="both"/>
        <w:rPr>
          <w:rFonts w:cstheme="minorHAnsi"/>
          <w:sz w:val="20"/>
          <w:szCs w:val="20"/>
        </w:rPr>
      </w:pPr>
    </w:p>
    <w:p w14:paraId="1538923E" w14:textId="77777777" w:rsidR="009A6F0B" w:rsidRPr="00A02B31" w:rsidRDefault="009A6F0B" w:rsidP="009A6F0B">
      <w:pPr>
        <w:shd w:val="clear" w:color="auto" w:fill="FFFFFF"/>
        <w:spacing w:line="345" w:lineRule="atLeast"/>
        <w:rPr>
          <w:rFonts w:eastAsia="Times New Roman" w:cstheme="minorHAnsi"/>
          <w:vanish/>
          <w:color w:val="646569"/>
          <w:sz w:val="20"/>
          <w:szCs w:val="20"/>
          <w:lang w:eastAsia="en-GB"/>
        </w:rPr>
      </w:pPr>
      <w:r w:rsidRPr="00A02B31">
        <w:rPr>
          <w:rFonts w:eastAsia="Times New Roman" w:cstheme="minorHAnsi"/>
          <w:vanish/>
          <w:color w:val="646569"/>
          <w:sz w:val="20"/>
          <w:szCs w:val="20"/>
          <w:lang w:eastAsia="en-GB"/>
        </w:rPr>
        <w:t>Processing...</w:t>
      </w:r>
    </w:p>
    <w:tbl>
      <w:tblPr>
        <w:tblW w:w="4275" w:type="pct"/>
        <w:tblInd w:w="652" w:type="dxa"/>
        <w:tblCellMar>
          <w:top w:w="15" w:type="dxa"/>
          <w:left w:w="15" w:type="dxa"/>
          <w:bottom w:w="15" w:type="dxa"/>
          <w:right w:w="15" w:type="dxa"/>
        </w:tblCellMar>
        <w:tblLook w:val="04A0" w:firstRow="1" w:lastRow="0" w:firstColumn="1" w:lastColumn="0" w:noHBand="0" w:noVBand="1"/>
      </w:tblPr>
      <w:tblGrid>
        <w:gridCol w:w="4672"/>
        <w:gridCol w:w="3556"/>
      </w:tblGrid>
      <w:tr w:rsidR="00331F5B" w:rsidRPr="008B2DDA" w14:paraId="220AE13A" w14:textId="77777777" w:rsidTr="009D1381">
        <w:trPr>
          <w:trHeight w:val="381"/>
        </w:trPr>
        <w:tc>
          <w:tcPr>
            <w:tcW w:w="0" w:type="auto"/>
            <w:tcBorders>
              <w:top w:val="single" w:sz="6" w:space="0" w:color="909090"/>
              <w:left w:val="single" w:sz="6" w:space="0" w:color="909090"/>
              <w:bottom w:val="single" w:sz="6" w:space="0" w:color="909090"/>
              <w:right w:val="single" w:sz="6" w:space="0" w:color="909090"/>
            </w:tcBorders>
            <w:shd w:val="clear" w:color="auto" w:fill="auto"/>
            <w:tcMar>
              <w:top w:w="75" w:type="dxa"/>
              <w:left w:w="150" w:type="dxa"/>
              <w:bottom w:w="75" w:type="dxa"/>
              <w:right w:w="150" w:type="dxa"/>
            </w:tcMar>
            <w:vAlign w:val="center"/>
            <w:hideMark/>
          </w:tcPr>
          <w:p w14:paraId="364F18DC" w14:textId="77777777" w:rsidR="00331F5B" w:rsidRPr="00A02B31" w:rsidRDefault="00331F5B" w:rsidP="009A6F0B">
            <w:pPr>
              <w:spacing w:after="240" w:line="345" w:lineRule="atLeast"/>
              <w:jc w:val="center"/>
              <w:rPr>
                <w:rFonts w:eastAsia="Times New Roman" w:cstheme="minorHAnsi"/>
                <w:b/>
                <w:sz w:val="20"/>
                <w:szCs w:val="20"/>
                <w:lang w:eastAsia="en-GB"/>
              </w:rPr>
            </w:pPr>
            <w:r w:rsidRPr="00A02B31">
              <w:rPr>
                <w:rFonts w:eastAsia="Times New Roman" w:cstheme="minorHAnsi"/>
                <w:b/>
                <w:sz w:val="20"/>
                <w:szCs w:val="20"/>
                <w:lang w:eastAsia="en-GB"/>
              </w:rPr>
              <w:t>Shareholder</w:t>
            </w:r>
          </w:p>
        </w:tc>
        <w:tc>
          <w:tcPr>
            <w:tcW w:w="2161" w:type="pct"/>
            <w:tcBorders>
              <w:top w:val="single" w:sz="6" w:space="0" w:color="909090"/>
              <w:left w:val="single" w:sz="6" w:space="0" w:color="909090"/>
              <w:bottom w:val="single" w:sz="6" w:space="0" w:color="909090"/>
              <w:right w:val="single" w:sz="6" w:space="0" w:color="909090"/>
            </w:tcBorders>
            <w:shd w:val="clear" w:color="auto" w:fill="auto"/>
            <w:tcMar>
              <w:top w:w="75" w:type="dxa"/>
              <w:left w:w="150" w:type="dxa"/>
              <w:bottom w:w="75" w:type="dxa"/>
              <w:right w:w="150" w:type="dxa"/>
            </w:tcMar>
            <w:vAlign w:val="center"/>
            <w:hideMark/>
          </w:tcPr>
          <w:p w14:paraId="36ACE646" w14:textId="77777777" w:rsidR="00331F5B" w:rsidRPr="00A02B31" w:rsidRDefault="00331F5B" w:rsidP="009A6F0B">
            <w:pPr>
              <w:spacing w:after="240" w:line="345" w:lineRule="atLeast"/>
              <w:jc w:val="center"/>
              <w:rPr>
                <w:rFonts w:eastAsia="Times New Roman" w:cstheme="minorHAnsi"/>
                <w:b/>
                <w:sz w:val="20"/>
                <w:szCs w:val="20"/>
                <w:lang w:eastAsia="en-GB"/>
              </w:rPr>
            </w:pPr>
            <w:r w:rsidRPr="00A02B31">
              <w:rPr>
                <w:rFonts w:eastAsia="Times New Roman" w:cstheme="minorHAnsi"/>
                <w:b/>
                <w:sz w:val="20"/>
                <w:szCs w:val="20"/>
                <w:lang w:eastAsia="en-GB"/>
              </w:rPr>
              <w:t>% of total voting rights</w:t>
            </w:r>
          </w:p>
        </w:tc>
      </w:tr>
      <w:tr w:rsidR="00331F5B" w:rsidRPr="008B2DDA" w14:paraId="2AAAD11B" w14:textId="77777777" w:rsidTr="009D1381">
        <w:trPr>
          <w:trHeight w:val="244"/>
        </w:trPr>
        <w:tc>
          <w:tcPr>
            <w:tcW w:w="0" w:type="auto"/>
            <w:tcBorders>
              <w:top w:val="single" w:sz="6" w:space="0" w:color="909090"/>
              <w:left w:val="single" w:sz="6" w:space="0" w:color="909090"/>
              <w:bottom w:val="single" w:sz="6" w:space="0" w:color="909090"/>
              <w:right w:val="single" w:sz="6" w:space="0" w:color="909090"/>
            </w:tcBorders>
            <w:shd w:val="clear" w:color="auto" w:fill="auto"/>
            <w:tcMar>
              <w:top w:w="75" w:type="dxa"/>
              <w:left w:w="150" w:type="dxa"/>
              <w:bottom w:w="75" w:type="dxa"/>
              <w:right w:w="150" w:type="dxa"/>
            </w:tcMar>
            <w:vAlign w:val="center"/>
            <w:hideMark/>
          </w:tcPr>
          <w:p w14:paraId="166F20BA" w14:textId="5D35D418" w:rsidR="00331F5B" w:rsidRPr="00A02B31" w:rsidRDefault="00331F5B" w:rsidP="009A6F0B">
            <w:pPr>
              <w:spacing w:after="240" w:line="345" w:lineRule="atLeast"/>
              <w:rPr>
                <w:rFonts w:eastAsia="Times New Roman" w:cstheme="minorHAnsi"/>
                <w:sz w:val="20"/>
                <w:szCs w:val="20"/>
                <w:lang w:eastAsia="en-GB"/>
              </w:rPr>
            </w:pPr>
            <w:r w:rsidRPr="00A02B31">
              <w:rPr>
                <w:rFonts w:eastAsia="Times New Roman" w:cstheme="minorHAnsi"/>
                <w:sz w:val="20"/>
                <w:szCs w:val="20"/>
                <w:lang w:eastAsia="en-GB"/>
              </w:rPr>
              <w:t>Harwood Capital</w:t>
            </w:r>
          </w:p>
        </w:tc>
        <w:tc>
          <w:tcPr>
            <w:tcW w:w="2161" w:type="pct"/>
            <w:tcBorders>
              <w:top w:val="single" w:sz="6" w:space="0" w:color="909090"/>
              <w:left w:val="single" w:sz="6" w:space="0" w:color="909090"/>
              <w:bottom w:val="single" w:sz="6" w:space="0" w:color="909090"/>
              <w:right w:val="single" w:sz="6" w:space="0" w:color="909090"/>
            </w:tcBorders>
            <w:shd w:val="clear" w:color="auto" w:fill="auto"/>
            <w:tcMar>
              <w:top w:w="75" w:type="dxa"/>
              <w:left w:w="150" w:type="dxa"/>
              <w:bottom w:w="75" w:type="dxa"/>
              <w:right w:w="150" w:type="dxa"/>
            </w:tcMar>
            <w:vAlign w:val="center"/>
            <w:hideMark/>
          </w:tcPr>
          <w:p w14:paraId="0547B301" w14:textId="794523D3" w:rsidR="00331F5B" w:rsidRPr="00A02B31" w:rsidRDefault="00331F5B" w:rsidP="00F55F31">
            <w:pPr>
              <w:spacing w:after="240" w:line="345" w:lineRule="atLeast"/>
              <w:jc w:val="center"/>
              <w:rPr>
                <w:rFonts w:eastAsia="Times New Roman" w:cstheme="minorHAnsi"/>
                <w:sz w:val="20"/>
                <w:szCs w:val="20"/>
                <w:lang w:eastAsia="en-GB"/>
              </w:rPr>
            </w:pPr>
            <w:r w:rsidRPr="00A02B31">
              <w:rPr>
                <w:rFonts w:eastAsia="Times New Roman" w:cstheme="minorHAnsi"/>
                <w:sz w:val="20"/>
                <w:szCs w:val="20"/>
                <w:lang w:eastAsia="en-GB"/>
              </w:rPr>
              <w:t>28.9%</w:t>
            </w:r>
          </w:p>
        </w:tc>
      </w:tr>
      <w:tr w:rsidR="00331F5B" w:rsidRPr="008B2DDA" w14:paraId="59DE138D" w14:textId="77777777" w:rsidTr="009D1381">
        <w:trPr>
          <w:trHeight w:val="244"/>
        </w:trPr>
        <w:tc>
          <w:tcPr>
            <w:tcW w:w="0" w:type="auto"/>
            <w:tcBorders>
              <w:top w:val="single" w:sz="6" w:space="0" w:color="909090"/>
              <w:left w:val="single" w:sz="6" w:space="0" w:color="909090"/>
              <w:bottom w:val="single" w:sz="6" w:space="0" w:color="909090"/>
              <w:right w:val="single" w:sz="6" w:space="0" w:color="909090"/>
            </w:tcBorders>
            <w:shd w:val="clear" w:color="auto" w:fill="auto"/>
            <w:tcMar>
              <w:top w:w="75" w:type="dxa"/>
              <w:left w:w="150" w:type="dxa"/>
              <w:bottom w:w="75" w:type="dxa"/>
              <w:right w:w="150" w:type="dxa"/>
            </w:tcMar>
            <w:vAlign w:val="center"/>
          </w:tcPr>
          <w:p w14:paraId="398C6635" w14:textId="6C7C5B8C" w:rsidR="00331F5B" w:rsidRPr="00A02B31" w:rsidRDefault="00331F5B" w:rsidP="00B17D94">
            <w:pPr>
              <w:spacing w:after="240" w:line="345" w:lineRule="atLeast"/>
              <w:rPr>
                <w:rFonts w:eastAsia="Times New Roman" w:cstheme="minorHAnsi"/>
                <w:sz w:val="20"/>
                <w:szCs w:val="20"/>
                <w:lang w:eastAsia="en-GB"/>
              </w:rPr>
            </w:pPr>
            <w:r w:rsidRPr="00A02B31">
              <w:rPr>
                <w:rFonts w:eastAsia="Times New Roman" w:cstheme="minorHAnsi"/>
                <w:sz w:val="20"/>
                <w:szCs w:val="20"/>
                <w:lang w:eastAsia="en-GB"/>
              </w:rPr>
              <w:t>James Sharp &amp; Co</w:t>
            </w:r>
          </w:p>
        </w:tc>
        <w:tc>
          <w:tcPr>
            <w:tcW w:w="2161" w:type="pct"/>
            <w:tcBorders>
              <w:top w:val="single" w:sz="6" w:space="0" w:color="909090"/>
              <w:left w:val="single" w:sz="6" w:space="0" w:color="909090"/>
              <w:bottom w:val="single" w:sz="6" w:space="0" w:color="909090"/>
              <w:right w:val="single" w:sz="6" w:space="0" w:color="909090"/>
            </w:tcBorders>
            <w:shd w:val="clear" w:color="auto" w:fill="auto"/>
            <w:tcMar>
              <w:top w:w="75" w:type="dxa"/>
              <w:left w:w="150" w:type="dxa"/>
              <w:bottom w:w="75" w:type="dxa"/>
              <w:right w:w="150" w:type="dxa"/>
            </w:tcMar>
            <w:vAlign w:val="center"/>
          </w:tcPr>
          <w:p w14:paraId="751FA3DC" w14:textId="79D0FA79" w:rsidR="00331F5B" w:rsidRPr="00A02B31" w:rsidRDefault="00331F5B" w:rsidP="00331F5B">
            <w:pPr>
              <w:spacing w:after="240" w:line="345" w:lineRule="atLeast"/>
              <w:jc w:val="center"/>
              <w:rPr>
                <w:rFonts w:eastAsia="Times New Roman" w:cstheme="minorHAnsi"/>
                <w:sz w:val="20"/>
                <w:szCs w:val="20"/>
                <w:lang w:eastAsia="en-GB"/>
              </w:rPr>
            </w:pPr>
            <w:r w:rsidRPr="00A02B31">
              <w:rPr>
                <w:rFonts w:eastAsia="Times New Roman" w:cstheme="minorHAnsi"/>
                <w:sz w:val="20"/>
                <w:szCs w:val="20"/>
                <w:lang w:eastAsia="en-GB"/>
              </w:rPr>
              <w:t>7.2%</w:t>
            </w:r>
          </w:p>
        </w:tc>
      </w:tr>
      <w:tr w:rsidR="00331F5B" w:rsidRPr="008B2DDA" w14:paraId="655B14AA" w14:textId="77777777" w:rsidTr="009D1381">
        <w:trPr>
          <w:trHeight w:val="388"/>
        </w:trPr>
        <w:tc>
          <w:tcPr>
            <w:tcW w:w="0" w:type="auto"/>
            <w:tcBorders>
              <w:top w:val="single" w:sz="6" w:space="0" w:color="909090"/>
              <w:left w:val="single" w:sz="6" w:space="0" w:color="909090"/>
              <w:bottom w:val="single" w:sz="6" w:space="0" w:color="909090"/>
              <w:right w:val="single" w:sz="6" w:space="0" w:color="909090"/>
            </w:tcBorders>
            <w:shd w:val="clear" w:color="auto" w:fill="auto"/>
            <w:tcMar>
              <w:top w:w="75" w:type="dxa"/>
              <w:left w:w="150" w:type="dxa"/>
              <w:bottom w:w="75" w:type="dxa"/>
              <w:right w:w="150" w:type="dxa"/>
            </w:tcMar>
            <w:vAlign w:val="center"/>
            <w:hideMark/>
          </w:tcPr>
          <w:p w14:paraId="78DE0503" w14:textId="77777777" w:rsidR="00331F5B" w:rsidRPr="00A02B31" w:rsidRDefault="00331F5B" w:rsidP="00D36293">
            <w:pPr>
              <w:spacing w:after="240" w:line="345" w:lineRule="atLeast"/>
              <w:rPr>
                <w:rFonts w:eastAsia="Times New Roman" w:cstheme="minorHAnsi"/>
                <w:sz w:val="20"/>
                <w:szCs w:val="20"/>
                <w:lang w:eastAsia="en-GB"/>
              </w:rPr>
            </w:pPr>
            <w:r w:rsidRPr="00A02B31">
              <w:rPr>
                <w:rFonts w:eastAsia="Times New Roman" w:cstheme="minorHAnsi"/>
                <w:sz w:val="20"/>
                <w:szCs w:val="20"/>
                <w:lang w:eastAsia="en-GB"/>
              </w:rPr>
              <w:t>Unicorn Asset Management</w:t>
            </w:r>
          </w:p>
        </w:tc>
        <w:tc>
          <w:tcPr>
            <w:tcW w:w="2161" w:type="pct"/>
            <w:tcBorders>
              <w:top w:val="single" w:sz="6" w:space="0" w:color="909090"/>
              <w:left w:val="single" w:sz="6" w:space="0" w:color="909090"/>
              <w:bottom w:val="single" w:sz="6" w:space="0" w:color="909090"/>
              <w:right w:val="single" w:sz="6" w:space="0" w:color="909090"/>
            </w:tcBorders>
            <w:shd w:val="clear" w:color="auto" w:fill="auto"/>
            <w:tcMar>
              <w:top w:w="75" w:type="dxa"/>
              <w:left w:w="150" w:type="dxa"/>
              <w:bottom w:w="75" w:type="dxa"/>
              <w:right w:w="150" w:type="dxa"/>
            </w:tcMar>
            <w:vAlign w:val="center"/>
            <w:hideMark/>
          </w:tcPr>
          <w:p w14:paraId="75FC266D" w14:textId="08201A21" w:rsidR="00331F5B" w:rsidRPr="00A02B31" w:rsidRDefault="007C17BB" w:rsidP="00D36293">
            <w:pPr>
              <w:spacing w:after="240" w:line="345" w:lineRule="atLeast"/>
              <w:jc w:val="center"/>
              <w:rPr>
                <w:rFonts w:eastAsia="Times New Roman" w:cstheme="minorHAnsi"/>
                <w:sz w:val="20"/>
                <w:szCs w:val="20"/>
                <w:lang w:eastAsia="en-GB"/>
              </w:rPr>
            </w:pPr>
            <w:r w:rsidRPr="00A02B31">
              <w:rPr>
                <w:rFonts w:eastAsia="Times New Roman" w:cstheme="minorHAnsi"/>
                <w:sz w:val="20"/>
                <w:szCs w:val="20"/>
                <w:lang w:eastAsia="en-GB"/>
              </w:rPr>
              <w:t>5</w:t>
            </w:r>
            <w:r w:rsidR="00331F5B" w:rsidRPr="00A02B31">
              <w:rPr>
                <w:rFonts w:eastAsia="Times New Roman" w:cstheme="minorHAnsi"/>
                <w:sz w:val="20"/>
                <w:szCs w:val="20"/>
                <w:lang w:eastAsia="en-GB"/>
              </w:rPr>
              <w:t>.</w:t>
            </w:r>
            <w:r w:rsidRPr="00A02B31">
              <w:rPr>
                <w:rFonts w:eastAsia="Times New Roman" w:cstheme="minorHAnsi"/>
                <w:sz w:val="20"/>
                <w:szCs w:val="20"/>
                <w:lang w:eastAsia="en-GB"/>
              </w:rPr>
              <w:t>4</w:t>
            </w:r>
            <w:r w:rsidR="00331F5B" w:rsidRPr="00A02B31">
              <w:rPr>
                <w:rFonts w:eastAsia="Times New Roman" w:cstheme="minorHAnsi"/>
                <w:sz w:val="20"/>
                <w:szCs w:val="20"/>
                <w:lang w:eastAsia="en-GB"/>
              </w:rPr>
              <w:t>%</w:t>
            </w:r>
          </w:p>
        </w:tc>
      </w:tr>
      <w:tr w:rsidR="00331F5B" w:rsidRPr="008B2DDA" w14:paraId="3949415D" w14:textId="77777777" w:rsidTr="009D1381">
        <w:trPr>
          <w:trHeight w:val="388"/>
        </w:trPr>
        <w:tc>
          <w:tcPr>
            <w:tcW w:w="0" w:type="auto"/>
            <w:tcBorders>
              <w:top w:val="single" w:sz="6" w:space="0" w:color="909090"/>
              <w:left w:val="single" w:sz="6" w:space="0" w:color="909090"/>
              <w:bottom w:val="single" w:sz="6" w:space="0" w:color="909090"/>
              <w:right w:val="single" w:sz="6" w:space="0" w:color="909090"/>
            </w:tcBorders>
            <w:shd w:val="clear" w:color="auto" w:fill="auto"/>
            <w:tcMar>
              <w:top w:w="75" w:type="dxa"/>
              <w:left w:w="150" w:type="dxa"/>
              <w:bottom w:w="75" w:type="dxa"/>
              <w:right w:w="150" w:type="dxa"/>
            </w:tcMar>
            <w:vAlign w:val="center"/>
          </w:tcPr>
          <w:p w14:paraId="256030E2" w14:textId="52970D7F" w:rsidR="00331F5B" w:rsidRPr="00A02B31" w:rsidRDefault="007C17BB" w:rsidP="00793E7C">
            <w:pPr>
              <w:spacing w:after="240" w:line="345" w:lineRule="atLeast"/>
              <w:rPr>
                <w:rFonts w:eastAsia="Times New Roman" w:cstheme="minorHAnsi"/>
                <w:sz w:val="20"/>
                <w:szCs w:val="20"/>
                <w:lang w:eastAsia="en-GB"/>
              </w:rPr>
            </w:pPr>
            <w:r w:rsidRPr="00A02B31">
              <w:rPr>
                <w:rFonts w:eastAsia="Times New Roman" w:cstheme="minorHAnsi"/>
                <w:sz w:val="20"/>
                <w:szCs w:val="20"/>
                <w:lang w:eastAsia="en-GB"/>
              </w:rPr>
              <w:t>River &amp; Mercantile Asset Management</w:t>
            </w:r>
          </w:p>
        </w:tc>
        <w:tc>
          <w:tcPr>
            <w:tcW w:w="2161" w:type="pct"/>
            <w:tcBorders>
              <w:top w:val="single" w:sz="6" w:space="0" w:color="909090"/>
              <w:left w:val="single" w:sz="6" w:space="0" w:color="909090"/>
              <w:bottom w:val="single" w:sz="6" w:space="0" w:color="909090"/>
              <w:right w:val="single" w:sz="6" w:space="0" w:color="909090"/>
            </w:tcBorders>
            <w:shd w:val="clear" w:color="auto" w:fill="auto"/>
            <w:tcMar>
              <w:top w:w="75" w:type="dxa"/>
              <w:left w:w="150" w:type="dxa"/>
              <w:bottom w:w="75" w:type="dxa"/>
              <w:right w:w="150" w:type="dxa"/>
            </w:tcMar>
            <w:vAlign w:val="center"/>
          </w:tcPr>
          <w:p w14:paraId="13803A4C" w14:textId="07EDB31B" w:rsidR="00331F5B" w:rsidRPr="00A02B31" w:rsidRDefault="007C17BB" w:rsidP="00793E7C">
            <w:pPr>
              <w:spacing w:after="240" w:line="345" w:lineRule="atLeast"/>
              <w:jc w:val="center"/>
              <w:rPr>
                <w:rFonts w:eastAsia="Times New Roman" w:cstheme="minorHAnsi"/>
                <w:sz w:val="20"/>
                <w:szCs w:val="20"/>
                <w:lang w:eastAsia="en-GB"/>
              </w:rPr>
            </w:pPr>
            <w:r w:rsidRPr="00A02B31">
              <w:rPr>
                <w:rFonts w:eastAsia="Times New Roman" w:cstheme="minorHAnsi"/>
                <w:sz w:val="20"/>
                <w:szCs w:val="20"/>
                <w:lang w:eastAsia="en-GB"/>
              </w:rPr>
              <w:t>4.9%</w:t>
            </w:r>
          </w:p>
        </w:tc>
      </w:tr>
      <w:tr w:rsidR="00331F5B" w:rsidRPr="008B2DDA" w14:paraId="54560027" w14:textId="77777777" w:rsidTr="009D1381">
        <w:trPr>
          <w:trHeight w:val="627"/>
        </w:trPr>
        <w:tc>
          <w:tcPr>
            <w:tcW w:w="0" w:type="auto"/>
            <w:tcBorders>
              <w:top w:val="single" w:sz="6" w:space="0" w:color="909090"/>
              <w:left w:val="single" w:sz="6" w:space="0" w:color="909090"/>
              <w:bottom w:val="single" w:sz="6" w:space="0" w:color="909090"/>
              <w:right w:val="single" w:sz="6" w:space="0" w:color="909090"/>
            </w:tcBorders>
            <w:shd w:val="clear" w:color="auto" w:fill="auto"/>
            <w:tcMar>
              <w:top w:w="75" w:type="dxa"/>
              <w:left w:w="150" w:type="dxa"/>
              <w:bottom w:w="75" w:type="dxa"/>
              <w:right w:w="150" w:type="dxa"/>
            </w:tcMar>
            <w:vAlign w:val="center"/>
            <w:hideMark/>
          </w:tcPr>
          <w:p w14:paraId="4E346775" w14:textId="77777777" w:rsidR="00331F5B" w:rsidRPr="00A02B31" w:rsidRDefault="00331F5B" w:rsidP="009A6F0B">
            <w:pPr>
              <w:spacing w:after="240" w:line="345" w:lineRule="atLeast"/>
              <w:rPr>
                <w:rFonts w:eastAsia="Times New Roman" w:cstheme="minorHAnsi"/>
                <w:sz w:val="20"/>
                <w:szCs w:val="20"/>
                <w:lang w:eastAsia="en-GB"/>
              </w:rPr>
            </w:pPr>
            <w:r w:rsidRPr="00A02B31">
              <w:rPr>
                <w:rFonts w:eastAsia="Times New Roman" w:cstheme="minorHAnsi"/>
                <w:sz w:val="20"/>
                <w:szCs w:val="20"/>
                <w:lang w:eastAsia="en-GB"/>
              </w:rPr>
              <w:t>Smith &amp; Williamson Investment Management</w:t>
            </w:r>
          </w:p>
        </w:tc>
        <w:tc>
          <w:tcPr>
            <w:tcW w:w="2161" w:type="pct"/>
            <w:tcBorders>
              <w:top w:val="single" w:sz="6" w:space="0" w:color="909090"/>
              <w:left w:val="single" w:sz="6" w:space="0" w:color="909090"/>
              <w:bottom w:val="single" w:sz="6" w:space="0" w:color="909090"/>
              <w:right w:val="single" w:sz="6" w:space="0" w:color="909090"/>
            </w:tcBorders>
            <w:shd w:val="clear" w:color="auto" w:fill="auto"/>
            <w:tcMar>
              <w:top w:w="75" w:type="dxa"/>
              <w:left w:w="150" w:type="dxa"/>
              <w:bottom w:w="75" w:type="dxa"/>
              <w:right w:w="150" w:type="dxa"/>
            </w:tcMar>
            <w:vAlign w:val="center"/>
            <w:hideMark/>
          </w:tcPr>
          <w:p w14:paraId="66EE0580" w14:textId="31E4FDF5" w:rsidR="00331F5B" w:rsidRPr="00A02B31" w:rsidRDefault="007C17BB" w:rsidP="00F55F31">
            <w:pPr>
              <w:spacing w:after="240" w:line="345" w:lineRule="atLeast"/>
              <w:jc w:val="center"/>
              <w:rPr>
                <w:rFonts w:eastAsia="Times New Roman" w:cstheme="minorHAnsi"/>
                <w:sz w:val="20"/>
                <w:szCs w:val="20"/>
                <w:lang w:eastAsia="en-GB"/>
              </w:rPr>
            </w:pPr>
            <w:r w:rsidRPr="00A02B31">
              <w:rPr>
                <w:rFonts w:eastAsia="Times New Roman" w:cstheme="minorHAnsi"/>
                <w:sz w:val="20"/>
                <w:szCs w:val="20"/>
                <w:lang w:eastAsia="en-GB"/>
              </w:rPr>
              <w:t>4.3%</w:t>
            </w:r>
          </w:p>
        </w:tc>
      </w:tr>
      <w:tr w:rsidR="007C17BB" w:rsidRPr="008B2DDA" w14:paraId="649DDFF6" w14:textId="77777777" w:rsidTr="00331F5B">
        <w:trPr>
          <w:trHeight w:val="627"/>
        </w:trPr>
        <w:tc>
          <w:tcPr>
            <w:tcW w:w="0" w:type="auto"/>
            <w:tcBorders>
              <w:top w:val="single" w:sz="6" w:space="0" w:color="909090"/>
              <w:left w:val="single" w:sz="6" w:space="0" w:color="909090"/>
              <w:bottom w:val="single" w:sz="6" w:space="0" w:color="909090"/>
              <w:right w:val="single" w:sz="6" w:space="0" w:color="909090"/>
            </w:tcBorders>
            <w:shd w:val="clear" w:color="auto" w:fill="auto"/>
            <w:tcMar>
              <w:top w:w="75" w:type="dxa"/>
              <w:left w:w="150" w:type="dxa"/>
              <w:bottom w:w="75" w:type="dxa"/>
              <w:right w:w="150" w:type="dxa"/>
            </w:tcMar>
            <w:vAlign w:val="center"/>
          </w:tcPr>
          <w:p w14:paraId="39DF8B27" w14:textId="67D1BDF6" w:rsidR="007C17BB" w:rsidRPr="00A02B31" w:rsidRDefault="007C17BB" w:rsidP="007C17BB">
            <w:pPr>
              <w:spacing w:after="240" w:line="345" w:lineRule="atLeast"/>
              <w:rPr>
                <w:rFonts w:eastAsia="Times New Roman" w:cstheme="minorHAnsi"/>
                <w:sz w:val="20"/>
                <w:szCs w:val="20"/>
                <w:lang w:eastAsia="en-GB"/>
              </w:rPr>
            </w:pPr>
            <w:r w:rsidRPr="00A02B31">
              <w:rPr>
                <w:rFonts w:eastAsia="Times New Roman" w:cstheme="minorHAnsi"/>
                <w:sz w:val="20"/>
                <w:szCs w:val="20"/>
                <w:lang w:eastAsia="en-GB"/>
              </w:rPr>
              <w:t xml:space="preserve">Investec Wealth &amp; Investment </w:t>
            </w:r>
          </w:p>
        </w:tc>
        <w:tc>
          <w:tcPr>
            <w:tcW w:w="2161" w:type="pct"/>
            <w:tcBorders>
              <w:top w:val="single" w:sz="6" w:space="0" w:color="909090"/>
              <w:left w:val="single" w:sz="6" w:space="0" w:color="909090"/>
              <w:bottom w:val="single" w:sz="6" w:space="0" w:color="909090"/>
              <w:right w:val="single" w:sz="6" w:space="0" w:color="909090"/>
            </w:tcBorders>
            <w:shd w:val="clear" w:color="auto" w:fill="auto"/>
            <w:tcMar>
              <w:top w:w="75" w:type="dxa"/>
              <w:left w:w="150" w:type="dxa"/>
              <w:bottom w:w="75" w:type="dxa"/>
              <w:right w:w="150" w:type="dxa"/>
            </w:tcMar>
            <w:vAlign w:val="center"/>
          </w:tcPr>
          <w:p w14:paraId="4FEA2518" w14:textId="33DCDC05" w:rsidR="007C17BB" w:rsidRPr="00A02B31" w:rsidRDefault="007C17BB" w:rsidP="007C17BB">
            <w:pPr>
              <w:spacing w:after="240" w:line="345" w:lineRule="atLeast"/>
              <w:jc w:val="center"/>
              <w:rPr>
                <w:rFonts w:eastAsia="Times New Roman" w:cstheme="minorHAnsi"/>
                <w:sz w:val="20"/>
                <w:szCs w:val="20"/>
                <w:lang w:eastAsia="en-GB"/>
              </w:rPr>
            </w:pPr>
            <w:r w:rsidRPr="00A02B31">
              <w:rPr>
                <w:rFonts w:eastAsia="Times New Roman" w:cstheme="minorHAnsi"/>
                <w:sz w:val="20"/>
                <w:szCs w:val="20"/>
                <w:lang w:eastAsia="en-GB"/>
              </w:rPr>
              <w:t>3.9%</w:t>
            </w:r>
          </w:p>
        </w:tc>
      </w:tr>
      <w:tr w:rsidR="007C17BB" w:rsidRPr="008B2DDA" w14:paraId="16653E4A" w14:textId="77777777" w:rsidTr="00331F5B">
        <w:trPr>
          <w:trHeight w:val="627"/>
        </w:trPr>
        <w:tc>
          <w:tcPr>
            <w:tcW w:w="0" w:type="auto"/>
            <w:tcBorders>
              <w:top w:val="single" w:sz="6" w:space="0" w:color="909090"/>
              <w:left w:val="single" w:sz="6" w:space="0" w:color="909090"/>
              <w:bottom w:val="single" w:sz="6" w:space="0" w:color="909090"/>
              <w:right w:val="single" w:sz="6" w:space="0" w:color="909090"/>
            </w:tcBorders>
            <w:shd w:val="clear" w:color="auto" w:fill="auto"/>
            <w:tcMar>
              <w:top w:w="75" w:type="dxa"/>
              <w:left w:w="150" w:type="dxa"/>
              <w:bottom w:w="75" w:type="dxa"/>
              <w:right w:w="150" w:type="dxa"/>
            </w:tcMar>
            <w:vAlign w:val="center"/>
          </w:tcPr>
          <w:p w14:paraId="4BFCEB9D" w14:textId="39664D2A" w:rsidR="007C17BB" w:rsidRPr="00A02B31" w:rsidRDefault="007C17BB" w:rsidP="007C17BB">
            <w:pPr>
              <w:spacing w:after="240" w:line="345" w:lineRule="atLeast"/>
              <w:rPr>
                <w:rFonts w:eastAsia="Times New Roman" w:cstheme="minorHAnsi"/>
                <w:sz w:val="20"/>
                <w:szCs w:val="20"/>
                <w:lang w:eastAsia="en-GB"/>
              </w:rPr>
            </w:pPr>
            <w:r w:rsidRPr="00A02B31">
              <w:rPr>
                <w:rFonts w:eastAsia="Times New Roman" w:cstheme="minorHAnsi"/>
                <w:sz w:val="20"/>
                <w:szCs w:val="20"/>
                <w:lang w:eastAsia="en-GB"/>
              </w:rPr>
              <w:t>Local Pension Partnership</w:t>
            </w:r>
          </w:p>
        </w:tc>
        <w:tc>
          <w:tcPr>
            <w:tcW w:w="2161" w:type="pct"/>
            <w:tcBorders>
              <w:top w:val="single" w:sz="6" w:space="0" w:color="909090"/>
              <w:left w:val="single" w:sz="6" w:space="0" w:color="909090"/>
              <w:bottom w:val="single" w:sz="6" w:space="0" w:color="909090"/>
              <w:right w:val="single" w:sz="6" w:space="0" w:color="909090"/>
            </w:tcBorders>
            <w:shd w:val="clear" w:color="auto" w:fill="auto"/>
            <w:tcMar>
              <w:top w:w="75" w:type="dxa"/>
              <w:left w:w="150" w:type="dxa"/>
              <w:bottom w:w="75" w:type="dxa"/>
              <w:right w:w="150" w:type="dxa"/>
            </w:tcMar>
            <w:vAlign w:val="center"/>
          </w:tcPr>
          <w:p w14:paraId="40E7C45F" w14:textId="58D48831" w:rsidR="007C17BB" w:rsidRPr="00A02B31" w:rsidRDefault="007C17BB" w:rsidP="007C17BB">
            <w:pPr>
              <w:spacing w:after="240" w:line="345" w:lineRule="atLeast"/>
              <w:jc w:val="center"/>
              <w:rPr>
                <w:rFonts w:eastAsia="Times New Roman" w:cstheme="minorHAnsi"/>
                <w:sz w:val="20"/>
                <w:szCs w:val="20"/>
                <w:lang w:eastAsia="en-GB"/>
              </w:rPr>
            </w:pPr>
            <w:r w:rsidRPr="00A02B31">
              <w:rPr>
                <w:rFonts w:eastAsia="Times New Roman" w:cstheme="minorHAnsi"/>
                <w:sz w:val="20"/>
                <w:szCs w:val="20"/>
                <w:lang w:eastAsia="en-GB"/>
              </w:rPr>
              <w:t>2.5%</w:t>
            </w:r>
          </w:p>
        </w:tc>
      </w:tr>
      <w:tr w:rsidR="007C17BB" w:rsidRPr="008B2DDA" w14:paraId="1400B777" w14:textId="77777777" w:rsidTr="009D1381">
        <w:trPr>
          <w:trHeight w:val="388"/>
        </w:trPr>
        <w:tc>
          <w:tcPr>
            <w:tcW w:w="0" w:type="auto"/>
            <w:tcBorders>
              <w:top w:val="single" w:sz="6" w:space="0" w:color="909090"/>
              <w:left w:val="single" w:sz="6" w:space="0" w:color="909090"/>
              <w:bottom w:val="single" w:sz="6" w:space="0" w:color="909090"/>
              <w:right w:val="single" w:sz="6" w:space="0" w:color="909090"/>
            </w:tcBorders>
            <w:shd w:val="clear" w:color="auto" w:fill="auto"/>
            <w:tcMar>
              <w:top w:w="75" w:type="dxa"/>
              <w:left w:w="150" w:type="dxa"/>
              <w:bottom w:w="75" w:type="dxa"/>
              <w:right w:w="150" w:type="dxa"/>
            </w:tcMar>
            <w:vAlign w:val="center"/>
            <w:hideMark/>
          </w:tcPr>
          <w:p w14:paraId="3FC7812D" w14:textId="089E12DD" w:rsidR="007C17BB" w:rsidRPr="00A02B31" w:rsidRDefault="007C17BB" w:rsidP="007C17BB">
            <w:pPr>
              <w:spacing w:after="240" w:line="345" w:lineRule="atLeast"/>
              <w:rPr>
                <w:rFonts w:eastAsia="Times New Roman" w:cstheme="minorHAnsi"/>
                <w:sz w:val="20"/>
                <w:szCs w:val="20"/>
                <w:lang w:eastAsia="en-GB"/>
              </w:rPr>
            </w:pPr>
            <w:r w:rsidRPr="00A02B31">
              <w:rPr>
                <w:rFonts w:eastAsia="Times New Roman" w:cstheme="minorHAnsi"/>
                <w:sz w:val="20"/>
                <w:szCs w:val="20"/>
                <w:lang w:eastAsia="en-GB"/>
              </w:rPr>
              <w:t>Premier Miton Investors</w:t>
            </w:r>
          </w:p>
        </w:tc>
        <w:tc>
          <w:tcPr>
            <w:tcW w:w="2161" w:type="pct"/>
            <w:tcBorders>
              <w:top w:val="single" w:sz="6" w:space="0" w:color="909090"/>
              <w:left w:val="single" w:sz="6" w:space="0" w:color="909090"/>
              <w:bottom w:val="single" w:sz="6" w:space="0" w:color="909090"/>
              <w:right w:val="single" w:sz="6" w:space="0" w:color="909090"/>
            </w:tcBorders>
            <w:shd w:val="clear" w:color="auto" w:fill="auto"/>
            <w:tcMar>
              <w:top w:w="75" w:type="dxa"/>
              <w:left w:w="150" w:type="dxa"/>
              <w:bottom w:w="75" w:type="dxa"/>
              <w:right w:w="150" w:type="dxa"/>
            </w:tcMar>
            <w:vAlign w:val="center"/>
            <w:hideMark/>
          </w:tcPr>
          <w:p w14:paraId="74985BA5" w14:textId="38EF73C6" w:rsidR="007C17BB" w:rsidRPr="00A02B31" w:rsidRDefault="007C17BB" w:rsidP="007C17BB">
            <w:pPr>
              <w:spacing w:after="240" w:line="345" w:lineRule="atLeast"/>
              <w:jc w:val="center"/>
              <w:rPr>
                <w:rFonts w:eastAsia="Times New Roman" w:cstheme="minorHAnsi"/>
                <w:sz w:val="20"/>
                <w:szCs w:val="20"/>
                <w:lang w:eastAsia="en-GB"/>
              </w:rPr>
            </w:pPr>
            <w:r w:rsidRPr="00A02B31">
              <w:rPr>
                <w:rFonts w:eastAsia="Times New Roman" w:cstheme="minorHAnsi"/>
                <w:sz w:val="20"/>
                <w:szCs w:val="20"/>
                <w:lang w:eastAsia="en-GB"/>
              </w:rPr>
              <w:t>2.5%</w:t>
            </w:r>
          </w:p>
        </w:tc>
      </w:tr>
    </w:tbl>
    <w:p w14:paraId="36DB557D" w14:textId="77777777" w:rsidR="009A6F0B" w:rsidRPr="00A02B31" w:rsidRDefault="009A6F0B" w:rsidP="00D9747D">
      <w:pPr>
        <w:rPr>
          <w:rFonts w:cstheme="minorHAnsi"/>
          <w:sz w:val="20"/>
          <w:szCs w:val="20"/>
        </w:rPr>
      </w:pPr>
    </w:p>
    <w:p w14:paraId="11761D7C" w14:textId="72C0E921" w:rsidR="009A6F0B" w:rsidRPr="00A02B31" w:rsidRDefault="009A6F0B" w:rsidP="00D9747D">
      <w:pPr>
        <w:rPr>
          <w:rFonts w:cstheme="minorHAnsi"/>
          <w:b/>
          <w:sz w:val="20"/>
          <w:szCs w:val="20"/>
        </w:rPr>
      </w:pPr>
    </w:p>
    <w:p w14:paraId="7B55D724" w14:textId="0D9FC07E" w:rsidR="00490B8C" w:rsidRPr="00A02B31" w:rsidRDefault="00490B8C" w:rsidP="00D9747D">
      <w:pPr>
        <w:rPr>
          <w:rFonts w:cstheme="minorHAnsi"/>
          <w:b/>
          <w:sz w:val="20"/>
          <w:szCs w:val="20"/>
        </w:rPr>
      </w:pPr>
      <w:r w:rsidRPr="00A02B31">
        <w:rPr>
          <w:rFonts w:cstheme="minorHAnsi"/>
          <w:b/>
          <w:sz w:val="20"/>
          <w:szCs w:val="20"/>
        </w:rPr>
        <w:t>Dividends</w:t>
      </w:r>
    </w:p>
    <w:p w14:paraId="272B69A7" w14:textId="6AF47AE8" w:rsidR="00490B8C" w:rsidRDefault="00490B8C" w:rsidP="00061146">
      <w:pPr>
        <w:shd w:val="clear" w:color="auto" w:fill="FFFFFF"/>
        <w:spacing w:before="120"/>
        <w:jc w:val="both"/>
        <w:rPr>
          <w:rFonts w:cstheme="minorHAnsi"/>
          <w:sz w:val="20"/>
          <w:szCs w:val="20"/>
        </w:rPr>
      </w:pPr>
      <w:r w:rsidRPr="00A02B31">
        <w:rPr>
          <w:rFonts w:cstheme="minorHAnsi"/>
          <w:sz w:val="20"/>
          <w:szCs w:val="20"/>
        </w:rPr>
        <w:t xml:space="preserve">The Directors have </w:t>
      </w:r>
      <w:r w:rsidR="00E109EC" w:rsidRPr="00A02B31">
        <w:rPr>
          <w:rFonts w:cstheme="minorHAnsi"/>
          <w:sz w:val="20"/>
          <w:szCs w:val="20"/>
        </w:rPr>
        <w:t xml:space="preserve">not </w:t>
      </w:r>
      <w:r w:rsidRPr="00A02B31">
        <w:rPr>
          <w:rFonts w:cstheme="minorHAnsi"/>
          <w:sz w:val="20"/>
          <w:szCs w:val="20"/>
        </w:rPr>
        <w:t>recommended the payment of a final dividend in respect of the year</w:t>
      </w:r>
      <w:r w:rsidR="004371D9" w:rsidRPr="00A02B31">
        <w:rPr>
          <w:rFonts w:cstheme="minorHAnsi"/>
          <w:sz w:val="20"/>
          <w:szCs w:val="20"/>
        </w:rPr>
        <w:t>-</w:t>
      </w:r>
      <w:r w:rsidR="004961D1" w:rsidRPr="00A02B31">
        <w:rPr>
          <w:rFonts w:cstheme="minorHAnsi"/>
          <w:sz w:val="20"/>
          <w:szCs w:val="20"/>
        </w:rPr>
        <w:t>ended 31 March 202</w:t>
      </w:r>
      <w:r w:rsidR="00E109EC" w:rsidRPr="00A02B31">
        <w:rPr>
          <w:rFonts w:cstheme="minorHAnsi"/>
          <w:sz w:val="20"/>
          <w:szCs w:val="20"/>
        </w:rPr>
        <w:t>2. During the year shareholders received a significant return of capital through the B share scheme.</w:t>
      </w:r>
      <w:r w:rsidR="00E109EC" w:rsidRPr="00A02B31" w:rsidDel="00E109EC">
        <w:rPr>
          <w:rFonts w:cstheme="minorHAnsi"/>
          <w:sz w:val="20"/>
          <w:szCs w:val="20"/>
        </w:rPr>
        <w:t xml:space="preserve"> </w:t>
      </w:r>
    </w:p>
    <w:p w14:paraId="401C0EFE" w14:textId="05F86CC2" w:rsidR="008B2DDA" w:rsidRDefault="008B2DDA" w:rsidP="00061146">
      <w:pPr>
        <w:shd w:val="clear" w:color="auto" w:fill="FFFFFF"/>
        <w:spacing w:before="120"/>
        <w:jc w:val="both"/>
        <w:rPr>
          <w:rFonts w:cstheme="minorHAnsi"/>
          <w:sz w:val="20"/>
          <w:szCs w:val="20"/>
        </w:rPr>
      </w:pPr>
    </w:p>
    <w:p w14:paraId="267108FF" w14:textId="77777777" w:rsidR="008B2DDA" w:rsidRPr="00A02B31" w:rsidRDefault="008B2DDA" w:rsidP="00061146">
      <w:pPr>
        <w:shd w:val="clear" w:color="auto" w:fill="FFFFFF"/>
        <w:spacing w:before="120"/>
        <w:jc w:val="both"/>
        <w:rPr>
          <w:rFonts w:cstheme="minorHAnsi"/>
          <w:color w:val="212121"/>
          <w:sz w:val="20"/>
          <w:szCs w:val="20"/>
        </w:rPr>
      </w:pPr>
    </w:p>
    <w:p w14:paraId="478102F6" w14:textId="77777777" w:rsidR="00D9747D" w:rsidRPr="00A02B31" w:rsidRDefault="00D9747D" w:rsidP="009D1381">
      <w:pPr>
        <w:shd w:val="clear" w:color="auto" w:fill="FFFFFF"/>
        <w:spacing w:before="120"/>
        <w:jc w:val="both"/>
        <w:rPr>
          <w:rFonts w:cstheme="minorHAnsi"/>
          <w:b/>
          <w:sz w:val="20"/>
          <w:szCs w:val="20"/>
        </w:rPr>
      </w:pPr>
    </w:p>
    <w:p w14:paraId="3B5B624C" w14:textId="69768A48" w:rsidR="00490B8C" w:rsidRPr="00A02B31" w:rsidRDefault="00490B8C" w:rsidP="00D9747D">
      <w:pPr>
        <w:rPr>
          <w:rFonts w:cstheme="minorHAnsi"/>
          <w:b/>
          <w:sz w:val="20"/>
          <w:szCs w:val="20"/>
        </w:rPr>
      </w:pPr>
      <w:r w:rsidRPr="00A02B31">
        <w:rPr>
          <w:rFonts w:cstheme="minorHAnsi"/>
          <w:b/>
          <w:sz w:val="20"/>
          <w:szCs w:val="20"/>
        </w:rPr>
        <w:lastRenderedPageBreak/>
        <w:t xml:space="preserve">Financial </w:t>
      </w:r>
      <w:r w:rsidR="001526C6" w:rsidRPr="00A02B31">
        <w:rPr>
          <w:rFonts w:cstheme="minorHAnsi"/>
          <w:b/>
          <w:sz w:val="20"/>
          <w:szCs w:val="20"/>
        </w:rPr>
        <w:t>r</w:t>
      </w:r>
      <w:r w:rsidRPr="00A02B31">
        <w:rPr>
          <w:rFonts w:cstheme="minorHAnsi"/>
          <w:b/>
          <w:sz w:val="20"/>
          <w:szCs w:val="20"/>
        </w:rPr>
        <w:t xml:space="preserve">isk </w:t>
      </w:r>
      <w:r w:rsidR="001526C6" w:rsidRPr="00A02B31">
        <w:rPr>
          <w:rFonts w:cstheme="minorHAnsi"/>
          <w:b/>
          <w:sz w:val="20"/>
          <w:szCs w:val="20"/>
        </w:rPr>
        <w:t>m</w:t>
      </w:r>
      <w:r w:rsidRPr="00A02B31">
        <w:rPr>
          <w:rFonts w:cstheme="minorHAnsi"/>
          <w:b/>
          <w:sz w:val="20"/>
          <w:szCs w:val="20"/>
        </w:rPr>
        <w:t>anagement</w:t>
      </w:r>
    </w:p>
    <w:p w14:paraId="3BD6C9AA" w14:textId="6045D858" w:rsidR="00A62D47" w:rsidRPr="00A02B31" w:rsidRDefault="00A62D47" w:rsidP="0003741A">
      <w:pPr>
        <w:jc w:val="both"/>
        <w:rPr>
          <w:rFonts w:cstheme="minorHAnsi"/>
          <w:sz w:val="20"/>
          <w:szCs w:val="20"/>
        </w:rPr>
      </w:pPr>
      <w:r w:rsidRPr="00A02B31">
        <w:rPr>
          <w:rFonts w:cstheme="minorHAnsi"/>
          <w:sz w:val="20"/>
          <w:szCs w:val="20"/>
        </w:rPr>
        <w:t xml:space="preserve">The principal risks and uncertainties regarding the Company’s future financial performance </w:t>
      </w:r>
      <w:r w:rsidR="0003741A" w:rsidRPr="00A02B31">
        <w:rPr>
          <w:rFonts w:cstheme="minorHAnsi"/>
          <w:sz w:val="20"/>
          <w:szCs w:val="20"/>
        </w:rPr>
        <w:t xml:space="preserve">are set out in note </w:t>
      </w:r>
      <w:r w:rsidR="00684052" w:rsidRPr="00A02B31">
        <w:rPr>
          <w:rFonts w:cstheme="minorHAnsi"/>
          <w:sz w:val="20"/>
          <w:szCs w:val="20"/>
        </w:rPr>
        <w:t xml:space="preserve">13 </w:t>
      </w:r>
      <w:r w:rsidR="0003741A" w:rsidRPr="00A02B31">
        <w:rPr>
          <w:rFonts w:cstheme="minorHAnsi"/>
          <w:sz w:val="20"/>
          <w:szCs w:val="20"/>
        </w:rPr>
        <w:t>of the financial statements. T</w:t>
      </w:r>
      <w:r w:rsidRPr="00A02B31">
        <w:rPr>
          <w:rFonts w:cstheme="minorHAnsi"/>
          <w:sz w:val="20"/>
          <w:szCs w:val="20"/>
        </w:rPr>
        <w:t xml:space="preserve">he </w:t>
      </w:r>
      <w:r w:rsidR="00E50F47" w:rsidRPr="00A02B31">
        <w:rPr>
          <w:rFonts w:cstheme="minorHAnsi"/>
          <w:sz w:val="20"/>
          <w:szCs w:val="20"/>
        </w:rPr>
        <w:t>d</w:t>
      </w:r>
      <w:r w:rsidRPr="00A02B31">
        <w:rPr>
          <w:rFonts w:cstheme="minorHAnsi"/>
          <w:sz w:val="20"/>
          <w:szCs w:val="20"/>
        </w:rPr>
        <w:t>irectors do not consider that the Company faces any significant credit risk, liquidity risk or cash flow risk.</w:t>
      </w:r>
    </w:p>
    <w:p w14:paraId="3A03403F" w14:textId="4A34FE14" w:rsidR="005452DB" w:rsidRPr="00A02B31" w:rsidRDefault="005452DB" w:rsidP="000A1433">
      <w:pPr>
        <w:tabs>
          <w:tab w:val="left" w:pos="920"/>
        </w:tabs>
        <w:rPr>
          <w:rFonts w:cstheme="minorHAnsi"/>
          <w:sz w:val="20"/>
          <w:szCs w:val="20"/>
        </w:rPr>
      </w:pPr>
    </w:p>
    <w:p w14:paraId="6E0412F7" w14:textId="30ECA196" w:rsidR="002A79E3" w:rsidRPr="00A02B31" w:rsidRDefault="002A79E3" w:rsidP="000A1433">
      <w:pPr>
        <w:tabs>
          <w:tab w:val="left" w:pos="920"/>
        </w:tabs>
        <w:rPr>
          <w:rFonts w:cstheme="minorHAnsi"/>
          <w:b/>
          <w:sz w:val="20"/>
          <w:szCs w:val="20"/>
        </w:rPr>
      </w:pPr>
      <w:r w:rsidRPr="00A02B31">
        <w:rPr>
          <w:rFonts w:cstheme="minorHAnsi"/>
          <w:b/>
          <w:sz w:val="20"/>
          <w:szCs w:val="20"/>
        </w:rPr>
        <w:t xml:space="preserve">Going Concern </w:t>
      </w:r>
    </w:p>
    <w:p w14:paraId="78E04886" w14:textId="423DBDA2" w:rsidR="008521A1" w:rsidRPr="00A02B31" w:rsidRDefault="008521A1" w:rsidP="008521A1">
      <w:pPr>
        <w:jc w:val="both"/>
        <w:rPr>
          <w:rFonts w:cstheme="minorHAnsi"/>
          <w:sz w:val="20"/>
          <w:szCs w:val="20"/>
        </w:rPr>
      </w:pPr>
      <w:r w:rsidRPr="00A02B31">
        <w:rPr>
          <w:rFonts w:cstheme="minorHAnsi"/>
          <w:color w:val="000000" w:themeColor="text1"/>
          <w:sz w:val="20"/>
          <w:szCs w:val="20"/>
        </w:rPr>
        <w:t xml:space="preserve">The </w:t>
      </w:r>
      <w:r w:rsidR="00E50F47" w:rsidRPr="00A02B31">
        <w:rPr>
          <w:rFonts w:cstheme="minorHAnsi"/>
          <w:color w:val="000000" w:themeColor="text1"/>
          <w:sz w:val="20"/>
          <w:szCs w:val="20"/>
        </w:rPr>
        <w:t>d</w:t>
      </w:r>
      <w:r w:rsidRPr="00A02B31">
        <w:rPr>
          <w:rFonts w:cstheme="minorHAnsi"/>
          <w:color w:val="000000" w:themeColor="text1"/>
          <w:sz w:val="20"/>
          <w:szCs w:val="20"/>
        </w:rPr>
        <w:t xml:space="preserve">irectors consider the Company to be well placed to operate for at least twelve months from the date of this report, as the Company has sufficient cash liquidity to pay its liabilities as and when they fall due and also to invest in new opportunities as they arise. </w:t>
      </w:r>
      <w:r w:rsidR="00216C5B" w:rsidRPr="00A02B31">
        <w:rPr>
          <w:rFonts w:cstheme="minorHAnsi"/>
          <w:color w:val="000000" w:themeColor="text1"/>
          <w:sz w:val="20"/>
          <w:szCs w:val="20"/>
        </w:rPr>
        <w:t xml:space="preserve">The cash and publicly tradeable investments when compared to the non-discretionary cash outflows of the company are more than sufficient to allow the company to continue to meet these commitments, even if investee companies cease to be able to pay dividends or loan stock interest. </w:t>
      </w:r>
      <w:r w:rsidRPr="00A02B31">
        <w:rPr>
          <w:rFonts w:cstheme="minorHAnsi"/>
          <w:color w:val="000000" w:themeColor="text1"/>
          <w:sz w:val="20"/>
          <w:szCs w:val="20"/>
        </w:rPr>
        <w:t>This has been further discussed in Note 1 to the financial statements.</w:t>
      </w:r>
    </w:p>
    <w:p w14:paraId="202FD0E2" w14:textId="77777777" w:rsidR="008521A1" w:rsidRPr="00A02B31" w:rsidRDefault="008521A1" w:rsidP="000A1433">
      <w:pPr>
        <w:tabs>
          <w:tab w:val="left" w:pos="920"/>
        </w:tabs>
        <w:rPr>
          <w:rFonts w:cstheme="minorHAnsi"/>
          <w:sz w:val="20"/>
          <w:szCs w:val="20"/>
        </w:rPr>
      </w:pPr>
    </w:p>
    <w:p w14:paraId="29C48149" w14:textId="77777777" w:rsidR="000A14AD" w:rsidRPr="00A02B31" w:rsidRDefault="000A14AD" w:rsidP="000A14AD">
      <w:pPr>
        <w:jc w:val="both"/>
        <w:rPr>
          <w:rFonts w:cstheme="minorHAnsi"/>
          <w:b/>
          <w:sz w:val="20"/>
          <w:szCs w:val="20"/>
        </w:rPr>
      </w:pPr>
      <w:r w:rsidRPr="00A02B31">
        <w:rPr>
          <w:rFonts w:cstheme="minorHAnsi"/>
          <w:b/>
          <w:sz w:val="20"/>
          <w:szCs w:val="20"/>
        </w:rPr>
        <w:t>Share price</w:t>
      </w:r>
    </w:p>
    <w:p w14:paraId="1A500B76" w14:textId="4AE2DF34" w:rsidR="00FB0499" w:rsidRPr="00FB0499" w:rsidRDefault="00FB0499" w:rsidP="00FB0499">
      <w:pPr>
        <w:jc w:val="both"/>
        <w:rPr>
          <w:rFonts w:cstheme="minorHAnsi"/>
          <w:sz w:val="20"/>
          <w:szCs w:val="20"/>
        </w:rPr>
      </w:pPr>
      <w:r w:rsidRPr="00FB0499">
        <w:rPr>
          <w:rFonts w:cstheme="minorHAnsi"/>
          <w:sz w:val="20"/>
          <w:szCs w:val="20"/>
        </w:rPr>
        <w:t>The average share price of the Company’s</w:t>
      </w:r>
      <w:r>
        <w:rPr>
          <w:rFonts w:cstheme="minorHAnsi"/>
          <w:sz w:val="20"/>
          <w:szCs w:val="20"/>
        </w:rPr>
        <w:t xml:space="preserve"> </w:t>
      </w:r>
      <w:r w:rsidRPr="00FB0499">
        <w:rPr>
          <w:rFonts w:cstheme="minorHAnsi"/>
          <w:sz w:val="20"/>
          <w:szCs w:val="20"/>
        </w:rPr>
        <w:t>quoted Ordinary Shares in the year ended</w:t>
      </w:r>
      <w:r>
        <w:rPr>
          <w:rFonts w:cstheme="minorHAnsi"/>
          <w:sz w:val="20"/>
          <w:szCs w:val="20"/>
        </w:rPr>
        <w:t xml:space="preserve"> </w:t>
      </w:r>
      <w:r w:rsidRPr="00FB0499">
        <w:rPr>
          <w:rFonts w:cstheme="minorHAnsi"/>
          <w:sz w:val="20"/>
          <w:szCs w:val="20"/>
        </w:rPr>
        <w:t>31 March 2022 was 1,491.90 pence.</w:t>
      </w:r>
      <w:r>
        <w:rPr>
          <w:rFonts w:cstheme="minorHAnsi"/>
          <w:sz w:val="20"/>
          <w:szCs w:val="20"/>
        </w:rPr>
        <w:t xml:space="preserve"> </w:t>
      </w:r>
      <w:r w:rsidRPr="00FB0499">
        <w:rPr>
          <w:rFonts w:cstheme="minorHAnsi"/>
          <w:sz w:val="20"/>
          <w:szCs w:val="20"/>
        </w:rPr>
        <w:t>In the year the share price reached a</w:t>
      </w:r>
      <w:r>
        <w:rPr>
          <w:rFonts w:cstheme="minorHAnsi"/>
          <w:sz w:val="20"/>
          <w:szCs w:val="20"/>
        </w:rPr>
        <w:t xml:space="preserve"> </w:t>
      </w:r>
      <w:r w:rsidRPr="00FB0499">
        <w:rPr>
          <w:rFonts w:cstheme="minorHAnsi"/>
          <w:sz w:val="20"/>
          <w:szCs w:val="20"/>
        </w:rPr>
        <w:t>maximum of 1,710.70 pence and a minimum</w:t>
      </w:r>
      <w:r>
        <w:rPr>
          <w:rFonts w:cstheme="minorHAnsi"/>
          <w:sz w:val="20"/>
          <w:szCs w:val="20"/>
        </w:rPr>
        <w:t xml:space="preserve"> </w:t>
      </w:r>
      <w:r w:rsidRPr="00FB0499">
        <w:rPr>
          <w:rFonts w:cstheme="minorHAnsi"/>
          <w:sz w:val="20"/>
          <w:szCs w:val="20"/>
        </w:rPr>
        <w:t>of 1334.71 pence. The closing share price</w:t>
      </w:r>
      <w:r>
        <w:rPr>
          <w:rFonts w:cstheme="minorHAnsi"/>
          <w:sz w:val="20"/>
          <w:szCs w:val="20"/>
        </w:rPr>
        <w:t xml:space="preserve"> </w:t>
      </w:r>
      <w:r w:rsidRPr="00FB0499">
        <w:rPr>
          <w:rFonts w:cstheme="minorHAnsi"/>
          <w:sz w:val="20"/>
          <w:szCs w:val="20"/>
        </w:rPr>
        <w:t>on 31 March 2022 was 1,420.0 pence.</w:t>
      </w:r>
    </w:p>
    <w:p w14:paraId="17AEACB1" w14:textId="77777777" w:rsidR="00CB453E" w:rsidRPr="00A02B31" w:rsidRDefault="00CB453E" w:rsidP="000A14AD">
      <w:pPr>
        <w:jc w:val="both"/>
        <w:rPr>
          <w:rFonts w:cstheme="minorHAnsi"/>
          <w:sz w:val="20"/>
          <w:szCs w:val="20"/>
        </w:rPr>
      </w:pPr>
    </w:p>
    <w:p w14:paraId="2323C7C3" w14:textId="77777777" w:rsidR="00CB453E" w:rsidRPr="00A02B31" w:rsidRDefault="00CB453E" w:rsidP="00CB453E">
      <w:pPr>
        <w:jc w:val="both"/>
        <w:rPr>
          <w:rFonts w:cstheme="minorHAnsi"/>
          <w:b/>
          <w:sz w:val="20"/>
          <w:szCs w:val="20"/>
        </w:rPr>
      </w:pPr>
      <w:r w:rsidRPr="00A02B31">
        <w:rPr>
          <w:rFonts w:cstheme="minorHAnsi"/>
          <w:b/>
          <w:sz w:val="20"/>
          <w:szCs w:val="20"/>
        </w:rPr>
        <w:t>Subsequent events</w:t>
      </w:r>
    </w:p>
    <w:p w14:paraId="349FE31A" w14:textId="0310A752" w:rsidR="008521A1" w:rsidRPr="00A02B31" w:rsidRDefault="00E109EC" w:rsidP="000A14AD">
      <w:pPr>
        <w:jc w:val="both"/>
        <w:rPr>
          <w:rFonts w:cstheme="minorHAnsi"/>
          <w:sz w:val="20"/>
          <w:szCs w:val="20"/>
        </w:rPr>
      </w:pPr>
      <w:r w:rsidRPr="00A02B31">
        <w:rPr>
          <w:rFonts w:cstheme="minorHAnsi"/>
          <w:sz w:val="20"/>
          <w:szCs w:val="20"/>
        </w:rPr>
        <w:t>Following the financial year</w:t>
      </w:r>
      <w:r w:rsidR="00527C00" w:rsidRPr="00A02B31">
        <w:rPr>
          <w:rFonts w:cstheme="minorHAnsi"/>
          <w:sz w:val="20"/>
          <w:szCs w:val="20"/>
        </w:rPr>
        <w:t>-</w:t>
      </w:r>
      <w:r w:rsidRPr="00A02B31">
        <w:rPr>
          <w:rFonts w:cstheme="minorHAnsi"/>
          <w:sz w:val="20"/>
          <w:szCs w:val="20"/>
        </w:rPr>
        <w:t>end on</w:t>
      </w:r>
      <w:r w:rsidR="00527C00" w:rsidRPr="00A02B31">
        <w:rPr>
          <w:rFonts w:cstheme="minorHAnsi"/>
          <w:sz w:val="20"/>
          <w:szCs w:val="20"/>
        </w:rPr>
        <w:t>,</w:t>
      </w:r>
      <w:r w:rsidRPr="00A02B31">
        <w:rPr>
          <w:rFonts w:cstheme="minorHAnsi"/>
          <w:sz w:val="20"/>
          <w:szCs w:val="20"/>
        </w:rPr>
        <w:t xml:space="preserve"> </w:t>
      </w:r>
      <w:r w:rsidR="00B636F2" w:rsidRPr="00A02B31">
        <w:rPr>
          <w:rFonts w:cstheme="minorHAnsi"/>
          <w:sz w:val="20"/>
          <w:szCs w:val="20"/>
        </w:rPr>
        <w:t xml:space="preserve">1,449,763 shares </w:t>
      </w:r>
      <w:r w:rsidRPr="00A02B31">
        <w:rPr>
          <w:rFonts w:cstheme="minorHAnsi"/>
          <w:sz w:val="20"/>
          <w:szCs w:val="20"/>
        </w:rPr>
        <w:t>voted to approve a change of Investment Policy.</w:t>
      </w:r>
    </w:p>
    <w:p w14:paraId="130A1BC9" w14:textId="77777777" w:rsidR="009631D7" w:rsidRPr="00A02B31" w:rsidRDefault="009631D7" w:rsidP="000A14AD">
      <w:pPr>
        <w:jc w:val="both"/>
        <w:rPr>
          <w:rFonts w:cstheme="minorHAnsi"/>
          <w:sz w:val="20"/>
          <w:szCs w:val="20"/>
        </w:rPr>
      </w:pPr>
    </w:p>
    <w:p w14:paraId="05D89DC1" w14:textId="03A3D236" w:rsidR="00490B8C" w:rsidRPr="00A02B31" w:rsidRDefault="00490B8C" w:rsidP="00D9747D">
      <w:pPr>
        <w:rPr>
          <w:rFonts w:cstheme="minorHAnsi"/>
          <w:b/>
          <w:sz w:val="20"/>
          <w:szCs w:val="20"/>
        </w:rPr>
      </w:pPr>
      <w:r w:rsidRPr="00A02B31">
        <w:rPr>
          <w:rFonts w:cstheme="minorHAnsi"/>
          <w:b/>
          <w:sz w:val="20"/>
          <w:szCs w:val="20"/>
        </w:rPr>
        <w:t xml:space="preserve">Audit </w:t>
      </w:r>
      <w:r w:rsidR="001526C6" w:rsidRPr="00A02B31">
        <w:rPr>
          <w:rFonts w:cstheme="minorHAnsi"/>
          <w:b/>
          <w:sz w:val="20"/>
          <w:szCs w:val="20"/>
        </w:rPr>
        <w:t>i</w:t>
      </w:r>
      <w:r w:rsidRPr="00A02B31">
        <w:rPr>
          <w:rFonts w:cstheme="minorHAnsi"/>
          <w:b/>
          <w:sz w:val="20"/>
          <w:szCs w:val="20"/>
        </w:rPr>
        <w:t>nformation</w:t>
      </w:r>
    </w:p>
    <w:p w14:paraId="62289D46" w14:textId="1848E30C" w:rsidR="003E7B9F" w:rsidRPr="00A02B31" w:rsidRDefault="00490B8C" w:rsidP="003E7B9F">
      <w:pPr>
        <w:jc w:val="both"/>
        <w:rPr>
          <w:rFonts w:cstheme="minorHAnsi"/>
          <w:sz w:val="20"/>
          <w:szCs w:val="20"/>
        </w:rPr>
      </w:pPr>
      <w:r w:rsidRPr="00A02B31">
        <w:rPr>
          <w:rFonts w:cstheme="minorHAnsi"/>
          <w:sz w:val="20"/>
          <w:szCs w:val="20"/>
        </w:rPr>
        <w:t xml:space="preserve">Each of the </w:t>
      </w:r>
      <w:r w:rsidR="00E50F47" w:rsidRPr="00A02B31">
        <w:rPr>
          <w:rFonts w:cstheme="minorHAnsi"/>
          <w:sz w:val="20"/>
          <w:szCs w:val="20"/>
        </w:rPr>
        <w:t>d</w:t>
      </w:r>
      <w:r w:rsidRPr="00A02B31">
        <w:rPr>
          <w:rFonts w:cstheme="minorHAnsi"/>
          <w:sz w:val="20"/>
          <w:szCs w:val="20"/>
        </w:rPr>
        <w:t>irectors who held office at the date of approval of the Report</w:t>
      </w:r>
      <w:r w:rsidR="003E7B9F" w:rsidRPr="00A02B31">
        <w:rPr>
          <w:rFonts w:cstheme="minorHAnsi"/>
          <w:sz w:val="20"/>
          <w:szCs w:val="20"/>
        </w:rPr>
        <w:t xml:space="preserve"> of the </w:t>
      </w:r>
      <w:r w:rsidR="00E50F47" w:rsidRPr="00A02B31">
        <w:rPr>
          <w:rFonts w:cstheme="minorHAnsi"/>
          <w:sz w:val="20"/>
          <w:szCs w:val="20"/>
        </w:rPr>
        <w:t>d</w:t>
      </w:r>
      <w:r w:rsidR="003E7B9F" w:rsidRPr="00A02B31">
        <w:rPr>
          <w:rFonts w:cstheme="minorHAnsi"/>
          <w:sz w:val="20"/>
          <w:szCs w:val="20"/>
        </w:rPr>
        <w:t>irectors confirms that:</w:t>
      </w:r>
      <w:r w:rsidRPr="00A02B31">
        <w:rPr>
          <w:rFonts w:cstheme="minorHAnsi"/>
          <w:sz w:val="20"/>
          <w:szCs w:val="20"/>
        </w:rPr>
        <w:t xml:space="preserve"> </w:t>
      </w:r>
    </w:p>
    <w:p w14:paraId="4B266E0E" w14:textId="77777777" w:rsidR="003E7B9F" w:rsidRPr="00A02B31" w:rsidRDefault="003E7B9F" w:rsidP="003E7B9F">
      <w:pPr>
        <w:ind w:left="720" w:hanging="720"/>
        <w:jc w:val="both"/>
        <w:rPr>
          <w:rFonts w:cstheme="minorHAnsi"/>
          <w:sz w:val="20"/>
          <w:szCs w:val="20"/>
        </w:rPr>
      </w:pPr>
    </w:p>
    <w:p w14:paraId="1C58F0F2" w14:textId="3F3AFA5B" w:rsidR="003E7B9F" w:rsidRPr="00A02B31" w:rsidRDefault="003E7B9F" w:rsidP="003E7B9F">
      <w:pPr>
        <w:ind w:left="720" w:hanging="720"/>
        <w:jc w:val="both"/>
        <w:rPr>
          <w:rFonts w:cstheme="minorHAnsi"/>
          <w:sz w:val="20"/>
          <w:szCs w:val="20"/>
        </w:rPr>
      </w:pPr>
      <w:r w:rsidRPr="00A02B31">
        <w:rPr>
          <w:rFonts w:cstheme="minorHAnsi"/>
          <w:sz w:val="20"/>
          <w:szCs w:val="20"/>
        </w:rPr>
        <w:t>(1)</w:t>
      </w:r>
      <w:r w:rsidRPr="00A02B31">
        <w:rPr>
          <w:rFonts w:cstheme="minorHAnsi"/>
          <w:sz w:val="20"/>
          <w:szCs w:val="20"/>
        </w:rPr>
        <w:tab/>
        <w:t xml:space="preserve">So far as the </w:t>
      </w:r>
      <w:r w:rsidR="00E50F47" w:rsidRPr="00A02B31">
        <w:rPr>
          <w:rFonts w:cstheme="minorHAnsi"/>
          <w:sz w:val="20"/>
          <w:szCs w:val="20"/>
        </w:rPr>
        <w:t>d</w:t>
      </w:r>
      <w:r w:rsidRPr="00A02B31">
        <w:rPr>
          <w:rFonts w:cstheme="minorHAnsi"/>
          <w:sz w:val="20"/>
          <w:szCs w:val="20"/>
        </w:rPr>
        <w:t xml:space="preserve">irector is aware, there is no relevant audit information of which the Company’s auditor is unaware; and </w:t>
      </w:r>
    </w:p>
    <w:p w14:paraId="1B202FEF" w14:textId="54A35B56" w:rsidR="003E7B9F" w:rsidRPr="00A02B31" w:rsidRDefault="003E7B9F" w:rsidP="003E7B9F">
      <w:pPr>
        <w:tabs>
          <w:tab w:val="left" w:pos="920"/>
        </w:tabs>
        <w:ind w:left="720" w:hanging="720"/>
        <w:jc w:val="both"/>
        <w:rPr>
          <w:rFonts w:cstheme="minorHAnsi"/>
          <w:sz w:val="20"/>
          <w:szCs w:val="20"/>
        </w:rPr>
      </w:pPr>
      <w:r w:rsidRPr="00A02B31">
        <w:rPr>
          <w:rFonts w:cstheme="minorHAnsi"/>
          <w:sz w:val="20"/>
          <w:szCs w:val="20"/>
        </w:rPr>
        <w:t>(2)</w:t>
      </w:r>
      <w:r w:rsidRPr="00A02B31">
        <w:rPr>
          <w:rFonts w:cstheme="minorHAnsi"/>
          <w:sz w:val="20"/>
          <w:szCs w:val="20"/>
        </w:rPr>
        <w:tab/>
      </w:r>
      <w:r w:rsidR="00953F10" w:rsidRPr="00A02B31">
        <w:rPr>
          <w:rFonts w:cstheme="minorHAnsi"/>
          <w:sz w:val="20"/>
          <w:szCs w:val="20"/>
        </w:rPr>
        <w:t>T</w:t>
      </w:r>
      <w:r w:rsidRPr="00A02B31">
        <w:rPr>
          <w:rFonts w:cstheme="minorHAnsi"/>
          <w:sz w:val="20"/>
          <w:szCs w:val="20"/>
        </w:rPr>
        <w:t xml:space="preserve">he </w:t>
      </w:r>
      <w:r w:rsidR="00E50F47" w:rsidRPr="00A02B31">
        <w:rPr>
          <w:rFonts w:cstheme="minorHAnsi"/>
          <w:sz w:val="20"/>
          <w:szCs w:val="20"/>
        </w:rPr>
        <w:t>d</w:t>
      </w:r>
      <w:r w:rsidRPr="00A02B31">
        <w:rPr>
          <w:rFonts w:cstheme="minorHAnsi"/>
          <w:sz w:val="20"/>
          <w:szCs w:val="20"/>
        </w:rPr>
        <w:t>irector has taken all the steps that they should have taken as a Director in order to make themselves aware of any relevant audit information and to establish that the Company’s auditor is aware of that information.</w:t>
      </w:r>
    </w:p>
    <w:p w14:paraId="3CDBAA42" w14:textId="77777777" w:rsidR="00D7650A" w:rsidRPr="00A02B31" w:rsidRDefault="00D7650A" w:rsidP="000A1433">
      <w:pPr>
        <w:tabs>
          <w:tab w:val="left" w:pos="920"/>
        </w:tabs>
        <w:rPr>
          <w:rFonts w:cstheme="minorHAnsi"/>
          <w:sz w:val="20"/>
          <w:szCs w:val="20"/>
        </w:rPr>
      </w:pPr>
    </w:p>
    <w:p w14:paraId="521F75ED" w14:textId="47E3695D" w:rsidR="00D7650A" w:rsidRPr="00A02B31" w:rsidRDefault="00D7650A" w:rsidP="00D7650A">
      <w:pPr>
        <w:tabs>
          <w:tab w:val="left" w:pos="920"/>
        </w:tabs>
        <w:jc w:val="both"/>
        <w:rPr>
          <w:rFonts w:cstheme="minorHAnsi"/>
          <w:b/>
          <w:sz w:val="20"/>
          <w:szCs w:val="20"/>
        </w:rPr>
      </w:pPr>
      <w:r w:rsidRPr="00A02B31">
        <w:rPr>
          <w:rFonts w:cstheme="minorHAnsi"/>
          <w:b/>
          <w:sz w:val="20"/>
          <w:szCs w:val="20"/>
        </w:rPr>
        <w:t>Annual General Meeting</w:t>
      </w:r>
    </w:p>
    <w:p w14:paraId="2546B374" w14:textId="77777777" w:rsidR="00DE3B64" w:rsidRPr="00A02B31" w:rsidRDefault="00DE3B64" w:rsidP="00D7650A">
      <w:pPr>
        <w:tabs>
          <w:tab w:val="left" w:pos="920"/>
        </w:tabs>
        <w:jc w:val="both"/>
        <w:rPr>
          <w:rFonts w:cstheme="minorHAnsi"/>
          <w:sz w:val="20"/>
          <w:szCs w:val="20"/>
        </w:rPr>
      </w:pPr>
    </w:p>
    <w:p w14:paraId="1BFBD7AC" w14:textId="4EA12B1B" w:rsidR="00D7650A" w:rsidRPr="00A02B31" w:rsidRDefault="00D7650A" w:rsidP="00D7650A">
      <w:pPr>
        <w:tabs>
          <w:tab w:val="left" w:pos="920"/>
        </w:tabs>
        <w:jc w:val="both"/>
        <w:rPr>
          <w:rFonts w:cstheme="minorHAnsi"/>
          <w:sz w:val="20"/>
          <w:szCs w:val="20"/>
        </w:rPr>
      </w:pPr>
      <w:r w:rsidRPr="00A02B31">
        <w:rPr>
          <w:rFonts w:cstheme="minorHAnsi"/>
          <w:sz w:val="20"/>
          <w:szCs w:val="20"/>
        </w:rPr>
        <w:t xml:space="preserve">The Notice of Annual General Meeting to be held at </w:t>
      </w:r>
      <w:r w:rsidR="00C079B6" w:rsidRPr="00A02B31">
        <w:rPr>
          <w:rFonts w:cstheme="minorHAnsi"/>
          <w:sz w:val="20"/>
          <w:szCs w:val="20"/>
        </w:rPr>
        <w:t>1</w:t>
      </w:r>
      <w:r w:rsidR="009A15AA" w:rsidRPr="00A02B31">
        <w:rPr>
          <w:rFonts w:cstheme="minorHAnsi"/>
          <w:sz w:val="20"/>
          <w:szCs w:val="20"/>
        </w:rPr>
        <w:t>1</w:t>
      </w:r>
      <w:r w:rsidR="00C079B6" w:rsidRPr="00A02B31">
        <w:rPr>
          <w:rFonts w:cstheme="minorHAnsi"/>
          <w:sz w:val="20"/>
          <w:szCs w:val="20"/>
        </w:rPr>
        <w:t>:00am</w:t>
      </w:r>
      <w:r w:rsidR="00A67FDD" w:rsidRPr="00A02B31">
        <w:rPr>
          <w:rFonts w:cstheme="minorHAnsi"/>
          <w:sz w:val="20"/>
          <w:szCs w:val="20"/>
        </w:rPr>
        <w:t xml:space="preserve"> on </w:t>
      </w:r>
      <w:r w:rsidR="00DF307B" w:rsidRPr="00A02B31">
        <w:rPr>
          <w:rFonts w:cstheme="minorHAnsi"/>
          <w:sz w:val="20"/>
          <w:szCs w:val="20"/>
        </w:rPr>
        <w:t>Tuesday 1</w:t>
      </w:r>
      <w:r w:rsidR="009B349D" w:rsidRPr="00A02B31">
        <w:rPr>
          <w:rFonts w:cstheme="minorHAnsi"/>
          <w:sz w:val="20"/>
          <w:szCs w:val="20"/>
        </w:rPr>
        <w:t>3</w:t>
      </w:r>
      <w:r w:rsidR="00DF307B" w:rsidRPr="00A02B31">
        <w:rPr>
          <w:rFonts w:cstheme="minorHAnsi"/>
          <w:sz w:val="20"/>
          <w:szCs w:val="20"/>
        </w:rPr>
        <w:t xml:space="preserve"> </w:t>
      </w:r>
      <w:r w:rsidR="00A67FDD" w:rsidRPr="00A02B31">
        <w:rPr>
          <w:rFonts w:cstheme="minorHAnsi"/>
          <w:sz w:val="20"/>
          <w:szCs w:val="20"/>
        </w:rPr>
        <w:t>September 202</w:t>
      </w:r>
      <w:r w:rsidR="007600A7" w:rsidRPr="00A02B31">
        <w:rPr>
          <w:rFonts w:cstheme="minorHAnsi"/>
          <w:sz w:val="20"/>
          <w:szCs w:val="20"/>
        </w:rPr>
        <w:t>2</w:t>
      </w:r>
      <w:r w:rsidRPr="00A02B31">
        <w:rPr>
          <w:rFonts w:cstheme="minorHAnsi"/>
          <w:sz w:val="20"/>
          <w:szCs w:val="20"/>
        </w:rPr>
        <w:t xml:space="preserve"> is set out on pages </w:t>
      </w:r>
      <w:r w:rsidR="00684052" w:rsidRPr="00A02B31">
        <w:rPr>
          <w:rFonts w:cstheme="minorHAnsi"/>
          <w:sz w:val="20"/>
          <w:szCs w:val="20"/>
        </w:rPr>
        <w:t>5</w:t>
      </w:r>
      <w:r w:rsidR="0030187E">
        <w:rPr>
          <w:rFonts w:cstheme="minorHAnsi"/>
          <w:sz w:val="20"/>
          <w:szCs w:val="20"/>
        </w:rPr>
        <w:t>4</w:t>
      </w:r>
      <w:r w:rsidR="005A14AF" w:rsidRPr="00A02B31">
        <w:rPr>
          <w:rFonts w:cstheme="minorHAnsi"/>
          <w:sz w:val="20"/>
          <w:szCs w:val="20"/>
        </w:rPr>
        <w:t xml:space="preserve"> to </w:t>
      </w:r>
      <w:r w:rsidR="0030187E" w:rsidRPr="0030187E">
        <w:rPr>
          <w:rFonts w:cstheme="minorHAnsi"/>
          <w:sz w:val="20"/>
          <w:szCs w:val="20"/>
        </w:rPr>
        <w:t>58</w:t>
      </w:r>
      <w:r w:rsidRPr="00A02B31">
        <w:rPr>
          <w:rFonts w:cstheme="minorHAnsi"/>
          <w:sz w:val="20"/>
          <w:szCs w:val="20"/>
        </w:rPr>
        <w:t>. Details of the business to be transacted are outlined below:</w:t>
      </w:r>
    </w:p>
    <w:p w14:paraId="278D9B68" w14:textId="77777777" w:rsidR="00D7650A" w:rsidRPr="00A02B31" w:rsidRDefault="00D7650A" w:rsidP="00D7650A">
      <w:pPr>
        <w:tabs>
          <w:tab w:val="left" w:pos="920"/>
        </w:tabs>
        <w:jc w:val="both"/>
        <w:rPr>
          <w:rFonts w:cstheme="minorHAnsi"/>
          <w:sz w:val="20"/>
          <w:szCs w:val="20"/>
        </w:rPr>
      </w:pPr>
    </w:p>
    <w:p w14:paraId="7E8FA7EA" w14:textId="77777777" w:rsidR="00D7650A" w:rsidRPr="00A02B31" w:rsidRDefault="00D7650A" w:rsidP="00D7650A">
      <w:pPr>
        <w:tabs>
          <w:tab w:val="left" w:pos="920"/>
        </w:tabs>
        <w:jc w:val="both"/>
        <w:rPr>
          <w:rFonts w:cstheme="minorHAnsi"/>
          <w:b/>
          <w:i/>
          <w:sz w:val="20"/>
          <w:szCs w:val="20"/>
        </w:rPr>
      </w:pPr>
      <w:r w:rsidRPr="00A02B31">
        <w:rPr>
          <w:rFonts w:cstheme="minorHAnsi"/>
          <w:b/>
          <w:i/>
          <w:sz w:val="20"/>
          <w:szCs w:val="20"/>
        </w:rPr>
        <w:t>Report and accounts</w:t>
      </w:r>
    </w:p>
    <w:p w14:paraId="6829B29E" w14:textId="77777777" w:rsidR="00D7650A" w:rsidRPr="00A02B31" w:rsidRDefault="00D7650A" w:rsidP="00D7650A">
      <w:pPr>
        <w:tabs>
          <w:tab w:val="left" w:pos="920"/>
        </w:tabs>
        <w:jc w:val="both"/>
        <w:rPr>
          <w:rFonts w:cstheme="minorHAnsi"/>
          <w:sz w:val="20"/>
          <w:szCs w:val="20"/>
        </w:rPr>
      </w:pPr>
      <w:r w:rsidRPr="00A02B31">
        <w:rPr>
          <w:rFonts w:cstheme="minorHAnsi"/>
          <w:sz w:val="20"/>
          <w:szCs w:val="20"/>
        </w:rPr>
        <w:t xml:space="preserve">As required by company law, the annual report and accounts will be laid before </w:t>
      </w:r>
      <w:r w:rsidR="00FF3012" w:rsidRPr="00A02B31">
        <w:rPr>
          <w:rFonts w:cstheme="minorHAnsi"/>
          <w:sz w:val="20"/>
          <w:szCs w:val="20"/>
        </w:rPr>
        <w:t>shareholders</w:t>
      </w:r>
      <w:r w:rsidRPr="00A02B31">
        <w:rPr>
          <w:rFonts w:cstheme="minorHAnsi"/>
          <w:sz w:val="20"/>
          <w:szCs w:val="20"/>
        </w:rPr>
        <w:t>.</w:t>
      </w:r>
    </w:p>
    <w:p w14:paraId="22B645EB" w14:textId="77777777" w:rsidR="00D7650A" w:rsidRPr="00A02B31" w:rsidRDefault="00D7650A" w:rsidP="00D7650A">
      <w:pPr>
        <w:tabs>
          <w:tab w:val="left" w:pos="920"/>
        </w:tabs>
        <w:jc w:val="both"/>
        <w:rPr>
          <w:rFonts w:cstheme="minorHAnsi"/>
          <w:sz w:val="20"/>
          <w:szCs w:val="20"/>
        </w:rPr>
      </w:pPr>
    </w:p>
    <w:p w14:paraId="686A3E57" w14:textId="77777777" w:rsidR="00D7650A" w:rsidRPr="00A02B31" w:rsidRDefault="00D7650A" w:rsidP="00D7650A">
      <w:pPr>
        <w:tabs>
          <w:tab w:val="left" w:pos="920"/>
        </w:tabs>
        <w:jc w:val="both"/>
        <w:rPr>
          <w:rFonts w:cstheme="minorHAnsi"/>
          <w:b/>
          <w:i/>
          <w:sz w:val="20"/>
          <w:szCs w:val="20"/>
        </w:rPr>
      </w:pPr>
      <w:r w:rsidRPr="00A02B31">
        <w:rPr>
          <w:rFonts w:cstheme="minorHAnsi"/>
          <w:b/>
          <w:i/>
          <w:sz w:val="20"/>
          <w:szCs w:val="20"/>
        </w:rPr>
        <w:t>Re-election of directors</w:t>
      </w:r>
    </w:p>
    <w:p w14:paraId="4EE678A8" w14:textId="19F3C9C3" w:rsidR="00D7650A" w:rsidRPr="00A02B31" w:rsidRDefault="00D7650A" w:rsidP="00D7650A">
      <w:pPr>
        <w:tabs>
          <w:tab w:val="left" w:pos="920"/>
        </w:tabs>
        <w:jc w:val="both"/>
        <w:rPr>
          <w:rFonts w:cstheme="minorHAnsi"/>
          <w:sz w:val="20"/>
          <w:szCs w:val="20"/>
        </w:rPr>
      </w:pPr>
      <w:r w:rsidRPr="00A02B31">
        <w:rPr>
          <w:rFonts w:cstheme="minorHAnsi"/>
          <w:sz w:val="20"/>
          <w:szCs w:val="20"/>
        </w:rPr>
        <w:t xml:space="preserve">Each of the </w:t>
      </w:r>
      <w:r w:rsidR="00C85047" w:rsidRPr="00A02B31">
        <w:rPr>
          <w:rFonts w:cstheme="minorHAnsi"/>
          <w:sz w:val="20"/>
          <w:szCs w:val="20"/>
        </w:rPr>
        <w:t>d</w:t>
      </w:r>
      <w:r w:rsidRPr="00A02B31">
        <w:rPr>
          <w:rFonts w:cstheme="minorHAnsi"/>
          <w:sz w:val="20"/>
          <w:szCs w:val="20"/>
        </w:rPr>
        <w:t xml:space="preserve">irectors will stand for re-election at the AGM.  </w:t>
      </w:r>
    </w:p>
    <w:p w14:paraId="7AAF91D4" w14:textId="77777777" w:rsidR="00D7650A" w:rsidRPr="00A02B31" w:rsidRDefault="00D7650A" w:rsidP="00D7650A">
      <w:pPr>
        <w:tabs>
          <w:tab w:val="left" w:pos="920"/>
        </w:tabs>
        <w:jc w:val="both"/>
        <w:rPr>
          <w:rFonts w:cstheme="minorHAnsi"/>
          <w:sz w:val="20"/>
          <w:szCs w:val="20"/>
        </w:rPr>
      </w:pPr>
    </w:p>
    <w:p w14:paraId="3C7A7930" w14:textId="77777777" w:rsidR="00D7650A" w:rsidRPr="00A02B31" w:rsidRDefault="00D7650A" w:rsidP="00D7650A">
      <w:pPr>
        <w:tabs>
          <w:tab w:val="left" w:pos="920"/>
        </w:tabs>
        <w:jc w:val="both"/>
        <w:rPr>
          <w:rFonts w:cstheme="minorHAnsi"/>
          <w:b/>
          <w:i/>
          <w:sz w:val="20"/>
          <w:szCs w:val="20"/>
        </w:rPr>
      </w:pPr>
      <w:r w:rsidRPr="00A02B31">
        <w:rPr>
          <w:rFonts w:cstheme="minorHAnsi"/>
          <w:b/>
          <w:i/>
          <w:sz w:val="20"/>
          <w:szCs w:val="20"/>
        </w:rPr>
        <w:t>Auditor</w:t>
      </w:r>
    </w:p>
    <w:p w14:paraId="4187F3FD" w14:textId="77777777" w:rsidR="00D7650A" w:rsidRPr="00A02B31" w:rsidRDefault="00E570FA" w:rsidP="00D7650A">
      <w:pPr>
        <w:tabs>
          <w:tab w:val="left" w:pos="920"/>
        </w:tabs>
        <w:jc w:val="both"/>
        <w:rPr>
          <w:rFonts w:cstheme="minorHAnsi"/>
          <w:sz w:val="20"/>
          <w:szCs w:val="20"/>
        </w:rPr>
      </w:pPr>
      <w:r w:rsidRPr="00A02B31">
        <w:rPr>
          <w:rFonts w:cstheme="minorHAnsi"/>
          <w:sz w:val="20"/>
          <w:szCs w:val="20"/>
        </w:rPr>
        <w:t xml:space="preserve">The re-appointment of </w:t>
      </w:r>
      <w:r w:rsidR="00D7650A" w:rsidRPr="00A02B31">
        <w:rPr>
          <w:rFonts w:cstheme="minorHAnsi"/>
          <w:sz w:val="20"/>
          <w:szCs w:val="20"/>
        </w:rPr>
        <w:t>BDO LLP as auditor and</w:t>
      </w:r>
      <w:r w:rsidRPr="00A02B31">
        <w:rPr>
          <w:rFonts w:cstheme="minorHAnsi"/>
          <w:sz w:val="20"/>
          <w:szCs w:val="20"/>
        </w:rPr>
        <w:t xml:space="preserve"> a resolution allowing the Directors to determine their remuneration</w:t>
      </w:r>
      <w:r w:rsidR="00D7650A" w:rsidRPr="00A02B31">
        <w:rPr>
          <w:rFonts w:cstheme="minorHAnsi"/>
          <w:sz w:val="20"/>
          <w:szCs w:val="20"/>
        </w:rPr>
        <w:t>.</w:t>
      </w:r>
    </w:p>
    <w:p w14:paraId="17A80AAD" w14:textId="66D2B8D2" w:rsidR="00D7650A" w:rsidRPr="00A02B31" w:rsidRDefault="00D7650A" w:rsidP="00D7650A">
      <w:pPr>
        <w:tabs>
          <w:tab w:val="left" w:pos="920"/>
        </w:tabs>
        <w:jc w:val="both"/>
        <w:rPr>
          <w:rFonts w:cstheme="minorHAnsi"/>
          <w:sz w:val="20"/>
          <w:szCs w:val="20"/>
        </w:rPr>
      </w:pPr>
    </w:p>
    <w:p w14:paraId="24AE598E" w14:textId="77777777" w:rsidR="00D7650A" w:rsidRPr="00A02B31" w:rsidRDefault="00D7650A" w:rsidP="00D7650A">
      <w:pPr>
        <w:tabs>
          <w:tab w:val="left" w:pos="920"/>
        </w:tabs>
        <w:jc w:val="both"/>
        <w:rPr>
          <w:rFonts w:cstheme="minorHAnsi"/>
          <w:b/>
          <w:i/>
          <w:sz w:val="20"/>
          <w:szCs w:val="20"/>
        </w:rPr>
      </w:pPr>
      <w:r w:rsidRPr="00A02B31">
        <w:rPr>
          <w:rFonts w:cstheme="minorHAnsi"/>
          <w:b/>
          <w:i/>
          <w:sz w:val="20"/>
          <w:szCs w:val="20"/>
        </w:rPr>
        <w:t>Directors’ authority to allot shares</w:t>
      </w:r>
    </w:p>
    <w:p w14:paraId="4FAE53BC" w14:textId="17FF91C3" w:rsidR="0059644F" w:rsidRPr="00A02B31" w:rsidRDefault="00D7650A" w:rsidP="00D7650A">
      <w:pPr>
        <w:tabs>
          <w:tab w:val="left" w:pos="920"/>
        </w:tabs>
        <w:jc w:val="both"/>
        <w:rPr>
          <w:rFonts w:cstheme="minorHAnsi"/>
          <w:sz w:val="20"/>
          <w:szCs w:val="20"/>
        </w:rPr>
      </w:pPr>
      <w:r w:rsidRPr="00A02B31">
        <w:rPr>
          <w:rFonts w:cstheme="minorHAnsi"/>
          <w:sz w:val="20"/>
          <w:szCs w:val="20"/>
        </w:rPr>
        <w:t xml:space="preserve">The </w:t>
      </w:r>
      <w:r w:rsidR="00C85047" w:rsidRPr="00A02B31">
        <w:rPr>
          <w:rFonts w:cstheme="minorHAnsi"/>
          <w:sz w:val="20"/>
          <w:szCs w:val="20"/>
        </w:rPr>
        <w:t>d</w:t>
      </w:r>
      <w:r w:rsidRPr="00A02B31">
        <w:rPr>
          <w:rFonts w:cstheme="minorHAnsi"/>
          <w:sz w:val="20"/>
          <w:szCs w:val="20"/>
        </w:rPr>
        <w:t xml:space="preserve">irectors are seeking the usual authority to allot shares. Resolution </w:t>
      </w:r>
      <w:r w:rsidR="00D86526" w:rsidRPr="00A02B31">
        <w:rPr>
          <w:rFonts w:cstheme="minorHAnsi"/>
          <w:sz w:val="20"/>
          <w:szCs w:val="20"/>
        </w:rPr>
        <w:t>6</w:t>
      </w:r>
      <w:r w:rsidRPr="00A02B31">
        <w:rPr>
          <w:rFonts w:cstheme="minorHAnsi"/>
          <w:sz w:val="20"/>
          <w:szCs w:val="20"/>
        </w:rPr>
        <w:t xml:space="preserve"> in the Notice of Annual General Meeting seeks authority to allot </w:t>
      </w:r>
      <w:r w:rsidR="00953F10" w:rsidRPr="00A02B31">
        <w:rPr>
          <w:rFonts w:cstheme="minorHAnsi"/>
          <w:sz w:val="20"/>
          <w:szCs w:val="20"/>
        </w:rPr>
        <w:t>O</w:t>
      </w:r>
      <w:r w:rsidRPr="00A02B31">
        <w:rPr>
          <w:rFonts w:cstheme="minorHAnsi"/>
          <w:sz w:val="20"/>
          <w:szCs w:val="20"/>
        </w:rPr>
        <w:t xml:space="preserve">rdinary </w:t>
      </w:r>
      <w:r w:rsidR="00953F10" w:rsidRPr="00A02B31">
        <w:rPr>
          <w:rFonts w:cstheme="minorHAnsi"/>
          <w:sz w:val="20"/>
          <w:szCs w:val="20"/>
        </w:rPr>
        <w:t>S</w:t>
      </w:r>
      <w:r w:rsidRPr="00A02B31">
        <w:rPr>
          <w:rFonts w:cstheme="minorHAnsi"/>
          <w:sz w:val="20"/>
          <w:szCs w:val="20"/>
        </w:rPr>
        <w:t xml:space="preserve">hares up to an aggregate nominal amount of </w:t>
      </w:r>
      <w:r w:rsidR="002C24B3" w:rsidRPr="00A02B31">
        <w:rPr>
          <w:rFonts w:cstheme="minorHAnsi"/>
          <w:sz w:val="20"/>
          <w:szCs w:val="20"/>
        </w:rPr>
        <w:t>£419,272.5</w:t>
      </w:r>
      <w:r w:rsidR="0091098D">
        <w:rPr>
          <w:rFonts w:cstheme="minorHAnsi"/>
          <w:sz w:val="20"/>
          <w:szCs w:val="20"/>
        </w:rPr>
        <w:t>0</w:t>
      </w:r>
      <w:r w:rsidR="002C24B3" w:rsidRPr="00A02B31">
        <w:rPr>
          <w:rFonts w:cstheme="minorHAnsi"/>
          <w:sz w:val="20"/>
          <w:szCs w:val="20"/>
        </w:rPr>
        <w:t xml:space="preserve"> </w:t>
      </w:r>
      <w:r w:rsidRPr="00A02B31">
        <w:rPr>
          <w:rFonts w:cstheme="minorHAnsi"/>
          <w:sz w:val="20"/>
          <w:szCs w:val="20"/>
        </w:rPr>
        <w:t>(being an amount equal to 33</w:t>
      </w:r>
      <w:r w:rsidR="00953F10" w:rsidRPr="00A02B31">
        <w:rPr>
          <w:rFonts w:cstheme="minorHAnsi"/>
          <w:sz w:val="20"/>
          <w:szCs w:val="20"/>
        </w:rPr>
        <w:t>%</w:t>
      </w:r>
      <w:r w:rsidRPr="00A02B31">
        <w:rPr>
          <w:rFonts w:cstheme="minorHAnsi"/>
          <w:sz w:val="20"/>
          <w:szCs w:val="20"/>
        </w:rPr>
        <w:t xml:space="preserve"> of the total issued share capital of the </w:t>
      </w:r>
      <w:r w:rsidR="00953F10" w:rsidRPr="00A02B31">
        <w:rPr>
          <w:rFonts w:cstheme="minorHAnsi"/>
          <w:sz w:val="20"/>
          <w:szCs w:val="20"/>
        </w:rPr>
        <w:t>C</w:t>
      </w:r>
      <w:r w:rsidRPr="00A02B31">
        <w:rPr>
          <w:rFonts w:cstheme="minorHAnsi"/>
          <w:sz w:val="20"/>
          <w:szCs w:val="20"/>
        </w:rPr>
        <w:t xml:space="preserve">ompany as at the date of this report). </w:t>
      </w:r>
    </w:p>
    <w:p w14:paraId="02E1BA69" w14:textId="77777777" w:rsidR="003453A8" w:rsidRPr="00A02B31" w:rsidRDefault="003453A8" w:rsidP="00D7650A">
      <w:pPr>
        <w:tabs>
          <w:tab w:val="left" w:pos="920"/>
        </w:tabs>
        <w:jc w:val="both"/>
        <w:rPr>
          <w:rFonts w:cstheme="minorHAnsi"/>
          <w:b/>
          <w:i/>
          <w:sz w:val="20"/>
          <w:szCs w:val="20"/>
        </w:rPr>
      </w:pPr>
    </w:p>
    <w:p w14:paraId="6DCF2125" w14:textId="3AD47037" w:rsidR="0059644F" w:rsidRPr="00A02B31" w:rsidRDefault="00DA53F6" w:rsidP="00D7650A">
      <w:pPr>
        <w:tabs>
          <w:tab w:val="left" w:pos="920"/>
        </w:tabs>
        <w:jc w:val="both"/>
        <w:rPr>
          <w:rFonts w:cstheme="minorHAnsi"/>
          <w:sz w:val="20"/>
          <w:szCs w:val="20"/>
        </w:rPr>
      </w:pPr>
      <w:r w:rsidRPr="00A02B31">
        <w:rPr>
          <w:rFonts w:cstheme="minorHAnsi"/>
          <w:b/>
          <w:i/>
          <w:sz w:val="20"/>
          <w:szCs w:val="20"/>
        </w:rPr>
        <w:t xml:space="preserve">Authority to allot shares outside of pre-emption rights </w:t>
      </w:r>
    </w:p>
    <w:p w14:paraId="14B30508" w14:textId="070F6751" w:rsidR="00DA53F6" w:rsidRPr="00A02B31" w:rsidRDefault="004F15AC" w:rsidP="00D7650A">
      <w:pPr>
        <w:tabs>
          <w:tab w:val="left" w:pos="920"/>
        </w:tabs>
        <w:jc w:val="both"/>
        <w:rPr>
          <w:rFonts w:cstheme="minorHAnsi"/>
          <w:sz w:val="20"/>
          <w:szCs w:val="20"/>
        </w:rPr>
      </w:pPr>
      <w:r w:rsidRPr="00A02B31">
        <w:rPr>
          <w:rFonts w:cstheme="minorHAnsi"/>
          <w:sz w:val="20"/>
          <w:szCs w:val="20"/>
        </w:rPr>
        <w:t xml:space="preserve">Subject to the passing of resolution </w:t>
      </w:r>
      <w:r w:rsidR="005223B2" w:rsidRPr="00A02B31">
        <w:rPr>
          <w:rFonts w:cstheme="minorHAnsi"/>
          <w:sz w:val="20"/>
          <w:szCs w:val="20"/>
        </w:rPr>
        <w:t>5</w:t>
      </w:r>
      <w:r w:rsidRPr="00A02B31">
        <w:rPr>
          <w:rFonts w:cstheme="minorHAnsi"/>
          <w:sz w:val="20"/>
          <w:szCs w:val="20"/>
        </w:rPr>
        <w:t xml:space="preserve">, resolutions </w:t>
      </w:r>
      <w:r w:rsidR="005223B2" w:rsidRPr="00A02B31">
        <w:rPr>
          <w:rFonts w:cstheme="minorHAnsi"/>
          <w:sz w:val="20"/>
          <w:szCs w:val="20"/>
        </w:rPr>
        <w:t xml:space="preserve">6 </w:t>
      </w:r>
      <w:r w:rsidRPr="00A02B31">
        <w:rPr>
          <w:rFonts w:cstheme="minorHAnsi"/>
          <w:sz w:val="20"/>
          <w:szCs w:val="20"/>
        </w:rPr>
        <w:t xml:space="preserve">and </w:t>
      </w:r>
      <w:r w:rsidR="005223B2" w:rsidRPr="00A02B31">
        <w:rPr>
          <w:rFonts w:cstheme="minorHAnsi"/>
          <w:sz w:val="20"/>
          <w:szCs w:val="20"/>
        </w:rPr>
        <w:t xml:space="preserve">7 </w:t>
      </w:r>
      <w:r w:rsidRPr="00A02B31">
        <w:rPr>
          <w:rFonts w:cstheme="minorHAnsi"/>
          <w:sz w:val="20"/>
          <w:szCs w:val="20"/>
        </w:rPr>
        <w:t>will allow the Company to issue, in aggregate, up to 20 per cent. of the number of Ordinary Shares in issue as at 31 March 2022, and to sell Ordinary Shares held in treasury</w:t>
      </w:r>
      <w:r w:rsidR="008F1228" w:rsidRPr="00A02B31">
        <w:rPr>
          <w:rFonts w:cstheme="minorHAnsi"/>
          <w:sz w:val="20"/>
          <w:szCs w:val="20"/>
        </w:rPr>
        <w:t xml:space="preserve"> for cash as if section 561 of the Companies Act 2006 did not apply. </w:t>
      </w:r>
      <w:r w:rsidRPr="00A02B31">
        <w:rPr>
          <w:rFonts w:cstheme="minorHAnsi"/>
          <w:sz w:val="20"/>
          <w:szCs w:val="20"/>
        </w:rPr>
        <w:t xml:space="preserve">The Directors recognise that this authority is beyond the standard 10 per cent. sought by investment companies, but believe that the passing of both resolution </w:t>
      </w:r>
      <w:r w:rsidR="005223B2" w:rsidRPr="00A02B31">
        <w:rPr>
          <w:rFonts w:cstheme="minorHAnsi"/>
          <w:sz w:val="20"/>
          <w:szCs w:val="20"/>
        </w:rPr>
        <w:t xml:space="preserve">6 </w:t>
      </w:r>
      <w:r w:rsidRPr="00A02B31">
        <w:rPr>
          <w:rFonts w:cstheme="minorHAnsi"/>
          <w:sz w:val="20"/>
          <w:szCs w:val="20"/>
        </w:rPr>
        <w:t xml:space="preserve">and resolution </w:t>
      </w:r>
      <w:r w:rsidR="005223B2" w:rsidRPr="00A02B31">
        <w:rPr>
          <w:rFonts w:cstheme="minorHAnsi"/>
          <w:sz w:val="20"/>
          <w:szCs w:val="20"/>
        </w:rPr>
        <w:t xml:space="preserve">7 </w:t>
      </w:r>
      <w:r w:rsidRPr="00A02B31">
        <w:rPr>
          <w:rFonts w:cstheme="minorHAnsi"/>
          <w:sz w:val="20"/>
          <w:szCs w:val="20"/>
        </w:rPr>
        <w:t xml:space="preserve">is in the interests of Shareholders, given that the authority is intended to be used to fund future acquisitions of investments in line with the Company’s investment policy, thereby mitigating the potential dilution of investment returns for existing Shareholders. Furthermore, new Ordinary Shares issued under this authority will only be issued at a minimum price equal to the relevant prevailing net asset value per share plus a premium to cover any expenses of the relevant issue and therefore should not be dilutive to the net asset value (“NAV”) per existing share. </w:t>
      </w:r>
    </w:p>
    <w:p w14:paraId="7C4617EE" w14:textId="77777777" w:rsidR="00DA53F6" w:rsidRPr="00A02B31" w:rsidRDefault="00DA53F6" w:rsidP="00D7650A">
      <w:pPr>
        <w:tabs>
          <w:tab w:val="left" w:pos="920"/>
        </w:tabs>
        <w:jc w:val="both"/>
        <w:rPr>
          <w:rFonts w:cstheme="minorHAnsi"/>
          <w:sz w:val="20"/>
          <w:szCs w:val="20"/>
        </w:rPr>
      </w:pPr>
    </w:p>
    <w:p w14:paraId="69282D1F" w14:textId="648C7E90" w:rsidR="004F15AC" w:rsidRPr="00A02B31" w:rsidRDefault="004F15AC" w:rsidP="00D7650A">
      <w:pPr>
        <w:tabs>
          <w:tab w:val="left" w:pos="920"/>
        </w:tabs>
        <w:jc w:val="both"/>
        <w:rPr>
          <w:rFonts w:cstheme="minorHAnsi"/>
          <w:sz w:val="20"/>
          <w:szCs w:val="20"/>
        </w:rPr>
      </w:pPr>
      <w:r w:rsidRPr="00A02B31">
        <w:rPr>
          <w:rFonts w:cstheme="minorHAnsi"/>
          <w:sz w:val="20"/>
          <w:szCs w:val="20"/>
        </w:rPr>
        <w:lastRenderedPageBreak/>
        <w:t xml:space="preserve">If resolution </w:t>
      </w:r>
      <w:r w:rsidR="005223B2" w:rsidRPr="00A02B31">
        <w:rPr>
          <w:rFonts w:cstheme="minorHAnsi"/>
          <w:sz w:val="20"/>
          <w:szCs w:val="20"/>
        </w:rPr>
        <w:t xml:space="preserve">6 </w:t>
      </w:r>
      <w:r w:rsidRPr="00A02B31">
        <w:rPr>
          <w:rFonts w:cstheme="minorHAnsi"/>
          <w:sz w:val="20"/>
          <w:szCs w:val="20"/>
        </w:rPr>
        <w:t xml:space="preserve">is passed but resolution </w:t>
      </w:r>
      <w:r w:rsidR="005223B2" w:rsidRPr="00A02B31">
        <w:rPr>
          <w:rFonts w:cstheme="minorHAnsi"/>
          <w:sz w:val="20"/>
          <w:szCs w:val="20"/>
        </w:rPr>
        <w:t xml:space="preserve">7 </w:t>
      </w:r>
      <w:r w:rsidRPr="00A02B31">
        <w:rPr>
          <w:rFonts w:cstheme="minorHAnsi"/>
          <w:sz w:val="20"/>
          <w:szCs w:val="20"/>
        </w:rPr>
        <w:t>is not passed, Shareholders will only be granting Directors the authority to allot up 10 per cent. of the existing issued Ordinary Share capital of the Company.</w:t>
      </w:r>
    </w:p>
    <w:p w14:paraId="78150AD9" w14:textId="77777777" w:rsidR="004F15AC" w:rsidRPr="00A02B31" w:rsidRDefault="004F15AC" w:rsidP="00D7650A">
      <w:pPr>
        <w:tabs>
          <w:tab w:val="left" w:pos="920"/>
        </w:tabs>
        <w:jc w:val="both"/>
        <w:rPr>
          <w:rFonts w:cstheme="minorHAnsi"/>
          <w:sz w:val="20"/>
          <w:szCs w:val="20"/>
        </w:rPr>
      </w:pPr>
    </w:p>
    <w:p w14:paraId="0DC04A79" w14:textId="02B4A543" w:rsidR="00D7650A" w:rsidRPr="00A02B31" w:rsidRDefault="00DA53F6" w:rsidP="00D7650A">
      <w:pPr>
        <w:tabs>
          <w:tab w:val="left" w:pos="920"/>
        </w:tabs>
        <w:jc w:val="both"/>
        <w:rPr>
          <w:rFonts w:cstheme="minorHAnsi"/>
          <w:sz w:val="20"/>
          <w:szCs w:val="20"/>
        </w:rPr>
      </w:pPr>
      <w:r w:rsidRPr="00A02B31">
        <w:rPr>
          <w:rFonts w:cstheme="minorHAnsi"/>
          <w:b/>
          <w:i/>
          <w:sz w:val="20"/>
          <w:szCs w:val="20"/>
        </w:rPr>
        <w:t>Authority to make market purchases of the Company’s own shares</w:t>
      </w:r>
    </w:p>
    <w:p w14:paraId="24F5C0CE" w14:textId="7CE05784" w:rsidR="00D7650A" w:rsidRPr="00A02B31" w:rsidRDefault="00D7650A" w:rsidP="00D7650A">
      <w:pPr>
        <w:tabs>
          <w:tab w:val="left" w:pos="920"/>
        </w:tabs>
        <w:jc w:val="both"/>
        <w:rPr>
          <w:rFonts w:cstheme="minorHAnsi"/>
          <w:sz w:val="20"/>
          <w:szCs w:val="20"/>
        </w:rPr>
      </w:pPr>
      <w:r w:rsidRPr="00A02B31">
        <w:rPr>
          <w:rFonts w:cstheme="minorHAnsi"/>
          <w:sz w:val="20"/>
          <w:szCs w:val="20"/>
        </w:rPr>
        <w:t xml:space="preserve">Resolution </w:t>
      </w:r>
      <w:r w:rsidR="005223B2" w:rsidRPr="00A02B31">
        <w:rPr>
          <w:rFonts w:cstheme="minorHAnsi"/>
          <w:sz w:val="20"/>
          <w:szCs w:val="20"/>
        </w:rPr>
        <w:t>8</w:t>
      </w:r>
      <w:r w:rsidR="00D86526" w:rsidRPr="00A02B31">
        <w:rPr>
          <w:rFonts w:cstheme="minorHAnsi"/>
          <w:sz w:val="20"/>
          <w:szCs w:val="20"/>
        </w:rPr>
        <w:t>, which is a special resolution, will give</w:t>
      </w:r>
      <w:r w:rsidRPr="00A02B31">
        <w:rPr>
          <w:rFonts w:cstheme="minorHAnsi"/>
          <w:sz w:val="20"/>
          <w:szCs w:val="20"/>
        </w:rPr>
        <w:t xml:space="preserve"> the Company authority to make market purchases of up to </w:t>
      </w:r>
      <w:r w:rsidR="0034361E" w:rsidRPr="00A02B31">
        <w:rPr>
          <w:rFonts w:cstheme="minorHAnsi"/>
          <w:sz w:val="20"/>
          <w:szCs w:val="20"/>
        </w:rPr>
        <w:t xml:space="preserve">381,157 </w:t>
      </w:r>
      <w:r w:rsidR="00953F10" w:rsidRPr="00A02B31">
        <w:rPr>
          <w:rFonts w:cstheme="minorHAnsi"/>
          <w:sz w:val="20"/>
          <w:szCs w:val="20"/>
        </w:rPr>
        <w:t>O</w:t>
      </w:r>
      <w:r w:rsidRPr="00A02B31">
        <w:rPr>
          <w:rFonts w:cstheme="minorHAnsi"/>
          <w:sz w:val="20"/>
          <w:szCs w:val="20"/>
        </w:rPr>
        <w:t xml:space="preserve">rdinary </w:t>
      </w:r>
      <w:r w:rsidR="00953F10" w:rsidRPr="00A02B31">
        <w:rPr>
          <w:rFonts w:cstheme="minorHAnsi"/>
          <w:sz w:val="20"/>
          <w:szCs w:val="20"/>
        </w:rPr>
        <w:t>S</w:t>
      </w:r>
      <w:r w:rsidRPr="00A02B31">
        <w:rPr>
          <w:rFonts w:cstheme="minorHAnsi"/>
          <w:sz w:val="20"/>
          <w:szCs w:val="20"/>
        </w:rPr>
        <w:t xml:space="preserve">hares, representing </w:t>
      </w:r>
      <w:r w:rsidR="00AD62BE" w:rsidRPr="00A02B31">
        <w:rPr>
          <w:rFonts w:cstheme="minorHAnsi"/>
          <w:sz w:val="20"/>
          <w:szCs w:val="20"/>
        </w:rPr>
        <w:t>14.99</w:t>
      </w:r>
      <w:r w:rsidR="00953F10" w:rsidRPr="00A02B31">
        <w:rPr>
          <w:rFonts w:cstheme="minorHAnsi"/>
          <w:sz w:val="20"/>
          <w:szCs w:val="20"/>
        </w:rPr>
        <w:t>%</w:t>
      </w:r>
      <w:r w:rsidRPr="00A02B31">
        <w:rPr>
          <w:rFonts w:cstheme="minorHAnsi"/>
          <w:sz w:val="20"/>
          <w:szCs w:val="20"/>
        </w:rPr>
        <w:t xml:space="preserve"> of the Company’s issued ordinary share capital (excluding tre</w:t>
      </w:r>
      <w:r w:rsidR="008C5E98" w:rsidRPr="00A02B31">
        <w:rPr>
          <w:rFonts w:cstheme="minorHAnsi"/>
          <w:sz w:val="20"/>
          <w:szCs w:val="20"/>
        </w:rPr>
        <w:t xml:space="preserve">asury shares) as at </w:t>
      </w:r>
      <w:r w:rsidR="0034361E" w:rsidRPr="00A02B31">
        <w:rPr>
          <w:rFonts w:cstheme="minorHAnsi"/>
          <w:sz w:val="20"/>
          <w:szCs w:val="20"/>
        </w:rPr>
        <w:t>the date of this report</w:t>
      </w:r>
      <w:r w:rsidRPr="00A02B31">
        <w:rPr>
          <w:rFonts w:cstheme="minorHAnsi"/>
          <w:sz w:val="20"/>
          <w:szCs w:val="20"/>
        </w:rPr>
        <w:t xml:space="preserve"> (the latest practicable date before publication of this document).</w:t>
      </w:r>
    </w:p>
    <w:p w14:paraId="02F255D6" w14:textId="77777777" w:rsidR="00D7650A" w:rsidRPr="00A02B31" w:rsidRDefault="00D7650A" w:rsidP="00D7650A">
      <w:pPr>
        <w:tabs>
          <w:tab w:val="left" w:pos="920"/>
        </w:tabs>
        <w:jc w:val="both"/>
        <w:rPr>
          <w:rFonts w:cstheme="minorHAnsi"/>
          <w:sz w:val="20"/>
          <w:szCs w:val="20"/>
        </w:rPr>
      </w:pPr>
    </w:p>
    <w:p w14:paraId="25D3B2A8" w14:textId="77777777" w:rsidR="00D7650A" w:rsidRPr="00A02B31" w:rsidRDefault="00D7650A" w:rsidP="00D7650A">
      <w:pPr>
        <w:tabs>
          <w:tab w:val="left" w:pos="920"/>
        </w:tabs>
        <w:jc w:val="both"/>
        <w:rPr>
          <w:rFonts w:cstheme="minorHAnsi"/>
          <w:sz w:val="20"/>
          <w:szCs w:val="20"/>
        </w:rPr>
      </w:pPr>
      <w:r w:rsidRPr="00A02B31">
        <w:rPr>
          <w:rFonts w:cstheme="minorHAnsi"/>
          <w:sz w:val="20"/>
          <w:szCs w:val="20"/>
        </w:rPr>
        <w:t xml:space="preserve">The resolution sets minimum and maximum prices. The Directors </w:t>
      </w:r>
      <w:r w:rsidR="008F740B" w:rsidRPr="00A02B31">
        <w:rPr>
          <w:rFonts w:cstheme="minorHAnsi"/>
          <w:sz w:val="20"/>
          <w:szCs w:val="20"/>
        </w:rPr>
        <w:t xml:space="preserve">will only use this authority to undertake a </w:t>
      </w:r>
      <w:r w:rsidR="00366E87" w:rsidRPr="00A02B31">
        <w:rPr>
          <w:rFonts w:cstheme="minorHAnsi"/>
          <w:sz w:val="20"/>
          <w:szCs w:val="20"/>
        </w:rPr>
        <w:t xml:space="preserve">further </w:t>
      </w:r>
      <w:r w:rsidR="008F740B" w:rsidRPr="00A02B31">
        <w:rPr>
          <w:rFonts w:cstheme="minorHAnsi"/>
          <w:sz w:val="20"/>
          <w:szCs w:val="20"/>
        </w:rPr>
        <w:t>share</w:t>
      </w:r>
      <w:r w:rsidRPr="00A02B31">
        <w:rPr>
          <w:rFonts w:cstheme="minorHAnsi"/>
          <w:sz w:val="20"/>
          <w:szCs w:val="20"/>
        </w:rPr>
        <w:t xml:space="preserve"> buyback </w:t>
      </w:r>
      <w:r w:rsidR="008F740B" w:rsidRPr="00A02B31">
        <w:rPr>
          <w:rFonts w:cstheme="minorHAnsi"/>
          <w:sz w:val="20"/>
          <w:szCs w:val="20"/>
        </w:rPr>
        <w:t>and</w:t>
      </w:r>
      <w:r w:rsidRPr="00A02B31">
        <w:rPr>
          <w:rFonts w:cstheme="minorHAnsi"/>
          <w:sz w:val="20"/>
          <w:szCs w:val="20"/>
        </w:rPr>
        <w:t xml:space="preserve"> consider it useful to retai</w:t>
      </w:r>
      <w:r w:rsidR="00970814" w:rsidRPr="00A02B31">
        <w:rPr>
          <w:rFonts w:cstheme="minorHAnsi"/>
          <w:sz w:val="20"/>
          <w:szCs w:val="20"/>
        </w:rPr>
        <w:t>n the authority for the future</w:t>
      </w:r>
      <w:r w:rsidRPr="00A02B31">
        <w:rPr>
          <w:rFonts w:cstheme="minorHAnsi"/>
          <w:sz w:val="20"/>
          <w:szCs w:val="20"/>
        </w:rPr>
        <w:t xml:space="preserve"> in case circumstances alter.</w:t>
      </w:r>
    </w:p>
    <w:p w14:paraId="4579AE8D" w14:textId="77777777" w:rsidR="00D7650A" w:rsidRPr="00A02B31" w:rsidRDefault="00D7650A" w:rsidP="00D7650A">
      <w:pPr>
        <w:tabs>
          <w:tab w:val="left" w:pos="920"/>
        </w:tabs>
        <w:jc w:val="both"/>
        <w:rPr>
          <w:rFonts w:cstheme="minorHAnsi"/>
          <w:sz w:val="20"/>
          <w:szCs w:val="20"/>
        </w:rPr>
      </w:pPr>
    </w:p>
    <w:p w14:paraId="682A27B2" w14:textId="664A8709" w:rsidR="00D7650A" w:rsidRPr="00A02B31" w:rsidRDefault="00D7650A" w:rsidP="00D7650A">
      <w:pPr>
        <w:tabs>
          <w:tab w:val="left" w:pos="920"/>
        </w:tabs>
        <w:jc w:val="both"/>
        <w:rPr>
          <w:rFonts w:cstheme="minorHAnsi"/>
          <w:sz w:val="20"/>
          <w:szCs w:val="20"/>
        </w:rPr>
      </w:pPr>
      <w:r w:rsidRPr="00A02B31">
        <w:rPr>
          <w:rFonts w:cstheme="minorHAnsi"/>
          <w:sz w:val="20"/>
          <w:szCs w:val="20"/>
        </w:rPr>
        <w:t xml:space="preserve">The authorities contained in </w:t>
      </w:r>
      <w:r w:rsidR="00953F10" w:rsidRPr="00A02B31">
        <w:rPr>
          <w:rFonts w:cstheme="minorHAnsi"/>
          <w:sz w:val="20"/>
          <w:szCs w:val="20"/>
        </w:rPr>
        <w:t>R</w:t>
      </w:r>
      <w:r w:rsidRPr="00A02B31">
        <w:rPr>
          <w:rFonts w:cstheme="minorHAnsi"/>
          <w:sz w:val="20"/>
          <w:szCs w:val="20"/>
        </w:rPr>
        <w:t xml:space="preserve">esolutions </w:t>
      </w:r>
      <w:r w:rsidR="005223B2" w:rsidRPr="00A02B31">
        <w:rPr>
          <w:rFonts w:cstheme="minorHAnsi"/>
          <w:sz w:val="20"/>
          <w:szCs w:val="20"/>
        </w:rPr>
        <w:t xml:space="preserve">5 </w:t>
      </w:r>
      <w:r w:rsidRPr="00A02B31">
        <w:rPr>
          <w:rFonts w:cstheme="minorHAnsi"/>
          <w:sz w:val="20"/>
          <w:szCs w:val="20"/>
        </w:rPr>
        <w:t xml:space="preserve">to </w:t>
      </w:r>
      <w:r w:rsidR="00D86526" w:rsidRPr="00A02B31">
        <w:rPr>
          <w:rFonts w:cstheme="minorHAnsi"/>
          <w:sz w:val="20"/>
          <w:szCs w:val="20"/>
        </w:rPr>
        <w:t>8</w:t>
      </w:r>
      <w:r w:rsidRPr="00A02B31">
        <w:rPr>
          <w:rFonts w:cstheme="minorHAnsi"/>
          <w:sz w:val="20"/>
          <w:szCs w:val="20"/>
        </w:rPr>
        <w:t xml:space="preserve"> will continue until the </w:t>
      </w:r>
      <w:r w:rsidR="00953F10" w:rsidRPr="00A02B31">
        <w:rPr>
          <w:rFonts w:cstheme="minorHAnsi"/>
          <w:sz w:val="20"/>
          <w:szCs w:val="20"/>
        </w:rPr>
        <w:t>AGM</w:t>
      </w:r>
      <w:r w:rsidR="009C2CD1" w:rsidRPr="00A02B31">
        <w:rPr>
          <w:rFonts w:cstheme="minorHAnsi"/>
          <w:sz w:val="20"/>
          <w:szCs w:val="20"/>
        </w:rPr>
        <w:t xml:space="preserve"> of the Company in 202</w:t>
      </w:r>
      <w:r w:rsidR="001A120A" w:rsidRPr="00A02B31">
        <w:rPr>
          <w:rFonts w:cstheme="minorHAnsi"/>
          <w:sz w:val="20"/>
          <w:szCs w:val="20"/>
        </w:rPr>
        <w:t>2</w:t>
      </w:r>
      <w:r w:rsidR="009C2CD1" w:rsidRPr="00A02B31">
        <w:rPr>
          <w:rFonts w:cstheme="minorHAnsi"/>
          <w:sz w:val="20"/>
          <w:szCs w:val="20"/>
        </w:rPr>
        <w:t>, or 30 September 202</w:t>
      </w:r>
      <w:r w:rsidR="0034361E" w:rsidRPr="00A02B31">
        <w:rPr>
          <w:rFonts w:cstheme="minorHAnsi"/>
          <w:sz w:val="20"/>
          <w:szCs w:val="20"/>
        </w:rPr>
        <w:t>3</w:t>
      </w:r>
      <w:r w:rsidRPr="00A02B31">
        <w:rPr>
          <w:rFonts w:cstheme="minorHAnsi"/>
          <w:sz w:val="20"/>
          <w:szCs w:val="20"/>
        </w:rPr>
        <w:t xml:space="preserve"> if earlier. It is intended that renewal of these authorities will be sought at each AGM.</w:t>
      </w:r>
    </w:p>
    <w:p w14:paraId="56BD7D9D" w14:textId="21B92283" w:rsidR="0094220D" w:rsidRPr="00A02B31" w:rsidRDefault="0094220D" w:rsidP="00D7650A">
      <w:pPr>
        <w:tabs>
          <w:tab w:val="left" w:pos="920"/>
        </w:tabs>
        <w:jc w:val="both"/>
        <w:rPr>
          <w:rFonts w:cstheme="minorHAnsi"/>
          <w:sz w:val="20"/>
          <w:szCs w:val="20"/>
        </w:rPr>
      </w:pPr>
    </w:p>
    <w:p w14:paraId="566DC551" w14:textId="08F8AD0A" w:rsidR="0094220D" w:rsidRPr="00A02B31" w:rsidRDefault="0094220D" w:rsidP="00D7650A">
      <w:pPr>
        <w:tabs>
          <w:tab w:val="left" w:pos="920"/>
        </w:tabs>
        <w:jc w:val="both"/>
        <w:rPr>
          <w:rFonts w:cstheme="minorHAnsi"/>
          <w:b/>
          <w:i/>
          <w:sz w:val="20"/>
          <w:szCs w:val="20"/>
        </w:rPr>
      </w:pPr>
      <w:r w:rsidRPr="00A02B31">
        <w:rPr>
          <w:rFonts w:cstheme="minorHAnsi"/>
          <w:b/>
          <w:i/>
          <w:sz w:val="20"/>
          <w:szCs w:val="20"/>
        </w:rPr>
        <w:t xml:space="preserve">Adopt a new set of Articles of Association </w:t>
      </w:r>
    </w:p>
    <w:p w14:paraId="3441B4A7" w14:textId="683F53A9" w:rsidR="00D7650A" w:rsidRDefault="00BD3B99" w:rsidP="00D7650A">
      <w:pPr>
        <w:tabs>
          <w:tab w:val="left" w:pos="920"/>
        </w:tabs>
        <w:jc w:val="both"/>
        <w:rPr>
          <w:rFonts w:cstheme="minorHAnsi"/>
          <w:sz w:val="20"/>
          <w:szCs w:val="20"/>
        </w:rPr>
      </w:pPr>
      <w:r w:rsidRPr="00BD3B99">
        <w:rPr>
          <w:rFonts w:cstheme="minorHAnsi"/>
          <w:sz w:val="20"/>
          <w:szCs w:val="20"/>
        </w:rPr>
        <w:t>Resolution 9, which is a special resolution, will allow the Company to adopt a new set of Articles of Association, in substitution for the existing Articles of Association.  The new Articles of Association would allow general meetings of the shareholders and meetings of the directors to be held both in person and electronically.  The new Articles of Association also allow unclaimed dividends to be recovered by the Company after 6 years has elapsed, rather than 12 years. The Articles would also allow for the sale of shares held by shareholders that are untraceable for a period of 6 years rather than for a period of 12 years, although this provision is not currently anticipated to be used.</w:t>
      </w:r>
    </w:p>
    <w:p w14:paraId="60795FEC" w14:textId="77777777" w:rsidR="00BD3B99" w:rsidRPr="00A02B31" w:rsidRDefault="00BD3B99" w:rsidP="00D7650A">
      <w:pPr>
        <w:tabs>
          <w:tab w:val="left" w:pos="920"/>
        </w:tabs>
        <w:jc w:val="both"/>
        <w:rPr>
          <w:rFonts w:cstheme="minorHAnsi"/>
          <w:sz w:val="20"/>
          <w:szCs w:val="20"/>
        </w:rPr>
      </w:pPr>
    </w:p>
    <w:p w14:paraId="57BC2E1A" w14:textId="77777777" w:rsidR="00D7650A" w:rsidRPr="00A02B31" w:rsidRDefault="00D7650A" w:rsidP="00D7650A">
      <w:pPr>
        <w:tabs>
          <w:tab w:val="left" w:pos="920"/>
        </w:tabs>
        <w:jc w:val="both"/>
        <w:rPr>
          <w:rFonts w:cstheme="minorHAnsi"/>
          <w:b/>
          <w:sz w:val="20"/>
          <w:szCs w:val="20"/>
        </w:rPr>
      </w:pPr>
      <w:r w:rsidRPr="00A02B31">
        <w:rPr>
          <w:rFonts w:cstheme="minorHAnsi"/>
          <w:b/>
          <w:sz w:val="20"/>
          <w:szCs w:val="20"/>
        </w:rPr>
        <w:t>Recommendation</w:t>
      </w:r>
    </w:p>
    <w:p w14:paraId="69418791" w14:textId="68522D77" w:rsidR="00D7650A" w:rsidRPr="00A02B31" w:rsidRDefault="00D7650A" w:rsidP="00D7650A">
      <w:pPr>
        <w:tabs>
          <w:tab w:val="left" w:pos="920"/>
        </w:tabs>
        <w:jc w:val="both"/>
        <w:rPr>
          <w:rFonts w:cstheme="minorHAnsi"/>
          <w:sz w:val="20"/>
          <w:szCs w:val="20"/>
        </w:rPr>
      </w:pPr>
      <w:r w:rsidRPr="00A02B31">
        <w:rPr>
          <w:rFonts w:cstheme="minorHAnsi"/>
          <w:sz w:val="20"/>
          <w:szCs w:val="20"/>
        </w:rPr>
        <w:t xml:space="preserve">The </w:t>
      </w:r>
      <w:r w:rsidR="00C85047" w:rsidRPr="00A02B31">
        <w:rPr>
          <w:rFonts w:cstheme="minorHAnsi"/>
          <w:sz w:val="20"/>
          <w:szCs w:val="20"/>
        </w:rPr>
        <w:t>b</w:t>
      </w:r>
      <w:r w:rsidRPr="00A02B31">
        <w:rPr>
          <w:rFonts w:cstheme="minorHAnsi"/>
          <w:sz w:val="20"/>
          <w:szCs w:val="20"/>
        </w:rPr>
        <w:t xml:space="preserve">oard considers that the passing of the resolutions to be proposed at the </w:t>
      </w:r>
      <w:r w:rsidR="00953F10" w:rsidRPr="00A02B31">
        <w:rPr>
          <w:rFonts w:cstheme="minorHAnsi"/>
          <w:sz w:val="20"/>
          <w:szCs w:val="20"/>
        </w:rPr>
        <w:t>AGM</w:t>
      </w:r>
      <w:r w:rsidRPr="00A02B31">
        <w:rPr>
          <w:rFonts w:cstheme="minorHAnsi"/>
          <w:sz w:val="20"/>
          <w:szCs w:val="20"/>
        </w:rPr>
        <w:t xml:space="preserve"> is in the interests of the Company and its shareholders as a whole and they unanimously recommend that shareholders vote in favour of those resolutions.</w:t>
      </w:r>
    </w:p>
    <w:p w14:paraId="11FAA3A4" w14:textId="77777777" w:rsidR="00D7650A" w:rsidRPr="00A02B31" w:rsidRDefault="00D7650A" w:rsidP="00D7650A">
      <w:pPr>
        <w:tabs>
          <w:tab w:val="left" w:pos="920"/>
        </w:tabs>
        <w:jc w:val="both"/>
        <w:rPr>
          <w:rFonts w:cstheme="minorHAnsi"/>
          <w:sz w:val="20"/>
          <w:szCs w:val="20"/>
        </w:rPr>
      </w:pPr>
    </w:p>
    <w:p w14:paraId="57647583" w14:textId="77777777" w:rsidR="00D7650A" w:rsidRPr="00A02B31" w:rsidRDefault="00D7650A" w:rsidP="00D7650A">
      <w:pPr>
        <w:tabs>
          <w:tab w:val="left" w:pos="920"/>
        </w:tabs>
        <w:rPr>
          <w:rFonts w:cstheme="minorHAnsi"/>
          <w:sz w:val="20"/>
          <w:szCs w:val="20"/>
        </w:rPr>
      </w:pPr>
      <w:r w:rsidRPr="00A02B31">
        <w:rPr>
          <w:rFonts w:cstheme="minorHAnsi"/>
          <w:sz w:val="20"/>
          <w:szCs w:val="20"/>
        </w:rPr>
        <w:t>Approved by the Board of Directors</w:t>
      </w:r>
    </w:p>
    <w:p w14:paraId="43FCFF80" w14:textId="77777777" w:rsidR="00D7650A" w:rsidRPr="00A02B31" w:rsidRDefault="00D7650A" w:rsidP="00D7650A">
      <w:pPr>
        <w:tabs>
          <w:tab w:val="left" w:pos="920"/>
        </w:tabs>
        <w:rPr>
          <w:rFonts w:cstheme="minorHAnsi"/>
          <w:sz w:val="20"/>
          <w:szCs w:val="20"/>
        </w:rPr>
      </w:pPr>
      <w:r w:rsidRPr="00A02B31">
        <w:rPr>
          <w:rFonts w:cstheme="minorHAnsi"/>
          <w:sz w:val="20"/>
          <w:szCs w:val="20"/>
        </w:rPr>
        <w:t>and signed on its behalf</w:t>
      </w:r>
    </w:p>
    <w:p w14:paraId="5BE2B454" w14:textId="4615AC0A" w:rsidR="00D7650A" w:rsidRPr="00A02B31" w:rsidRDefault="00FB7970" w:rsidP="00D7650A">
      <w:pPr>
        <w:tabs>
          <w:tab w:val="left" w:pos="920"/>
        </w:tabs>
        <w:rPr>
          <w:rFonts w:cstheme="minorHAnsi"/>
          <w:sz w:val="20"/>
          <w:szCs w:val="20"/>
        </w:rPr>
      </w:pPr>
      <w:r>
        <w:rPr>
          <w:noProof/>
          <w:lang w:eastAsia="en-GB"/>
        </w:rPr>
        <w:drawing>
          <wp:anchor distT="0" distB="0" distL="114300" distR="114300" simplePos="0" relativeHeight="251735040" behindDoc="1" locked="0" layoutInCell="1" allowOverlap="1" wp14:anchorId="7E69C9E1" wp14:editId="012446C8">
            <wp:simplePos x="0" y="0"/>
            <wp:positionH relativeFrom="margin">
              <wp:align>left</wp:align>
            </wp:positionH>
            <wp:positionV relativeFrom="paragraph">
              <wp:posOffset>154940</wp:posOffset>
            </wp:positionV>
            <wp:extent cx="882650" cy="510449"/>
            <wp:effectExtent l="0" t="0" r="0" b="444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82650" cy="510449"/>
                    </a:xfrm>
                    <a:prstGeom prst="rect">
                      <a:avLst/>
                    </a:prstGeom>
                  </pic:spPr>
                </pic:pic>
              </a:graphicData>
            </a:graphic>
            <wp14:sizeRelH relativeFrom="margin">
              <wp14:pctWidth>0</wp14:pctWidth>
            </wp14:sizeRelH>
            <wp14:sizeRelV relativeFrom="margin">
              <wp14:pctHeight>0</wp14:pctHeight>
            </wp14:sizeRelV>
          </wp:anchor>
        </w:drawing>
      </w:r>
    </w:p>
    <w:p w14:paraId="0D36F211" w14:textId="5F07B773" w:rsidR="005452DB" w:rsidRPr="00A02B31" w:rsidRDefault="005452DB" w:rsidP="000A1433">
      <w:pPr>
        <w:tabs>
          <w:tab w:val="left" w:pos="920"/>
        </w:tabs>
        <w:rPr>
          <w:rFonts w:cstheme="minorHAnsi"/>
          <w:sz w:val="20"/>
          <w:szCs w:val="20"/>
        </w:rPr>
      </w:pPr>
    </w:p>
    <w:p w14:paraId="0FF124A2" w14:textId="6FA54311" w:rsidR="00D93C0B" w:rsidRDefault="00D93C0B" w:rsidP="000A1433">
      <w:pPr>
        <w:tabs>
          <w:tab w:val="left" w:pos="920"/>
        </w:tabs>
        <w:rPr>
          <w:rFonts w:cstheme="minorHAnsi"/>
          <w:sz w:val="20"/>
          <w:szCs w:val="20"/>
        </w:rPr>
      </w:pPr>
    </w:p>
    <w:p w14:paraId="320AD67E" w14:textId="77777777" w:rsidR="00FB7970" w:rsidRPr="00A02B31" w:rsidRDefault="00FB7970" w:rsidP="000A1433">
      <w:pPr>
        <w:tabs>
          <w:tab w:val="left" w:pos="920"/>
        </w:tabs>
        <w:rPr>
          <w:rFonts w:cstheme="minorHAnsi"/>
          <w:sz w:val="20"/>
          <w:szCs w:val="20"/>
        </w:rPr>
      </w:pPr>
    </w:p>
    <w:p w14:paraId="31172602" w14:textId="77777777" w:rsidR="004D36A0" w:rsidRPr="00A02B31" w:rsidRDefault="004D36A0" w:rsidP="004D36A0">
      <w:pPr>
        <w:rPr>
          <w:rFonts w:cstheme="minorHAnsi"/>
          <w:sz w:val="20"/>
          <w:szCs w:val="20"/>
        </w:rPr>
      </w:pPr>
      <w:r w:rsidRPr="00A02B31">
        <w:rPr>
          <w:rFonts w:cstheme="minorHAnsi"/>
          <w:sz w:val="20"/>
          <w:szCs w:val="20"/>
        </w:rPr>
        <w:t xml:space="preserve">SGH Company Secretaries Limited </w:t>
      </w:r>
    </w:p>
    <w:p w14:paraId="6019D552" w14:textId="77777777" w:rsidR="000A1433" w:rsidRPr="00A02B31" w:rsidRDefault="000A1433" w:rsidP="000A1433">
      <w:pPr>
        <w:tabs>
          <w:tab w:val="left" w:pos="920"/>
        </w:tabs>
        <w:rPr>
          <w:rFonts w:cstheme="minorHAnsi"/>
          <w:sz w:val="20"/>
          <w:szCs w:val="20"/>
        </w:rPr>
      </w:pPr>
      <w:r w:rsidRPr="00A02B31">
        <w:rPr>
          <w:rFonts w:cstheme="minorHAnsi"/>
          <w:sz w:val="20"/>
          <w:szCs w:val="20"/>
        </w:rPr>
        <w:t>Company Secretary</w:t>
      </w:r>
    </w:p>
    <w:p w14:paraId="5A198646" w14:textId="77777777" w:rsidR="00D93C0B" w:rsidRPr="00A02B31" w:rsidRDefault="00D93C0B" w:rsidP="000A1433">
      <w:pPr>
        <w:tabs>
          <w:tab w:val="left" w:pos="920"/>
        </w:tabs>
        <w:rPr>
          <w:rFonts w:cstheme="minorHAnsi"/>
          <w:sz w:val="20"/>
          <w:szCs w:val="20"/>
        </w:rPr>
      </w:pPr>
    </w:p>
    <w:p w14:paraId="20412351" w14:textId="6D776366" w:rsidR="000A1433" w:rsidRPr="00A02B31" w:rsidRDefault="00E65D8E" w:rsidP="000A1433">
      <w:pPr>
        <w:tabs>
          <w:tab w:val="left" w:pos="920"/>
        </w:tabs>
        <w:rPr>
          <w:rFonts w:cstheme="minorHAnsi"/>
          <w:sz w:val="20"/>
          <w:szCs w:val="20"/>
        </w:rPr>
      </w:pPr>
      <w:r w:rsidRPr="00A02B31">
        <w:rPr>
          <w:rFonts w:cstheme="minorHAnsi"/>
          <w:sz w:val="20"/>
          <w:szCs w:val="20"/>
        </w:rPr>
        <w:t>22</w:t>
      </w:r>
      <w:r w:rsidR="004F7B9E" w:rsidRPr="00A02B31">
        <w:rPr>
          <w:rFonts w:cstheme="minorHAnsi"/>
          <w:sz w:val="20"/>
          <w:szCs w:val="20"/>
        </w:rPr>
        <w:t xml:space="preserve"> </w:t>
      </w:r>
      <w:r w:rsidR="00FF7441" w:rsidRPr="00A02B31">
        <w:rPr>
          <w:rFonts w:cstheme="minorHAnsi"/>
          <w:sz w:val="20"/>
          <w:szCs w:val="20"/>
        </w:rPr>
        <w:t>June 202</w:t>
      </w:r>
      <w:r w:rsidR="0034361E" w:rsidRPr="00A02B31">
        <w:rPr>
          <w:rFonts w:cstheme="minorHAnsi"/>
          <w:sz w:val="20"/>
          <w:szCs w:val="20"/>
        </w:rPr>
        <w:t>2</w:t>
      </w:r>
    </w:p>
    <w:p w14:paraId="7DF4A5E0" w14:textId="77777777" w:rsidR="000A1433" w:rsidRPr="00A02B31" w:rsidRDefault="000A1433" w:rsidP="000A1433">
      <w:pPr>
        <w:tabs>
          <w:tab w:val="left" w:pos="920"/>
        </w:tabs>
        <w:rPr>
          <w:rFonts w:cstheme="minorHAnsi"/>
          <w:sz w:val="20"/>
          <w:szCs w:val="20"/>
        </w:rPr>
      </w:pPr>
    </w:p>
    <w:p w14:paraId="439F79BD" w14:textId="356C9F40" w:rsidR="000A1433" w:rsidRPr="00A02B31" w:rsidRDefault="000A1433" w:rsidP="0094220D">
      <w:pPr>
        <w:rPr>
          <w:rFonts w:cstheme="minorHAnsi"/>
          <w:b/>
          <w:sz w:val="20"/>
          <w:szCs w:val="20"/>
        </w:rPr>
      </w:pPr>
      <w:r w:rsidRPr="00A02B31">
        <w:rPr>
          <w:rFonts w:cstheme="minorHAnsi"/>
          <w:sz w:val="20"/>
          <w:szCs w:val="20"/>
        </w:rPr>
        <w:br w:type="page"/>
      </w:r>
      <w:r w:rsidRPr="00A02B31">
        <w:rPr>
          <w:rFonts w:cstheme="minorHAnsi"/>
          <w:b/>
          <w:sz w:val="20"/>
          <w:szCs w:val="20"/>
        </w:rPr>
        <w:lastRenderedPageBreak/>
        <w:t>DIRECTORS’ RESPONSIBLIIT</w:t>
      </w:r>
      <w:r w:rsidR="0033568A" w:rsidRPr="00A02B31">
        <w:rPr>
          <w:rFonts w:cstheme="minorHAnsi"/>
          <w:b/>
          <w:sz w:val="20"/>
          <w:szCs w:val="20"/>
        </w:rPr>
        <w:t>Y STATEMENT</w:t>
      </w:r>
    </w:p>
    <w:p w14:paraId="580E2326" w14:textId="77777777" w:rsidR="000A1433" w:rsidRPr="00A02B31" w:rsidRDefault="000A1433" w:rsidP="002512A3">
      <w:pPr>
        <w:tabs>
          <w:tab w:val="left" w:pos="920"/>
        </w:tabs>
        <w:jc w:val="center"/>
        <w:rPr>
          <w:rFonts w:cstheme="minorHAnsi"/>
          <w:b/>
          <w:sz w:val="20"/>
          <w:szCs w:val="20"/>
        </w:rPr>
      </w:pPr>
    </w:p>
    <w:p w14:paraId="31675155" w14:textId="77777777" w:rsidR="000A1433" w:rsidRPr="00A02B31" w:rsidRDefault="000A1433" w:rsidP="000A1433">
      <w:pPr>
        <w:tabs>
          <w:tab w:val="left" w:pos="920"/>
        </w:tabs>
        <w:rPr>
          <w:rFonts w:cstheme="minorHAnsi"/>
          <w:sz w:val="20"/>
          <w:szCs w:val="20"/>
        </w:rPr>
      </w:pPr>
    </w:p>
    <w:p w14:paraId="63A7EC43" w14:textId="33A71017" w:rsidR="000A1433" w:rsidRPr="00A02B31" w:rsidRDefault="000A1433" w:rsidP="002512A3">
      <w:pPr>
        <w:tabs>
          <w:tab w:val="left" w:pos="920"/>
        </w:tabs>
        <w:jc w:val="both"/>
        <w:rPr>
          <w:rFonts w:cstheme="minorHAnsi"/>
          <w:sz w:val="20"/>
          <w:szCs w:val="20"/>
        </w:rPr>
      </w:pPr>
      <w:r w:rsidRPr="00A02B31">
        <w:rPr>
          <w:rFonts w:cstheme="minorHAnsi"/>
          <w:sz w:val="20"/>
          <w:szCs w:val="20"/>
        </w:rPr>
        <w:t xml:space="preserve">The </w:t>
      </w:r>
      <w:r w:rsidR="00C85047" w:rsidRPr="00A02B31">
        <w:rPr>
          <w:rFonts w:cstheme="minorHAnsi"/>
          <w:sz w:val="20"/>
          <w:szCs w:val="20"/>
        </w:rPr>
        <w:t>d</w:t>
      </w:r>
      <w:r w:rsidRPr="00A02B31">
        <w:rPr>
          <w:rFonts w:cstheme="minorHAnsi"/>
          <w:sz w:val="20"/>
          <w:szCs w:val="20"/>
        </w:rPr>
        <w:t>irectors are responsible for preparing the Directors’ Report and the financial statements in accordance with applicable law and regulations.</w:t>
      </w:r>
    </w:p>
    <w:p w14:paraId="3C1FC3FF" w14:textId="77777777" w:rsidR="000A1433" w:rsidRPr="00A02B31" w:rsidRDefault="000A1433" w:rsidP="002512A3">
      <w:pPr>
        <w:tabs>
          <w:tab w:val="left" w:pos="920"/>
        </w:tabs>
        <w:jc w:val="both"/>
        <w:rPr>
          <w:rFonts w:cstheme="minorHAnsi"/>
          <w:sz w:val="20"/>
          <w:szCs w:val="20"/>
        </w:rPr>
      </w:pPr>
    </w:p>
    <w:p w14:paraId="0E570D6D" w14:textId="693A3899" w:rsidR="000A1433" w:rsidRPr="00A02B31" w:rsidRDefault="000A1433" w:rsidP="002512A3">
      <w:pPr>
        <w:tabs>
          <w:tab w:val="left" w:pos="920"/>
        </w:tabs>
        <w:jc w:val="both"/>
        <w:rPr>
          <w:rFonts w:cstheme="minorHAnsi"/>
          <w:sz w:val="20"/>
          <w:szCs w:val="20"/>
        </w:rPr>
      </w:pPr>
      <w:r w:rsidRPr="00A02B31">
        <w:rPr>
          <w:rFonts w:cstheme="minorHAnsi"/>
          <w:sz w:val="20"/>
          <w:szCs w:val="20"/>
        </w:rPr>
        <w:t xml:space="preserve">Company law requires the </w:t>
      </w:r>
      <w:r w:rsidR="00C85047" w:rsidRPr="00A02B31">
        <w:rPr>
          <w:rFonts w:cstheme="minorHAnsi"/>
          <w:sz w:val="20"/>
          <w:szCs w:val="20"/>
        </w:rPr>
        <w:t>d</w:t>
      </w:r>
      <w:r w:rsidRPr="00A02B31">
        <w:rPr>
          <w:rFonts w:cstheme="minorHAnsi"/>
          <w:sz w:val="20"/>
          <w:szCs w:val="20"/>
        </w:rPr>
        <w:t xml:space="preserve">irectors to prepare financial statements for each financial year. Under that law the </w:t>
      </w:r>
      <w:r w:rsidR="00C85047" w:rsidRPr="00A02B31">
        <w:rPr>
          <w:rFonts w:cstheme="minorHAnsi"/>
          <w:sz w:val="20"/>
          <w:szCs w:val="20"/>
        </w:rPr>
        <w:t>d</w:t>
      </w:r>
      <w:r w:rsidRPr="00A02B31">
        <w:rPr>
          <w:rFonts w:cstheme="minorHAnsi"/>
          <w:sz w:val="20"/>
          <w:szCs w:val="20"/>
        </w:rPr>
        <w:t xml:space="preserve">irectors have elected to prepare the </w:t>
      </w:r>
      <w:r w:rsidR="00953F10" w:rsidRPr="00A02B31">
        <w:rPr>
          <w:rFonts w:cstheme="minorHAnsi"/>
          <w:sz w:val="20"/>
          <w:szCs w:val="20"/>
        </w:rPr>
        <w:t>C</w:t>
      </w:r>
      <w:r w:rsidRPr="00A02B31">
        <w:rPr>
          <w:rFonts w:cstheme="minorHAnsi"/>
          <w:sz w:val="20"/>
          <w:szCs w:val="20"/>
        </w:rPr>
        <w:t xml:space="preserve">ompany financial statements in accordance with </w:t>
      </w:r>
      <w:r w:rsidR="00DF6818" w:rsidRPr="00A02B31">
        <w:rPr>
          <w:rFonts w:cstheme="minorHAnsi"/>
          <w:sz w:val="20"/>
          <w:szCs w:val="20"/>
        </w:rPr>
        <w:t>UK adopted International Accounting Standards</w:t>
      </w:r>
      <w:r w:rsidRPr="00A02B31">
        <w:rPr>
          <w:rFonts w:cstheme="minorHAnsi"/>
          <w:sz w:val="20"/>
          <w:szCs w:val="20"/>
        </w:rPr>
        <w:t xml:space="preserve">. Under company law the </w:t>
      </w:r>
      <w:r w:rsidR="00C85047" w:rsidRPr="00A02B31">
        <w:rPr>
          <w:rFonts w:cstheme="minorHAnsi"/>
          <w:sz w:val="20"/>
          <w:szCs w:val="20"/>
        </w:rPr>
        <w:t>d</w:t>
      </w:r>
      <w:r w:rsidRPr="00A02B31">
        <w:rPr>
          <w:rFonts w:cstheme="minorHAnsi"/>
          <w:sz w:val="20"/>
          <w:szCs w:val="20"/>
        </w:rPr>
        <w:t xml:space="preserve">irectors must not approve the financial statements unless they are satisfied that they give a true and fair view of the state of affairs of the </w:t>
      </w:r>
      <w:r w:rsidR="00B03D9C" w:rsidRPr="00A02B31">
        <w:rPr>
          <w:rFonts w:cstheme="minorHAnsi"/>
          <w:sz w:val="20"/>
          <w:szCs w:val="20"/>
        </w:rPr>
        <w:t>C</w:t>
      </w:r>
      <w:r w:rsidRPr="00A02B31">
        <w:rPr>
          <w:rFonts w:cstheme="minorHAnsi"/>
          <w:sz w:val="20"/>
          <w:szCs w:val="20"/>
        </w:rPr>
        <w:t xml:space="preserve">ompany and of the profit or loss of the </w:t>
      </w:r>
      <w:r w:rsidR="00B03D9C" w:rsidRPr="00A02B31">
        <w:rPr>
          <w:rFonts w:cstheme="minorHAnsi"/>
          <w:sz w:val="20"/>
          <w:szCs w:val="20"/>
        </w:rPr>
        <w:t>Company</w:t>
      </w:r>
      <w:r w:rsidRPr="00A02B31">
        <w:rPr>
          <w:rFonts w:cstheme="minorHAnsi"/>
          <w:sz w:val="20"/>
          <w:szCs w:val="20"/>
        </w:rPr>
        <w:t xml:space="preserve"> for that period. The </w:t>
      </w:r>
      <w:r w:rsidR="00C85047" w:rsidRPr="00A02B31">
        <w:rPr>
          <w:rFonts w:cstheme="minorHAnsi"/>
          <w:sz w:val="20"/>
          <w:szCs w:val="20"/>
        </w:rPr>
        <w:t>d</w:t>
      </w:r>
      <w:r w:rsidRPr="00A02B31">
        <w:rPr>
          <w:rFonts w:cstheme="minorHAnsi"/>
          <w:sz w:val="20"/>
          <w:szCs w:val="20"/>
        </w:rPr>
        <w:t>irectors are also required to prepare financial statements in</w:t>
      </w:r>
      <w:r w:rsidR="00090FBA" w:rsidRPr="00A02B31">
        <w:rPr>
          <w:rFonts w:cstheme="minorHAnsi"/>
          <w:sz w:val="20"/>
          <w:szCs w:val="20"/>
        </w:rPr>
        <w:t xml:space="preserve"> </w:t>
      </w:r>
      <w:r w:rsidRPr="00A02B31">
        <w:rPr>
          <w:rFonts w:cstheme="minorHAnsi"/>
          <w:sz w:val="20"/>
          <w:szCs w:val="20"/>
        </w:rPr>
        <w:t>accordance with the rules of the London Stock Exchange for companies trading securities on the Alternative Investment Market.</w:t>
      </w:r>
    </w:p>
    <w:p w14:paraId="3CAAB8A2" w14:textId="77777777" w:rsidR="000A1433" w:rsidRPr="00A02B31" w:rsidRDefault="000A1433" w:rsidP="002512A3">
      <w:pPr>
        <w:tabs>
          <w:tab w:val="left" w:pos="920"/>
        </w:tabs>
        <w:jc w:val="both"/>
        <w:rPr>
          <w:rFonts w:cstheme="minorHAnsi"/>
          <w:sz w:val="20"/>
          <w:szCs w:val="20"/>
        </w:rPr>
      </w:pPr>
    </w:p>
    <w:p w14:paraId="7C79F4DE" w14:textId="29E59CA9" w:rsidR="000A1433" w:rsidRPr="00A02B31" w:rsidRDefault="000A1433" w:rsidP="002512A3">
      <w:pPr>
        <w:tabs>
          <w:tab w:val="left" w:pos="920"/>
        </w:tabs>
        <w:jc w:val="both"/>
        <w:rPr>
          <w:rFonts w:cstheme="minorHAnsi"/>
          <w:sz w:val="20"/>
          <w:szCs w:val="20"/>
        </w:rPr>
      </w:pPr>
      <w:r w:rsidRPr="00A02B31">
        <w:rPr>
          <w:rFonts w:cstheme="minorHAnsi"/>
          <w:sz w:val="20"/>
          <w:szCs w:val="20"/>
        </w:rPr>
        <w:t xml:space="preserve">In preparing these financial statements, the </w:t>
      </w:r>
      <w:r w:rsidR="00C85047" w:rsidRPr="00A02B31">
        <w:rPr>
          <w:rFonts w:cstheme="minorHAnsi"/>
          <w:sz w:val="20"/>
          <w:szCs w:val="20"/>
        </w:rPr>
        <w:t>d</w:t>
      </w:r>
      <w:r w:rsidRPr="00A02B31">
        <w:rPr>
          <w:rFonts w:cstheme="minorHAnsi"/>
          <w:sz w:val="20"/>
          <w:szCs w:val="20"/>
        </w:rPr>
        <w:t>irectors are required to:</w:t>
      </w:r>
    </w:p>
    <w:p w14:paraId="6DB3D691" w14:textId="77777777" w:rsidR="000A1433" w:rsidRPr="00A02B31" w:rsidRDefault="000A1433" w:rsidP="002512A3">
      <w:pPr>
        <w:tabs>
          <w:tab w:val="left" w:pos="920"/>
        </w:tabs>
        <w:jc w:val="both"/>
        <w:rPr>
          <w:rFonts w:cstheme="minorHAnsi"/>
          <w:sz w:val="20"/>
          <w:szCs w:val="20"/>
        </w:rPr>
      </w:pPr>
    </w:p>
    <w:p w14:paraId="273B6480" w14:textId="75247410" w:rsidR="000A1433" w:rsidRPr="00A02B31" w:rsidRDefault="00B03D9C" w:rsidP="000B0253">
      <w:pPr>
        <w:pStyle w:val="ListParagraph"/>
        <w:numPr>
          <w:ilvl w:val="0"/>
          <w:numId w:val="17"/>
        </w:numPr>
        <w:tabs>
          <w:tab w:val="left" w:pos="920"/>
        </w:tabs>
        <w:jc w:val="both"/>
        <w:rPr>
          <w:rFonts w:cstheme="minorHAnsi"/>
          <w:sz w:val="20"/>
          <w:szCs w:val="20"/>
        </w:rPr>
      </w:pPr>
      <w:r w:rsidRPr="00A02B31">
        <w:rPr>
          <w:rFonts w:cstheme="minorHAnsi"/>
          <w:sz w:val="20"/>
          <w:szCs w:val="20"/>
        </w:rPr>
        <w:t>S</w:t>
      </w:r>
      <w:r w:rsidR="000A1433" w:rsidRPr="00A02B31">
        <w:rPr>
          <w:rFonts w:cstheme="minorHAnsi"/>
          <w:sz w:val="20"/>
          <w:szCs w:val="20"/>
        </w:rPr>
        <w:t>elect suitable accounting policies and then apply them consistently;</w:t>
      </w:r>
    </w:p>
    <w:p w14:paraId="2C8B44AA" w14:textId="12857BB5" w:rsidR="000A1433" w:rsidRPr="00A02B31" w:rsidRDefault="00B03D9C" w:rsidP="000B0253">
      <w:pPr>
        <w:pStyle w:val="ListParagraph"/>
        <w:numPr>
          <w:ilvl w:val="0"/>
          <w:numId w:val="17"/>
        </w:numPr>
        <w:tabs>
          <w:tab w:val="left" w:pos="920"/>
        </w:tabs>
        <w:jc w:val="both"/>
        <w:rPr>
          <w:rFonts w:cstheme="minorHAnsi"/>
          <w:sz w:val="20"/>
          <w:szCs w:val="20"/>
        </w:rPr>
      </w:pPr>
      <w:r w:rsidRPr="00A02B31">
        <w:rPr>
          <w:rFonts w:cstheme="minorHAnsi"/>
          <w:sz w:val="20"/>
          <w:szCs w:val="20"/>
        </w:rPr>
        <w:t>M</w:t>
      </w:r>
      <w:r w:rsidR="000A1433" w:rsidRPr="00A02B31">
        <w:rPr>
          <w:rFonts w:cstheme="minorHAnsi"/>
          <w:sz w:val="20"/>
          <w:szCs w:val="20"/>
        </w:rPr>
        <w:t>ake judgements and accounting estimates that</w:t>
      </w:r>
      <w:r w:rsidR="005178F3" w:rsidRPr="00A02B31">
        <w:rPr>
          <w:rFonts w:cstheme="minorHAnsi"/>
          <w:sz w:val="20"/>
          <w:szCs w:val="20"/>
        </w:rPr>
        <w:t xml:space="preserve"> </w:t>
      </w:r>
      <w:r w:rsidR="000A1433" w:rsidRPr="00A02B31">
        <w:rPr>
          <w:rFonts w:cstheme="minorHAnsi"/>
          <w:sz w:val="20"/>
          <w:szCs w:val="20"/>
        </w:rPr>
        <w:t>are reasonable and prudent;</w:t>
      </w:r>
    </w:p>
    <w:p w14:paraId="75D5F024" w14:textId="2C1E1C98" w:rsidR="000A1433" w:rsidRPr="00A02B31" w:rsidRDefault="00B03D9C" w:rsidP="000B0253">
      <w:pPr>
        <w:pStyle w:val="ListParagraph"/>
        <w:numPr>
          <w:ilvl w:val="0"/>
          <w:numId w:val="17"/>
        </w:numPr>
        <w:tabs>
          <w:tab w:val="left" w:pos="920"/>
        </w:tabs>
        <w:jc w:val="both"/>
        <w:rPr>
          <w:rFonts w:cstheme="minorHAnsi"/>
          <w:sz w:val="20"/>
          <w:szCs w:val="20"/>
        </w:rPr>
      </w:pPr>
      <w:r w:rsidRPr="00A02B31">
        <w:rPr>
          <w:rFonts w:cstheme="minorHAnsi"/>
          <w:sz w:val="20"/>
          <w:szCs w:val="20"/>
        </w:rPr>
        <w:t>S</w:t>
      </w:r>
      <w:r w:rsidR="000A1433" w:rsidRPr="00A02B31">
        <w:rPr>
          <w:rFonts w:cstheme="minorHAnsi"/>
          <w:sz w:val="20"/>
          <w:szCs w:val="20"/>
        </w:rPr>
        <w:t xml:space="preserve">tate whether they have been prepared in accordance with </w:t>
      </w:r>
      <w:r w:rsidR="00DF6818" w:rsidRPr="00A02B31">
        <w:rPr>
          <w:rFonts w:cstheme="minorHAnsi"/>
          <w:sz w:val="20"/>
          <w:szCs w:val="20"/>
        </w:rPr>
        <w:t>UK adopted International Accounting Standards</w:t>
      </w:r>
      <w:r w:rsidR="000A1433" w:rsidRPr="00A02B31">
        <w:rPr>
          <w:rFonts w:cstheme="minorHAnsi"/>
          <w:sz w:val="20"/>
          <w:szCs w:val="20"/>
        </w:rPr>
        <w:t>,</w:t>
      </w:r>
      <w:r w:rsidR="005178F3" w:rsidRPr="00A02B31">
        <w:rPr>
          <w:rFonts w:cstheme="minorHAnsi"/>
          <w:sz w:val="20"/>
          <w:szCs w:val="20"/>
        </w:rPr>
        <w:t xml:space="preserve"> </w:t>
      </w:r>
      <w:r w:rsidR="000A1433" w:rsidRPr="00A02B31">
        <w:rPr>
          <w:rFonts w:cstheme="minorHAnsi"/>
          <w:sz w:val="20"/>
          <w:szCs w:val="20"/>
        </w:rPr>
        <w:t>subject to any material departures disclosed and explained in the financial statements; and</w:t>
      </w:r>
    </w:p>
    <w:p w14:paraId="2B6A92BC" w14:textId="3E05DCE6" w:rsidR="000A1433" w:rsidRPr="00A02B31" w:rsidRDefault="00B03D9C" w:rsidP="000B0253">
      <w:pPr>
        <w:pStyle w:val="ListParagraph"/>
        <w:numPr>
          <w:ilvl w:val="0"/>
          <w:numId w:val="17"/>
        </w:numPr>
        <w:tabs>
          <w:tab w:val="left" w:pos="920"/>
        </w:tabs>
        <w:jc w:val="both"/>
        <w:rPr>
          <w:rFonts w:cstheme="minorHAnsi"/>
          <w:sz w:val="20"/>
          <w:szCs w:val="20"/>
        </w:rPr>
      </w:pPr>
      <w:r w:rsidRPr="00A02B31">
        <w:rPr>
          <w:rFonts w:cstheme="minorHAnsi"/>
          <w:sz w:val="20"/>
          <w:szCs w:val="20"/>
        </w:rPr>
        <w:t>P</w:t>
      </w:r>
      <w:r w:rsidR="000A1433" w:rsidRPr="00A02B31">
        <w:rPr>
          <w:rFonts w:cstheme="minorHAnsi"/>
          <w:sz w:val="20"/>
          <w:szCs w:val="20"/>
        </w:rPr>
        <w:t xml:space="preserve">repare the financial statements on the going concern basis unless it is inappropriate to presume that the </w:t>
      </w:r>
      <w:r w:rsidRPr="00A02B31">
        <w:rPr>
          <w:rFonts w:cstheme="minorHAnsi"/>
          <w:sz w:val="20"/>
          <w:szCs w:val="20"/>
        </w:rPr>
        <w:t>C</w:t>
      </w:r>
      <w:r w:rsidR="000A1433" w:rsidRPr="00A02B31">
        <w:rPr>
          <w:rFonts w:cstheme="minorHAnsi"/>
          <w:sz w:val="20"/>
          <w:szCs w:val="20"/>
        </w:rPr>
        <w:t>ompany will continue in business.</w:t>
      </w:r>
    </w:p>
    <w:p w14:paraId="328C014D" w14:textId="77777777" w:rsidR="000A1433" w:rsidRPr="00A02B31" w:rsidRDefault="000A1433" w:rsidP="002512A3">
      <w:pPr>
        <w:tabs>
          <w:tab w:val="left" w:pos="920"/>
        </w:tabs>
        <w:jc w:val="both"/>
        <w:rPr>
          <w:rFonts w:cstheme="minorHAnsi"/>
          <w:sz w:val="20"/>
          <w:szCs w:val="20"/>
        </w:rPr>
      </w:pPr>
    </w:p>
    <w:p w14:paraId="2357DC23" w14:textId="68B7C287" w:rsidR="000A1433" w:rsidRPr="00A02B31" w:rsidRDefault="000A1433" w:rsidP="002512A3">
      <w:pPr>
        <w:tabs>
          <w:tab w:val="left" w:pos="920"/>
        </w:tabs>
        <w:jc w:val="both"/>
        <w:rPr>
          <w:rFonts w:cstheme="minorHAnsi"/>
          <w:sz w:val="20"/>
          <w:szCs w:val="20"/>
        </w:rPr>
      </w:pPr>
      <w:r w:rsidRPr="00A02B31">
        <w:rPr>
          <w:rFonts w:cstheme="minorHAnsi"/>
          <w:sz w:val="20"/>
          <w:szCs w:val="20"/>
        </w:rPr>
        <w:t xml:space="preserve">The </w:t>
      </w:r>
      <w:r w:rsidR="00C85047" w:rsidRPr="00A02B31">
        <w:rPr>
          <w:rFonts w:cstheme="minorHAnsi"/>
          <w:sz w:val="20"/>
          <w:szCs w:val="20"/>
        </w:rPr>
        <w:t>d</w:t>
      </w:r>
      <w:r w:rsidRPr="00A02B31">
        <w:rPr>
          <w:rFonts w:cstheme="minorHAnsi"/>
          <w:sz w:val="20"/>
          <w:szCs w:val="20"/>
        </w:rPr>
        <w:t xml:space="preserve">irectors are responsible for keeping adequate accounting records that are sufficient to show and explain the company’s transactions and disclose with reasonable accuracy at any time the </w:t>
      </w:r>
      <w:r w:rsidR="00B03D9C" w:rsidRPr="00A02B31">
        <w:rPr>
          <w:rFonts w:cstheme="minorHAnsi"/>
          <w:sz w:val="20"/>
          <w:szCs w:val="20"/>
        </w:rPr>
        <w:t>F</w:t>
      </w:r>
      <w:r w:rsidRPr="00A02B31">
        <w:rPr>
          <w:rFonts w:cstheme="minorHAnsi"/>
          <w:sz w:val="20"/>
          <w:szCs w:val="20"/>
        </w:rPr>
        <w:t xml:space="preserve">inancial </w:t>
      </w:r>
      <w:r w:rsidR="00B03D9C" w:rsidRPr="00A02B31">
        <w:rPr>
          <w:rFonts w:cstheme="minorHAnsi"/>
          <w:sz w:val="20"/>
          <w:szCs w:val="20"/>
        </w:rPr>
        <w:t>P</w:t>
      </w:r>
      <w:r w:rsidRPr="00A02B31">
        <w:rPr>
          <w:rFonts w:cstheme="minorHAnsi"/>
          <w:sz w:val="20"/>
          <w:szCs w:val="20"/>
        </w:rPr>
        <w:t xml:space="preserve">osition of the </w:t>
      </w:r>
      <w:r w:rsidR="00B03D9C" w:rsidRPr="00A02B31">
        <w:rPr>
          <w:rFonts w:cstheme="minorHAnsi"/>
          <w:sz w:val="20"/>
          <w:szCs w:val="20"/>
        </w:rPr>
        <w:t>C</w:t>
      </w:r>
      <w:r w:rsidRPr="00A02B31">
        <w:rPr>
          <w:rFonts w:cstheme="minorHAnsi"/>
          <w:sz w:val="20"/>
          <w:szCs w:val="20"/>
        </w:rPr>
        <w:t>ompany and enable them to ensure that the financial statements comply with the requirements of the Companies Act 2006.</w:t>
      </w:r>
      <w:r w:rsidR="00C167B1" w:rsidRPr="00A02B31">
        <w:rPr>
          <w:rFonts w:cstheme="minorHAnsi"/>
          <w:sz w:val="20"/>
          <w:szCs w:val="20"/>
        </w:rPr>
        <w:t xml:space="preserve"> </w:t>
      </w:r>
      <w:r w:rsidRPr="00A02B31">
        <w:rPr>
          <w:rFonts w:cstheme="minorHAnsi"/>
          <w:sz w:val="20"/>
          <w:szCs w:val="20"/>
        </w:rPr>
        <w:t>They are also responsible for safeguarding the assets of the Company and hence for taking reasonable steps for the prevention and detection of fraud and other irregularities.</w:t>
      </w:r>
    </w:p>
    <w:p w14:paraId="3C3908C4" w14:textId="77777777" w:rsidR="00BC739D" w:rsidRPr="00A02B31" w:rsidRDefault="00BC739D" w:rsidP="002512A3">
      <w:pPr>
        <w:tabs>
          <w:tab w:val="left" w:pos="920"/>
        </w:tabs>
        <w:jc w:val="both"/>
        <w:rPr>
          <w:rFonts w:cstheme="minorHAnsi"/>
          <w:sz w:val="20"/>
          <w:szCs w:val="20"/>
        </w:rPr>
      </w:pPr>
    </w:p>
    <w:p w14:paraId="00BF65CD" w14:textId="6CAEB727" w:rsidR="00C45A71" w:rsidRPr="00A02B31" w:rsidRDefault="009D2231" w:rsidP="002512A3">
      <w:pPr>
        <w:tabs>
          <w:tab w:val="left" w:pos="920"/>
        </w:tabs>
        <w:jc w:val="both"/>
        <w:rPr>
          <w:rFonts w:cstheme="minorHAnsi"/>
          <w:sz w:val="20"/>
          <w:szCs w:val="20"/>
        </w:rPr>
      </w:pPr>
      <w:r w:rsidRPr="00A02B31">
        <w:rPr>
          <w:rFonts w:cstheme="minorHAnsi"/>
          <w:sz w:val="20"/>
          <w:szCs w:val="20"/>
        </w:rPr>
        <w:t xml:space="preserve">The </w:t>
      </w:r>
      <w:r w:rsidR="00C85047" w:rsidRPr="00A02B31">
        <w:rPr>
          <w:rFonts w:cstheme="minorHAnsi"/>
          <w:sz w:val="20"/>
          <w:szCs w:val="20"/>
        </w:rPr>
        <w:t>d</w:t>
      </w:r>
      <w:r w:rsidRPr="00A02B31">
        <w:rPr>
          <w:rFonts w:cstheme="minorHAnsi"/>
          <w:sz w:val="20"/>
          <w:szCs w:val="20"/>
        </w:rPr>
        <w:t xml:space="preserve">irectors are responsible for preparing the Annual Report in </w:t>
      </w:r>
      <w:r w:rsidRPr="00A02B31">
        <w:rPr>
          <w:rFonts w:cstheme="minorHAnsi"/>
          <w:color w:val="333333"/>
          <w:sz w:val="20"/>
          <w:szCs w:val="20"/>
        </w:rPr>
        <w:t>accordance with applicable law</w:t>
      </w:r>
      <w:r w:rsidRPr="00A02B31">
        <w:rPr>
          <w:rFonts w:cstheme="minorHAnsi"/>
          <w:sz w:val="20"/>
          <w:szCs w:val="20"/>
        </w:rPr>
        <w:t xml:space="preserve"> and regulations. The Directors consider the Annual Report and the financial statements, taken as a whole, provide the information necessary to assess the C</w:t>
      </w:r>
      <w:r w:rsidR="00343871" w:rsidRPr="00A02B31">
        <w:rPr>
          <w:rFonts w:cstheme="minorHAnsi"/>
          <w:sz w:val="20"/>
          <w:szCs w:val="20"/>
        </w:rPr>
        <w:t xml:space="preserve">ompany’s position, performance </w:t>
      </w:r>
      <w:r w:rsidRPr="00A02B31">
        <w:rPr>
          <w:rFonts w:cstheme="minorHAnsi"/>
          <w:sz w:val="20"/>
          <w:szCs w:val="20"/>
        </w:rPr>
        <w:t>and strategy and is fair, balanced and understandable.</w:t>
      </w:r>
    </w:p>
    <w:p w14:paraId="7CA4FD35" w14:textId="77777777" w:rsidR="000A1433" w:rsidRPr="00A02B31" w:rsidRDefault="000A1433" w:rsidP="002512A3">
      <w:pPr>
        <w:tabs>
          <w:tab w:val="left" w:pos="920"/>
        </w:tabs>
        <w:jc w:val="both"/>
        <w:rPr>
          <w:rFonts w:cstheme="minorHAnsi"/>
          <w:sz w:val="20"/>
          <w:szCs w:val="20"/>
        </w:rPr>
      </w:pPr>
    </w:p>
    <w:p w14:paraId="6092D9EE" w14:textId="77777777" w:rsidR="000A1433" w:rsidRPr="00A02B31" w:rsidRDefault="000A1433" w:rsidP="002512A3">
      <w:pPr>
        <w:tabs>
          <w:tab w:val="left" w:pos="920"/>
        </w:tabs>
        <w:jc w:val="both"/>
        <w:rPr>
          <w:rFonts w:cstheme="minorHAnsi"/>
          <w:b/>
          <w:sz w:val="20"/>
          <w:szCs w:val="20"/>
        </w:rPr>
      </w:pPr>
      <w:r w:rsidRPr="00A02B31">
        <w:rPr>
          <w:rFonts w:cstheme="minorHAnsi"/>
          <w:b/>
          <w:sz w:val="20"/>
          <w:szCs w:val="20"/>
        </w:rPr>
        <w:t>Website publication</w:t>
      </w:r>
    </w:p>
    <w:p w14:paraId="7CBF6D14" w14:textId="77777777" w:rsidR="00D93C0B" w:rsidRPr="00A02B31" w:rsidRDefault="00D93C0B" w:rsidP="002512A3">
      <w:pPr>
        <w:tabs>
          <w:tab w:val="left" w:pos="920"/>
        </w:tabs>
        <w:jc w:val="both"/>
        <w:rPr>
          <w:rFonts w:cstheme="minorHAnsi"/>
          <w:b/>
          <w:sz w:val="20"/>
          <w:szCs w:val="20"/>
        </w:rPr>
      </w:pPr>
    </w:p>
    <w:p w14:paraId="56C88E80" w14:textId="155FEFB1" w:rsidR="000A1433" w:rsidRPr="00A02B31" w:rsidRDefault="000A1433" w:rsidP="002512A3">
      <w:pPr>
        <w:tabs>
          <w:tab w:val="left" w:pos="920"/>
        </w:tabs>
        <w:jc w:val="both"/>
        <w:rPr>
          <w:rFonts w:cstheme="minorHAnsi"/>
          <w:sz w:val="20"/>
          <w:szCs w:val="20"/>
        </w:rPr>
      </w:pPr>
      <w:r w:rsidRPr="00A02B31">
        <w:rPr>
          <w:rFonts w:cstheme="minorHAnsi"/>
          <w:sz w:val="20"/>
          <w:szCs w:val="20"/>
        </w:rPr>
        <w:t xml:space="preserve">The </w:t>
      </w:r>
      <w:r w:rsidR="00C85047" w:rsidRPr="00A02B31">
        <w:rPr>
          <w:rFonts w:cstheme="minorHAnsi"/>
          <w:sz w:val="20"/>
          <w:szCs w:val="20"/>
        </w:rPr>
        <w:t>d</w:t>
      </w:r>
      <w:r w:rsidRPr="00A02B31">
        <w:rPr>
          <w:rFonts w:cstheme="minorHAnsi"/>
          <w:sz w:val="20"/>
          <w:szCs w:val="20"/>
        </w:rPr>
        <w:t xml:space="preserve">irectors are responsible for ensuring that the </w:t>
      </w:r>
      <w:r w:rsidR="00B03D9C" w:rsidRPr="00A02B31">
        <w:rPr>
          <w:rFonts w:cstheme="minorHAnsi"/>
          <w:sz w:val="20"/>
          <w:szCs w:val="20"/>
        </w:rPr>
        <w:t>A</w:t>
      </w:r>
      <w:r w:rsidRPr="00A02B31">
        <w:rPr>
          <w:rFonts w:cstheme="minorHAnsi"/>
          <w:sz w:val="20"/>
          <w:szCs w:val="20"/>
        </w:rPr>
        <w:t xml:space="preserve">nnual </w:t>
      </w:r>
      <w:r w:rsidR="00B03D9C" w:rsidRPr="00A02B31">
        <w:rPr>
          <w:rFonts w:cstheme="minorHAnsi"/>
          <w:sz w:val="20"/>
          <w:szCs w:val="20"/>
        </w:rPr>
        <w:t>R</w:t>
      </w:r>
      <w:r w:rsidRPr="00A02B31">
        <w:rPr>
          <w:rFonts w:cstheme="minorHAnsi"/>
          <w:sz w:val="20"/>
          <w:szCs w:val="20"/>
        </w:rPr>
        <w:t xml:space="preserve">eport and </w:t>
      </w:r>
      <w:r w:rsidR="00B03D9C" w:rsidRPr="00A02B31">
        <w:rPr>
          <w:rFonts w:cstheme="minorHAnsi"/>
          <w:sz w:val="20"/>
          <w:szCs w:val="20"/>
        </w:rPr>
        <w:t>F</w:t>
      </w:r>
      <w:r w:rsidRPr="00A02B31">
        <w:rPr>
          <w:rFonts w:cstheme="minorHAnsi"/>
          <w:sz w:val="20"/>
          <w:szCs w:val="20"/>
        </w:rPr>
        <w:t xml:space="preserve">inancial </w:t>
      </w:r>
      <w:r w:rsidR="00B03D9C" w:rsidRPr="00A02B31">
        <w:rPr>
          <w:rFonts w:cstheme="minorHAnsi"/>
          <w:sz w:val="20"/>
          <w:szCs w:val="20"/>
        </w:rPr>
        <w:t>S</w:t>
      </w:r>
      <w:r w:rsidRPr="00A02B31">
        <w:rPr>
          <w:rFonts w:cstheme="minorHAnsi"/>
          <w:sz w:val="20"/>
          <w:szCs w:val="20"/>
        </w:rPr>
        <w:t xml:space="preserve">tatements are made available on a website. Financial statements are published on the Company’s website in accordance with legislation in the United Kingdom governing the preparation and dissemination of financial statements, which may vary from legislation in other jurisdictions. The maintenance and integrity of the Company’s website is the responsibility of the </w:t>
      </w:r>
      <w:r w:rsidR="00C85047" w:rsidRPr="00A02B31">
        <w:rPr>
          <w:rFonts w:cstheme="minorHAnsi"/>
          <w:sz w:val="20"/>
          <w:szCs w:val="20"/>
        </w:rPr>
        <w:t>d</w:t>
      </w:r>
      <w:r w:rsidRPr="00A02B31">
        <w:rPr>
          <w:rFonts w:cstheme="minorHAnsi"/>
          <w:sz w:val="20"/>
          <w:szCs w:val="20"/>
        </w:rPr>
        <w:t xml:space="preserve">irectors. The </w:t>
      </w:r>
      <w:r w:rsidR="00C85047" w:rsidRPr="00A02B31">
        <w:rPr>
          <w:rFonts w:cstheme="minorHAnsi"/>
          <w:sz w:val="20"/>
          <w:szCs w:val="20"/>
        </w:rPr>
        <w:t>d</w:t>
      </w:r>
      <w:r w:rsidRPr="00A02B31">
        <w:rPr>
          <w:rFonts w:cstheme="minorHAnsi"/>
          <w:sz w:val="20"/>
          <w:szCs w:val="20"/>
        </w:rPr>
        <w:t xml:space="preserve">irectors’ responsibility also extends to the ongoing integrity of the </w:t>
      </w:r>
      <w:r w:rsidR="00613E77" w:rsidRPr="00A02B31">
        <w:rPr>
          <w:rFonts w:cstheme="minorHAnsi"/>
          <w:sz w:val="20"/>
          <w:szCs w:val="20"/>
        </w:rPr>
        <w:t>F</w:t>
      </w:r>
      <w:r w:rsidRPr="00A02B31">
        <w:rPr>
          <w:rFonts w:cstheme="minorHAnsi"/>
          <w:sz w:val="20"/>
          <w:szCs w:val="20"/>
        </w:rPr>
        <w:t xml:space="preserve">inancial </w:t>
      </w:r>
      <w:r w:rsidR="00613E77" w:rsidRPr="00A02B31">
        <w:rPr>
          <w:rFonts w:cstheme="minorHAnsi"/>
          <w:sz w:val="20"/>
          <w:szCs w:val="20"/>
        </w:rPr>
        <w:t>S</w:t>
      </w:r>
      <w:r w:rsidRPr="00A02B31">
        <w:rPr>
          <w:rFonts w:cstheme="minorHAnsi"/>
          <w:sz w:val="20"/>
          <w:szCs w:val="20"/>
        </w:rPr>
        <w:t>tatements contained herein.</w:t>
      </w:r>
    </w:p>
    <w:p w14:paraId="670FB69D" w14:textId="77777777" w:rsidR="000A1433" w:rsidRPr="00A02B31" w:rsidRDefault="000A1433" w:rsidP="002512A3">
      <w:pPr>
        <w:tabs>
          <w:tab w:val="left" w:pos="920"/>
        </w:tabs>
        <w:jc w:val="both"/>
        <w:rPr>
          <w:rFonts w:cstheme="minorHAnsi"/>
          <w:sz w:val="20"/>
          <w:szCs w:val="20"/>
        </w:rPr>
      </w:pPr>
    </w:p>
    <w:p w14:paraId="60DD9760" w14:textId="77777777" w:rsidR="000A1433" w:rsidRPr="00A02B31" w:rsidRDefault="000A1433" w:rsidP="002512A3">
      <w:pPr>
        <w:tabs>
          <w:tab w:val="left" w:pos="920"/>
        </w:tabs>
        <w:jc w:val="both"/>
        <w:rPr>
          <w:rFonts w:cstheme="minorHAnsi"/>
          <w:sz w:val="20"/>
          <w:szCs w:val="20"/>
        </w:rPr>
      </w:pPr>
    </w:p>
    <w:p w14:paraId="30051EC2" w14:textId="77777777" w:rsidR="000A1433" w:rsidRPr="00A02B31" w:rsidRDefault="000A1433" w:rsidP="000A1433">
      <w:pPr>
        <w:tabs>
          <w:tab w:val="left" w:pos="920"/>
        </w:tabs>
        <w:rPr>
          <w:rFonts w:cstheme="minorHAnsi"/>
          <w:sz w:val="20"/>
          <w:szCs w:val="20"/>
        </w:rPr>
        <w:sectPr w:rsidR="000A1433" w:rsidRPr="00A02B31" w:rsidSect="009D1381">
          <w:pgSz w:w="11910" w:h="16840"/>
          <w:pgMar w:top="680" w:right="1137" w:bottom="1140" w:left="1134" w:header="0" w:footer="848" w:gutter="0"/>
          <w:cols w:space="720"/>
        </w:sectPr>
      </w:pPr>
    </w:p>
    <w:p w14:paraId="619CBCB6" w14:textId="77777777" w:rsidR="00631CA2" w:rsidRPr="00A02B31" w:rsidRDefault="00631CA2" w:rsidP="00631CA2">
      <w:pPr>
        <w:jc w:val="both"/>
        <w:rPr>
          <w:rFonts w:cstheme="minorHAnsi"/>
          <w:b/>
          <w:caps/>
          <w:sz w:val="20"/>
          <w:szCs w:val="20"/>
        </w:rPr>
      </w:pPr>
      <w:r w:rsidRPr="00A02B31">
        <w:rPr>
          <w:rFonts w:cstheme="minorHAnsi"/>
          <w:b/>
          <w:caps/>
          <w:sz w:val="20"/>
          <w:szCs w:val="20"/>
        </w:rPr>
        <w:lastRenderedPageBreak/>
        <w:t>Independent Auditor’s Report to THE MEMBERS of Rockwood strategic plc</w:t>
      </w:r>
    </w:p>
    <w:p w14:paraId="55008AD4" w14:textId="77777777" w:rsidR="00631CA2" w:rsidRPr="00A02B31" w:rsidRDefault="00631CA2" w:rsidP="00631CA2">
      <w:pPr>
        <w:jc w:val="both"/>
        <w:rPr>
          <w:rFonts w:cstheme="minorHAnsi"/>
          <w:sz w:val="20"/>
          <w:szCs w:val="20"/>
        </w:rPr>
      </w:pPr>
    </w:p>
    <w:p w14:paraId="10DAC966" w14:textId="77777777" w:rsidR="00631CA2" w:rsidRPr="00A02B31" w:rsidRDefault="00631CA2" w:rsidP="00631CA2">
      <w:pPr>
        <w:pStyle w:val="Heading2"/>
        <w:ind w:left="709" w:hanging="709"/>
        <w:jc w:val="both"/>
        <w:rPr>
          <w:rFonts w:asciiTheme="minorHAnsi" w:hAnsiTheme="minorHAnsi" w:cstheme="minorHAnsi"/>
          <w:b/>
          <w:color w:val="000000" w:themeColor="text1"/>
          <w:sz w:val="20"/>
          <w:szCs w:val="20"/>
        </w:rPr>
      </w:pPr>
      <w:r w:rsidRPr="00A02B31">
        <w:rPr>
          <w:rFonts w:asciiTheme="minorHAnsi" w:hAnsiTheme="minorHAnsi" w:cstheme="minorHAnsi"/>
          <w:b/>
          <w:color w:val="000000" w:themeColor="text1"/>
          <w:sz w:val="20"/>
          <w:szCs w:val="20"/>
        </w:rPr>
        <w:t>Opinion on the financial statements</w:t>
      </w:r>
    </w:p>
    <w:p w14:paraId="346D147D" w14:textId="77777777" w:rsidR="00631CA2" w:rsidRPr="00A02B31" w:rsidRDefault="00631CA2" w:rsidP="00631CA2">
      <w:pPr>
        <w:jc w:val="both"/>
        <w:rPr>
          <w:rFonts w:cstheme="minorHAnsi"/>
          <w:color w:val="000000" w:themeColor="text1"/>
          <w:sz w:val="20"/>
          <w:szCs w:val="20"/>
        </w:rPr>
      </w:pPr>
      <w:r w:rsidRPr="00A02B31">
        <w:rPr>
          <w:rFonts w:cstheme="minorHAnsi"/>
          <w:color w:val="000000" w:themeColor="text1"/>
          <w:sz w:val="20"/>
          <w:szCs w:val="20"/>
        </w:rPr>
        <w:t>In our opinion the financial statements:</w:t>
      </w:r>
    </w:p>
    <w:p w14:paraId="57B7CF5C" w14:textId="77777777" w:rsidR="00631CA2" w:rsidRPr="00A02B31" w:rsidRDefault="00631CA2" w:rsidP="00631CA2">
      <w:pPr>
        <w:jc w:val="both"/>
        <w:rPr>
          <w:rFonts w:cstheme="minorHAnsi"/>
          <w:color w:val="000000" w:themeColor="text1"/>
          <w:sz w:val="20"/>
          <w:szCs w:val="20"/>
        </w:rPr>
      </w:pPr>
    </w:p>
    <w:p w14:paraId="419ACEFE" w14:textId="77777777" w:rsidR="00631CA2" w:rsidRPr="00A02B31" w:rsidRDefault="00631CA2" w:rsidP="00631CA2">
      <w:pPr>
        <w:pStyle w:val="ListParagraph"/>
        <w:keepNext/>
        <w:numPr>
          <w:ilvl w:val="0"/>
          <w:numId w:val="60"/>
        </w:numPr>
        <w:spacing w:after="240"/>
        <w:ind w:left="714" w:hanging="357"/>
        <w:contextualSpacing w:val="0"/>
        <w:jc w:val="both"/>
        <w:rPr>
          <w:rFonts w:cstheme="minorHAnsi"/>
          <w:color w:val="000000" w:themeColor="text1"/>
          <w:sz w:val="20"/>
          <w:szCs w:val="20"/>
        </w:rPr>
      </w:pPr>
      <w:r w:rsidRPr="00A02B31">
        <w:rPr>
          <w:rFonts w:cstheme="minorHAnsi"/>
          <w:color w:val="000000" w:themeColor="text1"/>
          <w:sz w:val="20"/>
          <w:szCs w:val="20"/>
        </w:rPr>
        <w:t>give a true and fair view of the state of the Company’s affairs as at 31 March 2022 and of its profit for the year then ended;</w:t>
      </w:r>
    </w:p>
    <w:p w14:paraId="6B03C68E" w14:textId="77777777" w:rsidR="00631CA2" w:rsidRPr="00A02B31" w:rsidRDefault="00631CA2" w:rsidP="00631CA2">
      <w:pPr>
        <w:pStyle w:val="ListParagraph"/>
        <w:keepNext/>
        <w:numPr>
          <w:ilvl w:val="0"/>
          <w:numId w:val="60"/>
        </w:numPr>
        <w:spacing w:after="240"/>
        <w:ind w:left="714" w:hanging="357"/>
        <w:contextualSpacing w:val="0"/>
        <w:jc w:val="both"/>
        <w:rPr>
          <w:rFonts w:cstheme="minorHAnsi"/>
          <w:color w:val="000000" w:themeColor="text1"/>
          <w:sz w:val="20"/>
          <w:szCs w:val="20"/>
        </w:rPr>
      </w:pPr>
      <w:r w:rsidRPr="00A02B31">
        <w:rPr>
          <w:rFonts w:cstheme="minorHAnsi"/>
          <w:color w:val="000000" w:themeColor="text1"/>
          <w:sz w:val="20"/>
          <w:szCs w:val="20"/>
        </w:rPr>
        <w:t>have been properly prepared in accordance with UK adopted international accounting standards; and</w:t>
      </w:r>
    </w:p>
    <w:p w14:paraId="0AE51F17" w14:textId="77777777" w:rsidR="00631CA2" w:rsidRPr="00A02B31" w:rsidRDefault="00631CA2" w:rsidP="00631CA2">
      <w:pPr>
        <w:pStyle w:val="ListParagraph"/>
        <w:keepNext/>
        <w:numPr>
          <w:ilvl w:val="0"/>
          <w:numId w:val="60"/>
        </w:numPr>
        <w:spacing w:after="240"/>
        <w:ind w:left="714" w:hanging="357"/>
        <w:contextualSpacing w:val="0"/>
        <w:jc w:val="both"/>
        <w:rPr>
          <w:rFonts w:cstheme="minorHAnsi"/>
          <w:color w:val="000000" w:themeColor="text1"/>
          <w:sz w:val="20"/>
          <w:szCs w:val="20"/>
        </w:rPr>
      </w:pPr>
      <w:r w:rsidRPr="00A02B31">
        <w:rPr>
          <w:rFonts w:cstheme="minorHAnsi"/>
          <w:color w:val="000000" w:themeColor="text1"/>
          <w:sz w:val="20"/>
          <w:szCs w:val="20"/>
        </w:rPr>
        <w:t>have been prepared in accordance with the requirements of the Companies Act 2006.</w:t>
      </w:r>
    </w:p>
    <w:p w14:paraId="12E65F3E" w14:textId="77777777" w:rsidR="00631CA2" w:rsidRPr="00A02B31" w:rsidRDefault="00631CA2" w:rsidP="00631CA2">
      <w:pPr>
        <w:jc w:val="both"/>
        <w:rPr>
          <w:rFonts w:cstheme="minorHAnsi"/>
          <w:color w:val="000000" w:themeColor="text1"/>
          <w:sz w:val="20"/>
          <w:szCs w:val="20"/>
        </w:rPr>
      </w:pPr>
    </w:p>
    <w:p w14:paraId="2AE0959B" w14:textId="77777777" w:rsidR="00631CA2" w:rsidRPr="00A02B31" w:rsidRDefault="00631CA2" w:rsidP="00631CA2">
      <w:pPr>
        <w:jc w:val="both"/>
        <w:rPr>
          <w:rFonts w:cstheme="minorHAnsi"/>
          <w:color w:val="000000" w:themeColor="text1"/>
          <w:sz w:val="20"/>
          <w:szCs w:val="20"/>
        </w:rPr>
      </w:pPr>
      <w:r w:rsidRPr="00A02B31">
        <w:rPr>
          <w:rFonts w:cstheme="minorHAnsi"/>
          <w:color w:val="000000" w:themeColor="text1"/>
          <w:sz w:val="20"/>
          <w:szCs w:val="20"/>
        </w:rPr>
        <w:t>We have audited the financial statements of Rockwood Strategic plc (“the Company”) for the year ended 31 March 2022 which comprise the statement of comprehensive income, statement of financial position, statement of cashflows, statement of changes in equity and notes to the financial statements, including a summary of significant accounting policies. The financial reporting framework that has been applied in their preparation is applicable law and UK adopted international accounting standards</w:t>
      </w:r>
    </w:p>
    <w:p w14:paraId="04D82B1C" w14:textId="77777777" w:rsidR="00631CA2" w:rsidRPr="00A02B31" w:rsidRDefault="00631CA2" w:rsidP="00631CA2">
      <w:pPr>
        <w:jc w:val="both"/>
        <w:rPr>
          <w:rFonts w:cstheme="minorHAnsi"/>
          <w:color w:val="000000" w:themeColor="text1"/>
          <w:sz w:val="20"/>
          <w:szCs w:val="20"/>
          <w:u w:val="single"/>
        </w:rPr>
      </w:pPr>
    </w:p>
    <w:p w14:paraId="73FA95CE" w14:textId="77777777" w:rsidR="00631CA2" w:rsidRPr="00A02B31" w:rsidRDefault="00631CA2" w:rsidP="00631CA2">
      <w:pPr>
        <w:jc w:val="both"/>
        <w:rPr>
          <w:rFonts w:cstheme="minorHAnsi"/>
          <w:color w:val="000000" w:themeColor="text1"/>
          <w:sz w:val="20"/>
          <w:szCs w:val="20"/>
          <w:u w:val="single"/>
        </w:rPr>
      </w:pPr>
    </w:p>
    <w:p w14:paraId="6F51E85C" w14:textId="77777777" w:rsidR="00631CA2" w:rsidRPr="00A02B31" w:rsidRDefault="00631CA2" w:rsidP="00631CA2">
      <w:pPr>
        <w:pStyle w:val="Heading2"/>
        <w:ind w:left="709" w:hanging="709"/>
        <w:jc w:val="both"/>
        <w:rPr>
          <w:rFonts w:asciiTheme="minorHAnsi" w:hAnsiTheme="minorHAnsi" w:cstheme="minorHAnsi"/>
          <w:b/>
          <w:color w:val="000000" w:themeColor="text1"/>
          <w:sz w:val="20"/>
          <w:szCs w:val="20"/>
        </w:rPr>
      </w:pPr>
      <w:r w:rsidRPr="00A02B31">
        <w:rPr>
          <w:rFonts w:asciiTheme="minorHAnsi" w:hAnsiTheme="minorHAnsi" w:cstheme="minorHAnsi"/>
          <w:b/>
          <w:color w:val="000000" w:themeColor="text1"/>
          <w:sz w:val="20"/>
          <w:szCs w:val="20"/>
        </w:rPr>
        <w:t>Basis for opinion</w:t>
      </w:r>
    </w:p>
    <w:p w14:paraId="344BFA3F" w14:textId="77777777" w:rsidR="00631CA2" w:rsidRPr="00A02B31" w:rsidRDefault="00631CA2" w:rsidP="00631CA2">
      <w:pPr>
        <w:spacing w:after="240"/>
        <w:jc w:val="both"/>
        <w:rPr>
          <w:rFonts w:cstheme="minorHAnsi"/>
          <w:i/>
          <w:color w:val="000000" w:themeColor="text1"/>
          <w:sz w:val="20"/>
          <w:szCs w:val="20"/>
        </w:rPr>
      </w:pPr>
      <w:r w:rsidRPr="00A02B31">
        <w:rPr>
          <w:rFonts w:cstheme="minorHAnsi"/>
          <w:color w:val="000000" w:themeColor="text1"/>
          <w:sz w:val="20"/>
          <w:szCs w:val="20"/>
        </w:rPr>
        <w:t>We conducted our audit in accordance with International Standards on Auditing (UK) (ISAs (UK)) and applicable law. Our responsibilities under those standards are further described in the Auditor’s responsibilities for the audit of the financial statements section of our report. We believe that the audit evidence we have obtained is sufficient and appropriate to provide a basis for our opinion.</w:t>
      </w:r>
    </w:p>
    <w:p w14:paraId="6F23557B" w14:textId="77777777" w:rsidR="00631CA2" w:rsidRPr="00A02B31" w:rsidRDefault="00631CA2" w:rsidP="00631CA2">
      <w:pPr>
        <w:spacing w:after="240"/>
        <w:jc w:val="both"/>
        <w:rPr>
          <w:rFonts w:cstheme="minorHAnsi"/>
          <w:i/>
          <w:color w:val="000000" w:themeColor="text1"/>
          <w:sz w:val="20"/>
          <w:szCs w:val="20"/>
        </w:rPr>
      </w:pPr>
      <w:r w:rsidRPr="00A02B31">
        <w:rPr>
          <w:rFonts w:cstheme="minorHAnsi"/>
          <w:i/>
          <w:color w:val="000000" w:themeColor="text1"/>
          <w:sz w:val="20"/>
          <w:szCs w:val="20"/>
        </w:rPr>
        <w:t>Independence</w:t>
      </w:r>
    </w:p>
    <w:p w14:paraId="39933E5A" w14:textId="77777777" w:rsidR="00631CA2" w:rsidRPr="00A02B31" w:rsidRDefault="00631CA2" w:rsidP="00631CA2">
      <w:pPr>
        <w:spacing w:after="240"/>
        <w:jc w:val="both"/>
        <w:rPr>
          <w:rFonts w:cstheme="minorHAnsi"/>
          <w:color w:val="000000" w:themeColor="text1"/>
          <w:sz w:val="20"/>
          <w:szCs w:val="20"/>
        </w:rPr>
      </w:pPr>
      <w:r w:rsidRPr="00A02B31">
        <w:rPr>
          <w:rFonts w:cstheme="minorHAnsi"/>
          <w:color w:val="000000" w:themeColor="text1"/>
          <w:sz w:val="20"/>
          <w:szCs w:val="20"/>
        </w:rPr>
        <w:t>We remain independent of the Company in accordance with the ethical requirements that are relevant to our audit of the financial statements in the UK, including the FRC’s Ethical Standard as applied to listed entities, and we have fulfilled our other ethical responsibilities in accordance with these requirements.</w:t>
      </w:r>
    </w:p>
    <w:p w14:paraId="60CBE779" w14:textId="77777777" w:rsidR="00631CA2" w:rsidRPr="00A02B31" w:rsidRDefault="00631CA2" w:rsidP="00631CA2">
      <w:pPr>
        <w:pStyle w:val="Heading2"/>
        <w:ind w:left="709" w:hanging="709"/>
        <w:jc w:val="both"/>
        <w:rPr>
          <w:rFonts w:asciiTheme="minorHAnsi" w:hAnsiTheme="minorHAnsi" w:cstheme="minorHAnsi"/>
          <w:b/>
          <w:color w:val="000000" w:themeColor="text1"/>
          <w:sz w:val="20"/>
          <w:szCs w:val="20"/>
        </w:rPr>
      </w:pPr>
      <w:r w:rsidRPr="00A02B31">
        <w:rPr>
          <w:rFonts w:asciiTheme="minorHAnsi" w:hAnsiTheme="minorHAnsi" w:cstheme="minorHAnsi"/>
          <w:b/>
          <w:color w:val="000000" w:themeColor="text1"/>
          <w:sz w:val="20"/>
          <w:szCs w:val="20"/>
        </w:rPr>
        <w:t>Conclusions relating to going concern</w:t>
      </w:r>
    </w:p>
    <w:p w14:paraId="097BF290" w14:textId="77777777" w:rsidR="00631CA2" w:rsidRPr="00A02B31" w:rsidRDefault="00631CA2" w:rsidP="00631CA2">
      <w:pPr>
        <w:jc w:val="both"/>
        <w:rPr>
          <w:rFonts w:cstheme="minorHAnsi"/>
          <w:color w:val="000000" w:themeColor="text1"/>
          <w:sz w:val="20"/>
          <w:szCs w:val="20"/>
        </w:rPr>
      </w:pPr>
      <w:r w:rsidRPr="00A02B31">
        <w:rPr>
          <w:rFonts w:cstheme="minorHAnsi"/>
          <w:color w:val="000000" w:themeColor="text1"/>
          <w:sz w:val="20"/>
          <w:szCs w:val="20"/>
        </w:rPr>
        <w:t>In auditing the financial statements, we have concluded that the Directors’ use of the going concern basis of accounting in the preparation of the financial statements is appropriate.</w:t>
      </w:r>
    </w:p>
    <w:p w14:paraId="21D94D92" w14:textId="226AF7D3" w:rsidR="00631CA2" w:rsidRPr="00A02B31" w:rsidRDefault="00631CA2" w:rsidP="00631CA2">
      <w:pPr>
        <w:jc w:val="both"/>
        <w:rPr>
          <w:rFonts w:cstheme="minorHAnsi"/>
          <w:sz w:val="20"/>
          <w:szCs w:val="20"/>
        </w:rPr>
      </w:pPr>
      <w:r w:rsidRPr="00A02B31">
        <w:rPr>
          <w:rFonts w:cstheme="minorHAnsi"/>
          <w:color w:val="000000" w:themeColor="text1"/>
          <w:sz w:val="20"/>
          <w:szCs w:val="20"/>
        </w:rPr>
        <w:br/>
        <w:t xml:space="preserve">Our evaluation of the Directors’ assessment of the Company’s </w:t>
      </w:r>
      <w:r w:rsidRPr="00A02B31">
        <w:rPr>
          <w:rFonts w:cstheme="minorHAnsi"/>
          <w:sz w:val="20"/>
          <w:szCs w:val="20"/>
        </w:rPr>
        <w:t>ability to continue to adopt the going concern basis of accounting included:</w:t>
      </w:r>
      <w:r w:rsidR="0091098D">
        <w:rPr>
          <w:rFonts w:cstheme="minorHAnsi"/>
          <w:sz w:val="20"/>
          <w:szCs w:val="20"/>
        </w:rPr>
        <w:t xml:space="preserve"> </w:t>
      </w:r>
      <w:r w:rsidRPr="00A02B31">
        <w:rPr>
          <w:rFonts w:cstheme="minorHAnsi"/>
          <w:sz w:val="20"/>
          <w:szCs w:val="20"/>
        </w:rPr>
        <w:t>agreeing the inputs and assumptions within the forecast that forms the basis of the Board’s assessment of the going concern status of the Company, to supporting documentation and our own</w:t>
      </w:r>
      <w:r w:rsidR="00075936">
        <w:rPr>
          <w:rFonts w:cstheme="minorHAnsi"/>
          <w:sz w:val="20"/>
          <w:szCs w:val="20"/>
        </w:rPr>
        <w:t xml:space="preserve"> understanding of the Company. We c</w:t>
      </w:r>
      <w:r w:rsidRPr="00A02B31">
        <w:rPr>
          <w:rFonts w:cstheme="minorHAnsi"/>
          <w:sz w:val="20"/>
          <w:szCs w:val="20"/>
        </w:rPr>
        <w:t>onsidered the impact of the change in the investment strategy on the financial statements. We performed stress testing of extreme downside scenarios and cash flow forecasts, as well as conducting a robust review of the Company’s liquidity position by reviewing the cash available to the entity against the operating costs.</w:t>
      </w:r>
    </w:p>
    <w:p w14:paraId="2881A3EC" w14:textId="77777777" w:rsidR="00631CA2" w:rsidRPr="00A02B31" w:rsidRDefault="00631CA2" w:rsidP="00631CA2">
      <w:pPr>
        <w:jc w:val="both"/>
        <w:rPr>
          <w:rFonts w:cstheme="minorHAnsi"/>
          <w:sz w:val="20"/>
          <w:szCs w:val="20"/>
        </w:rPr>
      </w:pPr>
      <w:r w:rsidRPr="00A02B31">
        <w:rPr>
          <w:rFonts w:cstheme="minorHAnsi"/>
          <w:sz w:val="20"/>
          <w:szCs w:val="20"/>
        </w:rPr>
        <w:t xml:space="preserve">  </w:t>
      </w:r>
    </w:p>
    <w:p w14:paraId="107A4BF6" w14:textId="77777777" w:rsidR="00631CA2" w:rsidRPr="00A02B31" w:rsidRDefault="00631CA2" w:rsidP="00631CA2">
      <w:pPr>
        <w:jc w:val="both"/>
        <w:rPr>
          <w:rFonts w:cstheme="minorHAnsi"/>
          <w:sz w:val="20"/>
          <w:szCs w:val="20"/>
        </w:rPr>
      </w:pPr>
      <w:r w:rsidRPr="00A02B31">
        <w:rPr>
          <w:rFonts w:cstheme="minorHAnsi"/>
          <w:sz w:val="20"/>
          <w:szCs w:val="20"/>
        </w:rPr>
        <w:t>Based on the work we have performed, we have not identified any material uncertainties relating to events or conditions that, individually or collectively, may cast significant doubt on the Company's ability to continue as a going concern for a period of at least twelve months from when the financial statements are authorised for issue.</w:t>
      </w:r>
    </w:p>
    <w:p w14:paraId="3EC0CAD3" w14:textId="77777777" w:rsidR="00631CA2" w:rsidRPr="00A02B31" w:rsidRDefault="00631CA2" w:rsidP="00631CA2">
      <w:pPr>
        <w:jc w:val="both"/>
        <w:rPr>
          <w:rFonts w:cstheme="minorHAnsi"/>
          <w:sz w:val="20"/>
          <w:szCs w:val="20"/>
        </w:rPr>
      </w:pPr>
    </w:p>
    <w:p w14:paraId="0531CBCF" w14:textId="77777777" w:rsidR="00631CA2" w:rsidRPr="00A02B31" w:rsidRDefault="00631CA2" w:rsidP="00631CA2">
      <w:pPr>
        <w:jc w:val="both"/>
        <w:rPr>
          <w:rFonts w:cstheme="minorHAnsi"/>
          <w:sz w:val="20"/>
          <w:szCs w:val="20"/>
        </w:rPr>
      </w:pPr>
      <w:r w:rsidRPr="00A02B31">
        <w:rPr>
          <w:rFonts w:cstheme="minorHAnsi"/>
          <w:sz w:val="20"/>
          <w:szCs w:val="20"/>
        </w:rPr>
        <w:t>Our responsibilities and the responsibilities of the Directors with respect to going concern are described in the relevant sections of this report.</w:t>
      </w:r>
    </w:p>
    <w:p w14:paraId="62647ECB" w14:textId="77777777" w:rsidR="00631CA2" w:rsidRPr="00A02B31" w:rsidRDefault="00631CA2" w:rsidP="00631CA2">
      <w:pPr>
        <w:jc w:val="both"/>
        <w:rPr>
          <w:rFonts w:cstheme="minorHAnsi"/>
          <w:sz w:val="20"/>
          <w:szCs w:val="20"/>
        </w:rPr>
      </w:pPr>
      <w:r w:rsidRPr="00A02B31">
        <w:rPr>
          <w:rFonts w:cstheme="minorHAnsi"/>
          <w:sz w:val="20"/>
          <w:szCs w:val="20"/>
        </w:rPr>
        <w:br/>
      </w:r>
      <w:r w:rsidRPr="00A02B31">
        <w:rPr>
          <w:rFonts w:cstheme="minorHAnsi"/>
          <w:b/>
          <w:bCs/>
          <w:sz w:val="20"/>
          <w:szCs w:val="20"/>
        </w:rPr>
        <w:t>Overview</w:t>
      </w:r>
    </w:p>
    <w:p w14:paraId="44610D3C" w14:textId="77777777" w:rsidR="00631CA2" w:rsidRPr="00A02B31" w:rsidRDefault="00631CA2" w:rsidP="00631CA2">
      <w:pPr>
        <w:jc w:val="both"/>
        <w:rPr>
          <w:rFonts w:cstheme="minorHAnsi"/>
          <w:sz w:val="20"/>
          <w:szCs w:val="20"/>
        </w:rPr>
      </w:pPr>
    </w:p>
    <w:tbl>
      <w:tblPr>
        <w:tblStyle w:val="TableGrid"/>
        <w:tblW w:w="0" w:type="auto"/>
        <w:tblLook w:val="04A0" w:firstRow="1" w:lastRow="0" w:firstColumn="1" w:lastColumn="0" w:noHBand="0" w:noVBand="1"/>
      </w:tblPr>
      <w:tblGrid>
        <w:gridCol w:w="2123"/>
        <w:gridCol w:w="2123"/>
        <w:gridCol w:w="2124"/>
        <w:gridCol w:w="2124"/>
      </w:tblGrid>
      <w:tr w:rsidR="00631CA2" w:rsidRPr="008B2DDA" w14:paraId="1E7396D1" w14:textId="77777777" w:rsidTr="007600A7">
        <w:tc>
          <w:tcPr>
            <w:tcW w:w="2123" w:type="dxa"/>
          </w:tcPr>
          <w:p w14:paraId="5A458851" w14:textId="77777777" w:rsidR="00631CA2" w:rsidRPr="00A02B31" w:rsidRDefault="00631CA2" w:rsidP="007600A7">
            <w:pPr>
              <w:jc w:val="both"/>
              <w:rPr>
                <w:rFonts w:cstheme="minorHAnsi"/>
                <w:sz w:val="20"/>
                <w:szCs w:val="20"/>
              </w:rPr>
            </w:pPr>
          </w:p>
        </w:tc>
        <w:tc>
          <w:tcPr>
            <w:tcW w:w="2123" w:type="dxa"/>
          </w:tcPr>
          <w:p w14:paraId="388B7D3E" w14:textId="77777777" w:rsidR="00631CA2" w:rsidRPr="00A02B31" w:rsidRDefault="00631CA2" w:rsidP="007600A7">
            <w:pPr>
              <w:jc w:val="both"/>
              <w:rPr>
                <w:rFonts w:cstheme="minorHAnsi"/>
                <w:sz w:val="20"/>
                <w:szCs w:val="20"/>
              </w:rPr>
            </w:pPr>
          </w:p>
        </w:tc>
        <w:tc>
          <w:tcPr>
            <w:tcW w:w="2124" w:type="dxa"/>
          </w:tcPr>
          <w:p w14:paraId="5A5089FD" w14:textId="77777777" w:rsidR="00631CA2" w:rsidRPr="00A02B31" w:rsidRDefault="00631CA2" w:rsidP="007600A7">
            <w:pPr>
              <w:jc w:val="both"/>
              <w:rPr>
                <w:rFonts w:cstheme="minorHAnsi"/>
                <w:sz w:val="20"/>
                <w:szCs w:val="20"/>
              </w:rPr>
            </w:pPr>
            <w:r w:rsidRPr="00A02B31">
              <w:rPr>
                <w:rFonts w:cstheme="minorHAnsi"/>
                <w:sz w:val="20"/>
                <w:szCs w:val="20"/>
              </w:rPr>
              <w:t>2022</w:t>
            </w:r>
          </w:p>
        </w:tc>
        <w:tc>
          <w:tcPr>
            <w:tcW w:w="2124" w:type="dxa"/>
          </w:tcPr>
          <w:p w14:paraId="5ECAA046" w14:textId="77777777" w:rsidR="00631CA2" w:rsidRPr="00A02B31" w:rsidRDefault="00631CA2" w:rsidP="007600A7">
            <w:pPr>
              <w:jc w:val="both"/>
              <w:rPr>
                <w:rFonts w:cstheme="minorHAnsi"/>
                <w:sz w:val="20"/>
                <w:szCs w:val="20"/>
              </w:rPr>
            </w:pPr>
            <w:r w:rsidRPr="00A02B31">
              <w:rPr>
                <w:rFonts w:cstheme="minorHAnsi"/>
                <w:sz w:val="20"/>
                <w:szCs w:val="20"/>
              </w:rPr>
              <w:t>2021</w:t>
            </w:r>
          </w:p>
        </w:tc>
      </w:tr>
      <w:tr w:rsidR="00631CA2" w:rsidRPr="008B2DDA" w14:paraId="7FEA137E" w14:textId="77777777" w:rsidTr="007600A7">
        <w:tc>
          <w:tcPr>
            <w:tcW w:w="2123" w:type="dxa"/>
          </w:tcPr>
          <w:p w14:paraId="536D8D4B" w14:textId="77777777" w:rsidR="00631CA2" w:rsidRPr="00A02B31" w:rsidRDefault="00631CA2" w:rsidP="007600A7">
            <w:pPr>
              <w:jc w:val="both"/>
              <w:rPr>
                <w:rFonts w:cstheme="minorHAnsi"/>
                <w:sz w:val="20"/>
                <w:szCs w:val="20"/>
              </w:rPr>
            </w:pPr>
            <w:r w:rsidRPr="00A02B31">
              <w:rPr>
                <w:rFonts w:cstheme="minorHAnsi"/>
                <w:sz w:val="20"/>
                <w:szCs w:val="20"/>
              </w:rPr>
              <w:t>Key audit matter</w:t>
            </w:r>
          </w:p>
        </w:tc>
        <w:tc>
          <w:tcPr>
            <w:tcW w:w="2123" w:type="dxa"/>
          </w:tcPr>
          <w:p w14:paraId="2CD24705" w14:textId="77777777" w:rsidR="00631CA2" w:rsidRPr="00A02B31" w:rsidRDefault="00631CA2" w:rsidP="007600A7">
            <w:pPr>
              <w:jc w:val="both"/>
              <w:rPr>
                <w:rFonts w:cstheme="minorHAnsi"/>
                <w:sz w:val="20"/>
                <w:szCs w:val="20"/>
              </w:rPr>
            </w:pPr>
            <w:r w:rsidRPr="00A02B31">
              <w:rPr>
                <w:rFonts w:cstheme="minorHAnsi"/>
                <w:sz w:val="20"/>
                <w:szCs w:val="20"/>
              </w:rPr>
              <w:t>Valuation of investments</w:t>
            </w:r>
          </w:p>
        </w:tc>
        <w:tc>
          <w:tcPr>
            <w:tcW w:w="2124" w:type="dxa"/>
          </w:tcPr>
          <w:p w14:paraId="19FB5D51" w14:textId="77777777" w:rsidR="00631CA2" w:rsidRPr="00A02B31" w:rsidRDefault="00631CA2" w:rsidP="007600A7">
            <w:pPr>
              <w:jc w:val="both"/>
              <w:rPr>
                <w:rFonts w:cstheme="minorHAnsi"/>
                <w:sz w:val="20"/>
                <w:szCs w:val="20"/>
              </w:rPr>
            </w:pPr>
            <w:r w:rsidRPr="00A02B31">
              <w:rPr>
                <w:rFonts w:cstheme="minorHAnsi"/>
                <w:sz w:val="20"/>
                <w:szCs w:val="20"/>
              </w:rPr>
              <w:t>Yes</w:t>
            </w:r>
          </w:p>
        </w:tc>
        <w:tc>
          <w:tcPr>
            <w:tcW w:w="2124" w:type="dxa"/>
          </w:tcPr>
          <w:p w14:paraId="5B379F60" w14:textId="77777777" w:rsidR="00631CA2" w:rsidRPr="00A02B31" w:rsidRDefault="00631CA2" w:rsidP="007600A7">
            <w:pPr>
              <w:jc w:val="both"/>
              <w:rPr>
                <w:rFonts w:cstheme="minorHAnsi"/>
                <w:sz w:val="20"/>
                <w:szCs w:val="20"/>
              </w:rPr>
            </w:pPr>
            <w:r w:rsidRPr="00A02B31">
              <w:rPr>
                <w:rFonts w:cstheme="minorHAnsi"/>
                <w:sz w:val="20"/>
                <w:szCs w:val="20"/>
              </w:rPr>
              <w:t>Yes</w:t>
            </w:r>
          </w:p>
        </w:tc>
      </w:tr>
      <w:tr w:rsidR="00631CA2" w:rsidRPr="008B2DDA" w14:paraId="722C88A1" w14:textId="77777777" w:rsidTr="007600A7">
        <w:tc>
          <w:tcPr>
            <w:tcW w:w="2123" w:type="dxa"/>
          </w:tcPr>
          <w:p w14:paraId="51FABF02" w14:textId="77777777" w:rsidR="00631CA2" w:rsidRPr="00A02B31" w:rsidRDefault="00631CA2" w:rsidP="007600A7">
            <w:pPr>
              <w:jc w:val="both"/>
              <w:rPr>
                <w:rFonts w:cstheme="minorHAnsi"/>
                <w:sz w:val="20"/>
                <w:szCs w:val="20"/>
              </w:rPr>
            </w:pPr>
            <w:r w:rsidRPr="00A02B31">
              <w:rPr>
                <w:rFonts w:cstheme="minorHAnsi"/>
                <w:sz w:val="20"/>
                <w:szCs w:val="20"/>
              </w:rPr>
              <w:t>Materiality</w:t>
            </w:r>
          </w:p>
        </w:tc>
        <w:tc>
          <w:tcPr>
            <w:tcW w:w="6371" w:type="dxa"/>
            <w:gridSpan w:val="3"/>
          </w:tcPr>
          <w:p w14:paraId="1B7EA1D8" w14:textId="77777777" w:rsidR="00631CA2" w:rsidRPr="00A02B31" w:rsidRDefault="00631CA2" w:rsidP="007600A7">
            <w:pPr>
              <w:jc w:val="both"/>
              <w:rPr>
                <w:rFonts w:cstheme="minorHAnsi"/>
                <w:sz w:val="20"/>
                <w:szCs w:val="20"/>
              </w:rPr>
            </w:pPr>
            <w:r w:rsidRPr="00A02B31">
              <w:rPr>
                <w:rFonts w:cstheme="minorHAnsi"/>
                <w:sz w:val="20"/>
                <w:szCs w:val="20"/>
              </w:rPr>
              <w:t>Financial statements as a whole</w:t>
            </w:r>
          </w:p>
          <w:p w14:paraId="6413A772" w14:textId="77777777" w:rsidR="00631CA2" w:rsidRPr="00A02B31" w:rsidRDefault="00631CA2" w:rsidP="007600A7">
            <w:pPr>
              <w:jc w:val="both"/>
              <w:rPr>
                <w:rFonts w:cstheme="minorHAnsi"/>
                <w:sz w:val="20"/>
                <w:szCs w:val="20"/>
              </w:rPr>
            </w:pPr>
          </w:p>
          <w:p w14:paraId="610BA14B" w14:textId="77777777" w:rsidR="00631CA2" w:rsidRPr="00A02B31" w:rsidRDefault="00631CA2" w:rsidP="007600A7">
            <w:pPr>
              <w:jc w:val="both"/>
              <w:rPr>
                <w:rFonts w:cstheme="minorHAnsi"/>
                <w:sz w:val="20"/>
                <w:szCs w:val="20"/>
              </w:rPr>
            </w:pPr>
            <w:r w:rsidRPr="00A02B31">
              <w:rPr>
                <w:rFonts w:cstheme="minorHAnsi"/>
                <w:sz w:val="20"/>
                <w:szCs w:val="20"/>
              </w:rPr>
              <w:t>£540k (2021: £670k) based on 1.25% (2021: 1.25%) total assets (2021: valuation of the investment portfolio).</w:t>
            </w:r>
          </w:p>
          <w:p w14:paraId="1637B522" w14:textId="77777777" w:rsidR="00631CA2" w:rsidRPr="00A02B31" w:rsidRDefault="00631CA2" w:rsidP="007600A7">
            <w:pPr>
              <w:jc w:val="both"/>
              <w:rPr>
                <w:rFonts w:cstheme="minorHAnsi"/>
                <w:sz w:val="20"/>
                <w:szCs w:val="20"/>
              </w:rPr>
            </w:pPr>
          </w:p>
        </w:tc>
      </w:tr>
    </w:tbl>
    <w:p w14:paraId="318279EE" w14:textId="77777777" w:rsidR="00631CA2" w:rsidRPr="00A02B31" w:rsidRDefault="00631CA2" w:rsidP="00631CA2">
      <w:pPr>
        <w:jc w:val="both"/>
        <w:rPr>
          <w:rFonts w:cstheme="minorHAnsi"/>
          <w:sz w:val="20"/>
          <w:szCs w:val="20"/>
        </w:rPr>
      </w:pPr>
      <w:r w:rsidRPr="00A02B31">
        <w:rPr>
          <w:rFonts w:cstheme="minorHAnsi"/>
          <w:sz w:val="20"/>
          <w:szCs w:val="20"/>
        </w:rPr>
        <w:lastRenderedPageBreak/>
        <w:br/>
      </w:r>
      <w:r w:rsidRPr="00A02B31">
        <w:rPr>
          <w:rFonts w:cstheme="minorHAnsi"/>
          <w:sz w:val="20"/>
          <w:szCs w:val="20"/>
        </w:rPr>
        <w:br/>
        <w:t xml:space="preserve">An overview of the scope of our audit </w:t>
      </w:r>
    </w:p>
    <w:p w14:paraId="758C7999" w14:textId="77777777" w:rsidR="00631CA2" w:rsidRPr="00A02B31" w:rsidRDefault="00631CA2" w:rsidP="00631CA2">
      <w:pPr>
        <w:jc w:val="both"/>
        <w:rPr>
          <w:rFonts w:cstheme="minorHAnsi"/>
          <w:sz w:val="20"/>
          <w:szCs w:val="20"/>
        </w:rPr>
      </w:pPr>
    </w:p>
    <w:p w14:paraId="2921D021" w14:textId="77777777" w:rsidR="00631CA2" w:rsidRPr="00A02B31" w:rsidRDefault="00631CA2" w:rsidP="00631CA2">
      <w:pPr>
        <w:jc w:val="both"/>
        <w:rPr>
          <w:rFonts w:cstheme="minorHAnsi"/>
          <w:sz w:val="20"/>
          <w:szCs w:val="20"/>
        </w:rPr>
      </w:pPr>
      <w:r w:rsidRPr="00A02B31">
        <w:rPr>
          <w:rFonts w:cstheme="minorHAnsi"/>
          <w:sz w:val="20"/>
          <w:szCs w:val="20"/>
        </w:rPr>
        <w:t>Our audit was scoped by obtaining an understanding of the Company and its environment, including the Company’s system of internal control, and assessing the risks of material misstatement in the financial statements. We also addressed the risk of management override of internal controls, including assessing whether there was evidence of bias by the Directors that may have represented a risk of material misstatement.</w:t>
      </w:r>
    </w:p>
    <w:p w14:paraId="113A4B0C" w14:textId="77777777" w:rsidR="00631CA2" w:rsidRPr="00A02B31" w:rsidRDefault="00631CA2" w:rsidP="00631CA2">
      <w:pPr>
        <w:jc w:val="both"/>
        <w:rPr>
          <w:rFonts w:cstheme="minorHAnsi"/>
          <w:sz w:val="20"/>
          <w:szCs w:val="20"/>
        </w:rPr>
      </w:pPr>
    </w:p>
    <w:p w14:paraId="045DC2A9" w14:textId="77777777" w:rsidR="00631CA2" w:rsidRPr="00A02B31" w:rsidRDefault="00631CA2" w:rsidP="00631CA2">
      <w:pPr>
        <w:jc w:val="both"/>
        <w:rPr>
          <w:rFonts w:cstheme="minorHAnsi"/>
          <w:i/>
          <w:iCs/>
          <w:sz w:val="20"/>
          <w:szCs w:val="20"/>
        </w:rPr>
      </w:pPr>
      <w:r w:rsidRPr="00A02B31">
        <w:rPr>
          <w:rFonts w:cstheme="minorHAnsi"/>
          <w:i/>
          <w:iCs/>
          <w:sz w:val="20"/>
          <w:szCs w:val="20"/>
        </w:rPr>
        <w:t>Key audit matters</w:t>
      </w:r>
    </w:p>
    <w:p w14:paraId="1C0182D2" w14:textId="77777777" w:rsidR="00631CA2" w:rsidRPr="00A02B31" w:rsidRDefault="00631CA2" w:rsidP="00631CA2">
      <w:pPr>
        <w:jc w:val="both"/>
        <w:rPr>
          <w:rFonts w:cstheme="minorHAnsi"/>
          <w:sz w:val="20"/>
          <w:szCs w:val="20"/>
        </w:rPr>
      </w:pPr>
    </w:p>
    <w:p w14:paraId="01047953" w14:textId="77777777" w:rsidR="00631CA2" w:rsidRPr="00A02B31" w:rsidRDefault="00631CA2" w:rsidP="00631CA2">
      <w:pPr>
        <w:jc w:val="both"/>
        <w:rPr>
          <w:rFonts w:cstheme="minorHAnsi"/>
          <w:sz w:val="20"/>
          <w:szCs w:val="20"/>
        </w:rPr>
      </w:pPr>
      <w:r w:rsidRPr="00A02B31">
        <w:rPr>
          <w:rFonts w:cstheme="minorHAnsi"/>
          <w:sz w:val="20"/>
          <w:szCs w:val="20"/>
        </w:rPr>
        <w:t>Key audit matters are those matters that, in our professional judgement, were of most significance in our audit of the financial statements of the current period and include the most significant assessed risks of material misstatement (whether or not due to fraud) we identified, including those which had the greatest effect on: the overall audit strategy, the allocation of resources in the audit; and directing the efforts of the engagement team. These matters were addressed in the context of our audit of the financial statements as a whole, and in forming our opinion thereon, and we do not provide a separate opinion on these matters.</w:t>
      </w:r>
    </w:p>
    <w:p w14:paraId="23AF201F" w14:textId="77777777" w:rsidR="00631CA2" w:rsidRPr="00A02B31" w:rsidRDefault="00631CA2" w:rsidP="00631CA2">
      <w:pPr>
        <w:jc w:val="both"/>
        <w:rPr>
          <w:rFonts w:cstheme="minorHAnsi"/>
          <w:sz w:val="20"/>
          <w:szCs w:val="20"/>
        </w:rPr>
      </w:pPr>
    </w:p>
    <w:p w14:paraId="10701D3B" w14:textId="77777777" w:rsidR="00631CA2" w:rsidRPr="00A02B31" w:rsidRDefault="00631CA2" w:rsidP="00631CA2">
      <w:pPr>
        <w:jc w:val="both"/>
        <w:rPr>
          <w:rFonts w:cstheme="minorHAnsi"/>
          <w:sz w:val="20"/>
          <w:szCs w:val="20"/>
        </w:rPr>
      </w:pPr>
    </w:p>
    <w:p w14:paraId="381E28DA" w14:textId="77777777" w:rsidR="00631CA2" w:rsidRPr="00A02B31" w:rsidRDefault="00631CA2" w:rsidP="00631CA2">
      <w:pPr>
        <w:jc w:val="both"/>
        <w:rPr>
          <w:rFonts w:cstheme="minorHAnsi"/>
          <w:sz w:val="20"/>
          <w:szCs w:val="20"/>
        </w:rPr>
      </w:pPr>
    </w:p>
    <w:tbl>
      <w:tblPr>
        <w:tblStyle w:val="TableGrid"/>
        <w:tblW w:w="0" w:type="auto"/>
        <w:tblLook w:val="04A0" w:firstRow="1" w:lastRow="0" w:firstColumn="1" w:lastColumn="0" w:noHBand="0" w:noVBand="1"/>
      </w:tblPr>
      <w:tblGrid>
        <w:gridCol w:w="3114"/>
        <w:gridCol w:w="5380"/>
      </w:tblGrid>
      <w:tr w:rsidR="00631CA2" w:rsidRPr="008B2DDA" w14:paraId="1D2CC7E4" w14:textId="77777777" w:rsidTr="007600A7">
        <w:tc>
          <w:tcPr>
            <w:tcW w:w="3114" w:type="dxa"/>
          </w:tcPr>
          <w:p w14:paraId="78120F2B" w14:textId="77777777" w:rsidR="00631CA2" w:rsidRPr="00A02B31" w:rsidRDefault="00631CA2" w:rsidP="007600A7">
            <w:pPr>
              <w:jc w:val="both"/>
              <w:rPr>
                <w:rFonts w:cstheme="minorHAnsi"/>
                <w:sz w:val="20"/>
                <w:szCs w:val="20"/>
              </w:rPr>
            </w:pPr>
            <w:r w:rsidRPr="00A02B31">
              <w:rPr>
                <w:rFonts w:cstheme="minorHAnsi"/>
                <w:sz w:val="20"/>
                <w:szCs w:val="20"/>
              </w:rPr>
              <w:t>Key audit matter</w:t>
            </w:r>
          </w:p>
        </w:tc>
        <w:tc>
          <w:tcPr>
            <w:tcW w:w="5380" w:type="dxa"/>
          </w:tcPr>
          <w:p w14:paraId="67DCD037" w14:textId="77777777" w:rsidR="00631CA2" w:rsidRPr="00A02B31" w:rsidRDefault="00631CA2" w:rsidP="007600A7">
            <w:pPr>
              <w:jc w:val="both"/>
              <w:rPr>
                <w:rFonts w:cstheme="minorHAnsi"/>
                <w:sz w:val="20"/>
                <w:szCs w:val="20"/>
              </w:rPr>
            </w:pPr>
            <w:r w:rsidRPr="00A02B31">
              <w:rPr>
                <w:rFonts w:cstheme="minorHAnsi"/>
                <w:sz w:val="20"/>
                <w:szCs w:val="20"/>
              </w:rPr>
              <w:t>How our audit addressed the key audit matter</w:t>
            </w:r>
          </w:p>
        </w:tc>
      </w:tr>
      <w:tr w:rsidR="00631CA2" w:rsidRPr="008B2DDA" w14:paraId="12DC30CE" w14:textId="77777777" w:rsidTr="007600A7">
        <w:tc>
          <w:tcPr>
            <w:tcW w:w="3114" w:type="dxa"/>
          </w:tcPr>
          <w:p w14:paraId="59FD3D9C" w14:textId="77777777" w:rsidR="00631CA2" w:rsidRPr="00A02B31" w:rsidRDefault="00631CA2" w:rsidP="007600A7">
            <w:pPr>
              <w:jc w:val="both"/>
              <w:rPr>
                <w:rFonts w:cstheme="minorHAnsi"/>
                <w:sz w:val="20"/>
                <w:szCs w:val="20"/>
              </w:rPr>
            </w:pPr>
          </w:p>
          <w:p w14:paraId="633163F5" w14:textId="77777777" w:rsidR="00631CA2" w:rsidRPr="00A02B31" w:rsidRDefault="00631CA2" w:rsidP="007600A7">
            <w:pPr>
              <w:jc w:val="both"/>
              <w:rPr>
                <w:rFonts w:cstheme="minorHAnsi"/>
                <w:sz w:val="20"/>
                <w:szCs w:val="20"/>
              </w:rPr>
            </w:pPr>
            <w:r w:rsidRPr="00A02B31">
              <w:rPr>
                <w:rFonts w:cstheme="minorHAnsi"/>
                <w:sz w:val="20"/>
                <w:szCs w:val="20"/>
              </w:rPr>
              <w:t>Valuation of Investments (See accounting policy on Note 1 and note 8)</w:t>
            </w:r>
          </w:p>
          <w:p w14:paraId="78D4A97C" w14:textId="77777777" w:rsidR="00631CA2" w:rsidRPr="00A02B31" w:rsidRDefault="00631CA2" w:rsidP="007600A7">
            <w:pPr>
              <w:jc w:val="both"/>
              <w:rPr>
                <w:rFonts w:cstheme="minorHAnsi"/>
                <w:sz w:val="20"/>
                <w:szCs w:val="20"/>
              </w:rPr>
            </w:pPr>
          </w:p>
          <w:p w14:paraId="1176E114" w14:textId="651A85AE" w:rsidR="00631CA2" w:rsidRPr="00A02B31" w:rsidRDefault="00631CA2" w:rsidP="007600A7">
            <w:pPr>
              <w:jc w:val="both"/>
              <w:rPr>
                <w:rFonts w:cstheme="minorHAnsi"/>
                <w:sz w:val="20"/>
                <w:szCs w:val="20"/>
              </w:rPr>
            </w:pPr>
            <w:r w:rsidRPr="00A02B31">
              <w:rPr>
                <w:rFonts w:cstheme="minorHAnsi"/>
                <w:sz w:val="20"/>
                <w:szCs w:val="20"/>
              </w:rPr>
              <w:t>Investments are primar</w:t>
            </w:r>
            <w:r w:rsidR="007B78DE" w:rsidRPr="00A02B31">
              <w:rPr>
                <w:rFonts w:cstheme="minorHAnsi"/>
                <w:sz w:val="20"/>
                <w:szCs w:val="20"/>
              </w:rPr>
              <w:t>ily held in quoted companies (91</w:t>
            </w:r>
            <w:r w:rsidRPr="00A02B31">
              <w:rPr>
                <w:rFonts w:cstheme="minorHAnsi"/>
                <w:sz w:val="20"/>
                <w:szCs w:val="20"/>
              </w:rPr>
              <w:t>% of portfolio value) which should not generally require significant judgement in their valuation.</w:t>
            </w:r>
          </w:p>
          <w:p w14:paraId="18A56674" w14:textId="77777777" w:rsidR="00631CA2" w:rsidRPr="00A02B31" w:rsidRDefault="00631CA2" w:rsidP="007600A7">
            <w:pPr>
              <w:jc w:val="both"/>
              <w:rPr>
                <w:rFonts w:cstheme="minorHAnsi"/>
                <w:sz w:val="20"/>
                <w:szCs w:val="20"/>
              </w:rPr>
            </w:pPr>
          </w:p>
          <w:p w14:paraId="1C582DBC" w14:textId="77777777" w:rsidR="00631CA2" w:rsidRPr="00A02B31" w:rsidRDefault="00631CA2" w:rsidP="007600A7">
            <w:pPr>
              <w:jc w:val="both"/>
              <w:rPr>
                <w:rFonts w:cstheme="minorHAnsi"/>
                <w:sz w:val="20"/>
                <w:szCs w:val="20"/>
              </w:rPr>
            </w:pPr>
            <w:r w:rsidRPr="00A02B31">
              <w:rPr>
                <w:rFonts w:cstheme="minorHAnsi"/>
                <w:sz w:val="20"/>
                <w:szCs w:val="20"/>
              </w:rPr>
              <w:t xml:space="preserve">However, there is a higher level of estimation uncertainty involved in determining the unquoted investment valuations, making up 9% of the portfolio. </w:t>
            </w:r>
          </w:p>
          <w:p w14:paraId="7DDF449C" w14:textId="77777777" w:rsidR="00631CA2" w:rsidRPr="00A02B31" w:rsidRDefault="00631CA2" w:rsidP="007600A7">
            <w:pPr>
              <w:jc w:val="both"/>
              <w:rPr>
                <w:rFonts w:cstheme="minorHAnsi"/>
                <w:sz w:val="20"/>
                <w:szCs w:val="20"/>
              </w:rPr>
            </w:pPr>
          </w:p>
          <w:p w14:paraId="7958012A" w14:textId="77777777" w:rsidR="00631CA2" w:rsidRPr="00A02B31" w:rsidRDefault="00631CA2" w:rsidP="007600A7">
            <w:pPr>
              <w:jc w:val="both"/>
              <w:rPr>
                <w:rFonts w:cstheme="minorHAnsi"/>
                <w:sz w:val="20"/>
                <w:szCs w:val="20"/>
              </w:rPr>
            </w:pPr>
            <w:r w:rsidRPr="00A02B31">
              <w:rPr>
                <w:rFonts w:cstheme="minorHAnsi"/>
                <w:sz w:val="20"/>
                <w:szCs w:val="20"/>
              </w:rPr>
              <w:t xml:space="preserve">The funds performance is largely based on the returns on these investment which is, in turn, driven by the valuation. As such, there is a potential risk of overstatement of investment valuations, although this is mitigated to an extent by the valuations being produced by the administrator and reviewed and approved by the Board. </w:t>
            </w:r>
          </w:p>
          <w:p w14:paraId="4031A90F" w14:textId="77777777" w:rsidR="00631CA2" w:rsidRPr="00A02B31" w:rsidRDefault="00631CA2" w:rsidP="007600A7">
            <w:pPr>
              <w:jc w:val="both"/>
              <w:rPr>
                <w:rFonts w:cstheme="minorHAnsi"/>
                <w:sz w:val="20"/>
                <w:szCs w:val="20"/>
              </w:rPr>
            </w:pPr>
          </w:p>
          <w:p w14:paraId="4C2F8794" w14:textId="77777777" w:rsidR="00631CA2" w:rsidRPr="00A02B31" w:rsidRDefault="00631CA2" w:rsidP="007600A7">
            <w:pPr>
              <w:jc w:val="both"/>
              <w:rPr>
                <w:rFonts w:cstheme="minorHAnsi"/>
                <w:sz w:val="20"/>
                <w:szCs w:val="20"/>
              </w:rPr>
            </w:pPr>
            <w:r w:rsidRPr="00A02B31">
              <w:rPr>
                <w:rFonts w:cstheme="minorHAnsi"/>
                <w:sz w:val="20"/>
                <w:szCs w:val="20"/>
              </w:rPr>
              <w:t>Due to the significance of this balance we considered it to be a key audit matter.</w:t>
            </w:r>
          </w:p>
        </w:tc>
        <w:tc>
          <w:tcPr>
            <w:tcW w:w="5380" w:type="dxa"/>
          </w:tcPr>
          <w:p w14:paraId="56711E84" w14:textId="77777777" w:rsidR="00631CA2" w:rsidRPr="00A02B31" w:rsidRDefault="00631CA2" w:rsidP="007600A7">
            <w:pPr>
              <w:jc w:val="both"/>
              <w:rPr>
                <w:rFonts w:cstheme="minorHAnsi"/>
                <w:sz w:val="20"/>
                <w:szCs w:val="20"/>
              </w:rPr>
            </w:pPr>
          </w:p>
          <w:p w14:paraId="4CACA16B" w14:textId="77777777" w:rsidR="00631CA2" w:rsidRPr="00A02B31" w:rsidRDefault="00631CA2" w:rsidP="007600A7">
            <w:pPr>
              <w:jc w:val="both"/>
              <w:rPr>
                <w:rFonts w:cstheme="minorHAnsi"/>
                <w:sz w:val="20"/>
                <w:szCs w:val="20"/>
              </w:rPr>
            </w:pPr>
            <w:r w:rsidRPr="00A02B31">
              <w:rPr>
                <w:rFonts w:cstheme="minorHAnsi"/>
                <w:sz w:val="20"/>
                <w:szCs w:val="20"/>
              </w:rPr>
              <w:t>In respect of 100% of the  quoted investments, we performed the following procedures:</w:t>
            </w:r>
          </w:p>
          <w:p w14:paraId="15B95C31" w14:textId="77777777" w:rsidR="00631CA2" w:rsidRPr="00A02B31" w:rsidRDefault="00631CA2" w:rsidP="007600A7">
            <w:pPr>
              <w:jc w:val="both"/>
              <w:rPr>
                <w:rFonts w:cstheme="minorHAnsi"/>
                <w:sz w:val="20"/>
                <w:szCs w:val="20"/>
              </w:rPr>
            </w:pPr>
          </w:p>
          <w:p w14:paraId="031280DF" w14:textId="77777777" w:rsidR="00631CA2" w:rsidRPr="00A02B31" w:rsidRDefault="00631CA2" w:rsidP="00631CA2">
            <w:pPr>
              <w:pStyle w:val="ListParagraph"/>
              <w:numPr>
                <w:ilvl w:val="0"/>
                <w:numId w:val="62"/>
              </w:numPr>
              <w:jc w:val="both"/>
              <w:rPr>
                <w:rFonts w:cstheme="minorHAnsi"/>
                <w:sz w:val="20"/>
                <w:szCs w:val="20"/>
              </w:rPr>
            </w:pPr>
            <w:r w:rsidRPr="00A02B31">
              <w:rPr>
                <w:rFonts w:cstheme="minorHAnsi"/>
                <w:sz w:val="20"/>
                <w:szCs w:val="20"/>
              </w:rPr>
              <w:t>Agreed all additions and disposals to supporting contract notes</w:t>
            </w:r>
          </w:p>
          <w:p w14:paraId="77E69FE8" w14:textId="77777777" w:rsidR="00631CA2" w:rsidRPr="00A02B31" w:rsidRDefault="00631CA2" w:rsidP="00631CA2">
            <w:pPr>
              <w:pStyle w:val="ListParagraph"/>
              <w:numPr>
                <w:ilvl w:val="0"/>
                <w:numId w:val="62"/>
              </w:numPr>
              <w:jc w:val="both"/>
              <w:rPr>
                <w:rFonts w:cstheme="minorHAnsi"/>
                <w:sz w:val="20"/>
                <w:szCs w:val="20"/>
              </w:rPr>
            </w:pPr>
            <w:r w:rsidRPr="00A02B31">
              <w:rPr>
                <w:rFonts w:cstheme="minorHAnsi"/>
                <w:sz w:val="20"/>
                <w:szCs w:val="20"/>
              </w:rPr>
              <w:t>Confirmed that bid price has been used by agreeing to externally quoted prices;</w:t>
            </w:r>
            <w:r w:rsidRPr="00A02B31" w:rsidDel="000143E8">
              <w:rPr>
                <w:rFonts w:cstheme="minorHAnsi"/>
                <w:sz w:val="20"/>
                <w:szCs w:val="20"/>
              </w:rPr>
              <w:t xml:space="preserve"> </w:t>
            </w:r>
          </w:p>
          <w:p w14:paraId="659190A0" w14:textId="77777777" w:rsidR="00631CA2" w:rsidRPr="00A02B31" w:rsidRDefault="00631CA2" w:rsidP="00631CA2">
            <w:pPr>
              <w:pStyle w:val="ListParagraph"/>
              <w:numPr>
                <w:ilvl w:val="0"/>
                <w:numId w:val="62"/>
              </w:numPr>
              <w:jc w:val="both"/>
              <w:rPr>
                <w:rFonts w:cstheme="minorHAnsi"/>
                <w:sz w:val="20"/>
                <w:szCs w:val="20"/>
              </w:rPr>
            </w:pPr>
            <w:r w:rsidRPr="00A02B31">
              <w:rPr>
                <w:rFonts w:cstheme="minorHAnsi"/>
                <w:sz w:val="20"/>
                <w:szCs w:val="20"/>
              </w:rPr>
              <w:t>Re-performed the calculation of the value attributable to the company based on the closing bid price</w:t>
            </w:r>
          </w:p>
          <w:p w14:paraId="1C6638F2" w14:textId="77777777" w:rsidR="00631CA2" w:rsidRPr="00A02B31" w:rsidRDefault="00631CA2" w:rsidP="00631CA2">
            <w:pPr>
              <w:pStyle w:val="ListParagraph"/>
              <w:numPr>
                <w:ilvl w:val="0"/>
                <w:numId w:val="62"/>
              </w:numPr>
              <w:jc w:val="both"/>
              <w:rPr>
                <w:rFonts w:cstheme="minorHAnsi"/>
                <w:sz w:val="20"/>
                <w:szCs w:val="20"/>
              </w:rPr>
            </w:pPr>
            <w:r w:rsidRPr="00A02B31">
              <w:rPr>
                <w:rFonts w:cstheme="minorHAnsi"/>
                <w:sz w:val="20"/>
                <w:szCs w:val="20"/>
              </w:rPr>
              <w:t>In respect of the ownership of investments we obtained direct confirmation from the custodian regarding all investments held at the balance sheet date.</w:t>
            </w:r>
          </w:p>
          <w:p w14:paraId="18A36832" w14:textId="77777777" w:rsidR="00631CA2" w:rsidRPr="00A02B31" w:rsidRDefault="00631CA2" w:rsidP="007600A7">
            <w:pPr>
              <w:jc w:val="both"/>
              <w:rPr>
                <w:rFonts w:cstheme="minorHAnsi"/>
                <w:sz w:val="20"/>
                <w:szCs w:val="20"/>
              </w:rPr>
            </w:pPr>
          </w:p>
          <w:p w14:paraId="4FE0F631" w14:textId="77777777" w:rsidR="00631CA2" w:rsidRPr="00A02B31" w:rsidRDefault="00631CA2" w:rsidP="007600A7">
            <w:pPr>
              <w:jc w:val="both"/>
              <w:rPr>
                <w:rFonts w:cstheme="minorHAnsi"/>
                <w:sz w:val="20"/>
                <w:szCs w:val="20"/>
              </w:rPr>
            </w:pPr>
            <w:r w:rsidRPr="00A02B31">
              <w:rPr>
                <w:rFonts w:cstheme="minorHAnsi"/>
                <w:sz w:val="20"/>
                <w:szCs w:val="20"/>
              </w:rPr>
              <w:t>For 100% of the unquoted investments, being the debt instruments held at fair value, we performed the following procedures:</w:t>
            </w:r>
          </w:p>
          <w:p w14:paraId="0451A034" w14:textId="77777777" w:rsidR="00631CA2" w:rsidRPr="00A02B31" w:rsidRDefault="00631CA2" w:rsidP="007600A7">
            <w:pPr>
              <w:jc w:val="both"/>
              <w:rPr>
                <w:rFonts w:cstheme="minorHAnsi"/>
                <w:sz w:val="20"/>
                <w:szCs w:val="20"/>
              </w:rPr>
            </w:pPr>
          </w:p>
          <w:p w14:paraId="4A7B9BAB" w14:textId="77777777" w:rsidR="00631CA2" w:rsidRPr="00A02B31" w:rsidRDefault="00631CA2" w:rsidP="00631CA2">
            <w:pPr>
              <w:pStyle w:val="ListParagraph"/>
              <w:numPr>
                <w:ilvl w:val="0"/>
                <w:numId w:val="63"/>
              </w:numPr>
              <w:jc w:val="both"/>
              <w:rPr>
                <w:rFonts w:cstheme="minorHAnsi"/>
                <w:sz w:val="20"/>
                <w:szCs w:val="20"/>
              </w:rPr>
            </w:pPr>
            <w:r w:rsidRPr="00A02B31">
              <w:rPr>
                <w:rFonts w:cstheme="minorHAnsi"/>
                <w:sz w:val="20"/>
                <w:szCs w:val="20"/>
              </w:rPr>
              <w:t>Agreed security held to  the bond subscription agreement and considered the recoverability of loans through consideration of the investee company’s ability to repay them through review of recent financial information</w:t>
            </w:r>
          </w:p>
          <w:p w14:paraId="030FD27B" w14:textId="77777777" w:rsidR="00631CA2" w:rsidRPr="00A02B31" w:rsidRDefault="00631CA2" w:rsidP="00631CA2">
            <w:pPr>
              <w:pStyle w:val="ListParagraph"/>
              <w:numPr>
                <w:ilvl w:val="0"/>
                <w:numId w:val="63"/>
              </w:numPr>
              <w:jc w:val="both"/>
              <w:rPr>
                <w:rFonts w:cstheme="minorHAnsi"/>
                <w:sz w:val="20"/>
                <w:szCs w:val="20"/>
              </w:rPr>
            </w:pPr>
            <w:r w:rsidRPr="00A02B31">
              <w:rPr>
                <w:rFonts w:cstheme="minorHAnsi"/>
                <w:sz w:val="20"/>
                <w:szCs w:val="20"/>
              </w:rPr>
              <w:t>Checked that the assumption that fair value is not significantly different to par value by challenging the assumption that there is no significant movement in the market interest rate since acquisition by comparing the par value to the Investment Manager’s assessment of the fair value of the loan instruments.</w:t>
            </w:r>
          </w:p>
          <w:p w14:paraId="110A669E" w14:textId="77777777" w:rsidR="00631CA2" w:rsidRPr="00A02B31" w:rsidRDefault="00631CA2" w:rsidP="00631CA2">
            <w:pPr>
              <w:pStyle w:val="ListParagraph"/>
              <w:numPr>
                <w:ilvl w:val="0"/>
                <w:numId w:val="63"/>
              </w:numPr>
              <w:jc w:val="both"/>
              <w:rPr>
                <w:rFonts w:cstheme="minorHAnsi"/>
                <w:sz w:val="20"/>
                <w:szCs w:val="20"/>
              </w:rPr>
            </w:pPr>
            <w:r w:rsidRPr="00A02B31">
              <w:rPr>
                <w:rFonts w:cstheme="minorHAnsi"/>
                <w:sz w:val="20"/>
                <w:szCs w:val="20"/>
              </w:rPr>
              <w:lastRenderedPageBreak/>
              <w:t>Checked that the treatment of accrued redemption premium/other fixed returns in line with the requirements of applicable accounting standards</w:t>
            </w:r>
          </w:p>
          <w:p w14:paraId="570F7C23" w14:textId="77777777" w:rsidR="00631CA2" w:rsidRPr="00A02B31" w:rsidRDefault="00631CA2" w:rsidP="00631CA2">
            <w:pPr>
              <w:pStyle w:val="ListParagraph"/>
              <w:numPr>
                <w:ilvl w:val="0"/>
                <w:numId w:val="63"/>
              </w:numPr>
              <w:jc w:val="both"/>
              <w:rPr>
                <w:rFonts w:cstheme="minorHAnsi"/>
                <w:sz w:val="20"/>
                <w:szCs w:val="20"/>
              </w:rPr>
            </w:pPr>
            <w:r w:rsidRPr="00A02B31">
              <w:rPr>
                <w:rFonts w:cstheme="minorHAnsi"/>
                <w:sz w:val="20"/>
                <w:szCs w:val="20"/>
              </w:rPr>
              <w:t>Checked whether there was a need for impairment through review of the investee’s recent trading information and performance reports</w:t>
            </w:r>
          </w:p>
          <w:p w14:paraId="710FA9B1" w14:textId="6D4AB08A" w:rsidR="00631CA2" w:rsidRPr="00A02B31" w:rsidRDefault="00631CA2" w:rsidP="00A02B31">
            <w:pPr>
              <w:pStyle w:val="ListParagraph"/>
              <w:numPr>
                <w:ilvl w:val="0"/>
                <w:numId w:val="63"/>
              </w:numPr>
              <w:jc w:val="both"/>
              <w:rPr>
                <w:rFonts w:cstheme="minorHAnsi"/>
                <w:sz w:val="20"/>
                <w:szCs w:val="20"/>
              </w:rPr>
            </w:pPr>
            <w:r w:rsidRPr="00A02B31">
              <w:rPr>
                <w:rFonts w:cstheme="minorHAnsi"/>
                <w:sz w:val="20"/>
                <w:szCs w:val="20"/>
              </w:rPr>
              <w:t>Checked that the inputs and assumptions applied in valuing conversion options where applicable and benchmarked these to publicly available information.</w:t>
            </w:r>
          </w:p>
          <w:p w14:paraId="00EDD64D" w14:textId="77777777" w:rsidR="00631CA2" w:rsidRPr="00A02B31" w:rsidRDefault="00631CA2" w:rsidP="007600A7">
            <w:pPr>
              <w:jc w:val="both"/>
              <w:rPr>
                <w:rFonts w:cstheme="minorHAnsi"/>
                <w:sz w:val="20"/>
                <w:szCs w:val="20"/>
              </w:rPr>
            </w:pPr>
          </w:p>
          <w:p w14:paraId="3F430A22" w14:textId="77777777" w:rsidR="00631CA2" w:rsidRPr="00A02B31" w:rsidRDefault="00631CA2" w:rsidP="007600A7">
            <w:pPr>
              <w:jc w:val="both"/>
              <w:rPr>
                <w:rFonts w:cstheme="minorHAnsi"/>
                <w:sz w:val="20"/>
                <w:szCs w:val="20"/>
              </w:rPr>
            </w:pPr>
            <w:r w:rsidRPr="00A02B31">
              <w:rPr>
                <w:rFonts w:cstheme="minorHAnsi"/>
                <w:sz w:val="20"/>
                <w:szCs w:val="20"/>
              </w:rPr>
              <w:t>Key observations:</w:t>
            </w:r>
          </w:p>
          <w:p w14:paraId="09E8A31B" w14:textId="77777777" w:rsidR="00631CA2" w:rsidRPr="00A02B31" w:rsidRDefault="00631CA2" w:rsidP="007600A7">
            <w:pPr>
              <w:jc w:val="both"/>
              <w:rPr>
                <w:rFonts w:cstheme="minorHAnsi"/>
                <w:sz w:val="20"/>
                <w:szCs w:val="20"/>
              </w:rPr>
            </w:pPr>
          </w:p>
          <w:p w14:paraId="3CC5FF34" w14:textId="77777777" w:rsidR="00631CA2" w:rsidRPr="00A02B31" w:rsidRDefault="00631CA2" w:rsidP="007600A7">
            <w:pPr>
              <w:jc w:val="both"/>
              <w:rPr>
                <w:rFonts w:cstheme="minorHAnsi"/>
                <w:sz w:val="20"/>
                <w:szCs w:val="20"/>
              </w:rPr>
            </w:pPr>
            <w:r w:rsidRPr="00A02B31">
              <w:rPr>
                <w:rFonts w:cstheme="minorHAnsi"/>
                <w:sz w:val="20"/>
                <w:szCs w:val="20"/>
              </w:rPr>
              <w:t>Based on the procedures performed we did not identify any matters to suggest that the valuation of investments was not appropriate.</w:t>
            </w:r>
          </w:p>
        </w:tc>
      </w:tr>
      <w:tr w:rsidR="00631CA2" w:rsidRPr="008B2DDA" w14:paraId="3E6DDC35" w14:textId="77777777" w:rsidTr="007600A7">
        <w:tc>
          <w:tcPr>
            <w:tcW w:w="3114" w:type="dxa"/>
          </w:tcPr>
          <w:p w14:paraId="24490A2E" w14:textId="77777777" w:rsidR="00631CA2" w:rsidRPr="00A02B31" w:rsidRDefault="00631CA2" w:rsidP="007600A7">
            <w:pPr>
              <w:jc w:val="both"/>
              <w:rPr>
                <w:rFonts w:cstheme="minorHAnsi"/>
                <w:sz w:val="20"/>
                <w:szCs w:val="20"/>
              </w:rPr>
            </w:pPr>
          </w:p>
        </w:tc>
        <w:tc>
          <w:tcPr>
            <w:tcW w:w="5380" w:type="dxa"/>
          </w:tcPr>
          <w:p w14:paraId="21185B28" w14:textId="77777777" w:rsidR="00631CA2" w:rsidRPr="00A02B31" w:rsidRDefault="00631CA2" w:rsidP="007600A7">
            <w:pPr>
              <w:jc w:val="both"/>
              <w:rPr>
                <w:rFonts w:cstheme="minorHAnsi"/>
                <w:sz w:val="20"/>
                <w:szCs w:val="20"/>
              </w:rPr>
            </w:pPr>
          </w:p>
        </w:tc>
      </w:tr>
    </w:tbl>
    <w:p w14:paraId="17A5AC75" w14:textId="77777777" w:rsidR="00631CA2" w:rsidRPr="00A02B31" w:rsidRDefault="00631CA2" w:rsidP="00631CA2">
      <w:pPr>
        <w:jc w:val="both"/>
        <w:rPr>
          <w:rFonts w:cstheme="minorHAnsi"/>
          <w:sz w:val="20"/>
          <w:szCs w:val="20"/>
        </w:rPr>
      </w:pPr>
    </w:p>
    <w:p w14:paraId="49D5B7C1" w14:textId="77777777" w:rsidR="00631CA2" w:rsidRPr="00A02B31" w:rsidRDefault="00631CA2" w:rsidP="00631CA2">
      <w:pPr>
        <w:jc w:val="both"/>
        <w:rPr>
          <w:rFonts w:cstheme="minorHAnsi"/>
          <w:sz w:val="20"/>
          <w:szCs w:val="20"/>
        </w:rPr>
      </w:pPr>
    </w:p>
    <w:p w14:paraId="26F74A3F" w14:textId="77777777" w:rsidR="00631CA2" w:rsidRPr="00A02B31" w:rsidRDefault="00631CA2" w:rsidP="00631CA2">
      <w:pPr>
        <w:jc w:val="both"/>
        <w:rPr>
          <w:rFonts w:cstheme="minorHAnsi"/>
          <w:b/>
          <w:bCs/>
          <w:sz w:val="20"/>
          <w:szCs w:val="20"/>
        </w:rPr>
      </w:pPr>
      <w:r w:rsidRPr="00A02B31">
        <w:rPr>
          <w:rFonts w:cstheme="minorHAnsi"/>
          <w:b/>
          <w:bCs/>
          <w:sz w:val="20"/>
          <w:szCs w:val="20"/>
        </w:rPr>
        <w:t xml:space="preserve">Our application of materiality </w:t>
      </w:r>
    </w:p>
    <w:p w14:paraId="77E81246" w14:textId="77777777" w:rsidR="00631CA2" w:rsidRPr="00A02B31" w:rsidRDefault="00631CA2" w:rsidP="00631CA2">
      <w:pPr>
        <w:jc w:val="both"/>
        <w:rPr>
          <w:rFonts w:cstheme="minorHAnsi"/>
          <w:sz w:val="20"/>
          <w:szCs w:val="20"/>
        </w:rPr>
      </w:pPr>
    </w:p>
    <w:p w14:paraId="1D11FAE6" w14:textId="77777777" w:rsidR="00631CA2" w:rsidRPr="00A02B31" w:rsidRDefault="00631CA2" w:rsidP="00631CA2">
      <w:pPr>
        <w:jc w:val="both"/>
        <w:rPr>
          <w:rFonts w:cstheme="minorHAnsi"/>
          <w:sz w:val="20"/>
          <w:szCs w:val="20"/>
        </w:rPr>
      </w:pPr>
    </w:p>
    <w:p w14:paraId="55D2F995" w14:textId="77777777" w:rsidR="00631CA2" w:rsidRPr="00A02B31" w:rsidRDefault="00631CA2" w:rsidP="00631CA2">
      <w:pPr>
        <w:jc w:val="both"/>
        <w:rPr>
          <w:rFonts w:cstheme="minorHAnsi"/>
          <w:sz w:val="20"/>
          <w:szCs w:val="20"/>
        </w:rPr>
      </w:pPr>
      <w:r w:rsidRPr="00A02B31">
        <w:rPr>
          <w:rFonts w:cstheme="minorHAnsi"/>
          <w:sz w:val="20"/>
          <w:szCs w:val="20"/>
        </w:rPr>
        <w:t xml:space="preserve">We apply the concept of materiality both in planning and performing our audit, and in evaluating the effect of misstatements. We consider materiality to be the magnitude by which misstatements, including omissions, could influence the economic decisions of reasonable users that are taken on the basis of the financial statements.  </w:t>
      </w:r>
    </w:p>
    <w:p w14:paraId="19BDB388" w14:textId="77777777" w:rsidR="00631CA2" w:rsidRPr="00A02B31" w:rsidRDefault="00631CA2" w:rsidP="00631CA2">
      <w:pPr>
        <w:jc w:val="both"/>
        <w:rPr>
          <w:rFonts w:cstheme="minorHAnsi"/>
          <w:sz w:val="20"/>
          <w:szCs w:val="20"/>
        </w:rPr>
      </w:pPr>
    </w:p>
    <w:p w14:paraId="1D9D1930" w14:textId="77777777" w:rsidR="00631CA2" w:rsidRPr="00A02B31" w:rsidRDefault="00631CA2" w:rsidP="00631CA2">
      <w:pPr>
        <w:jc w:val="both"/>
        <w:rPr>
          <w:rFonts w:cstheme="minorHAnsi"/>
          <w:sz w:val="20"/>
          <w:szCs w:val="20"/>
        </w:rPr>
      </w:pPr>
      <w:r w:rsidRPr="00A02B31">
        <w:rPr>
          <w:rFonts w:cstheme="minorHAnsi"/>
          <w:sz w:val="20"/>
          <w:szCs w:val="20"/>
        </w:rPr>
        <w:t xml:space="preserve">In order to reduce to an appropriately low level the probability that any misstatements exceed materiality, we use a lower materiality level, performance materiality, to determine the extent of testing needed. Importantly, misstatements below these levels will not necessarily be evaluated as immaterial as we also take account of the nature of identified misstatements, and the particular circumstances of their occurrence, when evaluating their effect on the financial </w:t>
      </w:r>
    </w:p>
    <w:p w14:paraId="2EDC036E" w14:textId="77777777" w:rsidR="00631CA2" w:rsidRPr="00A02B31" w:rsidRDefault="00631CA2" w:rsidP="00631CA2">
      <w:pPr>
        <w:jc w:val="both"/>
        <w:rPr>
          <w:rFonts w:cstheme="minorHAnsi"/>
          <w:sz w:val="20"/>
          <w:szCs w:val="20"/>
        </w:rPr>
      </w:pPr>
      <w:r w:rsidRPr="00A02B31">
        <w:rPr>
          <w:rFonts w:cstheme="minorHAnsi"/>
          <w:sz w:val="20"/>
          <w:szCs w:val="20"/>
        </w:rPr>
        <w:t xml:space="preserve">statements as a whole.  </w:t>
      </w:r>
    </w:p>
    <w:p w14:paraId="497C6741" w14:textId="77777777" w:rsidR="00631CA2" w:rsidRPr="00A02B31" w:rsidRDefault="00631CA2" w:rsidP="00631CA2">
      <w:pPr>
        <w:jc w:val="both"/>
        <w:rPr>
          <w:rFonts w:cstheme="minorHAnsi"/>
          <w:sz w:val="20"/>
          <w:szCs w:val="20"/>
        </w:rPr>
      </w:pPr>
    </w:p>
    <w:p w14:paraId="4F835499" w14:textId="2F5A311A" w:rsidR="00631CA2" w:rsidRPr="00A02B31" w:rsidRDefault="00631CA2" w:rsidP="00631CA2">
      <w:pPr>
        <w:jc w:val="both"/>
        <w:rPr>
          <w:rFonts w:cstheme="minorHAnsi"/>
          <w:sz w:val="20"/>
          <w:szCs w:val="20"/>
        </w:rPr>
      </w:pPr>
      <w:r w:rsidRPr="00A02B31">
        <w:rPr>
          <w:rFonts w:cstheme="minorHAnsi"/>
          <w:sz w:val="20"/>
          <w:szCs w:val="20"/>
        </w:rPr>
        <w:t xml:space="preserve">Based on our professional judgement, we determined materiality for the financial statements as a whole and performance </w:t>
      </w:r>
    </w:p>
    <w:p w14:paraId="7C515BC1" w14:textId="77777777" w:rsidR="00631CA2" w:rsidRPr="00A02B31" w:rsidRDefault="00631CA2" w:rsidP="00631CA2">
      <w:pPr>
        <w:jc w:val="both"/>
        <w:rPr>
          <w:rFonts w:cstheme="minorHAnsi"/>
          <w:sz w:val="20"/>
          <w:szCs w:val="20"/>
        </w:rPr>
      </w:pPr>
      <w:r w:rsidRPr="00A02B31">
        <w:rPr>
          <w:rFonts w:cstheme="minorHAnsi"/>
          <w:sz w:val="20"/>
          <w:szCs w:val="20"/>
        </w:rPr>
        <w:t>materiality as follows:</w:t>
      </w:r>
    </w:p>
    <w:p w14:paraId="5839E3B6" w14:textId="77777777" w:rsidR="00631CA2" w:rsidRPr="00A02B31" w:rsidRDefault="00631CA2" w:rsidP="00631CA2">
      <w:pPr>
        <w:jc w:val="both"/>
        <w:rPr>
          <w:rFonts w:cstheme="minorHAnsi"/>
          <w:sz w:val="20"/>
          <w:szCs w:val="20"/>
        </w:rPr>
      </w:pPr>
    </w:p>
    <w:p w14:paraId="3FE1ACD6" w14:textId="77777777" w:rsidR="00631CA2" w:rsidRPr="00A02B31" w:rsidRDefault="00631CA2" w:rsidP="00631CA2">
      <w:pPr>
        <w:jc w:val="both"/>
        <w:rPr>
          <w:rFonts w:cstheme="minorHAnsi"/>
          <w:sz w:val="20"/>
          <w:szCs w:val="20"/>
        </w:rPr>
      </w:pPr>
    </w:p>
    <w:tbl>
      <w:tblPr>
        <w:tblStyle w:val="TableGrid"/>
        <w:tblW w:w="8500" w:type="dxa"/>
        <w:tblLook w:val="04A0" w:firstRow="1" w:lastRow="0" w:firstColumn="1" w:lastColumn="0" w:noHBand="0" w:noVBand="1"/>
      </w:tblPr>
      <w:tblGrid>
        <w:gridCol w:w="2831"/>
        <w:gridCol w:w="2831"/>
        <w:gridCol w:w="2838"/>
      </w:tblGrid>
      <w:tr w:rsidR="00631CA2" w:rsidRPr="008B2DDA" w14:paraId="6BD2C776" w14:textId="77777777" w:rsidTr="007600A7">
        <w:tc>
          <w:tcPr>
            <w:tcW w:w="2831" w:type="dxa"/>
          </w:tcPr>
          <w:p w14:paraId="4FB060E9" w14:textId="77777777" w:rsidR="00631CA2" w:rsidRPr="00A02B31" w:rsidRDefault="00631CA2" w:rsidP="007600A7">
            <w:pPr>
              <w:jc w:val="both"/>
              <w:rPr>
                <w:rFonts w:cstheme="minorHAnsi"/>
                <w:sz w:val="20"/>
                <w:szCs w:val="20"/>
              </w:rPr>
            </w:pPr>
          </w:p>
        </w:tc>
        <w:tc>
          <w:tcPr>
            <w:tcW w:w="2831" w:type="dxa"/>
          </w:tcPr>
          <w:p w14:paraId="3C82BC50" w14:textId="77777777" w:rsidR="00631CA2" w:rsidRPr="00A02B31" w:rsidRDefault="00631CA2" w:rsidP="007600A7">
            <w:pPr>
              <w:jc w:val="both"/>
              <w:rPr>
                <w:rFonts w:cstheme="minorHAnsi"/>
                <w:sz w:val="20"/>
                <w:szCs w:val="20"/>
              </w:rPr>
            </w:pPr>
            <w:r w:rsidRPr="00A02B31">
              <w:rPr>
                <w:rFonts w:cstheme="minorHAnsi"/>
                <w:sz w:val="20"/>
                <w:szCs w:val="20"/>
              </w:rPr>
              <w:t>2022</w:t>
            </w:r>
          </w:p>
        </w:tc>
        <w:tc>
          <w:tcPr>
            <w:tcW w:w="2838" w:type="dxa"/>
          </w:tcPr>
          <w:p w14:paraId="7E7F1197" w14:textId="77777777" w:rsidR="00631CA2" w:rsidRPr="00A02B31" w:rsidRDefault="00631CA2" w:rsidP="007600A7">
            <w:pPr>
              <w:jc w:val="both"/>
              <w:rPr>
                <w:rFonts w:cstheme="minorHAnsi"/>
                <w:sz w:val="20"/>
                <w:szCs w:val="20"/>
              </w:rPr>
            </w:pPr>
            <w:r w:rsidRPr="00A02B31">
              <w:rPr>
                <w:rFonts w:cstheme="minorHAnsi"/>
                <w:sz w:val="20"/>
                <w:szCs w:val="20"/>
              </w:rPr>
              <w:t>2021</w:t>
            </w:r>
          </w:p>
        </w:tc>
      </w:tr>
      <w:tr w:rsidR="00631CA2" w:rsidRPr="008B2DDA" w14:paraId="53FF4391" w14:textId="77777777" w:rsidTr="007600A7">
        <w:tc>
          <w:tcPr>
            <w:tcW w:w="2831" w:type="dxa"/>
          </w:tcPr>
          <w:p w14:paraId="103AF294" w14:textId="77777777" w:rsidR="00631CA2" w:rsidRPr="00A02B31" w:rsidRDefault="00631CA2" w:rsidP="007600A7">
            <w:pPr>
              <w:jc w:val="both"/>
              <w:rPr>
                <w:rFonts w:cstheme="minorHAnsi"/>
                <w:sz w:val="20"/>
                <w:szCs w:val="20"/>
              </w:rPr>
            </w:pPr>
            <w:r w:rsidRPr="00A02B31">
              <w:rPr>
                <w:rFonts w:cstheme="minorHAnsi"/>
                <w:sz w:val="20"/>
                <w:szCs w:val="20"/>
              </w:rPr>
              <w:t>Materiality</w:t>
            </w:r>
          </w:p>
        </w:tc>
        <w:tc>
          <w:tcPr>
            <w:tcW w:w="2831" w:type="dxa"/>
          </w:tcPr>
          <w:p w14:paraId="4078E338" w14:textId="77777777" w:rsidR="00631CA2" w:rsidRPr="00A02B31" w:rsidRDefault="00631CA2" w:rsidP="007600A7">
            <w:pPr>
              <w:jc w:val="both"/>
              <w:rPr>
                <w:rFonts w:cstheme="minorHAnsi"/>
                <w:sz w:val="20"/>
                <w:szCs w:val="20"/>
              </w:rPr>
            </w:pPr>
            <w:r w:rsidRPr="00A02B31">
              <w:rPr>
                <w:rFonts w:cstheme="minorHAnsi"/>
                <w:sz w:val="20"/>
                <w:szCs w:val="20"/>
              </w:rPr>
              <w:t>£540k</w:t>
            </w:r>
          </w:p>
        </w:tc>
        <w:tc>
          <w:tcPr>
            <w:tcW w:w="2838" w:type="dxa"/>
          </w:tcPr>
          <w:p w14:paraId="78B1B1CF" w14:textId="77777777" w:rsidR="00631CA2" w:rsidRPr="00A02B31" w:rsidRDefault="00631CA2" w:rsidP="007600A7">
            <w:pPr>
              <w:jc w:val="both"/>
              <w:rPr>
                <w:rFonts w:cstheme="minorHAnsi"/>
                <w:sz w:val="20"/>
                <w:szCs w:val="20"/>
              </w:rPr>
            </w:pPr>
            <w:r w:rsidRPr="00A02B31">
              <w:rPr>
                <w:rFonts w:cstheme="minorHAnsi"/>
                <w:sz w:val="20"/>
                <w:szCs w:val="20"/>
              </w:rPr>
              <w:t>£670k</w:t>
            </w:r>
          </w:p>
        </w:tc>
      </w:tr>
      <w:tr w:rsidR="00631CA2" w:rsidRPr="008B2DDA" w14:paraId="340BB670" w14:textId="77777777" w:rsidTr="007600A7">
        <w:tc>
          <w:tcPr>
            <w:tcW w:w="2831" w:type="dxa"/>
          </w:tcPr>
          <w:p w14:paraId="02CFE4C6" w14:textId="77777777" w:rsidR="00631CA2" w:rsidRPr="00A02B31" w:rsidRDefault="00631CA2" w:rsidP="007600A7">
            <w:pPr>
              <w:jc w:val="both"/>
              <w:rPr>
                <w:rFonts w:cstheme="minorHAnsi"/>
                <w:sz w:val="20"/>
                <w:szCs w:val="20"/>
              </w:rPr>
            </w:pPr>
            <w:r w:rsidRPr="00A02B31">
              <w:rPr>
                <w:rFonts w:cstheme="minorHAnsi"/>
                <w:sz w:val="20"/>
                <w:szCs w:val="20"/>
              </w:rPr>
              <w:t xml:space="preserve">Materiality Basis for </w:t>
            </w:r>
          </w:p>
          <w:p w14:paraId="7C884443" w14:textId="77777777" w:rsidR="00631CA2" w:rsidRPr="00A02B31" w:rsidRDefault="00631CA2" w:rsidP="007600A7">
            <w:pPr>
              <w:jc w:val="both"/>
              <w:rPr>
                <w:rFonts w:cstheme="minorHAnsi"/>
                <w:sz w:val="20"/>
                <w:szCs w:val="20"/>
              </w:rPr>
            </w:pPr>
            <w:r w:rsidRPr="00A02B31">
              <w:rPr>
                <w:rFonts w:cstheme="minorHAnsi"/>
                <w:sz w:val="20"/>
                <w:szCs w:val="20"/>
              </w:rPr>
              <w:t xml:space="preserve">determining materiality </w:t>
            </w:r>
          </w:p>
          <w:p w14:paraId="12AFB15C" w14:textId="77777777" w:rsidR="00631CA2" w:rsidRPr="00A02B31" w:rsidRDefault="00631CA2" w:rsidP="007600A7">
            <w:pPr>
              <w:jc w:val="both"/>
              <w:rPr>
                <w:rFonts w:cstheme="minorHAnsi"/>
                <w:sz w:val="20"/>
                <w:szCs w:val="20"/>
              </w:rPr>
            </w:pPr>
          </w:p>
        </w:tc>
        <w:tc>
          <w:tcPr>
            <w:tcW w:w="2831" w:type="dxa"/>
          </w:tcPr>
          <w:p w14:paraId="7933D9EE" w14:textId="77777777" w:rsidR="00631CA2" w:rsidRPr="00A02B31" w:rsidRDefault="00631CA2" w:rsidP="007600A7">
            <w:pPr>
              <w:jc w:val="both"/>
              <w:rPr>
                <w:rFonts w:cstheme="minorHAnsi"/>
                <w:sz w:val="20"/>
                <w:szCs w:val="20"/>
              </w:rPr>
            </w:pPr>
            <w:r w:rsidRPr="00A02B31">
              <w:rPr>
                <w:rFonts w:cstheme="minorHAnsi"/>
                <w:sz w:val="20"/>
                <w:szCs w:val="20"/>
              </w:rPr>
              <w:t>1.25% value of total assets</w:t>
            </w:r>
          </w:p>
          <w:p w14:paraId="553C728D" w14:textId="77777777" w:rsidR="00631CA2" w:rsidRPr="00A02B31" w:rsidRDefault="00631CA2" w:rsidP="007600A7">
            <w:pPr>
              <w:jc w:val="both"/>
              <w:rPr>
                <w:rFonts w:cstheme="minorHAnsi"/>
                <w:sz w:val="20"/>
                <w:szCs w:val="20"/>
              </w:rPr>
            </w:pPr>
          </w:p>
        </w:tc>
        <w:tc>
          <w:tcPr>
            <w:tcW w:w="2838" w:type="dxa"/>
          </w:tcPr>
          <w:p w14:paraId="0B036511" w14:textId="77777777" w:rsidR="00631CA2" w:rsidRPr="00A02B31" w:rsidRDefault="00631CA2" w:rsidP="007600A7">
            <w:pPr>
              <w:jc w:val="both"/>
              <w:rPr>
                <w:rFonts w:cstheme="minorHAnsi"/>
                <w:sz w:val="20"/>
                <w:szCs w:val="20"/>
              </w:rPr>
            </w:pPr>
            <w:r w:rsidRPr="00A02B31">
              <w:rPr>
                <w:rFonts w:cstheme="minorHAnsi"/>
                <w:sz w:val="20"/>
                <w:szCs w:val="20"/>
              </w:rPr>
              <w:t xml:space="preserve">1.25% value of Investment portfolio </w:t>
            </w:r>
          </w:p>
          <w:p w14:paraId="1C48E87D" w14:textId="77777777" w:rsidR="00631CA2" w:rsidRPr="00A02B31" w:rsidRDefault="00631CA2" w:rsidP="007600A7">
            <w:pPr>
              <w:jc w:val="both"/>
              <w:rPr>
                <w:rFonts w:cstheme="minorHAnsi"/>
                <w:sz w:val="20"/>
                <w:szCs w:val="20"/>
              </w:rPr>
            </w:pPr>
          </w:p>
        </w:tc>
      </w:tr>
      <w:tr w:rsidR="00631CA2" w:rsidRPr="008B2DDA" w14:paraId="6E9F35C5" w14:textId="77777777" w:rsidTr="007600A7">
        <w:tc>
          <w:tcPr>
            <w:tcW w:w="2831" w:type="dxa"/>
          </w:tcPr>
          <w:p w14:paraId="4062B4EA" w14:textId="77777777" w:rsidR="00631CA2" w:rsidRPr="00A02B31" w:rsidRDefault="00631CA2" w:rsidP="007600A7">
            <w:pPr>
              <w:jc w:val="both"/>
              <w:rPr>
                <w:rFonts w:cstheme="minorHAnsi"/>
                <w:sz w:val="20"/>
                <w:szCs w:val="20"/>
              </w:rPr>
            </w:pPr>
            <w:r w:rsidRPr="00A02B31">
              <w:rPr>
                <w:rFonts w:cstheme="minorHAnsi"/>
                <w:sz w:val="20"/>
                <w:szCs w:val="20"/>
              </w:rPr>
              <w:t xml:space="preserve">Rationale for the </w:t>
            </w:r>
          </w:p>
          <w:p w14:paraId="25C340C3" w14:textId="77777777" w:rsidR="00631CA2" w:rsidRPr="00A02B31" w:rsidRDefault="00631CA2" w:rsidP="007600A7">
            <w:pPr>
              <w:jc w:val="both"/>
              <w:rPr>
                <w:rFonts w:cstheme="minorHAnsi"/>
                <w:sz w:val="20"/>
                <w:szCs w:val="20"/>
              </w:rPr>
            </w:pPr>
            <w:r w:rsidRPr="00A02B31">
              <w:rPr>
                <w:rFonts w:cstheme="minorHAnsi"/>
                <w:sz w:val="20"/>
                <w:szCs w:val="20"/>
              </w:rPr>
              <w:t>benchmark applied</w:t>
            </w:r>
          </w:p>
        </w:tc>
        <w:tc>
          <w:tcPr>
            <w:tcW w:w="2831" w:type="dxa"/>
          </w:tcPr>
          <w:p w14:paraId="4E9844D1" w14:textId="77777777" w:rsidR="00631CA2" w:rsidRPr="00A02B31" w:rsidRDefault="00631CA2" w:rsidP="007600A7">
            <w:pPr>
              <w:jc w:val="both"/>
              <w:rPr>
                <w:rFonts w:cstheme="minorHAnsi"/>
                <w:sz w:val="20"/>
                <w:szCs w:val="20"/>
              </w:rPr>
            </w:pPr>
            <w:r w:rsidRPr="00A02B31">
              <w:rPr>
                <w:rFonts w:cstheme="minorHAnsi"/>
                <w:sz w:val="20"/>
                <w:szCs w:val="20"/>
              </w:rPr>
              <w:t>Total assets has been used as a basis as there were significant disposals during the period, significantly changing the composition of the investments and cash. The cash is available to reinvest. The Asset value of the Company is a key indicator of the performance and as such the  most relevant benchmark for the users of the financial statements.</w:t>
            </w:r>
          </w:p>
          <w:p w14:paraId="4294E6CF" w14:textId="77777777" w:rsidR="00631CA2" w:rsidRPr="00A02B31" w:rsidRDefault="00631CA2" w:rsidP="007600A7">
            <w:pPr>
              <w:jc w:val="both"/>
              <w:rPr>
                <w:rFonts w:cstheme="minorHAnsi"/>
                <w:sz w:val="20"/>
                <w:szCs w:val="20"/>
              </w:rPr>
            </w:pPr>
          </w:p>
          <w:p w14:paraId="656767B7" w14:textId="77777777" w:rsidR="00631CA2" w:rsidRPr="00A02B31" w:rsidRDefault="00631CA2" w:rsidP="007600A7">
            <w:pPr>
              <w:jc w:val="both"/>
              <w:rPr>
                <w:rFonts w:cstheme="minorHAnsi"/>
                <w:sz w:val="20"/>
                <w:szCs w:val="20"/>
              </w:rPr>
            </w:pPr>
          </w:p>
        </w:tc>
        <w:tc>
          <w:tcPr>
            <w:tcW w:w="2838" w:type="dxa"/>
          </w:tcPr>
          <w:p w14:paraId="4B02D37D" w14:textId="77777777" w:rsidR="00631CA2" w:rsidRPr="00A02B31" w:rsidRDefault="00631CA2" w:rsidP="007600A7">
            <w:pPr>
              <w:jc w:val="both"/>
              <w:rPr>
                <w:rFonts w:cstheme="minorHAnsi"/>
                <w:sz w:val="20"/>
                <w:szCs w:val="20"/>
              </w:rPr>
            </w:pPr>
            <w:r w:rsidRPr="00A02B31">
              <w:rPr>
                <w:rFonts w:cstheme="minorHAnsi"/>
                <w:sz w:val="20"/>
                <w:szCs w:val="20"/>
              </w:rPr>
              <w:t xml:space="preserve">The value of </w:t>
            </w:r>
          </w:p>
          <w:p w14:paraId="46782D7D" w14:textId="77777777" w:rsidR="00631CA2" w:rsidRPr="00A02B31" w:rsidRDefault="00631CA2" w:rsidP="007600A7">
            <w:pPr>
              <w:jc w:val="both"/>
              <w:rPr>
                <w:rFonts w:cstheme="minorHAnsi"/>
                <w:sz w:val="20"/>
                <w:szCs w:val="20"/>
              </w:rPr>
            </w:pPr>
            <w:r w:rsidRPr="00A02B31">
              <w:rPr>
                <w:rFonts w:cstheme="minorHAnsi"/>
                <w:sz w:val="20"/>
                <w:szCs w:val="20"/>
              </w:rPr>
              <w:t xml:space="preserve">the </w:t>
            </w:r>
          </w:p>
          <w:p w14:paraId="0B75EE67" w14:textId="77777777" w:rsidR="00631CA2" w:rsidRPr="00A02B31" w:rsidRDefault="00631CA2" w:rsidP="007600A7">
            <w:pPr>
              <w:jc w:val="both"/>
              <w:rPr>
                <w:rFonts w:cstheme="minorHAnsi"/>
                <w:sz w:val="20"/>
                <w:szCs w:val="20"/>
              </w:rPr>
            </w:pPr>
            <w:r w:rsidRPr="00A02B31">
              <w:rPr>
                <w:rFonts w:cstheme="minorHAnsi"/>
                <w:sz w:val="20"/>
                <w:szCs w:val="20"/>
              </w:rPr>
              <w:t xml:space="preserve">investment </w:t>
            </w:r>
          </w:p>
          <w:p w14:paraId="46479EAA" w14:textId="77777777" w:rsidR="00631CA2" w:rsidRPr="00A02B31" w:rsidRDefault="00631CA2" w:rsidP="007600A7">
            <w:pPr>
              <w:jc w:val="both"/>
              <w:rPr>
                <w:rFonts w:cstheme="minorHAnsi"/>
                <w:sz w:val="20"/>
                <w:szCs w:val="20"/>
              </w:rPr>
            </w:pPr>
            <w:r w:rsidRPr="00A02B31">
              <w:rPr>
                <w:rFonts w:cstheme="minorHAnsi"/>
                <w:sz w:val="20"/>
                <w:szCs w:val="20"/>
              </w:rPr>
              <w:t xml:space="preserve">portfolio is the </w:t>
            </w:r>
          </w:p>
          <w:p w14:paraId="449EB0E8" w14:textId="77777777" w:rsidR="00631CA2" w:rsidRPr="00A02B31" w:rsidRDefault="00631CA2" w:rsidP="007600A7">
            <w:pPr>
              <w:jc w:val="both"/>
              <w:rPr>
                <w:rFonts w:cstheme="minorHAnsi"/>
                <w:sz w:val="20"/>
                <w:szCs w:val="20"/>
              </w:rPr>
            </w:pPr>
            <w:r w:rsidRPr="00A02B31">
              <w:rPr>
                <w:rFonts w:cstheme="minorHAnsi"/>
                <w:sz w:val="20"/>
                <w:szCs w:val="20"/>
              </w:rPr>
              <w:t xml:space="preserve">largest </w:t>
            </w:r>
          </w:p>
          <w:p w14:paraId="16F58342" w14:textId="77777777" w:rsidR="00631CA2" w:rsidRPr="00A02B31" w:rsidRDefault="00631CA2" w:rsidP="007600A7">
            <w:pPr>
              <w:jc w:val="both"/>
              <w:rPr>
                <w:rFonts w:cstheme="minorHAnsi"/>
                <w:sz w:val="20"/>
                <w:szCs w:val="20"/>
              </w:rPr>
            </w:pPr>
            <w:r w:rsidRPr="00A02B31">
              <w:rPr>
                <w:rFonts w:cstheme="minorHAnsi"/>
                <w:sz w:val="20"/>
                <w:szCs w:val="20"/>
              </w:rPr>
              <w:t xml:space="preserve">contributor to </w:t>
            </w:r>
          </w:p>
          <w:p w14:paraId="63B93FAF" w14:textId="77777777" w:rsidR="00631CA2" w:rsidRPr="00A02B31" w:rsidRDefault="00631CA2" w:rsidP="007600A7">
            <w:pPr>
              <w:jc w:val="both"/>
              <w:rPr>
                <w:rFonts w:cstheme="minorHAnsi"/>
                <w:sz w:val="20"/>
                <w:szCs w:val="20"/>
              </w:rPr>
            </w:pPr>
            <w:r w:rsidRPr="00A02B31">
              <w:rPr>
                <w:rFonts w:cstheme="minorHAnsi"/>
                <w:sz w:val="20"/>
                <w:szCs w:val="20"/>
              </w:rPr>
              <w:t xml:space="preserve">the Net Asset </w:t>
            </w:r>
          </w:p>
          <w:p w14:paraId="54CD0C11" w14:textId="77777777" w:rsidR="00631CA2" w:rsidRPr="00A02B31" w:rsidRDefault="00631CA2" w:rsidP="007600A7">
            <w:pPr>
              <w:jc w:val="both"/>
              <w:rPr>
                <w:rFonts w:cstheme="minorHAnsi"/>
                <w:sz w:val="20"/>
                <w:szCs w:val="20"/>
              </w:rPr>
            </w:pPr>
            <w:r w:rsidRPr="00A02B31">
              <w:rPr>
                <w:rFonts w:cstheme="minorHAnsi"/>
                <w:sz w:val="20"/>
                <w:szCs w:val="20"/>
              </w:rPr>
              <w:t xml:space="preserve">Value of the </w:t>
            </w:r>
          </w:p>
          <w:p w14:paraId="5954CCCE" w14:textId="77777777" w:rsidR="00631CA2" w:rsidRPr="00A02B31" w:rsidRDefault="00631CA2" w:rsidP="007600A7">
            <w:pPr>
              <w:jc w:val="both"/>
              <w:rPr>
                <w:rFonts w:cstheme="minorHAnsi"/>
                <w:sz w:val="20"/>
                <w:szCs w:val="20"/>
              </w:rPr>
            </w:pPr>
            <w:r w:rsidRPr="00A02B31">
              <w:rPr>
                <w:rFonts w:cstheme="minorHAnsi"/>
                <w:sz w:val="20"/>
                <w:szCs w:val="20"/>
              </w:rPr>
              <w:t xml:space="preserve">Company, </w:t>
            </w:r>
          </w:p>
          <w:p w14:paraId="2541D281" w14:textId="77777777" w:rsidR="00631CA2" w:rsidRPr="00A02B31" w:rsidRDefault="00631CA2" w:rsidP="007600A7">
            <w:pPr>
              <w:jc w:val="both"/>
              <w:rPr>
                <w:rFonts w:cstheme="minorHAnsi"/>
                <w:sz w:val="20"/>
                <w:szCs w:val="20"/>
              </w:rPr>
            </w:pPr>
            <w:r w:rsidRPr="00A02B31">
              <w:rPr>
                <w:rFonts w:cstheme="minorHAnsi"/>
                <w:sz w:val="20"/>
                <w:szCs w:val="20"/>
              </w:rPr>
              <w:t xml:space="preserve">which is a key </w:t>
            </w:r>
          </w:p>
          <w:p w14:paraId="69356645" w14:textId="77777777" w:rsidR="00631CA2" w:rsidRPr="00A02B31" w:rsidRDefault="00631CA2" w:rsidP="007600A7">
            <w:pPr>
              <w:jc w:val="both"/>
              <w:rPr>
                <w:rFonts w:cstheme="minorHAnsi"/>
                <w:sz w:val="20"/>
                <w:szCs w:val="20"/>
              </w:rPr>
            </w:pPr>
            <w:r w:rsidRPr="00A02B31">
              <w:rPr>
                <w:rFonts w:cstheme="minorHAnsi"/>
                <w:sz w:val="20"/>
                <w:szCs w:val="20"/>
              </w:rPr>
              <w:t xml:space="preserve">indicator of </w:t>
            </w:r>
          </w:p>
          <w:p w14:paraId="40A142E0" w14:textId="77777777" w:rsidR="00631CA2" w:rsidRPr="00A02B31" w:rsidRDefault="00631CA2" w:rsidP="007600A7">
            <w:pPr>
              <w:jc w:val="both"/>
              <w:rPr>
                <w:rFonts w:cstheme="minorHAnsi"/>
                <w:sz w:val="20"/>
                <w:szCs w:val="20"/>
              </w:rPr>
            </w:pPr>
            <w:r w:rsidRPr="00A02B31">
              <w:rPr>
                <w:rFonts w:cstheme="minorHAnsi"/>
                <w:sz w:val="20"/>
                <w:szCs w:val="20"/>
              </w:rPr>
              <w:t xml:space="preserve">performance </w:t>
            </w:r>
          </w:p>
          <w:p w14:paraId="058F751A" w14:textId="77777777" w:rsidR="00631CA2" w:rsidRPr="00A02B31" w:rsidRDefault="00631CA2" w:rsidP="007600A7">
            <w:pPr>
              <w:jc w:val="both"/>
              <w:rPr>
                <w:rFonts w:cstheme="minorHAnsi"/>
                <w:sz w:val="20"/>
                <w:szCs w:val="20"/>
              </w:rPr>
            </w:pPr>
            <w:r w:rsidRPr="00A02B31">
              <w:rPr>
                <w:rFonts w:cstheme="minorHAnsi"/>
                <w:sz w:val="20"/>
                <w:szCs w:val="20"/>
              </w:rPr>
              <w:t xml:space="preserve">and as such </w:t>
            </w:r>
          </w:p>
          <w:p w14:paraId="6B8C253C" w14:textId="77777777" w:rsidR="00631CA2" w:rsidRPr="00A02B31" w:rsidRDefault="00631CA2" w:rsidP="007600A7">
            <w:pPr>
              <w:jc w:val="both"/>
              <w:rPr>
                <w:rFonts w:cstheme="minorHAnsi"/>
                <w:sz w:val="20"/>
                <w:szCs w:val="20"/>
              </w:rPr>
            </w:pPr>
            <w:r w:rsidRPr="00A02B31">
              <w:rPr>
                <w:rFonts w:cstheme="minorHAnsi"/>
                <w:sz w:val="20"/>
                <w:szCs w:val="20"/>
              </w:rPr>
              <w:t xml:space="preserve">the most </w:t>
            </w:r>
          </w:p>
          <w:p w14:paraId="7A7D50E0" w14:textId="77777777" w:rsidR="00631CA2" w:rsidRPr="00A02B31" w:rsidRDefault="00631CA2" w:rsidP="007600A7">
            <w:pPr>
              <w:jc w:val="both"/>
              <w:rPr>
                <w:rFonts w:cstheme="minorHAnsi"/>
                <w:sz w:val="20"/>
                <w:szCs w:val="20"/>
              </w:rPr>
            </w:pPr>
            <w:r w:rsidRPr="00A02B31">
              <w:rPr>
                <w:rFonts w:cstheme="minorHAnsi"/>
                <w:sz w:val="20"/>
                <w:szCs w:val="20"/>
              </w:rPr>
              <w:t xml:space="preserve">relevant </w:t>
            </w:r>
          </w:p>
          <w:p w14:paraId="349498BD" w14:textId="77777777" w:rsidR="00631CA2" w:rsidRPr="00A02B31" w:rsidRDefault="00631CA2" w:rsidP="007600A7">
            <w:pPr>
              <w:jc w:val="both"/>
              <w:rPr>
                <w:rFonts w:cstheme="minorHAnsi"/>
                <w:sz w:val="20"/>
                <w:szCs w:val="20"/>
              </w:rPr>
            </w:pPr>
            <w:r w:rsidRPr="00A02B31">
              <w:rPr>
                <w:rFonts w:cstheme="minorHAnsi"/>
                <w:sz w:val="20"/>
                <w:szCs w:val="20"/>
              </w:rPr>
              <w:t xml:space="preserve">benchmark for </w:t>
            </w:r>
          </w:p>
          <w:p w14:paraId="43B44BC6" w14:textId="77777777" w:rsidR="00631CA2" w:rsidRPr="00A02B31" w:rsidRDefault="00631CA2" w:rsidP="007600A7">
            <w:pPr>
              <w:jc w:val="both"/>
              <w:rPr>
                <w:rFonts w:cstheme="minorHAnsi"/>
                <w:sz w:val="20"/>
                <w:szCs w:val="20"/>
              </w:rPr>
            </w:pPr>
            <w:r w:rsidRPr="00A02B31">
              <w:rPr>
                <w:rFonts w:cstheme="minorHAnsi"/>
                <w:sz w:val="20"/>
                <w:szCs w:val="20"/>
              </w:rPr>
              <w:lastRenderedPageBreak/>
              <w:t xml:space="preserve">the users of </w:t>
            </w:r>
          </w:p>
          <w:p w14:paraId="76CBBED9" w14:textId="77777777" w:rsidR="00631CA2" w:rsidRPr="00A02B31" w:rsidRDefault="00631CA2" w:rsidP="007600A7">
            <w:pPr>
              <w:jc w:val="both"/>
              <w:rPr>
                <w:rFonts w:cstheme="minorHAnsi"/>
                <w:sz w:val="20"/>
                <w:szCs w:val="20"/>
              </w:rPr>
            </w:pPr>
            <w:r w:rsidRPr="00A02B31">
              <w:rPr>
                <w:rFonts w:cstheme="minorHAnsi"/>
                <w:sz w:val="20"/>
                <w:szCs w:val="20"/>
              </w:rPr>
              <w:t xml:space="preserve">the financial </w:t>
            </w:r>
          </w:p>
          <w:p w14:paraId="01657576" w14:textId="77777777" w:rsidR="00631CA2" w:rsidRPr="00A02B31" w:rsidRDefault="00631CA2" w:rsidP="007600A7">
            <w:pPr>
              <w:jc w:val="both"/>
              <w:rPr>
                <w:rFonts w:cstheme="minorHAnsi"/>
                <w:sz w:val="20"/>
                <w:szCs w:val="20"/>
              </w:rPr>
            </w:pPr>
            <w:r w:rsidRPr="00A02B31">
              <w:rPr>
                <w:rFonts w:cstheme="minorHAnsi"/>
                <w:sz w:val="20"/>
                <w:szCs w:val="20"/>
              </w:rPr>
              <w:t xml:space="preserve">statements. </w:t>
            </w:r>
          </w:p>
          <w:p w14:paraId="2C57CF44" w14:textId="77777777" w:rsidR="00631CA2" w:rsidRPr="00A02B31" w:rsidRDefault="00631CA2" w:rsidP="007600A7">
            <w:pPr>
              <w:jc w:val="both"/>
              <w:rPr>
                <w:rFonts w:cstheme="minorHAnsi"/>
                <w:sz w:val="20"/>
                <w:szCs w:val="20"/>
              </w:rPr>
            </w:pPr>
          </w:p>
          <w:p w14:paraId="3FB71B4D" w14:textId="77777777" w:rsidR="00631CA2" w:rsidRPr="00A02B31" w:rsidRDefault="00631CA2" w:rsidP="007600A7">
            <w:pPr>
              <w:jc w:val="both"/>
              <w:rPr>
                <w:rFonts w:cstheme="minorHAnsi"/>
                <w:b/>
                <w:bCs/>
                <w:sz w:val="20"/>
                <w:szCs w:val="20"/>
              </w:rPr>
            </w:pPr>
          </w:p>
        </w:tc>
      </w:tr>
      <w:tr w:rsidR="00631CA2" w:rsidRPr="008B2DDA" w14:paraId="1DF0D60F" w14:textId="77777777" w:rsidTr="007600A7">
        <w:tc>
          <w:tcPr>
            <w:tcW w:w="2831" w:type="dxa"/>
          </w:tcPr>
          <w:p w14:paraId="6CDEB229" w14:textId="77777777" w:rsidR="00631CA2" w:rsidRPr="00A02B31" w:rsidRDefault="00631CA2" w:rsidP="007600A7">
            <w:pPr>
              <w:jc w:val="both"/>
              <w:rPr>
                <w:rFonts w:cstheme="minorHAnsi"/>
                <w:sz w:val="20"/>
                <w:szCs w:val="20"/>
              </w:rPr>
            </w:pPr>
            <w:r w:rsidRPr="00A02B31">
              <w:rPr>
                <w:rFonts w:cstheme="minorHAnsi"/>
                <w:sz w:val="20"/>
                <w:szCs w:val="20"/>
              </w:rPr>
              <w:lastRenderedPageBreak/>
              <w:t xml:space="preserve">Performance materiality </w:t>
            </w:r>
          </w:p>
          <w:p w14:paraId="3665C8CE" w14:textId="77777777" w:rsidR="00631CA2" w:rsidRPr="00A02B31" w:rsidRDefault="00631CA2" w:rsidP="007600A7">
            <w:pPr>
              <w:jc w:val="both"/>
              <w:rPr>
                <w:rFonts w:cstheme="minorHAnsi"/>
                <w:sz w:val="20"/>
                <w:szCs w:val="20"/>
              </w:rPr>
            </w:pPr>
          </w:p>
        </w:tc>
        <w:tc>
          <w:tcPr>
            <w:tcW w:w="2831" w:type="dxa"/>
          </w:tcPr>
          <w:p w14:paraId="79D54EB0" w14:textId="77777777" w:rsidR="00631CA2" w:rsidRPr="00A02B31" w:rsidRDefault="00631CA2" w:rsidP="007600A7">
            <w:pPr>
              <w:jc w:val="both"/>
              <w:rPr>
                <w:rFonts w:cstheme="minorHAnsi"/>
                <w:sz w:val="20"/>
                <w:szCs w:val="20"/>
              </w:rPr>
            </w:pPr>
            <w:r w:rsidRPr="00A02B31">
              <w:rPr>
                <w:rFonts w:cstheme="minorHAnsi"/>
                <w:sz w:val="20"/>
                <w:szCs w:val="20"/>
              </w:rPr>
              <w:t>£405k</w:t>
            </w:r>
          </w:p>
        </w:tc>
        <w:tc>
          <w:tcPr>
            <w:tcW w:w="2838" w:type="dxa"/>
          </w:tcPr>
          <w:p w14:paraId="0738BD90" w14:textId="77777777" w:rsidR="00631CA2" w:rsidRPr="00A02B31" w:rsidRDefault="00631CA2" w:rsidP="007600A7">
            <w:pPr>
              <w:jc w:val="both"/>
              <w:rPr>
                <w:rFonts w:cstheme="minorHAnsi"/>
                <w:sz w:val="20"/>
                <w:szCs w:val="20"/>
              </w:rPr>
            </w:pPr>
            <w:r w:rsidRPr="00A02B31">
              <w:rPr>
                <w:rFonts w:cstheme="minorHAnsi"/>
                <w:sz w:val="20"/>
                <w:szCs w:val="20"/>
              </w:rPr>
              <w:t>£500k</w:t>
            </w:r>
          </w:p>
          <w:p w14:paraId="26CCE819" w14:textId="77777777" w:rsidR="00631CA2" w:rsidRPr="00A02B31" w:rsidRDefault="00631CA2" w:rsidP="007600A7">
            <w:pPr>
              <w:jc w:val="both"/>
              <w:rPr>
                <w:rFonts w:cstheme="minorHAnsi"/>
                <w:sz w:val="20"/>
                <w:szCs w:val="20"/>
              </w:rPr>
            </w:pPr>
          </w:p>
        </w:tc>
      </w:tr>
      <w:tr w:rsidR="00631CA2" w:rsidRPr="008B2DDA" w14:paraId="68039A0D" w14:textId="77777777" w:rsidTr="007600A7">
        <w:tc>
          <w:tcPr>
            <w:tcW w:w="2831" w:type="dxa"/>
          </w:tcPr>
          <w:p w14:paraId="3B50C229" w14:textId="77777777" w:rsidR="00631CA2" w:rsidRPr="00A02B31" w:rsidRDefault="00631CA2" w:rsidP="007600A7">
            <w:pPr>
              <w:jc w:val="both"/>
              <w:rPr>
                <w:rFonts w:cstheme="minorHAnsi"/>
                <w:sz w:val="20"/>
                <w:szCs w:val="20"/>
              </w:rPr>
            </w:pPr>
            <w:r w:rsidRPr="00A02B31">
              <w:rPr>
                <w:rFonts w:cstheme="minorHAnsi"/>
                <w:sz w:val="20"/>
                <w:szCs w:val="20"/>
              </w:rPr>
              <w:t>Basis for determining performance materiality</w:t>
            </w:r>
          </w:p>
        </w:tc>
        <w:tc>
          <w:tcPr>
            <w:tcW w:w="2831" w:type="dxa"/>
          </w:tcPr>
          <w:p w14:paraId="24356807" w14:textId="77777777" w:rsidR="00631CA2" w:rsidRPr="00A02B31" w:rsidRDefault="00631CA2" w:rsidP="007600A7">
            <w:pPr>
              <w:jc w:val="both"/>
              <w:rPr>
                <w:rFonts w:cstheme="minorHAnsi"/>
                <w:sz w:val="20"/>
                <w:szCs w:val="20"/>
              </w:rPr>
            </w:pPr>
            <w:r w:rsidRPr="00A02B31">
              <w:rPr>
                <w:rFonts w:cstheme="minorHAnsi"/>
                <w:sz w:val="20"/>
                <w:szCs w:val="20"/>
              </w:rPr>
              <w:t xml:space="preserve">75%, we considered a number of </w:t>
            </w:r>
          </w:p>
          <w:p w14:paraId="2FE492CF" w14:textId="77777777" w:rsidR="00631CA2" w:rsidRPr="00A02B31" w:rsidRDefault="00631CA2" w:rsidP="007600A7">
            <w:pPr>
              <w:jc w:val="both"/>
              <w:rPr>
                <w:rFonts w:cstheme="minorHAnsi"/>
                <w:sz w:val="20"/>
                <w:szCs w:val="20"/>
              </w:rPr>
            </w:pPr>
            <w:r w:rsidRPr="00A02B31">
              <w:rPr>
                <w:rFonts w:cstheme="minorHAnsi"/>
                <w:sz w:val="20"/>
                <w:szCs w:val="20"/>
              </w:rPr>
              <w:t xml:space="preserve">factors including the expected total </w:t>
            </w:r>
          </w:p>
          <w:p w14:paraId="6EE0E6DD" w14:textId="77777777" w:rsidR="00631CA2" w:rsidRPr="00A02B31" w:rsidRDefault="00631CA2" w:rsidP="007600A7">
            <w:pPr>
              <w:jc w:val="both"/>
              <w:rPr>
                <w:rFonts w:cstheme="minorHAnsi"/>
                <w:sz w:val="20"/>
                <w:szCs w:val="20"/>
              </w:rPr>
            </w:pPr>
            <w:r w:rsidRPr="00A02B31">
              <w:rPr>
                <w:rFonts w:cstheme="minorHAnsi"/>
                <w:sz w:val="20"/>
                <w:szCs w:val="20"/>
              </w:rPr>
              <w:t>value of known and likely misstatements (based on past experience and other factors) and management’s attitude towards proposed adjustments.</w:t>
            </w:r>
          </w:p>
        </w:tc>
        <w:tc>
          <w:tcPr>
            <w:tcW w:w="2838" w:type="dxa"/>
          </w:tcPr>
          <w:p w14:paraId="45059A0E" w14:textId="77777777" w:rsidR="00631CA2" w:rsidRPr="00A02B31" w:rsidRDefault="00631CA2" w:rsidP="007600A7">
            <w:pPr>
              <w:jc w:val="both"/>
              <w:rPr>
                <w:rFonts w:cstheme="minorHAnsi"/>
                <w:sz w:val="20"/>
                <w:szCs w:val="20"/>
              </w:rPr>
            </w:pPr>
            <w:r w:rsidRPr="00A02B31">
              <w:rPr>
                <w:rFonts w:cstheme="minorHAnsi"/>
                <w:sz w:val="20"/>
                <w:szCs w:val="20"/>
              </w:rPr>
              <w:t xml:space="preserve">75%, we considered a number of </w:t>
            </w:r>
          </w:p>
          <w:p w14:paraId="02F3E8FA" w14:textId="77777777" w:rsidR="00631CA2" w:rsidRPr="00A02B31" w:rsidRDefault="00631CA2" w:rsidP="007600A7">
            <w:pPr>
              <w:jc w:val="both"/>
              <w:rPr>
                <w:rFonts w:cstheme="minorHAnsi"/>
                <w:sz w:val="20"/>
                <w:szCs w:val="20"/>
              </w:rPr>
            </w:pPr>
            <w:r w:rsidRPr="00A02B31">
              <w:rPr>
                <w:rFonts w:cstheme="minorHAnsi"/>
                <w:sz w:val="20"/>
                <w:szCs w:val="20"/>
              </w:rPr>
              <w:t xml:space="preserve">factors including the expected total </w:t>
            </w:r>
          </w:p>
          <w:p w14:paraId="623D62C9" w14:textId="77777777" w:rsidR="00631CA2" w:rsidRPr="00A02B31" w:rsidRDefault="00631CA2" w:rsidP="007600A7">
            <w:pPr>
              <w:jc w:val="both"/>
              <w:rPr>
                <w:rFonts w:cstheme="minorHAnsi"/>
                <w:sz w:val="20"/>
                <w:szCs w:val="20"/>
              </w:rPr>
            </w:pPr>
            <w:r w:rsidRPr="00A02B31">
              <w:rPr>
                <w:rFonts w:cstheme="minorHAnsi"/>
                <w:sz w:val="20"/>
                <w:szCs w:val="20"/>
              </w:rPr>
              <w:t>value of known and likely misstatements (based on past experience and other factors) and management’s attitude towards proposed adjustments.</w:t>
            </w:r>
          </w:p>
        </w:tc>
      </w:tr>
    </w:tbl>
    <w:p w14:paraId="6D39DE2E" w14:textId="77777777" w:rsidR="00631CA2" w:rsidRPr="00A02B31" w:rsidRDefault="00631CA2" w:rsidP="00631CA2">
      <w:pPr>
        <w:jc w:val="both"/>
        <w:rPr>
          <w:rFonts w:cstheme="minorHAnsi"/>
          <w:sz w:val="20"/>
          <w:szCs w:val="20"/>
        </w:rPr>
      </w:pPr>
    </w:p>
    <w:p w14:paraId="600D7568" w14:textId="77777777" w:rsidR="00631CA2" w:rsidRPr="00A02B31" w:rsidRDefault="00631CA2" w:rsidP="00631CA2">
      <w:pPr>
        <w:jc w:val="both"/>
        <w:rPr>
          <w:rFonts w:cstheme="minorHAnsi"/>
          <w:b/>
          <w:bCs/>
          <w:sz w:val="20"/>
          <w:szCs w:val="20"/>
        </w:rPr>
      </w:pPr>
    </w:p>
    <w:p w14:paraId="7F5E09CB" w14:textId="77777777" w:rsidR="00631CA2" w:rsidRPr="00A02B31" w:rsidRDefault="00631CA2" w:rsidP="00631CA2">
      <w:pPr>
        <w:jc w:val="both"/>
        <w:rPr>
          <w:rFonts w:cstheme="minorHAnsi"/>
          <w:b/>
          <w:bCs/>
          <w:sz w:val="20"/>
          <w:szCs w:val="20"/>
        </w:rPr>
      </w:pPr>
      <w:r w:rsidRPr="00A02B31">
        <w:rPr>
          <w:rFonts w:cstheme="minorHAnsi"/>
          <w:b/>
          <w:bCs/>
          <w:sz w:val="20"/>
          <w:szCs w:val="20"/>
        </w:rPr>
        <w:t xml:space="preserve">Lower testing threshold </w:t>
      </w:r>
    </w:p>
    <w:p w14:paraId="55AAA9FB" w14:textId="77777777" w:rsidR="00631CA2" w:rsidRPr="00A02B31" w:rsidRDefault="00631CA2" w:rsidP="00631CA2">
      <w:pPr>
        <w:jc w:val="both"/>
        <w:rPr>
          <w:rFonts w:cstheme="minorHAnsi"/>
          <w:b/>
          <w:bCs/>
          <w:sz w:val="20"/>
          <w:szCs w:val="20"/>
        </w:rPr>
      </w:pPr>
    </w:p>
    <w:p w14:paraId="0F47D821" w14:textId="77777777" w:rsidR="00631CA2" w:rsidRPr="00A02B31" w:rsidRDefault="00631CA2" w:rsidP="00631CA2">
      <w:pPr>
        <w:jc w:val="both"/>
        <w:rPr>
          <w:rFonts w:cstheme="minorHAnsi"/>
          <w:color w:val="000000" w:themeColor="text1"/>
          <w:sz w:val="20"/>
          <w:szCs w:val="20"/>
        </w:rPr>
      </w:pPr>
      <w:r w:rsidRPr="00A02B31">
        <w:rPr>
          <w:rFonts w:cstheme="minorHAnsi"/>
          <w:sz w:val="20"/>
          <w:szCs w:val="20"/>
        </w:rPr>
        <w:t xml:space="preserve">We </w:t>
      </w:r>
      <w:r w:rsidRPr="00A02B31">
        <w:rPr>
          <w:rFonts w:cstheme="minorHAnsi"/>
          <w:color w:val="000000" w:themeColor="text1"/>
          <w:sz w:val="20"/>
          <w:szCs w:val="20"/>
        </w:rPr>
        <w:t xml:space="preserve">also determined that for items impacting realised return, a misstatement of less than materiality for the financial statements as a whole, could influence the economic decisions of users. As a result, we determined a lower testing threshold for these items based on 5% gross expenditure, excluding performance fees (2021: 10% gross expenditure, </w:t>
      </w:r>
    </w:p>
    <w:p w14:paraId="523B2A93" w14:textId="77777777" w:rsidR="00631CA2" w:rsidRPr="00A02B31" w:rsidRDefault="00631CA2" w:rsidP="00631CA2">
      <w:pPr>
        <w:jc w:val="both"/>
        <w:rPr>
          <w:rFonts w:cstheme="minorHAnsi"/>
          <w:color w:val="000000" w:themeColor="text1"/>
          <w:sz w:val="20"/>
          <w:szCs w:val="20"/>
        </w:rPr>
      </w:pPr>
      <w:r w:rsidRPr="00A02B31">
        <w:rPr>
          <w:rFonts w:cstheme="minorHAnsi"/>
          <w:color w:val="000000" w:themeColor="text1"/>
          <w:sz w:val="20"/>
          <w:szCs w:val="20"/>
        </w:rPr>
        <w:t xml:space="preserve">excluding performance fees) of £124k (2021: £165k).  </w:t>
      </w:r>
    </w:p>
    <w:p w14:paraId="42DD3945" w14:textId="77777777" w:rsidR="00631CA2" w:rsidRPr="00A02B31" w:rsidRDefault="00631CA2" w:rsidP="00631CA2">
      <w:pPr>
        <w:jc w:val="both"/>
        <w:rPr>
          <w:rFonts w:cstheme="minorHAnsi"/>
          <w:color w:val="000000" w:themeColor="text1"/>
          <w:sz w:val="20"/>
          <w:szCs w:val="20"/>
        </w:rPr>
      </w:pPr>
    </w:p>
    <w:p w14:paraId="3BEAED2D" w14:textId="77777777" w:rsidR="00631CA2" w:rsidRPr="00A02B31" w:rsidRDefault="00631CA2" w:rsidP="00631CA2">
      <w:pPr>
        <w:jc w:val="both"/>
        <w:rPr>
          <w:rFonts w:cstheme="minorHAnsi"/>
          <w:color w:val="000000" w:themeColor="text1"/>
          <w:sz w:val="20"/>
          <w:szCs w:val="20"/>
        </w:rPr>
      </w:pPr>
      <w:r w:rsidRPr="00A02B31">
        <w:rPr>
          <w:rFonts w:cstheme="minorHAnsi"/>
          <w:b/>
          <w:bCs/>
          <w:color w:val="000000" w:themeColor="text1"/>
          <w:sz w:val="20"/>
          <w:szCs w:val="20"/>
        </w:rPr>
        <w:t xml:space="preserve">Reporting threshold   </w:t>
      </w:r>
    </w:p>
    <w:p w14:paraId="3E999A69" w14:textId="77777777" w:rsidR="00631CA2" w:rsidRPr="00A02B31" w:rsidRDefault="00631CA2" w:rsidP="00631CA2">
      <w:pPr>
        <w:jc w:val="both"/>
        <w:rPr>
          <w:rFonts w:cstheme="minorHAnsi"/>
          <w:color w:val="000000" w:themeColor="text1"/>
          <w:sz w:val="20"/>
          <w:szCs w:val="20"/>
        </w:rPr>
      </w:pPr>
    </w:p>
    <w:p w14:paraId="25C5776D" w14:textId="77777777" w:rsidR="00631CA2" w:rsidRPr="00A02B31" w:rsidRDefault="00631CA2" w:rsidP="00631CA2">
      <w:pPr>
        <w:jc w:val="both"/>
        <w:rPr>
          <w:rFonts w:cstheme="minorHAnsi"/>
          <w:color w:val="000000" w:themeColor="text1"/>
          <w:sz w:val="20"/>
          <w:szCs w:val="20"/>
        </w:rPr>
      </w:pPr>
      <w:r w:rsidRPr="00A02B31">
        <w:rPr>
          <w:rFonts w:cstheme="minorHAnsi"/>
          <w:color w:val="000000" w:themeColor="text1"/>
          <w:sz w:val="20"/>
          <w:szCs w:val="20"/>
        </w:rPr>
        <w:t>We agreed with the Audit Committee that we would report to them all individual audit differences in excess of £27k (2021: £30k).  We also agreed to report differences below this threshold that, in our view, warranted reporting on qualitative grounds.</w:t>
      </w:r>
    </w:p>
    <w:p w14:paraId="23835CCD" w14:textId="77777777" w:rsidR="00631CA2" w:rsidRPr="00A02B31" w:rsidRDefault="00631CA2" w:rsidP="00631CA2">
      <w:pPr>
        <w:jc w:val="both"/>
        <w:rPr>
          <w:rFonts w:cstheme="minorHAnsi"/>
          <w:color w:val="000000" w:themeColor="text1"/>
          <w:sz w:val="20"/>
          <w:szCs w:val="20"/>
        </w:rPr>
      </w:pPr>
    </w:p>
    <w:p w14:paraId="018BF3E7" w14:textId="77777777" w:rsidR="00631CA2" w:rsidRPr="00A02B31" w:rsidRDefault="00631CA2" w:rsidP="00631CA2">
      <w:pPr>
        <w:jc w:val="both"/>
        <w:rPr>
          <w:rFonts w:cstheme="minorHAnsi"/>
          <w:color w:val="000000" w:themeColor="text1"/>
          <w:sz w:val="20"/>
          <w:szCs w:val="20"/>
        </w:rPr>
      </w:pPr>
    </w:p>
    <w:p w14:paraId="711886B5" w14:textId="77777777" w:rsidR="00631CA2" w:rsidRPr="00A02B31" w:rsidRDefault="00631CA2" w:rsidP="00631CA2">
      <w:pPr>
        <w:pStyle w:val="Heading2"/>
        <w:jc w:val="both"/>
        <w:rPr>
          <w:rFonts w:asciiTheme="minorHAnsi" w:hAnsiTheme="minorHAnsi" w:cstheme="minorHAnsi"/>
          <w:b/>
          <w:color w:val="000000" w:themeColor="text1"/>
          <w:sz w:val="20"/>
          <w:szCs w:val="20"/>
        </w:rPr>
      </w:pPr>
      <w:r w:rsidRPr="00A02B31">
        <w:rPr>
          <w:rFonts w:asciiTheme="minorHAnsi" w:hAnsiTheme="minorHAnsi" w:cstheme="minorHAnsi"/>
          <w:b/>
          <w:color w:val="000000" w:themeColor="text1"/>
          <w:sz w:val="20"/>
          <w:szCs w:val="20"/>
        </w:rPr>
        <w:t>Other information</w:t>
      </w:r>
    </w:p>
    <w:p w14:paraId="54F4CAE2" w14:textId="77777777" w:rsidR="00631CA2" w:rsidRPr="00A02B31" w:rsidRDefault="00631CA2" w:rsidP="00631CA2">
      <w:pPr>
        <w:jc w:val="both"/>
        <w:rPr>
          <w:rFonts w:cstheme="minorHAnsi"/>
          <w:color w:val="000000" w:themeColor="text1"/>
          <w:sz w:val="20"/>
          <w:szCs w:val="20"/>
        </w:rPr>
      </w:pPr>
      <w:r w:rsidRPr="00A02B31">
        <w:rPr>
          <w:rFonts w:cstheme="minorHAnsi"/>
          <w:color w:val="000000" w:themeColor="text1"/>
          <w:sz w:val="20"/>
          <w:szCs w:val="20"/>
        </w:rPr>
        <w:t>The directors are responsible for the other information. The other information comprises the information included in the Report and accounts other than the financial statements and our auditor’s report thereon. Our opinion on the financial statements does not cover the other information and, except to the extent otherwise explicitly stated in our report, we do not express any form of assurance conclusion thereon. Our responsibility is to read the other information and, in doing so, consider whether the other information is materially inconsistent with the financial statements or our knowledge obtained in the course of the audit, or otherwise appears to be materially misstated. If we identify such material inconsistencies or apparent material misstatements, we are required to determine whether this gives rise to a material misstatement in the financial statements themselves. If, based on the work we have performed, we conclude that there is a material misstatement of this other information, we are required to report that fact.</w:t>
      </w:r>
    </w:p>
    <w:p w14:paraId="4E183284" w14:textId="77777777" w:rsidR="00631CA2" w:rsidRPr="00A02B31" w:rsidRDefault="00631CA2" w:rsidP="00631CA2">
      <w:pPr>
        <w:jc w:val="both"/>
        <w:rPr>
          <w:rFonts w:cstheme="minorHAnsi"/>
          <w:color w:val="000000" w:themeColor="text1"/>
          <w:sz w:val="20"/>
          <w:szCs w:val="20"/>
        </w:rPr>
      </w:pPr>
    </w:p>
    <w:p w14:paraId="1156D9CF" w14:textId="77777777" w:rsidR="00631CA2" w:rsidRPr="00A02B31" w:rsidRDefault="00631CA2" w:rsidP="00631CA2">
      <w:pPr>
        <w:jc w:val="both"/>
        <w:rPr>
          <w:rFonts w:cstheme="minorHAnsi"/>
          <w:color w:val="000000" w:themeColor="text1"/>
          <w:sz w:val="20"/>
          <w:szCs w:val="20"/>
        </w:rPr>
      </w:pPr>
      <w:r w:rsidRPr="00A02B31">
        <w:rPr>
          <w:rFonts w:cstheme="minorHAnsi"/>
          <w:color w:val="000000" w:themeColor="text1"/>
          <w:sz w:val="20"/>
          <w:szCs w:val="20"/>
        </w:rPr>
        <w:t>We have nothing to report in this regard.</w:t>
      </w:r>
    </w:p>
    <w:p w14:paraId="4BEE843C" w14:textId="77777777" w:rsidR="00631CA2" w:rsidRPr="00A02B31" w:rsidRDefault="00631CA2" w:rsidP="00631CA2">
      <w:pPr>
        <w:rPr>
          <w:rFonts w:cstheme="minorHAnsi"/>
          <w:color w:val="000000" w:themeColor="text1"/>
          <w:sz w:val="20"/>
          <w:szCs w:val="20"/>
        </w:rPr>
      </w:pPr>
    </w:p>
    <w:p w14:paraId="1853C7D1" w14:textId="77777777" w:rsidR="00631CA2" w:rsidRPr="00A02B31" w:rsidRDefault="00631CA2" w:rsidP="00631CA2">
      <w:pPr>
        <w:pStyle w:val="Heading2"/>
        <w:jc w:val="both"/>
        <w:rPr>
          <w:rFonts w:asciiTheme="minorHAnsi" w:hAnsiTheme="minorHAnsi" w:cstheme="minorHAnsi"/>
          <w:b/>
          <w:color w:val="000000" w:themeColor="text1"/>
          <w:sz w:val="20"/>
          <w:szCs w:val="20"/>
        </w:rPr>
      </w:pPr>
      <w:r w:rsidRPr="00A02B31">
        <w:rPr>
          <w:rFonts w:asciiTheme="minorHAnsi" w:hAnsiTheme="minorHAnsi" w:cstheme="minorHAnsi"/>
          <w:b/>
          <w:color w:val="000000" w:themeColor="text1"/>
          <w:sz w:val="20"/>
          <w:szCs w:val="20"/>
        </w:rPr>
        <w:t>Other Companies Act 2006 reporting</w:t>
      </w:r>
    </w:p>
    <w:p w14:paraId="6125647B" w14:textId="77777777" w:rsidR="00631CA2" w:rsidRPr="00A02B31" w:rsidRDefault="00631CA2" w:rsidP="00631CA2">
      <w:pPr>
        <w:autoSpaceDE w:val="0"/>
        <w:autoSpaceDN w:val="0"/>
        <w:adjustRightInd w:val="0"/>
        <w:jc w:val="both"/>
        <w:rPr>
          <w:rFonts w:cstheme="minorHAnsi"/>
          <w:sz w:val="20"/>
          <w:szCs w:val="20"/>
        </w:rPr>
      </w:pPr>
      <w:r w:rsidRPr="00A02B31">
        <w:rPr>
          <w:rFonts w:cstheme="minorHAnsi"/>
          <w:color w:val="000000" w:themeColor="text1"/>
          <w:sz w:val="20"/>
          <w:szCs w:val="20"/>
        </w:rPr>
        <w:t xml:space="preserve">Based on the responsibilities described below </w:t>
      </w:r>
      <w:r w:rsidRPr="00A02B31">
        <w:rPr>
          <w:rFonts w:cstheme="minorHAnsi"/>
          <w:sz w:val="20"/>
          <w:szCs w:val="20"/>
        </w:rPr>
        <w:t xml:space="preserve">and our work performed during the course of the audit, we are required by the Companies Act 2006 and ISAs (UK) to report on certain opinions and matters as described below.  </w:t>
      </w:r>
    </w:p>
    <w:p w14:paraId="728CAE6D" w14:textId="77777777" w:rsidR="00631CA2" w:rsidRPr="00A02B31" w:rsidRDefault="00631CA2" w:rsidP="00631CA2">
      <w:pPr>
        <w:autoSpaceDE w:val="0"/>
        <w:autoSpaceDN w:val="0"/>
        <w:adjustRightInd w:val="0"/>
        <w:jc w:val="both"/>
        <w:rPr>
          <w:rFonts w:cstheme="minorHAnsi"/>
          <w:sz w:val="20"/>
          <w:szCs w:val="20"/>
        </w:rPr>
      </w:pPr>
    </w:p>
    <w:tbl>
      <w:tblPr>
        <w:tblStyle w:val="TableGrid"/>
        <w:tblW w:w="8642" w:type="dxa"/>
        <w:tblLook w:val="04A0" w:firstRow="1" w:lastRow="0" w:firstColumn="1" w:lastColumn="0" w:noHBand="0" w:noVBand="1"/>
      </w:tblPr>
      <w:tblGrid>
        <w:gridCol w:w="1578"/>
        <w:gridCol w:w="7064"/>
      </w:tblGrid>
      <w:tr w:rsidR="00631CA2" w:rsidRPr="008B2DDA" w14:paraId="533BE4A7" w14:textId="77777777" w:rsidTr="007600A7">
        <w:tc>
          <w:tcPr>
            <w:tcW w:w="1578" w:type="dxa"/>
          </w:tcPr>
          <w:p w14:paraId="1A0C9372" w14:textId="77777777" w:rsidR="00631CA2" w:rsidRPr="00A02B31" w:rsidRDefault="00631CA2" w:rsidP="007600A7">
            <w:pPr>
              <w:autoSpaceDE w:val="0"/>
              <w:autoSpaceDN w:val="0"/>
              <w:adjustRightInd w:val="0"/>
              <w:jc w:val="both"/>
              <w:rPr>
                <w:rFonts w:cstheme="minorHAnsi"/>
                <w:b/>
                <w:sz w:val="20"/>
                <w:szCs w:val="20"/>
              </w:rPr>
            </w:pPr>
            <w:r w:rsidRPr="00A02B31">
              <w:rPr>
                <w:rFonts w:cstheme="minorHAnsi"/>
                <w:b/>
                <w:sz w:val="20"/>
                <w:szCs w:val="20"/>
              </w:rPr>
              <w:t xml:space="preserve">Strategic report and Directors’ report </w:t>
            </w:r>
          </w:p>
          <w:p w14:paraId="6F813C07" w14:textId="77777777" w:rsidR="00631CA2" w:rsidRPr="00A02B31" w:rsidRDefault="00631CA2" w:rsidP="007600A7">
            <w:pPr>
              <w:autoSpaceDE w:val="0"/>
              <w:autoSpaceDN w:val="0"/>
              <w:adjustRightInd w:val="0"/>
              <w:jc w:val="both"/>
              <w:rPr>
                <w:rFonts w:cstheme="minorHAnsi"/>
                <w:sz w:val="20"/>
                <w:szCs w:val="20"/>
              </w:rPr>
            </w:pPr>
          </w:p>
        </w:tc>
        <w:tc>
          <w:tcPr>
            <w:tcW w:w="7064" w:type="dxa"/>
          </w:tcPr>
          <w:p w14:paraId="4BE8BA8C" w14:textId="77777777" w:rsidR="00631CA2" w:rsidRPr="00A02B31" w:rsidRDefault="00631CA2" w:rsidP="007600A7">
            <w:pPr>
              <w:autoSpaceDE w:val="0"/>
              <w:autoSpaceDN w:val="0"/>
              <w:adjustRightInd w:val="0"/>
              <w:jc w:val="both"/>
              <w:rPr>
                <w:rFonts w:cstheme="minorHAnsi"/>
                <w:sz w:val="20"/>
                <w:szCs w:val="20"/>
              </w:rPr>
            </w:pPr>
            <w:r w:rsidRPr="00A02B31">
              <w:rPr>
                <w:rFonts w:cstheme="minorHAnsi"/>
                <w:sz w:val="20"/>
                <w:szCs w:val="20"/>
              </w:rPr>
              <w:t>In our opinion, based on the work undertaken in the course of the audit:</w:t>
            </w:r>
          </w:p>
          <w:p w14:paraId="3A497D2D" w14:textId="77777777" w:rsidR="00631CA2" w:rsidRPr="00A02B31" w:rsidRDefault="00631CA2" w:rsidP="00631CA2">
            <w:pPr>
              <w:pStyle w:val="ListParagraph"/>
              <w:numPr>
                <w:ilvl w:val="0"/>
                <w:numId w:val="59"/>
              </w:numPr>
              <w:jc w:val="both"/>
              <w:rPr>
                <w:rFonts w:cstheme="minorHAnsi"/>
                <w:sz w:val="20"/>
                <w:szCs w:val="20"/>
              </w:rPr>
            </w:pPr>
            <w:r w:rsidRPr="00A02B31">
              <w:rPr>
                <w:rFonts w:cstheme="minorHAnsi"/>
                <w:sz w:val="20"/>
                <w:szCs w:val="20"/>
              </w:rPr>
              <w:t>the information given in the Strategic report and the Directors’ report for the financial year for which the financial statements are prepared is consistent with the financial statements; and</w:t>
            </w:r>
          </w:p>
          <w:p w14:paraId="30540BE7" w14:textId="77777777" w:rsidR="00631CA2" w:rsidRPr="00A02B31" w:rsidRDefault="00631CA2" w:rsidP="00631CA2">
            <w:pPr>
              <w:pStyle w:val="ListParagraph"/>
              <w:numPr>
                <w:ilvl w:val="0"/>
                <w:numId w:val="59"/>
              </w:numPr>
              <w:jc w:val="both"/>
              <w:rPr>
                <w:rFonts w:cstheme="minorHAnsi"/>
                <w:sz w:val="20"/>
                <w:szCs w:val="20"/>
              </w:rPr>
            </w:pPr>
            <w:r w:rsidRPr="00A02B31">
              <w:rPr>
                <w:rFonts w:cstheme="minorHAnsi"/>
                <w:sz w:val="20"/>
                <w:szCs w:val="20"/>
              </w:rPr>
              <w:t>the Strategic report and the Directors’ report have been prepared in accordance with applicable legal requirements.</w:t>
            </w:r>
          </w:p>
          <w:p w14:paraId="23596D9E" w14:textId="77777777" w:rsidR="00631CA2" w:rsidRPr="00A02B31" w:rsidRDefault="00631CA2" w:rsidP="007600A7">
            <w:pPr>
              <w:pStyle w:val="ListParagraph"/>
              <w:ind w:left="360"/>
              <w:jc w:val="both"/>
              <w:rPr>
                <w:rFonts w:cstheme="minorHAnsi"/>
                <w:sz w:val="20"/>
                <w:szCs w:val="20"/>
              </w:rPr>
            </w:pPr>
          </w:p>
          <w:p w14:paraId="38CF11ED" w14:textId="77777777" w:rsidR="00631CA2" w:rsidRPr="00A02B31" w:rsidRDefault="00631CA2" w:rsidP="007600A7">
            <w:pPr>
              <w:pStyle w:val="ListParagraph"/>
              <w:ind w:left="0"/>
              <w:jc w:val="both"/>
              <w:rPr>
                <w:rFonts w:cstheme="minorHAnsi"/>
                <w:sz w:val="20"/>
                <w:szCs w:val="20"/>
              </w:rPr>
            </w:pPr>
            <w:r w:rsidRPr="00A02B31">
              <w:rPr>
                <w:rFonts w:cstheme="minorHAnsi"/>
                <w:sz w:val="20"/>
                <w:szCs w:val="20"/>
              </w:rPr>
              <w:lastRenderedPageBreak/>
              <w:t>In the light of the knowledge and understanding of the Company and its environment obtained in the course of the audit, we have not identified material misstatements in the strategic report or the Directors’ report.</w:t>
            </w:r>
          </w:p>
          <w:p w14:paraId="7AEF8E88" w14:textId="77777777" w:rsidR="00631CA2" w:rsidRPr="00A02B31" w:rsidRDefault="00631CA2" w:rsidP="007600A7">
            <w:pPr>
              <w:autoSpaceDE w:val="0"/>
              <w:autoSpaceDN w:val="0"/>
              <w:adjustRightInd w:val="0"/>
              <w:jc w:val="both"/>
              <w:rPr>
                <w:rFonts w:cstheme="minorHAnsi"/>
                <w:sz w:val="20"/>
                <w:szCs w:val="20"/>
              </w:rPr>
            </w:pPr>
          </w:p>
        </w:tc>
      </w:tr>
      <w:tr w:rsidR="00631CA2" w:rsidRPr="008B2DDA" w14:paraId="7EDD9037" w14:textId="77777777" w:rsidTr="007600A7">
        <w:tc>
          <w:tcPr>
            <w:tcW w:w="1578" w:type="dxa"/>
          </w:tcPr>
          <w:p w14:paraId="3BBFAE37" w14:textId="77777777" w:rsidR="00631CA2" w:rsidRPr="00A02B31" w:rsidRDefault="00631CA2" w:rsidP="007600A7">
            <w:pPr>
              <w:autoSpaceDE w:val="0"/>
              <w:autoSpaceDN w:val="0"/>
              <w:adjustRightInd w:val="0"/>
              <w:jc w:val="both"/>
              <w:rPr>
                <w:rFonts w:cstheme="minorHAnsi"/>
                <w:b/>
                <w:sz w:val="20"/>
                <w:szCs w:val="20"/>
              </w:rPr>
            </w:pPr>
            <w:r w:rsidRPr="00A02B31">
              <w:rPr>
                <w:rFonts w:cstheme="minorHAnsi"/>
                <w:b/>
                <w:sz w:val="20"/>
                <w:szCs w:val="20"/>
              </w:rPr>
              <w:lastRenderedPageBreak/>
              <w:t>Matters on which we are required to report by exception</w:t>
            </w:r>
          </w:p>
          <w:p w14:paraId="438B3BC3" w14:textId="77777777" w:rsidR="00631CA2" w:rsidRPr="00A02B31" w:rsidRDefault="00631CA2" w:rsidP="007600A7">
            <w:pPr>
              <w:autoSpaceDE w:val="0"/>
              <w:autoSpaceDN w:val="0"/>
              <w:adjustRightInd w:val="0"/>
              <w:jc w:val="both"/>
              <w:rPr>
                <w:rFonts w:cstheme="minorHAnsi"/>
                <w:sz w:val="20"/>
                <w:szCs w:val="20"/>
              </w:rPr>
            </w:pPr>
          </w:p>
        </w:tc>
        <w:tc>
          <w:tcPr>
            <w:tcW w:w="7064" w:type="dxa"/>
          </w:tcPr>
          <w:p w14:paraId="4F808221" w14:textId="77777777" w:rsidR="00631CA2" w:rsidRPr="00A02B31" w:rsidRDefault="00631CA2" w:rsidP="007600A7">
            <w:pPr>
              <w:autoSpaceDE w:val="0"/>
              <w:autoSpaceDN w:val="0"/>
              <w:adjustRightInd w:val="0"/>
              <w:rPr>
                <w:rFonts w:cstheme="minorHAnsi"/>
                <w:sz w:val="20"/>
                <w:szCs w:val="20"/>
              </w:rPr>
            </w:pPr>
            <w:r w:rsidRPr="00A02B31">
              <w:rPr>
                <w:rFonts w:cstheme="minorHAnsi"/>
                <w:color w:val="000000"/>
                <w:sz w:val="20"/>
                <w:szCs w:val="20"/>
              </w:rPr>
              <w:t xml:space="preserve">We have nothing to report in respect of the following matters in relation to which the Companies Act 2006 requires us to report to you if, </w:t>
            </w:r>
            <w:r w:rsidRPr="00A02B31">
              <w:rPr>
                <w:rFonts w:cstheme="minorHAnsi"/>
                <w:sz w:val="20"/>
                <w:szCs w:val="20"/>
              </w:rPr>
              <w:t>in our opinion:</w:t>
            </w:r>
          </w:p>
          <w:p w14:paraId="100D011C" w14:textId="77777777" w:rsidR="00631CA2" w:rsidRPr="00A02B31" w:rsidRDefault="00631CA2" w:rsidP="007600A7">
            <w:pPr>
              <w:autoSpaceDE w:val="0"/>
              <w:autoSpaceDN w:val="0"/>
              <w:adjustRightInd w:val="0"/>
              <w:rPr>
                <w:rFonts w:cstheme="minorHAnsi"/>
                <w:sz w:val="20"/>
                <w:szCs w:val="20"/>
              </w:rPr>
            </w:pPr>
          </w:p>
          <w:p w14:paraId="5DF04FD5" w14:textId="77777777" w:rsidR="00631CA2" w:rsidRPr="00A02B31" w:rsidRDefault="00631CA2" w:rsidP="00631CA2">
            <w:pPr>
              <w:pStyle w:val="ListParagraph"/>
              <w:numPr>
                <w:ilvl w:val="0"/>
                <w:numId w:val="64"/>
              </w:numPr>
              <w:autoSpaceDE w:val="0"/>
              <w:autoSpaceDN w:val="0"/>
              <w:adjustRightInd w:val="0"/>
              <w:jc w:val="both"/>
              <w:rPr>
                <w:rFonts w:cstheme="minorHAnsi"/>
                <w:sz w:val="20"/>
                <w:szCs w:val="20"/>
              </w:rPr>
            </w:pPr>
            <w:r w:rsidRPr="00A02B31">
              <w:rPr>
                <w:rFonts w:cstheme="minorHAnsi"/>
                <w:sz w:val="20"/>
                <w:szCs w:val="20"/>
              </w:rPr>
              <w:t>adequate accounting records have not been kept by the Company, or returns adequate for our audit have not been received from branches not visited by us; or</w:t>
            </w:r>
          </w:p>
          <w:p w14:paraId="67339537" w14:textId="77777777" w:rsidR="00631CA2" w:rsidRPr="00A02B31" w:rsidRDefault="00631CA2" w:rsidP="00631CA2">
            <w:pPr>
              <w:pStyle w:val="ListParagraph"/>
              <w:numPr>
                <w:ilvl w:val="0"/>
                <w:numId w:val="64"/>
              </w:numPr>
              <w:autoSpaceDE w:val="0"/>
              <w:autoSpaceDN w:val="0"/>
              <w:adjustRightInd w:val="0"/>
              <w:jc w:val="both"/>
              <w:rPr>
                <w:rFonts w:cstheme="minorHAnsi"/>
                <w:sz w:val="20"/>
                <w:szCs w:val="20"/>
              </w:rPr>
            </w:pPr>
            <w:r w:rsidRPr="00A02B31">
              <w:rPr>
                <w:rFonts w:cstheme="minorHAnsi"/>
                <w:sz w:val="20"/>
                <w:szCs w:val="20"/>
              </w:rPr>
              <w:t>the Company financial statements are not in agreement with the accounting records and returns; or</w:t>
            </w:r>
          </w:p>
          <w:p w14:paraId="40F03BF7" w14:textId="77777777" w:rsidR="00631CA2" w:rsidRPr="00A02B31" w:rsidRDefault="00631CA2" w:rsidP="00631CA2">
            <w:pPr>
              <w:pStyle w:val="ListParagraph"/>
              <w:numPr>
                <w:ilvl w:val="0"/>
                <w:numId w:val="64"/>
              </w:numPr>
              <w:autoSpaceDE w:val="0"/>
              <w:autoSpaceDN w:val="0"/>
              <w:adjustRightInd w:val="0"/>
              <w:jc w:val="both"/>
              <w:rPr>
                <w:rFonts w:cstheme="minorHAnsi"/>
                <w:sz w:val="20"/>
                <w:szCs w:val="20"/>
              </w:rPr>
            </w:pPr>
            <w:r w:rsidRPr="00A02B31">
              <w:rPr>
                <w:rFonts w:cstheme="minorHAnsi"/>
                <w:sz w:val="20"/>
                <w:szCs w:val="20"/>
              </w:rPr>
              <w:t>certain disclosures of Directors’ remuneration specified by law are not made; or</w:t>
            </w:r>
          </w:p>
          <w:p w14:paraId="5B395C87" w14:textId="77777777" w:rsidR="00631CA2" w:rsidRPr="00A02B31" w:rsidRDefault="00631CA2" w:rsidP="00631CA2">
            <w:pPr>
              <w:pStyle w:val="ListParagraph"/>
              <w:numPr>
                <w:ilvl w:val="0"/>
                <w:numId w:val="64"/>
              </w:numPr>
              <w:autoSpaceDE w:val="0"/>
              <w:autoSpaceDN w:val="0"/>
              <w:adjustRightInd w:val="0"/>
              <w:jc w:val="both"/>
              <w:rPr>
                <w:rFonts w:cstheme="minorHAnsi"/>
                <w:sz w:val="20"/>
                <w:szCs w:val="20"/>
              </w:rPr>
            </w:pPr>
            <w:r w:rsidRPr="00A02B31">
              <w:rPr>
                <w:rFonts w:cstheme="minorHAnsi"/>
                <w:sz w:val="20"/>
                <w:szCs w:val="20"/>
              </w:rPr>
              <w:t>we have not received all the information and explanations we require for our audit.</w:t>
            </w:r>
          </w:p>
          <w:p w14:paraId="429F932A" w14:textId="77777777" w:rsidR="00631CA2" w:rsidRPr="00A02B31" w:rsidRDefault="00631CA2" w:rsidP="007600A7">
            <w:pPr>
              <w:autoSpaceDE w:val="0"/>
              <w:autoSpaceDN w:val="0"/>
              <w:adjustRightInd w:val="0"/>
              <w:jc w:val="both"/>
              <w:rPr>
                <w:rFonts w:cstheme="minorHAnsi"/>
                <w:sz w:val="20"/>
                <w:szCs w:val="20"/>
              </w:rPr>
            </w:pPr>
          </w:p>
        </w:tc>
      </w:tr>
    </w:tbl>
    <w:p w14:paraId="14F285A5" w14:textId="77777777" w:rsidR="00631CA2" w:rsidRPr="00A02B31" w:rsidRDefault="00631CA2" w:rsidP="00631CA2">
      <w:pPr>
        <w:pStyle w:val="Heading2"/>
        <w:jc w:val="both"/>
        <w:rPr>
          <w:rFonts w:asciiTheme="minorHAnsi" w:hAnsiTheme="minorHAnsi" w:cstheme="minorHAnsi"/>
          <w:b/>
          <w:color w:val="000000" w:themeColor="text1"/>
          <w:sz w:val="20"/>
          <w:szCs w:val="20"/>
        </w:rPr>
      </w:pPr>
      <w:r w:rsidRPr="00A02B31">
        <w:rPr>
          <w:rFonts w:asciiTheme="minorHAnsi" w:hAnsiTheme="minorHAnsi" w:cstheme="minorHAnsi"/>
          <w:b/>
          <w:color w:val="000000" w:themeColor="text1"/>
          <w:sz w:val="20"/>
          <w:szCs w:val="20"/>
        </w:rPr>
        <w:t>Responsibilities of Directors</w:t>
      </w:r>
    </w:p>
    <w:p w14:paraId="36FDC191" w14:textId="77777777" w:rsidR="00631CA2" w:rsidRPr="00A02B31" w:rsidRDefault="00631CA2" w:rsidP="00631CA2">
      <w:pPr>
        <w:jc w:val="both"/>
        <w:rPr>
          <w:rFonts w:cstheme="minorHAnsi"/>
          <w:color w:val="000000" w:themeColor="text1"/>
          <w:sz w:val="20"/>
          <w:szCs w:val="20"/>
        </w:rPr>
      </w:pPr>
      <w:r w:rsidRPr="00A02B31">
        <w:rPr>
          <w:rFonts w:cstheme="minorHAnsi"/>
          <w:color w:val="000000" w:themeColor="text1"/>
          <w:sz w:val="20"/>
          <w:szCs w:val="20"/>
        </w:rPr>
        <w:t>As explained more fully in the Directors’ Responsibilities Statement, the Directors are responsible for the preparation of the financial statements and for being satisfied that they give a true and fair view, and for such internal control as the Directors determine is necessary to enable the preparation of financial statements that are free from material misstatement, whether due to fraud or error.</w:t>
      </w:r>
    </w:p>
    <w:p w14:paraId="3FF79B1D" w14:textId="77777777" w:rsidR="00631CA2" w:rsidRPr="00A02B31" w:rsidRDefault="00631CA2" w:rsidP="00631CA2">
      <w:pPr>
        <w:jc w:val="both"/>
        <w:rPr>
          <w:rFonts w:cstheme="minorHAnsi"/>
          <w:color w:val="000000" w:themeColor="text1"/>
          <w:sz w:val="20"/>
          <w:szCs w:val="20"/>
        </w:rPr>
      </w:pPr>
    </w:p>
    <w:p w14:paraId="19066D4C" w14:textId="77777777" w:rsidR="00631CA2" w:rsidRPr="00A02B31" w:rsidRDefault="00631CA2" w:rsidP="00631CA2">
      <w:pPr>
        <w:jc w:val="both"/>
        <w:rPr>
          <w:rFonts w:cstheme="minorHAnsi"/>
          <w:color w:val="000000" w:themeColor="text1"/>
          <w:sz w:val="20"/>
          <w:szCs w:val="20"/>
        </w:rPr>
      </w:pPr>
      <w:r w:rsidRPr="00A02B31">
        <w:rPr>
          <w:rFonts w:cstheme="minorHAnsi"/>
          <w:color w:val="000000" w:themeColor="text1"/>
          <w:sz w:val="20"/>
          <w:szCs w:val="20"/>
        </w:rPr>
        <w:t>In preparing the financial statements, the Directors are responsible for assessing the Company’s ability to continue as a going concern, disclosing, as applicable, matters related to going concern and using the going concern basis of accounting unless the Directors either intend to liquidate the Company or to cease operations, or have no realistic alternative but to do so.</w:t>
      </w:r>
    </w:p>
    <w:p w14:paraId="269BB435" w14:textId="77777777" w:rsidR="00631CA2" w:rsidRPr="00A02B31" w:rsidRDefault="00631CA2" w:rsidP="00631CA2">
      <w:pPr>
        <w:jc w:val="both"/>
        <w:rPr>
          <w:rFonts w:cstheme="minorHAnsi"/>
          <w:color w:val="000000" w:themeColor="text1"/>
          <w:sz w:val="20"/>
          <w:szCs w:val="20"/>
          <w:highlight w:val="magenta"/>
        </w:rPr>
      </w:pPr>
    </w:p>
    <w:p w14:paraId="3E5D268D" w14:textId="77777777" w:rsidR="00631CA2" w:rsidRPr="00A02B31" w:rsidRDefault="00631CA2" w:rsidP="00631CA2">
      <w:pPr>
        <w:pStyle w:val="Heading2"/>
        <w:ind w:left="709" w:hanging="709"/>
        <w:jc w:val="both"/>
        <w:rPr>
          <w:rFonts w:asciiTheme="minorHAnsi" w:hAnsiTheme="minorHAnsi" w:cstheme="minorHAnsi"/>
          <w:color w:val="000000" w:themeColor="text1"/>
          <w:sz w:val="20"/>
          <w:szCs w:val="20"/>
        </w:rPr>
      </w:pPr>
      <w:r w:rsidRPr="00A02B31">
        <w:rPr>
          <w:rFonts w:asciiTheme="minorHAnsi" w:hAnsiTheme="minorHAnsi" w:cstheme="minorHAnsi"/>
          <w:b/>
          <w:color w:val="000000" w:themeColor="text1"/>
          <w:sz w:val="20"/>
          <w:szCs w:val="20"/>
        </w:rPr>
        <w:t>Auditor’s responsibilities for the audit of the financial statements</w:t>
      </w:r>
    </w:p>
    <w:p w14:paraId="169CCC23" w14:textId="77777777" w:rsidR="00631CA2" w:rsidRPr="00A02B31" w:rsidRDefault="00631CA2" w:rsidP="00631CA2">
      <w:pPr>
        <w:jc w:val="both"/>
        <w:rPr>
          <w:rFonts w:cstheme="minorHAnsi"/>
          <w:color w:val="000000" w:themeColor="text1"/>
          <w:sz w:val="20"/>
          <w:szCs w:val="20"/>
        </w:rPr>
      </w:pPr>
      <w:r w:rsidRPr="00A02B31">
        <w:rPr>
          <w:rFonts w:cstheme="minorHAnsi"/>
          <w:color w:val="000000" w:themeColor="text1"/>
          <w:sz w:val="20"/>
          <w:szCs w:val="20"/>
        </w:rPr>
        <w:t>Our objectives are to obtain reasonable assurance about whether the financial statements as a whole are free from material misstatement, whether due to fraud or error, and to issue an auditor’s report that includes our opinion. Reasonable assurance is a high level of assurance, but is not a guarantee that an audit conducted in accordance with ISAs (UK) will always detect a material misstatement when it exists. Misstatements can arise from fraud or error and are considered material if, individually or in the aggregate, they could reasonably be expected to influence the economic decisions of users taken on the basis of these financial statements.</w:t>
      </w:r>
    </w:p>
    <w:p w14:paraId="1850172F" w14:textId="77777777" w:rsidR="00631CA2" w:rsidRPr="00A02B31" w:rsidRDefault="00631CA2" w:rsidP="00631CA2">
      <w:pPr>
        <w:jc w:val="both"/>
        <w:rPr>
          <w:rFonts w:cstheme="minorHAnsi"/>
          <w:color w:val="000000" w:themeColor="text1"/>
          <w:sz w:val="20"/>
          <w:szCs w:val="20"/>
        </w:rPr>
      </w:pPr>
    </w:p>
    <w:p w14:paraId="53962FF4" w14:textId="77777777" w:rsidR="00631CA2" w:rsidRPr="00A02B31" w:rsidRDefault="00631CA2" w:rsidP="00631CA2">
      <w:pPr>
        <w:autoSpaceDE w:val="0"/>
        <w:autoSpaceDN w:val="0"/>
        <w:adjustRightInd w:val="0"/>
        <w:jc w:val="both"/>
        <w:rPr>
          <w:rFonts w:cstheme="minorHAnsi"/>
          <w:b/>
          <w:bCs/>
          <w:color w:val="000000" w:themeColor="text1"/>
          <w:sz w:val="20"/>
          <w:szCs w:val="20"/>
        </w:rPr>
      </w:pPr>
      <w:r w:rsidRPr="00A02B31">
        <w:rPr>
          <w:rFonts w:cstheme="minorHAnsi"/>
          <w:bCs/>
          <w:i/>
          <w:color w:val="000000" w:themeColor="text1"/>
          <w:sz w:val="20"/>
          <w:szCs w:val="20"/>
        </w:rPr>
        <w:t>Extent to which the audit was capable of detecting irregularities, including</w:t>
      </w:r>
      <w:r w:rsidRPr="00A02B31">
        <w:rPr>
          <w:rFonts w:cstheme="minorHAnsi"/>
          <w:b/>
          <w:bCs/>
          <w:color w:val="000000" w:themeColor="text1"/>
          <w:sz w:val="20"/>
          <w:szCs w:val="20"/>
        </w:rPr>
        <w:t xml:space="preserve"> </w:t>
      </w:r>
      <w:r w:rsidRPr="00A02B31">
        <w:rPr>
          <w:rFonts w:cstheme="minorHAnsi"/>
          <w:bCs/>
          <w:i/>
          <w:color w:val="000000" w:themeColor="text1"/>
          <w:sz w:val="20"/>
          <w:szCs w:val="20"/>
        </w:rPr>
        <w:t>fraud</w:t>
      </w:r>
    </w:p>
    <w:p w14:paraId="43BA813A" w14:textId="77777777" w:rsidR="00631CA2" w:rsidRPr="00A02B31" w:rsidRDefault="00631CA2" w:rsidP="00631CA2">
      <w:pPr>
        <w:autoSpaceDE w:val="0"/>
        <w:autoSpaceDN w:val="0"/>
        <w:adjustRightInd w:val="0"/>
        <w:jc w:val="both"/>
        <w:rPr>
          <w:rFonts w:cstheme="minorHAnsi"/>
          <w:bCs/>
          <w:color w:val="000000" w:themeColor="text1"/>
          <w:sz w:val="20"/>
          <w:szCs w:val="20"/>
        </w:rPr>
      </w:pPr>
    </w:p>
    <w:p w14:paraId="64FC62E3" w14:textId="77777777" w:rsidR="00631CA2" w:rsidRPr="00A02B31" w:rsidRDefault="00631CA2" w:rsidP="00631CA2">
      <w:pPr>
        <w:autoSpaceDE w:val="0"/>
        <w:autoSpaceDN w:val="0"/>
        <w:adjustRightInd w:val="0"/>
        <w:jc w:val="both"/>
        <w:rPr>
          <w:rFonts w:cstheme="minorHAnsi"/>
          <w:bCs/>
          <w:color w:val="000000" w:themeColor="text1"/>
          <w:sz w:val="20"/>
          <w:szCs w:val="20"/>
        </w:rPr>
      </w:pPr>
      <w:r w:rsidRPr="00A02B31">
        <w:rPr>
          <w:rFonts w:cstheme="minorHAnsi"/>
          <w:bCs/>
          <w:color w:val="000000" w:themeColor="text1"/>
          <w:sz w:val="20"/>
          <w:szCs w:val="20"/>
        </w:rPr>
        <w:t>Irregularities, including fraud, are instances of non-compliance with laws and regulations. We design procedures in line with our responsibilities, outlined above, to detect material misstatements in respect of irregularities, including fraud. The extent to which our procedures are capable of detecting irregularities, including fraud is detailed below:</w:t>
      </w:r>
    </w:p>
    <w:p w14:paraId="416A8FFB" w14:textId="77777777" w:rsidR="00631CA2" w:rsidRPr="00A02B31" w:rsidRDefault="00631CA2" w:rsidP="00631CA2">
      <w:pPr>
        <w:autoSpaceDE w:val="0"/>
        <w:autoSpaceDN w:val="0"/>
        <w:adjustRightInd w:val="0"/>
        <w:jc w:val="both"/>
        <w:rPr>
          <w:rFonts w:cstheme="minorHAnsi"/>
          <w:bCs/>
          <w:color w:val="000000" w:themeColor="text1"/>
          <w:sz w:val="20"/>
          <w:szCs w:val="20"/>
        </w:rPr>
      </w:pPr>
    </w:p>
    <w:p w14:paraId="30227124" w14:textId="77777777" w:rsidR="00631CA2" w:rsidRPr="00A02B31" w:rsidRDefault="00631CA2" w:rsidP="00631CA2">
      <w:pPr>
        <w:autoSpaceDE w:val="0"/>
        <w:autoSpaceDN w:val="0"/>
        <w:adjustRightInd w:val="0"/>
        <w:jc w:val="both"/>
        <w:rPr>
          <w:rFonts w:cstheme="minorHAnsi"/>
          <w:color w:val="000000" w:themeColor="text1"/>
          <w:sz w:val="20"/>
          <w:szCs w:val="20"/>
        </w:rPr>
      </w:pPr>
      <w:r w:rsidRPr="00A02B31">
        <w:rPr>
          <w:rFonts w:cstheme="minorHAnsi"/>
          <w:color w:val="000000" w:themeColor="text1"/>
          <w:sz w:val="20"/>
          <w:szCs w:val="20"/>
        </w:rPr>
        <w:t xml:space="preserve">We gained an understanding of the legal and regulatory framework applicable to the Company and the industry in which it operates, and considered the risk of acts by the Company which were contrary to applicable laws and regulations, including fraud. These included but were not limited to compliance with the Companies Act 2006 and applicable accounting standards. </w:t>
      </w:r>
    </w:p>
    <w:p w14:paraId="345B4D91" w14:textId="77777777" w:rsidR="00631CA2" w:rsidRPr="00A02B31" w:rsidRDefault="00631CA2" w:rsidP="00631CA2">
      <w:pPr>
        <w:autoSpaceDE w:val="0"/>
        <w:autoSpaceDN w:val="0"/>
        <w:adjustRightInd w:val="0"/>
        <w:jc w:val="both"/>
        <w:rPr>
          <w:rFonts w:cstheme="minorHAnsi"/>
          <w:sz w:val="20"/>
          <w:szCs w:val="20"/>
        </w:rPr>
      </w:pPr>
    </w:p>
    <w:p w14:paraId="2DBB8533" w14:textId="77777777" w:rsidR="00631CA2" w:rsidRPr="00A02B31" w:rsidRDefault="00631CA2" w:rsidP="00631CA2">
      <w:pPr>
        <w:autoSpaceDE w:val="0"/>
        <w:autoSpaceDN w:val="0"/>
        <w:adjustRightInd w:val="0"/>
        <w:jc w:val="both"/>
        <w:rPr>
          <w:rFonts w:cstheme="minorHAnsi"/>
          <w:sz w:val="20"/>
          <w:szCs w:val="20"/>
        </w:rPr>
      </w:pPr>
      <w:r w:rsidRPr="00A02B31">
        <w:rPr>
          <w:rFonts w:cstheme="minorHAnsi"/>
          <w:sz w:val="20"/>
          <w:szCs w:val="20"/>
        </w:rPr>
        <w:t xml:space="preserve">We communicated relevant identified laws and regulations and potential fraud risks to all engagement team members and remained alert to any indications of fraud or non-compliance with laws and regulations throughout the audit. </w:t>
      </w:r>
    </w:p>
    <w:p w14:paraId="0DF1C0FC" w14:textId="77777777" w:rsidR="00631CA2" w:rsidRPr="00A02B31" w:rsidRDefault="00631CA2" w:rsidP="00631CA2">
      <w:pPr>
        <w:autoSpaceDE w:val="0"/>
        <w:autoSpaceDN w:val="0"/>
        <w:adjustRightInd w:val="0"/>
        <w:jc w:val="both"/>
        <w:rPr>
          <w:rFonts w:cstheme="minorHAnsi"/>
          <w:sz w:val="20"/>
          <w:szCs w:val="20"/>
        </w:rPr>
      </w:pPr>
      <w:r w:rsidRPr="00A02B31">
        <w:rPr>
          <w:rFonts w:cstheme="minorHAnsi"/>
          <w:sz w:val="20"/>
          <w:szCs w:val="20"/>
        </w:rPr>
        <w:t xml:space="preserve"> </w:t>
      </w:r>
    </w:p>
    <w:p w14:paraId="0E8533A7" w14:textId="77777777" w:rsidR="00631CA2" w:rsidRPr="00A02B31" w:rsidRDefault="00631CA2" w:rsidP="00631CA2">
      <w:pPr>
        <w:autoSpaceDE w:val="0"/>
        <w:autoSpaceDN w:val="0"/>
        <w:adjustRightInd w:val="0"/>
        <w:jc w:val="both"/>
        <w:rPr>
          <w:rFonts w:cstheme="minorHAnsi"/>
          <w:sz w:val="20"/>
          <w:szCs w:val="20"/>
        </w:rPr>
      </w:pPr>
      <w:r w:rsidRPr="00A02B31">
        <w:rPr>
          <w:rFonts w:cstheme="minorHAnsi"/>
          <w:sz w:val="20"/>
          <w:szCs w:val="20"/>
        </w:rPr>
        <w:t xml:space="preserve">We focused on laws and regulations that could give rise to a material misstatement in the Company financial statements. </w:t>
      </w:r>
    </w:p>
    <w:p w14:paraId="271B58AC" w14:textId="77777777" w:rsidR="00631CA2" w:rsidRPr="00A02B31" w:rsidRDefault="00631CA2" w:rsidP="00631CA2">
      <w:pPr>
        <w:autoSpaceDE w:val="0"/>
        <w:autoSpaceDN w:val="0"/>
        <w:adjustRightInd w:val="0"/>
        <w:jc w:val="both"/>
        <w:rPr>
          <w:rFonts w:cstheme="minorHAnsi"/>
          <w:sz w:val="20"/>
          <w:szCs w:val="20"/>
        </w:rPr>
      </w:pPr>
      <w:r w:rsidRPr="00A02B31">
        <w:rPr>
          <w:rFonts w:cstheme="minorHAnsi"/>
          <w:sz w:val="20"/>
          <w:szCs w:val="20"/>
        </w:rPr>
        <w:t xml:space="preserve">Our tests included, but were not limited to: </w:t>
      </w:r>
    </w:p>
    <w:p w14:paraId="5F259181" w14:textId="77777777" w:rsidR="00631CA2" w:rsidRPr="00A02B31" w:rsidRDefault="00631CA2" w:rsidP="00631CA2">
      <w:pPr>
        <w:pStyle w:val="ListParagraph"/>
        <w:numPr>
          <w:ilvl w:val="0"/>
          <w:numId w:val="61"/>
        </w:numPr>
        <w:autoSpaceDE w:val="0"/>
        <w:autoSpaceDN w:val="0"/>
        <w:adjustRightInd w:val="0"/>
        <w:jc w:val="both"/>
        <w:rPr>
          <w:rFonts w:cstheme="minorHAnsi"/>
          <w:sz w:val="20"/>
          <w:szCs w:val="20"/>
        </w:rPr>
      </w:pPr>
      <w:r w:rsidRPr="00A02B31">
        <w:rPr>
          <w:rFonts w:cstheme="minorHAnsi"/>
          <w:sz w:val="20"/>
          <w:szCs w:val="20"/>
        </w:rPr>
        <w:t xml:space="preserve">agreement of the financial statement disclosures to underlying supporting documentation; </w:t>
      </w:r>
    </w:p>
    <w:p w14:paraId="3F4BE598" w14:textId="77777777" w:rsidR="00631CA2" w:rsidRPr="00A02B31" w:rsidRDefault="00631CA2" w:rsidP="00631CA2">
      <w:pPr>
        <w:pStyle w:val="ListParagraph"/>
        <w:numPr>
          <w:ilvl w:val="0"/>
          <w:numId w:val="61"/>
        </w:numPr>
        <w:autoSpaceDE w:val="0"/>
        <w:autoSpaceDN w:val="0"/>
        <w:adjustRightInd w:val="0"/>
        <w:jc w:val="both"/>
        <w:rPr>
          <w:rFonts w:cstheme="minorHAnsi"/>
          <w:sz w:val="20"/>
          <w:szCs w:val="20"/>
        </w:rPr>
      </w:pPr>
      <w:r w:rsidRPr="00A02B31">
        <w:rPr>
          <w:rFonts w:cstheme="minorHAnsi"/>
          <w:sz w:val="20"/>
          <w:szCs w:val="20"/>
        </w:rPr>
        <w:t xml:space="preserve">enquiries of the Board and relevant Service Organisations; </w:t>
      </w:r>
    </w:p>
    <w:p w14:paraId="5DB3C8FD" w14:textId="77777777" w:rsidR="00631CA2" w:rsidRPr="00A02B31" w:rsidRDefault="00631CA2" w:rsidP="00631CA2">
      <w:pPr>
        <w:pStyle w:val="ListParagraph"/>
        <w:numPr>
          <w:ilvl w:val="0"/>
          <w:numId w:val="61"/>
        </w:numPr>
        <w:autoSpaceDE w:val="0"/>
        <w:autoSpaceDN w:val="0"/>
        <w:adjustRightInd w:val="0"/>
        <w:jc w:val="both"/>
        <w:rPr>
          <w:rFonts w:cstheme="minorHAnsi"/>
          <w:sz w:val="20"/>
          <w:szCs w:val="20"/>
        </w:rPr>
      </w:pPr>
      <w:r w:rsidRPr="00A02B31">
        <w:rPr>
          <w:rFonts w:cstheme="minorHAnsi"/>
          <w:sz w:val="20"/>
          <w:szCs w:val="20"/>
        </w:rPr>
        <w:t xml:space="preserve">review of minutes of board meetings throughout the period; and </w:t>
      </w:r>
    </w:p>
    <w:p w14:paraId="55328AC5" w14:textId="77777777" w:rsidR="00631CA2" w:rsidRPr="00A02B31" w:rsidRDefault="00631CA2" w:rsidP="00631CA2">
      <w:pPr>
        <w:pStyle w:val="ListParagraph"/>
        <w:numPr>
          <w:ilvl w:val="0"/>
          <w:numId w:val="61"/>
        </w:numPr>
        <w:autoSpaceDE w:val="0"/>
        <w:autoSpaceDN w:val="0"/>
        <w:adjustRightInd w:val="0"/>
        <w:jc w:val="both"/>
        <w:rPr>
          <w:rFonts w:cstheme="minorHAnsi"/>
          <w:sz w:val="20"/>
          <w:szCs w:val="20"/>
        </w:rPr>
      </w:pPr>
      <w:r w:rsidRPr="00A02B31">
        <w:rPr>
          <w:rFonts w:cstheme="minorHAnsi"/>
          <w:sz w:val="20"/>
          <w:szCs w:val="20"/>
        </w:rPr>
        <w:t xml:space="preserve">obtaining an understanding of the control environment in monitoring compliance with laws and regulations. </w:t>
      </w:r>
    </w:p>
    <w:p w14:paraId="0F0280E2" w14:textId="77777777" w:rsidR="00631CA2" w:rsidRPr="00A02B31" w:rsidRDefault="00631CA2" w:rsidP="00631CA2">
      <w:pPr>
        <w:autoSpaceDE w:val="0"/>
        <w:autoSpaceDN w:val="0"/>
        <w:adjustRightInd w:val="0"/>
        <w:jc w:val="both"/>
        <w:rPr>
          <w:rFonts w:cstheme="minorHAnsi"/>
          <w:sz w:val="20"/>
          <w:szCs w:val="20"/>
        </w:rPr>
      </w:pPr>
    </w:p>
    <w:p w14:paraId="6E17255B" w14:textId="77777777" w:rsidR="00631CA2" w:rsidRPr="00A02B31" w:rsidRDefault="00631CA2" w:rsidP="00631CA2">
      <w:pPr>
        <w:autoSpaceDE w:val="0"/>
        <w:autoSpaceDN w:val="0"/>
        <w:adjustRightInd w:val="0"/>
        <w:jc w:val="both"/>
        <w:rPr>
          <w:rFonts w:cstheme="minorHAnsi"/>
          <w:sz w:val="20"/>
          <w:szCs w:val="20"/>
        </w:rPr>
      </w:pPr>
      <w:r w:rsidRPr="00A02B31">
        <w:rPr>
          <w:rFonts w:cstheme="minorHAnsi"/>
          <w:sz w:val="20"/>
          <w:szCs w:val="20"/>
        </w:rPr>
        <w:lastRenderedPageBreak/>
        <w:t>We consider Investments and management override of control to be areas whereby the financial statements are susceptible to material misstatement. Unquoted investments involve significant judgments and therefore are subject to bias. Management override can manifest itself through the posting of inappropriate journals or through the selection of inappropriate accounting policies or estimates.</w:t>
      </w:r>
    </w:p>
    <w:p w14:paraId="09010A4D" w14:textId="77777777" w:rsidR="00631CA2" w:rsidRPr="00A02B31" w:rsidRDefault="00631CA2" w:rsidP="00631CA2">
      <w:pPr>
        <w:autoSpaceDE w:val="0"/>
        <w:autoSpaceDN w:val="0"/>
        <w:adjustRightInd w:val="0"/>
        <w:jc w:val="both"/>
        <w:rPr>
          <w:rFonts w:cstheme="minorHAnsi"/>
          <w:sz w:val="20"/>
          <w:szCs w:val="20"/>
        </w:rPr>
      </w:pPr>
      <w:r w:rsidRPr="00A02B31">
        <w:rPr>
          <w:rFonts w:cstheme="minorHAnsi"/>
          <w:sz w:val="20"/>
          <w:szCs w:val="20"/>
        </w:rPr>
        <w:t xml:space="preserve"> </w:t>
      </w:r>
    </w:p>
    <w:p w14:paraId="07F4D15E" w14:textId="77777777" w:rsidR="00631CA2" w:rsidRPr="00A02B31" w:rsidRDefault="00631CA2" w:rsidP="00631CA2">
      <w:pPr>
        <w:autoSpaceDE w:val="0"/>
        <w:autoSpaceDN w:val="0"/>
        <w:adjustRightInd w:val="0"/>
        <w:jc w:val="both"/>
        <w:rPr>
          <w:rFonts w:cstheme="minorHAnsi"/>
          <w:sz w:val="20"/>
          <w:szCs w:val="20"/>
        </w:rPr>
      </w:pPr>
      <w:r w:rsidRPr="00A02B31">
        <w:rPr>
          <w:rFonts w:cstheme="minorHAnsi"/>
          <w:sz w:val="20"/>
          <w:szCs w:val="20"/>
        </w:rPr>
        <w:t>We addressed the risk of management override of internal controls, including targeted testing of journals based on risk-based criteria and evaluating whether there was evidence of bias by the Directors that represented a risk of material misstatement due to fraud.</w:t>
      </w:r>
    </w:p>
    <w:p w14:paraId="5610A8C3" w14:textId="77777777" w:rsidR="00631CA2" w:rsidRPr="00A02B31" w:rsidRDefault="00631CA2" w:rsidP="00631CA2">
      <w:pPr>
        <w:autoSpaceDE w:val="0"/>
        <w:autoSpaceDN w:val="0"/>
        <w:adjustRightInd w:val="0"/>
        <w:jc w:val="both"/>
        <w:rPr>
          <w:rFonts w:cstheme="minorHAnsi"/>
          <w:sz w:val="20"/>
          <w:szCs w:val="20"/>
        </w:rPr>
      </w:pPr>
    </w:p>
    <w:p w14:paraId="582721B9" w14:textId="77777777" w:rsidR="00631CA2" w:rsidRPr="00A02B31" w:rsidRDefault="00631CA2" w:rsidP="00631CA2">
      <w:pPr>
        <w:autoSpaceDE w:val="0"/>
        <w:autoSpaceDN w:val="0"/>
        <w:adjustRightInd w:val="0"/>
        <w:jc w:val="both"/>
        <w:rPr>
          <w:rFonts w:cstheme="minorHAnsi"/>
          <w:sz w:val="20"/>
          <w:szCs w:val="20"/>
        </w:rPr>
      </w:pPr>
      <w:r w:rsidRPr="00A02B31">
        <w:rPr>
          <w:rFonts w:cstheme="minorHAnsi"/>
          <w:sz w:val="20"/>
          <w:szCs w:val="20"/>
        </w:rPr>
        <w:t>We also considered the risk that the valuation of the investment portfolio was subject to bias from the Investment Manager, as described in the Key Audit Matter section above.</w:t>
      </w:r>
    </w:p>
    <w:p w14:paraId="70458AB9" w14:textId="77777777" w:rsidR="00631CA2" w:rsidRPr="00A02B31" w:rsidRDefault="00631CA2" w:rsidP="00631CA2">
      <w:pPr>
        <w:autoSpaceDE w:val="0"/>
        <w:autoSpaceDN w:val="0"/>
        <w:adjustRightInd w:val="0"/>
        <w:jc w:val="both"/>
        <w:rPr>
          <w:rFonts w:cstheme="minorHAnsi"/>
          <w:sz w:val="20"/>
          <w:szCs w:val="20"/>
        </w:rPr>
      </w:pPr>
    </w:p>
    <w:p w14:paraId="36E7D737" w14:textId="77777777" w:rsidR="00631CA2" w:rsidRPr="00A02B31" w:rsidRDefault="00631CA2" w:rsidP="00631CA2">
      <w:pPr>
        <w:autoSpaceDE w:val="0"/>
        <w:autoSpaceDN w:val="0"/>
        <w:adjustRightInd w:val="0"/>
        <w:jc w:val="both"/>
        <w:rPr>
          <w:rFonts w:cstheme="minorHAnsi"/>
          <w:bCs/>
          <w:sz w:val="20"/>
          <w:szCs w:val="20"/>
        </w:rPr>
      </w:pPr>
      <w:r w:rsidRPr="00A02B31">
        <w:rPr>
          <w:rFonts w:cstheme="minorHAnsi"/>
          <w:bCs/>
          <w:sz w:val="20"/>
          <w:szCs w:val="20"/>
        </w:rPr>
        <w:t>Our audit procedures were designed to respond to risks of material misstatement in the financial statements, recognising that the risk of not detecting a material misstatement due to fraud is higher than the risk of not detecting one resulting from error, as fraud may involve deliberate concealment by, for example, forgery, misrepresentations or through collusion. There are inherent limitations in the audit procedures performed and the further removed non-compliance with laws and regulations is from the events and transactions reflected in the financial statements, the less likely we are to become aware of it.</w:t>
      </w:r>
    </w:p>
    <w:p w14:paraId="77382421" w14:textId="77777777" w:rsidR="00631CA2" w:rsidRPr="00A02B31" w:rsidRDefault="00631CA2" w:rsidP="00631CA2">
      <w:pPr>
        <w:jc w:val="both"/>
        <w:rPr>
          <w:rFonts w:cstheme="minorHAnsi"/>
          <w:sz w:val="20"/>
          <w:szCs w:val="20"/>
        </w:rPr>
      </w:pPr>
    </w:p>
    <w:p w14:paraId="3FCF0D4F" w14:textId="77777777" w:rsidR="00631CA2" w:rsidRPr="00A02B31" w:rsidRDefault="00631CA2" w:rsidP="00631CA2">
      <w:pPr>
        <w:jc w:val="both"/>
        <w:rPr>
          <w:rFonts w:cstheme="minorHAnsi"/>
          <w:sz w:val="20"/>
          <w:szCs w:val="20"/>
        </w:rPr>
      </w:pPr>
    </w:p>
    <w:p w14:paraId="053E6B57" w14:textId="77777777" w:rsidR="00631CA2" w:rsidRPr="00A02B31" w:rsidRDefault="00631CA2" w:rsidP="00631CA2">
      <w:pPr>
        <w:jc w:val="both"/>
        <w:rPr>
          <w:rFonts w:cstheme="minorHAnsi"/>
          <w:sz w:val="20"/>
          <w:szCs w:val="20"/>
        </w:rPr>
      </w:pPr>
      <w:r w:rsidRPr="00A02B31">
        <w:rPr>
          <w:rFonts w:cstheme="minorHAnsi"/>
          <w:sz w:val="20"/>
          <w:szCs w:val="20"/>
        </w:rPr>
        <w:t xml:space="preserve">A further description of our responsibilities is available on the Financial Reporting Council’s website at: </w:t>
      </w:r>
    </w:p>
    <w:p w14:paraId="46A8A1B3" w14:textId="77777777" w:rsidR="00631CA2" w:rsidRPr="00A02B31" w:rsidRDefault="00323F73" w:rsidP="00631CA2">
      <w:pPr>
        <w:jc w:val="both"/>
        <w:rPr>
          <w:rFonts w:cstheme="minorHAnsi"/>
          <w:sz w:val="20"/>
          <w:szCs w:val="20"/>
        </w:rPr>
      </w:pPr>
      <w:hyperlink r:id="rId26" w:history="1">
        <w:r w:rsidR="00631CA2" w:rsidRPr="00A02B31">
          <w:rPr>
            <w:rStyle w:val="Hyperlink"/>
            <w:rFonts w:cstheme="minorHAnsi"/>
            <w:sz w:val="20"/>
            <w:szCs w:val="20"/>
          </w:rPr>
          <w:t>https://www.frc.org.uk/auditorsresponsibilities</w:t>
        </w:r>
      </w:hyperlink>
      <w:r w:rsidR="00631CA2" w:rsidRPr="00A02B31">
        <w:rPr>
          <w:rFonts w:cstheme="minorHAnsi"/>
          <w:sz w:val="20"/>
          <w:szCs w:val="20"/>
        </w:rPr>
        <w:t>. This description forms part of our auditor’s report.</w:t>
      </w:r>
    </w:p>
    <w:p w14:paraId="4E50399A" w14:textId="77777777" w:rsidR="00631CA2" w:rsidRPr="00A02B31" w:rsidRDefault="00631CA2" w:rsidP="00631CA2">
      <w:pPr>
        <w:jc w:val="both"/>
        <w:rPr>
          <w:rFonts w:cstheme="minorHAnsi"/>
          <w:sz w:val="20"/>
          <w:szCs w:val="20"/>
        </w:rPr>
      </w:pPr>
    </w:p>
    <w:p w14:paraId="76BEA029" w14:textId="77777777" w:rsidR="00631CA2" w:rsidRPr="00A02B31" w:rsidRDefault="00631CA2" w:rsidP="00631CA2">
      <w:pPr>
        <w:jc w:val="both"/>
        <w:rPr>
          <w:rFonts w:cstheme="minorHAnsi"/>
          <w:b/>
          <w:sz w:val="20"/>
          <w:szCs w:val="20"/>
        </w:rPr>
      </w:pPr>
      <w:r w:rsidRPr="00A02B31">
        <w:rPr>
          <w:rFonts w:cstheme="minorHAnsi"/>
          <w:b/>
          <w:sz w:val="20"/>
          <w:szCs w:val="20"/>
        </w:rPr>
        <w:t>Use of our report</w:t>
      </w:r>
    </w:p>
    <w:p w14:paraId="0A132F39" w14:textId="77777777" w:rsidR="00631CA2" w:rsidRPr="00A02B31" w:rsidRDefault="00631CA2" w:rsidP="00631CA2">
      <w:pPr>
        <w:jc w:val="both"/>
        <w:rPr>
          <w:rFonts w:cstheme="minorHAnsi"/>
          <w:sz w:val="20"/>
          <w:szCs w:val="20"/>
        </w:rPr>
      </w:pPr>
    </w:p>
    <w:p w14:paraId="1D074798" w14:textId="77777777" w:rsidR="00631CA2" w:rsidRPr="00A02B31" w:rsidRDefault="00631CA2" w:rsidP="00631CA2">
      <w:pPr>
        <w:jc w:val="both"/>
        <w:rPr>
          <w:rFonts w:cstheme="minorHAnsi"/>
          <w:sz w:val="20"/>
          <w:szCs w:val="20"/>
        </w:rPr>
      </w:pPr>
      <w:r w:rsidRPr="00A02B31">
        <w:rPr>
          <w:rFonts w:cstheme="minorHAnsi"/>
          <w:sz w:val="20"/>
          <w:szCs w:val="20"/>
        </w:rPr>
        <w:t>This report is made solely to the Company’s members, as a body, in accordance with Chapter 3 of Part 16 of the Companies Act 2006. Our audit work has been undertaken so that we might state to the Company’s members those matters we are required to state to them in an auditor’s report and for no other purpose. To the fullest extent permitted by law, we do not accept or assume responsibility to anyone other than the Company and the Company’s members as a body, for our audit work, for this report, or for the opinions we have formed.</w:t>
      </w:r>
    </w:p>
    <w:p w14:paraId="3B525A4D" w14:textId="0E72D2D7" w:rsidR="00631CA2" w:rsidRPr="00A02B31" w:rsidRDefault="00841FAD" w:rsidP="00631CA2">
      <w:pPr>
        <w:jc w:val="both"/>
        <w:rPr>
          <w:rFonts w:cstheme="minorHAnsi"/>
          <w:sz w:val="20"/>
          <w:szCs w:val="20"/>
        </w:rPr>
      </w:pPr>
      <w:r>
        <w:rPr>
          <w:noProof/>
          <w:lang w:eastAsia="en-GB"/>
        </w:rPr>
        <w:drawing>
          <wp:anchor distT="0" distB="0" distL="114300" distR="114300" simplePos="0" relativeHeight="251740160" behindDoc="1" locked="0" layoutInCell="1" allowOverlap="1" wp14:anchorId="536EC121" wp14:editId="765529EA">
            <wp:simplePos x="0" y="0"/>
            <wp:positionH relativeFrom="column">
              <wp:posOffset>3810</wp:posOffset>
            </wp:positionH>
            <wp:positionV relativeFrom="paragraph">
              <wp:posOffset>0</wp:posOffset>
            </wp:positionV>
            <wp:extent cx="1346200" cy="371475"/>
            <wp:effectExtent l="0" t="0" r="635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346200" cy="371475"/>
                    </a:xfrm>
                    <a:prstGeom prst="rect">
                      <a:avLst/>
                    </a:prstGeom>
                  </pic:spPr>
                </pic:pic>
              </a:graphicData>
            </a:graphic>
          </wp:anchor>
        </w:drawing>
      </w:r>
    </w:p>
    <w:p w14:paraId="615F0BC5" w14:textId="77777777" w:rsidR="00631CA2" w:rsidRPr="00A02B31" w:rsidRDefault="00631CA2" w:rsidP="00631CA2">
      <w:pPr>
        <w:pStyle w:val="Default"/>
        <w:rPr>
          <w:rFonts w:asciiTheme="minorHAnsi" w:hAnsiTheme="minorHAnsi" w:cstheme="minorHAnsi"/>
          <w:color w:val="auto"/>
          <w:sz w:val="20"/>
          <w:szCs w:val="20"/>
        </w:rPr>
      </w:pPr>
      <w:r w:rsidRPr="00A02B31">
        <w:rPr>
          <w:rFonts w:asciiTheme="minorHAnsi" w:hAnsiTheme="minorHAnsi" w:cstheme="minorHAnsi"/>
          <w:color w:val="auto"/>
          <w:sz w:val="20"/>
          <w:szCs w:val="20"/>
        </w:rPr>
        <w:t xml:space="preserve"> </w:t>
      </w:r>
    </w:p>
    <w:p w14:paraId="16536F91" w14:textId="77777777" w:rsidR="00631CA2" w:rsidRPr="00A02B31" w:rsidRDefault="00631CA2" w:rsidP="00631CA2">
      <w:pPr>
        <w:pStyle w:val="Default"/>
        <w:rPr>
          <w:rFonts w:asciiTheme="minorHAnsi" w:hAnsiTheme="minorHAnsi" w:cstheme="minorHAnsi"/>
          <w:color w:val="auto"/>
          <w:sz w:val="20"/>
          <w:szCs w:val="20"/>
        </w:rPr>
      </w:pPr>
      <w:r w:rsidRPr="00A02B31">
        <w:rPr>
          <w:rFonts w:asciiTheme="minorHAnsi" w:hAnsiTheme="minorHAnsi" w:cstheme="minorHAnsi"/>
          <w:color w:val="auto"/>
          <w:sz w:val="20"/>
          <w:szCs w:val="20"/>
        </w:rPr>
        <w:t xml:space="preserve">Peter Smith, Senior Statutory Auditor </w:t>
      </w:r>
    </w:p>
    <w:p w14:paraId="19EBCFD7" w14:textId="77777777" w:rsidR="00631CA2" w:rsidRPr="00A02B31" w:rsidRDefault="00631CA2" w:rsidP="00631CA2">
      <w:pPr>
        <w:pStyle w:val="Default"/>
        <w:rPr>
          <w:rFonts w:asciiTheme="minorHAnsi" w:hAnsiTheme="minorHAnsi" w:cstheme="minorHAnsi"/>
          <w:color w:val="auto"/>
          <w:sz w:val="20"/>
          <w:szCs w:val="20"/>
        </w:rPr>
      </w:pPr>
      <w:r w:rsidRPr="00A02B31">
        <w:rPr>
          <w:rFonts w:asciiTheme="minorHAnsi" w:hAnsiTheme="minorHAnsi" w:cstheme="minorHAnsi"/>
          <w:color w:val="auto"/>
          <w:sz w:val="20"/>
          <w:szCs w:val="20"/>
        </w:rPr>
        <w:t xml:space="preserve">For and on behalf of BDO LLP, Statutory Auditor </w:t>
      </w:r>
    </w:p>
    <w:p w14:paraId="06912D7F" w14:textId="77777777" w:rsidR="00631CA2" w:rsidRPr="00A02B31" w:rsidRDefault="00631CA2" w:rsidP="00631CA2">
      <w:pPr>
        <w:pStyle w:val="Default"/>
        <w:rPr>
          <w:rFonts w:asciiTheme="minorHAnsi" w:hAnsiTheme="minorHAnsi" w:cstheme="minorHAnsi"/>
          <w:color w:val="auto"/>
          <w:sz w:val="20"/>
          <w:szCs w:val="20"/>
        </w:rPr>
      </w:pPr>
      <w:r w:rsidRPr="00A02B31">
        <w:rPr>
          <w:rFonts w:asciiTheme="minorHAnsi" w:hAnsiTheme="minorHAnsi" w:cstheme="minorHAnsi"/>
          <w:color w:val="auto"/>
          <w:sz w:val="20"/>
          <w:szCs w:val="20"/>
        </w:rPr>
        <w:t>London, UK</w:t>
      </w:r>
    </w:p>
    <w:p w14:paraId="0A8B1212" w14:textId="1998902B" w:rsidR="00631CA2" w:rsidRPr="00A02B31" w:rsidRDefault="00A02B31" w:rsidP="00631CA2">
      <w:pPr>
        <w:pStyle w:val="Default"/>
        <w:rPr>
          <w:rFonts w:asciiTheme="minorHAnsi" w:hAnsiTheme="minorHAnsi" w:cstheme="minorHAnsi"/>
          <w:color w:val="auto"/>
          <w:sz w:val="20"/>
          <w:szCs w:val="20"/>
        </w:rPr>
      </w:pPr>
      <w:r>
        <w:rPr>
          <w:rFonts w:asciiTheme="minorHAnsi" w:hAnsiTheme="minorHAnsi" w:cstheme="minorHAnsi"/>
          <w:color w:val="auto"/>
          <w:sz w:val="20"/>
          <w:szCs w:val="20"/>
        </w:rPr>
        <w:t>22 June 2022</w:t>
      </w:r>
    </w:p>
    <w:p w14:paraId="1440E11B" w14:textId="77777777" w:rsidR="00631CA2" w:rsidRPr="00A02B31" w:rsidRDefault="00631CA2" w:rsidP="00631CA2">
      <w:pPr>
        <w:pStyle w:val="Default"/>
        <w:rPr>
          <w:rFonts w:asciiTheme="minorHAnsi" w:hAnsiTheme="minorHAnsi" w:cstheme="minorHAnsi"/>
          <w:sz w:val="20"/>
          <w:szCs w:val="20"/>
        </w:rPr>
      </w:pPr>
    </w:p>
    <w:p w14:paraId="180894DD" w14:textId="77777777" w:rsidR="00631CA2" w:rsidRPr="00A02B31" w:rsidRDefault="00631CA2" w:rsidP="00631CA2">
      <w:pPr>
        <w:pStyle w:val="NormalWeb"/>
        <w:spacing w:before="0" w:beforeAutospacing="0" w:after="0"/>
        <w:jc w:val="both"/>
        <w:rPr>
          <w:rFonts w:asciiTheme="minorHAnsi" w:hAnsiTheme="minorHAnsi" w:cstheme="minorHAnsi"/>
          <w:color w:val="FF0000"/>
          <w:sz w:val="20"/>
          <w:szCs w:val="20"/>
        </w:rPr>
      </w:pPr>
    </w:p>
    <w:p w14:paraId="1C43A3C6" w14:textId="77777777" w:rsidR="00631CA2" w:rsidRPr="00A02B31" w:rsidRDefault="00631CA2" w:rsidP="00631CA2">
      <w:pPr>
        <w:pStyle w:val="NormalWeb"/>
        <w:spacing w:before="0" w:beforeAutospacing="0" w:after="0"/>
        <w:jc w:val="both"/>
        <w:rPr>
          <w:rFonts w:asciiTheme="minorHAnsi" w:hAnsiTheme="minorHAnsi" w:cstheme="minorHAnsi"/>
          <w:iCs/>
          <w:color w:val="FF0000"/>
          <w:sz w:val="20"/>
          <w:szCs w:val="20"/>
        </w:rPr>
      </w:pPr>
    </w:p>
    <w:p w14:paraId="69EEB353" w14:textId="77777777" w:rsidR="00631CA2" w:rsidRPr="00A02B31" w:rsidRDefault="00631CA2" w:rsidP="00631CA2">
      <w:pPr>
        <w:pStyle w:val="NormalWeb"/>
        <w:spacing w:before="0" w:beforeAutospacing="0" w:after="0"/>
        <w:jc w:val="both"/>
        <w:rPr>
          <w:rFonts w:asciiTheme="minorHAnsi" w:hAnsiTheme="minorHAnsi" w:cstheme="minorHAnsi"/>
          <w:bCs/>
          <w:sz w:val="20"/>
          <w:szCs w:val="20"/>
        </w:rPr>
      </w:pPr>
      <w:r w:rsidRPr="00A02B31">
        <w:rPr>
          <w:rFonts w:asciiTheme="minorHAnsi" w:hAnsiTheme="minorHAnsi" w:cstheme="minorHAnsi"/>
          <w:bCs/>
          <w:sz w:val="20"/>
          <w:szCs w:val="20"/>
        </w:rPr>
        <w:t>BDO LLP is a limited liability partnership registered in England and Wales (with registered number OC305127).</w:t>
      </w:r>
    </w:p>
    <w:p w14:paraId="64C63570" w14:textId="6A2BC709" w:rsidR="00CB0CEA" w:rsidRPr="00A02B31" w:rsidRDefault="00CB0CEA" w:rsidP="00A02B31">
      <w:pPr>
        <w:autoSpaceDE w:val="0"/>
        <w:autoSpaceDN w:val="0"/>
        <w:adjustRightInd w:val="0"/>
        <w:jc w:val="both"/>
        <w:rPr>
          <w:rFonts w:cstheme="minorHAnsi"/>
          <w:color w:val="000000"/>
          <w:sz w:val="20"/>
          <w:szCs w:val="20"/>
        </w:rPr>
      </w:pPr>
    </w:p>
    <w:p w14:paraId="0D0DBAFF" w14:textId="77777777" w:rsidR="00CD5E42" w:rsidRPr="007600A7" w:rsidRDefault="00CD5E42">
      <w:pPr>
        <w:rPr>
          <w:rFonts w:cstheme="minorHAnsi"/>
          <w:b/>
        </w:rPr>
      </w:pPr>
      <w:r w:rsidRPr="007600A7">
        <w:rPr>
          <w:rFonts w:cstheme="minorHAnsi"/>
          <w:b/>
        </w:rPr>
        <w:br w:type="page"/>
      </w:r>
    </w:p>
    <w:p w14:paraId="3D6F32FA" w14:textId="77777777" w:rsidR="00F50BA6" w:rsidRPr="00F50BA6" w:rsidRDefault="00F50BA6" w:rsidP="00F50BA6">
      <w:pPr>
        <w:jc w:val="center"/>
        <w:rPr>
          <w:b/>
        </w:rPr>
      </w:pPr>
    </w:p>
    <w:p w14:paraId="6E0381ED" w14:textId="77777777" w:rsidR="00F50BA6" w:rsidRPr="00F50BA6" w:rsidRDefault="00F50BA6" w:rsidP="00F50BA6">
      <w:pPr>
        <w:jc w:val="center"/>
        <w:rPr>
          <w:b/>
        </w:rPr>
      </w:pPr>
    </w:p>
    <w:p w14:paraId="179C4A86" w14:textId="77777777" w:rsidR="00F50BA6" w:rsidRPr="00F50BA6" w:rsidRDefault="00F50BA6" w:rsidP="00F50BA6">
      <w:pPr>
        <w:jc w:val="center"/>
        <w:rPr>
          <w:b/>
        </w:rPr>
      </w:pPr>
    </w:p>
    <w:p w14:paraId="61E3C008" w14:textId="77777777" w:rsidR="00F50BA6" w:rsidRPr="00F50BA6" w:rsidRDefault="00F50BA6" w:rsidP="00F50BA6">
      <w:pPr>
        <w:jc w:val="center"/>
        <w:rPr>
          <w:b/>
        </w:rPr>
      </w:pPr>
    </w:p>
    <w:p w14:paraId="794AEC70" w14:textId="77777777" w:rsidR="00F50BA6" w:rsidRPr="00F50BA6" w:rsidRDefault="00F50BA6" w:rsidP="00F50BA6">
      <w:pPr>
        <w:jc w:val="center"/>
        <w:rPr>
          <w:b/>
        </w:rPr>
      </w:pPr>
    </w:p>
    <w:p w14:paraId="4A5D765A" w14:textId="77777777" w:rsidR="00F50BA6" w:rsidRPr="007600A7" w:rsidRDefault="00F50BA6" w:rsidP="00F50BA6">
      <w:pPr>
        <w:jc w:val="center"/>
        <w:rPr>
          <w:rFonts w:cstheme="minorHAnsi"/>
          <w:b/>
        </w:rPr>
      </w:pPr>
    </w:p>
    <w:p w14:paraId="7E9249A9" w14:textId="77777777" w:rsidR="00F50BA6" w:rsidRPr="000C1F6F" w:rsidRDefault="00F50BA6" w:rsidP="00F50BA6">
      <w:pPr>
        <w:jc w:val="center"/>
        <w:rPr>
          <w:rFonts w:cstheme="minorHAnsi"/>
          <w:b/>
        </w:rPr>
      </w:pPr>
    </w:p>
    <w:p w14:paraId="4D20D8F9" w14:textId="77777777" w:rsidR="00F50BA6" w:rsidRPr="008B2DDA" w:rsidRDefault="00F50BA6" w:rsidP="00F50BA6">
      <w:pPr>
        <w:jc w:val="center"/>
        <w:rPr>
          <w:rFonts w:cstheme="minorHAnsi"/>
          <w:b/>
        </w:rPr>
      </w:pPr>
    </w:p>
    <w:p w14:paraId="0030969D" w14:textId="77777777" w:rsidR="00F50BA6" w:rsidRPr="000C5053" w:rsidRDefault="00F50BA6" w:rsidP="00F50BA6">
      <w:pPr>
        <w:jc w:val="center"/>
        <w:rPr>
          <w:rFonts w:cstheme="minorHAnsi"/>
          <w:b/>
        </w:rPr>
      </w:pPr>
    </w:p>
    <w:p w14:paraId="7A7E1E6E" w14:textId="77777777" w:rsidR="00FA18EA" w:rsidRPr="0091098D" w:rsidRDefault="00FA18EA" w:rsidP="00FA18EA">
      <w:pPr>
        <w:jc w:val="center"/>
        <w:rPr>
          <w:rFonts w:cstheme="minorHAnsi"/>
          <w:b/>
        </w:rPr>
      </w:pPr>
      <w:r w:rsidRPr="0091098D">
        <w:rPr>
          <w:rFonts w:cstheme="minorHAnsi"/>
          <w:b/>
        </w:rPr>
        <w:t xml:space="preserve">ROCKWOOD STRATEGIC PLC </w:t>
      </w:r>
    </w:p>
    <w:p w14:paraId="53625713" w14:textId="77777777" w:rsidR="00FA18EA" w:rsidRPr="0075195E" w:rsidRDefault="00FA18EA" w:rsidP="00FA18EA">
      <w:pPr>
        <w:jc w:val="center"/>
        <w:rPr>
          <w:rFonts w:cstheme="minorHAnsi"/>
          <w:b/>
        </w:rPr>
      </w:pPr>
      <w:r w:rsidRPr="0075195E">
        <w:rPr>
          <w:rFonts w:cstheme="minorHAnsi"/>
          <w:b/>
          <w:i/>
          <w:iCs/>
          <w:color w:val="000000"/>
          <w:lang w:val="en-US"/>
        </w:rPr>
        <w:t>(formerly, Gresham House Strategic Plc)</w:t>
      </w:r>
    </w:p>
    <w:p w14:paraId="7EB34A24" w14:textId="77777777" w:rsidR="00FA18EA" w:rsidRPr="00536A35" w:rsidRDefault="00FA18EA" w:rsidP="00FA18EA">
      <w:pPr>
        <w:jc w:val="center"/>
        <w:rPr>
          <w:rFonts w:cstheme="minorHAnsi"/>
          <w:b/>
        </w:rPr>
      </w:pPr>
      <w:r w:rsidRPr="00536A35">
        <w:rPr>
          <w:rFonts w:cstheme="minorHAnsi"/>
          <w:b/>
        </w:rPr>
        <w:t>REPORT and ACCOUNTS</w:t>
      </w:r>
    </w:p>
    <w:p w14:paraId="3F3049E7" w14:textId="77777777" w:rsidR="00FA18EA" w:rsidRPr="00A02B31" w:rsidRDefault="00FA18EA" w:rsidP="00FA18EA">
      <w:pPr>
        <w:jc w:val="center"/>
        <w:rPr>
          <w:rFonts w:cstheme="minorHAnsi"/>
          <w:b/>
        </w:rPr>
      </w:pPr>
    </w:p>
    <w:p w14:paraId="3A900274" w14:textId="77777777" w:rsidR="00FA18EA" w:rsidRPr="00A02B31" w:rsidRDefault="00FA18EA" w:rsidP="00FA18EA">
      <w:pPr>
        <w:jc w:val="center"/>
        <w:rPr>
          <w:rFonts w:cstheme="minorHAnsi"/>
          <w:b/>
        </w:rPr>
      </w:pPr>
      <w:r w:rsidRPr="00A02B31">
        <w:rPr>
          <w:rFonts w:cstheme="minorHAnsi"/>
          <w:b/>
        </w:rPr>
        <w:t>For the year ended 31 March 2022</w:t>
      </w:r>
    </w:p>
    <w:p w14:paraId="41BAE652" w14:textId="77777777" w:rsidR="00FA18EA" w:rsidRPr="00A02B31" w:rsidRDefault="00FA18EA" w:rsidP="00FA18EA">
      <w:pPr>
        <w:rPr>
          <w:rFonts w:cstheme="minorHAnsi"/>
          <w:b/>
        </w:rPr>
      </w:pPr>
      <w:r w:rsidRPr="00A02B31">
        <w:rPr>
          <w:rFonts w:cstheme="minorHAnsi"/>
          <w:b/>
        </w:rPr>
        <w:br w:type="page"/>
      </w:r>
    </w:p>
    <w:p w14:paraId="3A22AAE3" w14:textId="77777777" w:rsidR="00FA18EA" w:rsidRPr="00A02B31" w:rsidRDefault="00FA18EA" w:rsidP="00FA18EA">
      <w:pPr>
        <w:pageBreakBefore/>
        <w:autoSpaceDE w:val="0"/>
        <w:autoSpaceDN w:val="0"/>
        <w:adjustRightInd w:val="0"/>
        <w:rPr>
          <w:rFonts w:cstheme="minorHAnsi"/>
          <w:b/>
          <w:bCs/>
          <w:sz w:val="28"/>
        </w:rPr>
      </w:pPr>
      <w:r w:rsidRPr="00A02B31">
        <w:rPr>
          <w:rFonts w:cstheme="minorHAnsi"/>
          <w:b/>
          <w:bCs/>
          <w:sz w:val="28"/>
        </w:rPr>
        <w:lastRenderedPageBreak/>
        <w:t>Statement of Comprehensive Income for the year ended 31 March 2022</w:t>
      </w:r>
    </w:p>
    <w:p w14:paraId="5F028ACC" w14:textId="77777777" w:rsidR="00FA18EA" w:rsidRPr="00A02B31" w:rsidRDefault="00FA18EA" w:rsidP="00FA18EA">
      <w:pPr>
        <w:rPr>
          <w:rFonts w:cstheme="minorHAnsi"/>
          <w:sz w:val="16"/>
        </w:rPr>
      </w:pPr>
    </w:p>
    <w:tbl>
      <w:tblPr>
        <w:tblW w:w="9811" w:type="dxa"/>
        <w:tblInd w:w="-30" w:type="dxa"/>
        <w:tblLayout w:type="fixed"/>
        <w:tblLook w:val="0000" w:firstRow="0" w:lastRow="0" w:firstColumn="0" w:lastColumn="0" w:noHBand="0" w:noVBand="0"/>
      </w:tblPr>
      <w:tblGrid>
        <w:gridCol w:w="5275"/>
        <w:gridCol w:w="238"/>
        <w:gridCol w:w="754"/>
        <w:gridCol w:w="238"/>
        <w:gridCol w:w="1580"/>
        <w:gridCol w:w="450"/>
        <w:gridCol w:w="1276"/>
      </w:tblGrid>
      <w:tr w:rsidR="00FA18EA" w:rsidRPr="007600A7" w14:paraId="53B84B50" w14:textId="77777777" w:rsidTr="00FA18EA">
        <w:trPr>
          <w:trHeight w:val="247"/>
        </w:trPr>
        <w:tc>
          <w:tcPr>
            <w:tcW w:w="5275" w:type="dxa"/>
            <w:tcBorders>
              <w:top w:val="single" w:sz="6" w:space="0" w:color="auto"/>
              <w:left w:val="nil"/>
              <w:bottom w:val="nil"/>
              <w:right w:val="nil"/>
            </w:tcBorders>
            <w:shd w:val="solid" w:color="FFFFFF" w:fill="auto"/>
          </w:tcPr>
          <w:p w14:paraId="7F93A71F" w14:textId="77777777" w:rsidR="00FA18EA" w:rsidRPr="00A02B31" w:rsidRDefault="00FA18EA" w:rsidP="00FA18EA">
            <w:pPr>
              <w:autoSpaceDE w:val="0"/>
              <w:autoSpaceDN w:val="0"/>
              <w:adjustRightInd w:val="0"/>
              <w:jc w:val="right"/>
              <w:rPr>
                <w:rFonts w:cstheme="minorHAnsi"/>
                <w:color w:val="000000"/>
                <w:sz w:val="18"/>
                <w:szCs w:val="18"/>
              </w:rPr>
            </w:pPr>
          </w:p>
        </w:tc>
        <w:tc>
          <w:tcPr>
            <w:tcW w:w="238" w:type="dxa"/>
            <w:tcBorders>
              <w:top w:val="single" w:sz="6" w:space="0" w:color="auto"/>
              <w:left w:val="nil"/>
              <w:bottom w:val="nil"/>
              <w:right w:val="nil"/>
            </w:tcBorders>
            <w:shd w:val="solid" w:color="FFFFFF" w:fill="auto"/>
          </w:tcPr>
          <w:p w14:paraId="5E7F497F" w14:textId="77777777" w:rsidR="00FA18EA" w:rsidRPr="00A02B31" w:rsidRDefault="00FA18EA" w:rsidP="00FA18EA">
            <w:pPr>
              <w:autoSpaceDE w:val="0"/>
              <w:autoSpaceDN w:val="0"/>
              <w:adjustRightInd w:val="0"/>
              <w:jc w:val="right"/>
              <w:rPr>
                <w:rFonts w:cstheme="minorHAnsi"/>
                <w:color w:val="000000"/>
                <w:sz w:val="18"/>
                <w:szCs w:val="18"/>
              </w:rPr>
            </w:pPr>
          </w:p>
        </w:tc>
        <w:tc>
          <w:tcPr>
            <w:tcW w:w="754" w:type="dxa"/>
            <w:tcBorders>
              <w:top w:val="single" w:sz="6" w:space="0" w:color="auto"/>
              <w:left w:val="nil"/>
              <w:bottom w:val="nil"/>
              <w:right w:val="nil"/>
            </w:tcBorders>
            <w:shd w:val="solid" w:color="FFFFFF" w:fill="auto"/>
          </w:tcPr>
          <w:p w14:paraId="54336314" w14:textId="77777777" w:rsidR="00FA18EA" w:rsidRPr="00A02B31" w:rsidRDefault="00FA18EA" w:rsidP="00FA18EA">
            <w:pPr>
              <w:autoSpaceDE w:val="0"/>
              <w:autoSpaceDN w:val="0"/>
              <w:adjustRightInd w:val="0"/>
              <w:jc w:val="center"/>
              <w:rPr>
                <w:rFonts w:cstheme="minorHAnsi"/>
                <w:color w:val="000000"/>
                <w:sz w:val="18"/>
                <w:szCs w:val="18"/>
              </w:rPr>
            </w:pPr>
          </w:p>
        </w:tc>
        <w:tc>
          <w:tcPr>
            <w:tcW w:w="238" w:type="dxa"/>
            <w:tcBorders>
              <w:top w:val="single" w:sz="6" w:space="0" w:color="auto"/>
              <w:left w:val="nil"/>
              <w:bottom w:val="nil"/>
              <w:right w:val="nil"/>
            </w:tcBorders>
            <w:shd w:val="solid" w:color="FFFFFF" w:fill="auto"/>
          </w:tcPr>
          <w:p w14:paraId="526CDD37" w14:textId="77777777" w:rsidR="00FA18EA" w:rsidRPr="00A02B31" w:rsidRDefault="00FA18EA" w:rsidP="00FA18EA">
            <w:pPr>
              <w:autoSpaceDE w:val="0"/>
              <w:autoSpaceDN w:val="0"/>
              <w:adjustRightInd w:val="0"/>
              <w:jc w:val="right"/>
              <w:rPr>
                <w:rFonts w:cstheme="minorHAnsi"/>
                <w:color w:val="000000"/>
                <w:sz w:val="18"/>
                <w:szCs w:val="18"/>
              </w:rPr>
            </w:pPr>
          </w:p>
        </w:tc>
        <w:tc>
          <w:tcPr>
            <w:tcW w:w="1580" w:type="dxa"/>
            <w:tcBorders>
              <w:top w:val="single" w:sz="6" w:space="0" w:color="auto"/>
              <w:left w:val="nil"/>
              <w:bottom w:val="nil"/>
              <w:right w:val="nil"/>
            </w:tcBorders>
            <w:shd w:val="solid" w:color="FFFFFF" w:fill="auto"/>
          </w:tcPr>
          <w:p w14:paraId="356F76D9" w14:textId="77777777" w:rsidR="00FA18EA" w:rsidRPr="00A02B31" w:rsidRDefault="00FA18EA" w:rsidP="00FA18EA">
            <w:pPr>
              <w:autoSpaceDE w:val="0"/>
              <w:autoSpaceDN w:val="0"/>
              <w:adjustRightInd w:val="0"/>
              <w:jc w:val="right"/>
              <w:rPr>
                <w:rFonts w:cstheme="minorHAnsi"/>
                <w:b/>
                <w:bCs/>
                <w:color w:val="000000"/>
              </w:rPr>
            </w:pPr>
            <w:r w:rsidRPr="00A02B31">
              <w:rPr>
                <w:rFonts w:cstheme="minorHAnsi"/>
                <w:b/>
                <w:bCs/>
                <w:color w:val="000000"/>
              </w:rPr>
              <w:t>Year ended</w:t>
            </w:r>
          </w:p>
        </w:tc>
        <w:tc>
          <w:tcPr>
            <w:tcW w:w="450" w:type="dxa"/>
            <w:tcBorders>
              <w:top w:val="single" w:sz="6" w:space="0" w:color="auto"/>
              <w:left w:val="nil"/>
              <w:bottom w:val="nil"/>
              <w:right w:val="nil"/>
            </w:tcBorders>
            <w:shd w:val="solid" w:color="FFFFFF" w:fill="auto"/>
          </w:tcPr>
          <w:p w14:paraId="102F43F1" w14:textId="77777777" w:rsidR="00FA18EA" w:rsidRPr="00A02B31" w:rsidRDefault="00FA18EA" w:rsidP="00FA18EA">
            <w:pPr>
              <w:autoSpaceDE w:val="0"/>
              <w:autoSpaceDN w:val="0"/>
              <w:adjustRightInd w:val="0"/>
              <w:jc w:val="right"/>
              <w:rPr>
                <w:rFonts w:cstheme="minorHAnsi"/>
                <w:color w:val="000000"/>
                <w:sz w:val="18"/>
                <w:szCs w:val="18"/>
              </w:rPr>
            </w:pPr>
          </w:p>
        </w:tc>
        <w:tc>
          <w:tcPr>
            <w:tcW w:w="1276" w:type="dxa"/>
            <w:tcBorders>
              <w:top w:val="single" w:sz="6" w:space="0" w:color="auto"/>
              <w:left w:val="nil"/>
              <w:bottom w:val="nil"/>
              <w:right w:val="nil"/>
            </w:tcBorders>
            <w:shd w:val="solid" w:color="FFFFFF" w:fill="auto"/>
          </w:tcPr>
          <w:p w14:paraId="004E379E" w14:textId="77777777" w:rsidR="00FA18EA" w:rsidRPr="00A02B31" w:rsidRDefault="00FA18EA" w:rsidP="00FA18EA">
            <w:pPr>
              <w:autoSpaceDE w:val="0"/>
              <w:autoSpaceDN w:val="0"/>
              <w:adjustRightInd w:val="0"/>
              <w:jc w:val="right"/>
              <w:rPr>
                <w:rFonts w:cstheme="minorHAnsi"/>
                <w:color w:val="000000"/>
              </w:rPr>
            </w:pPr>
            <w:r w:rsidRPr="00A02B31">
              <w:rPr>
                <w:rFonts w:cstheme="minorHAnsi"/>
                <w:color w:val="000000"/>
              </w:rPr>
              <w:t>Year ended</w:t>
            </w:r>
          </w:p>
        </w:tc>
      </w:tr>
      <w:tr w:rsidR="00FA18EA" w:rsidRPr="007600A7" w14:paraId="7ABF48A2" w14:textId="77777777" w:rsidTr="00FA18EA">
        <w:trPr>
          <w:trHeight w:val="247"/>
        </w:trPr>
        <w:tc>
          <w:tcPr>
            <w:tcW w:w="5275" w:type="dxa"/>
            <w:tcBorders>
              <w:top w:val="nil"/>
              <w:left w:val="nil"/>
              <w:bottom w:val="nil"/>
              <w:right w:val="nil"/>
            </w:tcBorders>
            <w:shd w:val="solid" w:color="FFFFFF" w:fill="auto"/>
          </w:tcPr>
          <w:p w14:paraId="602E2EA1" w14:textId="77777777" w:rsidR="00FA18EA" w:rsidRPr="008B2DDA" w:rsidRDefault="00FA18EA" w:rsidP="00FA18EA">
            <w:pPr>
              <w:autoSpaceDE w:val="0"/>
              <w:autoSpaceDN w:val="0"/>
              <w:adjustRightInd w:val="0"/>
              <w:jc w:val="right"/>
              <w:rPr>
                <w:rFonts w:cstheme="minorHAnsi"/>
                <w:color w:val="000000"/>
                <w:sz w:val="18"/>
                <w:szCs w:val="18"/>
              </w:rPr>
            </w:pPr>
          </w:p>
        </w:tc>
        <w:tc>
          <w:tcPr>
            <w:tcW w:w="238" w:type="dxa"/>
            <w:tcBorders>
              <w:top w:val="nil"/>
              <w:left w:val="nil"/>
              <w:bottom w:val="nil"/>
              <w:right w:val="nil"/>
            </w:tcBorders>
            <w:shd w:val="solid" w:color="FFFFFF" w:fill="auto"/>
          </w:tcPr>
          <w:p w14:paraId="66BFB44C" w14:textId="77777777" w:rsidR="00FA18EA" w:rsidRPr="000C5053" w:rsidRDefault="00FA18EA" w:rsidP="00FA18EA">
            <w:pPr>
              <w:autoSpaceDE w:val="0"/>
              <w:autoSpaceDN w:val="0"/>
              <w:adjustRightInd w:val="0"/>
              <w:jc w:val="right"/>
              <w:rPr>
                <w:rFonts w:cstheme="minorHAnsi"/>
                <w:color w:val="000000"/>
                <w:sz w:val="18"/>
                <w:szCs w:val="18"/>
              </w:rPr>
            </w:pPr>
          </w:p>
        </w:tc>
        <w:tc>
          <w:tcPr>
            <w:tcW w:w="754" w:type="dxa"/>
            <w:tcBorders>
              <w:top w:val="nil"/>
              <w:left w:val="nil"/>
              <w:bottom w:val="nil"/>
              <w:right w:val="nil"/>
            </w:tcBorders>
            <w:shd w:val="solid" w:color="FFFFFF" w:fill="auto"/>
          </w:tcPr>
          <w:p w14:paraId="6374B155" w14:textId="77777777" w:rsidR="00FA18EA" w:rsidRPr="0091098D" w:rsidRDefault="00FA18EA" w:rsidP="00FA18EA">
            <w:pPr>
              <w:autoSpaceDE w:val="0"/>
              <w:autoSpaceDN w:val="0"/>
              <w:adjustRightInd w:val="0"/>
              <w:jc w:val="center"/>
              <w:rPr>
                <w:rFonts w:cstheme="minorHAnsi"/>
                <w:color w:val="000000"/>
                <w:sz w:val="18"/>
                <w:szCs w:val="18"/>
              </w:rPr>
            </w:pPr>
          </w:p>
        </w:tc>
        <w:tc>
          <w:tcPr>
            <w:tcW w:w="238" w:type="dxa"/>
            <w:tcBorders>
              <w:top w:val="nil"/>
              <w:left w:val="nil"/>
              <w:bottom w:val="nil"/>
              <w:right w:val="nil"/>
            </w:tcBorders>
            <w:shd w:val="solid" w:color="FFFFFF" w:fill="auto"/>
          </w:tcPr>
          <w:p w14:paraId="0EC3EF09" w14:textId="77777777" w:rsidR="00FA18EA" w:rsidRPr="0075195E" w:rsidRDefault="00FA18EA" w:rsidP="00FA18EA">
            <w:pPr>
              <w:autoSpaceDE w:val="0"/>
              <w:autoSpaceDN w:val="0"/>
              <w:adjustRightInd w:val="0"/>
              <w:jc w:val="right"/>
              <w:rPr>
                <w:rFonts w:cstheme="minorHAnsi"/>
                <w:color w:val="000000"/>
                <w:sz w:val="18"/>
                <w:szCs w:val="18"/>
              </w:rPr>
            </w:pPr>
          </w:p>
        </w:tc>
        <w:tc>
          <w:tcPr>
            <w:tcW w:w="1580" w:type="dxa"/>
            <w:tcBorders>
              <w:top w:val="nil"/>
              <w:left w:val="nil"/>
              <w:bottom w:val="nil"/>
              <w:right w:val="nil"/>
            </w:tcBorders>
            <w:shd w:val="solid" w:color="FFFFFF" w:fill="auto"/>
          </w:tcPr>
          <w:p w14:paraId="0DB5E7FE" w14:textId="77777777" w:rsidR="00FA18EA" w:rsidRPr="00536A35" w:rsidRDefault="00FA18EA" w:rsidP="00FA18EA">
            <w:pPr>
              <w:autoSpaceDE w:val="0"/>
              <w:autoSpaceDN w:val="0"/>
              <w:adjustRightInd w:val="0"/>
              <w:jc w:val="right"/>
              <w:rPr>
                <w:rFonts w:cstheme="minorHAnsi"/>
                <w:b/>
                <w:bCs/>
                <w:color w:val="000000"/>
              </w:rPr>
            </w:pPr>
            <w:r w:rsidRPr="00536A35">
              <w:rPr>
                <w:rFonts w:cstheme="minorHAnsi"/>
                <w:b/>
                <w:bCs/>
                <w:color w:val="000000"/>
              </w:rPr>
              <w:t>31-Mar-22</w:t>
            </w:r>
          </w:p>
        </w:tc>
        <w:tc>
          <w:tcPr>
            <w:tcW w:w="450" w:type="dxa"/>
            <w:tcBorders>
              <w:top w:val="nil"/>
              <w:left w:val="nil"/>
              <w:bottom w:val="nil"/>
              <w:right w:val="nil"/>
            </w:tcBorders>
            <w:shd w:val="solid" w:color="FFFFFF" w:fill="auto"/>
          </w:tcPr>
          <w:p w14:paraId="1691A5D6" w14:textId="77777777" w:rsidR="00FA18EA" w:rsidRPr="00A02B31" w:rsidRDefault="00FA18EA" w:rsidP="00FA18EA">
            <w:pPr>
              <w:autoSpaceDE w:val="0"/>
              <w:autoSpaceDN w:val="0"/>
              <w:adjustRightInd w:val="0"/>
              <w:jc w:val="right"/>
              <w:rPr>
                <w:rFonts w:cstheme="minorHAnsi"/>
                <w:color w:val="000000"/>
              </w:rPr>
            </w:pPr>
          </w:p>
        </w:tc>
        <w:tc>
          <w:tcPr>
            <w:tcW w:w="1276" w:type="dxa"/>
            <w:tcBorders>
              <w:top w:val="nil"/>
              <w:left w:val="nil"/>
              <w:bottom w:val="nil"/>
              <w:right w:val="nil"/>
            </w:tcBorders>
            <w:shd w:val="solid" w:color="FFFFFF" w:fill="auto"/>
          </w:tcPr>
          <w:p w14:paraId="6C93BCCF" w14:textId="77777777" w:rsidR="00FA18EA" w:rsidRPr="00A02B31" w:rsidRDefault="00FA18EA" w:rsidP="00FA18EA">
            <w:pPr>
              <w:autoSpaceDE w:val="0"/>
              <w:autoSpaceDN w:val="0"/>
              <w:adjustRightInd w:val="0"/>
              <w:jc w:val="right"/>
              <w:rPr>
                <w:rFonts w:cstheme="minorHAnsi"/>
                <w:color w:val="000000"/>
              </w:rPr>
            </w:pPr>
            <w:r w:rsidRPr="00A02B31">
              <w:rPr>
                <w:rFonts w:cstheme="minorHAnsi"/>
                <w:color w:val="000000"/>
              </w:rPr>
              <w:t>31-Mar-21</w:t>
            </w:r>
          </w:p>
        </w:tc>
      </w:tr>
      <w:tr w:rsidR="00FA18EA" w:rsidRPr="007600A7" w14:paraId="44E6420F" w14:textId="77777777" w:rsidTr="00FA18EA">
        <w:trPr>
          <w:trHeight w:val="233"/>
        </w:trPr>
        <w:tc>
          <w:tcPr>
            <w:tcW w:w="5275" w:type="dxa"/>
            <w:tcBorders>
              <w:top w:val="nil"/>
              <w:left w:val="nil"/>
              <w:bottom w:val="single" w:sz="6" w:space="0" w:color="auto"/>
              <w:right w:val="nil"/>
            </w:tcBorders>
            <w:shd w:val="solid" w:color="FFFFFF" w:fill="auto"/>
          </w:tcPr>
          <w:p w14:paraId="17525D60" w14:textId="77777777" w:rsidR="00FA18EA" w:rsidRPr="008B2DDA" w:rsidRDefault="00FA18EA" w:rsidP="00FA18EA">
            <w:pPr>
              <w:autoSpaceDE w:val="0"/>
              <w:autoSpaceDN w:val="0"/>
              <w:adjustRightInd w:val="0"/>
              <w:jc w:val="right"/>
              <w:rPr>
                <w:rFonts w:cstheme="minorHAnsi"/>
                <w:color w:val="000000"/>
                <w:sz w:val="18"/>
                <w:szCs w:val="18"/>
              </w:rPr>
            </w:pPr>
          </w:p>
        </w:tc>
        <w:tc>
          <w:tcPr>
            <w:tcW w:w="238" w:type="dxa"/>
            <w:tcBorders>
              <w:top w:val="nil"/>
              <w:left w:val="nil"/>
              <w:bottom w:val="single" w:sz="6" w:space="0" w:color="auto"/>
              <w:right w:val="nil"/>
            </w:tcBorders>
            <w:shd w:val="solid" w:color="FFFFFF" w:fill="auto"/>
          </w:tcPr>
          <w:p w14:paraId="4DD4DC5A" w14:textId="77777777" w:rsidR="00FA18EA" w:rsidRPr="000C5053" w:rsidRDefault="00FA18EA" w:rsidP="00FA18EA">
            <w:pPr>
              <w:autoSpaceDE w:val="0"/>
              <w:autoSpaceDN w:val="0"/>
              <w:adjustRightInd w:val="0"/>
              <w:jc w:val="right"/>
              <w:rPr>
                <w:rFonts w:cstheme="minorHAnsi"/>
                <w:color w:val="000000"/>
                <w:sz w:val="18"/>
                <w:szCs w:val="18"/>
              </w:rPr>
            </w:pPr>
          </w:p>
        </w:tc>
        <w:tc>
          <w:tcPr>
            <w:tcW w:w="754" w:type="dxa"/>
            <w:tcBorders>
              <w:top w:val="nil"/>
              <w:left w:val="nil"/>
              <w:bottom w:val="single" w:sz="6" w:space="0" w:color="auto"/>
              <w:right w:val="nil"/>
            </w:tcBorders>
            <w:shd w:val="solid" w:color="FFFFFF" w:fill="auto"/>
          </w:tcPr>
          <w:p w14:paraId="7A165689" w14:textId="77777777" w:rsidR="00FA18EA" w:rsidRPr="0091098D" w:rsidRDefault="00FA18EA" w:rsidP="00FA18EA">
            <w:pPr>
              <w:autoSpaceDE w:val="0"/>
              <w:autoSpaceDN w:val="0"/>
              <w:adjustRightInd w:val="0"/>
              <w:jc w:val="center"/>
              <w:rPr>
                <w:rFonts w:cstheme="minorHAnsi"/>
                <w:color w:val="000000"/>
                <w:sz w:val="18"/>
                <w:szCs w:val="18"/>
              </w:rPr>
            </w:pPr>
            <w:r w:rsidRPr="0091098D">
              <w:rPr>
                <w:rFonts w:cstheme="minorHAnsi"/>
                <w:color w:val="000000"/>
                <w:sz w:val="18"/>
                <w:szCs w:val="18"/>
              </w:rPr>
              <w:t>Notes</w:t>
            </w:r>
          </w:p>
        </w:tc>
        <w:tc>
          <w:tcPr>
            <w:tcW w:w="238" w:type="dxa"/>
            <w:tcBorders>
              <w:top w:val="nil"/>
              <w:left w:val="nil"/>
              <w:bottom w:val="single" w:sz="6" w:space="0" w:color="auto"/>
              <w:right w:val="nil"/>
            </w:tcBorders>
            <w:shd w:val="solid" w:color="FFFFFF" w:fill="auto"/>
          </w:tcPr>
          <w:p w14:paraId="4602D0E9" w14:textId="77777777" w:rsidR="00FA18EA" w:rsidRPr="0075195E" w:rsidRDefault="00FA18EA" w:rsidP="00FA18EA">
            <w:pPr>
              <w:autoSpaceDE w:val="0"/>
              <w:autoSpaceDN w:val="0"/>
              <w:adjustRightInd w:val="0"/>
              <w:jc w:val="right"/>
              <w:rPr>
                <w:rFonts w:cstheme="minorHAnsi"/>
                <w:color w:val="000000"/>
                <w:sz w:val="18"/>
                <w:szCs w:val="18"/>
              </w:rPr>
            </w:pPr>
          </w:p>
        </w:tc>
        <w:tc>
          <w:tcPr>
            <w:tcW w:w="1580" w:type="dxa"/>
            <w:tcBorders>
              <w:top w:val="nil"/>
              <w:left w:val="nil"/>
              <w:bottom w:val="single" w:sz="6" w:space="0" w:color="auto"/>
              <w:right w:val="nil"/>
            </w:tcBorders>
            <w:shd w:val="solid" w:color="FFFFFF" w:fill="auto"/>
          </w:tcPr>
          <w:p w14:paraId="75156052" w14:textId="77777777" w:rsidR="00FA18EA" w:rsidRPr="00536A35" w:rsidRDefault="00FA18EA" w:rsidP="00FA18EA">
            <w:pPr>
              <w:autoSpaceDE w:val="0"/>
              <w:autoSpaceDN w:val="0"/>
              <w:adjustRightInd w:val="0"/>
              <w:jc w:val="right"/>
              <w:rPr>
                <w:rFonts w:cstheme="minorHAnsi"/>
                <w:b/>
                <w:bCs/>
                <w:color w:val="000000"/>
                <w:sz w:val="18"/>
                <w:szCs w:val="18"/>
              </w:rPr>
            </w:pPr>
            <w:r w:rsidRPr="00536A35">
              <w:rPr>
                <w:rFonts w:cstheme="minorHAnsi"/>
                <w:b/>
                <w:bCs/>
                <w:color w:val="000000"/>
                <w:sz w:val="18"/>
                <w:szCs w:val="18"/>
              </w:rPr>
              <w:t>£'000</w:t>
            </w:r>
          </w:p>
        </w:tc>
        <w:tc>
          <w:tcPr>
            <w:tcW w:w="450" w:type="dxa"/>
            <w:tcBorders>
              <w:top w:val="nil"/>
              <w:left w:val="nil"/>
              <w:bottom w:val="single" w:sz="6" w:space="0" w:color="auto"/>
              <w:right w:val="nil"/>
            </w:tcBorders>
            <w:shd w:val="solid" w:color="FFFFFF" w:fill="auto"/>
          </w:tcPr>
          <w:p w14:paraId="501D1649" w14:textId="77777777" w:rsidR="00FA18EA" w:rsidRPr="00A02B31" w:rsidRDefault="00FA18EA" w:rsidP="00FA18EA">
            <w:pPr>
              <w:autoSpaceDE w:val="0"/>
              <w:autoSpaceDN w:val="0"/>
              <w:adjustRightInd w:val="0"/>
              <w:jc w:val="right"/>
              <w:rPr>
                <w:rFonts w:cstheme="minorHAnsi"/>
                <w:color w:val="000000"/>
                <w:sz w:val="18"/>
                <w:szCs w:val="18"/>
              </w:rPr>
            </w:pPr>
          </w:p>
        </w:tc>
        <w:tc>
          <w:tcPr>
            <w:tcW w:w="1276" w:type="dxa"/>
            <w:tcBorders>
              <w:top w:val="nil"/>
              <w:left w:val="nil"/>
              <w:bottom w:val="single" w:sz="6" w:space="0" w:color="auto"/>
              <w:right w:val="nil"/>
            </w:tcBorders>
            <w:shd w:val="solid" w:color="FFFFFF" w:fill="auto"/>
          </w:tcPr>
          <w:p w14:paraId="06ECC8F6" w14:textId="77777777" w:rsidR="00FA18EA" w:rsidRPr="00A02B31" w:rsidRDefault="00FA18EA" w:rsidP="00FA18EA">
            <w:pPr>
              <w:autoSpaceDE w:val="0"/>
              <w:autoSpaceDN w:val="0"/>
              <w:adjustRightInd w:val="0"/>
              <w:jc w:val="right"/>
              <w:rPr>
                <w:rFonts w:cstheme="minorHAnsi"/>
                <w:color w:val="000000"/>
                <w:sz w:val="18"/>
                <w:szCs w:val="18"/>
              </w:rPr>
            </w:pPr>
            <w:r w:rsidRPr="00A02B31">
              <w:rPr>
                <w:rFonts w:cstheme="minorHAnsi"/>
                <w:color w:val="000000"/>
                <w:sz w:val="18"/>
                <w:szCs w:val="18"/>
              </w:rPr>
              <w:t>£'000</w:t>
            </w:r>
          </w:p>
        </w:tc>
      </w:tr>
      <w:tr w:rsidR="00FA18EA" w:rsidRPr="007600A7" w14:paraId="10CE772A" w14:textId="77777777" w:rsidTr="00FA18EA">
        <w:trPr>
          <w:trHeight w:val="247"/>
        </w:trPr>
        <w:tc>
          <w:tcPr>
            <w:tcW w:w="5275" w:type="dxa"/>
            <w:tcBorders>
              <w:top w:val="nil"/>
              <w:left w:val="nil"/>
              <w:bottom w:val="nil"/>
              <w:right w:val="nil"/>
            </w:tcBorders>
            <w:shd w:val="solid" w:color="FFFFFF" w:fill="auto"/>
          </w:tcPr>
          <w:p w14:paraId="5081183C" w14:textId="77777777" w:rsidR="00FA18EA" w:rsidRPr="008B2DDA" w:rsidRDefault="00FA18EA" w:rsidP="00FA18EA">
            <w:pPr>
              <w:autoSpaceDE w:val="0"/>
              <w:autoSpaceDN w:val="0"/>
              <w:adjustRightInd w:val="0"/>
              <w:jc w:val="right"/>
              <w:rPr>
                <w:rFonts w:cstheme="minorHAnsi"/>
                <w:b/>
                <w:bCs/>
                <w:color w:val="000000"/>
                <w:sz w:val="18"/>
                <w:szCs w:val="18"/>
              </w:rPr>
            </w:pPr>
          </w:p>
        </w:tc>
        <w:tc>
          <w:tcPr>
            <w:tcW w:w="238" w:type="dxa"/>
            <w:tcBorders>
              <w:top w:val="nil"/>
              <w:left w:val="nil"/>
              <w:bottom w:val="nil"/>
              <w:right w:val="nil"/>
            </w:tcBorders>
            <w:shd w:val="solid" w:color="FFFFFF" w:fill="auto"/>
          </w:tcPr>
          <w:p w14:paraId="038B8706" w14:textId="77777777" w:rsidR="00FA18EA" w:rsidRPr="000C5053" w:rsidRDefault="00FA18EA" w:rsidP="00FA18EA">
            <w:pPr>
              <w:autoSpaceDE w:val="0"/>
              <w:autoSpaceDN w:val="0"/>
              <w:adjustRightInd w:val="0"/>
              <w:jc w:val="right"/>
              <w:rPr>
                <w:rFonts w:cstheme="minorHAnsi"/>
                <w:color w:val="000000"/>
                <w:sz w:val="18"/>
                <w:szCs w:val="18"/>
              </w:rPr>
            </w:pPr>
          </w:p>
        </w:tc>
        <w:tc>
          <w:tcPr>
            <w:tcW w:w="754" w:type="dxa"/>
            <w:tcBorders>
              <w:top w:val="nil"/>
              <w:left w:val="nil"/>
              <w:bottom w:val="nil"/>
              <w:right w:val="nil"/>
            </w:tcBorders>
            <w:shd w:val="solid" w:color="FFFFFF" w:fill="auto"/>
          </w:tcPr>
          <w:p w14:paraId="1AC7A0C3" w14:textId="77777777" w:rsidR="00FA18EA" w:rsidRPr="0091098D" w:rsidRDefault="00FA18EA" w:rsidP="00FA18EA">
            <w:pPr>
              <w:autoSpaceDE w:val="0"/>
              <w:autoSpaceDN w:val="0"/>
              <w:adjustRightInd w:val="0"/>
              <w:jc w:val="center"/>
              <w:rPr>
                <w:rFonts w:cstheme="minorHAnsi"/>
                <w:color w:val="000000"/>
                <w:sz w:val="18"/>
                <w:szCs w:val="18"/>
              </w:rPr>
            </w:pPr>
          </w:p>
        </w:tc>
        <w:tc>
          <w:tcPr>
            <w:tcW w:w="238" w:type="dxa"/>
            <w:tcBorders>
              <w:top w:val="nil"/>
              <w:left w:val="nil"/>
              <w:bottom w:val="nil"/>
              <w:right w:val="nil"/>
            </w:tcBorders>
            <w:shd w:val="solid" w:color="FFFFFF" w:fill="auto"/>
          </w:tcPr>
          <w:p w14:paraId="776F196D" w14:textId="77777777" w:rsidR="00FA18EA" w:rsidRPr="0075195E" w:rsidRDefault="00FA18EA" w:rsidP="00FA18EA">
            <w:pPr>
              <w:autoSpaceDE w:val="0"/>
              <w:autoSpaceDN w:val="0"/>
              <w:adjustRightInd w:val="0"/>
              <w:jc w:val="right"/>
              <w:rPr>
                <w:rFonts w:cstheme="minorHAnsi"/>
                <w:color w:val="000000"/>
                <w:sz w:val="18"/>
                <w:szCs w:val="18"/>
              </w:rPr>
            </w:pPr>
          </w:p>
        </w:tc>
        <w:tc>
          <w:tcPr>
            <w:tcW w:w="1580" w:type="dxa"/>
            <w:tcBorders>
              <w:top w:val="nil"/>
              <w:left w:val="nil"/>
              <w:bottom w:val="nil"/>
              <w:right w:val="nil"/>
            </w:tcBorders>
            <w:shd w:val="solid" w:color="FFFFFF" w:fill="auto"/>
          </w:tcPr>
          <w:p w14:paraId="7C2F5A76" w14:textId="77777777" w:rsidR="00FA18EA" w:rsidRPr="00536A35" w:rsidRDefault="00FA18EA" w:rsidP="00FA18EA">
            <w:pPr>
              <w:autoSpaceDE w:val="0"/>
              <w:autoSpaceDN w:val="0"/>
              <w:adjustRightInd w:val="0"/>
              <w:jc w:val="right"/>
              <w:rPr>
                <w:rFonts w:cstheme="minorHAnsi"/>
                <w:b/>
                <w:bCs/>
                <w:color w:val="000000"/>
                <w:sz w:val="18"/>
                <w:szCs w:val="18"/>
              </w:rPr>
            </w:pPr>
          </w:p>
        </w:tc>
        <w:tc>
          <w:tcPr>
            <w:tcW w:w="450" w:type="dxa"/>
            <w:tcBorders>
              <w:top w:val="nil"/>
              <w:left w:val="nil"/>
              <w:bottom w:val="nil"/>
              <w:right w:val="nil"/>
            </w:tcBorders>
            <w:shd w:val="solid" w:color="FFFFFF" w:fill="auto"/>
          </w:tcPr>
          <w:p w14:paraId="3FAE686A" w14:textId="77777777" w:rsidR="00FA18EA" w:rsidRPr="00A02B31" w:rsidRDefault="00FA18EA" w:rsidP="00FA18EA">
            <w:pPr>
              <w:autoSpaceDE w:val="0"/>
              <w:autoSpaceDN w:val="0"/>
              <w:adjustRightInd w:val="0"/>
              <w:jc w:val="right"/>
              <w:rPr>
                <w:rFonts w:cstheme="minorHAnsi"/>
                <w:color w:val="000000"/>
                <w:sz w:val="18"/>
                <w:szCs w:val="18"/>
              </w:rPr>
            </w:pPr>
          </w:p>
        </w:tc>
        <w:tc>
          <w:tcPr>
            <w:tcW w:w="1276" w:type="dxa"/>
            <w:tcBorders>
              <w:top w:val="nil"/>
              <w:left w:val="nil"/>
              <w:bottom w:val="nil"/>
              <w:right w:val="nil"/>
            </w:tcBorders>
            <w:shd w:val="solid" w:color="FFFFFF" w:fill="auto"/>
          </w:tcPr>
          <w:p w14:paraId="20E8749D" w14:textId="77777777" w:rsidR="00FA18EA" w:rsidRPr="00A02B31" w:rsidRDefault="00FA18EA" w:rsidP="00FA18EA">
            <w:pPr>
              <w:autoSpaceDE w:val="0"/>
              <w:autoSpaceDN w:val="0"/>
              <w:adjustRightInd w:val="0"/>
              <w:jc w:val="right"/>
              <w:rPr>
                <w:rFonts w:cstheme="minorHAnsi"/>
                <w:color w:val="000000"/>
                <w:sz w:val="18"/>
                <w:szCs w:val="18"/>
              </w:rPr>
            </w:pPr>
          </w:p>
        </w:tc>
      </w:tr>
      <w:tr w:rsidR="00FA18EA" w:rsidRPr="007600A7" w14:paraId="2781104C" w14:textId="77777777" w:rsidTr="00FA18EA">
        <w:trPr>
          <w:trHeight w:val="233"/>
        </w:trPr>
        <w:tc>
          <w:tcPr>
            <w:tcW w:w="5275" w:type="dxa"/>
            <w:tcBorders>
              <w:top w:val="nil"/>
              <w:left w:val="nil"/>
              <w:bottom w:val="nil"/>
              <w:right w:val="nil"/>
            </w:tcBorders>
            <w:shd w:val="solid" w:color="FFFFFF" w:fill="auto"/>
          </w:tcPr>
          <w:p w14:paraId="5BBE4EB6" w14:textId="77777777" w:rsidR="00FA18EA" w:rsidRPr="008B2DDA" w:rsidRDefault="00FA18EA" w:rsidP="00FA18EA">
            <w:pPr>
              <w:autoSpaceDE w:val="0"/>
              <w:autoSpaceDN w:val="0"/>
              <w:adjustRightInd w:val="0"/>
              <w:jc w:val="right"/>
              <w:rPr>
                <w:rFonts w:cstheme="minorHAnsi"/>
                <w:color w:val="000000"/>
                <w:sz w:val="18"/>
                <w:szCs w:val="18"/>
              </w:rPr>
            </w:pPr>
          </w:p>
        </w:tc>
        <w:tc>
          <w:tcPr>
            <w:tcW w:w="238" w:type="dxa"/>
            <w:tcBorders>
              <w:top w:val="nil"/>
              <w:left w:val="nil"/>
              <w:bottom w:val="nil"/>
              <w:right w:val="nil"/>
            </w:tcBorders>
            <w:shd w:val="solid" w:color="FFFFFF" w:fill="auto"/>
          </w:tcPr>
          <w:p w14:paraId="2EDE8EC2" w14:textId="77777777" w:rsidR="00FA18EA" w:rsidRPr="000C5053" w:rsidRDefault="00FA18EA" w:rsidP="00FA18EA">
            <w:pPr>
              <w:autoSpaceDE w:val="0"/>
              <w:autoSpaceDN w:val="0"/>
              <w:adjustRightInd w:val="0"/>
              <w:jc w:val="right"/>
              <w:rPr>
                <w:rFonts w:cstheme="minorHAnsi"/>
                <w:color w:val="000000"/>
                <w:sz w:val="18"/>
                <w:szCs w:val="18"/>
              </w:rPr>
            </w:pPr>
          </w:p>
        </w:tc>
        <w:tc>
          <w:tcPr>
            <w:tcW w:w="754" w:type="dxa"/>
            <w:tcBorders>
              <w:top w:val="nil"/>
              <w:left w:val="nil"/>
              <w:bottom w:val="nil"/>
              <w:right w:val="nil"/>
            </w:tcBorders>
            <w:shd w:val="solid" w:color="FFFFFF" w:fill="auto"/>
          </w:tcPr>
          <w:p w14:paraId="2B177EDF" w14:textId="77777777" w:rsidR="00FA18EA" w:rsidRPr="0091098D" w:rsidRDefault="00FA18EA" w:rsidP="00FA18EA">
            <w:pPr>
              <w:autoSpaceDE w:val="0"/>
              <w:autoSpaceDN w:val="0"/>
              <w:adjustRightInd w:val="0"/>
              <w:jc w:val="center"/>
              <w:rPr>
                <w:rFonts w:cstheme="minorHAnsi"/>
                <w:color w:val="000000"/>
                <w:sz w:val="18"/>
                <w:szCs w:val="18"/>
              </w:rPr>
            </w:pPr>
          </w:p>
        </w:tc>
        <w:tc>
          <w:tcPr>
            <w:tcW w:w="238" w:type="dxa"/>
            <w:tcBorders>
              <w:top w:val="nil"/>
              <w:left w:val="nil"/>
              <w:bottom w:val="nil"/>
              <w:right w:val="nil"/>
            </w:tcBorders>
            <w:shd w:val="solid" w:color="FFFFFF" w:fill="auto"/>
          </w:tcPr>
          <w:p w14:paraId="3F6AF50C" w14:textId="77777777" w:rsidR="00FA18EA" w:rsidRPr="0075195E" w:rsidRDefault="00FA18EA" w:rsidP="00FA18EA">
            <w:pPr>
              <w:autoSpaceDE w:val="0"/>
              <w:autoSpaceDN w:val="0"/>
              <w:adjustRightInd w:val="0"/>
              <w:jc w:val="right"/>
              <w:rPr>
                <w:rFonts w:cstheme="minorHAnsi"/>
                <w:color w:val="000000"/>
                <w:sz w:val="18"/>
                <w:szCs w:val="18"/>
              </w:rPr>
            </w:pPr>
          </w:p>
        </w:tc>
        <w:tc>
          <w:tcPr>
            <w:tcW w:w="1580" w:type="dxa"/>
            <w:tcBorders>
              <w:top w:val="nil"/>
              <w:left w:val="nil"/>
              <w:bottom w:val="nil"/>
              <w:right w:val="nil"/>
            </w:tcBorders>
            <w:shd w:val="solid" w:color="FFFFFF" w:fill="auto"/>
          </w:tcPr>
          <w:p w14:paraId="0547A481" w14:textId="77777777" w:rsidR="00FA18EA" w:rsidRPr="00536A35" w:rsidRDefault="00FA18EA" w:rsidP="00FA18EA">
            <w:pPr>
              <w:autoSpaceDE w:val="0"/>
              <w:autoSpaceDN w:val="0"/>
              <w:adjustRightInd w:val="0"/>
              <w:jc w:val="right"/>
              <w:rPr>
                <w:rFonts w:cstheme="minorHAnsi"/>
                <w:b/>
                <w:bCs/>
                <w:color w:val="000000"/>
                <w:sz w:val="18"/>
                <w:szCs w:val="18"/>
              </w:rPr>
            </w:pPr>
          </w:p>
        </w:tc>
        <w:tc>
          <w:tcPr>
            <w:tcW w:w="450" w:type="dxa"/>
            <w:tcBorders>
              <w:top w:val="nil"/>
              <w:left w:val="nil"/>
              <w:bottom w:val="nil"/>
              <w:right w:val="nil"/>
            </w:tcBorders>
            <w:shd w:val="solid" w:color="FFFFFF" w:fill="auto"/>
          </w:tcPr>
          <w:p w14:paraId="287EA5DB" w14:textId="77777777" w:rsidR="00FA18EA" w:rsidRPr="00A02B31" w:rsidRDefault="00FA18EA" w:rsidP="00FA18EA">
            <w:pPr>
              <w:autoSpaceDE w:val="0"/>
              <w:autoSpaceDN w:val="0"/>
              <w:adjustRightInd w:val="0"/>
              <w:jc w:val="right"/>
              <w:rPr>
                <w:rFonts w:cstheme="minorHAnsi"/>
                <w:color w:val="000000"/>
                <w:sz w:val="18"/>
                <w:szCs w:val="18"/>
              </w:rPr>
            </w:pPr>
          </w:p>
        </w:tc>
        <w:tc>
          <w:tcPr>
            <w:tcW w:w="1276" w:type="dxa"/>
            <w:tcBorders>
              <w:top w:val="nil"/>
              <w:left w:val="nil"/>
              <w:bottom w:val="nil"/>
              <w:right w:val="nil"/>
            </w:tcBorders>
            <w:shd w:val="solid" w:color="FFFFFF" w:fill="auto"/>
          </w:tcPr>
          <w:p w14:paraId="1DAD96DB" w14:textId="77777777" w:rsidR="00FA18EA" w:rsidRPr="00A02B31" w:rsidRDefault="00FA18EA" w:rsidP="00FA18EA">
            <w:pPr>
              <w:autoSpaceDE w:val="0"/>
              <w:autoSpaceDN w:val="0"/>
              <w:adjustRightInd w:val="0"/>
              <w:jc w:val="right"/>
              <w:rPr>
                <w:rFonts w:cstheme="minorHAnsi"/>
                <w:color w:val="000000"/>
                <w:sz w:val="18"/>
                <w:szCs w:val="18"/>
              </w:rPr>
            </w:pPr>
          </w:p>
        </w:tc>
      </w:tr>
      <w:tr w:rsidR="00FA18EA" w:rsidRPr="007600A7" w14:paraId="1E19274D" w14:textId="77777777" w:rsidTr="00FA18EA">
        <w:trPr>
          <w:trHeight w:val="247"/>
        </w:trPr>
        <w:tc>
          <w:tcPr>
            <w:tcW w:w="5275" w:type="dxa"/>
            <w:tcBorders>
              <w:top w:val="nil"/>
              <w:left w:val="nil"/>
              <w:bottom w:val="nil"/>
              <w:right w:val="nil"/>
            </w:tcBorders>
            <w:shd w:val="solid" w:color="FFFFFF" w:fill="auto"/>
          </w:tcPr>
          <w:p w14:paraId="1D5B0B0E" w14:textId="77777777" w:rsidR="00FA18EA" w:rsidRPr="008B2DDA" w:rsidRDefault="00FA18EA" w:rsidP="00FA18EA">
            <w:pPr>
              <w:autoSpaceDE w:val="0"/>
              <w:autoSpaceDN w:val="0"/>
              <w:adjustRightInd w:val="0"/>
              <w:jc w:val="right"/>
              <w:rPr>
                <w:rFonts w:cstheme="minorHAnsi"/>
                <w:color w:val="000000"/>
                <w:sz w:val="18"/>
                <w:szCs w:val="18"/>
              </w:rPr>
            </w:pPr>
          </w:p>
        </w:tc>
        <w:tc>
          <w:tcPr>
            <w:tcW w:w="238" w:type="dxa"/>
            <w:tcBorders>
              <w:top w:val="nil"/>
              <w:left w:val="nil"/>
              <w:bottom w:val="nil"/>
              <w:right w:val="nil"/>
            </w:tcBorders>
            <w:shd w:val="solid" w:color="FFFFFF" w:fill="auto"/>
          </w:tcPr>
          <w:p w14:paraId="48C3CA96" w14:textId="77777777" w:rsidR="00FA18EA" w:rsidRPr="000C5053" w:rsidRDefault="00FA18EA" w:rsidP="00FA18EA">
            <w:pPr>
              <w:autoSpaceDE w:val="0"/>
              <w:autoSpaceDN w:val="0"/>
              <w:adjustRightInd w:val="0"/>
              <w:jc w:val="right"/>
              <w:rPr>
                <w:rFonts w:cstheme="minorHAnsi"/>
                <w:color w:val="000000"/>
                <w:sz w:val="18"/>
                <w:szCs w:val="18"/>
              </w:rPr>
            </w:pPr>
          </w:p>
        </w:tc>
        <w:tc>
          <w:tcPr>
            <w:tcW w:w="754" w:type="dxa"/>
            <w:tcBorders>
              <w:top w:val="nil"/>
              <w:left w:val="nil"/>
              <w:bottom w:val="nil"/>
              <w:right w:val="nil"/>
            </w:tcBorders>
            <w:shd w:val="solid" w:color="FFFFFF" w:fill="auto"/>
          </w:tcPr>
          <w:p w14:paraId="1A3FC6AB" w14:textId="77777777" w:rsidR="00FA18EA" w:rsidRPr="0091098D" w:rsidRDefault="00FA18EA" w:rsidP="00FA18EA">
            <w:pPr>
              <w:autoSpaceDE w:val="0"/>
              <w:autoSpaceDN w:val="0"/>
              <w:adjustRightInd w:val="0"/>
              <w:jc w:val="center"/>
              <w:rPr>
                <w:rFonts w:cstheme="minorHAnsi"/>
                <w:color w:val="000000"/>
                <w:sz w:val="18"/>
                <w:szCs w:val="18"/>
              </w:rPr>
            </w:pPr>
          </w:p>
        </w:tc>
        <w:tc>
          <w:tcPr>
            <w:tcW w:w="238" w:type="dxa"/>
            <w:tcBorders>
              <w:top w:val="nil"/>
              <w:left w:val="nil"/>
              <w:bottom w:val="nil"/>
              <w:right w:val="nil"/>
            </w:tcBorders>
            <w:shd w:val="solid" w:color="FFFFFF" w:fill="auto"/>
          </w:tcPr>
          <w:p w14:paraId="1BB5505C" w14:textId="77777777" w:rsidR="00FA18EA" w:rsidRPr="0075195E" w:rsidRDefault="00FA18EA" w:rsidP="00FA18EA">
            <w:pPr>
              <w:autoSpaceDE w:val="0"/>
              <w:autoSpaceDN w:val="0"/>
              <w:adjustRightInd w:val="0"/>
              <w:jc w:val="right"/>
              <w:rPr>
                <w:rFonts w:cstheme="minorHAnsi"/>
                <w:color w:val="000000"/>
                <w:sz w:val="18"/>
                <w:szCs w:val="18"/>
              </w:rPr>
            </w:pPr>
          </w:p>
        </w:tc>
        <w:tc>
          <w:tcPr>
            <w:tcW w:w="1580" w:type="dxa"/>
            <w:tcBorders>
              <w:top w:val="nil"/>
              <w:left w:val="nil"/>
              <w:bottom w:val="nil"/>
              <w:right w:val="nil"/>
            </w:tcBorders>
            <w:shd w:val="solid" w:color="FFFFFF" w:fill="auto"/>
          </w:tcPr>
          <w:p w14:paraId="15D8A2C8" w14:textId="77777777" w:rsidR="00FA18EA" w:rsidRPr="00536A35" w:rsidRDefault="00FA18EA" w:rsidP="00FA18EA">
            <w:pPr>
              <w:autoSpaceDE w:val="0"/>
              <w:autoSpaceDN w:val="0"/>
              <w:adjustRightInd w:val="0"/>
              <w:jc w:val="right"/>
              <w:rPr>
                <w:rFonts w:cstheme="minorHAnsi"/>
                <w:b/>
                <w:bCs/>
                <w:color w:val="000000"/>
                <w:sz w:val="18"/>
                <w:szCs w:val="18"/>
              </w:rPr>
            </w:pPr>
          </w:p>
        </w:tc>
        <w:tc>
          <w:tcPr>
            <w:tcW w:w="450" w:type="dxa"/>
            <w:tcBorders>
              <w:top w:val="nil"/>
              <w:left w:val="nil"/>
              <w:bottom w:val="nil"/>
              <w:right w:val="nil"/>
            </w:tcBorders>
            <w:shd w:val="solid" w:color="FFFFFF" w:fill="auto"/>
          </w:tcPr>
          <w:p w14:paraId="32E97F77" w14:textId="77777777" w:rsidR="00FA18EA" w:rsidRPr="00A02B31" w:rsidRDefault="00FA18EA" w:rsidP="00FA18EA">
            <w:pPr>
              <w:autoSpaceDE w:val="0"/>
              <w:autoSpaceDN w:val="0"/>
              <w:adjustRightInd w:val="0"/>
              <w:jc w:val="right"/>
              <w:rPr>
                <w:rFonts w:cstheme="minorHAnsi"/>
                <w:color w:val="000000"/>
                <w:sz w:val="18"/>
                <w:szCs w:val="18"/>
              </w:rPr>
            </w:pPr>
          </w:p>
        </w:tc>
        <w:tc>
          <w:tcPr>
            <w:tcW w:w="1276" w:type="dxa"/>
            <w:tcBorders>
              <w:top w:val="nil"/>
              <w:left w:val="nil"/>
              <w:bottom w:val="nil"/>
              <w:right w:val="nil"/>
            </w:tcBorders>
            <w:shd w:val="solid" w:color="FFFFFF" w:fill="auto"/>
          </w:tcPr>
          <w:p w14:paraId="42CBC389" w14:textId="77777777" w:rsidR="00FA18EA" w:rsidRPr="00A02B31" w:rsidRDefault="00FA18EA" w:rsidP="00FA18EA">
            <w:pPr>
              <w:autoSpaceDE w:val="0"/>
              <w:autoSpaceDN w:val="0"/>
              <w:adjustRightInd w:val="0"/>
              <w:jc w:val="right"/>
              <w:rPr>
                <w:rFonts w:cstheme="minorHAnsi"/>
                <w:color w:val="000000"/>
                <w:sz w:val="18"/>
                <w:szCs w:val="18"/>
              </w:rPr>
            </w:pPr>
          </w:p>
        </w:tc>
      </w:tr>
      <w:tr w:rsidR="00FA18EA" w:rsidRPr="007600A7" w14:paraId="3A13BA3D" w14:textId="77777777" w:rsidTr="00FA18EA">
        <w:trPr>
          <w:trHeight w:val="247"/>
        </w:trPr>
        <w:tc>
          <w:tcPr>
            <w:tcW w:w="5275" w:type="dxa"/>
            <w:tcBorders>
              <w:top w:val="nil"/>
              <w:left w:val="nil"/>
              <w:bottom w:val="single" w:sz="6" w:space="0" w:color="auto"/>
              <w:right w:val="nil"/>
            </w:tcBorders>
            <w:shd w:val="solid" w:color="FFFFFF" w:fill="auto"/>
          </w:tcPr>
          <w:p w14:paraId="46058838" w14:textId="77777777" w:rsidR="00FA18EA" w:rsidRPr="008B2DDA" w:rsidRDefault="00FA18EA" w:rsidP="00FA18EA">
            <w:pPr>
              <w:autoSpaceDE w:val="0"/>
              <w:autoSpaceDN w:val="0"/>
              <w:adjustRightInd w:val="0"/>
              <w:rPr>
                <w:rFonts w:cstheme="minorHAnsi"/>
                <w:b/>
                <w:bCs/>
                <w:color w:val="000000"/>
                <w:sz w:val="18"/>
                <w:szCs w:val="18"/>
              </w:rPr>
            </w:pPr>
            <w:r w:rsidRPr="008B2DDA">
              <w:rPr>
                <w:rFonts w:cstheme="minorHAnsi"/>
                <w:b/>
                <w:bCs/>
                <w:color w:val="000000"/>
                <w:sz w:val="18"/>
                <w:szCs w:val="18"/>
              </w:rPr>
              <w:t>Gains on investments</w:t>
            </w:r>
          </w:p>
        </w:tc>
        <w:tc>
          <w:tcPr>
            <w:tcW w:w="238" w:type="dxa"/>
            <w:tcBorders>
              <w:top w:val="nil"/>
              <w:left w:val="nil"/>
              <w:bottom w:val="single" w:sz="6" w:space="0" w:color="auto"/>
              <w:right w:val="nil"/>
            </w:tcBorders>
            <w:shd w:val="solid" w:color="FFFFFF" w:fill="auto"/>
          </w:tcPr>
          <w:p w14:paraId="5D479E9D" w14:textId="77777777" w:rsidR="00FA18EA" w:rsidRPr="000C5053" w:rsidRDefault="00FA18EA" w:rsidP="00FA18EA">
            <w:pPr>
              <w:autoSpaceDE w:val="0"/>
              <w:autoSpaceDN w:val="0"/>
              <w:adjustRightInd w:val="0"/>
              <w:jc w:val="right"/>
              <w:rPr>
                <w:rFonts w:cstheme="minorHAnsi"/>
                <w:color w:val="000000"/>
                <w:sz w:val="18"/>
                <w:szCs w:val="18"/>
              </w:rPr>
            </w:pPr>
          </w:p>
        </w:tc>
        <w:tc>
          <w:tcPr>
            <w:tcW w:w="754" w:type="dxa"/>
            <w:tcBorders>
              <w:top w:val="nil"/>
              <w:left w:val="nil"/>
              <w:bottom w:val="single" w:sz="6" w:space="0" w:color="auto"/>
              <w:right w:val="nil"/>
            </w:tcBorders>
            <w:shd w:val="solid" w:color="FFFFFF" w:fill="auto"/>
          </w:tcPr>
          <w:p w14:paraId="1F9CD7CF" w14:textId="77777777" w:rsidR="00FA18EA" w:rsidRPr="0091098D" w:rsidRDefault="00FA18EA" w:rsidP="00FA18EA">
            <w:pPr>
              <w:autoSpaceDE w:val="0"/>
              <w:autoSpaceDN w:val="0"/>
              <w:adjustRightInd w:val="0"/>
              <w:jc w:val="center"/>
              <w:rPr>
                <w:rFonts w:cstheme="minorHAnsi"/>
                <w:color w:val="000000"/>
                <w:sz w:val="18"/>
                <w:szCs w:val="18"/>
              </w:rPr>
            </w:pPr>
            <w:r w:rsidRPr="0091098D">
              <w:rPr>
                <w:rFonts w:cstheme="minorHAnsi"/>
                <w:color w:val="000000"/>
                <w:sz w:val="18"/>
                <w:szCs w:val="18"/>
              </w:rPr>
              <w:t>8</w:t>
            </w:r>
          </w:p>
        </w:tc>
        <w:tc>
          <w:tcPr>
            <w:tcW w:w="238" w:type="dxa"/>
            <w:tcBorders>
              <w:top w:val="nil"/>
              <w:left w:val="nil"/>
              <w:bottom w:val="single" w:sz="6" w:space="0" w:color="auto"/>
              <w:right w:val="nil"/>
            </w:tcBorders>
            <w:shd w:val="solid" w:color="FFFFFF" w:fill="auto"/>
          </w:tcPr>
          <w:p w14:paraId="5F0FF3D1" w14:textId="77777777" w:rsidR="00FA18EA" w:rsidRPr="0075195E" w:rsidRDefault="00FA18EA" w:rsidP="00FA18EA">
            <w:pPr>
              <w:autoSpaceDE w:val="0"/>
              <w:autoSpaceDN w:val="0"/>
              <w:adjustRightInd w:val="0"/>
              <w:jc w:val="right"/>
              <w:rPr>
                <w:rFonts w:cstheme="minorHAnsi"/>
                <w:color w:val="000000"/>
                <w:sz w:val="18"/>
                <w:szCs w:val="18"/>
              </w:rPr>
            </w:pPr>
          </w:p>
        </w:tc>
        <w:tc>
          <w:tcPr>
            <w:tcW w:w="1580" w:type="dxa"/>
            <w:tcBorders>
              <w:top w:val="nil"/>
              <w:left w:val="nil"/>
              <w:bottom w:val="single" w:sz="6" w:space="0" w:color="auto"/>
              <w:right w:val="nil"/>
            </w:tcBorders>
            <w:shd w:val="solid" w:color="FFFFFF" w:fill="auto"/>
          </w:tcPr>
          <w:p w14:paraId="02098E0B" w14:textId="77777777" w:rsidR="00FA18EA" w:rsidRPr="00536A35" w:rsidRDefault="00FA18EA" w:rsidP="00FA18EA">
            <w:pPr>
              <w:autoSpaceDE w:val="0"/>
              <w:autoSpaceDN w:val="0"/>
              <w:adjustRightInd w:val="0"/>
              <w:jc w:val="right"/>
              <w:rPr>
                <w:rFonts w:cstheme="minorHAnsi"/>
                <w:b/>
                <w:bCs/>
                <w:color w:val="000000"/>
                <w:sz w:val="18"/>
                <w:szCs w:val="18"/>
              </w:rPr>
            </w:pPr>
            <w:r w:rsidRPr="00536A35">
              <w:rPr>
                <w:rFonts w:cstheme="minorHAnsi"/>
                <w:b/>
                <w:bCs/>
                <w:color w:val="000000"/>
                <w:sz w:val="18"/>
                <w:szCs w:val="18"/>
              </w:rPr>
              <w:t>20,007</w:t>
            </w:r>
          </w:p>
        </w:tc>
        <w:tc>
          <w:tcPr>
            <w:tcW w:w="450" w:type="dxa"/>
            <w:tcBorders>
              <w:top w:val="nil"/>
              <w:left w:val="nil"/>
              <w:bottom w:val="single" w:sz="6" w:space="0" w:color="auto"/>
              <w:right w:val="nil"/>
            </w:tcBorders>
            <w:shd w:val="solid" w:color="FFFFFF" w:fill="auto"/>
          </w:tcPr>
          <w:p w14:paraId="439AEBCD" w14:textId="77777777" w:rsidR="00FA18EA" w:rsidRPr="00A02B31" w:rsidRDefault="00FA18EA" w:rsidP="00FA18EA">
            <w:pPr>
              <w:autoSpaceDE w:val="0"/>
              <w:autoSpaceDN w:val="0"/>
              <w:adjustRightInd w:val="0"/>
              <w:jc w:val="right"/>
              <w:rPr>
                <w:rFonts w:cstheme="minorHAnsi"/>
                <w:color w:val="000000"/>
                <w:sz w:val="18"/>
                <w:szCs w:val="18"/>
              </w:rPr>
            </w:pPr>
          </w:p>
        </w:tc>
        <w:tc>
          <w:tcPr>
            <w:tcW w:w="1276" w:type="dxa"/>
            <w:tcBorders>
              <w:top w:val="nil"/>
              <w:left w:val="nil"/>
              <w:bottom w:val="single" w:sz="6" w:space="0" w:color="auto"/>
              <w:right w:val="nil"/>
            </w:tcBorders>
            <w:shd w:val="solid" w:color="FFFFFF" w:fill="auto"/>
          </w:tcPr>
          <w:p w14:paraId="2954ECF8" w14:textId="77777777" w:rsidR="00FA18EA" w:rsidRPr="00A02B31" w:rsidRDefault="00FA18EA" w:rsidP="00FA18EA">
            <w:pPr>
              <w:autoSpaceDE w:val="0"/>
              <w:autoSpaceDN w:val="0"/>
              <w:adjustRightInd w:val="0"/>
              <w:ind w:left="94" w:hanging="94"/>
              <w:jc w:val="right"/>
              <w:rPr>
                <w:rFonts w:cstheme="minorHAnsi"/>
                <w:color w:val="000000"/>
                <w:sz w:val="18"/>
                <w:szCs w:val="18"/>
              </w:rPr>
            </w:pPr>
            <w:r w:rsidRPr="00A02B31">
              <w:rPr>
                <w:rFonts w:cstheme="minorHAnsi"/>
                <w:color w:val="000000"/>
                <w:sz w:val="18"/>
                <w:szCs w:val="18"/>
              </w:rPr>
              <w:t xml:space="preserve">          19,837 </w:t>
            </w:r>
          </w:p>
        </w:tc>
      </w:tr>
      <w:tr w:rsidR="00FA18EA" w:rsidRPr="007600A7" w14:paraId="0DEAE91A" w14:textId="77777777" w:rsidTr="00FA18EA">
        <w:trPr>
          <w:trHeight w:val="262"/>
        </w:trPr>
        <w:tc>
          <w:tcPr>
            <w:tcW w:w="5275" w:type="dxa"/>
            <w:tcBorders>
              <w:top w:val="nil"/>
              <w:left w:val="nil"/>
              <w:bottom w:val="nil"/>
              <w:right w:val="nil"/>
            </w:tcBorders>
            <w:shd w:val="solid" w:color="FFFFFF" w:fill="auto"/>
          </w:tcPr>
          <w:p w14:paraId="21DC8F54" w14:textId="77777777" w:rsidR="00FA18EA" w:rsidRPr="008B2DDA" w:rsidRDefault="00FA18EA" w:rsidP="00FA18EA">
            <w:pPr>
              <w:autoSpaceDE w:val="0"/>
              <w:autoSpaceDN w:val="0"/>
              <w:adjustRightInd w:val="0"/>
              <w:jc w:val="right"/>
              <w:rPr>
                <w:rFonts w:cstheme="minorHAnsi"/>
                <w:color w:val="000000"/>
                <w:sz w:val="18"/>
                <w:szCs w:val="18"/>
              </w:rPr>
            </w:pPr>
          </w:p>
        </w:tc>
        <w:tc>
          <w:tcPr>
            <w:tcW w:w="238" w:type="dxa"/>
            <w:tcBorders>
              <w:top w:val="nil"/>
              <w:left w:val="nil"/>
              <w:bottom w:val="nil"/>
              <w:right w:val="nil"/>
            </w:tcBorders>
            <w:shd w:val="solid" w:color="FFFFFF" w:fill="auto"/>
          </w:tcPr>
          <w:p w14:paraId="257342D6" w14:textId="77777777" w:rsidR="00FA18EA" w:rsidRPr="000C5053" w:rsidRDefault="00FA18EA" w:rsidP="00FA18EA">
            <w:pPr>
              <w:autoSpaceDE w:val="0"/>
              <w:autoSpaceDN w:val="0"/>
              <w:adjustRightInd w:val="0"/>
              <w:jc w:val="right"/>
              <w:rPr>
                <w:rFonts w:cstheme="minorHAnsi"/>
                <w:color w:val="000000"/>
                <w:sz w:val="18"/>
                <w:szCs w:val="18"/>
              </w:rPr>
            </w:pPr>
          </w:p>
        </w:tc>
        <w:tc>
          <w:tcPr>
            <w:tcW w:w="754" w:type="dxa"/>
            <w:tcBorders>
              <w:top w:val="nil"/>
              <w:left w:val="nil"/>
              <w:bottom w:val="nil"/>
              <w:right w:val="nil"/>
            </w:tcBorders>
            <w:shd w:val="solid" w:color="FFFFFF" w:fill="auto"/>
          </w:tcPr>
          <w:p w14:paraId="51D7E3DB" w14:textId="77777777" w:rsidR="00FA18EA" w:rsidRPr="0091098D" w:rsidRDefault="00FA18EA" w:rsidP="00FA18EA">
            <w:pPr>
              <w:autoSpaceDE w:val="0"/>
              <w:autoSpaceDN w:val="0"/>
              <w:adjustRightInd w:val="0"/>
              <w:jc w:val="center"/>
              <w:rPr>
                <w:rFonts w:cstheme="minorHAnsi"/>
                <w:color w:val="000000"/>
                <w:sz w:val="18"/>
                <w:szCs w:val="18"/>
              </w:rPr>
            </w:pPr>
          </w:p>
        </w:tc>
        <w:tc>
          <w:tcPr>
            <w:tcW w:w="238" w:type="dxa"/>
            <w:tcBorders>
              <w:top w:val="nil"/>
              <w:left w:val="nil"/>
              <w:bottom w:val="nil"/>
              <w:right w:val="nil"/>
            </w:tcBorders>
            <w:shd w:val="solid" w:color="FFFFFF" w:fill="auto"/>
          </w:tcPr>
          <w:p w14:paraId="624D39C6" w14:textId="77777777" w:rsidR="00FA18EA" w:rsidRPr="0075195E" w:rsidRDefault="00FA18EA" w:rsidP="00FA18EA">
            <w:pPr>
              <w:autoSpaceDE w:val="0"/>
              <w:autoSpaceDN w:val="0"/>
              <w:adjustRightInd w:val="0"/>
              <w:jc w:val="right"/>
              <w:rPr>
                <w:rFonts w:cstheme="minorHAnsi"/>
                <w:color w:val="000000"/>
                <w:sz w:val="18"/>
                <w:szCs w:val="18"/>
              </w:rPr>
            </w:pPr>
          </w:p>
        </w:tc>
        <w:tc>
          <w:tcPr>
            <w:tcW w:w="1580" w:type="dxa"/>
            <w:tcBorders>
              <w:top w:val="nil"/>
              <w:left w:val="nil"/>
              <w:bottom w:val="nil"/>
              <w:right w:val="nil"/>
            </w:tcBorders>
            <w:shd w:val="solid" w:color="FFFFFF" w:fill="auto"/>
          </w:tcPr>
          <w:p w14:paraId="47AE4C60" w14:textId="77777777" w:rsidR="00FA18EA" w:rsidRPr="00536A35" w:rsidRDefault="00FA18EA" w:rsidP="00FA18EA">
            <w:pPr>
              <w:autoSpaceDE w:val="0"/>
              <w:autoSpaceDN w:val="0"/>
              <w:adjustRightInd w:val="0"/>
              <w:jc w:val="right"/>
              <w:rPr>
                <w:rFonts w:cstheme="minorHAnsi"/>
                <w:b/>
                <w:bCs/>
                <w:color w:val="000000"/>
                <w:sz w:val="18"/>
                <w:szCs w:val="18"/>
              </w:rPr>
            </w:pPr>
          </w:p>
        </w:tc>
        <w:tc>
          <w:tcPr>
            <w:tcW w:w="450" w:type="dxa"/>
            <w:tcBorders>
              <w:top w:val="nil"/>
              <w:left w:val="nil"/>
              <w:bottom w:val="nil"/>
              <w:right w:val="nil"/>
            </w:tcBorders>
            <w:shd w:val="solid" w:color="FFFFFF" w:fill="auto"/>
          </w:tcPr>
          <w:p w14:paraId="04B4EADA" w14:textId="77777777" w:rsidR="00FA18EA" w:rsidRPr="00A02B31" w:rsidRDefault="00FA18EA" w:rsidP="00FA18EA">
            <w:pPr>
              <w:autoSpaceDE w:val="0"/>
              <w:autoSpaceDN w:val="0"/>
              <w:adjustRightInd w:val="0"/>
              <w:jc w:val="right"/>
              <w:rPr>
                <w:rFonts w:cstheme="minorHAnsi"/>
                <w:color w:val="000000"/>
                <w:sz w:val="18"/>
                <w:szCs w:val="18"/>
              </w:rPr>
            </w:pPr>
          </w:p>
        </w:tc>
        <w:tc>
          <w:tcPr>
            <w:tcW w:w="1276" w:type="dxa"/>
            <w:tcBorders>
              <w:top w:val="nil"/>
              <w:left w:val="nil"/>
              <w:bottom w:val="nil"/>
              <w:right w:val="nil"/>
            </w:tcBorders>
            <w:shd w:val="solid" w:color="FFFFFF" w:fill="auto"/>
          </w:tcPr>
          <w:p w14:paraId="2BA256DB" w14:textId="77777777" w:rsidR="00FA18EA" w:rsidRPr="00A02B31" w:rsidRDefault="00FA18EA" w:rsidP="00FA18EA">
            <w:pPr>
              <w:autoSpaceDE w:val="0"/>
              <w:autoSpaceDN w:val="0"/>
              <w:adjustRightInd w:val="0"/>
              <w:jc w:val="right"/>
              <w:rPr>
                <w:rFonts w:cstheme="minorHAnsi"/>
                <w:color w:val="000000"/>
                <w:sz w:val="18"/>
                <w:szCs w:val="18"/>
              </w:rPr>
            </w:pPr>
          </w:p>
        </w:tc>
      </w:tr>
      <w:tr w:rsidR="00FA18EA" w:rsidRPr="007600A7" w14:paraId="00B80663" w14:textId="77777777" w:rsidTr="00FA18EA">
        <w:trPr>
          <w:trHeight w:val="247"/>
        </w:trPr>
        <w:tc>
          <w:tcPr>
            <w:tcW w:w="5275" w:type="dxa"/>
            <w:tcBorders>
              <w:top w:val="nil"/>
              <w:left w:val="nil"/>
              <w:bottom w:val="nil"/>
              <w:right w:val="nil"/>
            </w:tcBorders>
            <w:shd w:val="solid" w:color="FFFFFF" w:fill="auto"/>
          </w:tcPr>
          <w:p w14:paraId="07FD403F" w14:textId="77777777" w:rsidR="00FA18EA" w:rsidRPr="008B2DDA" w:rsidRDefault="00FA18EA" w:rsidP="00FA18EA">
            <w:pPr>
              <w:autoSpaceDE w:val="0"/>
              <w:autoSpaceDN w:val="0"/>
              <w:adjustRightInd w:val="0"/>
              <w:rPr>
                <w:rFonts w:cstheme="minorHAnsi"/>
                <w:b/>
                <w:bCs/>
                <w:color w:val="000000"/>
                <w:sz w:val="18"/>
                <w:szCs w:val="18"/>
              </w:rPr>
            </w:pPr>
            <w:r w:rsidRPr="008B2DDA">
              <w:rPr>
                <w:rFonts w:cstheme="minorHAnsi"/>
                <w:b/>
                <w:bCs/>
                <w:color w:val="000000"/>
                <w:sz w:val="18"/>
                <w:szCs w:val="18"/>
              </w:rPr>
              <w:t>Revenue</w:t>
            </w:r>
          </w:p>
        </w:tc>
        <w:tc>
          <w:tcPr>
            <w:tcW w:w="238" w:type="dxa"/>
            <w:tcBorders>
              <w:top w:val="nil"/>
              <w:left w:val="nil"/>
              <w:bottom w:val="nil"/>
              <w:right w:val="nil"/>
            </w:tcBorders>
            <w:shd w:val="solid" w:color="FFFFFF" w:fill="auto"/>
          </w:tcPr>
          <w:p w14:paraId="19967466" w14:textId="77777777" w:rsidR="00FA18EA" w:rsidRPr="000C5053" w:rsidRDefault="00FA18EA" w:rsidP="00FA18EA">
            <w:pPr>
              <w:autoSpaceDE w:val="0"/>
              <w:autoSpaceDN w:val="0"/>
              <w:adjustRightInd w:val="0"/>
              <w:jc w:val="right"/>
              <w:rPr>
                <w:rFonts w:cstheme="minorHAnsi"/>
                <w:color w:val="000000"/>
                <w:sz w:val="18"/>
                <w:szCs w:val="18"/>
              </w:rPr>
            </w:pPr>
          </w:p>
        </w:tc>
        <w:tc>
          <w:tcPr>
            <w:tcW w:w="754" w:type="dxa"/>
            <w:tcBorders>
              <w:top w:val="nil"/>
              <w:left w:val="nil"/>
              <w:bottom w:val="nil"/>
              <w:right w:val="nil"/>
            </w:tcBorders>
            <w:shd w:val="solid" w:color="FFFFFF" w:fill="auto"/>
          </w:tcPr>
          <w:p w14:paraId="3BFC39C8" w14:textId="77777777" w:rsidR="00FA18EA" w:rsidRPr="0091098D" w:rsidRDefault="00FA18EA" w:rsidP="00FA18EA">
            <w:pPr>
              <w:autoSpaceDE w:val="0"/>
              <w:autoSpaceDN w:val="0"/>
              <w:adjustRightInd w:val="0"/>
              <w:jc w:val="center"/>
              <w:rPr>
                <w:rFonts w:cstheme="minorHAnsi"/>
                <w:color w:val="000000"/>
                <w:sz w:val="18"/>
                <w:szCs w:val="18"/>
              </w:rPr>
            </w:pPr>
          </w:p>
        </w:tc>
        <w:tc>
          <w:tcPr>
            <w:tcW w:w="238" w:type="dxa"/>
            <w:tcBorders>
              <w:top w:val="nil"/>
              <w:left w:val="nil"/>
              <w:bottom w:val="nil"/>
              <w:right w:val="nil"/>
            </w:tcBorders>
            <w:shd w:val="solid" w:color="FFFFFF" w:fill="auto"/>
          </w:tcPr>
          <w:p w14:paraId="5641877F" w14:textId="77777777" w:rsidR="00FA18EA" w:rsidRPr="0075195E" w:rsidRDefault="00FA18EA" w:rsidP="00FA18EA">
            <w:pPr>
              <w:autoSpaceDE w:val="0"/>
              <w:autoSpaceDN w:val="0"/>
              <w:adjustRightInd w:val="0"/>
              <w:jc w:val="right"/>
              <w:rPr>
                <w:rFonts w:cstheme="minorHAnsi"/>
                <w:color w:val="000000"/>
                <w:sz w:val="18"/>
                <w:szCs w:val="18"/>
              </w:rPr>
            </w:pPr>
          </w:p>
        </w:tc>
        <w:tc>
          <w:tcPr>
            <w:tcW w:w="1580" w:type="dxa"/>
            <w:tcBorders>
              <w:top w:val="nil"/>
              <w:left w:val="nil"/>
              <w:bottom w:val="nil"/>
              <w:right w:val="nil"/>
            </w:tcBorders>
            <w:shd w:val="solid" w:color="FFFFFF" w:fill="auto"/>
          </w:tcPr>
          <w:p w14:paraId="2AF7E4CF" w14:textId="77777777" w:rsidR="00FA18EA" w:rsidRPr="00536A35" w:rsidRDefault="00FA18EA" w:rsidP="00FA18EA">
            <w:pPr>
              <w:autoSpaceDE w:val="0"/>
              <w:autoSpaceDN w:val="0"/>
              <w:adjustRightInd w:val="0"/>
              <w:jc w:val="right"/>
              <w:rPr>
                <w:rFonts w:cstheme="minorHAnsi"/>
                <w:b/>
                <w:bCs/>
                <w:color w:val="000000"/>
                <w:sz w:val="18"/>
                <w:szCs w:val="18"/>
              </w:rPr>
            </w:pPr>
          </w:p>
        </w:tc>
        <w:tc>
          <w:tcPr>
            <w:tcW w:w="450" w:type="dxa"/>
            <w:tcBorders>
              <w:top w:val="nil"/>
              <w:left w:val="nil"/>
              <w:bottom w:val="nil"/>
              <w:right w:val="nil"/>
            </w:tcBorders>
            <w:shd w:val="solid" w:color="FFFFFF" w:fill="auto"/>
          </w:tcPr>
          <w:p w14:paraId="0311B298" w14:textId="77777777" w:rsidR="00FA18EA" w:rsidRPr="00A02B31" w:rsidRDefault="00FA18EA" w:rsidP="00FA18EA">
            <w:pPr>
              <w:autoSpaceDE w:val="0"/>
              <w:autoSpaceDN w:val="0"/>
              <w:adjustRightInd w:val="0"/>
              <w:jc w:val="right"/>
              <w:rPr>
                <w:rFonts w:cstheme="minorHAnsi"/>
                <w:color w:val="000000"/>
                <w:sz w:val="18"/>
                <w:szCs w:val="18"/>
              </w:rPr>
            </w:pPr>
          </w:p>
        </w:tc>
        <w:tc>
          <w:tcPr>
            <w:tcW w:w="1276" w:type="dxa"/>
            <w:tcBorders>
              <w:top w:val="nil"/>
              <w:left w:val="nil"/>
              <w:bottom w:val="nil"/>
              <w:right w:val="nil"/>
            </w:tcBorders>
            <w:shd w:val="solid" w:color="FFFFFF" w:fill="auto"/>
          </w:tcPr>
          <w:p w14:paraId="58FD1914" w14:textId="77777777" w:rsidR="00FA18EA" w:rsidRPr="00A02B31" w:rsidRDefault="00FA18EA" w:rsidP="00FA18EA">
            <w:pPr>
              <w:autoSpaceDE w:val="0"/>
              <w:autoSpaceDN w:val="0"/>
              <w:adjustRightInd w:val="0"/>
              <w:jc w:val="right"/>
              <w:rPr>
                <w:rFonts w:cstheme="minorHAnsi"/>
                <w:color w:val="000000"/>
                <w:sz w:val="18"/>
                <w:szCs w:val="18"/>
              </w:rPr>
            </w:pPr>
          </w:p>
        </w:tc>
      </w:tr>
      <w:tr w:rsidR="00FA18EA" w:rsidRPr="007600A7" w14:paraId="6EF4F26D" w14:textId="77777777" w:rsidTr="00FA18EA">
        <w:trPr>
          <w:trHeight w:val="233"/>
        </w:trPr>
        <w:tc>
          <w:tcPr>
            <w:tcW w:w="5275" w:type="dxa"/>
            <w:tcBorders>
              <w:top w:val="nil"/>
              <w:left w:val="nil"/>
              <w:bottom w:val="nil"/>
              <w:right w:val="nil"/>
            </w:tcBorders>
            <w:shd w:val="solid" w:color="FFFFFF" w:fill="auto"/>
          </w:tcPr>
          <w:p w14:paraId="2ED9C095" w14:textId="77777777" w:rsidR="00FA18EA" w:rsidRPr="007600A7" w:rsidRDefault="00FA18EA" w:rsidP="00FA18EA">
            <w:pPr>
              <w:autoSpaceDE w:val="0"/>
              <w:autoSpaceDN w:val="0"/>
              <w:adjustRightInd w:val="0"/>
              <w:rPr>
                <w:rFonts w:cstheme="minorHAnsi"/>
                <w:color w:val="000000"/>
                <w:sz w:val="18"/>
                <w:szCs w:val="18"/>
              </w:rPr>
            </w:pPr>
            <w:r w:rsidRPr="008B2DDA">
              <w:rPr>
                <w:rFonts w:cstheme="minorHAnsi"/>
                <w:color w:val="000000"/>
                <w:sz w:val="18"/>
                <w:szCs w:val="18"/>
              </w:rPr>
              <w:t>Bank</w:t>
            </w:r>
            <w:r w:rsidRPr="007600A7">
              <w:rPr>
                <w:rFonts w:cstheme="minorHAnsi"/>
                <w:color w:val="000000"/>
                <w:sz w:val="18"/>
                <w:szCs w:val="18"/>
              </w:rPr>
              <w:t xml:space="preserve"> interest income</w:t>
            </w:r>
          </w:p>
        </w:tc>
        <w:tc>
          <w:tcPr>
            <w:tcW w:w="238" w:type="dxa"/>
            <w:tcBorders>
              <w:top w:val="nil"/>
              <w:left w:val="nil"/>
              <w:bottom w:val="nil"/>
              <w:right w:val="nil"/>
            </w:tcBorders>
            <w:shd w:val="solid" w:color="FFFFFF" w:fill="auto"/>
          </w:tcPr>
          <w:p w14:paraId="72BDEBF1" w14:textId="77777777" w:rsidR="00FA18EA" w:rsidRPr="000C1F6F" w:rsidRDefault="00FA18EA" w:rsidP="00FA18EA">
            <w:pPr>
              <w:autoSpaceDE w:val="0"/>
              <w:autoSpaceDN w:val="0"/>
              <w:adjustRightInd w:val="0"/>
              <w:jc w:val="right"/>
              <w:rPr>
                <w:rFonts w:cstheme="minorHAnsi"/>
                <w:color w:val="000000"/>
                <w:sz w:val="18"/>
                <w:szCs w:val="18"/>
              </w:rPr>
            </w:pPr>
          </w:p>
        </w:tc>
        <w:tc>
          <w:tcPr>
            <w:tcW w:w="754" w:type="dxa"/>
            <w:tcBorders>
              <w:top w:val="nil"/>
              <w:left w:val="nil"/>
              <w:bottom w:val="nil"/>
              <w:right w:val="nil"/>
            </w:tcBorders>
            <w:shd w:val="solid" w:color="FFFFFF" w:fill="auto"/>
          </w:tcPr>
          <w:p w14:paraId="7B1183C1" w14:textId="77777777" w:rsidR="00FA18EA" w:rsidRPr="008B2DDA" w:rsidRDefault="00FA18EA" w:rsidP="00FA18EA">
            <w:pPr>
              <w:autoSpaceDE w:val="0"/>
              <w:autoSpaceDN w:val="0"/>
              <w:adjustRightInd w:val="0"/>
              <w:jc w:val="center"/>
              <w:rPr>
                <w:rFonts w:cstheme="minorHAnsi"/>
                <w:color w:val="000000"/>
                <w:sz w:val="18"/>
                <w:szCs w:val="18"/>
              </w:rPr>
            </w:pPr>
          </w:p>
        </w:tc>
        <w:tc>
          <w:tcPr>
            <w:tcW w:w="238" w:type="dxa"/>
            <w:tcBorders>
              <w:top w:val="nil"/>
              <w:left w:val="nil"/>
              <w:bottom w:val="nil"/>
              <w:right w:val="nil"/>
            </w:tcBorders>
            <w:shd w:val="solid" w:color="FFFFFF" w:fill="auto"/>
          </w:tcPr>
          <w:p w14:paraId="69F88DCE" w14:textId="77777777" w:rsidR="00FA18EA" w:rsidRPr="000C5053" w:rsidRDefault="00FA18EA" w:rsidP="00FA18EA">
            <w:pPr>
              <w:autoSpaceDE w:val="0"/>
              <w:autoSpaceDN w:val="0"/>
              <w:adjustRightInd w:val="0"/>
              <w:jc w:val="right"/>
              <w:rPr>
                <w:rFonts w:cstheme="minorHAnsi"/>
                <w:color w:val="000000"/>
                <w:sz w:val="18"/>
                <w:szCs w:val="18"/>
              </w:rPr>
            </w:pPr>
          </w:p>
        </w:tc>
        <w:tc>
          <w:tcPr>
            <w:tcW w:w="1580" w:type="dxa"/>
            <w:tcBorders>
              <w:top w:val="nil"/>
              <w:left w:val="nil"/>
              <w:bottom w:val="nil"/>
              <w:right w:val="nil"/>
            </w:tcBorders>
            <w:shd w:val="solid" w:color="FFFFFF" w:fill="auto"/>
          </w:tcPr>
          <w:p w14:paraId="7F64FA10" w14:textId="77777777" w:rsidR="00FA18EA" w:rsidRPr="0091098D" w:rsidRDefault="00FA18EA" w:rsidP="00FA18EA">
            <w:pPr>
              <w:autoSpaceDE w:val="0"/>
              <w:autoSpaceDN w:val="0"/>
              <w:adjustRightInd w:val="0"/>
              <w:jc w:val="right"/>
              <w:rPr>
                <w:rFonts w:cstheme="minorHAnsi"/>
                <w:b/>
                <w:bCs/>
                <w:color w:val="000000"/>
                <w:sz w:val="18"/>
                <w:szCs w:val="18"/>
              </w:rPr>
            </w:pPr>
            <w:r w:rsidRPr="0091098D">
              <w:rPr>
                <w:rFonts w:cstheme="minorHAnsi"/>
                <w:b/>
                <w:bCs/>
                <w:color w:val="000000"/>
                <w:sz w:val="18"/>
                <w:szCs w:val="18"/>
              </w:rPr>
              <w:t>1</w:t>
            </w:r>
          </w:p>
        </w:tc>
        <w:tc>
          <w:tcPr>
            <w:tcW w:w="450" w:type="dxa"/>
            <w:tcBorders>
              <w:top w:val="nil"/>
              <w:left w:val="nil"/>
              <w:bottom w:val="nil"/>
              <w:right w:val="nil"/>
            </w:tcBorders>
            <w:shd w:val="solid" w:color="FFFFFF" w:fill="auto"/>
          </w:tcPr>
          <w:p w14:paraId="5FDA3D09" w14:textId="77777777" w:rsidR="00FA18EA" w:rsidRPr="0075195E" w:rsidRDefault="00FA18EA" w:rsidP="00FA18EA">
            <w:pPr>
              <w:autoSpaceDE w:val="0"/>
              <w:autoSpaceDN w:val="0"/>
              <w:adjustRightInd w:val="0"/>
              <w:jc w:val="right"/>
              <w:rPr>
                <w:rFonts w:cstheme="minorHAnsi"/>
                <w:color w:val="000000"/>
                <w:sz w:val="18"/>
                <w:szCs w:val="18"/>
              </w:rPr>
            </w:pPr>
          </w:p>
        </w:tc>
        <w:tc>
          <w:tcPr>
            <w:tcW w:w="1276" w:type="dxa"/>
            <w:tcBorders>
              <w:top w:val="nil"/>
              <w:left w:val="nil"/>
              <w:bottom w:val="nil"/>
              <w:right w:val="nil"/>
            </w:tcBorders>
            <w:shd w:val="solid" w:color="FFFFFF" w:fill="auto"/>
          </w:tcPr>
          <w:p w14:paraId="52645A9C" w14:textId="77777777" w:rsidR="00FA18EA" w:rsidRPr="00536A35" w:rsidRDefault="00FA18EA" w:rsidP="00FA18EA">
            <w:pPr>
              <w:autoSpaceDE w:val="0"/>
              <w:autoSpaceDN w:val="0"/>
              <w:adjustRightInd w:val="0"/>
              <w:jc w:val="right"/>
              <w:rPr>
                <w:rFonts w:cstheme="minorHAnsi"/>
                <w:color w:val="000000"/>
                <w:sz w:val="18"/>
                <w:szCs w:val="18"/>
              </w:rPr>
            </w:pPr>
            <w:r w:rsidRPr="00536A35">
              <w:rPr>
                <w:rFonts w:cstheme="minorHAnsi"/>
                <w:color w:val="000000"/>
                <w:sz w:val="18"/>
                <w:szCs w:val="18"/>
              </w:rPr>
              <w:t xml:space="preserve">               2 </w:t>
            </w:r>
          </w:p>
        </w:tc>
      </w:tr>
      <w:tr w:rsidR="00FA18EA" w:rsidRPr="007600A7" w14:paraId="77390532" w14:textId="77777777" w:rsidTr="00FA18EA">
        <w:trPr>
          <w:trHeight w:val="247"/>
        </w:trPr>
        <w:tc>
          <w:tcPr>
            <w:tcW w:w="5275" w:type="dxa"/>
            <w:tcBorders>
              <w:top w:val="nil"/>
              <w:left w:val="nil"/>
              <w:bottom w:val="nil"/>
              <w:right w:val="nil"/>
            </w:tcBorders>
            <w:shd w:val="solid" w:color="FFFFFF" w:fill="auto"/>
          </w:tcPr>
          <w:p w14:paraId="4605450B" w14:textId="77777777" w:rsidR="00FA18EA" w:rsidRPr="008B2DDA" w:rsidRDefault="00FA18EA" w:rsidP="00FA18EA">
            <w:pPr>
              <w:autoSpaceDE w:val="0"/>
              <w:autoSpaceDN w:val="0"/>
              <w:adjustRightInd w:val="0"/>
              <w:rPr>
                <w:rFonts w:cstheme="minorHAnsi"/>
                <w:color w:val="000000"/>
                <w:sz w:val="18"/>
                <w:szCs w:val="18"/>
              </w:rPr>
            </w:pPr>
            <w:r w:rsidRPr="008B2DDA">
              <w:rPr>
                <w:rFonts w:cstheme="minorHAnsi"/>
                <w:color w:val="000000"/>
                <w:sz w:val="18"/>
                <w:szCs w:val="18"/>
              </w:rPr>
              <w:t>Loan note interest income</w:t>
            </w:r>
          </w:p>
        </w:tc>
        <w:tc>
          <w:tcPr>
            <w:tcW w:w="238" w:type="dxa"/>
            <w:tcBorders>
              <w:top w:val="nil"/>
              <w:left w:val="nil"/>
              <w:bottom w:val="nil"/>
              <w:right w:val="nil"/>
            </w:tcBorders>
            <w:shd w:val="solid" w:color="FFFFFF" w:fill="auto"/>
          </w:tcPr>
          <w:p w14:paraId="5336A42A" w14:textId="77777777" w:rsidR="00FA18EA" w:rsidRPr="000C5053" w:rsidRDefault="00FA18EA" w:rsidP="00FA18EA">
            <w:pPr>
              <w:autoSpaceDE w:val="0"/>
              <w:autoSpaceDN w:val="0"/>
              <w:adjustRightInd w:val="0"/>
              <w:jc w:val="right"/>
              <w:rPr>
                <w:rFonts w:cstheme="minorHAnsi"/>
                <w:color w:val="000000"/>
                <w:sz w:val="18"/>
                <w:szCs w:val="18"/>
              </w:rPr>
            </w:pPr>
          </w:p>
        </w:tc>
        <w:tc>
          <w:tcPr>
            <w:tcW w:w="754" w:type="dxa"/>
            <w:tcBorders>
              <w:top w:val="nil"/>
              <w:left w:val="nil"/>
              <w:bottom w:val="nil"/>
              <w:right w:val="nil"/>
            </w:tcBorders>
            <w:shd w:val="solid" w:color="FFFFFF" w:fill="auto"/>
          </w:tcPr>
          <w:p w14:paraId="7244D20C" w14:textId="77777777" w:rsidR="00FA18EA" w:rsidRPr="0091098D" w:rsidRDefault="00FA18EA" w:rsidP="00FA18EA">
            <w:pPr>
              <w:autoSpaceDE w:val="0"/>
              <w:autoSpaceDN w:val="0"/>
              <w:adjustRightInd w:val="0"/>
              <w:jc w:val="center"/>
              <w:rPr>
                <w:rFonts w:cstheme="minorHAnsi"/>
                <w:color w:val="000000"/>
                <w:sz w:val="18"/>
                <w:szCs w:val="18"/>
              </w:rPr>
            </w:pPr>
          </w:p>
        </w:tc>
        <w:tc>
          <w:tcPr>
            <w:tcW w:w="238" w:type="dxa"/>
            <w:tcBorders>
              <w:top w:val="nil"/>
              <w:left w:val="nil"/>
              <w:bottom w:val="nil"/>
              <w:right w:val="nil"/>
            </w:tcBorders>
            <w:shd w:val="solid" w:color="FFFFFF" w:fill="auto"/>
          </w:tcPr>
          <w:p w14:paraId="553AFAB0" w14:textId="77777777" w:rsidR="00FA18EA" w:rsidRPr="0075195E" w:rsidRDefault="00FA18EA" w:rsidP="00FA18EA">
            <w:pPr>
              <w:autoSpaceDE w:val="0"/>
              <w:autoSpaceDN w:val="0"/>
              <w:adjustRightInd w:val="0"/>
              <w:jc w:val="right"/>
              <w:rPr>
                <w:rFonts w:cstheme="minorHAnsi"/>
                <w:color w:val="000000"/>
                <w:sz w:val="18"/>
                <w:szCs w:val="18"/>
              </w:rPr>
            </w:pPr>
          </w:p>
        </w:tc>
        <w:tc>
          <w:tcPr>
            <w:tcW w:w="1580" w:type="dxa"/>
            <w:tcBorders>
              <w:top w:val="nil"/>
              <w:left w:val="nil"/>
              <w:bottom w:val="nil"/>
              <w:right w:val="nil"/>
            </w:tcBorders>
            <w:shd w:val="solid" w:color="FFFFFF" w:fill="auto"/>
          </w:tcPr>
          <w:p w14:paraId="52B0142B" w14:textId="77777777" w:rsidR="00FA18EA" w:rsidRPr="00536A35" w:rsidRDefault="00FA18EA" w:rsidP="00FA18EA">
            <w:pPr>
              <w:autoSpaceDE w:val="0"/>
              <w:autoSpaceDN w:val="0"/>
              <w:adjustRightInd w:val="0"/>
              <w:jc w:val="right"/>
              <w:rPr>
                <w:rFonts w:cstheme="minorHAnsi"/>
                <w:b/>
                <w:bCs/>
                <w:color w:val="000000"/>
                <w:sz w:val="18"/>
                <w:szCs w:val="18"/>
              </w:rPr>
            </w:pPr>
            <w:r w:rsidRPr="00536A35">
              <w:rPr>
                <w:rFonts w:cstheme="minorHAnsi"/>
                <w:b/>
                <w:bCs/>
                <w:color w:val="000000"/>
                <w:sz w:val="18"/>
                <w:szCs w:val="18"/>
              </w:rPr>
              <w:t>563</w:t>
            </w:r>
          </w:p>
        </w:tc>
        <w:tc>
          <w:tcPr>
            <w:tcW w:w="450" w:type="dxa"/>
            <w:tcBorders>
              <w:top w:val="nil"/>
              <w:left w:val="nil"/>
              <w:bottom w:val="nil"/>
              <w:right w:val="nil"/>
            </w:tcBorders>
            <w:shd w:val="solid" w:color="FFFFFF" w:fill="auto"/>
          </w:tcPr>
          <w:p w14:paraId="4802947B" w14:textId="77777777" w:rsidR="00FA18EA" w:rsidRPr="00A02B31" w:rsidRDefault="00FA18EA" w:rsidP="00FA18EA">
            <w:pPr>
              <w:autoSpaceDE w:val="0"/>
              <w:autoSpaceDN w:val="0"/>
              <w:adjustRightInd w:val="0"/>
              <w:jc w:val="right"/>
              <w:rPr>
                <w:rFonts w:cstheme="minorHAnsi"/>
                <w:color w:val="000000"/>
                <w:sz w:val="18"/>
                <w:szCs w:val="18"/>
              </w:rPr>
            </w:pPr>
          </w:p>
        </w:tc>
        <w:tc>
          <w:tcPr>
            <w:tcW w:w="1276" w:type="dxa"/>
            <w:tcBorders>
              <w:top w:val="nil"/>
              <w:left w:val="nil"/>
              <w:bottom w:val="nil"/>
              <w:right w:val="nil"/>
            </w:tcBorders>
            <w:shd w:val="solid" w:color="FFFFFF" w:fill="auto"/>
          </w:tcPr>
          <w:p w14:paraId="26070AE0" w14:textId="77777777" w:rsidR="00FA18EA" w:rsidRPr="00A02B31" w:rsidRDefault="00FA18EA" w:rsidP="00FA18EA">
            <w:pPr>
              <w:autoSpaceDE w:val="0"/>
              <w:autoSpaceDN w:val="0"/>
              <w:adjustRightInd w:val="0"/>
              <w:jc w:val="right"/>
              <w:rPr>
                <w:rFonts w:cstheme="minorHAnsi"/>
                <w:color w:val="000000"/>
                <w:sz w:val="18"/>
                <w:szCs w:val="18"/>
              </w:rPr>
            </w:pPr>
            <w:r w:rsidRPr="00A02B31">
              <w:rPr>
                <w:rFonts w:cstheme="minorHAnsi"/>
                <w:color w:val="000000"/>
                <w:sz w:val="18"/>
                <w:szCs w:val="18"/>
              </w:rPr>
              <w:t xml:space="preserve">             753 </w:t>
            </w:r>
          </w:p>
        </w:tc>
      </w:tr>
      <w:tr w:rsidR="00FA18EA" w:rsidRPr="007600A7" w14:paraId="19722FF4" w14:textId="77777777" w:rsidTr="00FA18EA">
        <w:trPr>
          <w:trHeight w:val="247"/>
        </w:trPr>
        <w:tc>
          <w:tcPr>
            <w:tcW w:w="5275" w:type="dxa"/>
            <w:tcBorders>
              <w:top w:val="nil"/>
              <w:left w:val="nil"/>
              <w:right w:val="nil"/>
            </w:tcBorders>
            <w:shd w:val="solid" w:color="FFFFFF" w:fill="auto"/>
          </w:tcPr>
          <w:p w14:paraId="6189367D" w14:textId="77777777" w:rsidR="00FA18EA" w:rsidRPr="008B2DDA" w:rsidRDefault="00FA18EA" w:rsidP="00FA18EA">
            <w:pPr>
              <w:autoSpaceDE w:val="0"/>
              <w:autoSpaceDN w:val="0"/>
              <w:adjustRightInd w:val="0"/>
              <w:rPr>
                <w:rFonts w:cstheme="minorHAnsi"/>
                <w:color w:val="000000"/>
                <w:sz w:val="18"/>
                <w:szCs w:val="18"/>
              </w:rPr>
            </w:pPr>
            <w:r w:rsidRPr="008B2DDA">
              <w:rPr>
                <w:rFonts w:cstheme="minorHAnsi"/>
                <w:color w:val="000000"/>
                <w:sz w:val="18"/>
                <w:szCs w:val="18"/>
              </w:rPr>
              <w:t>Portfolio dividend income</w:t>
            </w:r>
          </w:p>
        </w:tc>
        <w:tc>
          <w:tcPr>
            <w:tcW w:w="238" w:type="dxa"/>
            <w:tcBorders>
              <w:top w:val="nil"/>
              <w:left w:val="nil"/>
              <w:right w:val="nil"/>
            </w:tcBorders>
            <w:shd w:val="solid" w:color="FFFFFF" w:fill="auto"/>
          </w:tcPr>
          <w:p w14:paraId="67FC45D4" w14:textId="77777777" w:rsidR="00FA18EA" w:rsidRPr="000C5053" w:rsidRDefault="00FA18EA" w:rsidP="00FA18EA">
            <w:pPr>
              <w:autoSpaceDE w:val="0"/>
              <w:autoSpaceDN w:val="0"/>
              <w:adjustRightInd w:val="0"/>
              <w:jc w:val="right"/>
              <w:rPr>
                <w:rFonts w:cstheme="minorHAnsi"/>
                <w:color w:val="000000"/>
                <w:sz w:val="18"/>
                <w:szCs w:val="18"/>
              </w:rPr>
            </w:pPr>
          </w:p>
        </w:tc>
        <w:tc>
          <w:tcPr>
            <w:tcW w:w="754" w:type="dxa"/>
            <w:tcBorders>
              <w:top w:val="nil"/>
              <w:left w:val="nil"/>
              <w:right w:val="nil"/>
            </w:tcBorders>
            <w:shd w:val="solid" w:color="FFFFFF" w:fill="auto"/>
          </w:tcPr>
          <w:p w14:paraId="540FCFD9" w14:textId="77777777" w:rsidR="00FA18EA" w:rsidRPr="0091098D" w:rsidRDefault="00FA18EA" w:rsidP="00FA18EA">
            <w:pPr>
              <w:autoSpaceDE w:val="0"/>
              <w:autoSpaceDN w:val="0"/>
              <w:adjustRightInd w:val="0"/>
              <w:jc w:val="center"/>
              <w:rPr>
                <w:rFonts w:cstheme="minorHAnsi"/>
                <w:color w:val="000000"/>
                <w:sz w:val="18"/>
                <w:szCs w:val="18"/>
              </w:rPr>
            </w:pPr>
          </w:p>
        </w:tc>
        <w:tc>
          <w:tcPr>
            <w:tcW w:w="238" w:type="dxa"/>
            <w:tcBorders>
              <w:top w:val="nil"/>
              <w:left w:val="nil"/>
              <w:right w:val="nil"/>
            </w:tcBorders>
            <w:shd w:val="solid" w:color="FFFFFF" w:fill="auto"/>
          </w:tcPr>
          <w:p w14:paraId="7DA59F01" w14:textId="77777777" w:rsidR="00FA18EA" w:rsidRPr="0075195E" w:rsidRDefault="00FA18EA" w:rsidP="00FA18EA">
            <w:pPr>
              <w:autoSpaceDE w:val="0"/>
              <w:autoSpaceDN w:val="0"/>
              <w:adjustRightInd w:val="0"/>
              <w:jc w:val="right"/>
              <w:rPr>
                <w:rFonts w:cstheme="minorHAnsi"/>
                <w:color w:val="000000"/>
                <w:sz w:val="18"/>
                <w:szCs w:val="18"/>
              </w:rPr>
            </w:pPr>
          </w:p>
        </w:tc>
        <w:tc>
          <w:tcPr>
            <w:tcW w:w="1580" w:type="dxa"/>
            <w:tcBorders>
              <w:top w:val="nil"/>
              <w:left w:val="nil"/>
              <w:right w:val="nil"/>
            </w:tcBorders>
            <w:shd w:val="solid" w:color="FFFFFF" w:fill="auto"/>
          </w:tcPr>
          <w:p w14:paraId="55D1EE23" w14:textId="77777777" w:rsidR="00FA18EA" w:rsidRPr="00536A35" w:rsidRDefault="00FA18EA" w:rsidP="00FA18EA">
            <w:pPr>
              <w:autoSpaceDE w:val="0"/>
              <w:autoSpaceDN w:val="0"/>
              <w:adjustRightInd w:val="0"/>
              <w:jc w:val="right"/>
              <w:rPr>
                <w:rFonts w:cstheme="minorHAnsi"/>
                <w:b/>
                <w:bCs/>
                <w:color w:val="000000"/>
                <w:sz w:val="18"/>
                <w:szCs w:val="18"/>
              </w:rPr>
            </w:pPr>
            <w:r w:rsidRPr="00536A35">
              <w:rPr>
                <w:rFonts w:cstheme="minorHAnsi"/>
                <w:b/>
                <w:bCs/>
                <w:color w:val="000000"/>
                <w:sz w:val="18"/>
                <w:szCs w:val="18"/>
              </w:rPr>
              <w:t>99</w:t>
            </w:r>
          </w:p>
        </w:tc>
        <w:tc>
          <w:tcPr>
            <w:tcW w:w="450" w:type="dxa"/>
            <w:tcBorders>
              <w:top w:val="nil"/>
              <w:left w:val="nil"/>
              <w:right w:val="nil"/>
            </w:tcBorders>
            <w:shd w:val="solid" w:color="FFFFFF" w:fill="auto"/>
          </w:tcPr>
          <w:p w14:paraId="71A98975" w14:textId="77777777" w:rsidR="00FA18EA" w:rsidRPr="00A02B31" w:rsidRDefault="00FA18EA" w:rsidP="00FA18EA">
            <w:pPr>
              <w:autoSpaceDE w:val="0"/>
              <w:autoSpaceDN w:val="0"/>
              <w:adjustRightInd w:val="0"/>
              <w:jc w:val="right"/>
              <w:rPr>
                <w:rFonts w:cstheme="minorHAnsi"/>
                <w:color w:val="000000"/>
                <w:sz w:val="18"/>
                <w:szCs w:val="18"/>
              </w:rPr>
            </w:pPr>
          </w:p>
        </w:tc>
        <w:tc>
          <w:tcPr>
            <w:tcW w:w="1276" w:type="dxa"/>
            <w:tcBorders>
              <w:top w:val="nil"/>
              <w:left w:val="nil"/>
              <w:right w:val="nil"/>
            </w:tcBorders>
            <w:shd w:val="solid" w:color="FFFFFF" w:fill="auto"/>
          </w:tcPr>
          <w:p w14:paraId="100B380E" w14:textId="77777777" w:rsidR="00FA18EA" w:rsidRPr="00A02B31" w:rsidRDefault="00FA18EA" w:rsidP="00FA18EA">
            <w:pPr>
              <w:autoSpaceDE w:val="0"/>
              <w:autoSpaceDN w:val="0"/>
              <w:adjustRightInd w:val="0"/>
              <w:jc w:val="right"/>
              <w:rPr>
                <w:rFonts w:cstheme="minorHAnsi"/>
                <w:color w:val="000000"/>
                <w:sz w:val="18"/>
                <w:szCs w:val="18"/>
              </w:rPr>
            </w:pPr>
            <w:r w:rsidRPr="00A02B31">
              <w:rPr>
                <w:rFonts w:cstheme="minorHAnsi"/>
                <w:color w:val="000000"/>
                <w:sz w:val="18"/>
                <w:szCs w:val="18"/>
              </w:rPr>
              <w:t xml:space="preserve">            - </w:t>
            </w:r>
          </w:p>
        </w:tc>
      </w:tr>
      <w:tr w:rsidR="00FA18EA" w:rsidRPr="007600A7" w14:paraId="5AE5B441" w14:textId="77777777" w:rsidTr="00FA18EA">
        <w:trPr>
          <w:trHeight w:val="247"/>
        </w:trPr>
        <w:tc>
          <w:tcPr>
            <w:tcW w:w="5275" w:type="dxa"/>
            <w:tcBorders>
              <w:top w:val="nil"/>
              <w:left w:val="nil"/>
              <w:bottom w:val="single" w:sz="4" w:space="0" w:color="auto"/>
              <w:right w:val="nil"/>
            </w:tcBorders>
            <w:shd w:val="solid" w:color="FFFFFF" w:fill="auto"/>
          </w:tcPr>
          <w:p w14:paraId="4CA66654" w14:textId="77777777" w:rsidR="00FA18EA" w:rsidRPr="008B2DDA" w:rsidRDefault="00FA18EA" w:rsidP="00FA18EA">
            <w:pPr>
              <w:autoSpaceDE w:val="0"/>
              <w:autoSpaceDN w:val="0"/>
              <w:adjustRightInd w:val="0"/>
              <w:rPr>
                <w:rFonts w:cstheme="minorHAnsi"/>
                <w:color w:val="000000"/>
                <w:sz w:val="18"/>
                <w:szCs w:val="18"/>
              </w:rPr>
            </w:pPr>
            <w:r w:rsidRPr="008B2DDA">
              <w:rPr>
                <w:rFonts w:cstheme="minorHAnsi"/>
                <w:color w:val="000000"/>
                <w:sz w:val="18"/>
                <w:szCs w:val="18"/>
              </w:rPr>
              <w:t>Other income</w:t>
            </w:r>
          </w:p>
        </w:tc>
        <w:tc>
          <w:tcPr>
            <w:tcW w:w="238" w:type="dxa"/>
            <w:tcBorders>
              <w:top w:val="nil"/>
              <w:left w:val="nil"/>
              <w:bottom w:val="single" w:sz="4" w:space="0" w:color="auto"/>
              <w:right w:val="nil"/>
            </w:tcBorders>
            <w:shd w:val="solid" w:color="FFFFFF" w:fill="auto"/>
          </w:tcPr>
          <w:p w14:paraId="26B07152" w14:textId="77777777" w:rsidR="00FA18EA" w:rsidRPr="000C5053" w:rsidRDefault="00FA18EA" w:rsidP="00FA18EA">
            <w:pPr>
              <w:autoSpaceDE w:val="0"/>
              <w:autoSpaceDN w:val="0"/>
              <w:adjustRightInd w:val="0"/>
              <w:jc w:val="right"/>
              <w:rPr>
                <w:rFonts w:cstheme="minorHAnsi"/>
                <w:color w:val="000000"/>
                <w:sz w:val="18"/>
                <w:szCs w:val="18"/>
              </w:rPr>
            </w:pPr>
          </w:p>
        </w:tc>
        <w:tc>
          <w:tcPr>
            <w:tcW w:w="754" w:type="dxa"/>
            <w:tcBorders>
              <w:top w:val="nil"/>
              <w:left w:val="nil"/>
              <w:bottom w:val="single" w:sz="4" w:space="0" w:color="auto"/>
              <w:right w:val="nil"/>
            </w:tcBorders>
            <w:shd w:val="solid" w:color="FFFFFF" w:fill="auto"/>
          </w:tcPr>
          <w:p w14:paraId="59F8113B" w14:textId="77777777" w:rsidR="00FA18EA" w:rsidRPr="0091098D" w:rsidRDefault="00FA18EA" w:rsidP="00FA18EA">
            <w:pPr>
              <w:autoSpaceDE w:val="0"/>
              <w:autoSpaceDN w:val="0"/>
              <w:adjustRightInd w:val="0"/>
              <w:jc w:val="center"/>
              <w:rPr>
                <w:rFonts w:cstheme="minorHAnsi"/>
                <w:color w:val="000000"/>
                <w:sz w:val="18"/>
                <w:szCs w:val="18"/>
              </w:rPr>
            </w:pPr>
          </w:p>
        </w:tc>
        <w:tc>
          <w:tcPr>
            <w:tcW w:w="238" w:type="dxa"/>
            <w:tcBorders>
              <w:top w:val="nil"/>
              <w:left w:val="nil"/>
              <w:bottom w:val="single" w:sz="4" w:space="0" w:color="auto"/>
              <w:right w:val="nil"/>
            </w:tcBorders>
            <w:shd w:val="solid" w:color="FFFFFF" w:fill="auto"/>
          </w:tcPr>
          <w:p w14:paraId="1CB9F85A" w14:textId="77777777" w:rsidR="00FA18EA" w:rsidRPr="0075195E" w:rsidRDefault="00FA18EA" w:rsidP="00FA18EA">
            <w:pPr>
              <w:autoSpaceDE w:val="0"/>
              <w:autoSpaceDN w:val="0"/>
              <w:adjustRightInd w:val="0"/>
              <w:jc w:val="right"/>
              <w:rPr>
                <w:rFonts w:cstheme="minorHAnsi"/>
                <w:color w:val="000000"/>
                <w:sz w:val="18"/>
                <w:szCs w:val="18"/>
              </w:rPr>
            </w:pPr>
          </w:p>
        </w:tc>
        <w:tc>
          <w:tcPr>
            <w:tcW w:w="1580" w:type="dxa"/>
            <w:tcBorders>
              <w:top w:val="nil"/>
              <w:left w:val="nil"/>
              <w:bottom w:val="single" w:sz="4" w:space="0" w:color="auto"/>
              <w:right w:val="nil"/>
            </w:tcBorders>
            <w:shd w:val="solid" w:color="FFFFFF" w:fill="auto"/>
          </w:tcPr>
          <w:p w14:paraId="25794819" w14:textId="77777777" w:rsidR="00FA18EA" w:rsidRPr="00536A35" w:rsidRDefault="00FA18EA" w:rsidP="00FA18EA">
            <w:pPr>
              <w:autoSpaceDE w:val="0"/>
              <w:autoSpaceDN w:val="0"/>
              <w:adjustRightInd w:val="0"/>
              <w:jc w:val="right"/>
              <w:rPr>
                <w:rFonts w:cstheme="minorHAnsi"/>
                <w:b/>
                <w:bCs/>
                <w:color w:val="000000"/>
                <w:sz w:val="18"/>
                <w:szCs w:val="18"/>
              </w:rPr>
            </w:pPr>
            <w:r w:rsidRPr="00536A35">
              <w:rPr>
                <w:rFonts w:cstheme="minorHAnsi"/>
                <w:b/>
                <w:bCs/>
                <w:color w:val="000000"/>
                <w:sz w:val="18"/>
                <w:szCs w:val="18"/>
              </w:rPr>
              <w:t>-</w:t>
            </w:r>
          </w:p>
        </w:tc>
        <w:tc>
          <w:tcPr>
            <w:tcW w:w="450" w:type="dxa"/>
            <w:tcBorders>
              <w:top w:val="nil"/>
              <w:left w:val="nil"/>
              <w:bottom w:val="single" w:sz="4" w:space="0" w:color="auto"/>
              <w:right w:val="nil"/>
            </w:tcBorders>
            <w:shd w:val="solid" w:color="FFFFFF" w:fill="auto"/>
          </w:tcPr>
          <w:p w14:paraId="38CFB1C9" w14:textId="77777777" w:rsidR="00FA18EA" w:rsidRPr="00A02B31" w:rsidRDefault="00FA18EA" w:rsidP="00FA18EA">
            <w:pPr>
              <w:autoSpaceDE w:val="0"/>
              <w:autoSpaceDN w:val="0"/>
              <w:adjustRightInd w:val="0"/>
              <w:jc w:val="right"/>
              <w:rPr>
                <w:rFonts w:cstheme="minorHAnsi"/>
                <w:color w:val="000000"/>
                <w:sz w:val="18"/>
                <w:szCs w:val="18"/>
              </w:rPr>
            </w:pPr>
          </w:p>
        </w:tc>
        <w:tc>
          <w:tcPr>
            <w:tcW w:w="1276" w:type="dxa"/>
            <w:tcBorders>
              <w:top w:val="nil"/>
              <w:left w:val="nil"/>
              <w:bottom w:val="single" w:sz="4" w:space="0" w:color="auto"/>
              <w:right w:val="nil"/>
            </w:tcBorders>
            <w:shd w:val="solid" w:color="FFFFFF" w:fill="auto"/>
          </w:tcPr>
          <w:p w14:paraId="12E44988" w14:textId="77777777" w:rsidR="00FA18EA" w:rsidRPr="00A02B31" w:rsidRDefault="00FA18EA" w:rsidP="00FA18EA">
            <w:pPr>
              <w:autoSpaceDE w:val="0"/>
              <w:autoSpaceDN w:val="0"/>
              <w:adjustRightInd w:val="0"/>
              <w:jc w:val="right"/>
              <w:rPr>
                <w:rFonts w:cstheme="minorHAnsi"/>
                <w:color w:val="000000"/>
                <w:sz w:val="18"/>
                <w:szCs w:val="18"/>
              </w:rPr>
            </w:pPr>
            <w:r w:rsidRPr="00A02B31">
              <w:rPr>
                <w:rFonts w:cstheme="minorHAnsi"/>
                <w:color w:val="000000"/>
                <w:sz w:val="18"/>
                <w:szCs w:val="18"/>
              </w:rPr>
              <w:t>1</w:t>
            </w:r>
          </w:p>
        </w:tc>
      </w:tr>
      <w:tr w:rsidR="00FA18EA" w:rsidRPr="007600A7" w14:paraId="32E18499" w14:textId="77777777" w:rsidTr="00FA18EA">
        <w:trPr>
          <w:trHeight w:val="262"/>
        </w:trPr>
        <w:tc>
          <w:tcPr>
            <w:tcW w:w="5275" w:type="dxa"/>
            <w:tcBorders>
              <w:top w:val="single" w:sz="4" w:space="0" w:color="auto"/>
              <w:left w:val="nil"/>
              <w:bottom w:val="nil"/>
              <w:right w:val="nil"/>
            </w:tcBorders>
            <w:shd w:val="solid" w:color="FFFFFF" w:fill="auto"/>
          </w:tcPr>
          <w:p w14:paraId="39411740" w14:textId="77777777" w:rsidR="00FA18EA" w:rsidRPr="008B2DDA" w:rsidRDefault="00FA18EA" w:rsidP="00FA18EA">
            <w:pPr>
              <w:autoSpaceDE w:val="0"/>
              <w:autoSpaceDN w:val="0"/>
              <w:adjustRightInd w:val="0"/>
              <w:jc w:val="right"/>
              <w:rPr>
                <w:rFonts w:cstheme="minorHAnsi"/>
                <w:color w:val="000000"/>
                <w:sz w:val="18"/>
                <w:szCs w:val="18"/>
              </w:rPr>
            </w:pPr>
          </w:p>
        </w:tc>
        <w:tc>
          <w:tcPr>
            <w:tcW w:w="238" w:type="dxa"/>
            <w:tcBorders>
              <w:top w:val="single" w:sz="4" w:space="0" w:color="auto"/>
              <w:left w:val="nil"/>
              <w:bottom w:val="nil"/>
              <w:right w:val="nil"/>
            </w:tcBorders>
            <w:shd w:val="solid" w:color="FFFFFF" w:fill="auto"/>
          </w:tcPr>
          <w:p w14:paraId="1125D2D6" w14:textId="77777777" w:rsidR="00FA18EA" w:rsidRPr="000C5053" w:rsidRDefault="00FA18EA" w:rsidP="00FA18EA">
            <w:pPr>
              <w:autoSpaceDE w:val="0"/>
              <w:autoSpaceDN w:val="0"/>
              <w:adjustRightInd w:val="0"/>
              <w:jc w:val="right"/>
              <w:rPr>
                <w:rFonts w:cstheme="minorHAnsi"/>
                <w:color w:val="000000"/>
                <w:sz w:val="18"/>
                <w:szCs w:val="18"/>
              </w:rPr>
            </w:pPr>
          </w:p>
        </w:tc>
        <w:tc>
          <w:tcPr>
            <w:tcW w:w="754" w:type="dxa"/>
            <w:tcBorders>
              <w:top w:val="single" w:sz="4" w:space="0" w:color="auto"/>
              <w:left w:val="nil"/>
              <w:bottom w:val="nil"/>
              <w:right w:val="nil"/>
            </w:tcBorders>
            <w:shd w:val="solid" w:color="FFFFFF" w:fill="auto"/>
          </w:tcPr>
          <w:p w14:paraId="73161463" w14:textId="77777777" w:rsidR="00FA18EA" w:rsidRPr="0091098D" w:rsidRDefault="00FA18EA" w:rsidP="00FA18EA">
            <w:pPr>
              <w:autoSpaceDE w:val="0"/>
              <w:autoSpaceDN w:val="0"/>
              <w:adjustRightInd w:val="0"/>
              <w:jc w:val="center"/>
              <w:rPr>
                <w:rFonts w:cstheme="minorHAnsi"/>
                <w:color w:val="000000"/>
                <w:sz w:val="18"/>
                <w:szCs w:val="18"/>
              </w:rPr>
            </w:pPr>
          </w:p>
        </w:tc>
        <w:tc>
          <w:tcPr>
            <w:tcW w:w="238" w:type="dxa"/>
            <w:tcBorders>
              <w:top w:val="single" w:sz="4" w:space="0" w:color="auto"/>
              <w:left w:val="nil"/>
              <w:bottom w:val="nil"/>
              <w:right w:val="nil"/>
            </w:tcBorders>
            <w:shd w:val="solid" w:color="FFFFFF" w:fill="auto"/>
          </w:tcPr>
          <w:p w14:paraId="31190018" w14:textId="77777777" w:rsidR="00FA18EA" w:rsidRPr="0075195E" w:rsidRDefault="00FA18EA" w:rsidP="00FA18EA">
            <w:pPr>
              <w:autoSpaceDE w:val="0"/>
              <w:autoSpaceDN w:val="0"/>
              <w:adjustRightInd w:val="0"/>
              <w:jc w:val="right"/>
              <w:rPr>
                <w:rFonts w:cstheme="minorHAnsi"/>
                <w:color w:val="000000"/>
                <w:sz w:val="18"/>
                <w:szCs w:val="18"/>
              </w:rPr>
            </w:pPr>
          </w:p>
        </w:tc>
        <w:tc>
          <w:tcPr>
            <w:tcW w:w="1580" w:type="dxa"/>
            <w:tcBorders>
              <w:top w:val="single" w:sz="4" w:space="0" w:color="auto"/>
              <w:left w:val="nil"/>
              <w:bottom w:val="nil"/>
              <w:right w:val="nil"/>
            </w:tcBorders>
            <w:shd w:val="solid" w:color="FFFFFF" w:fill="auto"/>
          </w:tcPr>
          <w:p w14:paraId="27256260" w14:textId="77777777" w:rsidR="00FA18EA" w:rsidRPr="00536A35" w:rsidRDefault="00FA18EA" w:rsidP="00FA18EA">
            <w:pPr>
              <w:autoSpaceDE w:val="0"/>
              <w:autoSpaceDN w:val="0"/>
              <w:adjustRightInd w:val="0"/>
              <w:jc w:val="right"/>
              <w:rPr>
                <w:rFonts w:cstheme="minorHAnsi"/>
                <w:b/>
                <w:bCs/>
                <w:color w:val="000000"/>
                <w:sz w:val="18"/>
                <w:szCs w:val="18"/>
              </w:rPr>
            </w:pPr>
            <w:r w:rsidRPr="00536A35">
              <w:rPr>
                <w:rFonts w:cstheme="minorHAnsi"/>
                <w:b/>
                <w:bCs/>
                <w:color w:val="000000"/>
                <w:sz w:val="18"/>
                <w:szCs w:val="18"/>
              </w:rPr>
              <w:t>663</w:t>
            </w:r>
          </w:p>
        </w:tc>
        <w:tc>
          <w:tcPr>
            <w:tcW w:w="450" w:type="dxa"/>
            <w:tcBorders>
              <w:top w:val="single" w:sz="4" w:space="0" w:color="auto"/>
              <w:left w:val="nil"/>
              <w:bottom w:val="nil"/>
              <w:right w:val="nil"/>
            </w:tcBorders>
            <w:shd w:val="solid" w:color="FFFFFF" w:fill="auto"/>
          </w:tcPr>
          <w:p w14:paraId="603BC58E" w14:textId="77777777" w:rsidR="00FA18EA" w:rsidRPr="00A02B31" w:rsidRDefault="00FA18EA" w:rsidP="00FA18EA">
            <w:pPr>
              <w:autoSpaceDE w:val="0"/>
              <w:autoSpaceDN w:val="0"/>
              <w:adjustRightInd w:val="0"/>
              <w:jc w:val="right"/>
              <w:rPr>
                <w:rFonts w:cstheme="minorHAnsi"/>
                <w:color w:val="000000"/>
                <w:sz w:val="18"/>
                <w:szCs w:val="18"/>
              </w:rPr>
            </w:pPr>
          </w:p>
        </w:tc>
        <w:tc>
          <w:tcPr>
            <w:tcW w:w="1276" w:type="dxa"/>
            <w:tcBorders>
              <w:top w:val="single" w:sz="4" w:space="0" w:color="auto"/>
              <w:left w:val="nil"/>
              <w:bottom w:val="nil"/>
              <w:right w:val="nil"/>
            </w:tcBorders>
            <w:shd w:val="solid" w:color="FFFFFF" w:fill="auto"/>
          </w:tcPr>
          <w:p w14:paraId="7016B9C4" w14:textId="77777777" w:rsidR="00FA18EA" w:rsidRPr="00A02B31" w:rsidRDefault="00FA18EA" w:rsidP="00FA18EA">
            <w:pPr>
              <w:autoSpaceDE w:val="0"/>
              <w:autoSpaceDN w:val="0"/>
              <w:adjustRightInd w:val="0"/>
              <w:jc w:val="right"/>
              <w:rPr>
                <w:rFonts w:cstheme="minorHAnsi"/>
                <w:color w:val="000000"/>
                <w:sz w:val="18"/>
                <w:szCs w:val="18"/>
              </w:rPr>
            </w:pPr>
            <w:r w:rsidRPr="00A02B31">
              <w:rPr>
                <w:rFonts w:cstheme="minorHAnsi"/>
                <w:color w:val="000000"/>
                <w:sz w:val="18"/>
                <w:szCs w:val="18"/>
              </w:rPr>
              <w:t xml:space="preserve">             756 </w:t>
            </w:r>
          </w:p>
        </w:tc>
      </w:tr>
      <w:tr w:rsidR="00FA18EA" w:rsidRPr="007600A7" w14:paraId="4CFDDC87" w14:textId="77777777" w:rsidTr="00FA18EA">
        <w:trPr>
          <w:trHeight w:val="262"/>
        </w:trPr>
        <w:tc>
          <w:tcPr>
            <w:tcW w:w="5275" w:type="dxa"/>
            <w:tcBorders>
              <w:top w:val="nil"/>
              <w:left w:val="nil"/>
              <w:bottom w:val="nil"/>
              <w:right w:val="nil"/>
            </w:tcBorders>
            <w:shd w:val="solid" w:color="FFFFFF" w:fill="auto"/>
          </w:tcPr>
          <w:p w14:paraId="10A8A6BE" w14:textId="77777777" w:rsidR="00FA18EA" w:rsidRPr="008B2DDA" w:rsidRDefault="00FA18EA" w:rsidP="00FA18EA">
            <w:pPr>
              <w:autoSpaceDE w:val="0"/>
              <w:autoSpaceDN w:val="0"/>
              <w:adjustRightInd w:val="0"/>
              <w:rPr>
                <w:rFonts w:cstheme="minorHAnsi"/>
                <w:b/>
                <w:bCs/>
                <w:color w:val="000000"/>
                <w:sz w:val="18"/>
                <w:szCs w:val="18"/>
              </w:rPr>
            </w:pPr>
            <w:r w:rsidRPr="008B2DDA">
              <w:rPr>
                <w:rFonts w:cstheme="minorHAnsi"/>
                <w:b/>
                <w:bCs/>
                <w:color w:val="000000"/>
                <w:sz w:val="18"/>
                <w:szCs w:val="18"/>
              </w:rPr>
              <w:t>Administrative expenses</w:t>
            </w:r>
          </w:p>
        </w:tc>
        <w:tc>
          <w:tcPr>
            <w:tcW w:w="238" w:type="dxa"/>
            <w:tcBorders>
              <w:top w:val="nil"/>
              <w:left w:val="nil"/>
              <w:bottom w:val="nil"/>
              <w:right w:val="nil"/>
            </w:tcBorders>
            <w:shd w:val="solid" w:color="FFFFFF" w:fill="auto"/>
          </w:tcPr>
          <w:p w14:paraId="3111939A" w14:textId="77777777" w:rsidR="00FA18EA" w:rsidRPr="000C5053" w:rsidRDefault="00FA18EA" w:rsidP="00FA18EA">
            <w:pPr>
              <w:autoSpaceDE w:val="0"/>
              <w:autoSpaceDN w:val="0"/>
              <w:adjustRightInd w:val="0"/>
              <w:jc w:val="right"/>
              <w:rPr>
                <w:rFonts w:cstheme="minorHAnsi"/>
                <w:color w:val="000000"/>
                <w:sz w:val="18"/>
                <w:szCs w:val="18"/>
              </w:rPr>
            </w:pPr>
          </w:p>
        </w:tc>
        <w:tc>
          <w:tcPr>
            <w:tcW w:w="754" w:type="dxa"/>
            <w:tcBorders>
              <w:top w:val="nil"/>
              <w:left w:val="nil"/>
              <w:bottom w:val="nil"/>
              <w:right w:val="nil"/>
            </w:tcBorders>
            <w:shd w:val="solid" w:color="FFFFFF" w:fill="auto"/>
          </w:tcPr>
          <w:p w14:paraId="0A5846DA" w14:textId="77777777" w:rsidR="00FA18EA" w:rsidRPr="0091098D" w:rsidRDefault="00FA18EA" w:rsidP="00FA18EA">
            <w:pPr>
              <w:autoSpaceDE w:val="0"/>
              <w:autoSpaceDN w:val="0"/>
              <w:adjustRightInd w:val="0"/>
              <w:jc w:val="center"/>
              <w:rPr>
                <w:rFonts w:cstheme="minorHAnsi"/>
                <w:color w:val="000000"/>
                <w:sz w:val="18"/>
                <w:szCs w:val="18"/>
              </w:rPr>
            </w:pPr>
          </w:p>
        </w:tc>
        <w:tc>
          <w:tcPr>
            <w:tcW w:w="238" w:type="dxa"/>
            <w:tcBorders>
              <w:top w:val="nil"/>
              <w:left w:val="nil"/>
              <w:bottom w:val="nil"/>
              <w:right w:val="nil"/>
            </w:tcBorders>
            <w:shd w:val="solid" w:color="FFFFFF" w:fill="auto"/>
          </w:tcPr>
          <w:p w14:paraId="77A2CCBE" w14:textId="77777777" w:rsidR="00FA18EA" w:rsidRPr="0075195E" w:rsidRDefault="00FA18EA" w:rsidP="00FA18EA">
            <w:pPr>
              <w:autoSpaceDE w:val="0"/>
              <w:autoSpaceDN w:val="0"/>
              <w:adjustRightInd w:val="0"/>
              <w:jc w:val="right"/>
              <w:rPr>
                <w:rFonts w:cstheme="minorHAnsi"/>
                <w:color w:val="000000"/>
                <w:sz w:val="18"/>
                <w:szCs w:val="18"/>
              </w:rPr>
            </w:pPr>
          </w:p>
        </w:tc>
        <w:tc>
          <w:tcPr>
            <w:tcW w:w="1580" w:type="dxa"/>
            <w:tcBorders>
              <w:top w:val="nil"/>
              <w:left w:val="nil"/>
              <w:bottom w:val="nil"/>
              <w:right w:val="nil"/>
            </w:tcBorders>
            <w:shd w:val="solid" w:color="FFFFFF" w:fill="auto"/>
          </w:tcPr>
          <w:p w14:paraId="3B959407" w14:textId="77777777" w:rsidR="00FA18EA" w:rsidRPr="00536A35" w:rsidRDefault="00FA18EA" w:rsidP="00FA18EA">
            <w:pPr>
              <w:autoSpaceDE w:val="0"/>
              <w:autoSpaceDN w:val="0"/>
              <w:adjustRightInd w:val="0"/>
              <w:jc w:val="right"/>
              <w:rPr>
                <w:rFonts w:cstheme="minorHAnsi"/>
                <w:b/>
                <w:bCs/>
                <w:color w:val="000000"/>
                <w:sz w:val="18"/>
                <w:szCs w:val="18"/>
              </w:rPr>
            </w:pPr>
          </w:p>
        </w:tc>
        <w:tc>
          <w:tcPr>
            <w:tcW w:w="450" w:type="dxa"/>
            <w:tcBorders>
              <w:top w:val="nil"/>
              <w:left w:val="nil"/>
              <w:bottom w:val="nil"/>
              <w:right w:val="nil"/>
            </w:tcBorders>
            <w:shd w:val="solid" w:color="FFFFFF" w:fill="auto"/>
          </w:tcPr>
          <w:p w14:paraId="745CA5E2" w14:textId="77777777" w:rsidR="00FA18EA" w:rsidRPr="00A02B31" w:rsidRDefault="00FA18EA" w:rsidP="00FA18EA">
            <w:pPr>
              <w:autoSpaceDE w:val="0"/>
              <w:autoSpaceDN w:val="0"/>
              <w:adjustRightInd w:val="0"/>
              <w:jc w:val="right"/>
              <w:rPr>
                <w:rFonts w:cstheme="minorHAnsi"/>
                <w:color w:val="000000"/>
                <w:sz w:val="18"/>
                <w:szCs w:val="18"/>
              </w:rPr>
            </w:pPr>
          </w:p>
        </w:tc>
        <w:tc>
          <w:tcPr>
            <w:tcW w:w="1276" w:type="dxa"/>
            <w:tcBorders>
              <w:top w:val="nil"/>
              <w:left w:val="nil"/>
              <w:bottom w:val="nil"/>
              <w:right w:val="nil"/>
            </w:tcBorders>
            <w:shd w:val="solid" w:color="FFFFFF" w:fill="auto"/>
          </w:tcPr>
          <w:p w14:paraId="2154CB09" w14:textId="77777777" w:rsidR="00FA18EA" w:rsidRPr="00A02B31" w:rsidRDefault="00FA18EA" w:rsidP="00FA18EA">
            <w:pPr>
              <w:autoSpaceDE w:val="0"/>
              <w:autoSpaceDN w:val="0"/>
              <w:adjustRightInd w:val="0"/>
              <w:jc w:val="right"/>
              <w:rPr>
                <w:rFonts w:cstheme="minorHAnsi"/>
                <w:color w:val="000000"/>
                <w:sz w:val="18"/>
                <w:szCs w:val="18"/>
              </w:rPr>
            </w:pPr>
          </w:p>
        </w:tc>
      </w:tr>
      <w:tr w:rsidR="00FA18EA" w:rsidRPr="007600A7" w14:paraId="45412242" w14:textId="77777777" w:rsidTr="00FA18EA">
        <w:trPr>
          <w:trHeight w:val="262"/>
        </w:trPr>
        <w:tc>
          <w:tcPr>
            <w:tcW w:w="5275" w:type="dxa"/>
            <w:tcBorders>
              <w:top w:val="nil"/>
              <w:left w:val="nil"/>
              <w:bottom w:val="nil"/>
              <w:right w:val="nil"/>
            </w:tcBorders>
            <w:shd w:val="solid" w:color="FFFFFF" w:fill="auto"/>
          </w:tcPr>
          <w:p w14:paraId="42021317" w14:textId="77777777" w:rsidR="00FA18EA" w:rsidRPr="008B2DDA" w:rsidRDefault="00FA18EA" w:rsidP="00FA18EA">
            <w:pPr>
              <w:autoSpaceDE w:val="0"/>
              <w:autoSpaceDN w:val="0"/>
              <w:adjustRightInd w:val="0"/>
              <w:rPr>
                <w:rFonts w:cstheme="minorHAnsi"/>
                <w:color w:val="000000"/>
                <w:sz w:val="18"/>
                <w:szCs w:val="18"/>
              </w:rPr>
            </w:pPr>
            <w:r w:rsidRPr="008B2DDA">
              <w:rPr>
                <w:rFonts w:cstheme="minorHAnsi"/>
                <w:color w:val="000000"/>
                <w:sz w:val="18"/>
                <w:szCs w:val="18"/>
              </w:rPr>
              <w:t>Directors fees and other staff costs</w:t>
            </w:r>
          </w:p>
        </w:tc>
        <w:tc>
          <w:tcPr>
            <w:tcW w:w="238" w:type="dxa"/>
            <w:tcBorders>
              <w:top w:val="nil"/>
              <w:left w:val="nil"/>
              <w:bottom w:val="nil"/>
              <w:right w:val="nil"/>
            </w:tcBorders>
            <w:shd w:val="solid" w:color="FFFFFF" w:fill="auto"/>
          </w:tcPr>
          <w:p w14:paraId="64A33058" w14:textId="77777777" w:rsidR="00FA18EA" w:rsidRPr="000C5053" w:rsidRDefault="00FA18EA" w:rsidP="00FA18EA">
            <w:pPr>
              <w:autoSpaceDE w:val="0"/>
              <w:autoSpaceDN w:val="0"/>
              <w:adjustRightInd w:val="0"/>
              <w:jc w:val="right"/>
              <w:rPr>
                <w:rFonts w:cstheme="minorHAnsi"/>
                <w:color w:val="000000"/>
                <w:sz w:val="18"/>
                <w:szCs w:val="18"/>
              </w:rPr>
            </w:pPr>
          </w:p>
        </w:tc>
        <w:tc>
          <w:tcPr>
            <w:tcW w:w="754" w:type="dxa"/>
            <w:tcBorders>
              <w:top w:val="nil"/>
              <w:left w:val="nil"/>
              <w:bottom w:val="nil"/>
              <w:right w:val="nil"/>
            </w:tcBorders>
            <w:shd w:val="solid" w:color="FFFFFF" w:fill="auto"/>
          </w:tcPr>
          <w:p w14:paraId="63829BC0" w14:textId="77777777" w:rsidR="00FA18EA" w:rsidRPr="0091098D" w:rsidRDefault="00FA18EA" w:rsidP="00FA18EA">
            <w:pPr>
              <w:autoSpaceDE w:val="0"/>
              <w:autoSpaceDN w:val="0"/>
              <w:adjustRightInd w:val="0"/>
              <w:jc w:val="center"/>
              <w:rPr>
                <w:rFonts w:cstheme="minorHAnsi"/>
                <w:color w:val="000000"/>
                <w:sz w:val="18"/>
                <w:szCs w:val="18"/>
              </w:rPr>
            </w:pPr>
            <w:r w:rsidRPr="0091098D">
              <w:rPr>
                <w:rFonts w:cstheme="minorHAnsi"/>
                <w:color w:val="000000"/>
                <w:sz w:val="18"/>
                <w:szCs w:val="18"/>
              </w:rPr>
              <w:t>3</w:t>
            </w:r>
          </w:p>
        </w:tc>
        <w:tc>
          <w:tcPr>
            <w:tcW w:w="238" w:type="dxa"/>
            <w:tcBorders>
              <w:top w:val="nil"/>
              <w:left w:val="nil"/>
              <w:bottom w:val="nil"/>
              <w:right w:val="nil"/>
            </w:tcBorders>
            <w:shd w:val="solid" w:color="FFFFFF" w:fill="auto"/>
          </w:tcPr>
          <w:p w14:paraId="249DF14A" w14:textId="77777777" w:rsidR="00FA18EA" w:rsidRPr="0075195E" w:rsidRDefault="00FA18EA" w:rsidP="00FA18EA">
            <w:pPr>
              <w:autoSpaceDE w:val="0"/>
              <w:autoSpaceDN w:val="0"/>
              <w:adjustRightInd w:val="0"/>
              <w:jc w:val="right"/>
              <w:rPr>
                <w:rFonts w:cstheme="minorHAnsi"/>
                <w:color w:val="000000"/>
                <w:sz w:val="18"/>
                <w:szCs w:val="18"/>
              </w:rPr>
            </w:pPr>
          </w:p>
        </w:tc>
        <w:tc>
          <w:tcPr>
            <w:tcW w:w="1580" w:type="dxa"/>
            <w:tcBorders>
              <w:top w:val="nil"/>
              <w:left w:val="nil"/>
              <w:bottom w:val="nil"/>
              <w:right w:val="nil"/>
            </w:tcBorders>
            <w:shd w:val="solid" w:color="FFFFFF" w:fill="auto"/>
          </w:tcPr>
          <w:p w14:paraId="5A3E63DF" w14:textId="77777777" w:rsidR="00FA18EA" w:rsidRPr="00536A35" w:rsidRDefault="00FA18EA" w:rsidP="00FA18EA">
            <w:pPr>
              <w:autoSpaceDE w:val="0"/>
              <w:autoSpaceDN w:val="0"/>
              <w:adjustRightInd w:val="0"/>
              <w:jc w:val="right"/>
              <w:rPr>
                <w:rFonts w:cstheme="minorHAnsi"/>
                <w:b/>
                <w:bCs/>
                <w:color w:val="000000"/>
                <w:sz w:val="18"/>
                <w:szCs w:val="18"/>
              </w:rPr>
            </w:pPr>
            <w:r w:rsidRPr="00536A35">
              <w:rPr>
                <w:rFonts w:cstheme="minorHAnsi"/>
                <w:b/>
                <w:bCs/>
                <w:color w:val="000000"/>
                <w:sz w:val="18"/>
                <w:szCs w:val="18"/>
              </w:rPr>
              <w:t>(173)</w:t>
            </w:r>
          </w:p>
        </w:tc>
        <w:tc>
          <w:tcPr>
            <w:tcW w:w="450" w:type="dxa"/>
            <w:tcBorders>
              <w:top w:val="nil"/>
              <w:left w:val="nil"/>
              <w:bottom w:val="nil"/>
              <w:right w:val="nil"/>
            </w:tcBorders>
            <w:shd w:val="solid" w:color="FFFFFF" w:fill="auto"/>
          </w:tcPr>
          <w:p w14:paraId="268A4080" w14:textId="77777777" w:rsidR="00FA18EA" w:rsidRPr="00A02B31" w:rsidRDefault="00FA18EA" w:rsidP="00FA18EA">
            <w:pPr>
              <w:autoSpaceDE w:val="0"/>
              <w:autoSpaceDN w:val="0"/>
              <w:adjustRightInd w:val="0"/>
              <w:jc w:val="right"/>
              <w:rPr>
                <w:rFonts w:cstheme="minorHAnsi"/>
                <w:color w:val="000000"/>
                <w:sz w:val="18"/>
                <w:szCs w:val="18"/>
              </w:rPr>
            </w:pPr>
          </w:p>
        </w:tc>
        <w:tc>
          <w:tcPr>
            <w:tcW w:w="1276" w:type="dxa"/>
            <w:tcBorders>
              <w:top w:val="nil"/>
              <w:left w:val="nil"/>
              <w:bottom w:val="nil"/>
              <w:right w:val="nil"/>
            </w:tcBorders>
            <w:shd w:val="solid" w:color="FFFFFF" w:fill="auto"/>
          </w:tcPr>
          <w:p w14:paraId="20D923DA" w14:textId="77777777" w:rsidR="00FA18EA" w:rsidRPr="00A02B31" w:rsidRDefault="00FA18EA" w:rsidP="00FA18EA">
            <w:pPr>
              <w:autoSpaceDE w:val="0"/>
              <w:autoSpaceDN w:val="0"/>
              <w:adjustRightInd w:val="0"/>
              <w:jc w:val="right"/>
              <w:rPr>
                <w:rFonts w:cstheme="minorHAnsi"/>
                <w:color w:val="000000"/>
                <w:sz w:val="18"/>
                <w:szCs w:val="18"/>
              </w:rPr>
            </w:pPr>
            <w:r w:rsidRPr="00A02B31">
              <w:rPr>
                <w:rFonts w:cstheme="minorHAnsi"/>
                <w:color w:val="000000"/>
                <w:sz w:val="18"/>
                <w:szCs w:val="18"/>
              </w:rPr>
              <w:t xml:space="preserve">            (148)</w:t>
            </w:r>
          </w:p>
        </w:tc>
      </w:tr>
      <w:tr w:rsidR="00FA18EA" w:rsidRPr="007600A7" w14:paraId="086B969E" w14:textId="77777777" w:rsidTr="00FA18EA">
        <w:trPr>
          <w:trHeight w:val="262"/>
        </w:trPr>
        <w:tc>
          <w:tcPr>
            <w:tcW w:w="5275" w:type="dxa"/>
            <w:tcBorders>
              <w:top w:val="nil"/>
              <w:left w:val="nil"/>
              <w:right w:val="nil"/>
            </w:tcBorders>
            <w:shd w:val="solid" w:color="FFFFFF" w:fill="auto"/>
          </w:tcPr>
          <w:p w14:paraId="6ECC236D" w14:textId="77777777" w:rsidR="00FA18EA" w:rsidRPr="008B2DDA" w:rsidRDefault="00FA18EA" w:rsidP="00FA18EA">
            <w:pPr>
              <w:autoSpaceDE w:val="0"/>
              <w:autoSpaceDN w:val="0"/>
              <w:adjustRightInd w:val="0"/>
              <w:rPr>
                <w:rFonts w:cstheme="minorHAnsi"/>
                <w:color w:val="000000"/>
                <w:sz w:val="18"/>
                <w:szCs w:val="18"/>
              </w:rPr>
            </w:pPr>
            <w:r w:rsidRPr="008B2DDA">
              <w:rPr>
                <w:rFonts w:cstheme="minorHAnsi"/>
                <w:color w:val="000000"/>
                <w:sz w:val="18"/>
                <w:szCs w:val="18"/>
              </w:rPr>
              <w:t>Performance fee</w:t>
            </w:r>
          </w:p>
        </w:tc>
        <w:tc>
          <w:tcPr>
            <w:tcW w:w="238" w:type="dxa"/>
            <w:tcBorders>
              <w:top w:val="nil"/>
              <w:left w:val="nil"/>
              <w:right w:val="nil"/>
            </w:tcBorders>
            <w:shd w:val="solid" w:color="FFFFFF" w:fill="auto"/>
          </w:tcPr>
          <w:p w14:paraId="28780A8E" w14:textId="77777777" w:rsidR="00FA18EA" w:rsidRPr="000C5053" w:rsidRDefault="00FA18EA" w:rsidP="00FA18EA">
            <w:pPr>
              <w:autoSpaceDE w:val="0"/>
              <w:autoSpaceDN w:val="0"/>
              <w:adjustRightInd w:val="0"/>
              <w:jc w:val="right"/>
              <w:rPr>
                <w:rFonts w:cstheme="minorHAnsi"/>
                <w:color w:val="000000"/>
                <w:sz w:val="18"/>
                <w:szCs w:val="18"/>
              </w:rPr>
            </w:pPr>
          </w:p>
        </w:tc>
        <w:tc>
          <w:tcPr>
            <w:tcW w:w="754" w:type="dxa"/>
            <w:tcBorders>
              <w:top w:val="nil"/>
              <w:left w:val="nil"/>
              <w:right w:val="nil"/>
            </w:tcBorders>
            <w:shd w:val="solid" w:color="FFFFFF" w:fill="auto"/>
          </w:tcPr>
          <w:p w14:paraId="2039AA1A" w14:textId="77777777" w:rsidR="00FA18EA" w:rsidRPr="0091098D" w:rsidRDefault="00FA18EA" w:rsidP="00FA18EA">
            <w:pPr>
              <w:autoSpaceDE w:val="0"/>
              <w:autoSpaceDN w:val="0"/>
              <w:adjustRightInd w:val="0"/>
              <w:jc w:val="center"/>
              <w:rPr>
                <w:rFonts w:cstheme="minorHAnsi"/>
                <w:color w:val="000000"/>
                <w:sz w:val="18"/>
                <w:szCs w:val="18"/>
              </w:rPr>
            </w:pPr>
            <w:r w:rsidRPr="0091098D">
              <w:rPr>
                <w:rFonts w:cstheme="minorHAnsi"/>
                <w:color w:val="000000"/>
                <w:sz w:val="18"/>
                <w:szCs w:val="18"/>
              </w:rPr>
              <w:t>11</w:t>
            </w:r>
          </w:p>
        </w:tc>
        <w:tc>
          <w:tcPr>
            <w:tcW w:w="238" w:type="dxa"/>
            <w:tcBorders>
              <w:top w:val="nil"/>
              <w:left w:val="nil"/>
              <w:right w:val="nil"/>
            </w:tcBorders>
            <w:shd w:val="solid" w:color="FFFFFF" w:fill="auto"/>
          </w:tcPr>
          <w:p w14:paraId="5F3F69FB" w14:textId="77777777" w:rsidR="00FA18EA" w:rsidRPr="0075195E" w:rsidRDefault="00FA18EA" w:rsidP="00FA18EA">
            <w:pPr>
              <w:autoSpaceDE w:val="0"/>
              <w:autoSpaceDN w:val="0"/>
              <w:adjustRightInd w:val="0"/>
              <w:jc w:val="right"/>
              <w:rPr>
                <w:rFonts w:cstheme="minorHAnsi"/>
                <w:color w:val="000000"/>
                <w:sz w:val="18"/>
                <w:szCs w:val="18"/>
              </w:rPr>
            </w:pPr>
          </w:p>
        </w:tc>
        <w:tc>
          <w:tcPr>
            <w:tcW w:w="1580" w:type="dxa"/>
            <w:tcBorders>
              <w:top w:val="nil"/>
              <w:left w:val="nil"/>
              <w:right w:val="nil"/>
            </w:tcBorders>
            <w:shd w:val="solid" w:color="FFFFFF" w:fill="auto"/>
          </w:tcPr>
          <w:p w14:paraId="1ED1A76A" w14:textId="77777777" w:rsidR="00FA18EA" w:rsidRPr="00536A35" w:rsidRDefault="00FA18EA" w:rsidP="00FA18EA">
            <w:pPr>
              <w:autoSpaceDE w:val="0"/>
              <w:autoSpaceDN w:val="0"/>
              <w:adjustRightInd w:val="0"/>
              <w:jc w:val="right"/>
              <w:rPr>
                <w:rFonts w:cstheme="minorHAnsi"/>
                <w:b/>
                <w:bCs/>
                <w:color w:val="000000"/>
                <w:sz w:val="18"/>
                <w:szCs w:val="18"/>
              </w:rPr>
            </w:pPr>
            <w:r w:rsidRPr="00536A35">
              <w:rPr>
                <w:rFonts w:cstheme="minorHAnsi"/>
                <w:b/>
                <w:bCs/>
                <w:color w:val="000000"/>
                <w:sz w:val="18"/>
                <w:szCs w:val="18"/>
              </w:rPr>
              <w:t>(2,772)</w:t>
            </w:r>
          </w:p>
        </w:tc>
        <w:tc>
          <w:tcPr>
            <w:tcW w:w="450" w:type="dxa"/>
            <w:tcBorders>
              <w:top w:val="nil"/>
              <w:left w:val="nil"/>
              <w:right w:val="nil"/>
            </w:tcBorders>
            <w:shd w:val="solid" w:color="FFFFFF" w:fill="auto"/>
          </w:tcPr>
          <w:p w14:paraId="6C105031" w14:textId="77777777" w:rsidR="00FA18EA" w:rsidRPr="00A02B31" w:rsidRDefault="00FA18EA" w:rsidP="00FA18EA">
            <w:pPr>
              <w:autoSpaceDE w:val="0"/>
              <w:autoSpaceDN w:val="0"/>
              <w:adjustRightInd w:val="0"/>
              <w:jc w:val="right"/>
              <w:rPr>
                <w:rFonts w:cstheme="minorHAnsi"/>
                <w:color w:val="000000"/>
                <w:sz w:val="18"/>
                <w:szCs w:val="18"/>
              </w:rPr>
            </w:pPr>
          </w:p>
        </w:tc>
        <w:tc>
          <w:tcPr>
            <w:tcW w:w="1276" w:type="dxa"/>
            <w:tcBorders>
              <w:top w:val="nil"/>
              <w:left w:val="nil"/>
              <w:right w:val="nil"/>
            </w:tcBorders>
            <w:shd w:val="solid" w:color="FFFFFF" w:fill="auto"/>
          </w:tcPr>
          <w:p w14:paraId="48E15AF7" w14:textId="77777777" w:rsidR="00FA18EA" w:rsidRPr="00A02B31" w:rsidRDefault="00FA18EA" w:rsidP="00FA18EA">
            <w:pPr>
              <w:autoSpaceDE w:val="0"/>
              <w:autoSpaceDN w:val="0"/>
              <w:adjustRightInd w:val="0"/>
              <w:jc w:val="right"/>
              <w:rPr>
                <w:rFonts w:cstheme="minorHAnsi"/>
                <w:color w:val="000000"/>
                <w:sz w:val="18"/>
                <w:szCs w:val="18"/>
              </w:rPr>
            </w:pPr>
            <w:r w:rsidRPr="00A02B31">
              <w:rPr>
                <w:rFonts w:cstheme="minorHAnsi"/>
                <w:color w:val="000000"/>
                <w:sz w:val="18"/>
                <w:szCs w:val="18"/>
              </w:rPr>
              <w:t xml:space="preserve">        (2,294)</w:t>
            </w:r>
          </w:p>
        </w:tc>
      </w:tr>
      <w:tr w:rsidR="00FA18EA" w:rsidRPr="007600A7" w14:paraId="07FDF072" w14:textId="77777777" w:rsidTr="00FA18EA">
        <w:trPr>
          <w:trHeight w:val="262"/>
        </w:trPr>
        <w:tc>
          <w:tcPr>
            <w:tcW w:w="5275" w:type="dxa"/>
            <w:tcBorders>
              <w:top w:val="nil"/>
              <w:left w:val="nil"/>
              <w:bottom w:val="single" w:sz="4" w:space="0" w:color="auto"/>
              <w:right w:val="nil"/>
            </w:tcBorders>
            <w:shd w:val="solid" w:color="FFFFFF" w:fill="auto"/>
          </w:tcPr>
          <w:p w14:paraId="227DD98E" w14:textId="77777777" w:rsidR="00FA18EA" w:rsidRPr="008B2DDA" w:rsidRDefault="00FA18EA" w:rsidP="00FA18EA">
            <w:pPr>
              <w:autoSpaceDE w:val="0"/>
              <w:autoSpaceDN w:val="0"/>
              <w:adjustRightInd w:val="0"/>
              <w:rPr>
                <w:rFonts w:cstheme="minorHAnsi"/>
                <w:color w:val="000000"/>
                <w:sz w:val="18"/>
                <w:szCs w:val="18"/>
              </w:rPr>
            </w:pPr>
            <w:r w:rsidRPr="008B2DDA">
              <w:rPr>
                <w:rFonts w:cstheme="minorHAnsi"/>
                <w:color w:val="000000"/>
                <w:sz w:val="18"/>
                <w:szCs w:val="18"/>
              </w:rPr>
              <w:t>Other costs</w:t>
            </w:r>
          </w:p>
        </w:tc>
        <w:tc>
          <w:tcPr>
            <w:tcW w:w="238" w:type="dxa"/>
            <w:tcBorders>
              <w:top w:val="nil"/>
              <w:left w:val="nil"/>
              <w:bottom w:val="single" w:sz="4" w:space="0" w:color="auto"/>
              <w:right w:val="nil"/>
            </w:tcBorders>
            <w:shd w:val="solid" w:color="FFFFFF" w:fill="auto"/>
          </w:tcPr>
          <w:p w14:paraId="510FF23A" w14:textId="77777777" w:rsidR="00FA18EA" w:rsidRPr="000C5053" w:rsidRDefault="00FA18EA" w:rsidP="00FA18EA">
            <w:pPr>
              <w:autoSpaceDE w:val="0"/>
              <w:autoSpaceDN w:val="0"/>
              <w:adjustRightInd w:val="0"/>
              <w:jc w:val="right"/>
              <w:rPr>
                <w:rFonts w:cstheme="minorHAnsi"/>
                <w:color w:val="000000"/>
                <w:sz w:val="18"/>
                <w:szCs w:val="18"/>
              </w:rPr>
            </w:pPr>
          </w:p>
        </w:tc>
        <w:tc>
          <w:tcPr>
            <w:tcW w:w="754" w:type="dxa"/>
            <w:tcBorders>
              <w:top w:val="nil"/>
              <w:left w:val="nil"/>
              <w:bottom w:val="single" w:sz="4" w:space="0" w:color="auto"/>
              <w:right w:val="nil"/>
            </w:tcBorders>
            <w:shd w:val="solid" w:color="FFFFFF" w:fill="auto"/>
          </w:tcPr>
          <w:p w14:paraId="6BCC8C82" w14:textId="77777777" w:rsidR="00FA18EA" w:rsidRPr="0091098D" w:rsidRDefault="00FA18EA" w:rsidP="00FA18EA">
            <w:pPr>
              <w:autoSpaceDE w:val="0"/>
              <w:autoSpaceDN w:val="0"/>
              <w:adjustRightInd w:val="0"/>
              <w:jc w:val="center"/>
              <w:rPr>
                <w:rFonts w:cstheme="minorHAnsi"/>
                <w:color w:val="000000"/>
                <w:sz w:val="18"/>
                <w:szCs w:val="18"/>
              </w:rPr>
            </w:pPr>
            <w:r w:rsidRPr="0091098D">
              <w:rPr>
                <w:rFonts w:cstheme="minorHAnsi"/>
                <w:color w:val="000000"/>
                <w:sz w:val="18"/>
                <w:szCs w:val="18"/>
              </w:rPr>
              <w:t>4</w:t>
            </w:r>
          </w:p>
        </w:tc>
        <w:tc>
          <w:tcPr>
            <w:tcW w:w="238" w:type="dxa"/>
            <w:tcBorders>
              <w:top w:val="nil"/>
              <w:left w:val="nil"/>
              <w:bottom w:val="single" w:sz="4" w:space="0" w:color="auto"/>
              <w:right w:val="nil"/>
            </w:tcBorders>
            <w:shd w:val="solid" w:color="FFFFFF" w:fill="auto"/>
          </w:tcPr>
          <w:p w14:paraId="21375795" w14:textId="77777777" w:rsidR="00FA18EA" w:rsidRPr="0075195E" w:rsidRDefault="00FA18EA" w:rsidP="00FA18EA">
            <w:pPr>
              <w:autoSpaceDE w:val="0"/>
              <w:autoSpaceDN w:val="0"/>
              <w:adjustRightInd w:val="0"/>
              <w:jc w:val="right"/>
              <w:rPr>
                <w:rFonts w:cstheme="minorHAnsi"/>
                <w:color w:val="000000"/>
                <w:sz w:val="18"/>
                <w:szCs w:val="18"/>
              </w:rPr>
            </w:pPr>
          </w:p>
        </w:tc>
        <w:tc>
          <w:tcPr>
            <w:tcW w:w="1580" w:type="dxa"/>
            <w:tcBorders>
              <w:top w:val="nil"/>
              <w:left w:val="nil"/>
              <w:bottom w:val="single" w:sz="4" w:space="0" w:color="auto"/>
              <w:right w:val="nil"/>
            </w:tcBorders>
            <w:shd w:val="solid" w:color="FFFFFF" w:fill="auto"/>
          </w:tcPr>
          <w:p w14:paraId="6327A872" w14:textId="77777777" w:rsidR="00FA18EA" w:rsidRPr="00536A35" w:rsidRDefault="00FA18EA" w:rsidP="00FA18EA">
            <w:pPr>
              <w:autoSpaceDE w:val="0"/>
              <w:autoSpaceDN w:val="0"/>
              <w:adjustRightInd w:val="0"/>
              <w:jc w:val="right"/>
              <w:rPr>
                <w:rFonts w:cstheme="minorHAnsi"/>
                <w:b/>
                <w:bCs/>
                <w:color w:val="000000"/>
                <w:sz w:val="18"/>
                <w:szCs w:val="18"/>
              </w:rPr>
            </w:pPr>
            <w:r w:rsidRPr="00536A35">
              <w:rPr>
                <w:rFonts w:cstheme="minorHAnsi"/>
                <w:b/>
                <w:bCs/>
                <w:color w:val="000000"/>
                <w:sz w:val="18"/>
                <w:szCs w:val="18"/>
              </w:rPr>
              <w:t>(2,302)</w:t>
            </w:r>
          </w:p>
        </w:tc>
        <w:tc>
          <w:tcPr>
            <w:tcW w:w="450" w:type="dxa"/>
            <w:tcBorders>
              <w:top w:val="nil"/>
              <w:left w:val="nil"/>
              <w:bottom w:val="single" w:sz="4" w:space="0" w:color="auto"/>
              <w:right w:val="nil"/>
            </w:tcBorders>
            <w:shd w:val="solid" w:color="FFFFFF" w:fill="auto"/>
          </w:tcPr>
          <w:p w14:paraId="03761BE6" w14:textId="77777777" w:rsidR="00FA18EA" w:rsidRPr="00A02B31" w:rsidRDefault="00FA18EA" w:rsidP="00FA18EA">
            <w:pPr>
              <w:autoSpaceDE w:val="0"/>
              <w:autoSpaceDN w:val="0"/>
              <w:adjustRightInd w:val="0"/>
              <w:jc w:val="right"/>
              <w:rPr>
                <w:rFonts w:cstheme="minorHAnsi"/>
                <w:color w:val="000000"/>
                <w:sz w:val="18"/>
                <w:szCs w:val="18"/>
              </w:rPr>
            </w:pPr>
          </w:p>
        </w:tc>
        <w:tc>
          <w:tcPr>
            <w:tcW w:w="1276" w:type="dxa"/>
            <w:tcBorders>
              <w:top w:val="nil"/>
              <w:left w:val="nil"/>
              <w:bottom w:val="single" w:sz="4" w:space="0" w:color="auto"/>
              <w:right w:val="nil"/>
            </w:tcBorders>
            <w:shd w:val="solid" w:color="FFFFFF" w:fill="auto"/>
          </w:tcPr>
          <w:p w14:paraId="6518EB0B" w14:textId="77777777" w:rsidR="00FA18EA" w:rsidRPr="00A02B31" w:rsidRDefault="00FA18EA" w:rsidP="00FA18EA">
            <w:pPr>
              <w:autoSpaceDE w:val="0"/>
              <w:autoSpaceDN w:val="0"/>
              <w:adjustRightInd w:val="0"/>
              <w:jc w:val="right"/>
              <w:rPr>
                <w:rFonts w:cstheme="minorHAnsi"/>
                <w:color w:val="000000"/>
                <w:sz w:val="18"/>
                <w:szCs w:val="18"/>
              </w:rPr>
            </w:pPr>
            <w:r w:rsidRPr="00A02B31">
              <w:rPr>
                <w:rFonts w:cstheme="minorHAnsi"/>
                <w:color w:val="000000"/>
                <w:sz w:val="18"/>
                <w:szCs w:val="18"/>
              </w:rPr>
              <w:t xml:space="preserve">         (1,539)</w:t>
            </w:r>
          </w:p>
        </w:tc>
      </w:tr>
      <w:tr w:rsidR="00FA18EA" w:rsidRPr="007600A7" w14:paraId="68656B80" w14:textId="77777777" w:rsidTr="00FA18EA">
        <w:trPr>
          <w:trHeight w:val="262"/>
        </w:trPr>
        <w:tc>
          <w:tcPr>
            <w:tcW w:w="5275" w:type="dxa"/>
            <w:tcBorders>
              <w:top w:val="single" w:sz="4" w:space="0" w:color="auto"/>
              <w:left w:val="nil"/>
              <w:bottom w:val="single" w:sz="4" w:space="0" w:color="auto"/>
              <w:right w:val="nil"/>
            </w:tcBorders>
            <w:shd w:val="solid" w:color="FFFFFF" w:fill="auto"/>
          </w:tcPr>
          <w:p w14:paraId="33FE0B06" w14:textId="77777777" w:rsidR="00FA18EA" w:rsidRPr="008B2DDA" w:rsidRDefault="00FA18EA" w:rsidP="00FA18EA">
            <w:pPr>
              <w:autoSpaceDE w:val="0"/>
              <w:autoSpaceDN w:val="0"/>
              <w:adjustRightInd w:val="0"/>
              <w:rPr>
                <w:rFonts w:cstheme="minorHAnsi"/>
                <w:b/>
                <w:bCs/>
                <w:color w:val="000000"/>
                <w:sz w:val="18"/>
                <w:szCs w:val="18"/>
              </w:rPr>
            </w:pPr>
            <w:r w:rsidRPr="008B2DDA">
              <w:rPr>
                <w:rFonts w:cstheme="minorHAnsi"/>
                <w:b/>
                <w:bCs/>
                <w:color w:val="000000"/>
                <w:sz w:val="18"/>
                <w:szCs w:val="18"/>
              </w:rPr>
              <w:t>Total administrative expenses</w:t>
            </w:r>
          </w:p>
        </w:tc>
        <w:tc>
          <w:tcPr>
            <w:tcW w:w="238" w:type="dxa"/>
            <w:tcBorders>
              <w:top w:val="single" w:sz="4" w:space="0" w:color="auto"/>
              <w:left w:val="nil"/>
              <w:bottom w:val="single" w:sz="4" w:space="0" w:color="auto"/>
              <w:right w:val="nil"/>
            </w:tcBorders>
            <w:shd w:val="solid" w:color="FFFFFF" w:fill="auto"/>
          </w:tcPr>
          <w:p w14:paraId="33F9B534" w14:textId="77777777" w:rsidR="00FA18EA" w:rsidRPr="000C5053" w:rsidRDefault="00FA18EA" w:rsidP="00FA18EA">
            <w:pPr>
              <w:autoSpaceDE w:val="0"/>
              <w:autoSpaceDN w:val="0"/>
              <w:adjustRightInd w:val="0"/>
              <w:jc w:val="right"/>
              <w:rPr>
                <w:rFonts w:cstheme="minorHAnsi"/>
                <w:color w:val="000000"/>
                <w:sz w:val="18"/>
                <w:szCs w:val="18"/>
              </w:rPr>
            </w:pPr>
          </w:p>
        </w:tc>
        <w:tc>
          <w:tcPr>
            <w:tcW w:w="754" w:type="dxa"/>
            <w:tcBorders>
              <w:top w:val="single" w:sz="4" w:space="0" w:color="auto"/>
              <w:left w:val="nil"/>
              <w:bottom w:val="single" w:sz="4" w:space="0" w:color="auto"/>
              <w:right w:val="nil"/>
            </w:tcBorders>
            <w:shd w:val="solid" w:color="FFFFFF" w:fill="auto"/>
          </w:tcPr>
          <w:p w14:paraId="0DA9656F" w14:textId="77777777" w:rsidR="00FA18EA" w:rsidRPr="0091098D" w:rsidRDefault="00FA18EA" w:rsidP="00FA18EA">
            <w:pPr>
              <w:autoSpaceDE w:val="0"/>
              <w:autoSpaceDN w:val="0"/>
              <w:adjustRightInd w:val="0"/>
              <w:jc w:val="center"/>
              <w:rPr>
                <w:rFonts w:cstheme="minorHAnsi"/>
                <w:color w:val="000000"/>
                <w:sz w:val="18"/>
                <w:szCs w:val="18"/>
              </w:rPr>
            </w:pPr>
          </w:p>
        </w:tc>
        <w:tc>
          <w:tcPr>
            <w:tcW w:w="238" w:type="dxa"/>
            <w:tcBorders>
              <w:top w:val="single" w:sz="4" w:space="0" w:color="auto"/>
              <w:left w:val="nil"/>
              <w:bottom w:val="single" w:sz="4" w:space="0" w:color="auto"/>
              <w:right w:val="nil"/>
            </w:tcBorders>
            <w:shd w:val="solid" w:color="FFFFFF" w:fill="auto"/>
          </w:tcPr>
          <w:p w14:paraId="36A50920" w14:textId="77777777" w:rsidR="00FA18EA" w:rsidRPr="0075195E" w:rsidRDefault="00FA18EA" w:rsidP="00FA18EA">
            <w:pPr>
              <w:autoSpaceDE w:val="0"/>
              <w:autoSpaceDN w:val="0"/>
              <w:adjustRightInd w:val="0"/>
              <w:jc w:val="right"/>
              <w:rPr>
                <w:rFonts w:cstheme="minorHAnsi"/>
                <w:color w:val="000000"/>
                <w:sz w:val="18"/>
                <w:szCs w:val="18"/>
              </w:rPr>
            </w:pPr>
          </w:p>
        </w:tc>
        <w:tc>
          <w:tcPr>
            <w:tcW w:w="1580" w:type="dxa"/>
            <w:tcBorders>
              <w:top w:val="single" w:sz="4" w:space="0" w:color="auto"/>
              <w:left w:val="nil"/>
              <w:bottom w:val="single" w:sz="4" w:space="0" w:color="auto"/>
              <w:right w:val="nil"/>
            </w:tcBorders>
            <w:shd w:val="solid" w:color="FFFFFF" w:fill="auto"/>
          </w:tcPr>
          <w:p w14:paraId="745BD422" w14:textId="77777777" w:rsidR="00FA18EA" w:rsidRPr="00536A35" w:rsidRDefault="00FA18EA" w:rsidP="00FA18EA">
            <w:pPr>
              <w:autoSpaceDE w:val="0"/>
              <w:autoSpaceDN w:val="0"/>
              <w:adjustRightInd w:val="0"/>
              <w:jc w:val="right"/>
              <w:rPr>
                <w:rFonts w:cstheme="minorHAnsi"/>
                <w:b/>
                <w:bCs/>
                <w:color w:val="000000"/>
                <w:sz w:val="18"/>
                <w:szCs w:val="18"/>
              </w:rPr>
            </w:pPr>
            <w:r w:rsidRPr="00536A35">
              <w:rPr>
                <w:rFonts w:cstheme="minorHAnsi"/>
                <w:b/>
                <w:bCs/>
                <w:color w:val="000000"/>
                <w:sz w:val="18"/>
                <w:szCs w:val="18"/>
              </w:rPr>
              <w:t>(5,247)</w:t>
            </w:r>
          </w:p>
        </w:tc>
        <w:tc>
          <w:tcPr>
            <w:tcW w:w="450" w:type="dxa"/>
            <w:tcBorders>
              <w:top w:val="single" w:sz="4" w:space="0" w:color="auto"/>
              <w:left w:val="nil"/>
              <w:bottom w:val="single" w:sz="4" w:space="0" w:color="auto"/>
              <w:right w:val="nil"/>
            </w:tcBorders>
            <w:shd w:val="solid" w:color="FFFFFF" w:fill="auto"/>
          </w:tcPr>
          <w:p w14:paraId="01E60F72" w14:textId="77777777" w:rsidR="00FA18EA" w:rsidRPr="00A02B31" w:rsidRDefault="00FA18EA" w:rsidP="00FA18EA">
            <w:pPr>
              <w:autoSpaceDE w:val="0"/>
              <w:autoSpaceDN w:val="0"/>
              <w:adjustRightInd w:val="0"/>
              <w:jc w:val="right"/>
              <w:rPr>
                <w:rFonts w:cstheme="minorHAnsi"/>
                <w:color w:val="000000"/>
                <w:sz w:val="18"/>
                <w:szCs w:val="18"/>
              </w:rPr>
            </w:pPr>
          </w:p>
        </w:tc>
        <w:tc>
          <w:tcPr>
            <w:tcW w:w="1276" w:type="dxa"/>
            <w:tcBorders>
              <w:top w:val="single" w:sz="4" w:space="0" w:color="auto"/>
              <w:left w:val="nil"/>
              <w:bottom w:val="single" w:sz="4" w:space="0" w:color="auto"/>
              <w:right w:val="nil"/>
            </w:tcBorders>
            <w:shd w:val="solid" w:color="FFFFFF" w:fill="auto"/>
          </w:tcPr>
          <w:p w14:paraId="71EB3BE3" w14:textId="77777777" w:rsidR="00FA18EA" w:rsidRPr="00A02B31" w:rsidRDefault="00FA18EA" w:rsidP="00FA18EA">
            <w:pPr>
              <w:autoSpaceDE w:val="0"/>
              <w:autoSpaceDN w:val="0"/>
              <w:adjustRightInd w:val="0"/>
              <w:jc w:val="right"/>
              <w:rPr>
                <w:rFonts w:cstheme="minorHAnsi"/>
                <w:color w:val="000000"/>
                <w:sz w:val="18"/>
                <w:szCs w:val="18"/>
              </w:rPr>
            </w:pPr>
            <w:r w:rsidRPr="00A02B31">
              <w:rPr>
                <w:rFonts w:cstheme="minorHAnsi"/>
                <w:color w:val="000000"/>
                <w:sz w:val="18"/>
                <w:szCs w:val="18"/>
              </w:rPr>
              <w:t xml:space="preserve">         (3,981)</w:t>
            </w:r>
          </w:p>
        </w:tc>
      </w:tr>
      <w:tr w:rsidR="00FA18EA" w:rsidRPr="007600A7" w14:paraId="0A31FF53" w14:textId="77777777" w:rsidTr="00FA18EA">
        <w:trPr>
          <w:trHeight w:val="233"/>
        </w:trPr>
        <w:tc>
          <w:tcPr>
            <w:tcW w:w="5275" w:type="dxa"/>
            <w:tcBorders>
              <w:top w:val="single" w:sz="4" w:space="0" w:color="auto"/>
              <w:left w:val="nil"/>
              <w:bottom w:val="nil"/>
              <w:right w:val="nil"/>
            </w:tcBorders>
            <w:shd w:val="solid" w:color="FFFFFF" w:fill="auto"/>
          </w:tcPr>
          <w:p w14:paraId="15D9FDF8" w14:textId="77777777" w:rsidR="00FA18EA" w:rsidRPr="008B2DDA" w:rsidRDefault="00FA18EA" w:rsidP="00FA18EA">
            <w:pPr>
              <w:autoSpaceDE w:val="0"/>
              <w:autoSpaceDN w:val="0"/>
              <w:adjustRightInd w:val="0"/>
              <w:jc w:val="right"/>
              <w:rPr>
                <w:rFonts w:cstheme="minorHAnsi"/>
                <w:color w:val="000000"/>
                <w:sz w:val="18"/>
                <w:szCs w:val="18"/>
              </w:rPr>
            </w:pPr>
          </w:p>
        </w:tc>
        <w:tc>
          <w:tcPr>
            <w:tcW w:w="238" w:type="dxa"/>
            <w:tcBorders>
              <w:top w:val="single" w:sz="4" w:space="0" w:color="auto"/>
              <w:left w:val="nil"/>
              <w:bottom w:val="nil"/>
              <w:right w:val="nil"/>
            </w:tcBorders>
            <w:shd w:val="solid" w:color="FFFFFF" w:fill="auto"/>
          </w:tcPr>
          <w:p w14:paraId="66F0DF38" w14:textId="77777777" w:rsidR="00FA18EA" w:rsidRPr="000C5053" w:rsidRDefault="00FA18EA" w:rsidP="00FA18EA">
            <w:pPr>
              <w:autoSpaceDE w:val="0"/>
              <w:autoSpaceDN w:val="0"/>
              <w:adjustRightInd w:val="0"/>
              <w:jc w:val="right"/>
              <w:rPr>
                <w:rFonts w:cstheme="minorHAnsi"/>
                <w:color w:val="000000"/>
                <w:sz w:val="18"/>
                <w:szCs w:val="18"/>
              </w:rPr>
            </w:pPr>
          </w:p>
        </w:tc>
        <w:tc>
          <w:tcPr>
            <w:tcW w:w="754" w:type="dxa"/>
            <w:tcBorders>
              <w:top w:val="single" w:sz="4" w:space="0" w:color="auto"/>
              <w:left w:val="nil"/>
              <w:bottom w:val="nil"/>
              <w:right w:val="nil"/>
            </w:tcBorders>
            <w:shd w:val="solid" w:color="FFFFFF" w:fill="auto"/>
          </w:tcPr>
          <w:p w14:paraId="41B0562A" w14:textId="77777777" w:rsidR="00FA18EA" w:rsidRPr="0091098D" w:rsidRDefault="00FA18EA" w:rsidP="00FA18EA">
            <w:pPr>
              <w:autoSpaceDE w:val="0"/>
              <w:autoSpaceDN w:val="0"/>
              <w:adjustRightInd w:val="0"/>
              <w:jc w:val="center"/>
              <w:rPr>
                <w:rFonts w:cstheme="minorHAnsi"/>
                <w:color w:val="000000"/>
                <w:sz w:val="18"/>
                <w:szCs w:val="18"/>
              </w:rPr>
            </w:pPr>
          </w:p>
        </w:tc>
        <w:tc>
          <w:tcPr>
            <w:tcW w:w="238" w:type="dxa"/>
            <w:tcBorders>
              <w:top w:val="single" w:sz="4" w:space="0" w:color="auto"/>
              <w:left w:val="nil"/>
              <w:bottom w:val="nil"/>
              <w:right w:val="nil"/>
            </w:tcBorders>
            <w:shd w:val="solid" w:color="FFFFFF" w:fill="auto"/>
          </w:tcPr>
          <w:p w14:paraId="24E65589" w14:textId="77777777" w:rsidR="00FA18EA" w:rsidRPr="0075195E" w:rsidRDefault="00FA18EA" w:rsidP="00FA18EA">
            <w:pPr>
              <w:autoSpaceDE w:val="0"/>
              <w:autoSpaceDN w:val="0"/>
              <w:adjustRightInd w:val="0"/>
              <w:jc w:val="right"/>
              <w:rPr>
                <w:rFonts w:cstheme="minorHAnsi"/>
                <w:color w:val="000000"/>
                <w:sz w:val="18"/>
                <w:szCs w:val="18"/>
              </w:rPr>
            </w:pPr>
          </w:p>
        </w:tc>
        <w:tc>
          <w:tcPr>
            <w:tcW w:w="1580" w:type="dxa"/>
            <w:tcBorders>
              <w:top w:val="single" w:sz="4" w:space="0" w:color="auto"/>
              <w:left w:val="nil"/>
              <w:bottom w:val="nil"/>
              <w:right w:val="nil"/>
            </w:tcBorders>
            <w:shd w:val="solid" w:color="FFFFFF" w:fill="auto"/>
          </w:tcPr>
          <w:p w14:paraId="336C3F2A" w14:textId="77777777" w:rsidR="00FA18EA" w:rsidRPr="00536A35" w:rsidRDefault="00FA18EA" w:rsidP="00FA18EA">
            <w:pPr>
              <w:autoSpaceDE w:val="0"/>
              <w:autoSpaceDN w:val="0"/>
              <w:adjustRightInd w:val="0"/>
              <w:jc w:val="right"/>
              <w:rPr>
                <w:rFonts w:cstheme="minorHAnsi"/>
                <w:b/>
                <w:bCs/>
                <w:color w:val="000000"/>
                <w:sz w:val="18"/>
                <w:szCs w:val="18"/>
              </w:rPr>
            </w:pPr>
          </w:p>
        </w:tc>
        <w:tc>
          <w:tcPr>
            <w:tcW w:w="450" w:type="dxa"/>
            <w:tcBorders>
              <w:top w:val="single" w:sz="4" w:space="0" w:color="auto"/>
              <w:left w:val="nil"/>
              <w:bottom w:val="nil"/>
              <w:right w:val="nil"/>
            </w:tcBorders>
            <w:shd w:val="solid" w:color="FFFFFF" w:fill="auto"/>
          </w:tcPr>
          <w:p w14:paraId="5ABFF24B" w14:textId="77777777" w:rsidR="00FA18EA" w:rsidRPr="00A02B31" w:rsidRDefault="00FA18EA" w:rsidP="00FA18EA">
            <w:pPr>
              <w:autoSpaceDE w:val="0"/>
              <w:autoSpaceDN w:val="0"/>
              <w:adjustRightInd w:val="0"/>
              <w:jc w:val="right"/>
              <w:rPr>
                <w:rFonts w:cstheme="minorHAnsi"/>
                <w:color w:val="000000"/>
                <w:sz w:val="18"/>
                <w:szCs w:val="18"/>
              </w:rPr>
            </w:pPr>
          </w:p>
        </w:tc>
        <w:tc>
          <w:tcPr>
            <w:tcW w:w="1276" w:type="dxa"/>
            <w:tcBorders>
              <w:top w:val="single" w:sz="4" w:space="0" w:color="auto"/>
              <w:left w:val="nil"/>
              <w:bottom w:val="nil"/>
              <w:right w:val="nil"/>
            </w:tcBorders>
            <w:shd w:val="solid" w:color="FFFFFF" w:fill="auto"/>
          </w:tcPr>
          <w:p w14:paraId="10BEFE64" w14:textId="77777777" w:rsidR="00FA18EA" w:rsidRPr="00A02B31" w:rsidRDefault="00FA18EA" w:rsidP="00FA18EA">
            <w:pPr>
              <w:autoSpaceDE w:val="0"/>
              <w:autoSpaceDN w:val="0"/>
              <w:adjustRightInd w:val="0"/>
              <w:jc w:val="right"/>
              <w:rPr>
                <w:rFonts w:cstheme="minorHAnsi"/>
                <w:color w:val="000000"/>
                <w:sz w:val="18"/>
                <w:szCs w:val="18"/>
              </w:rPr>
            </w:pPr>
          </w:p>
        </w:tc>
      </w:tr>
      <w:tr w:rsidR="00FA18EA" w:rsidRPr="007600A7" w14:paraId="0228CBB6" w14:textId="77777777" w:rsidTr="00FA18EA">
        <w:trPr>
          <w:trHeight w:val="262"/>
        </w:trPr>
        <w:tc>
          <w:tcPr>
            <w:tcW w:w="5275" w:type="dxa"/>
            <w:tcBorders>
              <w:top w:val="nil"/>
              <w:left w:val="nil"/>
              <w:bottom w:val="nil"/>
              <w:right w:val="nil"/>
            </w:tcBorders>
            <w:shd w:val="solid" w:color="FFFFFF" w:fill="auto"/>
          </w:tcPr>
          <w:p w14:paraId="3B1CC116" w14:textId="77777777" w:rsidR="00FA18EA" w:rsidRPr="008B2DDA" w:rsidRDefault="00FA18EA" w:rsidP="00FA18EA">
            <w:pPr>
              <w:autoSpaceDE w:val="0"/>
              <w:autoSpaceDN w:val="0"/>
              <w:adjustRightInd w:val="0"/>
              <w:rPr>
                <w:rFonts w:cstheme="minorHAnsi"/>
                <w:color w:val="000000"/>
                <w:sz w:val="18"/>
                <w:szCs w:val="18"/>
              </w:rPr>
            </w:pPr>
            <w:r w:rsidRPr="008B2DDA">
              <w:rPr>
                <w:rFonts w:cstheme="minorHAnsi"/>
                <w:color w:val="000000"/>
                <w:sz w:val="18"/>
                <w:szCs w:val="18"/>
              </w:rPr>
              <w:t>Profit before taxation</w:t>
            </w:r>
          </w:p>
        </w:tc>
        <w:tc>
          <w:tcPr>
            <w:tcW w:w="238" w:type="dxa"/>
            <w:tcBorders>
              <w:top w:val="nil"/>
              <w:left w:val="nil"/>
              <w:bottom w:val="nil"/>
              <w:right w:val="nil"/>
            </w:tcBorders>
            <w:shd w:val="solid" w:color="FFFFFF" w:fill="auto"/>
          </w:tcPr>
          <w:p w14:paraId="592829BB" w14:textId="77777777" w:rsidR="00FA18EA" w:rsidRPr="000C5053" w:rsidRDefault="00FA18EA" w:rsidP="00FA18EA">
            <w:pPr>
              <w:autoSpaceDE w:val="0"/>
              <w:autoSpaceDN w:val="0"/>
              <w:adjustRightInd w:val="0"/>
              <w:jc w:val="right"/>
              <w:rPr>
                <w:rFonts w:cstheme="minorHAnsi"/>
                <w:color w:val="000000"/>
                <w:sz w:val="18"/>
                <w:szCs w:val="18"/>
              </w:rPr>
            </w:pPr>
          </w:p>
        </w:tc>
        <w:tc>
          <w:tcPr>
            <w:tcW w:w="754" w:type="dxa"/>
            <w:tcBorders>
              <w:top w:val="nil"/>
              <w:left w:val="nil"/>
              <w:bottom w:val="nil"/>
              <w:right w:val="nil"/>
            </w:tcBorders>
            <w:shd w:val="solid" w:color="FFFFFF" w:fill="auto"/>
          </w:tcPr>
          <w:p w14:paraId="74D5C25F" w14:textId="77777777" w:rsidR="00FA18EA" w:rsidRPr="0091098D" w:rsidRDefault="00FA18EA" w:rsidP="00FA18EA">
            <w:pPr>
              <w:autoSpaceDE w:val="0"/>
              <w:autoSpaceDN w:val="0"/>
              <w:adjustRightInd w:val="0"/>
              <w:jc w:val="center"/>
              <w:rPr>
                <w:rFonts w:cstheme="minorHAnsi"/>
                <w:color w:val="000000"/>
                <w:sz w:val="18"/>
                <w:szCs w:val="18"/>
              </w:rPr>
            </w:pPr>
          </w:p>
        </w:tc>
        <w:tc>
          <w:tcPr>
            <w:tcW w:w="238" w:type="dxa"/>
            <w:tcBorders>
              <w:top w:val="nil"/>
              <w:left w:val="nil"/>
              <w:bottom w:val="nil"/>
              <w:right w:val="nil"/>
            </w:tcBorders>
            <w:shd w:val="solid" w:color="FFFFFF" w:fill="auto"/>
          </w:tcPr>
          <w:p w14:paraId="478EB5BD" w14:textId="77777777" w:rsidR="00FA18EA" w:rsidRPr="0075195E" w:rsidRDefault="00FA18EA" w:rsidP="00FA18EA">
            <w:pPr>
              <w:autoSpaceDE w:val="0"/>
              <w:autoSpaceDN w:val="0"/>
              <w:adjustRightInd w:val="0"/>
              <w:jc w:val="right"/>
              <w:rPr>
                <w:rFonts w:cstheme="minorHAnsi"/>
                <w:color w:val="000000"/>
                <w:sz w:val="18"/>
                <w:szCs w:val="18"/>
              </w:rPr>
            </w:pPr>
          </w:p>
        </w:tc>
        <w:tc>
          <w:tcPr>
            <w:tcW w:w="1580" w:type="dxa"/>
            <w:tcBorders>
              <w:top w:val="nil"/>
              <w:left w:val="nil"/>
              <w:bottom w:val="nil"/>
              <w:right w:val="nil"/>
            </w:tcBorders>
            <w:shd w:val="solid" w:color="FFFFFF" w:fill="auto"/>
          </w:tcPr>
          <w:p w14:paraId="48DEFDFC" w14:textId="77777777" w:rsidR="00FA18EA" w:rsidRPr="00536A35" w:rsidRDefault="00FA18EA" w:rsidP="00FA18EA">
            <w:pPr>
              <w:autoSpaceDE w:val="0"/>
              <w:autoSpaceDN w:val="0"/>
              <w:adjustRightInd w:val="0"/>
              <w:jc w:val="right"/>
              <w:rPr>
                <w:rFonts w:cstheme="minorHAnsi"/>
                <w:b/>
                <w:bCs/>
                <w:color w:val="000000"/>
                <w:sz w:val="18"/>
                <w:szCs w:val="18"/>
              </w:rPr>
            </w:pPr>
            <w:r w:rsidRPr="00536A35">
              <w:rPr>
                <w:rFonts w:cstheme="minorHAnsi"/>
                <w:b/>
                <w:bCs/>
                <w:color w:val="000000"/>
                <w:sz w:val="18"/>
                <w:szCs w:val="18"/>
              </w:rPr>
              <w:t>15,423</w:t>
            </w:r>
          </w:p>
        </w:tc>
        <w:tc>
          <w:tcPr>
            <w:tcW w:w="450" w:type="dxa"/>
            <w:tcBorders>
              <w:top w:val="nil"/>
              <w:left w:val="nil"/>
              <w:bottom w:val="nil"/>
              <w:right w:val="nil"/>
            </w:tcBorders>
            <w:shd w:val="solid" w:color="FFFFFF" w:fill="auto"/>
          </w:tcPr>
          <w:p w14:paraId="2DC27CB9" w14:textId="77777777" w:rsidR="00FA18EA" w:rsidRPr="00A02B31" w:rsidRDefault="00FA18EA" w:rsidP="00FA18EA">
            <w:pPr>
              <w:autoSpaceDE w:val="0"/>
              <w:autoSpaceDN w:val="0"/>
              <w:adjustRightInd w:val="0"/>
              <w:jc w:val="right"/>
              <w:rPr>
                <w:rFonts w:cstheme="minorHAnsi"/>
                <w:color w:val="000000"/>
                <w:sz w:val="18"/>
                <w:szCs w:val="18"/>
              </w:rPr>
            </w:pPr>
          </w:p>
        </w:tc>
        <w:tc>
          <w:tcPr>
            <w:tcW w:w="1276" w:type="dxa"/>
            <w:tcBorders>
              <w:top w:val="nil"/>
              <w:left w:val="nil"/>
              <w:bottom w:val="nil"/>
              <w:right w:val="nil"/>
            </w:tcBorders>
            <w:shd w:val="solid" w:color="FFFFFF" w:fill="auto"/>
          </w:tcPr>
          <w:p w14:paraId="19378653" w14:textId="77777777" w:rsidR="00FA18EA" w:rsidRPr="00A02B31" w:rsidRDefault="00FA18EA" w:rsidP="00FA18EA">
            <w:pPr>
              <w:autoSpaceDE w:val="0"/>
              <w:autoSpaceDN w:val="0"/>
              <w:adjustRightInd w:val="0"/>
              <w:jc w:val="right"/>
              <w:rPr>
                <w:rFonts w:cstheme="minorHAnsi"/>
                <w:color w:val="000000"/>
                <w:sz w:val="18"/>
                <w:szCs w:val="18"/>
              </w:rPr>
            </w:pPr>
            <w:r w:rsidRPr="00A02B31">
              <w:rPr>
                <w:rFonts w:cstheme="minorHAnsi"/>
                <w:color w:val="000000"/>
                <w:sz w:val="18"/>
                <w:szCs w:val="18"/>
              </w:rPr>
              <w:t xml:space="preserve">          16,612 </w:t>
            </w:r>
          </w:p>
        </w:tc>
      </w:tr>
      <w:tr w:rsidR="00FA18EA" w:rsidRPr="007600A7" w14:paraId="30ED07D6" w14:textId="77777777" w:rsidTr="00FA18EA">
        <w:trPr>
          <w:trHeight w:val="247"/>
        </w:trPr>
        <w:tc>
          <w:tcPr>
            <w:tcW w:w="5275" w:type="dxa"/>
            <w:tcBorders>
              <w:top w:val="nil"/>
              <w:left w:val="nil"/>
              <w:bottom w:val="nil"/>
              <w:right w:val="nil"/>
            </w:tcBorders>
            <w:shd w:val="solid" w:color="FFFFFF" w:fill="auto"/>
          </w:tcPr>
          <w:p w14:paraId="721BC960" w14:textId="77777777" w:rsidR="00FA18EA" w:rsidRPr="008B2DDA" w:rsidRDefault="00FA18EA" w:rsidP="00FA18EA">
            <w:pPr>
              <w:autoSpaceDE w:val="0"/>
              <w:autoSpaceDN w:val="0"/>
              <w:adjustRightInd w:val="0"/>
              <w:rPr>
                <w:rFonts w:cstheme="minorHAnsi"/>
                <w:color w:val="000000"/>
                <w:sz w:val="18"/>
                <w:szCs w:val="18"/>
              </w:rPr>
            </w:pPr>
            <w:r w:rsidRPr="008B2DDA">
              <w:rPr>
                <w:rFonts w:cstheme="minorHAnsi"/>
                <w:color w:val="000000"/>
                <w:sz w:val="18"/>
                <w:szCs w:val="18"/>
              </w:rPr>
              <w:t>Taxation</w:t>
            </w:r>
          </w:p>
        </w:tc>
        <w:tc>
          <w:tcPr>
            <w:tcW w:w="238" w:type="dxa"/>
            <w:tcBorders>
              <w:top w:val="nil"/>
              <w:left w:val="nil"/>
              <w:bottom w:val="nil"/>
              <w:right w:val="nil"/>
            </w:tcBorders>
            <w:shd w:val="solid" w:color="FFFFFF" w:fill="auto"/>
          </w:tcPr>
          <w:p w14:paraId="2F0953ED" w14:textId="77777777" w:rsidR="00FA18EA" w:rsidRPr="000C5053" w:rsidRDefault="00FA18EA" w:rsidP="00FA18EA">
            <w:pPr>
              <w:autoSpaceDE w:val="0"/>
              <w:autoSpaceDN w:val="0"/>
              <w:adjustRightInd w:val="0"/>
              <w:jc w:val="right"/>
              <w:rPr>
                <w:rFonts w:cstheme="minorHAnsi"/>
                <w:color w:val="000000"/>
                <w:sz w:val="18"/>
                <w:szCs w:val="18"/>
              </w:rPr>
            </w:pPr>
          </w:p>
        </w:tc>
        <w:tc>
          <w:tcPr>
            <w:tcW w:w="754" w:type="dxa"/>
            <w:tcBorders>
              <w:top w:val="nil"/>
              <w:left w:val="nil"/>
              <w:bottom w:val="nil"/>
              <w:right w:val="nil"/>
            </w:tcBorders>
            <w:shd w:val="solid" w:color="FFFFFF" w:fill="auto"/>
          </w:tcPr>
          <w:p w14:paraId="13E572CF" w14:textId="77777777" w:rsidR="00FA18EA" w:rsidRPr="0091098D" w:rsidRDefault="00FA18EA" w:rsidP="00FA18EA">
            <w:pPr>
              <w:autoSpaceDE w:val="0"/>
              <w:autoSpaceDN w:val="0"/>
              <w:adjustRightInd w:val="0"/>
              <w:jc w:val="center"/>
              <w:rPr>
                <w:rFonts w:cstheme="minorHAnsi"/>
                <w:color w:val="000000"/>
                <w:sz w:val="18"/>
                <w:szCs w:val="18"/>
              </w:rPr>
            </w:pPr>
            <w:r w:rsidRPr="0091098D">
              <w:rPr>
                <w:rFonts w:cstheme="minorHAnsi"/>
                <w:color w:val="000000"/>
                <w:sz w:val="18"/>
                <w:szCs w:val="18"/>
              </w:rPr>
              <w:t>5</w:t>
            </w:r>
          </w:p>
        </w:tc>
        <w:tc>
          <w:tcPr>
            <w:tcW w:w="238" w:type="dxa"/>
            <w:tcBorders>
              <w:top w:val="nil"/>
              <w:left w:val="nil"/>
              <w:bottom w:val="nil"/>
              <w:right w:val="nil"/>
            </w:tcBorders>
            <w:shd w:val="solid" w:color="FFFFFF" w:fill="auto"/>
          </w:tcPr>
          <w:p w14:paraId="64721C28" w14:textId="77777777" w:rsidR="00FA18EA" w:rsidRPr="0075195E" w:rsidRDefault="00FA18EA" w:rsidP="00FA18EA">
            <w:pPr>
              <w:autoSpaceDE w:val="0"/>
              <w:autoSpaceDN w:val="0"/>
              <w:adjustRightInd w:val="0"/>
              <w:jc w:val="right"/>
              <w:rPr>
                <w:rFonts w:cstheme="minorHAnsi"/>
                <w:color w:val="000000"/>
                <w:sz w:val="18"/>
                <w:szCs w:val="18"/>
              </w:rPr>
            </w:pPr>
          </w:p>
        </w:tc>
        <w:tc>
          <w:tcPr>
            <w:tcW w:w="1580" w:type="dxa"/>
            <w:tcBorders>
              <w:top w:val="nil"/>
              <w:left w:val="nil"/>
              <w:bottom w:val="nil"/>
              <w:right w:val="nil"/>
            </w:tcBorders>
            <w:shd w:val="solid" w:color="FFFFFF" w:fill="auto"/>
          </w:tcPr>
          <w:p w14:paraId="08AF03C6" w14:textId="77777777" w:rsidR="00FA18EA" w:rsidRPr="00536A35" w:rsidRDefault="00FA18EA" w:rsidP="00FA18EA">
            <w:pPr>
              <w:autoSpaceDE w:val="0"/>
              <w:autoSpaceDN w:val="0"/>
              <w:adjustRightInd w:val="0"/>
              <w:jc w:val="right"/>
              <w:rPr>
                <w:rFonts w:cstheme="minorHAnsi"/>
                <w:b/>
                <w:bCs/>
                <w:color w:val="000000"/>
                <w:sz w:val="18"/>
                <w:szCs w:val="18"/>
              </w:rPr>
            </w:pPr>
            <w:r w:rsidRPr="00536A35">
              <w:rPr>
                <w:rFonts w:cstheme="minorHAnsi"/>
                <w:b/>
                <w:bCs/>
                <w:color w:val="000000"/>
                <w:sz w:val="18"/>
                <w:szCs w:val="18"/>
              </w:rPr>
              <w:t>(1,580)</w:t>
            </w:r>
          </w:p>
        </w:tc>
        <w:tc>
          <w:tcPr>
            <w:tcW w:w="450" w:type="dxa"/>
            <w:tcBorders>
              <w:top w:val="nil"/>
              <w:left w:val="nil"/>
              <w:bottom w:val="nil"/>
              <w:right w:val="nil"/>
            </w:tcBorders>
            <w:shd w:val="solid" w:color="FFFFFF" w:fill="auto"/>
          </w:tcPr>
          <w:p w14:paraId="3D308338" w14:textId="77777777" w:rsidR="00FA18EA" w:rsidRPr="00A02B31" w:rsidRDefault="00FA18EA" w:rsidP="00FA18EA">
            <w:pPr>
              <w:autoSpaceDE w:val="0"/>
              <w:autoSpaceDN w:val="0"/>
              <w:adjustRightInd w:val="0"/>
              <w:jc w:val="right"/>
              <w:rPr>
                <w:rFonts w:cstheme="minorHAnsi"/>
                <w:color w:val="000000"/>
                <w:sz w:val="18"/>
                <w:szCs w:val="18"/>
              </w:rPr>
            </w:pPr>
          </w:p>
        </w:tc>
        <w:tc>
          <w:tcPr>
            <w:tcW w:w="1276" w:type="dxa"/>
            <w:tcBorders>
              <w:top w:val="nil"/>
              <w:left w:val="nil"/>
              <w:bottom w:val="nil"/>
              <w:right w:val="nil"/>
            </w:tcBorders>
            <w:shd w:val="solid" w:color="FFFFFF" w:fill="auto"/>
          </w:tcPr>
          <w:p w14:paraId="0926CF58" w14:textId="77777777" w:rsidR="00FA18EA" w:rsidRPr="00A02B31" w:rsidRDefault="00FA18EA" w:rsidP="00FA18EA">
            <w:pPr>
              <w:autoSpaceDE w:val="0"/>
              <w:autoSpaceDN w:val="0"/>
              <w:adjustRightInd w:val="0"/>
              <w:jc w:val="right"/>
              <w:rPr>
                <w:rFonts w:cstheme="minorHAnsi"/>
                <w:color w:val="000000"/>
                <w:sz w:val="18"/>
                <w:szCs w:val="18"/>
              </w:rPr>
            </w:pPr>
            <w:r w:rsidRPr="00A02B31">
              <w:rPr>
                <w:rFonts w:cstheme="minorHAnsi"/>
                <w:color w:val="000000"/>
                <w:sz w:val="18"/>
                <w:szCs w:val="18"/>
              </w:rPr>
              <w:t xml:space="preserve">                -   </w:t>
            </w:r>
          </w:p>
        </w:tc>
      </w:tr>
      <w:tr w:rsidR="00FA18EA" w:rsidRPr="007600A7" w14:paraId="4AF5078B" w14:textId="77777777" w:rsidTr="00FA18EA">
        <w:trPr>
          <w:trHeight w:val="58"/>
        </w:trPr>
        <w:tc>
          <w:tcPr>
            <w:tcW w:w="5275" w:type="dxa"/>
            <w:tcBorders>
              <w:top w:val="nil"/>
              <w:left w:val="nil"/>
              <w:bottom w:val="single" w:sz="4" w:space="0" w:color="auto"/>
              <w:right w:val="nil"/>
            </w:tcBorders>
            <w:shd w:val="solid" w:color="FFFFFF" w:fill="auto"/>
          </w:tcPr>
          <w:p w14:paraId="10525E4F" w14:textId="77777777" w:rsidR="00FA18EA" w:rsidRPr="008B2DDA" w:rsidRDefault="00FA18EA" w:rsidP="00FA18EA">
            <w:pPr>
              <w:autoSpaceDE w:val="0"/>
              <w:autoSpaceDN w:val="0"/>
              <w:adjustRightInd w:val="0"/>
              <w:jc w:val="right"/>
              <w:rPr>
                <w:rFonts w:cstheme="minorHAnsi"/>
                <w:color w:val="000000"/>
                <w:sz w:val="18"/>
                <w:szCs w:val="18"/>
              </w:rPr>
            </w:pPr>
          </w:p>
        </w:tc>
        <w:tc>
          <w:tcPr>
            <w:tcW w:w="238" w:type="dxa"/>
            <w:tcBorders>
              <w:top w:val="nil"/>
              <w:left w:val="nil"/>
              <w:bottom w:val="single" w:sz="4" w:space="0" w:color="auto"/>
              <w:right w:val="nil"/>
            </w:tcBorders>
            <w:shd w:val="solid" w:color="FFFFFF" w:fill="auto"/>
          </w:tcPr>
          <w:p w14:paraId="42F8ADB4" w14:textId="77777777" w:rsidR="00FA18EA" w:rsidRPr="000C5053" w:rsidRDefault="00FA18EA" w:rsidP="00FA18EA">
            <w:pPr>
              <w:autoSpaceDE w:val="0"/>
              <w:autoSpaceDN w:val="0"/>
              <w:adjustRightInd w:val="0"/>
              <w:jc w:val="right"/>
              <w:rPr>
                <w:rFonts w:cstheme="minorHAnsi"/>
                <w:color w:val="000000"/>
                <w:sz w:val="18"/>
                <w:szCs w:val="18"/>
              </w:rPr>
            </w:pPr>
          </w:p>
        </w:tc>
        <w:tc>
          <w:tcPr>
            <w:tcW w:w="754" w:type="dxa"/>
            <w:tcBorders>
              <w:top w:val="nil"/>
              <w:left w:val="nil"/>
              <w:bottom w:val="single" w:sz="4" w:space="0" w:color="auto"/>
              <w:right w:val="nil"/>
            </w:tcBorders>
            <w:shd w:val="solid" w:color="FFFFFF" w:fill="auto"/>
          </w:tcPr>
          <w:p w14:paraId="592CA449" w14:textId="77777777" w:rsidR="00FA18EA" w:rsidRPr="0091098D" w:rsidRDefault="00FA18EA" w:rsidP="00FA18EA">
            <w:pPr>
              <w:autoSpaceDE w:val="0"/>
              <w:autoSpaceDN w:val="0"/>
              <w:adjustRightInd w:val="0"/>
              <w:jc w:val="center"/>
              <w:rPr>
                <w:rFonts w:cstheme="minorHAnsi"/>
                <w:color w:val="000000"/>
                <w:sz w:val="18"/>
                <w:szCs w:val="18"/>
              </w:rPr>
            </w:pPr>
          </w:p>
        </w:tc>
        <w:tc>
          <w:tcPr>
            <w:tcW w:w="238" w:type="dxa"/>
            <w:tcBorders>
              <w:top w:val="nil"/>
              <w:left w:val="nil"/>
              <w:bottom w:val="single" w:sz="4" w:space="0" w:color="auto"/>
              <w:right w:val="nil"/>
            </w:tcBorders>
            <w:shd w:val="solid" w:color="FFFFFF" w:fill="auto"/>
          </w:tcPr>
          <w:p w14:paraId="20A772D1" w14:textId="77777777" w:rsidR="00FA18EA" w:rsidRPr="0075195E" w:rsidRDefault="00FA18EA" w:rsidP="00FA18EA">
            <w:pPr>
              <w:autoSpaceDE w:val="0"/>
              <w:autoSpaceDN w:val="0"/>
              <w:adjustRightInd w:val="0"/>
              <w:jc w:val="right"/>
              <w:rPr>
                <w:rFonts w:cstheme="minorHAnsi"/>
                <w:color w:val="000000"/>
                <w:sz w:val="18"/>
                <w:szCs w:val="18"/>
              </w:rPr>
            </w:pPr>
          </w:p>
        </w:tc>
        <w:tc>
          <w:tcPr>
            <w:tcW w:w="1580" w:type="dxa"/>
            <w:tcBorders>
              <w:top w:val="nil"/>
              <w:left w:val="nil"/>
              <w:bottom w:val="single" w:sz="4" w:space="0" w:color="auto"/>
              <w:right w:val="nil"/>
            </w:tcBorders>
            <w:shd w:val="solid" w:color="FFFFFF" w:fill="auto"/>
          </w:tcPr>
          <w:p w14:paraId="52EC7DC9" w14:textId="77777777" w:rsidR="00FA18EA" w:rsidRPr="00536A35" w:rsidRDefault="00FA18EA" w:rsidP="00FA18EA">
            <w:pPr>
              <w:autoSpaceDE w:val="0"/>
              <w:autoSpaceDN w:val="0"/>
              <w:adjustRightInd w:val="0"/>
              <w:jc w:val="right"/>
              <w:rPr>
                <w:rFonts w:cstheme="minorHAnsi"/>
                <w:b/>
                <w:bCs/>
                <w:color w:val="000000"/>
                <w:sz w:val="18"/>
                <w:szCs w:val="18"/>
              </w:rPr>
            </w:pPr>
          </w:p>
        </w:tc>
        <w:tc>
          <w:tcPr>
            <w:tcW w:w="450" w:type="dxa"/>
            <w:tcBorders>
              <w:top w:val="nil"/>
              <w:left w:val="nil"/>
              <w:bottom w:val="single" w:sz="4" w:space="0" w:color="auto"/>
              <w:right w:val="nil"/>
            </w:tcBorders>
            <w:shd w:val="solid" w:color="FFFFFF" w:fill="auto"/>
          </w:tcPr>
          <w:p w14:paraId="55A27B42" w14:textId="77777777" w:rsidR="00FA18EA" w:rsidRPr="00A02B31" w:rsidRDefault="00FA18EA" w:rsidP="00FA18EA">
            <w:pPr>
              <w:autoSpaceDE w:val="0"/>
              <w:autoSpaceDN w:val="0"/>
              <w:adjustRightInd w:val="0"/>
              <w:jc w:val="right"/>
              <w:rPr>
                <w:rFonts w:cstheme="minorHAnsi"/>
                <w:color w:val="000000"/>
                <w:sz w:val="18"/>
                <w:szCs w:val="18"/>
              </w:rPr>
            </w:pPr>
          </w:p>
        </w:tc>
        <w:tc>
          <w:tcPr>
            <w:tcW w:w="1276" w:type="dxa"/>
            <w:tcBorders>
              <w:top w:val="nil"/>
              <w:left w:val="nil"/>
              <w:bottom w:val="single" w:sz="4" w:space="0" w:color="auto"/>
              <w:right w:val="nil"/>
            </w:tcBorders>
            <w:shd w:val="solid" w:color="FFFFFF" w:fill="auto"/>
          </w:tcPr>
          <w:p w14:paraId="555F7AC0" w14:textId="77777777" w:rsidR="00FA18EA" w:rsidRPr="00A02B31" w:rsidRDefault="00FA18EA" w:rsidP="00FA18EA">
            <w:pPr>
              <w:autoSpaceDE w:val="0"/>
              <w:autoSpaceDN w:val="0"/>
              <w:adjustRightInd w:val="0"/>
              <w:jc w:val="right"/>
              <w:rPr>
                <w:rFonts w:cstheme="minorHAnsi"/>
                <w:color w:val="000000"/>
                <w:sz w:val="18"/>
                <w:szCs w:val="18"/>
              </w:rPr>
            </w:pPr>
          </w:p>
        </w:tc>
      </w:tr>
      <w:tr w:rsidR="00FA18EA" w:rsidRPr="007600A7" w14:paraId="6D60F685" w14:textId="77777777" w:rsidTr="00FA18EA">
        <w:trPr>
          <w:trHeight w:val="262"/>
        </w:trPr>
        <w:tc>
          <w:tcPr>
            <w:tcW w:w="5275" w:type="dxa"/>
            <w:tcBorders>
              <w:top w:val="single" w:sz="4" w:space="0" w:color="auto"/>
              <w:left w:val="nil"/>
              <w:bottom w:val="single" w:sz="12" w:space="0" w:color="auto"/>
              <w:right w:val="nil"/>
            </w:tcBorders>
            <w:shd w:val="solid" w:color="FFFFFF" w:fill="auto"/>
          </w:tcPr>
          <w:p w14:paraId="352F39A3" w14:textId="77777777" w:rsidR="00FA18EA" w:rsidRPr="008B2DDA" w:rsidRDefault="00FA18EA" w:rsidP="00FA18EA">
            <w:pPr>
              <w:autoSpaceDE w:val="0"/>
              <w:autoSpaceDN w:val="0"/>
              <w:adjustRightInd w:val="0"/>
              <w:rPr>
                <w:rFonts w:cstheme="minorHAnsi"/>
                <w:b/>
                <w:bCs/>
                <w:color w:val="000000"/>
                <w:sz w:val="18"/>
                <w:szCs w:val="18"/>
              </w:rPr>
            </w:pPr>
            <w:r w:rsidRPr="008B2DDA">
              <w:rPr>
                <w:rFonts w:cstheme="minorHAnsi"/>
                <w:b/>
                <w:bCs/>
                <w:color w:val="000000"/>
                <w:sz w:val="18"/>
                <w:szCs w:val="18"/>
              </w:rPr>
              <w:t>Profit for the financial year</w:t>
            </w:r>
          </w:p>
        </w:tc>
        <w:tc>
          <w:tcPr>
            <w:tcW w:w="238" w:type="dxa"/>
            <w:tcBorders>
              <w:top w:val="single" w:sz="4" w:space="0" w:color="auto"/>
              <w:left w:val="nil"/>
              <w:bottom w:val="single" w:sz="12" w:space="0" w:color="auto"/>
              <w:right w:val="nil"/>
            </w:tcBorders>
            <w:shd w:val="solid" w:color="FFFFFF" w:fill="auto"/>
          </w:tcPr>
          <w:p w14:paraId="6FC2E965" w14:textId="77777777" w:rsidR="00FA18EA" w:rsidRPr="000C5053" w:rsidRDefault="00FA18EA" w:rsidP="00FA18EA">
            <w:pPr>
              <w:autoSpaceDE w:val="0"/>
              <w:autoSpaceDN w:val="0"/>
              <w:adjustRightInd w:val="0"/>
              <w:jc w:val="right"/>
              <w:rPr>
                <w:rFonts w:cstheme="minorHAnsi"/>
                <w:color w:val="000000"/>
                <w:sz w:val="18"/>
                <w:szCs w:val="18"/>
              </w:rPr>
            </w:pPr>
          </w:p>
        </w:tc>
        <w:tc>
          <w:tcPr>
            <w:tcW w:w="754" w:type="dxa"/>
            <w:tcBorders>
              <w:top w:val="single" w:sz="4" w:space="0" w:color="auto"/>
              <w:left w:val="nil"/>
              <w:bottom w:val="single" w:sz="12" w:space="0" w:color="auto"/>
              <w:right w:val="nil"/>
            </w:tcBorders>
            <w:shd w:val="solid" w:color="FFFFFF" w:fill="auto"/>
          </w:tcPr>
          <w:p w14:paraId="2380B6F6" w14:textId="77777777" w:rsidR="00FA18EA" w:rsidRPr="0091098D" w:rsidRDefault="00FA18EA" w:rsidP="00FA18EA">
            <w:pPr>
              <w:autoSpaceDE w:val="0"/>
              <w:autoSpaceDN w:val="0"/>
              <w:adjustRightInd w:val="0"/>
              <w:jc w:val="center"/>
              <w:rPr>
                <w:rFonts w:cstheme="minorHAnsi"/>
                <w:color w:val="000000"/>
                <w:sz w:val="18"/>
                <w:szCs w:val="18"/>
              </w:rPr>
            </w:pPr>
          </w:p>
        </w:tc>
        <w:tc>
          <w:tcPr>
            <w:tcW w:w="238" w:type="dxa"/>
            <w:tcBorders>
              <w:top w:val="single" w:sz="4" w:space="0" w:color="auto"/>
              <w:left w:val="nil"/>
              <w:bottom w:val="single" w:sz="12" w:space="0" w:color="auto"/>
              <w:right w:val="nil"/>
            </w:tcBorders>
            <w:shd w:val="solid" w:color="FFFFFF" w:fill="auto"/>
          </w:tcPr>
          <w:p w14:paraId="1BF7CB2B" w14:textId="77777777" w:rsidR="00FA18EA" w:rsidRPr="0075195E" w:rsidRDefault="00FA18EA" w:rsidP="00FA18EA">
            <w:pPr>
              <w:autoSpaceDE w:val="0"/>
              <w:autoSpaceDN w:val="0"/>
              <w:adjustRightInd w:val="0"/>
              <w:jc w:val="right"/>
              <w:rPr>
                <w:rFonts w:cstheme="minorHAnsi"/>
                <w:color w:val="000000"/>
                <w:sz w:val="18"/>
                <w:szCs w:val="18"/>
              </w:rPr>
            </w:pPr>
          </w:p>
        </w:tc>
        <w:tc>
          <w:tcPr>
            <w:tcW w:w="1580" w:type="dxa"/>
            <w:tcBorders>
              <w:top w:val="single" w:sz="4" w:space="0" w:color="auto"/>
              <w:left w:val="nil"/>
              <w:bottom w:val="single" w:sz="12" w:space="0" w:color="auto"/>
              <w:right w:val="nil"/>
            </w:tcBorders>
            <w:shd w:val="solid" w:color="FFFFFF" w:fill="auto"/>
          </w:tcPr>
          <w:p w14:paraId="0C39F542" w14:textId="77777777" w:rsidR="00FA18EA" w:rsidRPr="00536A35" w:rsidRDefault="00FA18EA" w:rsidP="00FA18EA">
            <w:pPr>
              <w:autoSpaceDE w:val="0"/>
              <w:autoSpaceDN w:val="0"/>
              <w:adjustRightInd w:val="0"/>
              <w:jc w:val="right"/>
              <w:rPr>
                <w:rFonts w:cstheme="minorHAnsi"/>
                <w:b/>
                <w:bCs/>
                <w:color w:val="000000"/>
                <w:sz w:val="18"/>
                <w:szCs w:val="18"/>
              </w:rPr>
            </w:pPr>
            <w:r w:rsidRPr="00536A35">
              <w:rPr>
                <w:rFonts w:cstheme="minorHAnsi"/>
                <w:b/>
                <w:bCs/>
                <w:color w:val="000000"/>
                <w:sz w:val="18"/>
                <w:szCs w:val="18"/>
              </w:rPr>
              <w:t>13,843</w:t>
            </w:r>
          </w:p>
        </w:tc>
        <w:tc>
          <w:tcPr>
            <w:tcW w:w="450" w:type="dxa"/>
            <w:tcBorders>
              <w:top w:val="single" w:sz="4" w:space="0" w:color="auto"/>
              <w:left w:val="nil"/>
              <w:bottom w:val="single" w:sz="12" w:space="0" w:color="auto"/>
              <w:right w:val="nil"/>
            </w:tcBorders>
            <w:shd w:val="solid" w:color="FFFFFF" w:fill="auto"/>
          </w:tcPr>
          <w:p w14:paraId="2682A724" w14:textId="77777777" w:rsidR="00FA18EA" w:rsidRPr="00A02B31" w:rsidRDefault="00FA18EA" w:rsidP="00FA18EA">
            <w:pPr>
              <w:autoSpaceDE w:val="0"/>
              <w:autoSpaceDN w:val="0"/>
              <w:adjustRightInd w:val="0"/>
              <w:jc w:val="right"/>
              <w:rPr>
                <w:rFonts w:cstheme="minorHAnsi"/>
                <w:color w:val="000000"/>
                <w:sz w:val="18"/>
                <w:szCs w:val="18"/>
              </w:rPr>
            </w:pPr>
          </w:p>
        </w:tc>
        <w:tc>
          <w:tcPr>
            <w:tcW w:w="1276" w:type="dxa"/>
            <w:tcBorders>
              <w:top w:val="single" w:sz="4" w:space="0" w:color="auto"/>
              <w:left w:val="nil"/>
              <w:bottom w:val="single" w:sz="12" w:space="0" w:color="auto"/>
              <w:right w:val="nil"/>
            </w:tcBorders>
            <w:shd w:val="solid" w:color="FFFFFF" w:fill="auto"/>
          </w:tcPr>
          <w:p w14:paraId="7D52D276" w14:textId="77777777" w:rsidR="00FA18EA" w:rsidRPr="00A02B31" w:rsidRDefault="00FA18EA" w:rsidP="00FA18EA">
            <w:pPr>
              <w:autoSpaceDE w:val="0"/>
              <w:autoSpaceDN w:val="0"/>
              <w:adjustRightInd w:val="0"/>
              <w:jc w:val="right"/>
              <w:rPr>
                <w:rFonts w:cstheme="minorHAnsi"/>
                <w:color w:val="000000"/>
                <w:sz w:val="18"/>
                <w:szCs w:val="18"/>
              </w:rPr>
            </w:pPr>
            <w:r w:rsidRPr="00A02B31">
              <w:rPr>
                <w:rFonts w:cstheme="minorHAnsi"/>
                <w:color w:val="000000"/>
                <w:sz w:val="18"/>
                <w:szCs w:val="18"/>
              </w:rPr>
              <w:t xml:space="preserve">         16,612 </w:t>
            </w:r>
          </w:p>
        </w:tc>
      </w:tr>
      <w:tr w:rsidR="00FA18EA" w:rsidRPr="007600A7" w14:paraId="593E80B2" w14:textId="77777777" w:rsidTr="00FA18EA">
        <w:trPr>
          <w:trHeight w:val="247"/>
        </w:trPr>
        <w:tc>
          <w:tcPr>
            <w:tcW w:w="5275" w:type="dxa"/>
            <w:tcBorders>
              <w:top w:val="nil"/>
              <w:left w:val="nil"/>
              <w:bottom w:val="nil"/>
              <w:right w:val="nil"/>
            </w:tcBorders>
            <w:shd w:val="solid" w:color="FFFFFF" w:fill="auto"/>
          </w:tcPr>
          <w:p w14:paraId="3BDE3DAF" w14:textId="77777777" w:rsidR="00FA18EA" w:rsidRPr="008B2DDA" w:rsidRDefault="00FA18EA" w:rsidP="00FA18EA">
            <w:pPr>
              <w:autoSpaceDE w:val="0"/>
              <w:autoSpaceDN w:val="0"/>
              <w:adjustRightInd w:val="0"/>
              <w:jc w:val="right"/>
              <w:rPr>
                <w:rFonts w:cstheme="minorHAnsi"/>
                <w:color w:val="000000"/>
                <w:sz w:val="18"/>
                <w:szCs w:val="18"/>
              </w:rPr>
            </w:pPr>
          </w:p>
        </w:tc>
        <w:tc>
          <w:tcPr>
            <w:tcW w:w="238" w:type="dxa"/>
            <w:tcBorders>
              <w:top w:val="nil"/>
              <w:left w:val="nil"/>
              <w:bottom w:val="nil"/>
              <w:right w:val="nil"/>
            </w:tcBorders>
            <w:shd w:val="solid" w:color="FFFFFF" w:fill="auto"/>
          </w:tcPr>
          <w:p w14:paraId="57F135AB" w14:textId="77777777" w:rsidR="00FA18EA" w:rsidRPr="000C5053" w:rsidRDefault="00FA18EA" w:rsidP="00FA18EA">
            <w:pPr>
              <w:autoSpaceDE w:val="0"/>
              <w:autoSpaceDN w:val="0"/>
              <w:adjustRightInd w:val="0"/>
              <w:jc w:val="right"/>
              <w:rPr>
                <w:rFonts w:cstheme="minorHAnsi"/>
                <w:color w:val="000000"/>
                <w:sz w:val="18"/>
                <w:szCs w:val="18"/>
              </w:rPr>
            </w:pPr>
          </w:p>
        </w:tc>
        <w:tc>
          <w:tcPr>
            <w:tcW w:w="754" w:type="dxa"/>
            <w:tcBorders>
              <w:top w:val="nil"/>
              <w:left w:val="nil"/>
              <w:bottom w:val="nil"/>
              <w:right w:val="nil"/>
            </w:tcBorders>
            <w:shd w:val="solid" w:color="FFFFFF" w:fill="auto"/>
          </w:tcPr>
          <w:p w14:paraId="5BA4CBD1" w14:textId="77777777" w:rsidR="00FA18EA" w:rsidRPr="0091098D" w:rsidRDefault="00FA18EA" w:rsidP="00FA18EA">
            <w:pPr>
              <w:autoSpaceDE w:val="0"/>
              <w:autoSpaceDN w:val="0"/>
              <w:adjustRightInd w:val="0"/>
              <w:jc w:val="center"/>
              <w:rPr>
                <w:rFonts w:cstheme="minorHAnsi"/>
                <w:color w:val="000000"/>
                <w:sz w:val="18"/>
                <w:szCs w:val="18"/>
              </w:rPr>
            </w:pPr>
          </w:p>
        </w:tc>
        <w:tc>
          <w:tcPr>
            <w:tcW w:w="238" w:type="dxa"/>
            <w:tcBorders>
              <w:top w:val="nil"/>
              <w:left w:val="nil"/>
              <w:bottom w:val="nil"/>
              <w:right w:val="nil"/>
            </w:tcBorders>
            <w:shd w:val="solid" w:color="FFFFFF" w:fill="auto"/>
          </w:tcPr>
          <w:p w14:paraId="5C2C03F0" w14:textId="77777777" w:rsidR="00FA18EA" w:rsidRPr="0075195E" w:rsidRDefault="00FA18EA" w:rsidP="00FA18EA">
            <w:pPr>
              <w:autoSpaceDE w:val="0"/>
              <w:autoSpaceDN w:val="0"/>
              <w:adjustRightInd w:val="0"/>
              <w:jc w:val="right"/>
              <w:rPr>
                <w:rFonts w:cstheme="minorHAnsi"/>
                <w:color w:val="000000"/>
                <w:sz w:val="18"/>
                <w:szCs w:val="18"/>
              </w:rPr>
            </w:pPr>
          </w:p>
        </w:tc>
        <w:tc>
          <w:tcPr>
            <w:tcW w:w="1580" w:type="dxa"/>
            <w:tcBorders>
              <w:top w:val="nil"/>
              <w:left w:val="nil"/>
              <w:bottom w:val="nil"/>
              <w:right w:val="nil"/>
            </w:tcBorders>
            <w:shd w:val="solid" w:color="FFFFFF" w:fill="auto"/>
          </w:tcPr>
          <w:p w14:paraId="1FA0076C" w14:textId="77777777" w:rsidR="00FA18EA" w:rsidRPr="00536A35" w:rsidRDefault="00FA18EA" w:rsidP="00FA18EA">
            <w:pPr>
              <w:autoSpaceDE w:val="0"/>
              <w:autoSpaceDN w:val="0"/>
              <w:adjustRightInd w:val="0"/>
              <w:jc w:val="right"/>
              <w:rPr>
                <w:rFonts w:cstheme="minorHAnsi"/>
                <w:b/>
                <w:bCs/>
                <w:color w:val="000000"/>
                <w:sz w:val="18"/>
                <w:szCs w:val="18"/>
              </w:rPr>
            </w:pPr>
          </w:p>
        </w:tc>
        <w:tc>
          <w:tcPr>
            <w:tcW w:w="450" w:type="dxa"/>
            <w:tcBorders>
              <w:top w:val="nil"/>
              <w:left w:val="nil"/>
              <w:bottom w:val="nil"/>
              <w:right w:val="nil"/>
            </w:tcBorders>
            <w:shd w:val="solid" w:color="FFFFFF" w:fill="auto"/>
          </w:tcPr>
          <w:p w14:paraId="59499007" w14:textId="77777777" w:rsidR="00FA18EA" w:rsidRPr="00A02B31" w:rsidRDefault="00FA18EA" w:rsidP="00FA18EA">
            <w:pPr>
              <w:autoSpaceDE w:val="0"/>
              <w:autoSpaceDN w:val="0"/>
              <w:adjustRightInd w:val="0"/>
              <w:jc w:val="right"/>
              <w:rPr>
                <w:rFonts w:cstheme="minorHAnsi"/>
                <w:color w:val="000000"/>
                <w:sz w:val="18"/>
                <w:szCs w:val="18"/>
              </w:rPr>
            </w:pPr>
          </w:p>
        </w:tc>
        <w:tc>
          <w:tcPr>
            <w:tcW w:w="1276" w:type="dxa"/>
            <w:tcBorders>
              <w:top w:val="nil"/>
              <w:left w:val="nil"/>
              <w:bottom w:val="nil"/>
              <w:right w:val="nil"/>
            </w:tcBorders>
            <w:shd w:val="solid" w:color="FFFFFF" w:fill="auto"/>
          </w:tcPr>
          <w:p w14:paraId="7627358E" w14:textId="77777777" w:rsidR="00FA18EA" w:rsidRPr="00A02B31" w:rsidRDefault="00FA18EA" w:rsidP="00FA18EA">
            <w:pPr>
              <w:autoSpaceDE w:val="0"/>
              <w:autoSpaceDN w:val="0"/>
              <w:adjustRightInd w:val="0"/>
              <w:jc w:val="right"/>
              <w:rPr>
                <w:rFonts w:cstheme="minorHAnsi"/>
                <w:color w:val="000000"/>
                <w:sz w:val="18"/>
                <w:szCs w:val="18"/>
              </w:rPr>
            </w:pPr>
          </w:p>
        </w:tc>
      </w:tr>
      <w:tr w:rsidR="00FA18EA" w:rsidRPr="007600A7" w14:paraId="59E1F638" w14:textId="77777777" w:rsidTr="00FA18EA">
        <w:trPr>
          <w:trHeight w:val="247"/>
        </w:trPr>
        <w:tc>
          <w:tcPr>
            <w:tcW w:w="5275" w:type="dxa"/>
            <w:tcBorders>
              <w:top w:val="nil"/>
              <w:left w:val="nil"/>
              <w:bottom w:val="nil"/>
              <w:right w:val="nil"/>
            </w:tcBorders>
            <w:shd w:val="solid" w:color="FFFFFF" w:fill="auto"/>
          </w:tcPr>
          <w:p w14:paraId="4DDC0D19" w14:textId="77777777" w:rsidR="00FA18EA" w:rsidRPr="008B2DDA" w:rsidRDefault="00FA18EA" w:rsidP="00FA18EA">
            <w:pPr>
              <w:autoSpaceDE w:val="0"/>
              <w:autoSpaceDN w:val="0"/>
              <w:adjustRightInd w:val="0"/>
              <w:rPr>
                <w:rFonts w:cstheme="minorHAnsi"/>
                <w:b/>
                <w:bCs/>
                <w:color w:val="000000"/>
                <w:sz w:val="18"/>
                <w:szCs w:val="18"/>
              </w:rPr>
            </w:pPr>
            <w:r w:rsidRPr="008B2DDA">
              <w:rPr>
                <w:rFonts w:cstheme="minorHAnsi"/>
                <w:b/>
                <w:bCs/>
                <w:color w:val="000000"/>
                <w:sz w:val="18"/>
                <w:szCs w:val="18"/>
              </w:rPr>
              <w:t>Attributable to:</w:t>
            </w:r>
          </w:p>
        </w:tc>
        <w:tc>
          <w:tcPr>
            <w:tcW w:w="238" w:type="dxa"/>
            <w:tcBorders>
              <w:top w:val="nil"/>
              <w:left w:val="nil"/>
              <w:bottom w:val="nil"/>
              <w:right w:val="nil"/>
            </w:tcBorders>
            <w:shd w:val="solid" w:color="FFFFFF" w:fill="auto"/>
          </w:tcPr>
          <w:p w14:paraId="0DEF4928" w14:textId="77777777" w:rsidR="00FA18EA" w:rsidRPr="000C5053" w:rsidRDefault="00FA18EA" w:rsidP="00FA18EA">
            <w:pPr>
              <w:autoSpaceDE w:val="0"/>
              <w:autoSpaceDN w:val="0"/>
              <w:adjustRightInd w:val="0"/>
              <w:jc w:val="right"/>
              <w:rPr>
                <w:rFonts w:cstheme="minorHAnsi"/>
                <w:color w:val="000000"/>
                <w:sz w:val="18"/>
                <w:szCs w:val="18"/>
              </w:rPr>
            </w:pPr>
          </w:p>
        </w:tc>
        <w:tc>
          <w:tcPr>
            <w:tcW w:w="754" w:type="dxa"/>
            <w:tcBorders>
              <w:top w:val="nil"/>
              <w:left w:val="nil"/>
              <w:bottom w:val="nil"/>
              <w:right w:val="nil"/>
            </w:tcBorders>
            <w:shd w:val="solid" w:color="FFFFFF" w:fill="auto"/>
          </w:tcPr>
          <w:p w14:paraId="2FD64B8A" w14:textId="77777777" w:rsidR="00FA18EA" w:rsidRPr="0091098D" w:rsidRDefault="00FA18EA" w:rsidP="00FA18EA">
            <w:pPr>
              <w:autoSpaceDE w:val="0"/>
              <w:autoSpaceDN w:val="0"/>
              <w:adjustRightInd w:val="0"/>
              <w:jc w:val="center"/>
              <w:rPr>
                <w:rFonts w:cstheme="minorHAnsi"/>
                <w:color w:val="000000"/>
                <w:sz w:val="18"/>
                <w:szCs w:val="18"/>
              </w:rPr>
            </w:pPr>
          </w:p>
        </w:tc>
        <w:tc>
          <w:tcPr>
            <w:tcW w:w="238" w:type="dxa"/>
            <w:tcBorders>
              <w:top w:val="nil"/>
              <w:left w:val="nil"/>
              <w:bottom w:val="nil"/>
              <w:right w:val="nil"/>
            </w:tcBorders>
            <w:shd w:val="solid" w:color="FFFFFF" w:fill="auto"/>
          </w:tcPr>
          <w:p w14:paraId="4B1CB5F6" w14:textId="77777777" w:rsidR="00FA18EA" w:rsidRPr="0075195E" w:rsidRDefault="00FA18EA" w:rsidP="00FA18EA">
            <w:pPr>
              <w:autoSpaceDE w:val="0"/>
              <w:autoSpaceDN w:val="0"/>
              <w:adjustRightInd w:val="0"/>
              <w:jc w:val="right"/>
              <w:rPr>
                <w:rFonts w:cstheme="minorHAnsi"/>
                <w:color w:val="000000"/>
                <w:sz w:val="18"/>
                <w:szCs w:val="18"/>
              </w:rPr>
            </w:pPr>
          </w:p>
        </w:tc>
        <w:tc>
          <w:tcPr>
            <w:tcW w:w="1580" w:type="dxa"/>
            <w:tcBorders>
              <w:top w:val="nil"/>
              <w:left w:val="nil"/>
              <w:bottom w:val="nil"/>
              <w:right w:val="nil"/>
            </w:tcBorders>
            <w:shd w:val="solid" w:color="FFFFFF" w:fill="auto"/>
          </w:tcPr>
          <w:p w14:paraId="277D8D7D" w14:textId="77777777" w:rsidR="00FA18EA" w:rsidRPr="00536A35" w:rsidRDefault="00FA18EA" w:rsidP="00FA18EA">
            <w:pPr>
              <w:autoSpaceDE w:val="0"/>
              <w:autoSpaceDN w:val="0"/>
              <w:adjustRightInd w:val="0"/>
              <w:jc w:val="right"/>
              <w:rPr>
                <w:rFonts w:cstheme="minorHAnsi"/>
                <w:b/>
                <w:bCs/>
                <w:color w:val="000000"/>
                <w:sz w:val="18"/>
                <w:szCs w:val="18"/>
              </w:rPr>
            </w:pPr>
          </w:p>
        </w:tc>
        <w:tc>
          <w:tcPr>
            <w:tcW w:w="450" w:type="dxa"/>
            <w:tcBorders>
              <w:top w:val="nil"/>
              <w:left w:val="nil"/>
              <w:bottom w:val="nil"/>
              <w:right w:val="nil"/>
            </w:tcBorders>
            <w:shd w:val="solid" w:color="FFFFFF" w:fill="auto"/>
          </w:tcPr>
          <w:p w14:paraId="16A9B633" w14:textId="77777777" w:rsidR="00FA18EA" w:rsidRPr="00A02B31" w:rsidRDefault="00FA18EA" w:rsidP="00FA18EA">
            <w:pPr>
              <w:autoSpaceDE w:val="0"/>
              <w:autoSpaceDN w:val="0"/>
              <w:adjustRightInd w:val="0"/>
              <w:jc w:val="right"/>
              <w:rPr>
                <w:rFonts w:cstheme="minorHAnsi"/>
                <w:color w:val="000000"/>
                <w:sz w:val="18"/>
                <w:szCs w:val="18"/>
              </w:rPr>
            </w:pPr>
          </w:p>
        </w:tc>
        <w:tc>
          <w:tcPr>
            <w:tcW w:w="1276" w:type="dxa"/>
            <w:tcBorders>
              <w:top w:val="nil"/>
              <w:left w:val="nil"/>
              <w:bottom w:val="nil"/>
              <w:right w:val="nil"/>
            </w:tcBorders>
            <w:shd w:val="solid" w:color="FFFFFF" w:fill="auto"/>
          </w:tcPr>
          <w:p w14:paraId="07BF8870" w14:textId="77777777" w:rsidR="00FA18EA" w:rsidRPr="00A02B31" w:rsidRDefault="00FA18EA" w:rsidP="00FA18EA">
            <w:pPr>
              <w:autoSpaceDE w:val="0"/>
              <w:autoSpaceDN w:val="0"/>
              <w:adjustRightInd w:val="0"/>
              <w:jc w:val="right"/>
              <w:rPr>
                <w:rFonts w:cstheme="minorHAnsi"/>
                <w:color w:val="000000"/>
                <w:sz w:val="18"/>
                <w:szCs w:val="18"/>
              </w:rPr>
            </w:pPr>
          </w:p>
        </w:tc>
      </w:tr>
      <w:tr w:rsidR="00FA18EA" w:rsidRPr="007600A7" w14:paraId="65AD081D" w14:textId="77777777" w:rsidTr="00FA18EA">
        <w:trPr>
          <w:trHeight w:val="233"/>
        </w:trPr>
        <w:tc>
          <w:tcPr>
            <w:tcW w:w="5275" w:type="dxa"/>
            <w:tcBorders>
              <w:top w:val="nil"/>
              <w:left w:val="nil"/>
              <w:bottom w:val="nil"/>
              <w:right w:val="nil"/>
            </w:tcBorders>
            <w:shd w:val="solid" w:color="FFFFFF" w:fill="auto"/>
          </w:tcPr>
          <w:p w14:paraId="4CAFB1C3" w14:textId="77777777" w:rsidR="00FA18EA" w:rsidRPr="008B2DDA" w:rsidRDefault="00FA18EA" w:rsidP="00FA18EA">
            <w:pPr>
              <w:autoSpaceDE w:val="0"/>
              <w:autoSpaceDN w:val="0"/>
              <w:adjustRightInd w:val="0"/>
              <w:rPr>
                <w:rFonts w:cstheme="minorHAnsi"/>
                <w:color w:val="000000"/>
                <w:sz w:val="18"/>
                <w:szCs w:val="18"/>
              </w:rPr>
            </w:pPr>
            <w:r w:rsidRPr="008B2DDA">
              <w:rPr>
                <w:rFonts w:cstheme="minorHAnsi"/>
                <w:color w:val="000000"/>
                <w:sz w:val="18"/>
                <w:szCs w:val="18"/>
              </w:rPr>
              <w:t xml:space="preserve"> - Equity shareholders of the Company</w:t>
            </w:r>
          </w:p>
        </w:tc>
        <w:tc>
          <w:tcPr>
            <w:tcW w:w="238" w:type="dxa"/>
            <w:tcBorders>
              <w:top w:val="nil"/>
              <w:left w:val="nil"/>
              <w:bottom w:val="nil"/>
              <w:right w:val="nil"/>
            </w:tcBorders>
            <w:shd w:val="solid" w:color="FFFFFF" w:fill="auto"/>
          </w:tcPr>
          <w:p w14:paraId="0B436381" w14:textId="77777777" w:rsidR="00FA18EA" w:rsidRPr="000C5053" w:rsidRDefault="00FA18EA" w:rsidP="00FA18EA">
            <w:pPr>
              <w:autoSpaceDE w:val="0"/>
              <w:autoSpaceDN w:val="0"/>
              <w:adjustRightInd w:val="0"/>
              <w:jc w:val="right"/>
              <w:rPr>
                <w:rFonts w:cstheme="minorHAnsi"/>
                <w:color w:val="000000"/>
                <w:sz w:val="18"/>
                <w:szCs w:val="18"/>
              </w:rPr>
            </w:pPr>
          </w:p>
        </w:tc>
        <w:tc>
          <w:tcPr>
            <w:tcW w:w="754" w:type="dxa"/>
            <w:tcBorders>
              <w:top w:val="nil"/>
              <w:left w:val="nil"/>
              <w:bottom w:val="nil"/>
              <w:right w:val="nil"/>
            </w:tcBorders>
            <w:shd w:val="solid" w:color="FFFFFF" w:fill="auto"/>
          </w:tcPr>
          <w:p w14:paraId="334D014A" w14:textId="77777777" w:rsidR="00FA18EA" w:rsidRPr="0091098D" w:rsidRDefault="00FA18EA" w:rsidP="00FA18EA">
            <w:pPr>
              <w:autoSpaceDE w:val="0"/>
              <w:autoSpaceDN w:val="0"/>
              <w:adjustRightInd w:val="0"/>
              <w:jc w:val="center"/>
              <w:rPr>
                <w:rFonts w:cstheme="minorHAnsi"/>
                <w:color w:val="000000"/>
                <w:sz w:val="18"/>
                <w:szCs w:val="18"/>
              </w:rPr>
            </w:pPr>
          </w:p>
        </w:tc>
        <w:tc>
          <w:tcPr>
            <w:tcW w:w="238" w:type="dxa"/>
            <w:tcBorders>
              <w:top w:val="nil"/>
              <w:left w:val="nil"/>
              <w:bottom w:val="nil"/>
              <w:right w:val="nil"/>
            </w:tcBorders>
            <w:shd w:val="solid" w:color="FFFFFF" w:fill="auto"/>
          </w:tcPr>
          <w:p w14:paraId="2C373AEB" w14:textId="77777777" w:rsidR="00FA18EA" w:rsidRPr="0075195E" w:rsidRDefault="00FA18EA" w:rsidP="00FA18EA">
            <w:pPr>
              <w:autoSpaceDE w:val="0"/>
              <w:autoSpaceDN w:val="0"/>
              <w:adjustRightInd w:val="0"/>
              <w:jc w:val="right"/>
              <w:rPr>
                <w:rFonts w:cstheme="minorHAnsi"/>
                <w:color w:val="000000"/>
                <w:sz w:val="18"/>
                <w:szCs w:val="18"/>
              </w:rPr>
            </w:pPr>
          </w:p>
        </w:tc>
        <w:tc>
          <w:tcPr>
            <w:tcW w:w="1580" w:type="dxa"/>
            <w:tcBorders>
              <w:top w:val="nil"/>
              <w:left w:val="nil"/>
              <w:bottom w:val="nil"/>
              <w:right w:val="nil"/>
            </w:tcBorders>
            <w:shd w:val="solid" w:color="FFFFFF" w:fill="auto"/>
          </w:tcPr>
          <w:p w14:paraId="5DDC0457" w14:textId="77777777" w:rsidR="00FA18EA" w:rsidRPr="00536A35" w:rsidRDefault="00FA18EA" w:rsidP="00FA18EA">
            <w:pPr>
              <w:autoSpaceDE w:val="0"/>
              <w:autoSpaceDN w:val="0"/>
              <w:adjustRightInd w:val="0"/>
              <w:jc w:val="right"/>
              <w:rPr>
                <w:rFonts w:cstheme="minorHAnsi"/>
                <w:b/>
                <w:bCs/>
                <w:color w:val="000000"/>
                <w:sz w:val="18"/>
                <w:szCs w:val="18"/>
              </w:rPr>
            </w:pPr>
            <w:r w:rsidRPr="00536A35">
              <w:rPr>
                <w:rFonts w:cstheme="minorHAnsi"/>
                <w:b/>
                <w:bCs/>
                <w:color w:val="000000"/>
                <w:sz w:val="18"/>
                <w:szCs w:val="18"/>
              </w:rPr>
              <w:t>13,843</w:t>
            </w:r>
          </w:p>
        </w:tc>
        <w:tc>
          <w:tcPr>
            <w:tcW w:w="450" w:type="dxa"/>
            <w:tcBorders>
              <w:top w:val="nil"/>
              <w:left w:val="nil"/>
              <w:bottom w:val="nil"/>
              <w:right w:val="nil"/>
            </w:tcBorders>
            <w:shd w:val="solid" w:color="FFFFFF" w:fill="auto"/>
          </w:tcPr>
          <w:p w14:paraId="5C9F5592" w14:textId="77777777" w:rsidR="00FA18EA" w:rsidRPr="00A02B31" w:rsidRDefault="00FA18EA" w:rsidP="00FA18EA">
            <w:pPr>
              <w:autoSpaceDE w:val="0"/>
              <w:autoSpaceDN w:val="0"/>
              <w:adjustRightInd w:val="0"/>
              <w:jc w:val="right"/>
              <w:rPr>
                <w:rFonts w:cstheme="minorHAnsi"/>
                <w:color w:val="000000"/>
                <w:sz w:val="18"/>
                <w:szCs w:val="18"/>
              </w:rPr>
            </w:pPr>
          </w:p>
        </w:tc>
        <w:tc>
          <w:tcPr>
            <w:tcW w:w="1276" w:type="dxa"/>
            <w:tcBorders>
              <w:top w:val="nil"/>
              <w:left w:val="nil"/>
              <w:bottom w:val="nil"/>
              <w:right w:val="nil"/>
            </w:tcBorders>
            <w:shd w:val="solid" w:color="FFFFFF" w:fill="auto"/>
          </w:tcPr>
          <w:p w14:paraId="67A2A551" w14:textId="77777777" w:rsidR="00FA18EA" w:rsidRPr="00A02B31" w:rsidRDefault="00FA18EA" w:rsidP="00FA18EA">
            <w:pPr>
              <w:autoSpaceDE w:val="0"/>
              <w:autoSpaceDN w:val="0"/>
              <w:adjustRightInd w:val="0"/>
              <w:jc w:val="right"/>
              <w:rPr>
                <w:rFonts w:cstheme="minorHAnsi"/>
                <w:color w:val="000000"/>
                <w:sz w:val="18"/>
                <w:szCs w:val="18"/>
              </w:rPr>
            </w:pPr>
            <w:r w:rsidRPr="00A02B31">
              <w:rPr>
                <w:rFonts w:cstheme="minorHAnsi"/>
                <w:color w:val="000000"/>
                <w:sz w:val="18"/>
                <w:szCs w:val="18"/>
              </w:rPr>
              <w:t xml:space="preserve">          16,612 </w:t>
            </w:r>
          </w:p>
        </w:tc>
      </w:tr>
      <w:tr w:rsidR="00FA18EA" w:rsidRPr="007600A7" w14:paraId="1DF2177C" w14:textId="77777777" w:rsidTr="00FA18EA">
        <w:trPr>
          <w:trHeight w:val="233"/>
        </w:trPr>
        <w:tc>
          <w:tcPr>
            <w:tcW w:w="5275" w:type="dxa"/>
            <w:tcBorders>
              <w:top w:val="nil"/>
              <w:left w:val="nil"/>
              <w:bottom w:val="nil"/>
              <w:right w:val="nil"/>
            </w:tcBorders>
            <w:shd w:val="solid" w:color="FFFFFF" w:fill="auto"/>
          </w:tcPr>
          <w:p w14:paraId="3A1D2BC2" w14:textId="77777777" w:rsidR="00FA18EA" w:rsidRPr="008B2DDA" w:rsidRDefault="00FA18EA" w:rsidP="00FA18EA">
            <w:pPr>
              <w:autoSpaceDE w:val="0"/>
              <w:autoSpaceDN w:val="0"/>
              <w:adjustRightInd w:val="0"/>
              <w:jc w:val="right"/>
              <w:rPr>
                <w:rFonts w:cstheme="minorHAnsi"/>
                <w:color w:val="000000"/>
                <w:sz w:val="18"/>
                <w:szCs w:val="18"/>
              </w:rPr>
            </w:pPr>
          </w:p>
        </w:tc>
        <w:tc>
          <w:tcPr>
            <w:tcW w:w="238" w:type="dxa"/>
            <w:tcBorders>
              <w:top w:val="nil"/>
              <w:left w:val="nil"/>
              <w:bottom w:val="nil"/>
              <w:right w:val="nil"/>
            </w:tcBorders>
            <w:shd w:val="solid" w:color="FFFFFF" w:fill="auto"/>
          </w:tcPr>
          <w:p w14:paraId="0C24888C" w14:textId="77777777" w:rsidR="00FA18EA" w:rsidRPr="000C5053" w:rsidRDefault="00FA18EA" w:rsidP="00FA18EA">
            <w:pPr>
              <w:autoSpaceDE w:val="0"/>
              <w:autoSpaceDN w:val="0"/>
              <w:adjustRightInd w:val="0"/>
              <w:jc w:val="right"/>
              <w:rPr>
                <w:rFonts w:cstheme="minorHAnsi"/>
                <w:color w:val="000000"/>
                <w:sz w:val="18"/>
                <w:szCs w:val="18"/>
              </w:rPr>
            </w:pPr>
          </w:p>
        </w:tc>
        <w:tc>
          <w:tcPr>
            <w:tcW w:w="754" w:type="dxa"/>
            <w:tcBorders>
              <w:top w:val="nil"/>
              <w:left w:val="nil"/>
              <w:bottom w:val="nil"/>
              <w:right w:val="nil"/>
            </w:tcBorders>
            <w:shd w:val="solid" w:color="FFFFFF" w:fill="auto"/>
          </w:tcPr>
          <w:p w14:paraId="709718E1" w14:textId="77777777" w:rsidR="00FA18EA" w:rsidRPr="0091098D" w:rsidRDefault="00FA18EA" w:rsidP="00FA18EA">
            <w:pPr>
              <w:autoSpaceDE w:val="0"/>
              <w:autoSpaceDN w:val="0"/>
              <w:adjustRightInd w:val="0"/>
              <w:jc w:val="center"/>
              <w:rPr>
                <w:rFonts w:cstheme="minorHAnsi"/>
                <w:color w:val="000000"/>
                <w:sz w:val="18"/>
                <w:szCs w:val="18"/>
              </w:rPr>
            </w:pPr>
          </w:p>
        </w:tc>
        <w:tc>
          <w:tcPr>
            <w:tcW w:w="238" w:type="dxa"/>
            <w:tcBorders>
              <w:top w:val="nil"/>
              <w:left w:val="nil"/>
              <w:bottom w:val="nil"/>
              <w:right w:val="nil"/>
            </w:tcBorders>
            <w:shd w:val="solid" w:color="FFFFFF" w:fill="auto"/>
          </w:tcPr>
          <w:p w14:paraId="6FA26E84" w14:textId="77777777" w:rsidR="00FA18EA" w:rsidRPr="0075195E" w:rsidRDefault="00FA18EA" w:rsidP="00FA18EA">
            <w:pPr>
              <w:autoSpaceDE w:val="0"/>
              <w:autoSpaceDN w:val="0"/>
              <w:adjustRightInd w:val="0"/>
              <w:jc w:val="right"/>
              <w:rPr>
                <w:rFonts w:cstheme="minorHAnsi"/>
                <w:color w:val="000000"/>
                <w:sz w:val="18"/>
                <w:szCs w:val="18"/>
              </w:rPr>
            </w:pPr>
          </w:p>
        </w:tc>
        <w:tc>
          <w:tcPr>
            <w:tcW w:w="1580" w:type="dxa"/>
            <w:tcBorders>
              <w:top w:val="nil"/>
              <w:left w:val="nil"/>
              <w:bottom w:val="nil"/>
              <w:right w:val="nil"/>
            </w:tcBorders>
            <w:shd w:val="solid" w:color="FFFFFF" w:fill="auto"/>
          </w:tcPr>
          <w:p w14:paraId="4576A4AE" w14:textId="77777777" w:rsidR="00FA18EA" w:rsidRPr="00536A35" w:rsidRDefault="00FA18EA" w:rsidP="00FA18EA">
            <w:pPr>
              <w:autoSpaceDE w:val="0"/>
              <w:autoSpaceDN w:val="0"/>
              <w:adjustRightInd w:val="0"/>
              <w:jc w:val="right"/>
              <w:rPr>
                <w:rFonts w:cstheme="minorHAnsi"/>
                <w:b/>
                <w:bCs/>
                <w:color w:val="000000"/>
                <w:sz w:val="18"/>
                <w:szCs w:val="18"/>
              </w:rPr>
            </w:pPr>
          </w:p>
        </w:tc>
        <w:tc>
          <w:tcPr>
            <w:tcW w:w="450" w:type="dxa"/>
            <w:tcBorders>
              <w:top w:val="nil"/>
              <w:left w:val="nil"/>
              <w:bottom w:val="nil"/>
              <w:right w:val="nil"/>
            </w:tcBorders>
            <w:shd w:val="solid" w:color="FFFFFF" w:fill="auto"/>
          </w:tcPr>
          <w:p w14:paraId="7398823F" w14:textId="77777777" w:rsidR="00FA18EA" w:rsidRPr="00A02B31" w:rsidRDefault="00FA18EA" w:rsidP="00FA18EA">
            <w:pPr>
              <w:autoSpaceDE w:val="0"/>
              <w:autoSpaceDN w:val="0"/>
              <w:adjustRightInd w:val="0"/>
              <w:jc w:val="right"/>
              <w:rPr>
                <w:rFonts w:cstheme="minorHAnsi"/>
                <w:color w:val="000000"/>
                <w:sz w:val="18"/>
                <w:szCs w:val="18"/>
              </w:rPr>
            </w:pPr>
          </w:p>
        </w:tc>
        <w:tc>
          <w:tcPr>
            <w:tcW w:w="1276" w:type="dxa"/>
            <w:tcBorders>
              <w:top w:val="nil"/>
              <w:left w:val="nil"/>
              <w:bottom w:val="nil"/>
              <w:right w:val="nil"/>
            </w:tcBorders>
            <w:shd w:val="solid" w:color="FFFFFF" w:fill="auto"/>
          </w:tcPr>
          <w:p w14:paraId="3CC99F53" w14:textId="77777777" w:rsidR="00FA18EA" w:rsidRPr="00A02B31" w:rsidRDefault="00FA18EA" w:rsidP="00FA18EA">
            <w:pPr>
              <w:autoSpaceDE w:val="0"/>
              <w:autoSpaceDN w:val="0"/>
              <w:adjustRightInd w:val="0"/>
              <w:jc w:val="right"/>
              <w:rPr>
                <w:rFonts w:cstheme="minorHAnsi"/>
                <w:color w:val="000000"/>
                <w:sz w:val="18"/>
                <w:szCs w:val="18"/>
              </w:rPr>
            </w:pPr>
          </w:p>
        </w:tc>
      </w:tr>
      <w:tr w:rsidR="00FA18EA" w:rsidRPr="007600A7" w14:paraId="578DAD38" w14:textId="77777777" w:rsidTr="00FA18EA">
        <w:trPr>
          <w:trHeight w:val="233"/>
        </w:trPr>
        <w:tc>
          <w:tcPr>
            <w:tcW w:w="5275" w:type="dxa"/>
            <w:tcBorders>
              <w:top w:val="nil"/>
              <w:left w:val="nil"/>
              <w:right w:val="nil"/>
            </w:tcBorders>
            <w:shd w:val="solid" w:color="FFFFFF" w:fill="auto"/>
          </w:tcPr>
          <w:p w14:paraId="6B7BABD6" w14:textId="77777777" w:rsidR="00FA18EA" w:rsidRPr="008B2DDA" w:rsidRDefault="00FA18EA" w:rsidP="00FA18EA">
            <w:pPr>
              <w:autoSpaceDE w:val="0"/>
              <w:autoSpaceDN w:val="0"/>
              <w:adjustRightInd w:val="0"/>
              <w:rPr>
                <w:rFonts w:cstheme="minorHAnsi"/>
                <w:color w:val="000000"/>
                <w:sz w:val="18"/>
                <w:szCs w:val="18"/>
              </w:rPr>
            </w:pPr>
            <w:r w:rsidRPr="008B2DDA">
              <w:rPr>
                <w:rFonts w:cstheme="minorHAnsi"/>
                <w:color w:val="000000"/>
                <w:sz w:val="18"/>
                <w:szCs w:val="18"/>
              </w:rPr>
              <w:t>Basic and Diluted earnings per ordinary share for profit</w:t>
            </w:r>
          </w:p>
        </w:tc>
        <w:tc>
          <w:tcPr>
            <w:tcW w:w="238" w:type="dxa"/>
            <w:tcBorders>
              <w:top w:val="nil"/>
              <w:left w:val="nil"/>
              <w:right w:val="nil"/>
            </w:tcBorders>
            <w:shd w:val="solid" w:color="FFFFFF" w:fill="auto"/>
          </w:tcPr>
          <w:p w14:paraId="027C2F00" w14:textId="77777777" w:rsidR="00FA18EA" w:rsidRPr="000C5053" w:rsidRDefault="00FA18EA" w:rsidP="00FA18EA">
            <w:pPr>
              <w:autoSpaceDE w:val="0"/>
              <w:autoSpaceDN w:val="0"/>
              <w:adjustRightInd w:val="0"/>
              <w:jc w:val="right"/>
              <w:rPr>
                <w:rFonts w:cstheme="minorHAnsi"/>
                <w:color w:val="000000"/>
                <w:sz w:val="18"/>
                <w:szCs w:val="18"/>
              </w:rPr>
            </w:pPr>
          </w:p>
        </w:tc>
        <w:tc>
          <w:tcPr>
            <w:tcW w:w="754" w:type="dxa"/>
            <w:tcBorders>
              <w:top w:val="nil"/>
              <w:left w:val="nil"/>
              <w:right w:val="nil"/>
            </w:tcBorders>
            <w:shd w:val="solid" w:color="FFFFFF" w:fill="auto"/>
          </w:tcPr>
          <w:p w14:paraId="7123C905" w14:textId="77777777" w:rsidR="00FA18EA" w:rsidRPr="0091098D" w:rsidRDefault="00FA18EA" w:rsidP="00FA18EA">
            <w:pPr>
              <w:autoSpaceDE w:val="0"/>
              <w:autoSpaceDN w:val="0"/>
              <w:adjustRightInd w:val="0"/>
              <w:jc w:val="center"/>
              <w:rPr>
                <w:rFonts w:cstheme="minorHAnsi"/>
                <w:color w:val="000000"/>
                <w:sz w:val="18"/>
                <w:szCs w:val="18"/>
              </w:rPr>
            </w:pPr>
            <w:r w:rsidRPr="0091098D">
              <w:rPr>
                <w:rFonts w:cstheme="minorHAnsi"/>
                <w:color w:val="000000"/>
                <w:sz w:val="18"/>
                <w:szCs w:val="18"/>
              </w:rPr>
              <w:t>6</w:t>
            </w:r>
          </w:p>
        </w:tc>
        <w:tc>
          <w:tcPr>
            <w:tcW w:w="238" w:type="dxa"/>
            <w:tcBorders>
              <w:top w:val="nil"/>
              <w:left w:val="nil"/>
              <w:right w:val="nil"/>
            </w:tcBorders>
            <w:shd w:val="solid" w:color="FFFFFF" w:fill="auto"/>
          </w:tcPr>
          <w:p w14:paraId="04E3C39A" w14:textId="77777777" w:rsidR="00FA18EA" w:rsidRPr="0075195E" w:rsidRDefault="00FA18EA" w:rsidP="00FA18EA">
            <w:pPr>
              <w:autoSpaceDE w:val="0"/>
              <w:autoSpaceDN w:val="0"/>
              <w:adjustRightInd w:val="0"/>
              <w:jc w:val="right"/>
              <w:rPr>
                <w:rFonts w:cstheme="minorHAnsi"/>
                <w:color w:val="000000"/>
                <w:sz w:val="18"/>
                <w:szCs w:val="18"/>
              </w:rPr>
            </w:pPr>
          </w:p>
        </w:tc>
        <w:tc>
          <w:tcPr>
            <w:tcW w:w="1580" w:type="dxa"/>
            <w:tcBorders>
              <w:top w:val="nil"/>
              <w:left w:val="nil"/>
              <w:right w:val="nil"/>
            </w:tcBorders>
            <w:shd w:val="solid" w:color="FFFFFF" w:fill="auto"/>
          </w:tcPr>
          <w:p w14:paraId="30D39C06" w14:textId="77777777" w:rsidR="00FA18EA" w:rsidRPr="00536A35" w:rsidRDefault="00FA18EA" w:rsidP="00FA18EA">
            <w:pPr>
              <w:autoSpaceDE w:val="0"/>
              <w:autoSpaceDN w:val="0"/>
              <w:adjustRightInd w:val="0"/>
              <w:jc w:val="right"/>
              <w:rPr>
                <w:rFonts w:cstheme="minorHAnsi"/>
                <w:b/>
                <w:bCs/>
                <w:color w:val="000000"/>
                <w:sz w:val="18"/>
                <w:szCs w:val="18"/>
              </w:rPr>
            </w:pPr>
            <w:r w:rsidRPr="00536A35">
              <w:rPr>
                <w:rFonts w:cstheme="minorHAnsi"/>
                <w:b/>
                <w:bCs/>
                <w:color w:val="000000"/>
                <w:sz w:val="18"/>
                <w:szCs w:val="18"/>
              </w:rPr>
              <w:t xml:space="preserve">   428.76p</w:t>
            </w:r>
          </w:p>
        </w:tc>
        <w:tc>
          <w:tcPr>
            <w:tcW w:w="450" w:type="dxa"/>
            <w:tcBorders>
              <w:top w:val="nil"/>
              <w:left w:val="nil"/>
              <w:right w:val="nil"/>
            </w:tcBorders>
            <w:shd w:val="solid" w:color="FFFFFF" w:fill="auto"/>
          </w:tcPr>
          <w:p w14:paraId="41156B0B" w14:textId="77777777" w:rsidR="00FA18EA" w:rsidRPr="00A02B31" w:rsidRDefault="00FA18EA" w:rsidP="00FA18EA">
            <w:pPr>
              <w:autoSpaceDE w:val="0"/>
              <w:autoSpaceDN w:val="0"/>
              <w:adjustRightInd w:val="0"/>
              <w:jc w:val="right"/>
              <w:rPr>
                <w:rFonts w:cstheme="minorHAnsi"/>
                <w:color w:val="000000"/>
                <w:sz w:val="18"/>
                <w:szCs w:val="18"/>
              </w:rPr>
            </w:pPr>
          </w:p>
        </w:tc>
        <w:tc>
          <w:tcPr>
            <w:tcW w:w="1276" w:type="dxa"/>
            <w:tcBorders>
              <w:top w:val="nil"/>
              <w:left w:val="nil"/>
              <w:right w:val="nil"/>
            </w:tcBorders>
            <w:shd w:val="solid" w:color="FFFFFF" w:fill="auto"/>
          </w:tcPr>
          <w:p w14:paraId="6DB86F2B" w14:textId="77777777" w:rsidR="00FA18EA" w:rsidRPr="00A02B31" w:rsidRDefault="00FA18EA" w:rsidP="00FA18EA">
            <w:pPr>
              <w:autoSpaceDE w:val="0"/>
              <w:autoSpaceDN w:val="0"/>
              <w:adjustRightInd w:val="0"/>
              <w:jc w:val="right"/>
              <w:rPr>
                <w:rFonts w:cstheme="minorHAnsi"/>
                <w:color w:val="000000"/>
                <w:sz w:val="18"/>
                <w:szCs w:val="18"/>
              </w:rPr>
            </w:pPr>
            <w:r w:rsidRPr="00A02B31">
              <w:rPr>
                <w:rFonts w:cstheme="minorHAnsi"/>
                <w:color w:val="000000"/>
                <w:sz w:val="18"/>
                <w:szCs w:val="18"/>
              </w:rPr>
              <w:t xml:space="preserve">        477.24p </w:t>
            </w:r>
          </w:p>
        </w:tc>
      </w:tr>
      <w:tr w:rsidR="00FA18EA" w:rsidRPr="007600A7" w14:paraId="2D1E589F" w14:textId="77777777" w:rsidTr="00FA18EA">
        <w:trPr>
          <w:trHeight w:val="233"/>
        </w:trPr>
        <w:tc>
          <w:tcPr>
            <w:tcW w:w="5275" w:type="dxa"/>
            <w:tcBorders>
              <w:top w:val="nil"/>
              <w:left w:val="nil"/>
              <w:bottom w:val="single" w:sz="4" w:space="0" w:color="auto"/>
              <w:right w:val="nil"/>
            </w:tcBorders>
            <w:shd w:val="solid" w:color="FFFFFF" w:fill="auto"/>
          </w:tcPr>
          <w:p w14:paraId="713B2D0F" w14:textId="77777777" w:rsidR="00FA18EA" w:rsidRPr="008B2DDA" w:rsidRDefault="00FA18EA" w:rsidP="00FA18EA">
            <w:pPr>
              <w:autoSpaceDE w:val="0"/>
              <w:autoSpaceDN w:val="0"/>
              <w:adjustRightInd w:val="0"/>
              <w:rPr>
                <w:rFonts w:cstheme="minorHAnsi"/>
                <w:color w:val="000000"/>
                <w:sz w:val="18"/>
                <w:szCs w:val="18"/>
              </w:rPr>
            </w:pPr>
            <w:r w:rsidRPr="008B2DDA">
              <w:rPr>
                <w:rFonts w:cstheme="minorHAnsi"/>
                <w:color w:val="000000"/>
                <w:sz w:val="18"/>
                <w:szCs w:val="18"/>
              </w:rPr>
              <w:t>from continuing operations and for profit for the year (pence)</w:t>
            </w:r>
          </w:p>
        </w:tc>
        <w:tc>
          <w:tcPr>
            <w:tcW w:w="238" w:type="dxa"/>
            <w:tcBorders>
              <w:top w:val="nil"/>
              <w:left w:val="nil"/>
              <w:bottom w:val="single" w:sz="4" w:space="0" w:color="auto"/>
              <w:right w:val="nil"/>
            </w:tcBorders>
            <w:shd w:val="solid" w:color="FFFFFF" w:fill="auto"/>
          </w:tcPr>
          <w:p w14:paraId="063C91FD" w14:textId="77777777" w:rsidR="00FA18EA" w:rsidRPr="000C5053" w:rsidRDefault="00FA18EA" w:rsidP="00FA18EA">
            <w:pPr>
              <w:autoSpaceDE w:val="0"/>
              <w:autoSpaceDN w:val="0"/>
              <w:adjustRightInd w:val="0"/>
              <w:jc w:val="right"/>
              <w:rPr>
                <w:rFonts w:cstheme="minorHAnsi"/>
                <w:color w:val="000000"/>
                <w:sz w:val="18"/>
                <w:szCs w:val="18"/>
              </w:rPr>
            </w:pPr>
          </w:p>
        </w:tc>
        <w:tc>
          <w:tcPr>
            <w:tcW w:w="754" w:type="dxa"/>
            <w:tcBorders>
              <w:top w:val="nil"/>
              <w:left w:val="nil"/>
              <w:bottom w:val="single" w:sz="4" w:space="0" w:color="auto"/>
              <w:right w:val="nil"/>
            </w:tcBorders>
            <w:shd w:val="solid" w:color="FFFFFF" w:fill="auto"/>
          </w:tcPr>
          <w:p w14:paraId="5CB93C00" w14:textId="77777777" w:rsidR="00FA18EA" w:rsidRPr="0091098D" w:rsidRDefault="00FA18EA" w:rsidP="00FA18EA">
            <w:pPr>
              <w:autoSpaceDE w:val="0"/>
              <w:autoSpaceDN w:val="0"/>
              <w:adjustRightInd w:val="0"/>
              <w:jc w:val="center"/>
              <w:rPr>
                <w:rFonts w:cstheme="minorHAnsi"/>
                <w:color w:val="000000"/>
                <w:sz w:val="18"/>
                <w:szCs w:val="18"/>
              </w:rPr>
            </w:pPr>
          </w:p>
        </w:tc>
        <w:tc>
          <w:tcPr>
            <w:tcW w:w="238" w:type="dxa"/>
            <w:tcBorders>
              <w:top w:val="nil"/>
              <w:left w:val="nil"/>
              <w:bottom w:val="single" w:sz="4" w:space="0" w:color="auto"/>
              <w:right w:val="nil"/>
            </w:tcBorders>
            <w:shd w:val="solid" w:color="FFFFFF" w:fill="auto"/>
          </w:tcPr>
          <w:p w14:paraId="493FA278" w14:textId="77777777" w:rsidR="00FA18EA" w:rsidRPr="0075195E" w:rsidRDefault="00FA18EA" w:rsidP="00FA18EA">
            <w:pPr>
              <w:autoSpaceDE w:val="0"/>
              <w:autoSpaceDN w:val="0"/>
              <w:adjustRightInd w:val="0"/>
              <w:jc w:val="right"/>
              <w:rPr>
                <w:rFonts w:cstheme="minorHAnsi"/>
                <w:color w:val="000000"/>
                <w:sz w:val="18"/>
                <w:szCs w:val="18"/>
              </w:rPr>
            </w:pPr>
          </w:p>
        </w:tc>
        <w:tc>
          <w:tcPr>
            <w:tcW w:w="1580" w:type="dxa"/>
            <w:tcBorders>
              <w:top w:val="nil"/>
              <w:left w:val="nil"/>
              <w:bottom w:val="single" w:sz="4" w:space="0" w:color="auto"/>
              <w:right w:val="nil"/>
            </w:tcBorders>
            <w:shd w:val="solid" w:color="FFFFFF" w:fill="auto"/>
          </w:tcPr>
          <w:p w14:paraId="2948A099" w14:textId="77777777" w:rsidR="00FA18EA" w:rsidRPr="00536A35" w:rsidRDefault="00FA18EA" w:rsidP="00FA18EA">
            <w:pPr>
              <w:autoSpaceDE w:val="0"/>
              <w:autoSpaceDN w:val="0"/>
              <w:adjustRightInd w:val="0"/>
              <w:jc w:val="right"/>
              <w:rPr>
                <w:rFonts w:cstheme="minorHAnsi"/>
                <w:b/>
                <w:bCs/>
                <w:color w:val="000000"/>
                <w:sz w:val="18"/>
                <w:szCs w:val="18"/>
                <w:highlight w:val="yellow"/>
              </w:rPr>
            </w:pPr>
          </w:p>
        </w:tc>
        <w:tc>
          <w:tcPr>
            <w:tcW w:w="450" w:type="dxa"/>
            <w:tcBorders>
              <w:top w:val="nil"/>
              <w:left w:val="nil"/>
              <w:bottom w:val="single" w:sz="4" w:space="0" w:color="auto"/>
              <w:right w:val="nil"/>
            </w:tcBorders>
            <w:shd w:val="solid" w:color="FFFFFF" w:fill="auto"/>
          </w:tcPr>
          <w:p w14:paraId="6245E09A" w14:textId="77777777" w:rsidR="00FA18EA" w:rsidRPr="00A02B31" w:rsidRDefault="00FA18EA" w:rsidP="00FA18EA">
            <w:pPr>
              <w:autoSpaceDE w:val="0"/>
              <w:autoSpaceDN w:val="0"/>
              <w:adjustRightInd w:val="0"/>
              <w:jc w:val="right"/>
              <w:rPr>
                <w:rFonts w:cstheme="minorHAnsi"/>
                <w:color w:val="000000"/>
                <w:sz w:val="18"/>
                <w:szCs w:val="18"/>
              </w:rPr>
            </w:pPr>
          </w:p>
        </w:tc>
        <w:tc>
          <w:tcPr>
            <w:tcW w:w="1276" w:type="dxa"/>
            <w:tcBorders>
              <w:top w:val="nil"/>
              <w:left w:val="nil"/>
              <w:bottom w:val="single" w:sz="4" w:space="0" w:color="auto"/>
              <w:right w:val="nil"/>
            </w:tcBorders>
            <w:shd w:val="solid" w:color="FFFFFF" w:fill="auto"/>
          </w:tcPr>
          <w:p w14:paraId="2DC657AD" w14:textId="77777777" w:rsidR="00FA18EA" w:rsidRPr="00A02B31" w:rsidRDefault="00FA18EA" w:rsidP="00FA18EA">
            <w:pPr>
              <w:autoSpaceDE w:val="0"/>
              <w:autoSpaceDN w:val="0"/>
              <w:adjustRightInd w:val="0"/>
              <w:jc w:val="right"/>
              <w:rPr>
                <w:rFonts w:cstheme="minorHAnsi"/>
                <w:color w:val="000000"/>
                <w:sz w:val="18"/>
                <w:szCs w:val="18"/>
              </w:rPr>
            </w:pPr>
          </w:p>
        </w:tc>
      </w:tr>
    </w:tbl>
    <w:p w14:paraId="003A9E43" w14:textId="77777777" w:rsidR="00FA18EA" w:rsidRPr="008B2DDA" w:rsidRDefault="00FA18EA" w:rsidP="00FA18EA">
      <w:pPr>
        <w:rPr>
          <w:rFonts w:cstheme="minorHAnsi"/>
          <w:sz w:val="16"/>
        </w:rPr>
      </w:pPr>
    </w:p>
    <w:p w14:paraId="63D6234A" w14:textId="77777777" w:rsidR="00FA18EA" w:rsidRPr="0091098D" w:rsidRDefault="00FA18EA" w:rsidP="00FA18EA">
      <w:pPr>
        <w:jc w:val="both"/>
        <w:rPr>
          <w:rFonts w:cstheme="minorHAnsi"/>
          <w:sz w:val="18"/>
        </w:rPr>
      </w:pPr>
      <w:r w:rsidRPr="000C5053">
        <w:rPr>
          <w:rFonts w:cstheme="minorHAnsi"/>
          <w:sz w:val="18"/>
        </w:rPr>
        <w:t>There are no components of other comprehensive income for the current year (2021: None), all income arose from continuing operations.</w:t>
      </w:r>
    </w:p>
    <w:p w14:paraId="2914BB82" w14:textId="77777777" w:rsidR="00FA18EA" w:rsidRPr="0075195E" w:rsidRDefault="00FA18EA" w:rsidP="00FA18EA">
      <w:pPr>
        <w:rPr>
          <w:rFonts w:cstheme="minorHAnsi"/>
          <w:sz w:val="18"/>
        </w:rPr>
      </w:pPr>
    </w:p>
    <w:p w14:paraId="1B6A2220" w14:textId="77777777" w:rsidR="00FA18EA" w:rsidRPr="00A02B31" w:rsidRDefault="00FA18EA" w:rsidP="00FA18EA">
      <w:pPr>
        <w:rPr>
          <w:rFonts w:cstheme="minorHAnsi"/>
          <w:color w:val="70706F"/>
          <w:sz w:val="18"/>
          <w:szCs w:val="18"/>
        </w:rPr>
      </w:pPr>
      <w:r w:rsidRPr="00A02B31">
        <w:rPr>
          <w:rFonts w:cstheme="minorHAnsi"/>
          <w:color w:val="70706F"/>
          <w:sz w:val="18"/>
          <w:szCs w:val="18"/>
        </w:rPr>
        <w:br w:type="page"/>
      </w:r>
    </w:p>
    <w:p w14:paraId="51ABEC6E" w14:textId="77777777" w:rsidR="00FA18EA" w:rsidRPr="007600A7" w:rsidRDefault="00FA18EA" w:rsidP="00FA18EA">
      <w:pPr>
        <w:pageBreakBefore/>
        <w:autoSpaceDE w:val="0"/>
        <w:autoSpaceDN w:val="0"/>
        <w:adjustRightInd w:val="0"/>
        <w:rPr>
          <w:rFonts w:cstheme="minorHAnsi"/>
          <w:b/>
          <w:sz w:val="28"/>
        </w:rPr>
      </w:pPr>
      <w:r w:rsidRPr="007600A7">
        <w:rPr>
          <w:rFonts w:cstheme="minorHAnsi"/>
          <w:b/>
          <w:sz w:val="28"/>
        </w:rPr>
        <w:lastRenderedPageBreak/>
        <w:t>Statement of Financial Position as at 31 March 2022</w:t>
      </w:r>
    </w:p>
    <w:p w14:paraId="4B9A2AC0" w14:textId="77777777" w:rsidR="00FA18EA" w:rsidRPr="000C1F6F" w:rsidRDefault="00FA18EA" w:rsidP="00FA18EA">
      <w:pPr>
        <w:rPr>
          <w:rFonts w:cstheme="minorHAnsi"/>
          <w:b/>
        </w:rPr>
      </w:pPr>
    </w:p>
    <w:tbl>
      <w:tblPr>
        <w:tblW w:w="9755" w:type="dxa"/>
        <w:tblLook w:val="04A0" w:firstRow="1" w:lastRow="0" w:firstColumn="1" w:lastColumn="0" w:noHBand="0" w:noVBand="1"/>
      </w:tblPr>
      <w:tblGrid>
        <w:gridCol w:w="2539"/>
        <w:gridCol w:w="2539"/>
        <w:gridCol w:w="389"/>
        <w:gridCol w:w="389"/>
        <w:gridCol w:w="282"/>
        <w:gridCol w:w="799"/>
        <w:gridCol w:w="800"/>
        <w:gridCol w:w="282"/>
        <w:gridCol w:w="1736"/>
      </w:tblGrid>
      <w:tr w:rsidR="00FA18EA" w:rsidRPr="007600A7" w14:paraId="2FF8D76B" w14:textId="77777777" w:rsidTr="00FA18EA">
        <w:trPr>
          <w:trHeight w:val="259"/>
        </w:trPr>
        <w:tc>
          <w:tcPr>
            <w:tcW w:w="5078" w:type="dxa"/>
            <w:gridSpan w:val="2"/>
            <w:tcBorders>
              <w:top w:val="single" w:sz="4" w:space="0" w:color="auto"/>
              <w:left w:val="nil"/>
              <w:bottom w:val="nil"/>
              <w:right w:val="nil"/>
            </w:tcBorders>
            <w:shd w:val="clear" w:color="000000" w:fill="FFFFFF"/>
            <w:noWrap/>
            <w:vAlign w:val="bottom"/>
            <w:hideMark/>
          </w:tcPr>
          <w:p w14:paraId="7466EC13" w14:textId="77777777" w:rsidR="00FA18EA" w:rsidRPr="008B2DDA" w:rsidRDefault="00FA18EA" w:rsidP="00FA18EA">
            <w:pPr>
              <w:rPr>
                <w:rFonts w:eastAsia="Times New Roman" w:cstheme="minorHAnsi"/>
                <w:sz w:val="18"/>
                <w:szCs w:val="18"/>
                <w:lang w:eastAsia="en-GB"/>
              </w:rPr>
            </w:pPr>
            <w:r w:rsidRPr="008B2DDA">
              <w:rPr>
                <w:rFonts w:eastAsia="Times New Roman" w:cstheme="minorHAnsi"/>
                <w:sz w:val="18"/>
                <w:szCs w:val="18"/>
                <w:lang w:eastAsia="en-GB"/>
              </w:rPr>
              <w:t> </w:t>
            </w:r>
          </w:p>
        </w:tc>
        <w:tc>
          <w:tcPr>
            <w:tcW w:w="778" w:type="dxa"/>
            <w:gridSpan w:val="2"/>
            <w:tcBorders>
              <w:top w:val="single" w:sz="4" w:space="0" w:color="auto"/>
              <w:left w:val="nil"/>
              <w:bottom w:val="nil"/>
              <w:right w:val="nil"/>
            </w:tcBorders>
            <w:shd w:val="clear" w:color="000000" w:fill="FFFFFF"/>
            <w:noWrap/>
            <w:vAlign w:val="bottom"/>
            <w:hideMark/>
          </w:tcPr>
          <w:p w14:paraId="2B7B9D6C" w14:textId="77777777" w:rsidR="00FA18EA" w:rsidRPr="0091098D" w:rsidRDefault="00FA18EA" w:rsidP="00FA18EA">
            <w:pPr>
              <w:jc w:val="center"/>
              <w:rPr>
                <w:rFonts w:eastAsia="Times New Roman" w:cstheme="minorHAnsi"/>
                <w:sz w:val="18"/>
                <w:szCs w:val="18"/>
                <w:lang w:eastAsia="en-GB"/>
              </w:rPr>
            </w:pPr>
            <w:r w:rsidRPr="000C5053">
              <w:rPr>
                <w:rFonts w:eastAsia="Times New Roman" w:cstheme="minorHAnsi"/>
                <w:sz w:val="18"/>
                <w:szCs w:val="18"/>
                <w:lang w:eastAsia="en-GB"/>
              </w:rPr>
              <w:t> </w:t>
            </w:r>
          </w:p>
        </w:tc>
        <w:tc>
          <w:tcPr>
            <w:tcW w:w="1881" w:type="dxa"/>
            <w:gridSpan w:val="3"/>
            <w:tcBorders>
              <w:top w:val="single" w:sz="4" w:space="0" w:color="auto"/>
              <w:left w:val="nil"/>
              <w:bottom w:val="nil"/>
              <w:right w:val="nil"/>
            </w:tcBorders>
            <w:shd w:val="clear" w:color="000000" w:fill="FFFFFF"/>
            <w:vAlign w:val="center"/>
            <w:hideMark/>
          </w:tcPr>
          <w:p w14:paraId="40531047" w14:textId="77777777" w:rsidR="00FA18EA" w:rsidRPr="0075195E" w:rsidRDefault="00FA18EA" w:rsidP="00FA18EA">
            <w:pPr>
              <w:jc w:val="right"/>
              <w:rPr>
                <w:rFonts w:eastAsia="Times New Roman" w:cstheme="minorHAnsi"/>
                <w:b/>
                <w:bCs/>
                <w:lang w:eastAsia="en-GB"/>
              </w:rPr>
            </w:pPr>
            <w:r w:rsidRPr="0075195E">
              <w:rPr>
                <w:rFonts w:eastAsia="Times New Roman" w:cstheme="minorHAnsi"/>
                <w:b/>
                <w:bCs/>
                <w:lang w:eastAsia="en-GB"/>
              </w:rPr>
              <w:t>31-Mar-22</w:t>
            </w:r>
          </w:p>
        </w:tc>
        <w:tc>
          <w:tcPr>
            <w:tcW w:w="2018" w:type="dxa"/>
            <w:gridSpan w:val="2"/>
            <w:tcBorders>
              <w:top w:val="single" w:sz="4" w:space="0" w:color="auto"/>
              <w:left w:val="nil"/>
              <w:bottom w:val="nil"/>
              <w:right w:val="nil"/>
            </w:tcBorders>
            <w:shd w:val="clear" w:color="000000" w:fill="FFFFFF"/>
            <w:vAlign w:val="center"/>
            <w:hideMark/>
          </w:tcPr>
          <w:p w14:paraId="4DA437AD" w14:textId="77777777" w:rsidR="00FA18EA" w:rsidRPr="00536A35" w:rsidRDefault="00FA18EA" w:rsidP="00FA18EA">
            <w:pPr>
              <w:jc w:val="right"/>
              <w:rPr>
                <w:rFonts w:eastAsia="Times New Roman" w:cstheme="minorHAnsi"/>
                <w:lang w:eastAsia="en-GB"/>
              </w:rPr>
            </w:pPr>
            <w:r w:rsidRPr="00536A35">
              <w:rPr>
                <w:rFonts w:eastAsia="Times New Roman" w:cstheme="minorHAnsi"/>
                <w:lang w:eastAsia="en-GB"/>
              </w:rPr>
              <w:t>31-Mar-21</w:t>
            </w:r>
          </w:p>
        </w:tc>
      </w:tr>
      <w:tr w:rsidR="00FA18EA" w:rsidRPr="007600A7" w14:paraId="2382FBC9" w14:textId="77777777" w:rsidTr="00FA18EA">
        <w:trPr>
          <w:trHeight w:val="243"/>
        </w:trPr>
        <w:tc>
          <w:tcPr>
            <w:tcW w:w="5078" w:type="dxa"/>
            <w:gridSpan w:val="2"/>
            <w:tcBorders>
              <w:top w:val="nil"/>
              <w:left w:val="nil"/>
              <w:bottom w:val="nil"/>
              <w:right w:val="nil"/>
            </w:tcBorders>
            <w:shd w:val="clear" w:color="000000" w:fill="FFFFFF"/>
            <w:noWrap/>
            <w:vAlign w:val="bottom"/>
            <w:hideMark/>
          </w:tcPr>
          <w:p w14:paraId="786CE91A" w14:textId="77777777" w:rsidR="00FA18EA" w:rsidRPr="008B2DDA" w:rsidRDefault="00FA18EA" w:rsidP="00FA18EA">
            <w:pPr>
              <w:rPr>
                <w:rFonts w:eastAsia="Times New Roman" w:cstheme="minorHAnsi"/>
                <w:sz w:val="18"/>
                <w:szCs w:val="18"/>
                <w:lang w:eastAsia="en-GB"/>
              </w:rPr>
            </w:pPr>
            <w:r w:rsidRPr="008B2DDA">
              <w:rPr>
                <w:rFonts w:eastAsia="Times New Roman" w:cstheme="minorHAnsi"/>
                <w:sz w:val="18"/>
                <w:szCs w:val="18"/>
                <w:lang w:eastAsia="en-GB"/>
              </w:rPr>
              <w:t> </w:t>
            </w:r>
          </w:p>
        </w:tc>
        <w:tc>
          <w:tcPr>
            <w:tcW w:w="778" w:type="dxa"/>
            <w:gridSpan w:val="2"/>
            <w:tcBorders>
              <w:top w:val="nil"/>
              <w:left w:val="nil"/>
              <w:bottom w:val="nil"/>
              <w:right w:val="nil"/>
            </w:tcBorders>
            <w:shd w:val="clear" w:color="000000" w:fill="FFFFFF"/>
            <w:noWrap/>
            <w:vAlign w:val="bottom"/>
            <w:hideMark/>
          </w:tcPr>
          <w:p w14:paraId="0537845C" w14:textId="77777777" w:rsidR="00FA18EA" w:rsidRPr="0091098D" w:rsidRDefault="00FA18EA" w:rsidP="00FA18EA">
            <w:pPr>
              <w:jc w:val="right"/>
              <w:rPr>
                <w:rFonts w:eastAsia="Times New Roman" w:cstheme="minorHAnsi"/>
                <w:sz w:val="18"/>
                <w:szCs w:val="18"/>
                <w:lang w:eastAsia="en-GB"/>
              </w:rPr>
            </w:pPr>
            <w:r w:rsidRPr="000C5053">
              <w:rPr>
                <w:rFonts w:eastAsia="Times New Roman" w:cstheme="minorHAnsi"/>
                <w:sz w:val="18"/>
                <w:szCs w:val="18"/>
                <w:lang w:eastAsia="en-GB"/>
              </w:rPr>
              <w:t>Notes</w:t>
            </w:r>
          </w:p>
        </w:tc>
        <w:tc>
          <w:tcPr>
            <w:tcW w:w="282" w:type="dxa"/>
            <w:tcBorders>
              <w:top w:val="nil"/>
              <w:left w:val="nil"/>
              <w:bottom w:val="nil"/>
              <w:right w:val="nil"/>
            </w:tcBorders>
            <w:shd w:val="clear" w:color="000000" w:fill="FFFFFF"/>
            <w:noWrap/>
            <w:vAlign w:val="bottom"/>
            <w:hideMark/>
          </w:tcPr>
          <w:p w14:paraId="3DDD5EEA" w14:textId="77777777" w:rsidR="00FA18EA" w:rsidRPr="0075195E" w:rsidRDefault="00FA18EA" w:rsidP="00FA18EA">
            <w:pPr>
              <w:rPr>
                <w:rFonts w:eastAsia="Times New Roman" w:cstheme="minorHAnsi"/>
                <w:sz w:val="18"/>
                <w:szCs w:val="18"/>
                <w:lang w:eastAsia="en-GB"/>
              </w:rPr>
            </w:pPr>
            <w:r w:rsidRPr="0075195E">
              <w:rPr>
                <w:rFonts w:eastAsia="Times New Roman" w:cstheme="minorHAnsi"/>
                <w:sz w:val="18"/>
                <w:szCs w:val="18"/>
                <w:lang w:eastAsia="en-GB"/>
              </w:rPr>
              <w:t> </w:t>
            </w:r>
          </w:p>
        </w:tc>
        <w:tc>
          <w:tcPr>
            <w:tcW w:w="1599" w:type="dxa"/>
            <w:gridSpan w:val="2"/>
            <w:tcBorders>
              <w:top w:val="nil"/>
              <w:left w:val="nil"/>
              <w:bottom w:val="nil"/>
              <w:right w:val="nil"/>
            </w:tcBorders>
            <w:shd w:val="clear" w:color="000000" w:fill="FFFFFF"/>
            <w:noWrap/>
            <w:vAlign w:val="bottom"/>
            <w:hideMark/>
          </w:tcPr>
          <w:p w14:paraId="708F1843" w14:textId="77777777" w:rsidR="00FA18EA" w:rsidRPr="00536A35" w:rsidRDefault="00FA18EA" w:rsidP="00FA18EA">
            <w:pPr>
              <w:jc w:val="right"/>
              <w:rPr>
                <w:rFonts w:eastAsia="Times New Roman" w:cstheme="minorHAnsi"/>
                <w:b/>
                <w:bCs/>
                <w:sz w:val="18"/>
                <w:szCs w:val="18"/>
                <w:lang w:eastAsia="en-GB"/>
              </w:rPr>
            </w:pPr>
            <w:r w:rsidRPr="00536A35">
              <w:rPr>
                <w:rFonts w:eastAsia="Times New Roman" w:cstheme="minorHAnsi"/>
                <w:b/>
                <w:bCs/>
                <w:sz w:val="18"/>
                <w:szCs w:val="18"/>
                <w:lang w:eastAsia="en-GB"/>
              </w:rPr>
              <w:t xml:space="preserve"> £'000 </w:t>
            </w:r>
          </w:p>
        </w:tc>
        <w:tc>
          <w:tcPr>
            <w:tcW w:w="282" w:type="dxa"/>
            <w:tcBorders>
              <w:top w:val="nil"/>
              <w:left w:val="nil"/>
              <w:bottom w:val="nil"/>
              <w:right w:val="nil"/>
            </w:tcBorders>
            <w:shd w:val="clear" w:color="000000" w:fill="FFFFFF"/>
            <w:noWrap/>
            <w:vAlign w:val="bottom"/>
            <w:hideMark/>
          </w:tcPr>
          <w:p w14:paraId="3CA2B9B3" w14:textId="77777777" w:rsidR="00FA18EA" w:rsidRPr="00A02B31" w:rsidRDefault="00FA18EA" w:rsidP="00FA18EA">
            <w:pPr>
              <w:rPr>
                <w:rFonts w:eastAsia="Times New Roman" w:cstheme="minorHAnsi"/>
                <w:sz w:val="18"/>
                <w:szCs w:val="18"/>
                <w:lang w:eastAsia="en-GB"/>
              </w:rPr>
            </w:pPr>
            <w:r w:rsidRPr="00A02B31">
              <w:rPr>
                <w:rFonts w:eastAsia="Times New Roman" w:cstheme="minorHAnsi"/>
                <w:sz w:val="18"/>
                <w:szCs w:val="18"/>
                <w:lang w:eastAsia="en-GB"/>
              </w:rPr>
              <w:t> </w:t>
            </w:r>
          </w:p>
        </w:tc>
        <w:tc>
          <w:tcPr>
            <w:tcW w:w="1736" w:type="dxa"/>
            <w:tcBorders>
              <w:top w:val="nil"/>
              <w:left w:val="nil"/>
              <w:bottom w:val="nil"/>
              <w:right w:val="nil"/>
            </w:tcBorders>
            <w:shd w:val="clear" w:color="000000" w:fill="FFFFFF"/>
            <w:noWrap/>
            <w:vAlign w:val="bottom"/>
            <w:hideMark/>
          </w:tcPr>
          <w:p w14:paraId="49BAEF81" w14:textId="77777777" w:rsidR="00FA18EA" w:rsidRPr="00A02B31" w:rsidRDefault="00FA18EA" w:rsidP="00FA18EA">
            <w:pPr>
              <w:jc w:val="right"/>
              <w:rPr>
                <w:rFonts w:eastAsia="Times New Roman" w:cstheme="minorHAnsi"/>
                <w:sz w:val="18"/>
                <w:szCs w:val="18"/>
                <w:lang w:eastAsia="en-GB"/>
              </w:rPr>
            </w:pPr>
            <w:r w:rsidRPr="00A02B31">
              <w:rPr>
                <w:rFonts w:eastAsia="Times New Roman" w:cstheme="minorHAnsi"/>
                <w:sz w:val="18"/>
                <w:szCs w:val="18"/>
                <w:lang w:eastAsia="en-GB"/>
              </w:rPr>
              <w:t xml:space="preserve"> £'000 </w:t>
            </w:r>
          </w:p>
        </w:tc>
      </w:tr>
      <w:tr w:rsidR="00FA18EA" w:rsidRPr="007600A7" w14:paraId="42A12EFC" w14:textId="77777777" w:rsidTr="00FA18EA">
        <w:trPr>
          <w:trHeight w:val="259"/>
        </w:trPr>
        <w:tc>
          <w:tcPr>
            <w:tcW w:w="5078" w:type="dxa"/>
            <w:gridSpan w:val="2"/>
            <w:tcBorders>
              <w:top w:val="nil"/>
              <w:left w:val="nil"/>
              <w:right w:val="nil"/>
            </w:tcBorders>
            <w:shd w:val="clear" w:color="000000" w:fill="FFFFFF"/>
            <w:noWrap/>
            <w:vAlign w:val="bottom"/>
            <w:hideMark/>
          </w:tcPr>
          <w:p w14:paraId="73021247" w14:textId="77777777" w:rsidR="00FA18EA" w:rsidRPr="008B2DDA" w:rsidRDefault="00FA18EA" w:rsidP="00FA18EA">
            <w:pPr>
              <w:rPr>
                <w:rFonts w:eastAsia="Times New Roman" w:cstheme="minorHAnsi"/>
                <w:b/>
                <w:bCs/>
                <w:sz w:val="18"/>
                <w:szCs w:val="18"/>
                <w:lang w:eastAsia="en-GB"/>
              </w:rPr>
            </w:pPr>
            <w:r w:rsidRPr="008B2DDA">
              <w:rPr>
                <w:rFonts w:eastAsia="Times New Roman" w:cstheme="minorHAnsi"/>
                <w:b/>
                <w:bCs/>
                <w:sz w:val="18"/>
                <w:szCs w:val="18"/>
                <w:lang w:eastAsia="en-GB"/>
              </w:rPr>
              <w:t>Non-current assets</w:t>
            </w:r>
          </w:p>
        </w:tc>
        <w:tc>
          <w:tcPr>
            <w:tcW w:w="778" w:type="dxa"/>
            <w:gridSpan w:val="2"/>
            <w:tcBorders>
              <w:top w:val="nil"/>
              <w:left w:val="nil"/>
              <w:right w:val="nil"/>
            </w:tcBorders>
            <w:shd w:val="clear" w:color="000000" w:fill="FFFFFF"/>
            <w:noWrap/>
            <w:vAlign w:val="bottom"/>
            <w:hideMark/>
          </w:tcPr>
          <w:p w14:paraId="318419D7" w14:textId="77777777" w:rsidR="00FA18EA" w:rsidRPr="0091098D" w:rsidRDefault="00FA18EA" w:rsidP="00FA18EA">
            <w:pPr>
              <w:jc w:val="right"/>
              <w:rPr>
                <w:rFonts w:eastAsia="Times New Roman" w:cstheme="minorHAnsi"/>
                <w:sz w:val="18"/>
                <w:szCs w:val="18"/>
                <w:lang w:eastAsia="en-GB"/>
              </w:rPr>
            </w:pPr>
            <w:r w:rsidRPr="000C5053">
              <w:rPr>
                <w:rFonts w:eastAsia="Times New Roman" w:cstheme="minorHAnsi"/>
                <w:sz w:val="18"/>
                <w:szCs w:val="18"/>
                <w:lang w:eastAsia="en-GB"/>
              </w:rPr>
              <w:t> </w:t>
            </w:r>
          </w:p>
        </w:tc>
        <w:tc>
          <w:tcPr>
            <w:tcW w:w="282" w:type="dxa"/>
            <w:tcBorders>
              <w:top w:val="nil"/>
              <w:left w:val="nil"/>
              <w:right w:val="nil"/>
            </w:tcBorders>
            <w:shd w:val="clear" w:color="000000" w:fill="FFFFFF"/>
            <w:noWrap/>
            <w:vAlign w:val="bottom"/>
            <w:hideMark/>
          </w:tcPr>
          <w:p w14:paraId="33E02440" w14:textId="77777777" w:rsidR="00FA18EA" w:rsidRPr="0075195E" w:rsidRDefault="00FA18EA" w:rsidP="00FA18EA">
            <w:pPr>
              <w:rPr>
                <w:rFonts w:eastAsia="Times New Roman" w:cstheme="minorHAnsi"/>
                <w:sz w:val="18"/>
                <w:szCs w:val="18"/>
                <w:lang w:eastAsia="en-GB"/>
              </w:rPr>
            </w:pPr>
            <w:r w:rsidRPr="0075195E">
              <w:rPr>
                <w:rFonts w:eastAsia="Times New Roman" w:cstheme="minorHAnsi"/>
                <w:sz w:val="18"/>
                <w:szCs w:val="18"/>
                <w:lang w:eastAsia="en-GB"/>
              </w:rPr>
              <w:t> </w:t>
            </w:r>
          </w:p>
        </w:tc>
        <w:tc>
          <w:tcPr>
            <w:tcW w:w="1599" w:type="dxa"/>
            <w:gridSpan w:val="2"/>
            <w:tcBorders>
              <w:top w:val="nil"/>
              <w:left w:val="nil"/>
              <w:right w:val="nil"/>
            </w:tcBorders>
            <w:shd w:val="clear" w:color="000000" w:fill="FFFFFF"/>
            <w:noWrap/>
            <w:vAlign w:val="bottom"/>
            <w:hideMark/>
          </w:tcPr>
          <w:p w14:paraId="38DB683E" w14:textId="77777777" w:rsidR="00FA18EA" w:rsidRPr="00536A35" w:rsidRDefault="00FA18EA" w:rsidP="00FA18EA">
            <w:pPr>
              <w:rPr>
                <w:rFonts w:eastAsia="Times New Roman" w:cstheme="minorHAnsi"/>
                <w:b/>
                <w:bCs/>
                <w:sz w:val="18"/>
                <w:szCs w:val="18"/>
                <w:lang w:eastAsia="en-GB"/>
              </w:rPr>
            </w:pPr>
            <w:r w:rsidRPr="00536A35">
              <w:rPr>
                <w:rFonts w:eastAsia="Times New Roman" w:cstheme="minorHAnsi"/>
                <w:b/>
                <w:bCs/>
                <w:sz w:val="18"/>
                <w:szCs w:val="18"/>
                <w:lang w:eastAsia="en-GB"/>
              </w:rPr>
              <w:t> </w:t>
            </w:r>
          </w:p>
        </w:tc>
        <w:tc>
          <w:tcPr>
            <w:tcW w:w="282" w:type="dxa"/>
            <w:tcBorders>
              <w:top w:val="nil"/>
              <w:left w:val="nil"/>
              <w:right w:val="nil"/>
            </w:tcBorders>
            <w:shd w:val="clear" w:color="000000" w:fill="FFFFFF"/>
            <w:noWrap/>
            <w:vAlign w:val="bottom"/>
            <w:hideMark/>
          </w:tcPr>
          <w:p w14:paraId="543AE6D1" w14:textId="77777777" w:rsidR="00FA18EA" w:rsidRPr="00A02B31" w:rsidRDefault="00FA18EA" w:rsidP="00FA18EA">
            <w:pPr>
              <w:rPr>
                <w:rFonts w:eastAsia="Times New Roman" w:cstheme="minorHAnsi"/>
                <w:sz w:val="18"/>
                <w:szCs w:val="18"/>
                <w:lang w:eastAsia="en-GB"/>
              </w:rPr>
            </w:pPr>
            <w:r w:rsidRPr="00A02B31">
              <w:rPr>
                <w:rFonts w:eastAsia="Times New Roman" w:cstheme="minorHAnsi"/>
                <w:sz w:val="18"/>
                <w:szCs w:val="18"/>
                <w:lang w:eastAsia="en-GB"/>
              </w:rPr>
              <w:t> </w:t>
            </w:r>
          </w:p>
        </w:tc>
        <w:tc>
          <w:tcPr>
            <w:tcW w:w="1736" w:type="dxa"/>
            <w:tcBorders>
              <w:top w:val="nil"/>
              <w:left w:val="nil"/>
              <w:right w:val="nil"/>
            </w:tcBorders>
            <w:shd w:val="clear" w:color="000000" w:fill="FFFFFF"/>
            <w:noWrap/>
            <w:vAlign w:val="bottom"/>
            <w:hideMark/>
          </w:tcPr>
          <w:p w14:paraId="72B5C706" w14:textId="77777777" w:rsidR="00FA18EA" w:rsidRPr="00A02B31" w:rsidRDefault="00FA18EA" w:rsidP="00FA18EA">
            <w:pPr>
              <w:rPr>
                <w:rFonts w:eastAsia="Times New Roman" w:cstheme="minorHAnsi"/>
                <w:sz w:val="18"/>
                <w:szCs w:val="18"/>
                <w:lang w:eastAsia="en-GB"/>
              </w:rPr>
            </w:pPr>
            <w:r w:rsidRPr="00A02B31">
              <w:rPr>
                <w:rFonts w:eastAsia="Times New Roman" w:cstheme="minorHAnsi"/>
                <w:sz w:val="18"/>
                <w:szCs w:val="18"/>
                <w:lang w:eastAsia="en-GB"/>
              </w:rPr>
              <w:t> </w:t>
            </w:r>
          </w:p>
        </w:tc>
      </w:tr>
      <w:tr w:rsidR="00FA18EA" w:rsidRPr="007600A7" w14:paraId="0B859B10" w14:textId="77777777" w:rsidTr="00FA18EA">
        <w:trPr>
          <w:cantSplit/>
          <w:trHeight w:val="243"/>
        </w:trPr>
        <w:tc>
          <w:tcPr>
            <w:tcW w:w="5078" w:type="dxa"/>
            <w:gridSpan w:val="2"/>
            <w:tcBorders>
              <w:top w:val="nil"/>
              <w:left w:val="nil"/>
              <w:bottom w:val="single" w:sz="4" w:space="0" w:color="auto"/>
              <w:right w:val="nil"/>
            </w:tcBorders>
            <w:shd w:val="clear" w:color="000000" w:fill="FFFFFF"/>
            <w:noWrap/>
            <w:vAlign w:val="bottom"/>
            <w:hideMark/>
          </w:tcPr>
          <w:p w14:paraId="3C94527D" w14:textId="77777777" w:rsidR="00FA18EA" w:rsidRPr="008B2DDA" w:rsidRDefault="00FA18EA" w:rsidP="00FA18EA">
            <w:pPr>
              <w:rPr>
                <w:rFonts w:eastAsia="Times New Roman" w:cstheme="minorHAnsi"/>
                <w:sz w:val="18"/>
                <w:szCs w:val="18"/>
                <w:lang w:eastAsia="en-GB"/>
              </w:rPr>
            </w:pPr>
            <w:r w:rsidRPr="008B2DDA">
              <w:rPr>
                <w:rFonts w:eastAsia="Times New Roman" w:cstheme="minorHAnsi"/>
                <w:sz w:val="18"/>
                <w:szCs w:val="18"/>
                <w:lang w:eastAsia="en-GB"/>
              </w:rPr>
              <w:t>Investments at fair value through profit or loss</w:t>
            </w:r>
          </w:p>
        </w:tc>
        <w:tc>
          <w:tcPr>
            <w:tcW w:w="778" w:type="dxa"/>
            <w:gridSpan w:val="2"/>
            <w:tcBorders>
              <w:top w:val="nil"/>
              <w:left w:val="nil"/>
              <w:bottom w:val="single" w:sz="4" w:space="0" w:color="auto"/>
              <w:right w:val="nil"/>
            </w:tcBorders>
            <w:shd w:val="clear" w:color="000000" w:fill="FFFFFF"/>
            <w:noWrap/>
            <w:vAlign w:val="bottom"/>
            <w:hideMark/>
          </w:tcPr>
          <w:p w14:paraId="212D5031" w14:textId="77777777" w:rsidR="00FA18EA" w:rsidRPr="0091098D" w:rsidRDefault="00FA18EA" w:rsidP="00FA18EA">
            <w:pPr>
              <w:jc w:val="center"/>
              <w:rPr>
                <w:rFonts w:eastAsia="Times New Roman" w:cstheme="minorHAnsi"/>
                <w:sz w:val="18"/>
                <w:szCs w:val="18"/>
                <w:lang w:eastAsia="en-GB"/>
              </w:rPr>
            </w:pPr>
            <w:r w:rsidRPr="000C5053">
              <w:rPr>
                <w:rFonts w:eastAsia="Times New Roman" w:cstheme="minorHAnsi"/>
                <w:sz w:val="18"/>
                <w:szCs w:val="18"/>
                <w:lang w:eastAsia="en-GB"/>
              </w:rPr>
              <w:t>8</w:t>
            </w:r>
          </w:p>
        </w:tc>
        <w:tc>
          <w:tcPr>
            <w:tcW w:w="282" w:type="dxa"/>
            <w:tcBorders>
              <w:top w:val="nil"/>
              <w:left w:val="nil"/>
              <w:bottom w:val="single" w:sz="4" w:space="0" w:color="auto"/>
              <w:right w:val="nil"/>
            </w:tcBorders>
            <w:shd w:val="clear" w:color="000000" w:fill="FFFFFF"/>
            <w:noWrap/>
            <w:vAlign w:val="bottom"/>
            <w:hideMark/>
          </w:tcPr>
          <w:p w14:paraId="626A25EA" w14:textId="77777777" w:rsidR="00FA18EA" w:rsidRPr="0075195E" w:rsidRDefault="00FA18EA" w:rsidP="00FA18EA">
            <w:pPr>
              <w:rPr>
                <w:rFonts w:eastAsia="Times New Roman" w:cstheme="minorHAnsi"/>
                <w:sz w:val="18"/>
                <w:szCs w:val="18"/>
                <w:lang w:eastAsia="en-GB"/>
              </w:rPr>
            </w:pPr>
            <w:r w:rsidRPr="0075195E">
              <w:rPr>
                <w:rFonts w:eastAsia="Times New Roman" w:cstheme="minorHAnsi"/>
                <w:sz w:val="18"/>
                <w:szCs w:val="18"/>
                <w:lang w:eastAsia="en-GB"/>
              </w:rPr>
              <w:t> </w:t>
            </w:r>
          </w:p>
        </w:tc>
        <w:tc>
          <w:tcPr>
            <w:tcW w:w="1599" w:type="dxa"/>
            <w:gridSpan w:val="2"/>
            <w:tcBorders>
              <w:top w:val="nil"/>
              <w:left w:val="nil"/>
              <w:bottom w:val="single" w:sz="4" w:space="0" w:color="auto"/>
              <w:right w:val="nil"/>
            </w:tcBorders>
            <w:shd w:val="clear" w:color="000000" w:fill="FFFFFF"/>
            <w:noWrap/>
            <w:vAlign w:val="bottom"/>
            <w:hideMark/>
          </w:tcPr>
          <w:p w14:paraId="1D3D721A" w14:textId="77777777" w:rsidR="00FA18EA" w:rsidRPr="00536A35" w:rsidRDefault="00FA18EA" w:rsidP="00FA18EA">
            <w:pPr>
              <w:jc w:val="right"/>
              <w:rPr>
                <w:rFonts w:eastAsia="Times New Roman" w:cstheme="minorHAnsi"/>
                <w:b/>
                <w:bCs/>
                <w:sz w:val="18"/>
                <w:szCs w:val="18"/>
                <w:lang w:eastAsia="en-GB"/>
              </w:rPr>
            </w:pPr>
            <w:r w:rsidRPr="00536A35">
              <w:rPr>
                <w:rFonts w:eastAsia="Times New Roman" w:cstheme="minorHAnsi"/>
                <w:b/>
                <w:bCs/>
                <w:sz w:val="18"/>
                <w:szCs w:val="18"/>
                <w:lang w:eastAsia="en-GB"/>
              </w:rPr>
              <w:t>31,609</w:t>
            </w:r>
          </w:p>
        </w:tc>
        <w:tc>
          <w:tcPr>
            <w:tcW w:w="282" w:type="dxa"/>
            <w:tcBorders>
              <w:top w:val="nil"/>
              <w:left w:val="nil"/>
              <w:bottom w:val="single" w:sz="4" w:space="0" w:color="auto"/>
              <w:right w:val="nil"/>
            </w:tcBorders>
            <w:shd w:val="clear" w:color="000000" w:fill="FFFFFF"/>
            <w:noWrap/>
            <w:vAlign w:val="bottom"/>
            <w:hideMark/>
          </w:tcPr>
          <w:p w14:paraId="594F1F18" w14:textId="77777777" w:rsidR="00FA18EA" w:rsidRPr="00A02B31" w:rsidRDefault="00FA18EA" w:rsidP="00FA18EA">
            <w:pPr>
              <w:rPr>
                <w:rFonts w:eastAsia="Times New Roman" w:cstheme="minorHAnsi"/>
                <w:sz w:val="18"/>
                <w:szCs w:val="18"/>
                <w:lang w:eastAsia="en-GB"/>
              </w:rPr>
            </w:pPr>
            <w:r w:rsidRPr="00A02B31">
              <w:rPr>
                <w:rFonts w:eastAsia="Times New Roman" w:cstheme="minorHAnsi"/>
                <w:sz w:val="18"/>
                <w:szCs w:val="18"/>
                <w:lang w:eastAsia="en-GB"/>
              </w:rPr>
              <w:t> </w:t>
            </w:r>
          </w:p>
        </w:tc>
        <w:tc>
          <w:tcPr>
            <w:tcW w:w="1736" w:type="dxa"/>
            <w:tcBorders>
              <w:top w:val="nil"/>
              <w:left w:val="nil"/>
              <w:bottom w:val="single" w:sz="4" w:space="0" w:color="auto"/>
              <w:right w:val="nil"/>
            </w:tcBorders>
            <w:shd w:val="clear" w:color="000000" w:fill="FFFFFF"/>
            <w:noWrap/>
            <w:vAlign w:val="bottom"/>
            <w:hideMark/>
          </w:tcPr>
          <w:p w14:paraId="4B68B8C8" w14:textId="77777777" w:rsidR="00FA18EA" w:rsidRPr="00A02B31" w:rsidRDefault="00FA18EA" w:rsidP="00FA18EA">
            <w:pPr>
              <w:jc w:val="right"/>
              <w:rPr>
                <w:rFonts w:eastAsia="Times New Roman" w:cstheme="minorHAnsi"/>
                <w:sz w:val="18"/>
                <w:szCs w:val="18"/>
                <w:lang w:eastAsia="en-GB"/>
              </w:rPr>
            </w:pPr>
            <w:r w:rsidRPr="00A02B31">
              <w:rPr>
                <w:rFonts w:eastAsia="Times New Roman" w:cstheme="minorHAnsi"/>
                <w:sz w:val="18"/>
                <w:szCs w:val="18"/>
                <w:lang w:eastAsia="en-GB"/>
              </w:rPr>
              <w:t>53,888</w:t>
            </w:r>
          </w:p>
        </w:tc>
      </w:tr>
      <w:tr w:rsidR="00FA18EA" w:rsidRPr="007600A7" w14:paraId="3B6734AA" w14:textId="77777777" w:rsidTr="00FA18EA">
        <w:trPr>
          <w:trHeight w:val="243"/>
        </w:trPr>
        <w:tc>
          <w:tcPr>
            <w:tcW w:w="5078" w:type="dxa"/>
            <w:gridSpan w:val="2"/>
            <w:tcBorders>
              <w:top w:val="single" w:sz="4" w:space="0" w:color="auto"/>
              <w:left w:val="nil"/>
              <w:bottom w:val="nil"/>
              <w:right w:val="nil"/>
            </w:tcBorders>
            <w:shd w:val="clear" w:color="000000" w:fill="FFFFFF"/>
            <w:noWrap/>
            <w:vAlign w:val="bottom"/>
            <w:hideMark/>
          </w:tcPr>
          <w:p w14:paraId="1F9A7674" w14:textId="77777777" w:rsidR="00FA18EA" w:rsidRPr="008B2DDA" w:rsidRDefault="00FA18EA" w:rsidP="00FA18EA">
            <w:pPr>
              <w:rPr>
                <w:rFonts w:eastAsia="Times New Roman" w:cstheme="minorHAnsi"/>
                <w:sz w:val="18"/>
                <w:szCs w:val="18"/>
                <w:lang w:eastAsia="en-GB"/>
              </w:rPr>
            </w:pPr>
            <w:r w:rsidRPr="008B2DDA">
              <w:rPr>
                <w:rFonts w:eastAsia="Times New Roman" w:cstheme="minorHAnsi"/>
                <w:sz w:val="18"/>
                <w:szCs w:val="18"/>
                <w:lang w:eastAsia="en-GB"/>
              </w:rPr>
              <w:t> </w:t>
            </w:r>
          </w:p>
        </w:tc>
        <w:tc>
          <w:tcPr>
            <w:tcW w:w="778" w:type="dxa"/>
            <w:gridSpan w:val="2"/>
            <w:tcBorders>
              <w:top w:val="single" w:sz="4" w:space="0" w:color="auto"/>
              <w:left w:val="nil"/>
              <w:bottom w:val="nil"/>
              <w:right w:val="nil"/>
            </w:tcBorders>
            <w:shd w:val="clear" w:color="000000" w:fill="FFFFFF"/>
            <w:noWrap/>
            <w:vAlign w:val="bottom"/>
            <w:hideMark/>
          </w:tcPr>
          <w:p w14:paraId="03BEF81E" w14:textId="77777777" w:rsidR="00FA18EA" w:rsidRPr="000C5053" w:rsidRDefault="00FA18EA" w:rsidP="00FA18EA">
            <w:pPr>
              <w:jc w:val="center"/>
              <w:rPr>
                <w:rFonts w:eastAsia="Times New Roman" w:cstheme="minorHAnsi"/>
                <w:sz w:val="18"/>
                <w:szCs w:val="18"/>
                <w:lang w:eastAsia="en-GB"/>
              </w:rPr>
            </w:pPr>
          </w:p>
        </w:tc>
        <w:tc>
          <w:tcPr>
            <w:tcW w:w="282" w:type="dxa"/>
            <w:tcBorders>
              <w:top w:val="single" w:sz="4" w:space="0" w:color="auto"/>
              <w:left w:val="nil"/>
              <w:bottom w:val="nil"/>
              <w:right w:val="nil"/>
            </w:tcBorders>
            <w:shd w:val="clear" w:color="000000" w:fill="FFFFFF"/>
            <w:noWrap/>
            <w:vAlign w:val="bottom"/>
            <w:hideMark/>
          </w:tcPr>
          <w:p w14:paraId="50413E4F" w14:textId="77777777" w:rsidR="00FA18EA" w:rsidRPr="0091098D" w:rsidRDefault="00FA18EA" w:rsidP="00FA18EA">
            <w:pPr>
              <w:rPr>
                <w:rFonts w:eastAsia="Times New Roman" w:cstheme="minorHAnsi"/>
                <w:sz w:val="18"/>
                <w:szCs w:val="18"/>
                <w:lang w:eastAsia="en-GB"/>
              </w:rPr>
            </w:pPr>
            <w:r w:rsidRPr="0091098D">
              <w:rPr>
                <w:rFonts w:eastAsia="Times New Roman" w:cstheme="minorHAnsi"/>
                <w:sz w:val="18"/>
                <w:szCs w:val="18"/>
                <w:lang w:eastAsia="en-GB"/>
              </w:rPr>
              <w:t> </w:t>
            </w:r>
          </w:p>
        </w:tc>
        <w:tc>
          <w:tcPr>
            <w:tcW w:w="1599" w:type="dxa"/>
            <w:gridSpan w:val="2"/>
            <w:tcBorders>
              <w:top w:val="single" w:sz="4" w:space="0" w:color="auto"/>
              <w:left w:val="nil"/>
              <w:bottom w:val="nil"/>
              <w:right w:val="nil"/>
            </w:tcBorders>
            <w:shd w:val="clear" w:color="000000" w:fill="FFFFFF"/>
            <w:noWrap/>
            <w:vAlign w:val="bottom"/>
            <w:hideMark/>
          </w:tcPr>
          <w:p w14:paraId="72004B5E" w14:textId="77777777" w:rsidR="00FA18EA" w:rsidRPr="0075195E" w:rsidRDefault="00FA18EA" w:rsidP="00FA18EA">
            <w:pPr>
              <w:jc w:val="right"/>
              <w:rPr>
                <w:rFonts w:eastAsia="Times New Roman" w:cstheme="minorHAnsi"/>
                <w:b/>
                <w:bCs/>
                <w:sz w:val="18"/>
                <w:szCs w:val="18"/>
                <w:lang w:eastAsia="en-GB"/>
              </w:rPr>
            </w:pPr>
            <w:r w:rsidRPr="0075195E">
              <w:rPr>
                <w:rFonts w:eastAsia="Times New Roman" w:cstheme="minorHAnsi"/>
                <w:b/>
                <w:bCs/>
                <w:sz w:val="18"/>
                <w:szCs w:val="18"/>
                <w:lang w:eastAsia="en-GB"/>
              </w:rPr>
              <w:t>31,609</w:t>
            </w:r>
          </w:p>
        </w:tc>
        <w:tc>
          <w:tcPr>
            <w:tcW w:w="282" w:type="dxa"/>
            <w:tcBorders>
              <w:top w:val="single" w:sz="4" w:space="0" w:color="auto"/>
              <w:left w:val="nil"/>
              <w:bottom w:val="nil"/>
              <w:right w:val="nil"/>
            </w:tcBorders>
            <w:shd w:val="clear" w:color="000000" w:fill="FFFFFF"/>
            <w:noWrap/>
            <w:vAlign w:val="bottom"/>
            <w:hideMark/>
          </w:tcPr>
          <w:p w14:paraId="105839DB" w14:textId="77777777" w:rsidR="00FA18EA" w:rsidRPr="00536A35" w:rsidRDefault="00FA18EA" w:rsidP="00FA18EA">
            <w:pPr>
              <w:rPr>
                <w:rFonts w:eastAsia="Times New Roman" w:cstheme="minorHAnsi"/>
                <w:sz w:val="18"/>
                <w:szCs w:val="18"/>
                <w:lang w:eastAsia="en-GB"/>
              </w:rPr>
            </w:pPr>
            <w:r w:rsidRPr="00536A35">
              <w:rPr>
                <w:rFonts w:eastAsia="Times New Roman" w:cstheme="minorHAnsi"/>
                <w:sz w:val="18"/>
                <w:szCs w:val="18"/>
                <w:lang w:eastAsia="en-GB"/>
              </w:rPr>
              <w:t> </w:t>
            </w:r>
          </w:p>
        </w:tc>
        <w:tc>
          <w:tcPr>
            <w:tcW w:w="1736" w:type="dxa"/>
            <w:tcBorders>
              <w:top w:val="single" w:sz="4" w:space="0" w:color="auto"/>
              <w:left w:val="nil"/>
              <w:bottom w:val="nil"/>
              <w:right w:val="nil"/>
            </w:tcBorders>
            <w:shd w:val="clear" w:color="000000" w:fill="FFFFFF"/>
            <w:noWrap/>
            <w:vAlign w:val="bottom"/>
            <w:hideMark/>
          </w:tcPr>
          <w:p w14:paraId="23B03ED5" w14:textId="77777777" w:rsidR="00FA18EA" w:rsidRPr="00A02B31" w:rsidRDefault="00FA18EA" w:rsidP="00FA18EA">
            <w:pPr>
              <w:jc w:val="right"/>
              <w:rPr>
                <w:rFonts w:eastAsia="Times New Roman" w:cstheme="minorHAnsi"/>
                <w:sz w:val="18"/>
                <w:szCs w:val="18"/>
                <w:lang w:eastAsia="en-GB"/>
              </w:rPr>
            </w:pPr>
            <w:r w:rsidRPr="00A02B31">
              <w:rPr>
                <w:rFonts w:eastAsia="Times New Roman" w:cstheme="minorHAnsi"/>
                <w:sz w:val="18"/>
                <w:szCs w:val="18"/>
                <w:lang w:eastAsia="en-GB"/>
              </w:rPr>
              <w:t>53,888</w:t>
            </w:r>
          </w:p>
        </w:tc>
      </w:tr>
      <w:tr w:rsidR="00FA18EA" w:rsidRPr="007600A7" w14:paraId="5313A835" w14:textId="77777777" w:rsidTr="00FA18EA">
        <w:trPr>
          <w:trHeight w:val="243"/>
        </w:trPr>
        <w:tc>
          <w:tcPr>
            <w:tcW w:w="5078" w:type="dxa"/>
            <w:gridSpan w:val="2"/>
            <w:tcBorders>
              <w:top w:val="nil"/>
              <w:left w:val="nil"/>
              <w:bottom w:val="nil"/>
              <w:right w:val="nil"/>
            </w:tcBorders>
            <w:shd w:val="clear" w:color="000000" w:fill="FFFFFF"/>
            <w:noWrap/>
            <w:vAlign w:val="bottom"/>
            <w:hideMark/>
          </w:tcPr>
          <w:p w14:paraId="015C3BF2" w14:textId="77777777" w:rsidR="00FA18EA" w:rsidRPr="008B2DDA" w:rsidRDefault="00FA18EA" w:rsidP="00FA18EA">
            <w:pPr>
              <w:rPr>
                <w:rFonts w:eastAsia="Times New Roman" w:cstheme="minorHAnsi"/>
                <w:b/>
                <w:bCs/>
                <w:sz w:val="18"/>
                <w:szCs w:val="18"/>
                <w:lang w:eastAsia="en-GB"/>
              </w:rPr>
            </w:pPr>
            <w:r w:rsidRPr="008B2DDA">
              <w:rPr>
                <w:rFonts w:eastAsia="Times New Roman" w:cstheme="minorHAnsi"/>
                <w:b/>
                <w:bCs/>
                <w:sz w:val="18"/>
                <w:szCs w:val="18"/>
                <w:lang w:eastAsia="en-GB"/>
              </w:rPr>
              <w:t>Current assets</w:t>
            </w:r>
          </w:p>
        </w:tc>
        <w:tc>
          <w:tcPr>
            <w:tcW w:w="778" w:type="dxa"/>
            <w:gridSpan w:val="2"/>
            <w:tcBorders>
              <w:top w:val="nil"/>
              <w:left w:val="nil"/>
              <w:bottom w:val="nil"/>
              <w:right w:val="nil"/>
            </w:tcBorders>
            <w:shd w:val="clear" w:color="000000" w:fill="FFFFFF"/>
            <w:noWrap/>
            <w:vAlign w:val="bottom"/>
            <w:hideMark/>
          </w:tcPr>
          <w:p w14:paraId="4A7472C1" w14:textId="77777777" w:rsidR="00FA18EA" w:rsidRPr="000C5053" w:rsidRDefault="00FA18EA" w:rsidP="00FA18EA">
            <w:pPr>
              <w:jc w:val="center"/>
              <w:rPr>
                <w:rFonts w:eastAsia="Times New Roman" w:cstheme="minorHAnsi"/>
                <w:sz w:val="18"/>
                <w:szCs w:val="18"/>
                <w:lang w:eastAsia="en-GB"/>
              </w:rPr>
            </w:pPr>
          </w:p>
        </w:tc>
        <w:tc>
          <w:tcPr>
            <w:tcW w:w="282" w:type="dxa"/>
            <w:tcBorders>
              <w:top w:val="nil"/>
              <w:left w:val="nil"/>
              <w:bottom w:val="nil"/>
              <w:right w:val="nil"/>
            </w:tcBorders>
            <w:shd w:val="clear" w:color="000000" w:fill="FFFFFF"/>
            <w:noWrap/>
            <w:vAlign w:val="bottom"/>
            <w:hideMark/>
          </w:tcPr>
          <w:p w14:paraId="706326A9" w14:textId="77777777" w:rsidR="00FA18EA" w:rsidRPr="0091098D" w:rsidRDefault="00FA18EA" w:rsidP="00FA18EA">
            <w:pPr>
              <w:rPr>
                <w:rFonts w:eastAsia="Times New Roman" w:cstheme="minorHAnsi"/>
                <w:sz w:val="18"/>
                <w:szCs w:val="18"/>
                <w:lang w:eastAsia="en-GB"/>
              </w:rPr>
            </w:pPr>
            <w:r w:rsidRPr="0091098D">
              <w:rPr>
                <w:rFonts w:eastAsia="Times New Roman" w:cstheme="minorHAnsi"/>
                <w:sz w:val="18"/>
                <w:szCs w:val="18"/>
                <w:lang w:eastAsia="en-GB"/>
              </w:rPr>
              <w:t> </w:t>
            </w:r>
          </w:p>
        </w:tc>
        <w:tc>
          <w:tcPr>
            <w:tcW w:w="1599" w:type="dxa"/>
            <w:gridSpan w:val="2"/>
            <w:tcBorders>
              <w:top w:val="nil"/>
              <w:left w:val="nil"/>
              <w:bottom w:val="nil"/>
              <w:right w:val="nil"/>
            </w:tcBorders>
            <w:shd w:val="clear" w:color="000000" w:fill="FFFFFF"/>
            <w:noWrap/>
            <w:vAlign w:val="bottom"/>
            <w:hideMark/>
          </w:tcPr>
          <w:p w14:paraId="26CF10D1" w14:textId="77777777" w:rsidR="00FA18EA" w:rsidRPr="0075195E" w:rsidRDefault="00FA18EA" w:rsidP="00FA18EA">
            <w:pPr>
              <w:rPr>
                <w:rFonts w:eastAsia="Times New Roman" w:cstheme="minorHAnsi"/>
                <w:b/>
                <w:bCs/>
                <w:sz w:val="18"/>
                <w:szCs w:val="18"/>
                <w:lang w:eastAsia="en-GB"/>
              </w:rPr>
            </w:pPr>
            <w:r w:rsidRPr="0075195E">
              <w:rPr>
                <w:rFonts w:eastAsia="Times New Roman" w:cstheme="minorHAnsi"/>
                <w:b/>
                <w:bCs/>
                <w:sz w:val="18"/>
                <w:szCs w:val="18"/>
                <w:lang w:eastAsia="en-GB"/>
              </w:rPr>
              <w:t> </w:t>
            </w:r>
          </w:p>
        </w:tc>
        <w:tc>
          <w:tcPr>
            <w:tcW w:w="282" w:type="dxa"/>
            <w:tcBorders>
              <w:top w:val="nil"/>
              <w:left w:val="nil"/>
              <w:bottom w:val="nil"/>
              <w:right w:val="nil"/>
            </w:tcBorders>
            <w:shd w:val="clear" w:color="000000" w:fill="FFFFFF"/>
            <w:noWrap/>
            <w:vAlign w:val="bottom"/>
            <w:hideMark/>
          </w:tcPr>
          <w:p w14:paraId="70C4D94C" w14:textId="77777777" w:rsidR="00FA18EA" w:rsidRPr="00536A35" w:rsidRDefault="00FA18EA" w:rsidP="00FA18EA">
            <w:pPr>
              <w:rPr>
                <w:rFonts w:eastAsia="Times New Roman" w:cstheme="minorHAnsi"/>
                <w:sz w:val="18"/>
                <w:szCs w:val="18"/>
                <w:lang w:eastAsia="en-GB"/>
              </w:rPr>
            </w:pPr>
            <w:r w:rsidRPr="00536A35">
              <w:rPr>
                <w:rFonts w:eastAsia="Times New Roman" w:cstheme="minorHAnsi"/>
                <w:sz w:val="18"/>
                <w:szCs w:val="18"/>
                <w:lang w:eastAsia="en-GB"/>
              </w:rPr>
              <w:t> </w:t>
            </w:r>
          </w:p>
        </w:tc>
        <w:tc>
          <w:tcPr>
            <w:tcW w:w="1736" w:type="dxa"/>
            <w:tcBorders>
              <w:top w:val="nil"/>
              <w:left w:val="nil"/>
              <w:bottom w:val="nil"/>
              <w:right w:val="nil"/>
            </w:tcBorders>
            <w:shd w:val="clear" w:color="000000" w:fill="FFFFFF"/>
            <w:noWrap/>
            <w:vAlign w:val="bottom"/>
            <w:hideMark/>
          </w:tcPr>
          <w:p w14:paraId="4AD11B5D" w14:textId="77777777" w:rsidR="00FA18EA" w:rsidRPr="00A02B31" w:rsidRDefault="00FA18EA" w:rsidP="00FA18EA">
            <w:pPr>
              <w:rPr>
                <w:rFonts w:eastAsia="Times New Roman" w:cstheme="minorHAnsi"/>
                <w:sz w:val="18"/>
                <w:szCs w:val="18"/>
                <w:lang w:eastAsia="en-GB"/>
              </w:rPr>
            </w:pPr>
            <w:r w:rsidRPr="00A02B31">
              <w:rPr>
                <w:rFonts w:eastAsia="Times New Roman" w:cstheme="minorHAnsi"/>
                <w:sz w:val="18"/>
                <w:szCs w:val="18"/>
                <w:lang w:eastAsia="en-GB"/>
              </w:rPr>
              <w:t> </w:t>
            </w:r>
          </w:p>
        </w:tc>
      </w:tr>
      <w:tr w:rsidR="00FA18EA" w:rsidRPr="007600A7" w14:paraId="2361928A" w14:textId="77777777" w:rsidTr="00FA18EA">
        <w:trPr>
          <w:trHeight w:val="243"/>
        </w:trPr>
        <w:tc>
          <w:tcPr>
            <w:tcW w:w="5078" w:type="dxa"/>
            <w:gridSpan w:val="2"/>
            <w:tcBorders>
              <w:top w:val="nil"/>
              <w:left w:val="nil"/>
              <w:right w:val="nil"/>
            </w:tcBorders>
            <w:shd w:val="clear" w:color="000000" w:fill="FFFFFF"/>
            <w:noWrap/>
            <w:vAlign w:val="bottom"/>
            <w:hideMark/>
          </w:tcPr>
          <w:p w14:paraId="3428E8E6" w14:textId="77777777" w:rsidR="00FA18EA" w:rsidRPr="008B2DDA" w:rsidRDefault="00FA18EA" w:rsidP="00FA18EA">
            <w:pPr>
              <w:rPr>
                <w:rFonts w:eastAsia="Times New Roman" w:cstheme="minorHAnsi"/>
                <w:sz w:val="18"/>
                <w:szCs w:val="18"/>
                <w:lang w:eastAsia="en-GB"/>
              </w:rPr>
            </w:pPr>
            <w:r w:rsidRPr="008B2DDA">
              <w:rPr>
                <w:rFonts w:eastAsia="Times New Roman" w:cstheme="minorHAnsi"/>
                <w:sz w:val="18"/>
                <w:szCs w:val="18"/>
                <w:lang w:eastAsia="en-GB"/>
              </w:rPr>
              <w:t>Cash and cash equivalents</w:t>
            </w:r>
          </w:p>
        </w:tc>
        <w:tc>
          <w:tcPr>
            <w:tcW w:w="778" w:type="dxa"/>
            <w:gridSpan w:val="2"/>
            <w:tcBorders>
              <w:top w:val="nil"/>
              <w:left w:val="nil"/>
              <w:right w:val="nil"/>
            </w:tcBorders>
            <w:shd w:val="clear" w:color="000000" w:fill="FFFFFF"/>
            <w:noWrap/>
            <w:vAlign w:val="bottom"/>
            <w:hideMark/>
          </w:tcPr>
          <w:p w14:paraId="207B8BC2" w14:textId="77777777" w:rsidR="00FA18EA" w:rsidRPr="000C5053" w:rsidRDefault="00FA18EA" w:rsidP="00FA18EA">
            <w:pPr>
              <w:jc w:val="center"/>
              <w:rPr>
                <w:rFonts w:eastAsia="Times New Roman" w:cstheme="minorHAnsi"/>
                <w:sz w:val="18"/>
                <w:szCs w:val="18"/>
                <w:lang w:eastAsia="en-GB"/>
              </w:rPr>
            </w:pPr>
          </w:p>
        </w:tc>
        <w:tc>
          <w:tcPr>
            <w:tcW w:w="282" w:type="dxa"/>
            <w:tcBorders>
              <w:top w:val="nil"/>
              <w:left w:val="nil"/>
              <w:right w:val="nil"/>
            </w:tcBorders>
            <w:shd w:val="clear" w:color="000000" w:fill="FFFFFF"/>
            <w:noWrap/>
            <w:vAlign w:val="bottom"/>
            <w:hideMark/>
          </w:tcPr>
          <w:p w14:paraId="3EAD60E7" w14:textId="77777777" w:rsidR="00FA18EA" w:rsidRPr="0091098D" w:rsidRDefault="00FA18EA" w:rsidP="00FA18EA">
            <w:pPr>
              <w:rPr>
                <w:rFonts w:eastAsia="Times New Roman" w:cstheme="minorHAnsi"/>
                <w:sz w:val="18"/>
                <w:szCs w:val="18"/>
                <w:lang w:eastAsia="en-GB"/>
              </w:rPr>
            </w:pPr>
            <w:r w:rsidRPr="0091098D">
              <w:rPr>
                <w:rFonts w:eastAsia="Times New Roman" w:cstheme="minorHAnsi"/>
                <w:sz w:val="18"/>
                <w:szCs w:val="18"/>
                <w:lang w:eastAsia="en-GB"/>
              </w:rPr>
              <w:t> </w:t>
            </w:r>
          </w:p>
        </w:tc>
        <w:tc>
          <w:tcPr>
            <w:tcW w:w="1599" w:type="dxa"/>
            <w:gridSpan w:val="2"/>
            <w:tcBorders>
              <w:top w:val="nil"/>
              <w:left w:val="nil"/>
              <w:right w:val="nil"/>
            </w:tcBorders>
            <w:shd w:val="clear" w:color="000000" w:fill="FFFFFF"/>
            <w:noWrap/>
            <w:vAlign w:val="bottom"/>
            <w:hideMark/>
          </w:tcPr>
          <w:p w14:paraId="1C6B4614" w14:textId="77777777" w:rsidR="00FA18EA" w:rsidRPr="0075195E" w:rsidRDefault="00FA18EA" w:rsidP="00FA18EA">
            <w:pPr>
              <w:jc w:val="right"/>
              <w:rPr>
                <w:rFonts w:eastAsia="Times New Roman" w:cstheme="minorHAnsi"/>
                <w:b/>
                <w:bCs/>
                <w:sz w:val="18"/>
                <w:szCs w:val="18"/>
                <w:lang w:eastAsia="en-GB"/>
              </w:rPr>
            </w:pPr>
            <w:r w:rsidRPr="0075195E">
              <w:rPr>
                <w:rFonts w:eastAsia="Times New Roman" w:cstheme="minorHAnsi"/>
                <w:b/>
                <w:bCs/>
                <w:sz w:val="18"/>
                <w:szCs w:val="18"/>
                <w:lang w:eastAsia="en-GB"/>
              </w:rPr>
              <w:t>10,507</w:t>
            </w:r>
          </w:p>
        </w:tc>
        <w:tc>
          <w:tcPr>
            <w:tcW w:w="282" w:type="dxa"/>
            <w:tcBorders>
              <w:top w:val="nil"/>
              <w:left w:val="nil"/>
              <w:right w:val="nil"/>
            </w:tcBorders>
            <w:shd w:val="clear" w:color="000000" w:fill="FFFFFF"/>
            <w:noWrap/>
            <w:vAlign w:val="bottom"/>
            <w:hideMark/>
          </w:tcPr>
          <w:p w14:paraId="5A6C1DAB" w14:textId="77777777" w:rsidR="00FA18EA" w:rsidRPr="00536A35" w:rsidRDefault="00FA18EA" w:rsidP="00FA18EA">
            <w:pPr>
              <w:rPr>
                <w:rFonts w:eastAsia="Times New Roman" w:cstheme="minorHAnsi"/>
                <w:sz w:val="18"/>
                <w:szCs w:val="18"/>
                <w:lang w:eastAsia="en-GB"/>
              </w:rPr>
            </w:pPr>
            <w:r w:rsidRPr="00536A35">
              <w:rPr>
                <w:rFonts w:eastAsia="Times New Roman" w:cstheme="minorHAnsi"/>
                <w:sz w:val="18"/>
                <w:szCs w:val="18"/>
                <w:lang w:eastAsia="en-GB"/>
              </w:rPr>
              <w:t> </w:t>
            </w:r>
          </w:p>
        </w:tc>
        <w:tc>
          <w:tcPr>
            <w:tcW w:w="1736" w:type="dxa"/>
            <w:tcBorders>
              <w:top w:val="nil"/>
              <w:left w:val="nil"/>
              <w:right w:val="nil"/>
            </w:tcBorders>
            <w:shd w:val="clear" w:color="000000" w:fill="FFFFFF"/>
            <w:noWrap/>
            <w:vAlign w:val="bottom"/>
            <w:hideMark/>
          </w:tcPr>
          <w:p w14:paraId="00BB1000" w14:textId="77777777" w:rsidR="00FA18EA" w:rsidRPr="00A02B31" w:rsidRDefault="00FA18EA" w:rsidP="00FA18EA">
            <w:pPr>
              <w:jc w:val="right"/>
              <w:rPr>
                <w:rFonts w:eastAsia="Times New Roman" w:cstheme="minorHAnsi"/>
                <w:sz w:val="18"/>
                <w:szCs w:val="18"/>
                <w:lang w:eastAsia="en-GB"/>
              </w:rPr>
            </w:pPr>
            <w:r w:rsidRPr="00A02B31">
              <w:rPr>
                <w:rFonts w:eastAsia="Times New Roman" w:cstheme="minorHAnsi"/>
                <w:sz w:val="18"/>
                <w:szCs w:val="18"/>
                <w:lang w:eastAsia="en-GB"/>
              </w:rPr>
              <w:t>1,605</w:t>
            </w:r>
          </w:p>
        </w:tc>
      </w:tr>
      <w:tr w:rsidR="00FA18EA" w:rsidRPr="007600A7" w14:paraId="7B72EBC7" w14:textId="77777777" w:rsidTr="00FA18EA">
        <w:trPr>
          <w:trHeight w:val="243"/>
        </w:trPr>
        <w:tc>
          <w:tcPr>
            <w:tcW w:w="5078" w:type="dxa"/>
            <w:gridSpan w:val="2"/>
            <w:tcBorders>
              <w:top w:val="nil"/>
              <w:left w:val="nil"/>
              <w:bottom w:val="single" w:sz="4" w:space="0" w:color="auto"/>
              <w:right w:val="nil"/>
            </w:tcBorders>
            <w:shd w:val="clear" w:color="000000" w:fill="FFFFFF"/>
            <w:noWrap/>
            <w:vAlign w:val="bottom"/>
            <w:hideMark/>
          </w:tcPr>
          <w:p w14:paraId="713F76FF" w14:textId="77777777" w:rsidR="00FA18EA" w:rsidRPr="008B2DDA" w:rsidRDefault="00FA18EA" w:rsidP="00FA18EA">
            <w:pPr>
              <w:rPr>
                <w:rFonts w:eastAsia="Times New Roman" w:cstheme="minorHAnsi"/>
                <w:sz w:val="18"/>
                <w:szCs w:val="18"/>
                <w:lang w:eastAsia="en-GB"/>
              </w:rPr>
            </w:pPr>
            <w:r w:rsidRPr="008B2DDA">
              <w:rPr>
                <w:rFonts w:eastAsia="Times New Roman" w:cstheme="minorHAnsi"/>
                <w:sz w:val="18"/>
                <w:szCs w:val="18"/>
                <w:lang w:eastAsia="en-GB"/>
              </w:rPr>
              <w:t>Trade and other receivables</w:t>
            </w:r>
          </w:p>
        </w:tc>
        <w:tc>
          <w:tcPr>
            <w:tcW w:w="778" w:type="dxa"/>
            <w:gridSpan w:val="2"/>
            <w:tcBorders>
              <w:top w:val="nil"/>
              <w:left w:val="nil"/>
              <w:bottom w:val="single" w:sz="4" w:space="0" w:color="auto"/>
              <w:right w:val="nil"/>
            </w:tcBorders>
            <w:shd w:val="clear" w:color="000000" w:fill="FFFFFF"/>
            <w:noWrap/>
            <w:vAlign w:val="bottom"/>
            <w:hideMark/>
          </w:tcPr>
          <w:p w14:paraId="2AC50930" w14:textId="77777777" w:rsidR="00FA18EA" w:rsidRPr="0091098D" w:rsidRDefault="00FA18EA" w:rsidP="00FA18EA">
            <w:pPr>
              <w:jc w:val="center"/>
              <w:rPr>
                <w:rFonts w:eastAsia="Times New Roman" w:cstheme="minorHAnsi"/>
                <w:sz w:val="18"/>
                <w:szCs w:val="18"/>
                <w:lang w:eastAsia="en-GB"/>
              </w:rPr>
            </w:pPr>
            <w:r w:rsidRPr="000C5053">
              <w:rPr>
                <w:rFonts w:eastAsia="Times New Roman" w:cstheme="minorHAnsi"/>
                <w:sz w:val="18"/>
                <w:szCs w:val="18"/>
                <w:lang w:eastAsia="en-GB"/>
              </w:rPr>
              <w:t>9</w:t>
            </w:r>
          </w:p>
        </w:tc>
        <w:tc>
          <w:tcPr>
            <w:tcW w:w="282" w:type="dxa"/>
            <w:tcBorders>
              <w:top w:val="nil"/>
              <w:left w:val="nil"/>
              <w:bottom w:val="single" w:sz="4" w:space="0" w:color="auto"/>
              <w:right w:val="nil"/>
            </w:tcBorders>
            <w:shd w:val="clear" w:color="000000" w:fill="FFFFFF"/>
            <w:noWrap/>
            <w:vAlign w:val="bottom"/>
            <w:hideMark/>
          </w:tcPr>
          <w:p w14:paraId="63FE51EC" w14:textId="77777777" w:rsidR="00FA18EA" w:rsidRPr="0075195E" w:rsidRDefault="00FA18EA" w:rsidP="00FA18EA">
            <w:pPr>
              <w:rPr>
                <w:rFonts w:eastAsia="Times New Roman" w:cstheme="minorHAnsi"/>
                <w:sz w:val="18"/>
                <w:szCs w:val="18"/>
                <w:lang w:eastAsia="en-GB"/>
              </w:rPr>
            </w:pPr>
            <w:r w:rsidRPr="0075195E">
              <w:rPr>
                <w:rFonts w:eastAsia="Times New Roman" w:cstheme="minorHAnsi"/>
                <w:sz w:val="18"/>
                <w:szCs w:val="18"/>
                <w:lang w:eastAsia="en-GB"/>
              </w:rPr>
              <w:t> </w:t>
            </w:r>
          </w:p>
        </w:tc>
        <w:tc>
          <w:tcPr>
            <w:tcW w:w="1599" w:type="dxa"/>
            <w:gridSpan w:val="2"/>
            <w:tcBorders>
              <w:top w:val="nil"/>
              <w:left w:val="nil"/>
              <w:bottom w:val="single" w:sz="4" w:space="0" w:color="auto"/>
              <w:right w:val="nil"/>
            </w:tcBorders>
            <w:shd w:val="clear" w:color="000000" w:fill="FFFFFF"/>
            <w:noWrap/>
            <w:vAlign w:val="bottom"/>
            <w:hideMark/>
          </w:tcPr>
          <w:p w14:paraId="2E99C29F" w14:textId="77777777" w:rsidR="00FA18EA" w:rsidRPr="00536A35" w:rsidRDefault="00FA18EA" w:rsidP="00FA18EA">
            <w:pPr>
              <w:jc w:val="right"/>
              <w:rPr>
                <w:rFonts w:eastAsia="Times New Roman" w:cstheme="minorHAnsi"/>
                <w:b/>
                <w:bCs/>
                <w:sz w:val="18"/>
                <w:szCs w:val="18"/>
                <w:lang w:eastAsia="en-GB"/>
              </w:rPr>
            </w:pPr>
            <w:r w:rsidRPr="00536A35">
              <w:rPr>
                <w:rFonts w:eastAsia="Times New Roman" w:cstheme="minorHAnsi"/>
                <w:b/>
                <w:bCs/>
                <w:sz w:val="18"/>
                <w:szCs w:val="18"/>
                <w:lang w:eastAsia="en-GB"/>
              </w:rPr>
              <w:t>1,019</w:t>
            </w:r>
          </w:p>
        </w:tc>
        <w:tc>
          <w:tcPr>
            <w:tcW w:w="282" w:type="dxa"/>
            <w:tcBorders>
              <w:top w:val="nil"/>
              <w:left w:val="nil"/>
              <w:bottom w:val="single" w:sz="4" w:space="0" w:color="auto"/>
              <w:right w:val="nil"/>
            </w:tcBorders>
            <w:shd w:val="clear" w:color="000000" w:fill="FFFFFF"/>
            <w:noWrap/>
            <w:vAlign w:val="bottom"/>
            <w:hideMark/>
          </w:tcPr>
          <w:p w14:paraId="5BCC1937" w14:textId="77777777" w:rsidR="00FA18EA" w:rsidRPr="00A02B31" w:rsidRDefault="00FA18EA" w:rsidP="00FA18EA">
            <w:pPr>
              <w:rPr>
                <w:rFonts w:eastAsia="Times New Roman" w:cstheme="minorHAnsi"/>
                <w:sz w:val="18"/>
                <w:szCs w:val="18"/>
                <w:lang w:eastAsia="en-GB"/>
              </w:rPr>
            </w:pPr>
            <w:r w:rsidRPr="00A02B31">
              <w:rPr>
                <w:rFonts w:eastAsia="Times New Roman" w:cstheme="minorHAnsi"/>
                <w:sz w:val="18"/>
                <w:szCs w:val="18"/>
                <w:lang w:eastAsia="en-GB"/>
              </w:rPr>
              <w:t> </w:t>
            </w:r>
          </w:p>
        </w:tc>
        <w:tc>
          <w:tcPr>
            <w:tcW w:w="1736" w:type="dxa"/>
            <w:tcBorders>
              <w:top w:val="nil"/>
              <w:left w:val="nil"/>
              <w:bottom w:val="single" w:sz="4" w:space="0" w:color="auto"/>
              <w:right w:val="nil"/>
            </w:tcBorders>
            <w:shd w:val="clear" w:color="000000" w:fill="FFFFFF"/>
            <w:noWrap/>
            <w:vAlign w:val="bottom"/>
            <w:hideMark/>
          </w:tcPr>
          <w:p w14:paraId="3FF02973" w14:textId="77777777" w:rsidR="00FA18EA" w:rsidRPr="00A02B31" w:rsidRDefault="00FA18EA" w:rsidP="00FA18EA">
            <w:pPr>
              <w:jc w:val="right"/>
              <w:rPr>
                <w:rFonts w:eastAsia="Times New Roman" w:cstheme="minorHAnsi"/>
                <w:sz w:val="18"/>
                <w:szCs w:val="18"/>
                <w:lang w:eastAsia="en-GB"/>
              </w:rPr>
            </w:pPr>
            <w:r w:rsidRPr="00A02B31">
              <w:rPr>
                <w:rFonts w:eastAsia="Times New Roman" w:cstheme="minorHAnsi"/>
                <w:sz w:val="18"/>
                <w:szCs w:val="18"/>
                <w:lang w:eastAsia="en-GB"/>
              </w:rPr>
              <w:t>99</w:t>
            </w:r>
          </w:p>
        </w:tc>
      </w:tr>
      <w:tr w:rsidR="00FA18EA" w:rsidRPr="007600A7" w14:paraId="6AAF87CE" w14:textId="77777777" w:rsidTr="00FA18EA">
        <w:trPr>
          <w:trHeight w:val="243"/>
        </w:trPr>
        <w:tc>
          <w:tcPr>
            <w:tcW w:w="5078" w:type="dxa"/>
            <w:gridSpan w:val="2"/>
            <w:tcBorders>
              <w:top w:val="single" w:sz="4" w:space="0" w:color="auto"/>
              <w:left w:val="nil"/>
              <w:bottom w:val="single" w:sz="4" w:space="0" w:color="auto"/>
              <w:right w:val="nil"/>
            </w:tcBorders>
            <w:shd w:val="clear" w:color="000000" w:fill="FFFFFF"/>
            <w:noWrap/>
            <w:vAlign w:val="bottom"/>
            <w:hideMark/>
          </w:tcPr>
          <w:p w14:paraId="02CC2AAE" w14:textId="77777777" w:rsidR="00FA18EA" w:rsidRPr="008B2DDA" w:rsidRDefault="00FA18EA" w:rsidP="00FA18EA">
            <w:pPr>
              <w:rPr>
                <w:rFonts w:eastAsia="Times New Roman" w:cstheme="minorHAnsi"/>
                <w:sz w:val="18"/>
                <w:szCs w:val="18"/>
                <w:lang w:eastAsia="en-GB"/>
              </w:rPr>
            </w:pPr>
            <w:r w:rsidRPr="008B2DDA">
              <w:rPr>
                <w:rFonts w:eastAsia="Times New Roman" w:cstheme="minorHAnsi"/>
                <w:sz w:val="18"/>
                <w:szCs w:val="18"/>
                <w:lang w:eastAsia="en-GB"/>
              </w:rPr>
              <w:t> </w:t>
            </w:r>
          </w:p>
        </w:tc>
        <w:tc>
          <w:tcPr>
            <w:tcW w:w="778" w:type="dxa"/>
            <w:gridSpan w:val="2"/>
            <w:tcBorders>
              <w:top w:val="single" w:sz="4" w:space="0" w:color="auto"/>
              <w:left w:val="nil"/>
              <w:bottom w:val="single" w:sz="4" w:space="0" w:color="auto"/>
              <w:right w:val="nil"/>
            </w:tcBorders>
            <w:shd w:val="clear" w:color="000000" w:fill="FFFFFF"/>
            <w:noWrap/>
            <w:vAlign w:val="bottom"/>
            <w:hideMark/>
          </w:tcPr>
          <w:p w14:paraId="6D8E1293" w14:textId="77777777" w:rsidR="00FA18EA" w:rsidRPr="000C5053" w:rsidRDefault="00FA18EA" w:rsidP="00FA18EA">
            <w:pPr>
              <w:jc w:val="center"/>
              <w:rPr>
                <w:rFonts w:eastAsia="Times New Roman" w:cstheme="minorHAnsi"/>
                <w:sz w:val="18"/>
                <w:szCs w:val="18"/>
                <w:lang w:eastAsia="en-GB"/>
              </w:rPr>
            </w:pPr>
          </w:p>
        </w:tc>
        <w:tc>
          <w:tcPr>
            <w:tcW w:w="282" w:type="dxa"/>
            <w:tcBorders>
              <w:top w:val="single" w:sz="4" w:space="0" w:color="auto"/>
              <w:left w:val="nil"/>
              <w:bottom w:val="single" w:sz="4" w:space="0" w:color="auto"/>
              <w:right w:val="nil"/>
            </w:tcBorders>
            <w:shd w:val="clear" w:color="000000" w:fill="FFFFFF"/>
            <w:noWrap/>
            <w:vAlign w:val="bottom"/>
            <w:hideMark/>
          </w:tcPr>
          <w:p w14:paraId="7E6B888A" w14:textId="77777777" w:rsidR="00FA18EA" w:rsidRPr="0091098D" w:rsidRDefault="00FA18EA" w:rsidP="00FA18EA">
            <w:pPr>
              <w:rPr>
                <w:rFonts w:eastAsia="Times New Roman" w:cstheme="minorHAnsi"/>
                <w:sz w:val="18"/>
                <w:szCs w:val="18"/>
                <w:lang w:eastAsia="en-GB"/>
              </w:rPr>
            </w:pPr>
            <w:r w:rsidRPr="0091098D">
              <w:rPr>
                <w:rFonts w:eastAsia="Times New Roman" w:cstheme="minorHAnsi"/>
                <w:sz w:val="18"/>
                <w:szCs w:val="18"/>
                <w:lang w:eastAsia="en-GB"/>
              </w:rPr>
              <w:t> </w:t>
            </w:r>
          </w:p>
        </w:tc>
        <w:tc>
          <w:tcPr>
            <w:tcW w:w="1599" w:type="dxa"/>
            <w:gridSpan w:val="2"/>
            <w:tcBorders>
              <w:top w:val="single" w:sz="4" w:space="0" w:color="auto"/>
              <w:left w:val="nil"/>
              <w:bottom w:val="single" w:sz="4" w:space="0" w:color="auto"/>
              <w:right w:val="nil"/>
            </w:tcBorders>
            <w:shd w:val="clear" w:color="000000" w:fill="FFFFFF"/>
            <w:noWrap/>
            <w:vAlign w:val="bottom"/>
            <w:hideMark/>
          </w:tcPr>
          <w:p w14:paraId="7E61FFB4" w14:textId="77777777" w:rsidR="00FA18EA" w:rsidRPr="0075195E" w:rsidRDefault="00FA18EA" w:rsidP="00FA18EA">
            <w:pPr>
              <w:jc w:val="right"/>
              <w:rPr>
                <w:rFonts w:eastAsia="Times New Roman" w:cstheme="minorHAnsi"/>
                <w:b/>
                <w:bCs/>
                <w:sz w:val="18"/>
                <w:szCs w:val="18"/>
                <w:lang w:eastAsia="en-GB"/>
              </w:rPr>
            </w:pPr>
            <w:r w:rsidRPr="0075195E">
              <w:rPr>
                <w:rFonts w:eastAsia="Times New Roman" w:cstheme="minorHAnsi"/>
                <w:b/>
                <w:bCs/>
                <w:sz w:val="18"/>
                <w:szCs w:val="18"/>
                <w:lang w:eastAsia="en-GB"/>
              </w:rPr>
              <w:t>11,526</w:t>
            </w:r>
          </w:p>
        </w:tc>
        <w:tc>
          <w:tcPr>
            <w:tcW w:w="282" w:type="dxa"/>
            <w:tcBorders>
              <w:top w:val="single" w:sz="4" w:space="0" w:color="auto"/>
              <w:left w:val="nil"/>
              <w:bottom w:val="single" w:sz="4" w:space="0" w:color="auto"/>
              <w:right w:val="nil"/>
            </w:tcBorders>
            <w:shd w:val="clear" w:color="000000" w:fill="FFFFFF"/>
            <w:noWrap/>
            <w:vAlign w:val="bottom"/>
            <w:hideMark/>
          </w:tcPr>
          <w:p w14:paraId="109B9A0C" w14:textId="77777777" w:rsidR="00FA18EA" w:rsidRPr="00536A35" w:rsidRDefault="00FA18EA" w:rsidP="00FA18EA">
            <w:pPr>
              <w:rPr>
                <w:rFonts w:eastAsia="Times New Roman" w:cstheme="minorHAnsi"/>
                <w:sz w:val="18"/>
                <w:szCs w:val="18"/>
                <w:lang w:eastAsia="en-GB"/>
              </w:rPr>
            </w:pPr>
            <w:r w:rsidRPr="00536A35">
              <w:rPr>
                <w:rFonts w:eastAsia="Times New Roman" w:cstheme="minorHAnsi"/>
                <w:sz w:val="18"/>
                <w:szCs w:val="18"/>
                <w:lang w:eastAsia="en-GB"/>
              </w:rPr>
              <w:t> </w:t>
            </w:r>
          </w:p>
        </w:tc>
        <w:tc>
          <w:tcPr>
            <w:tcW w:w="1736" w:type="dxa"/>
            <w:tcBorders>
              <w:top w:val="single" w:sz="4" w:space="0" w:color="auto"/>
              <w:left w:val="nil"/>
              <w:bottom w:val="single" w:sz="4" w:space="0" w:color="auto"/>
              <w:right w:val="nil"/>
            </w:tcBorders>
            <w:shd w:val="clear" w:color="000000" w:fill="FFFFFF"/>
            <w:noWrap/>
            <w:vAlign w:val="bottom"/>
            <w:hideMark/>
          </w:tcPr>
          <w:p w14:paraId="3C71895D" w14:textId="77777777" w:rsidR="00FA18EA" w:rsidRPr="00A02B31" w:rsidRDefault="00FA18EA" w:rsidP="00FA18EA">
            <w:pPr>
              <w:jc w:val="right"/>
              <w:rPr>
                <w:rFonts w:eastAsia="Times New Roman" w:cstheme="minorHAnsi"/>
                <w:sz w:val="18"/>
                <w:szCs w:val="18"/>
                <w:lang w:eastAsia="en-GB"/>
              </w:rPr>
            </w:pPr>
            <w:r w:rsidRPr="00A02B31">
              <w:rPr>
                <w:rFonts w:eastAsia="Times New Roman" w:cstheme="minorHAnsi"/>
                <w:sz w:val="18"/>
                <w:szCs w:val="18"/>
                <w:lang w:eastAsia="en-GB"/>
              </w:rPr>
              <w:t>1,704</w:t>
            </w:r>
          </w:p>
        </w:tc>
      </w:tr>
      <w:tr w:rsidR="00FA18EA" w:rsidRPr="007600A7" w14:paraId="72964B0C" w14:textId="77777777" w:rsidTr="00FA18EA">
        <w:trPr>
          <w:trHeight w:val="286"/>
        </w:trPr>
        <w:tc>
          <w:tcPr>
            <w:tcW w:w="5078" w:type="dxa"/>
            <w:gridSpan w:val="2"/>
            <w:tcBorders>
              <w:top w:val="single" w:sz="4" w:space="0" w:color="auto"/>
              <w:left w:val="nil"/>
              <w:bottom w:val="single" w:sz="4" w:space="0" w:color="auto"/>
              <w:right w:val="nil"/>
            </w:tcBorders>
            <w:shd w:val="clear" w:color="000000" w:fill="FFFFFF"/>
            <w:noWrap/>
            <w:vAlign w:val="bottom"/>
            <w:hideMark/>
          </w:tcPr>
          <w:p w14:paraId="6AF9CD90" w14:textId="77777777" w:rsidR="00FA18EA" w:rsidRPr="008B2DDA" w:rsidRDefault="00FA18EA" w:rsidP="00FA18EA">
            <w:pPr>
              <w:rPr>
                <w:rFonts w:eastAsia="Times New Roman" w:cstheme="minorHAnsi"/>
                <w:b/>
                <w:bCs/>
                <w:sz w:val="18"/>
                <w:szCs w:val="18"/>
                <w:lang w:eastAsia="en-GB"/>
              </w:rPr>
            </w:pPr>
            <w:r w:rsidRPr="008B2DDA">
              <w:rPr>
                <w:rFonts w:eastAsia="Times New Roman" w:cstheme="minorHAnsi"/>
                <w:b/>
                <w:bCs/>
                <w:sz w:val="18"/>
                <w:szCs w:val="18"/>
                <w:lang w:eastAsia="en-GB"/>
              </w:rPr>
              <w:t>Total assets</w:t>
            </w:r>
          </w:p>
        </w:tc>
        <w:tc>
          <w:tcPr>
            <w:tcW w:w="778" w:type="dxa"/>
            <w:gridSpan w:val="2"/>
            <w:tcBorders>
              <w:top w:val="single" w:sz="4" w:space="0" w:color="auto"/>
              <w:left w:val="nil"/>
              <w:bottom w:val="single" w:sz="4" w:space="0" w:color="auto"/>
              <w:right w:val="nil"/>
            </w:tcBorders>
            <w:shd w:val="clear" w:color="000000" w:fill="FFFFFF"/>
            <w:noWrap/>
            <w:vAlign w:val="bottom"/>
            <w:hideMark/>
          </w:tcPr>
          <w:p w14:paraId="0C500474" w14:textId="77777777" w:rsidR="00FA18EA" w:rsidRPr="000C5053" w:rsidRDefault="00FA18EA" w:rsidP="00FA18EA">
            <w:pPr>
              <w:jc w:val="center"/>
              <w:rPr>
                <w:rFonts w:eastAsia="Times New Roman" w:cstheme="minorHAnsi"/>
                <w:sz w:val="18"/>
                <w:szCs w:val="18"/>
                <w:lang w:eastAsia="en-GB"/>
              </w:rPr>
            </w:pPr>
          </w:p>
        </w:tc>
        <w:tc>
          <w:tcPr>
            <w:tcW w:w="282" w:type="dxa"/>
            <w:tcBorders>
              <w:top w:val="single" w:sz="4" w:space="0" w:color="auto"/>
              <w:left w:val="nil"/>
              <w:bottom w:val="single" w:sz="4" w:space="0" w:color="auto"/>
              <w:right w:val="nil"/>
            </w:tcBorders>
            <w:shd w:val="clear" w:color="000000" w:fill="FFFFFF"/>
            <w:noWrap/>
            <w:vAlign w:val="bottom"/>
            <w:hideMark/>
          </w:tcPr>
          <w:p w14:paraId="74C7826C" w14:textId="77777777" w:rsidR="00FA18EA" w:rsidRPr="0091098D" w:rsidRDefault="00FA18EA" w:rsidP="00FA18EA">
            <w:pPr>
              <w:rPr>
                <w:rFonts w:eastAsia="Times New Roman" w:cstheme="minorHAnsi"/>
                <w:sz w:val="18"/>
                <w:szCs w:val="18"/>
                <w:lang w:eastAsia="en-GB"/>
              </w:rPr>
            </w:pPr>
            <w:r w:rsidRPr="0091098D">
              <w:rPr>
                <w:rFonts w:eastAsia="Times New Roman" w:cstheme="minorHAnsi"/>
                <w:sz w:val="18"/>
                <w:szCs w:val="18"/>
                <w:lang w:eastAsia="en-GB"/>
              </w:rPr>
              <w:t> </w:t>
            </w:r>
          </w:p>
        </w:tc>
        <w:tc>
          <w:tcPr>
            <w:tcW w:w="1599" w:type="dxa"/>
            <w:gridSpan w:val="2"/>
            <w:tcBorders>
              <w:top w:val="single" w:sz="4" w:space="0" w:color="auto"/>
              <w:left w:val="nil"/>
              <w:bottom w:val="single" w:sz="4" w:space="0" w:color="auto"/>
              <w:right w:val="nil"/>
            </w:tcBorders>
            <w:shd w:val="clear" w:color="000000" w:fill="FFFFFF"/>
            <w:noWrap/>
            <w:vAlign w:val="bottom"/>
            <w:hideMark/>
          </w:tcPr>
          <w:p w14:paraId="24E3507D" w14:textId="77777777" w:rsidR="00FA18EA" w:rsidRPr="0075195E" w:rsidRDefault="00FA18EA" w:rsidP="00FA18EA">
            <w:pPr>
              <w:jc w:val="right"/>
              <w:rPr>
                <w:rFonts w:eastAsia="Times New Roman" w:cstheme="minorHAnsi"/>
                <w:b/>
                <w:bCs/>
                <w:sz w:val="18"/>
                <w:szCs w:val="18"/>
                <w:lang w:eastAsia="en-GB"/>
              </w:rPr>
            </w:pPr>
            <w:r w:rsidRPr="0075195E">
              <w:rPr>
                <w:rFonts w:eastAsia="Times New Roman" w:cstheme="minorHAnsi"/>
                <w:b/>
                <w:bCs/>
                <w:sz w:val="18"/>
                <w:szCs w:val="18"/>
                <w:lang w:eastAsia="en-GB"/>
              </w:rPr>
              <w:t>43,135</w:t>
            </w:r>
          </w:p>
        </w:tc>
        <w:tc>
          <w:tcPr>
            <w:tcW w:w="282" w:type="dxa"/>
            <w:tcBorders>
              <w:top w:val="single" w:sz="4" w:space="0" w:color="auto"/>
              <w:left w:val="nil"/>
              <w:bottom w:val="single" w:sz="4" w:space="0" w:color="auto"/>
              <w:right w:val="nil"/>
            </w:tcBorders>
            <w:shd w:val="clear" w:color="000000" w:fill="FFFFFF"/>
            <w:noWrap/>
            <w:vAlign w:val="bottom"/>
            <w:hideMark/>
          </w:tcPr>
          <w:p w14:paraId="3F938A93" w14:textId="77777777" w:rsidR="00FA18EA" w:rsidRPr="00536A35" w:rsidRDefault="00FA18EA" w:rsidP="00FA18EA">
            <w:pPr>
              <w:rPr>
                <w:rFonts w:eastAsia="Times New Roman" w:cstheme="minorHAnsi"/>
                <w:sz w:val="18"/>
                <w:szCs w:val="18"/>
                <w:lang w:eastAsia="en-GB"/>
              </w:rPr>
            </w:pPr>
            <w:r w:rsidRPr="00536A35">
              <w:rPr>
                <w:rFonts w:eastAsia="Times New Roman" w:cstheme="minorHAnsi"/>
                <w:sz w:val="18"/>
                <w:szCs w:val="18"/>
                <w:lang w:eastAsia="en-GB"/>
              </w:rPr>
              <w:t> </w:t>
            </w:r>
          </w:p>
        </w:tc>
        <w:tc>
          <w:tcPr>
            <w:tcW w:w="1736" w:type="dxa"/>
            <w:tcBorders>
              <w:top w:val="single" w:sz="4" w:space="0" w:color="auto"/>
              <w:left w:val="nil"/>
              <w:bottom w:val="single" w:sz="4" w:space="0" w:color="auto"/>
              <w:right w:val="nil"/>
            </w:tcBorders>
            <w:shd w:val="clear" w:color="000000" w:fill="FFFFFF"/>
            <w:noWrap/>
            <w:vAlign w:val="bottom"/>
            <w:hideMark/>
          </w:tcPr>
          <w:p w14:paraId="1A3807F7" w14:textId="77777777" w:rsidR="00FA18EA" w:rsidRPr="00A02B31" w:rsidRDefault="00FA18EA" w:rsidP="00FA18EA">
            <w:pPr>
              <w:jc w:val="right"/>
              <w:rPr>
                <w:rFonts w:eastAsia="Times New Roman" w:cstheme="minorHAnsi"/>
                <w:sz w:val="18"/>
                <w:szCs w:val="18"/>
                <w:lang w:eastAsia="en-GB"/>
              </w:rPr>
            </w:pPr>
            <w:r w:rsidRPr="00A02B31">
              <w:rPr>
                <w:rFonts w:eastAsia="Times New Roman" w:cstheme="minorHAnsi"/>
                <w:sz w:val="18"/>
                <w:szCs w:val="18"/>
                <w:lang w:eastAsia="en-GB"/>
              </w:rPr>
              <w:t>55,592</w:t>
            </w:r>
          </w:p>
        </w:tc>
      </w:tr>
      <w:tr w:rsidR="00FA18EA" w:rsidRPr="007600A7" w14:paraId="7DE7BAA2" w14:textId="77777777" w:rsidTr="00FA18EA">
        <w:trPr>
          <w:trHeight w:val="286"/>
        </w:trPr>
        <w:tc>
          <w:tcPr>
            <w:tcW w:w="5078" w:type="dxa"/>
            <w:gridSpan w:val="2"/>
            <w:tcBorders>
              <w:top w:val="single" w:sz="4" w:space="0" w:color="auto"/>
              <w:left w:val="nil"/>
              <w:bottom w:val="nil"/>
              <w:right w:val="nil"/>
            </w:tcBorders>
            <w:shd w:val="clear" w:color="000000" w:fill="FFFFFF"/>
            <w:noWrap/>
            <w:vAlign w:val="bottom"/>
            <w:hideMark/>
          </w:tcPr>
          <w:p w14:paraId="0AC9EDAB" w14:textId="77777777" w:rsidR="00FA18EA" w:rsidRPr="008B2DDA" w:rsidRDefault="00FA18EA" w:rsidP="00FA18EA">
            <w:pPr>
              <w:rPr>
                <w:rFonts w:eastAsia="Times New Roman" w:cstheme="minorHAnsi"/>
                <w:sz w:val="18"/>
                <w:szCs w:val="18"/>
                <w:lang w:eastAsia="en-GB"/>
              </w:rPr>
            </w:pPr>
            <w:r w:rsidRPr="008B2DDA">
              <w:rPr>
                <w:rFonts w:eastAsia="Times New Roman" w:cstheme="minorHAnsi"/>
                <w:sz w:val="18"/>
                <w:szCs w:val="18"/>
                <w:lang w:eastAsia="en-GB"/>
              </w:rPr>
              <w:t> </w:t>
            </w:r>
          </w:p>
        </w:tc>
        <w:tc>
          <w:tcPr>
            <w:tcW w:w="389" w:type="dxa"/>
            <w:tcBorders>
              <w:top w:val="single" w:sz="4" w:space="0" w:color="auto"/>
              <w:left w:val="nil"/>
              <w:bottom w:val="nil"/>
              <w:right w:val="nil"/>
            </w:tcBorders>
            <w:shd w:val="clear" w:color="000000" w:fill="FFFFFF"/>
            <w:noWrap/>
            <w:vAlign w:val="bottom"/>
            <w:hideMark/>
          </w:tcPr>
          <w:p w14:paraId="7FAF7895" w14:textId="77777777" w:rsidR="00FA18EA" w:rsidRPr="000C5053" w:rsidRDefault="00FA18EA" w:rsidP="00FA18EA">
            <w:pPr>
              <w:jc w:val="center"/>
              <w:rPr>
                <w:rFonts w:eastAsia="Times New Roman" w:cstheme="minorHAnsi"/>
                <w:sz w:val="18"/>
                <w:szCs w:val="18"/>
                <w:lang w:eastAsia="en-GB"/>
              </w:rPr>
            </w:pPr>
          </w:p>
        </w:tc>
        <w:tc>
          <w:tcPr>
            <w:tcW w:w="389" w:type="dxa"/>
            <w:tcBorders>
              <w:top w:val="single" w:sz="4" w:space="0" w:color="auto"/>
              <w:left w:val="nil"/>
              <w:bottom w:val="nil"/>
              <w:right w:val="nil"/>
            </w:tcBorders>
            <w:shd w:val="clear" w:color="000000" w:fill="FFFFFF"/>
            <w:vAlign w:val="bottom"/>
          </w:tcPr>
          <w:p w14:paraId="09B1E691" w14:textId="77777777" w:rsidR="00FA18EA" w:rsidRPr="0091098D" w:rsidRDefault="00FA18EA" w:rsidP="00FA18EA">
            <w:pPr>
              <w:jc w:val="center"/>
              <w:rPr>
                <w:rFonts w:eastAsia="Times New Roman" w:cstheme="minorHAnsi"/>
                <w:sz w:val="18"/>
                <w:szCs w:val="18"/>
                <w:lang w:eastAsia="en-GB"/>
              </w:rPr>
            </w:pPr>
          </w:p>
        </w:tc>
        <w:tc>
          <w:tcPr>
            <w:tcW w:w="282" w:type="dxa"/>
            <w:tcBorders>
              <w:top w:val="single" w:sz="4" w:space="0" w:color="auto"/>
              <w:left w:val="nil"/>
              <w:bottom w:val="nil"/>
              <w:right w:val="nil"/>
            </w:tcBorders>
            <w:shd w:val="clear" w:color="000000" w:fill="FFFFFF"/>
            <w:noWrap/>
            <w:vAlign w:val="bottom"/>
            <w:hideMark/>
          </w:tcPr>
          <w:p w14:paraId="08E6F4AA" w14:textId="77777777" w:rsidR="00FA18EA" w:rsidRPr="0075195E" w:rsidRDefault="00FA18EA" w:rsidP="00FA18EA">
            <w:pPr>
              <w:rPr>
                <w:rFonts w:eastAsia="Times New Roman" w:cstheme="minorHAnsi"/>
                <w:sz w:val="18"/>
                <w:szCs w:val="18"/>
                <w:lang w:eastAsia="en-GB"/>
              </w:rPr>
            </w:pPr>
            <w:r w:rsidRPr="0075195E">
              <w:rPr>
                <w:rFonts w:eastAsia="Times New Roman" w:cstheme="minorHAnsi"/>
                <w:sz w:val="18"/>
                <w:szCs w:val="18"/>
                <w:lang w:eastAsia="en-GB"/>
              </w:rPr>
              <w:t> </w:t>
            </w:r>
          </w:p>
        </w:tc>
        <w:tc>
          <w:tcPr>
            <w:tcW w:w="1599" w:type="dxa"/>
            <w:gridSpan w:val="2"/>
            <w:tcBorders>
              <w:top w:val="single" w:sz="4" w:space="0" w:color="auto"/>
              <w:left w:val="nil"/>
              <w:bottom w:val="nil"/>
              <w:right w:val="nil"/>
            </w:tcBorders>
            <w:shd w:val="clear" w:color="000000" w:fill="FFFFFF"/>
            <w:noWrap/>
            <w:vAlign w:val="bottom"/>
            <w:hideMark/>
          </w:tcPr>
          <w:p w14:paraId="1F44C2C6" w14:textId="77777777" w:rsidR="00FA18EA" w:rsidRPr="00536A35" w:rsidRDefault="00FA18EA" w:rsidP="00FA18EA">
            <w:pPr>
              <w:rPr>
                <w:rFonts w:eastAsia="Times New Roman" w:cstheme="minorHAnsi"/>
                <w:b/>
                <w:bCs/>
                <w:sz w:val="18"/>
                <w:szCs w:val="18"/>
                <w:lang w:eastAsia="en-GB"/>
              </w:rPr>
            </w:pPr>
            <w:r w:rsidRPr="00536A35">
              <w:rPr>
                <w:rFonts w:eastAsia="Times New Roman" w:cstheme="minorHAnsi"/>
                <w:b/>
                <w:bCs/>
                <w:sz w:val="18"/>
                <w:szCs w:val="18"/>
                <w:lang w:eastAsia="en-GB"/>
              </w:rPr>
              <w:t> </w:t>
            </w:r>
          </w:p>
        </w:tc>
        <w:tc>
          <w:tcPr>
            <w:tcW w:w="282" w:type="dxa"/>
            <w:tcBorders>
              <w:top w:val="single" w:sz="4" w:space="0" w:color="auto"/>
              <w:left w:val="nil"/>
              <w:bottom w:val="nil"/>
              <w:right w:val="nil"/>
            </w:tcBorders>
            <w:shd w:val="clear" w:color="000000" w:fill="FFFFFF"/>
            <w:noWrap/>
            <w:vAlign w:val="bottom"/>
            <w:hideMark/>
          </w:tcPr>
          <w:p w14:paraId="2BF0F56E" w14:textId="77777777" w:rsidR="00FA18EA" w:rsidRPr="00A02B31" w:rsidRDefault="00FA18EA" w:rsidP="00FA18EA">
            <w:pPr>
              <w:rPr>
                <w:rFonts w:eastAsia="Times New Roman" w:cstheme="minorHAnsi"/>
                <w:sz w:val="18"/>
                <w:szCs w:val="18"/>
                <w:lang w:eastAsia="en-GB"/>
              </w:rPr>
            </w:pPr>
            <w:r w:rsidRPr="00A02B31">
              <w:rPr>
                <w:rFonts w:eastAsia="Times New Roman" w:cstheme="minorHAnsi"/>
                <w:sz w:val="18"/>
                <w:szCs w:val="18"/>
                <w:lang w:eastAsia="en-GB"/>
              </w:rPr>
              <w:t> </w:t>
            </w:r>
          </w:p>
        </w:tc>
        <w:tc>
          <w:tcPr>
            <w:tcW w:w="1736" w:type="dxa"/>
            <w:tcBorders>
              <w:top w:val="single" w:sz="4" w:space="0" w:color="auto"/>
              <w:left w:val="nil"/>
              <w:bottom w:val="nil"/>
              <w:right w:val="nil"/>
            </w:tcBorders>
            <w:shd w:val="clear" w:color="000000" w:fill="FFFFFF"/>
            <w:noWrap/>
            <w:vAlign w:val="bottom"/>
            <w:hideMark/>
          </w:tcPr>
          <w:p w14:paraId="56044C16" w14:textId="77777777" w:rsidR="00FA18EA" w:rsidRPr="00A02B31" w:rsidRDefault="00FA18EA" w:rsidP="00FA18EA">
            <w:pPr>
              <w:rPr>
                <w:rFonts w:eastAsia="Times New Roman" w:cstheme="minorHAnsi"/>
                <w:sz w:val="18"/>
                <w:szCs w:val="18"/>
                <w:lang w:eastAsia="en-GB"/>
              </w:rPr>
            </w:pPr>
            <w:r w:rsidRPr="00A02B31">
              <w:rPr>
                <w:rFonts w:eastAsia="Times New Roman" w:cstheme="minorHAnsi"/>
                <w:sz w:val="18"/>
                <w:szCs w:val="18"/>
                <w:lang w:eastAsia="en-GB"/>
              </w:rPr>
              <w:t> </w:t>
            </w:r>
          </w:p>
        </w:tc>
      </w:tr>
      <w:tr w:rsidR="00FA18EA" w:rsidRPr="007600A7" w14:paraId="252F7C13" w14:textId="77777777" w:rsidTr="00FA18EA">
        <w:trPr>
          <w:trHeight w:val="286"/>
        </w:trPr>
        <w:tc>
          <w:tcPr>
            <w:tcW w:w="5078" w:type="dxa"/>
            <w:gridSpan w:val="2"/>
            <w:tcBorders>
              <w:top w:val="nil"/>
              <w:left w:val="nil"/>
              <w:bottom w:val="nil"/>
              <w:right w:val="nil"/>
            </w:tcBorders>
            <w:shd w:val="clear" w:color="000000" w:fill="FFFFFF"/>
            <w:noWrap/>
            <w:vAlign w:val="bottom"/>
            <w:hideMark/>
          </w:tcPr>
          <w:p w14:paraId="3DEFE677" w14:textId="77777777" w:rsidR="00FA18EA" w:rsidRPr="008B2DDA" w:rsidRDefault="00FA18EA" w:rsidP="00FA18EA">
            <w:pPr>
              <w:rPr>
                <w:rFonts w:eastAsia="Times New Roman" w:cstheme="minorHAnsi"/>
                <w:b/>
                <w:bCs/>
                <w:sz w:val="18"/>
                <w:szCs w:val="18"/>
                <w:lang w:eastAsia="en-GB"/>
              </w:rPr>
            </w:pPr>
            <w:r w:rsidRPr="008B2DDA">
              <w:rPr>
                <w:rFonts w:eastAsia="Times New Roman" w:cstheme="minorHAnsi"/>
                <w:b/>
                <w:bCs/>
                <w:sz w:val="18"/>
                <w:szCs w:val="18"/>
                <w:lang w:eastAsia="en-GB"/>
              </w:rPr>
              <w:t>Current liabilities</w:t>
            </w:r>
          </w:p>
        </w:tc>
        <w:tc>
          <w:tcPr>
            <w:tcW w:w="778" w:type="dxa"/>
            <w:gridSpan w:val="2"/>
            <w:tcBorders>
              <w:top w:val="nil"/>
              <w:left w:val="nil"/>
              <w:bottom w:val="nil"/>
              <w:right w:val="nil"/>
            </w:tcBorders>
            <w:shd w:val="clear" w:color="000000" w:fill="FFFFFF"/>
            <w:noWrap/>
            <w:vAlign w:val="bottom"/>
            <w:hideMark/>
          </w:tcPr>
          <w:p w14:paraId="376948C2" w14:textId="77777777" w:rsidR="00FA18EA" w:rsidRPr="000C5053" w:rsidRDefault="00FA18EA" w:rsidP="00FA18EA">
            <w:pPr>
              <w:jc w:val="center"/>
              <w:rPr>
                <w:rFonts w:eastAsia="Times New Roman" w:cstheme="minorHAnsi"/>
                <w:sz w:val="18"/>
                <w:szCs w:val="18"/>
                <w:lang w:eastAsia="en-GB"/>
              </w:rPr>
            </w:pPr>
          </w:p>
        </w:tc>
        <w:tc>
          <w:tcPr>
            <w:tcW w:w="282" w:type="dxa"/>
            <w:tcBorders>
              <w:top w:val="nil"/>
              <w:left w:val="nil"/>
              <w:bottom w:val="nil"/>
              <w:right w:val="nil"/>
            </w:tcBorders>
            <w:shd w:val="clear" w:color="000000" w:fill="FFFFFF"/>
            <w:noWrap/>
            <w:vAlign w:val="bottom"/>
            <w:hideMark/>
          </w:tcPr>
          <w:p w14:paraId="5D191909" w14:textId="77777777" w:rsidR="00FA18EA" w:rsidRPr="0091098D" w:rsidRDefault="00FA18EA" w:rsidP="00FA18EA">
            <w:pPr>
              <w:rPr>
                <w:rFonts w:eastAsia="Times New Roman" w:cstheme="minorHAnsi"/>
                <w:sz w:val="18"/>
                <w:szCs w:val="18"/>
                <w:lang w:eastAsia="en-GB"/>
              </w:rPr>
            </w:pPr>
            <w:r w:rsidRPr="0091098D">
              <w:rPr>
                <w:rFonts w:eastAsia="Times New Roman" w:cstheme="minorHAnsi"/>
                <w:sz w:val="18"/>
                <w:szCs w:val="18"/>
                <w:lang w:eastAsia="en-GB"/>
              </w:rPr>
              <w:t> </w:t>
            </w:r>
          </w:p>
        </w:tc>
        <w:tc>
          <w:tcPr>
            <w:tcW w:w="1599" w:type="dxa"/>
            <w:gridSpan w:val="2"/>
            <w:tcBorders>
              <w:top w:val="nil"/>
              <w:left w:val="nil"/>
              <w:bottom w:val="nil"/>
              <w:right w:val="nil"/>
            </w:tcBorders>
            <w:shd w:val="clear" w:color="000000" w:fill="FFFFFF"/>
            <w:noWrap/>
            <w:vAlign w:val="bottom"/>
            <w:hideMark/>
          </w:tcPr>
          <w:p w14:paraId="26E250F4" w14:textId="77777777" w:rsidR="00FA18EA" w:rsidRPr="0075195E" w:rsidRDefault="00FA18EA" w:rsidP="00FA18EA">
            <w:pPr>
              <w:rPr>
                <w:rFonts w:eastAsia="Times New Roman" w:cstheme="minorHAnsi"/>
                <w:b/>
                <w:bCs/>
                <w:sz w:val="18"/>
                <w:szCs w:val="18"/>
                <w:lang w:eastAsia="en-GB"/>
              </w:rPr>
            </w:pPr>
            <w:r w:rsidRPr="0075195E">
              <w:rPr>
                <w:rFonts w:eastAsia="Times New Roman" w:cstheme="minorHAnsi"/>
                <w:b/>
                <w:bCs/>
                <w:sz w:val="18"/>
                <w:szCs w:val="18"/>
                <w:lang w:eastAsia="en-GB"/>
              </w:rPr>
              <w:t> </w:t>
            </w:r>
          </w:p>
        </w:tc>
        <w:tc>
          <w:tcPr>
            <w:tcW w:w="282" w:type="dxa"/>
            <w:tcBorders>
              <w:top w:val="nil"/>
              <w:left w:val="nil"/>
              <w:bottom w:val="nil"/>
              <w:right w:val="nil"/>
            </w:tcBorders>
            <w:shd w:val="clear" w:color="000000" w:fill="FFFFFF"/>
            <w:noWrap/>
            <w:vAlign w:val="bottom"/>
            <w:hideMark/>
          </w:tcPr>
          <w:p w14:paraId="53485C95" w14:textId="77777777" w:rsidR="00FA18EA" w:rsidRPr="00536A35" w:rsidRDefault="00FA18EA" w:rsidP="00FA18EA">
            <w:pPr>
              <w:rPr>
                <w:rFonts w:eastAsia="Times New Roman" w:cstheme="minorHAnsi"/>
                <w:sz w:val="18"/>
                <w:szCs w:val="18"/>
                <w:lang w:eastAsia="en-GB"/>
              </w:rPr>
            </w:pPr>
            <w:r w:rsidRPr="00536A35">
              <w:rPr>
                <w:rFonts w:eastAsia="Times New Roman" w:cstheme="minorHAnsi"/>
                <w:sz w:val="18"/>
                <w:szCs w:val="18"/>
                <w:lang w:eastAsia="en-GB"/>
              </w:rPr>
              <w:t> </w:t>
            </w:r>
          </w:p>
        </w:tc>
        <w:tc>
          <w:tcPr>
            <w:tcW w:w="1736" w:type="dxa"/>
            <w:tcBorders>
              <w:top w:val="nil"/>
              <w:left w:val="nil"/>
              <w:bottom w:val="nil"/>
              <w:right w:val="nil"/>
            </w:tcBorders>
            <w:shd w:val="clear" w:color="000000" w:fill="FFFFFF"/>
            <w:noWrap/>
            <w:vAlign w:val="bottom"/>
            <w:hideMark/>
          </w:tcPr>
          <w:p w14:paraId="1A14A5F6" w14:textId="77777777" w:rsidR="00FA18EA" w:rsidRPr="00A02B31" w:rsidRDefault="00FA18EA" w:rsidP="00FA18EA">
            <w:pPr>
              <w:rPr>
                <w:rFonts w:eastAsia="Times New Roman" w:cstheme="minorHAnsi"/>
                <w:sz w:val="18"/>
                <w:szCs w:val="18"/>
                <w:lang w:eastAsia="en-GB"/>
              </w:rPr>
            </w:pPr>
            <w:r w:rsidRPr="00A02B31">
              <w:rPr>
                <w:rFonts w:eastAsia="Times New Roman" w:cstheme="minorHAnsi"/>
                <w:sz w:val="18"/>
                <w:szCs w:val="18"/>
                <w:lang w:eastAsia="en-GB"/>
              </w:rPr>
              <w:t> </w:t>
            </w:r>
          </w:p>
        </w:tc>
      </w:tr>
      <w:tr w:rsidR="00FA18EA" w:rsidRPr="007600A7" w14:paraId="00309021" w14:textId="77777777" w:rsidTr="00FA18EA">
        <w:trPr>
          <w:trHeight w:val="286"/>
        </w:trPr>
        <w:tc>
          <w:tcPr>
            <w:tcW w:w="5078" w:type="dxa"/>
            <w:gridSpan w:val="2"/>
            <w:tcBorders>
              <w:top w:val="nil"/>
              <w:left w:val="nil"/>
              <w:right w:val="nil"/>
            </w:tcBorders>
            <w:shd w:val="clear" w:color="000000" w:fill="FFFFFF"/>
            <w:noWrap/>
            <w:vAlign w:val="bottom"/>
            <w:hideMark/>
          </w:tcPr>
          <w:p w14:paraId="29B7B71A" w14:textId="77777777" w:rsidR="00FA18EA" w:rsidRPr="008B2DDA" w:rsidRDefault="00FA18EA" w:rsidP="00FA18EA">
            <w:pPr>
              <w:rPr>
                <w:rFonts w:eastAsia="Times New Roman" w:cstheme="minorHAnsi"/>
                <w:sz w:val="18"/>
                <w:szCs w:val="18"/>
                <w:lang w:eastAsia="en-GB"/>
              </w:rPr>
            </w:pPr>
            <w:r w:rsidRPr="008B2DDA">
              <w:rPr>
                <w:rFonts w:eastAsia="Times New Roman" w:cstheme="minorHAnsi"/>
                <w:sz w:val="18"/>
                <w:szCs w:val="18"/>
                <w:lang w:eastAsia="en-GB"/>
              </w:rPr>
              <w:t>Trade and other payables</w:t>
            </w:r>
          </w:p>
        </w:tc>
        <w:tc>
          <w:tcPr>
            <w:tcW w:w="778" w:type="dxa"/>
            <w:gridSpan w:val="2"/>
            <w:tcBorders>
              <w:top w:val="nil"/>
              <w:left w:val="nil"/>
              <w:right w:val="nil"/>
            </w:tcBorders>
            <w:shd w:val="clear" w:color="000000" w:fill="FFFFFF"/>
            <w:noWrap/>
            <w:vAlign w:val="bottom"/>
            <w:hideMark/>
          </w:tcPr>
          <w:p w14:paraId="07F81DE4" w14:textId="77777777" w:rsidR="00FA18EA" w:rsidRPr="0091098D" w:rsidRDefault="00FA18EA" w:rsidP="00FA18EA">
            <w:pPr>
              <w:jc w:val="center"/>
              <w:rPr>
                <w:rFonts w:eastAsia="Times New Roman" w:cstheme="minorHAnsi"/>
                <w:sz w:val="18"/>
                <w:szCs w:val="18"/>
                <w:lang w:eastAsia="en-GB"/>
              </w:rPr>
            </w:pPr>
            <w:r w:rsidRPr="000C5053">
              <w:rPr>
                <w:rFonts w:eastAsia="Times New Roman" w:cstheme="minorHAnsi"/>
                <w:sz w:val="18"/>
                <w:szCs w:val="18"/>
                <w:lang w:eastAsia="en-GB"/>
              </w:rPr>
              <w:t>10</w:t>
            </w:r>
          </w:p>
        </w:tc>
        <w:tc>
          <w:tcPr>
            <w:tcW w:w="282" w:type="dxa"/>
            <w:tcBorders>
              <w:top w:val="nil"/>
              <w:left w:val="nil"/>
              <w:right w:val="nil"/>
            </w:tcBorders>
            <w:shd w:val="clear" w:color="000000" w:fill="FFFFFF"/>
            <w:noWrap/>
            <w:vAlign w:val="bottom"/>
            <w:hideMark/>
          </w:tcPr>
          <w:p w14:paraId="549F6534" w14:textId="77777777" w:rsidR="00FA18EA" w:rsidRPr="0075195E" w:rsidRDefault="00FA18EA" w:rsidP="00FA18EA">
            <w:pPr>
              <w:rPr>
                <w:rFonts w:eastAsia="Times New Roman" w:cstheme="minorHAnsi"/>
                <w:sz w:val="18"/>
                <w:szCs w:val="18"/>
                <w:lang w:eastAsia="en-GB"/>
              </w:rPr>
            </w:pPr>
            <w:r w:rsidRPr="0075195E">
              <w:rPr>
                <w:rFonts w:eastAsia="Times New Roman" w:cstheme="minorHAnsi"/>
                <w:sz w:val="18"/>
                <w:szCs w:val="18"/>
                <w:lang w:eastAsia="en-GB"/>
              </w:rPr>
              <w:t> </w:t>
            </w:r>
          </w:p>
        </w:tc>
        <w:tc>
          <w:tcPr>
            <w:tcW w:w="1599" w:type="dxa"/>
            <w:gridSpan w:val="2"/>
            <w:tcBorders>
              <w:top w:val="nil"/>
              <w:left w:val="nil"/>
              <w:right w:val="nil"/>
            </w:tcBorders>
            <w:shd w:val="clear" w:color="000000" w:fill="FFFFFF"/>
            <w:noWrap/>
            <w:vAlign w:val="bottom"/>
            <w:hideMark/>
          </w:tcPr>
          <w:p w14:paraId="01FA70A2" w14:textId="77777777" w:rsidR="00FA18EA" w:rsidRPr="00536A35" w:rsidRDefault="00FA18EA" w:rsidP="00FA18EA">
            <w:pPr>
              <w:jc w:val="right"/>
              <w:rPr>
                <w:rFonts w:eastAsia="Times New Roman" w:cstheme="minorHAnsi"/>
                <w:b/>
                <w:bCs/>
                <w:sz w:val="18"/>
                <w:szCs w:val="18"/>
                <w:lang w:eastAsia="en-GB"/>
              </w:rPr>
            </w:pPr>
            <w:r w:rsidRPr="00536A35">
              <w:rPr>
                <w:rFonts w:eastAsia="Times New Roman" w:cstheme="minorHAnsi"/>
                <w:b/>
                <w:bCs/>
                <w:sz w:val="18"/>
                <w:szCs w:val="18"/>
                <w:lang w:eastAsia="en-GB"/>
              </w:rPr>
              <w:t>(547)</w:t>
            </w:r>
          </w:p>
        </w:tc>
        <w:tc>
          <w:tcPr>
            <w:tcW w:w="282" w:type="dxa"/>
            <w:tcBorders>
              <w:top w:val="nil"/>
              <w:left w:val="nil"/>
              <w:right w:val="nil"/>
            </w:tcBorders>
            <w:shd w:val="clear" w:color="000000" w:fill="FFFFFF"/>
            <w:noWrap/>
            <w:vAlign w:val="bottom"/>
            <w:hideMark/>
          </w:tcPr>
          <w:p w14:paraId="7FBFAA2D" w14:textId="77777777" w:rsidR="00FA18EA" w:rsidRPr="00A02B31" w:rsidRDefault="00FA18EA" w:rsidP="00FA18EA">
            <w:pPr>
              <w:rPr>
                <w:rFonts w:eastAsia="Times New Roman" w:cstheme="minorHAnsi"/>
                <w:sz w:val="18"/>
                <w:szCs w:val="18"/>
                <w:lang w:eastAsia="en-GB"/>
              </w:rPr>
            </w:pPr>
            <w:r w:rsidRPr="00A02B31">
              <w:rPr>
                <w:rFonts w:eastAsia="Times New Roman" w:cstheme="minorHAnsi"/>
                <w:sz w:val="18"/>
                <w:szCs w:val="18"/>
                <w:lang w:eastAsia="en-GB"/>
              </w:rPr>
              <w:t> </w:t>
            </w:r>
          </w:p>
        </w:tc>
        <w:tc>
          <w:tcPr>
            <w:tcW w:w="1736" w:type="dxa"/>
            <w:tcBorders>
              <w:top w:val="nil"/>
              <w:left w:val="nil"/>
              <w:right w:val="nil"/>
            </w:tcBorders>
            <w:shd w:val="clear" w:color="000000" w:fill="FFFFFF"/>
            <w:noWrap/>
            <w:vAlign w:val="bottom"/>
            <w:hideMark/>
          </w:tcPr>
          <w:p w14:paraId="76F06A72" w14:textId="77777777" w:rsidR="00FA18EA" w:rsidRPr="00A02B31" w:rsidRDefault="00FA18EA" w:rsidP="00FA18EA">
            <w:pPr>
              <w:jc w:val="right"/>
              <w:rPr>
                <w:rFonts w:eastAsia="Times New Roman" w:cstheme="minorHAnsi"/>
                <w:sz w:val="18"/>
                <w:szCs w:val="18"/>
                <w:lang w:eastAsia="en-GB"/>
              </w:rPr>
            </w:pPr>
            <w:r w:rsidRPr="00A02B31">
              <w:rPr>
                <w:rFonts w:eastAsia="Times New Roman" w:cstheme="minorHAnsi"/>
                <w:sz w:val="18"/>
                <w:szCs w:val="18"/>
                <w:lang w:eastAsia="en-GB"/>
              </w:rPr>
              <w:t>(641)</w:t>
            </w:r>
          </w:p>
        </w:tc>
      </w:tr>
      <w:tr w:rsidR="00FA18EA" w:rsidRPr="007600A7" w14:paraId="1E996A43" w14:textId="77777777" w:rsidTr="00FA18EA">
        <w:trPr>
          <w:trHeight w:val="286"/>
        </w:trPr>
        <w:tc>
          <w:tcPr>
            <w:tcW w:w="5078" w:type="dxa"/>
            <w:gridSpan w:val="2"/>
            <w:tcBorders>
              <w:top w:val="nil"/>
              <w:left w:val="nil"/>
              <w:right w:val="nil"/>
            </w:tcBorders>
            <w:shd w:val="clear" w:color="000000" w:fill="FFFFFF"/>
            <w:noWrap/>
            <w:vAlign w:val="bottom"/>
          </w:tcPr>
          <w:p w14:paraId="6215E713" w14:textId="77777777" w:rsidR="00FA18EA" w:rsidRPr="008B2DDA" w:rsidRDefault="00FA18EA" w:rsidP="00FA18EA">
            <w:pPr>
              <w:rPr>
                <w:rFonts w:eastAsia="Times New Roman" w:cstheme="minorHAnsi"/>
                <w:sz w:val="18"/>
                <w:szCs w:val="18"/>
                <w:lang w:eastAsia="en-GB"/>
              </w:rPr>
            </w:pPr>
            <w:r w:rsidRPr="008B2DDA">
              <w:rPr>
                <w:rFonts w:eastAsia="Times New Roman" w:cstheme="minorHAnsi"/>
                <w:sz w:val="18"/>
                <w:szCs w:val="18"/>
                <w:lang w:eastAsia="en-GB"/>
              </w:rPr>
              <w:t>Tax liability</w:t>
            </w:r>
          </w:p>
        </w:tc>
        <w:tc>
          <w:tcPr>
            <w:tcW w:w="778" w:type="dxa"/>
            <w:gridSpan w:val="2"/>
            <w:tcBorders>
              <w:top w:val="nil"/>
              <w:left w:val="nil"/>
              <w:right w:val="nil"/>
            </w:tcBorders>
            <w:shd w:val="clear" w:color="000000" w:fill="FFFFFF"/>
            <w:noWrap/>
            <w:vAlign w:val="bottom"/>
          </w:tcPr>
          <w:p w14:paraId="7D4EC0BB" w14:textId="77777777" w:rsidR="00FA18EA" w:rsidRPr="000C5053" w:rsidRDefault="00FA18EA" w:rsidP="00FA18EA">
            <w:pPr>
              <w:jc w:val="center"/>
              <w:rPr>
                <w:rFonts w:eastAsia="Times New Roman" w:cstheme="minorHAnsi"/>
                <w:sz w:val="18"/>
                <w:szCs w:val="18"/>
                <w:lang w:eastAsia="en-GB"/>
              </w:rPr>
            </w:pPr>
          </w:p>
        </w:tc>
        <w:tc>
          <w:tcPr>
            <w:tcW w:w="282" w:type="dxa"/>
            <w:tcBorders>
              <w:top w:val="nil"/>
              <w:left w:val="nil"/>
              <w:right w:val="nil"/>
            </w:tcBorders>
            <w:shd w:val="clear" w:color="000000" w:fill="FFFFFF"/>
            <w:noWrap/>
            <w:vAlign w:val="bottom"/>
          </w:tcPr>
          <w:p w14:paraId="5144C5B0" w14:textId="77777777" w:rsidR="00FA18EA" w:rsidRPr="0091098D" w:rsidRDefault="00FA18EA" w:rsidP="00FA18EA">
            <w:pPr>
              <w:rPr>
                <w:rFonts w:eastAsia="Times New Roman" w:cstheme="minorHAnsi"/>
                <w:sz w:val="18"/>
                <w:szCs w:val="18"/>
                <w:lang w:eastAsia="en-GB"/>
              </w:rPr>
            </w:pPr>
          </w:p>
        </w:tc>
        <w:tc>
          <w:tcPr>
            <w:tcW w:w="1599" w:type="dxa"/>
            <w:gridSpan w:val="2"/>
            <w:tcBorders>
              <w:top w:val="nil"/>
              <w:left w:val="nil"/>
              <w:right w:val="nil"/>
            </w:tcBorders>
            <w:shd w:val="clear" w:color="000000" w:fill="FFFFFF"/>
            <w:noWrap/>
            <w:vAlign w:val="bottom"/>
          </w:tcPr>
          <w:p w14:paraId="5660BF3D" w14:textId="77777777" w:rsidR="00FA18EA" w:rsidRPr="0075195E" w:rsidRDefault="00FA18EA" w:rsidP="00FA18EA">
            <w:pPr>
              <w:jc w:val="right"/>
              <w:rPr>
                <w:rFonts w:eastAsia="Times New Roman" w:cstheme="minorHAnsi"/>
                <w:b/>
                <w:bCs/>
                <w:sz w:val="18"/>
                <w:szCs w:val="18"/>
                <w:lang w:eastAsia="en-GB"/>
              </w:rPr>
            </w:pPr>
            <w:r w:rsidRPr="0075195E">
              <w:rPr>
                <w:rFonts w:eastAsia="Times New Roman" w:cstheme="minorHAnsi"/>
                <w:b/>
                <w:bCs/>
                <w:sz w:val="18"/>
                <w:szCs w:val="18"/>
                <w:lang w:eastAsia="en-GB"/>
              </w:rPr>
              <w:t>(1,580)</w:t>
            </w:r>
          </w:p>
        </w:tc>
        <w:tc>
          <w:tcPr>
            <w:tcW w:w="282" w:type="dxa"/>
            <w:tcBorders>
              <w:top w:val="nil"/>
              <w:left w:val="nil"/>
              <w:right w:val="nil"/>
            </w:tcBorders>
            <w:shd w:val="clear" w:color="000000" w:fill="FFFFFF"/>
            <w:noWrap/>
            <w:vAlign w:val="bottom"/>
          </w:tcPr>
          <w:p w14:paraId="589559E1" w14:textId="77777777" w:rsidR="00FA18EA" w:rsidRPr="00536A35" w:rsidRDefault="00FA18EA" w:rsidP="00FA18EA">
            <w:pPr>
              <w:rPr>
                <w:rFonts w:eastAsia="Times New Roman" w:cstheme="minorHAnsi"/>
                <w:sz w:val="18"/>
                <w:szCs w:val="18"/>
                <w:lang w:eastAsia="en-GB"/>
              </w:rPr>
            </w:pPr>
          </w:p>
        </w:tc>
        <w:tc>
          <w:tcPr>
            <w:tcW w:w="1736" w:type="dxa"/>
            <w:tcBorders>
              <w:top w:val="nil"/>
              <w:left w:val="nil"/>
              <w:right w:val="nil"/>
            </w:tcBorders>
            <w:shd w:val="clear" w:color="000000" w:fill="FFFFFF"/>
            <w:noWrap/>
            <w:vAlign w:val="bottom"/>
          </w:tcPr>
          <w:p w14:paraId="74A5FAF4" w14:textId="77777777" w:rsidR="00FA18EA" w:rsidRPr="00A02B31" w:rsidRDefault="00FA18EA" w:rsidP="00FA18EA">
            <w:pPr>
              <w:jc w:val="right"/>
              <w:rPr>
                <w:rFonts w:eastAsia="Times New Roman" w:cstheme="minorHAnsi"/>
                <w:sz w:val="18"/>
                <w:szCs w:val="18"/>
                <w:lang w:eastAsia="en-GB"/>
              </w:rPr>
            </w:pPr>
            <w:r w:rsidRPr="00A02B31">
              <w:rPr>
                <w:rFonts w:eastAsia="Times New Roman" w:cstheme="minorHAnsi"/>
                <w:sz w:val="18"/>
                <w:szCs w:val="18"/>
                <w:lang w:eastAsia="en-GB"/>
              </w:rPr>
              <w:t>-</w:t>
            </w:r>
          </w:p>
        </w:tc>
      </w:tr>
      <w:tr w:rsidR="00FA18EA" w:rsidRPr="007600A7" w14:paraId="1D10B337" w14:textId="77777777" w:rsidTr="00FA18EA">
        <w:trPr>
          <w:trHeight w:val="286"/>
        </w:trPr>
        <w:tc>
          <w:tcPr>
            <w:tcW w:w="5078" w:type="dxa"/>
            <w:gridSpan w:val="2"/>
            <w:tcBorders>
              <w:top w:val="nil"/>
              <w:left w:val="nil"/>
              <w:bottom w:val="single" w:sz="4" w:space="0" w:color="auto"/>
              <w:right w:val="nil"/>
            </w:tcBorders>
            <w:shd w:val="clear" w:color="000000" w:fill="FFFFFF"/>
            <w:noWrap/>
            <w:vAlign w:val="bottom"/>
            <w:hideMark/>
          </w:tcPr>
          <w:p w14:paraId="7E8E5D7C" w14:textId="77777777" w:rsidR="00FA18EA" w:rsidRPr="008B2DDA" w:rsidRDefault="00FA18EA" w:rsidP="00FA18EA">
            <w:pPr>
              <w:rPr>
                <w:rFonts w:eastAsia="Times New Roman" w:cstheme="minorHAnsi"/>
                <w:sz w:val="18"/>
                <w:szCs w:val="18"/>
                <w:lang w:eastAsia="en-GB"/>
              </w:rPr>
            </w:pPr>
            <w:r w:rsidRPr="008B2DDA">
              <w:rPr>
                <w:rFonts w:eastAsia="Times New Roman" w:cstheme="minorHAnsi"/>
                <w:sz w:val="18"/>
                <w:szCs w:val="18"/>
                <w:lang w:eastAsia="en-GB"/>
              </w:rPr>
              <w:t>Performance fee payable</w:t>
            </w:r>
          </w:p>
        </w:tc>
        <w:tc>
          <w:tcPr>
            <w:tcW w:w="778" w:type="dxa"/>
            <w:gridSpan w:val="2"/>
            <w:tcBorders>
              <w:top w:val="nil"/>
              <w:left w:val="nil"/>
              <w:bottom w:val="single" w:sz="4" w:space="0" w:color="auto"/>
              <w:right w:val="nil"/>
            </w:tcBorders>
            <w:shd w:val="clear" w:color="000000" w:fill="FFFFFF"/>
            <w:noWrap/>
            <w:vAlign w:val="bottom"/>
            <w:hideMark/>
          </w:tcPr>
          <w:p w14:paraId="36A55363" w14:textId="77777777" w:rsidR="00FA18EA" w:rsidRPr="0091098D" w:rsidRDefault="00FA18EA" w:rsidP="00FA18EA">
            <w:pPr>
              <w:jc w:val="center"/>
              <w:rPr>
                <w:rFonts w:eastAsia="Times New Roman" w:cstheme="minorHAnsi"/>
                <w:sz w:val="18"/>
                <w:szCs w:val="18"/>
                <w:lang w:eastAsia="en-GB"/>
              </w:rPr>
            </w:pPr>
            <w:r w:rsidRPr="000C5053">
              <w:rPr>
                <w:rFonts w:eastAsia="Times New Roman" w:cstheme="minorHAnsi"/>
                <w:sz w:val="18"/>
                <w:szCs w:val="18"/>
                <w:lang w:eastAsia="en-GB"/>
              </w:rPr>
              <w:t>11</w:t>
            </w:r>
          </w:p>
        </w:tc>
        <w:tc>
          <w:tcPr>
            <w:tcW w:w="282" w:type="dxa"/>
            <w:tcBorders>
              <w:top w:val="nil"/>
              <w:left w:val="nil"/>
              <w:bottom w:val="single" w:sz="4" w:space="0" w:color="auto"/>
              <w:right w:val="nil"/>
            </w:tcBorders>
            <w:shd w:val="clear" w:color="000000" w:fill="FFFFFF"/>
            <w:noWrap/>
            <w:vAlign w:val="bottom"/>
            <w:hideMark/>
          </w:tcPr>
          <w:p w14:paraId="7F7CC1D2" w14:textId="77777777" w:rsidR="00FA18EA" w:rsidRPr="0075195E" w:rsidRDefault="00FA18EA" w:rsidP="00FA18EA">
            <w:pPr>
              <w:rPr>
                <w:rFonts w:eastAsia="Times New Roman" w:cstheme="minorHAnsi"/>
                <w:sz w:val="18"/>
                <w:szCs w:val="18"/>
                <w:lang w:eastAsia="en-GB"/>
              </w:rPr>
            </w:pPr>
            <w:r w:rsidRPr="0075195E">
              <w:rPr>
                <w:rFonts w:eastAsia="Times New Roman" w:cstheme="minorHAnsi"/>
                <w:sz w:val="18"/>
                <w:szCs w:val="18"/>
                <w:lang w:eastAsia="en-GB"/>
              </w:rPr>
              <w:t> </w:t>
            </w:r>
          </w:p>
        </w:tc>
        <w:tc>
          <w:tcPr>
            <w:tcW w:w="1599" w:type="dxa"/>
            <w:gridSpan w:val="2"/>
            <w:tcBorders>
              <w:top w:val="nil"/>
              <w:left w:val="nil"/>
              <w:bottom w:val="single" w:sz="4" w:space="0" w:color="auto"/>
              <w:right w:val="nil"/>
            </w:tcBorders>
            <w:shd w:val="clear" w:color="000000" w:fill="FFFFFF"/>
            <w:noWrap/>
            <w:vAlign w:val="bottom"/>
            <w:hideMark/>
          </w:tcPr>
          <w:p w14:paraId="702492B7" w14:textId="77777777" w:rsidR="00FA18EA" w:rsidRPr="00536A35" w:rsidRDefault="00FA18EA" w:rsidP="00FA18EA">
            <w:pPr>
              <w:jc w:val="right"/>
              <w:rPr>
                <w:rFonts w:eastAsia="Times New Roman" w:cstheme="minorHAnsi"/>
                <w:b/>
                <w:bCs/>
                <w:sz w:val="18"/>
                <w:szCs w:val="18"/>
                <w:lang w:eastAsia="en-GB"/>
              </w:rPr>
            </w:pPr>
            <w:r w:rsidRPr="00536A35">
              <w:rPr>
                <w:rFonts w:eastAsia="Times New Roman" w:cstheme="minorHAnsi"/>
                <w:b/>
                <w:bCs/>
                <w:sz w:val="18"/>
                <w:szCs w:val="18"/>
                <w:lang w:eastAsia="en-GB"/>
              </w:rPr>
              <w:t>-</w:t>
            </w:r>
          </w:p>
        </w:tc>
        <w:tc>
          <w:tcPr>
            <w:tcW w:w="282" w:type="dxa"/>
            <w:tcBorders>
              <w:top w:val="nil"/>
              <w:left w:val="nil"/>
              <w:bottom w:val="single" w:sz="4" w:space="0" w:color="auto"/>
              <w:right w:val="nil"/>
            </w:tcBorders>
            <w:shd w:val="clear" w:color="000000" w:fill="FFFFFF"/>
            <w:noWrap/>
            <w:vAlign w:val="bottom"/>
            <w:hideMark/>
          </w:tcPr>
          <w:p w14:paraId="461D7961" w14:textId="77777777" w:rsidR="00FA18EA" w:rsidRPr="00A02B31" w:rsidRDefault="00FA18EA" w:rsidP="00FA18EA">
            <w:pPr>
              <w:rPr>
                <w:rFonts w:eastAsia="Times New Roman" w:cstheme="minorHAnsi"/>
                <w:sz w:val="18"/>
                <w:szCs w:val="18"/>
                <w:lang w:eastAsia="en-GB"/>
              </w:rPr>
            </w:pPr>
            <w:r w:rsidRPr="00A02B31">
              <w:rPr>
                <w:rFonts w:eastAsia="Times New Roman" w:cstheme="minorHAnsi"/>
                <w:sz w:val="18"/>
                <w:szCs w:val="18"/>
                <w:lang w:eastAsia="en-GB"/>
              </w:rPr>
              <w:t> </w:t>
            </w:r>
          </w:p>
        </w:tc>
        <w:tc>
          <w:tcPr>
            <w:tcW w:w="1736" w:type="dxa"/>
            <w:tcBorders>
              <w:top w:val="nil"/>
              <w:left w:val="nil"/>
              <w:bottom w:val="single" w:sz="4" w:space="0" w:color="auto"/>
              <w:right w:val="nil"/>
            </w:tcBorders>
            <w:shd w:val="clear" w:color="000000" w:fill="FFFFFF"/>
            <w:noWrap/>
            <w:vAlign w:val="bottom"/>
            <w:hideMark/>
          </w:tcPr>
          <w:p w14:paraId="73C664AA" w14:textId="77777777" w:rsidR="00FA18EA" w:rsidRPr="00A02B31" w:rsidRDefault="00FA18EA" w:rsidP="00FA18EA">
            <w:pPr>
              <w:jc w:val="right"/>
              <w:rPr>
                <w:rFonts w:eastAsia="Times New Roman" w:cstheme="minorHAnsi"/>
                <w:sz w:val="18"/>
                <w:szCs w:val="18"/>
                <w:lang w:eastAsia="en-GB"/>
              </w:rPr>
            </w:pPr>
            <w:r w:rsidRPr="00A02B31">
              <w:rPr>
                <w:rFonts w:eastAsia="Times New Roman" w:cstheme="minorHAnsi"/>
                <w:sz w:val="18"/>
                <w:szCs w:val="18"/>
                <w:lang w:eastAsia="en-GB"/>
              </w:rPr>
              <w:t>(2,294)</w:t>
            </w:r>
          </w:p>
        </w:tc>
      </w:tr>
      <w:tr w:rsidR="00FA18EA" w:rsidRPr="007600A7" w14:paraId="162D5759" w14:textId="77777777" w:rsidTr="00FA18EA">
        <w:trPr>
          <w:trHeight w:val="286"/>
        </w:trPr>
        <w:tc>
          <w:tcPr>
            <w:tcW w:w="5078" w:type="dxa"/>
            <w:gridSpan w:val="2"/>
            <w:tcBorders>
              <w:top w:val="single" w:sz="4" w:space="0" w:color="auto"/>
              <w:left w:val="nil"/>
              <w:right w:val="nil"/>
            </w:tcBorders>
            <w:shd w:val="clear" w:color="000000" w:fill="FFFFFF"/>
            <w:noWrap/>
            <w:vAlign w:val="bottom"/>
            <w:hideMark/>
          </w:tcPr>
          <w:p w14:paraId="24B7F65C" w14:textId="77777777" w:rsidR="00FA18EA" w:rsidRPr="008B2DDA" w:rsidRDefault="00FA18EA" w:rsidP="00FA18EA">
            <w:pPr>
              <w:rPr>
                <w:rFonts w:eastAsia="Times New Roman" w:cstheme="minorHAnsi"/>
                <w:b/>
                <w:bCs/>
                <w:sz w:val="18"/>
                <w:szCs w:val="18"/>
                <w:lang w:eastAsia="en-GB"/>
              </w:rPr>
            </w:pPr>
            <w:r w:rsidRPr="008B2DDA">
              <w:rPr>
                <w:rFonts w:eastAsia="Times New Roman" w:cstheme="minorHAnsi"/>
                <w:b/>
                <w:bCs/>
                <w:sz w:val="18"/>
                <w:szCs w:val="18"/>
                <w:lang w:eastAsia="en-GB"/>
              </w:rPr>
              <w:t>Total liabilities</w:t>
            </w:r>
          </w:p>
        </w:tc>
        <w:tc>
          <w:tcPr>
            <w:tcW w:w="778" w:type="dxa"/>
            <w:gridSpan w:val="2"/>
            <w:tcBorders>
              <w:top w:val="single" w:sz="4" w:space="0" w:color="auto"/>
              <w:left w:val="nil"/>
              <w:right w:val="nil"/>
            </w:tcBorders>
            <w:shd w:val="clear" w:color="000000" w:fill="FFFFFF"/>
            <w:noWrap/>
            <w:vAlign w:val="bottom"/>
            <w:hideMark/>
          </w:tcPr>
          <w:p w14:paraId="4072F5CC" w14:textId="77777777" w:rsidR="00FA18EA" w:rsidRPr="000C5053" w:rsidRDefault="00FA18EA" w:rsidP="00FA18EA">
            <w:pPr>
              <w:jc w:val="center"/>
              <w:rPr>
                <w:rFonts w:eastAsia="Times New Roman" w:cstheme="minorHAnsi"/>
                <w:sz w:val="18"/>
                <w:szCs w:val="18"/>
                <w:lang w:eastAsia="en-GB"/>
              </w:rPr>
            </w:pPr>
          </w:p>
        </w:tc>
        <w:tc>
          <w:tcPr>
            <w:tcW w:w="282" w:type="dxa"/>
            <w:tcBorders>
              <w:top w:val="single" w:sz="4" w:space="0" w:color="auto"/>
              <w:left w:val="nil"/>
              <w:right w:val="nil"/>
            </w:tcBorders>
            <w:shd w:val="clear" w:color="000000" w:fill="FFFFFF"/>
            <w:noWrap/>
            <w:vAlign w:val="bottom"/>
            <w:hideMark/>
          </w:tcPr>
          <w:p w14:paraId="154C6CCD" w14:textId="77777777" w:rsidR="00FA18EA" w:rsidRPr="0091098D" w:rsidRDefault="00FA18EA" w:rsidP="00FA18EA">
            <w:pPr>
              <w:rPr>
                <w:rFonts w:eastAsia="Times New Roman" w:cstheme="minorHAnsi"/>
                <w:sz w:val="18"/>
                <w:szCs w:val="18"/>
                <w:lang w:eastAsia="en-GB"/>
              </w:rPr>
            </w:pPr>
            <w:r w:rsidRPr="0091098D">
              <w:rPr>
                <w:rFonts w:eastAsia="Times New Roman" w:cstheme="minorHAnsi"/>
                <w:sz w:val="18"/>
                <w:szCs w:val="18"/>
                <w:lang w:eastAsia="en-GB"/>
              </w:rPr>
              <w:t> </w:t>
            </w:r>
          </w:p>
        </w:tc>
        <w:tc>
          <w:tcPr>
            <w:tcW w:w="1599" w:type="dxa"/>
            <w:gridSpan w:val="2"/>
            <w:tcBorders>
              <w:top w:val="single" w:sz="4" w:space="0" w:color="auto"/>
              <w:left w:val="nil"/>
              <w:right w:val="nil"/>
            </w:tcBorders>
            <w:shd w:val="clear" w:color="000000" w:fill="FFFFFF"/>
            <w:noWrap/>
            <w:vAlign w:val="bottom"/>
            <w:hideMark/>
          </w:tcPr>
          <w:p w14:paraId="2FF6B836" w14:textId="77777777" w:rsidR="00FA18EA" w:rsidRPr="0075195E" w:rsidRDefault="00FA18EA" w:rsidP="00FA18EA">
            <w:pPr>
              <w:jc w:val="right"/>
              <w:rPr>
                <w:rFonts w:eastAsia="Times New Roman" w:cstheme="minorHAnsi"/>
                <w:b/>
                <w:bCs/>
                <w:sz w:val="18"/>
                <w:szCs w:val="18"/>
                <w:lang w:eastAsia="en-GB"/>
              </w:rPr>
            </w:pPr>
            <w:r w:rsidRPr="0075195E">
              <w:rPr>
                <w:rFonts w:eastAsia="Times New Roman" w:cstheme="minorHAnsi"/>
                <w:b/>
                <w:bCs/>
                <w:sz w:val="18"/>
                <w:szCs w:val="18"/>
                <w:lang w:eastAsia="en-GB"/>
              </w:rPr>
              <w:t>(2,127)</w:t>
            </w:r>
          </w:p>
        </w:tc>
        <w:tc>
          <w:tcPr>
            <w:tcW w:w="282" w:type="dxa"/>
            <w:tcBorders>
              <w:top w:val="single" w:sz="4" w:space="0" w:color="auto"/>
              <w:left w:val="nil"/>
              <w:right w:val="nil"/>
            </w:tcBorders>
            <w:shd w:val="clear" w:color="000000" w:fill="FFFFFF"/>
            <w:noWrap/>
            <w:vAlign w:val="bottom"/>
            <w:hideMark/>
          </w:tcPr>
          <w:p w14:paraId="2705AAE3" w14:textId="77777777" w:rsidR="00FA18EA" w:rsidRPr="00536A35" w:rsidRDefault="00FA18EA" w:rsidP="00FA18EA">
            <w:pPr>
              <w:rPr>
                <w:rFonts w:eastAsia="Times New Roman" w:cstheme="minorHAnsi"/>
                <w:sz w:val="18"/>
                <w:szCs w:val="18"/>
                <w:lang w:eastAsia="en-GB"/>
              </w:rPr>
            </w:pPr>
            <w:r w:rsidRPr="00536A35">
              <w:rPr>
                <w:rFonts w:eastAsia="Times New Roman" w:cstheme="minorHAnsi"/>
                <w:sz w:val="18"/>
                <w:szCs w:val="18"/>
                <w:lang w:eastAsia="en-GB"/>
              </w:rPr>
              <w:t> </w:t>
            </w:r>
          </w:p>
        </w:tc>
        <w:tc>
          <w:tcPr>
            <w:tcW w:w="1736" w:type="dxa"/>
            <w:tcBorders>
              <w:top w:val="single" w:sz="4" w:space="0" w:color="auto"/>
              <w:left w:val="nil"/>
              <w:right w:val="nil"/>
            </w:tcBorders>
            <w:shd w:val="clear" w:color="000000" w:fill="FFFFFF"/>
            <w:noWrap/>
            <w:vAlign w:val="bottom"/>
            <w:hideMark/>
          </w:tcPr>
          <w:p w14:paraId="1F7993F1" w14:textId="77777777" w:rsidR="00FA18EA" w:rsidRPr="00A02B31" w:rsidRDefault="00FA18EA" w:rsidP="00FA18EA">
            <w:pPr>
              <w:jc w:val="right"/>
              <w:rPr>
                <w:rFonts w:eastAsia="Times New Roman" w:cstheme="minorHAnsi"/>
                <w:sz w:val="18"/>
                <w:szCs w:val="18"/>
                <w:lang w:eastAsia="en-GB"/>
              </w:rPr>
            </w:pPr>
            <w:r w:rsidRPr="00A02B31">
              <w:rPr>
                <w:rFonts w:eastAsia="Times New Roman" w:cstheme="minorHAnsi"/>
                <w:sz w:val="18"/>
                <w:szCs w:val="18"/>
                <w:lang w:eastAsia="en-GB"/>
              </w:rPr>
              <w:t>(2,935)</w:t>
            </w:r>
          </w:p>
        </w:tc>
      </w:tr>
      <w:tr w:rsidR="00FA18EA" w:rsidRPr="007600A7" w14:paraId="40519299" w14:textId="77777777" w:rsidTr="00FA18EA">
        <w:trPr>
          <w:trHeight w:val="286"/>
        </w:trPr>
        <w:tc>
          <w:tcPr>
            <w:tcW w:w="5078" w:type="dxa"/>
            <w:gridSpan w:val="2"/>
            <w:tcBorders>
              <w:top w:val="nil"/>
              <w:left w:val="nil"/>
              <w:bottom w:val="single" w:sz="4" w:space="0" w:color="auto"/>
              <w:right w:val="nil"/>
            </w:tcBorders>
            <w:shd w:val="clear" w:color="000000" w:fill="FFFFFF"/>
            <w:noWrap/>
            <w:vAlign w:val="bottom"/>
            <w:hideMark/>
          </w:tcPr>
          <w:p w14:paraId="647CC028" w14:textId="77777777" w:rsidR="00FA18EA" w:rsidRPr="008B2DDA" w:rsidRDefault="00FA18EA" w:rsidP="00FA18EA">
            <w:pPr>
              <w:rPr>
                <w:rFonts w:eastAsia="Times New Roman" w:cstheme="minorHAnsi"/>
                <w:b/>
                <w:bCs/>
                <w:sz w:val="18"/>
                <w:szCs w:val="18"/>
                <w:lang w:eastAsia="en-GB"/>
              </w:rPr>
            </w:pPr>
            <w:r w:rsidRPr="008B2DDA">
              <w:rPr>
                <w:rFonts w:eastAsia="Times New Roman" w:cstheme="minorHAnsi"/>
                <w:b/>
                <w:bCs/>
                <w:sz w:val="18"/>
                <w:szCs w:val="18"/>
                <w:lang w:eastAsia="en-GB"/>
              </w:rPr>
              <w:t>Net current assets/(liabilities)</w:t>
            </w:r>
          </w:p>
        </w:tc>
        <w:tc>
          <w:tcPr>
            <w:tcW w:w="778" w:type="dxa"/>
            <w:gridSpan w:val="2"/>
            <w:tcBorders>
              <w:top w:val="nil"/>
              <w:left w:val="nil"/>
              <w:bottom w:val="single" w:sz="4" w:space="0" w:color="auto"/>
              <w:right w:val="nil"/>
            </w:tcBorders>
            <w:shd w:val="clear" w:color="000000" w:fill="FFFFFF"/>
            <w:noWrap/>
            <w:vAlign w:val="bottom"/>
            <w:hideMark/>
          </w:tcPr>
          <w:p w14:paraId="20E49BAB" w14:textId="77777777" w:rsidR="00FA18EA" w:rsidRPr="000C5053" w:rsidRDefault="00FA18EA" w:rsidP="00FA18EA">
            <w:pPr>
              <w:jc w:val="center"/>
              <w:rPr>
                <w:rFonts w:eastAsia="Times New Roman" w:cstheme="minorHAnsi"/>
                <w:sz w:val="18"/>
                <w:szCs w:val="18"/>
                <w:lang w:eastAsia="en-GB"/>
              </w:rPr>
            </w:pPr>
          </w:p>
        </w:tc>
        <w:tc>
          <w:tcPr>
            <w:tcW w:w="282" w:type="dxa"/>
            <w:tcBorders>
              <w:top w:val="nil"/>
              <w:left w:val="nil"/>
              <w:bottom w:val="single" w:sz="4" w:space="0" w:color="auto"/>
              <w:right w:val="nil"/>
            </w:tcBorders>
            <w:shd w:val="clear" w:color="000000" w:fill="FFFFFF"/>
            <w:noWrap/>
            <w:vAlign w:val="bottom"/>
            <w:hideMark/>
          </w:tcPr>
          <w:p w14:paraId="7D34C07D" w14:textId="77777777" w:rsidR="00FA18EA" w:rsidRPr="0091098D" w:rsidRDefault="00FA18EA" w:rsidP="00FA18EA">
            <w:pPr>
              <w:rPr>
                <w:rFonts w:eastAsia="Times New Roman" w:cstheme="minorHAnsi"/>
                <w:sz w:val="18"/>
                <w:szCs w:val="18"/>
                <w:lang w:eastAsia="en-GB"/>
              </w:rPr>
            </w:pPr>
            <w:r w:rsidRPr="0091098D">
              <w:rPr>
                <w:rFonts w:eastAsia="Times New Roman" w:cstheme="minorHAnsi"/>
                <w:sz w:val="18"/>
                <w:szCs w:val="18"/>
                <w:lang w:eastAsia="en-GB"/>
              </w:rPr>
              <w:t> </w:t>
            </w:r>
          </w:p>
        </w:tc>
        <w:tc>
          <w:tcPr>
            <w:tcW w:w="1599" w:type="dxa"/>
            <w:gridSpan w:val="2"/>
            <w:tcBorders>
              <w:top w:val="nil"/>
              <w:left w:val="nil"/>
              <w:bottom w:val="single" w:sz="4" w:space="0" w:color="auto"/>
              <w:right w:val="nil"/>
            </w:tcBorders>
            <w:shd w:val="clear" w:color="000000" w:fill="FFFFFF"/>
            <w:noWrap/>
            <w:vAlign w:val="bottom"/>
            <w:hideMark/>
          </w:tcPr>
          <w:p w14:paraId="6BC985A7" w14:textId="77777777" w:rsidR="00FA18EA" w:rsidRPr="0075195E" w:rsidRDefault="00FA18EA" w:rsidP="00FA18EA">
            <w:pPr>
              <w:jc w:val="right"/>
              <w:rPr>
                <w:rFonts w:eastAsia="Times New Roman" w:cstheme="minorHAnsi"/>
                <w:b/>
                <w:bCs/>
                <w:sz w:val="18"/>
                <w:szCs w:val="18"/>
                <w:lang w:eastAsia="en-GB"/>
              </w:rPr>
            </w:pPr>
            <w:r w:rsidRPr="0075195E">
              <w:rPr>
                <w:rFonts w:eastAsia="Times New Roman" w:cstheme="minorHAnsi"/>
                <w:b/>
                <w:bCs/>
                <w:sz w:val="18"/>
                <w:szCs w:val="18"/>
                <w:lang w:eastAsia="en-GB"/>
              </w:rPr>
              <w:t>9,399</w:t>
            </w:r>
          </w:p>
        </w:tc>
        <w:tc>
          <w:tcPr>
            <w:tcW w:w="282" w:type="dxa"/>
            <w:tcBorders>
              <w:top w:val="nil"/>
              <w:left w:val="nil"/>
              <w:bottom w:val="single" w:sz="4" w:space="0" w:color="auto"/>
              <w:right w:val="nil"/>
            </w:tcBorders>
            <w:shd w:val="clear" w:color="000000" w:fill="FFFFFF"/>
            <w:noWrap/>
            <w:vAlign w:val="bottom"/>
            <w:hideMark/>
          </w:tcPr>
          <w:p w14:paraId="2D193674" w14:textId="77777777" w:rsidR="00FA18EA" w:rsidRPr="00536A35" w:rsidRDefault="00FA18EA" w:rsidP="00FA18EA">
            <w:pPr>
              <w:rPr>
                <w:rFonts w:eastAsia="Times New Roman" w:cstheme="minorHAnsi"/>
                <w:sz w:val="18"/>
                <w:szCs w:val="18"/>
                <w:lang w:eastAsia="en-GB"/>
              </w:rPr>
            </w:pPr>
            <w:r w:rsidRPr="00536A35">
              <w:rPr>
                <w:rFonts w:eastAsia="Times New Roman" w:cstheme="minorHAnsi"/>
                <w:sz w:val="18"/>
                <w:szCs w:val="18"/>
                <w:lang w:eastAsia="en-GB"/>
              </w:rPr>
              <w:t> </w:t>
            </w:r>
          </w:p>
        </w:tc>
        <w:tc>
          <w:tcPr>
            <w:tcW w:w="1736" w:type="dxa"/>
            <w:tcBorders>
              <w:top w:val="nil"/>
              <w:left w:val="nil"/>
              <w:bottom w:val="single" w:sz="4" w:space="0" w:color="auto"/>
              <w:right w:val="nil"/>
            </w:tcBorders>
            <w:shd w:val="clear" w:color="000000" w:fill="FFFFFF"/>
            <w:noWrap/>
            <w:vAlign w:val="bottom"/>
            <w:hideMark/>
          </w:tcPr>
          <w:p w14:paraId="3B4AD170" w14:textId="77777777" w:rsidR="00FA18EA" w:rsidRPr="00A02B31" w:rsidRDefault="00FA18EA" w:rsidP="00FA18EA">
            <w:pPr>
              <w:jc w:val="right"/>
              <w:rPr>
                <w:rFonts w:eastAsia="Times New Roman" w:cstheme="minorHAnsi"/>
                <w:sz w:val="18"/>
                <w:szCs w:val="18"/>
                <w:lang w:eastAsia="en-GB"/>
              </w:rPr>
            </w:pPr>
            <w:r w:rsidRPr="00A02B31">
              <w:rPr>
                <w:rFonts w:eastAsia="Times New Roman" w:cstheme="minorHAnsi"/>
                <w:sz w:val="18"/>
                <w:szCs w:val="18"/>
                <w:lang w:eastAsia="en-GB"/>
              </w:rPr>
              <w:t>(1,231)</w:t>
            </w:r>
          </w:p>
        </w:tc>
      </w:tr>
      <w:tr w:rsidR="00FA18EA" w:rsidRPr="007600A7" w14:paraId="622CE59C" w14:textId="77777777" w:rsidTr="00FA18EA">
        <w:trPr>
          <w:trHeight w:val="286"/>
        </w:trPr>
        <w:tc>
          <w:tcPr>
            <w:tcW w:w="2539" w:type="dxa"/>
            <w:tcBorders>
              <w:top w:val="single" w:sz="4" w:space="0" w:color="auto"/>
              <w:left w:val="nil"/>
              <w:bottom w:val="single" w:sz="4" w:space="0" w:color="auto"/>
              <w:right w:val="nil"/>
            </w:tcBorders>
            <w:shd w:val="clear" w:color="000000" w:fill="FFFFFF"/>
            <w:noWrap/>
            <w:vAlign w:val="bottom"/>
            <w:hideMark/>
          </w:tcPr>
          <w:p w14:paraId="1471DA6A" w14:textId="77777777" w:rsidR="00FA18EA" w:rsidRPr="008B2DDA" w:rsidRDefault="00FA18EA" w:rsidP="00FA18EA">
            <w:pPr>
              <w:rPr>
                <w:rFonts w:eastAsia="Times New Roman" w:cstheme="minorHAnsi"/>
                <w:b/>
                <w:bCs/>
                <w:sz w:val="18"/>
                <w:szCs w:val="18"/>
                <w:lang w:eastAsia="en-GB"/>
              </w:rPr>
            </w:pPr>
            <w:r w:rsidRPr="008B2DDA">
              <w:rPr>
                <w:rFonts w:eastAsia="Times New Roman" w:cstheme="minorHAnsi"/>
                <w:b/>
                <w:bCs/>
                <w:sz w:val="18"/>
                <w:szCs w:val="18"/>
                <w:lang w:eastAsia="en-GB"/>
              </w:rPr>
              <w:t>Net assets</w:t>
            </w:r>
          </w:p>
        </w:tc>
        <w:tc>
          <w:tcPr>
            <w:tcW w:w="2539" w:type="dxa"/>
            <w:tcBorders>
              <w:top w:val="single" w:sz="4" w:space="0" w:color="auto"/>
              <w:left w:val="nil"/>
              <w:bottom w:val="single" w:sz="4" w:space="0" w:color="auto"/>
              <w:right w:val="nil"/>
            </w:tcBorders>
            <w:shd w:val="clear" w:color="000000" w:fill="FFFFFF"/>
            <w:vAlign w:val="bottom"/>
          </w:tcPr>
          <w:p w14:paraId="6ED4DE62" w14:textId="77777777" w:rsidR="00FA18EA" w:rsidRPr="000C5053" w:rsidRDefault="00FA18EA" w:rsidP="00FA18EA">
            <w:pPr>
              <w:rPr>
                <w:rFonts w:eastAsia="Times New Roman" w:cstheme="minorHAnsi"/>
                <w:b/>
                <w:bCs/>
                <w:sz w:val="18"/>
                <w:szCs w:val="18"/>
                <w:lang w:eastAsia="en-GB"/>
              </w:rPr>
            </w:pPr>
          </w:p>
        </w:tc>
        <w:tc>
          <w:tcPr>
            <w:tcW w:w="778" w:type="dxa"/>
            <w:gridSpan w:val="2"/>
            <w:tcBorders>
              <w:top w:val="single" w:sz="4" w:space="0" w:color="auto"/>
              <w:left w:val="nil"/>
              <w:bottom w:val="single" w:sz="4" w:space="0" w:color="auto"/>
              <w:right w:val="nil"/>
            </w:tcBorders>
            <w:shd w:val="clear" w:color="000000" w:fill="FFFFFF"/>
            <w:noWrap/>
            <w:vAlign w:val="bottom"/>
            <w:hideMark/>
          </w:tcPr>
          <w:p w14:paraId="7764598C" w14:textId="77777777" w:rsidR="00FA18EA" w:rsidRPr="0091098D" w:rsidRDefault="00FA18EA" w:rsidP="00FA18EA">
            <w:pPr>
              <w:jc w:val="center"/>
              <w:rPr>
                <w:rFonts w:eastAsia="Times New Roman" w:cstheme="minorHAnsi"/>
                <w:sz w:val="18"/>
                <w:szCs w:val="18"/>
                <w:lang w:eastAsia="en-GB"/>
              </w:rPr>
            </w:pPr>
          </w:p>
        </w:tc>
        <w:tc>
          <w:tcPr>
            <w:tcW w:w="282" w:type="dxa"/>
            <w:tcBorders>
              <w:top w:val="single" w:sz="4" w:space="0" w:color="auto"/>
              <w:left w:val="nil"/>
              <w:bottom w:val="single" w:sz="4" w:space="0" w:color="auto"/>
              <w:right w:val="nil"/>
            </w:tcBorders>
            <w:shd w:val="clear" w:color="000000" w:fill="FFFFFF"/>
            <w:noWrap/>
            <w:vAlign w:val="bottom"/>
            <w:hideMark/>
          </w:tcPr>
          <w:p w14:paraId="5FCC4B1D" w14:textId="77777777" w:rsidR="00FA18EA" w:rsidRPr="0075195E" w:rsidRDefault="00FA18EA" w:rsidP="00FA18EA">
            <w:pPr>
              <w:rPr>
                <w:rFonts w:eastAsia="Times New Roman" w:cstheme="minorHAnsi"/>
                <w:sz w:val="18"/>
                <w:szCs w:val="18"/>
                <w:lang w:eastAsia="en-GB"/>
              </w:rPr>
            </w:pPr>
            <w:r w:rsidRPr="0075195E">
              <w:rPr>
                <w:rFonts w:eastAsia="Times New Roman" w:cstheme="minorHAnsi"/>
                <w:sz w:val="18"/>
                <w:szCs w:val="18"/>
                <w:lang w:eastAsia="en-GB"/>
              </w:rPr>
              <w:t> </w:t>
            </w:r>
          </w:p>
        </w:tc>
        <w:tc>
          <w:tcPr>
            <w:tcW w:w="1599" w:type="dxa"/>
            <w:gridSpan w:val="2"/>
            <w:tcBorders>
              <w:top w:val="single" w:sz="4" w:space="0" w:color="auto"/>
              <w:left w:val="nil"/>
              <w:bottom w:val="single" w:sz="4" w:space="0" w:color="auto"/>
              <w:right w:val="nil"/>
            </w:tcBorders>
            <w:shd w:val="clear" w:color="000000" w:fill="FFFFFF"/>
            <w:noWrap/>
            <w:vAlign w:val="bottom"/>
            <w:hideMark/>
          </w:tcPr>
          <w:p w14:paraId="3B6A9018" w14:textId="77777777" w:rsidR="00FA18EA" w:rsidRPr="00536A35" w:rsidRDefault="00FA18EA" w:rsidP="00FA18EA">
            <w:pPr>
              <w:jc w:val="right"/>
              <w:rPr>
                <w:rFonts w:eastAsia="Times New Roman" w:cstheme="minorHAnsi"/>
                <w:b/>
                <w:bCs/>
                <w:sz w:val="18"/>
                <w:szCs w:val="18"/>
                <w:lang w:eastAsia="en-GB"/>
              </w:rPr>
            </w:pPr>
            <w:r w:rsidRPr="00536A35">
              <w:rPr>
                <w:rFonts w:eastAsia="Times New Roman" w:cstheme="minorHAnsi"/>
                <w:b/>
                <w:bCs/>
                <w:sz w:val="18"/>
                <w:szCs w:val="18"/>
                <w:lang w:eastAsia="en-GB"/>
              </w:rPr>
              <w:t>41,008</w:t>
            </w:r>
          </w:p>
        </w:tc>
        <w:tc>
          <w:tcPr>
            <w:tcW w:w="282" w:type="dxa"/>
            <w:tcBorders>
              <w:top w:val="single" w:sz="4" w:space="0" w:color="auto"/>
              <w:left w:val="nil"/>
              <w:bottom w:val="single" w:sz="4" w:space="0" w:color="auto"/>
              <w:right w:val="nil"/>
            </w:tcBorders>
            <w:shd w:val="clear" w:color="000000" w:fill="FFFFFF"/>
            <w:noWrap/>
            <w:vAlign w:val="bottom"/>
            <w:hideMark/>
          </w:tcPr>
          <w:p w14:paraId="0226CC87" w14:textId="77777777" w:rsidR="00FA18EA" w:rsidRPr="00A02B31" w:rsidRDefault="00FA18EA" w:rsidP="00FA18EA">
            <w:pPr>
              <w:rPr>
                <w:rFonts w:eastAsia="Times New Roman" w:cstheme="minorHAnsi"/>
                <w:sz w:val="18"/>
                <w:szCs w:val="18"/>
                <w:lang w:eastAsia="en-GB"/>
              </w:rPr>
            </w:pPr>
            <w:r w:rsidRPr="00A02B31">
              <w:rPr>
                <w:rFonts w:eastAsia="Times New Roman" w:cstheme="minorHAnsi"/>
                <w:sz w:val="18"/>
                <w:szCs w:val="18"/>
                <w:lang w:eastAsia="en-GB"/>
              </w:rPr>
              <w:t> </w:t>
            </w:r>
          </w:p>
        </w:tc>
        <w:tc>
          <w:tcPr>
            <w:tcW w:w="1736" w:type="dxa"/>
            <w:tcBorders>
              <w:top w:val="single" w:sz="4" w:space="0" w:color="auto"/>
              <w:left w:val="nil"/>
              <w:bottom w:val="single" w:sz="4" w:space="0" w:color="auto"/>
              <w:right w:val="nil"/>
            </w:tcBorders>
            <w:shd w:val="clear" w:color="000000" w:fill="FFFFFF"/>
            <w:noWrap/>
            <w:vAlign w:val="bottom"/>
            <w:hideMark/>
          </w:tcPr>
          <w:p w14:paraId="2581086C" w14:textId="77777777" w:rsidR="00FA18EA" w:rsidRPr="00A02B31" w:rsidRDefault="00FA18EA" w:rsidP="00FA18EA">
            <w:pPr>
              <w:jc w:val="right"/>
              <w:rPr>
                <w:rFonts w:eastAsia="Times New Roman" w:cstheme="minorHAnsi"/>
                <w:sz w:val="18"/>
                <w:szCs w:val="18"/>
                <w:lang w:eastAsia="en-GB"/>
              </w:rPr>
            </w:pPr>
            <w:r w:rsidRPr="00A02B31">
              <w:rPr>
                <w:rFonts w:eastAsia="Times New Roman" w:cstheme="minorHAnsi"/>
                <w:sz w:val="18"/>
                <w:szCs w:val="18"/>
                <w:lang w:eastAsia="en-GB"/>
              </w:rPr>
              <w:t>52,657</w:t>
            </w:r>
          </w:p>
        </w:tc>
      </w:tr>
      <w:tr w:rsidR="00FA18EA" w:rsidRPr="007600A7" w14:paraId="779F8BF9" w14:textId="77777777" w:rsidTr="00FA18EA">
        <w:trPr>
          <w:trHeight w:val="286"/>
        </w:trPr>
        <w:tc>
          <w:tcPr>
            <w:tcW w:w="2539" w:type="dxa"/>
            <w:tcBorders>
              <w:top w:val="single" w:sz="4" w:space="0" w:color="auto"/>
              <w:left w:val="nil"/>
              <w:right w:val="nil"/>
            </w:tcBorders>
            <w:shd w:val="clear" w:color="000000" w:fill="FFFFFF"/>
            <w:noWrap/>
            <w:vAlign w:val="bottom"/>
          </w:tcPr>
          <w:p w14:paraId="6F71825D" w14:textId="77777777" w:rsidR="00FA18EA" w:rsidRPr="008B2DDA" w:rsidRDefault="00FA18EA" w:rsidP="00FA18EA">
            <w:pPr>
              <w:rPr>
                <w:rFonts w:eastAsia="Times New Roman" w:cstheme="minorHAnsi"/>
                <w:b/>
                <w:bCs/>
                <w:sz w:val="18"/>
                <w:szCs w:val="18"/>
                <w:lang w:eastAsia="en-GB"/>
              </w:rPr>
            </w:pPr>
          </w:p>
        </w:tc>
        <w:tc>
          <w:tcPr>
            <w:tcW w:w="2539" w:type="dxa"/>
            <w:tcBorders>
              <w:top w:val="single" w:sz="4" w:space="0" w:color="auto"/>
              <w:left w:val="nil"/>
              <w:right w:val="nil"/>
            </w:tcBorders>
            <w:shd w:val="clear" w:color="000000" w:fill="FFFFFF"/>
            <w:vAlign w:val="bottom"/>
          </w:tcPr>
          <w:p w14:paraId="70A30AD1" w14:textId="77777777" w:rsidR="00FA18EA" w:rsidRPr="000C5053" w:rsidRDefault="00FA18EA" w:rsidP="00FA18EA">
            <w:pPr>
              <w:rPr>
                <w:rFonts w:eastAsia="Times New Roman" w:cstheme="minorHAnsi"/>
                <w:b/>
                <w:bCs/>
                <w:sz w:val="18"/>
                <w:szCs w:val="18"/>
                <w:lang w:eastAsia="en-GB"/>
              </w:rPr>
            </w:pPr>
          </w:p>
        </w:tc>
        <w:tc>
          <w:tcPr>
            <w:tcW w:w="778" w:type="dxa"/>
            <w:gridSpan w:val="2"/>
            <w:tcBorders>
              <w:top w:val="single" w:sz="4" w:space="0" w:color="auto"/>
              <w:left w:val="nil"/>
              <w:right w:val="nil"/>
            </w:tcBorders>
            <w:shd w:val="clear" w:color="000000" w:fill="FFFFFF"/>
            <w:noWrap/>
            <w:vAlign w:val="bottom"/>
          </w:tcPr>
          <w:p w14:paraId="39E2D675" w14:textId="77777777" w:rsidR="00FA18EA" w:rsidRPr="0091098D" w:rsidRDefault="00FA18EA" w:rsidP="00FA18EA">
            <w:pPr>
              <w:jc w:val="center"/>
              <w:rPr>
                <w:rFonts w:eastAsia="Times New Roman" w:cstheme="minorHAnsi"/>
                <w:sz w:val="18"/>
                <w:szCs w:val="18"/>
                <w:lang w:eastAsia="en-GB"/>
              </w:rPr>
            </w:pPr>
          </w:p>
        </w:tc>
        <w:tc>
          <w:tcPr>
            <w:tcW w:w="282" w:type="dxa"/>
            <w:tcBorders>
              <w:top w:val="single" w:sz="4" w:space="0" w:color="auto"/>
              <w:left w:val="nil"/>
              <w:right w:val="nil"/>
            </w:tcBorders>
            <w:shd w:val="clear" w:color="000000" w:fill="FFFFFF"/>
            <w:noWrap/>
            <w:vAlign w:val="bottom"/>
          </w:tcPr>
          <w:p w14:paraId="4E4A1AF3" w14:textId="77777777" w:rsidR="00FA18EA" w:rsidRPr="0075195E" w:rsidRDefault="00FA18EA" w:rsidP="00FA18EA">
            <w:pPr>
              <w:rPr>
                <w:rFonts w:eastAsia="Times New Roman" w:cstheme="minorHAnsi"/>
                <w:sz w:val="18"/>
                <w:szCs w:val="18"/>
                <w:lang w:eastAsia="en-GB"/>
              </w:rPr>
            </w:pPr>
          </w:p>
        </w:tc>
        <w:tc>
          <w:tcPr>
            <w:tcW w:w="1599" w:type="dxa"/>
            <w:gridSpan w:val="2"/>
            <w:tcBorders>
              <w:top w:val="single" w:sz="4" w:space="0" w:color="auto"/>
              <w:left w:val="nil"/>
              <w:right w:val="nil"/>
            </w:tcBorders>
            <w:shd w:val="clear" w:color="000000" w:fill="FFFFFF"/>
            <w:noWrap/>
            <w:vAlign w:val="bottom"/>
          </w:tcPr>
          <w:p w14:paraId="0BF8AAF5" w14:textId="77777777" w:rsidR="00FA18EA" w:rsidRPr="00536A35" w:rsidRDefault="00FA18EA" w:rsidP="00FA18EA">
            <w:pPr>
              <w:jc w:val="right"/>
              <w:rPr>
                <w:rFonts w:eastAsia="Times New Roman" w:cstheme="minorHAnsi"/>
                <w:b/>
                <w:bCs/>
                <w:sz w:val="18"/>
                <w:szCs w:val="18"/>
                <w:lang w:eastAsia="en-GB"/>
              </w:rPr>
            </w:pPr>
          </w:p>
        </w:tc>
        <w:tc>
          <w:tcPr>
            <w:tcW w:w="282" w:type="dxa"/>
            <w:tcBorders>
              <w:top w:val="single" w:sz="4" w:space="0" w:color="auto"/>
              <w:left w:val="nil"/>
              <w:right w:val="nil"/>
            </w:tcBorders>
            <w:shd w:val="clear" w:color="000000" w:fill="FFFFFF"/>
            <w:noWrap/>
            <w:vAlign w:val="bottom"/>
          </w:tcPr>
          <w:p w14:paraId="5DC321D7" w14:textId="77777777" w:rsidR="00FA18EA" w:rsidRPr="00A02B31" w:rsidRDefault="00FA18EA" w:rsidP="00FA18EA">
            <w:pPr>
              <w:rPr>
                <w:rFonts w:eastAsia="Times New Roman" w:cstheme="minorHAnsi"/>
                <w:sz w:val="18"/>
                <w:szCs w:val="18"/>
                <w:lang w:eastAsia="en-GB"/>
              </w:rPr>
            </w:pPr>
          </w:p>
        </w:tc>
        <w:tc>
          <w:tcPr>
            <w:tcW w:w="1736" w:type="dxa"/>
            <w:tcBorders>
              <w:top w:val="single" w:sz="4" w:space="0" w:color="auto"/>
              <w:left w:val="nil"/>
              <w:right w:val="nil"/>
            </w:tcBorders>
            <w:shd w:val="clear" w:color="000000" w:fill="FFFFFF"/>
            <w:noWrap/>
            <w:vAlign w:val="bottom"/>
          </w:tcPr>
          <w:p w14:paraId="21F60EB9" w14:textId="77777777" w:rsidR="00FA18EA" w:rsidRPr="00A02B31" w:rsidRDefault="00FA18EA" w:rsidP="00FA18EA">
            <w:pPr>
              <w:jc w:val="right"/>
              <w:rPr>
                <w:rFonts w:eastAsia="Times New Roman" w:cstheme="minorHAnsi"/>
                <w:sz w:val="18"/>
                <w:szCs w:val="18"/>
                <w:lang w:eastAsia="en-GB"/>
              </w:rPr>
            </w:pPr>
          </w:p>
        </w:tc>
      </w:tr>
      <w:tr w:rsidR="00FA18EA" w:rsidRPr="007600A7" w14:paraId="229F6BE0" w14:textId="77777777" w:rsidTr="00FA18EA">
        <w:trPr>
          <w:trHeight w:val="286"/>
        </w:trPr>
        <w:tc>
          <w:tcPr>
            <w:tcW w:w="2539" w:type="dxa"/>
            <w:tcBorders>
              <w:top w:val="nil"/>
              <w:left w:val="nil"/>
              <w:bottom w:val="nil"/>
              <w:right w:val="nil"/>
            </w:tcBorders>
            <w:shd w:val="clear" w:color="000000" w:fill="FFFFFF"/>
            <w:noWrap/>
            <w:vAlign w:val="bottom"/>
            <w:hideMark/>
          </w:tcPr>
          <w:p w14:paraId="3EC9B536" w14:textId="77777777" w:rsidR="00FA18EA" w:rsidRPr="008B2DDA" w:rsidRDefault="00FA18EA" w:rsidP="00FA18EA">
            <w:pPr>
              <w:rPr>
                <w:rFonts w:eastAsia="Times New Roman" w:cstheme="minorHAnsi"/>
                <w:b/>
                <w:bCs/>
                <w:sz w:val="18"/>
                <w:szCs w:val="18"/>
                <w:lang w:eastAsia="en-GB"/>
              </w:rPr>
            </w:pPr>
            <w:r w:rsidRPr="008B2DDA">
              <w:rPr>
                <w:rFonts w:eastAsia="Times New Roman" w:cstheme="minorHAnsi"/>
                <w:b/>
                <w:bCs/>
                <w:sz w:val="18"/>
                <w:szCs w:val="18"/>
                <w:lang w:eastAsia="en-GB"/>
              </w:rPr>
              <w:t>Equity</w:t>
            </w:r>
          </w:p>
        </w:tc>
        <w:tc>
          <w:tcPr>
            <w:tcW w:w="2539" w:type="dxa"/>
            <w:tcBorders>
              <w:top w:val="nil"/>
              <w:left w:val="nil"/>
              <w:bottom w:val="nil"/>
              <w:right w:val="nil"/>
            </w:tcBorders>
            <w:shd w:val="clear" w:color="000000" w:fill="FFFFFF"/>
            <w:vAlign w:val="bottom"/>
          </w:tcPr>
          <w:p w14:paraId="5B39A5DE" w14:textId="77777777" w:rsidR="00FA18EA" w:rsidRPr="000C5053" w:rsidRDefault="00FA18EA" w:rsidP="00FA18EA">
            <w:pPr>
              <w:rPr>
                <w:rFonts w:eastAsia="Times New Roman" w:cstheme="minorHAnsi"/>
                <w:b/>
                <w:bCs/>
                <w:sz w:val="18"/>
                <w:szCs w:val="18"/>
                <w:lang w:eastAsia="en-GB"/>
              </w:rPr>
            </w:pPr>
          </w:p>
        </w:tc>
        <w:tc>
          <w:tcPr>
            <w:tcW w:w="778" w:type="dxa"/>
            <w:gridSpan w:val="2"/>
            <w:tcBorders>
              <w:top w:val="nil"/>
              <w:left w:val="nil"/>
              <w:bottom w:val="nil"/>
              <w:right w:val="nil"/>
            </w:tcBorders>
            <w:shd w:val="clear" w:color="000000" w:fill="FFFFFF"/>
            <w:noWrap/>
            <w:vAlign w:val="bottom"/>
            <w:hideMark/>
          </w:tcPr>
          <w:p w14:paraId="4D9D19E7" w14:textId="77777777" w:rsidR="00FA18EA" w:rsidRPr="0091098D" w:rsidRDefault="00FA18EA" w:rsidP="00FA18EA">
            <w:pPr>
              <w:jc w:val="center"/>
              <w:rPr>
                <w:rFonts w:eastAsia="Times New Roman" w:cstheme="minorHAnsi"/>
                <w:sz w:val="18"/>
                <w:szCs w:val="18"/>
                <w:lang w:eastAsia="en-GB"/>
              </w:rPr>
            </w:pPr>
          </w:p>
        </w:tc>
        <w:tc>
          <w:tcPr>
            <w:tcW w:w="282" w:type="dxa"/>
            <w:tcBorders>
              <w:top w:val="nil"/>
              <w:left w:val="nil"/>
              <w:bottom w:val="nil"/>
              <w:right w:val="nil"/>
            </w:tcBorders>
            <w:shd w:val="clear" w:color="000000" w:fill="FFFFFF"/>
            <w:noWrap/>
            <w:vAlign w:val="bottom"/>
            <w:hideMark/>
          </w:tcPr>
          <w:p w14:paraId="1EF78E1C" w14:textId="77777777" w:rsidR="00FA18EA" w:rsidRPr="0075195E" w:rsidRDefault="00FA18EA" w:rsidP="00FA18EA">
            <w:pPr>
              <w:rPr>
                <w:rFonts w:eastAsia="Times New Roman" w:cstheme="minorHAnsi"/>
                <w:sz w:val="18"/>
                <w:szCs w:val="18"/>
                <w:lang w:eastAsia="en-GB"/>
              </w:rPr>
            </w:pPr>
            <w:r w:rsidRPr="0075195E">
              <w:rPr>
                <w:rFonts w:eastAsia="Times New Roman" w:cstheme="minorHAnsi"/>
                <w:sz w:val="18"/>
                <w:szCs w:val="18"/>
                <w:lang w:eastAsia="en-GB"/>
              </w:rPr>
              <w:t> </w:t>
            </w:r>
          </w:p>
        </w:tc>
        <w:tc>
          <w:tcPr>
            <w:tcW w:w="1599" w:type="dxa"/>
            <w:gridSpan w:val="2"/>
            <w:tcBorders>
              <w:top w:val="nil"/>
              <w:left w:val="nil"/>
              <w:bottom w:val="nil"/>
              <w:right w:val="nil"/>
            </w:tcBorders>
            <w:shd w:val="clear" w:color="000000" w:fill="FFFFFF"/>
            <w:noWrap/>
            <w:vAlign w:val="bottom"/>
            <w:hideMark/>
          </w:tcPr>
          <w:p w14:paraId="1A137DD3" w14:textId="77777777" w:rsidR="00FA18EA" w:rsidRPr="00536A35" w:rsidRDefault="00FA18EA" w:rsidP="00FA18EA">
            <w:pPr>
              <w:rPr>
                <w:rFonts w:eastAsia="Times New Roman" w:cstheme="minorHAnsi"/>
                <w:b/>
                <w:bCs/>
                <w:sz w:val="18"/>
                <w:szCs w:val="18"/>
                <w:lang w:eastAsia="en-GB"/>
              </w:rPr>
            </w:pPr>
            <w:r w:rsidRPr="00536A35">
              <w:rPr>
                <w:rFonts w:eastAsia="Times New Roman" w:cstheme="minorHAnsi"/>
                <w:b/>
                <w:bCs/>
                <w:sz w:val="18"/>
                <w:szCs w:val="18"/>
                <w:lang w:eastAsia="en-GB"/>
              </w:rPr>
              <w:t> </w:t>
            </w:r>
          </w:p>
        </w:tc>
        <w:tc>
          <w:tcPr>
            <w:tcW w:w="282" w:type="dxa"/>
            <w:tcBorders>
              <w:top w:val="nil"/>
              <w:left w:val="nil"/>
              <w:bottom w:val="nil"/>
              <w:right w:val="nil"/>
            </w:tcBorders>
            <w:shd w:val="clear" w:color="000000" w:fill="FFFFFF"/>
            <w:noWrap/>
            <w:vAlign w:val="bottom"/>
            <w:hideMark/>
          </w:tcPr>
          <w:p w14:paraId="78CEBD39" w14:textId="77777777" w:rsidR="00FA18EA" w:rsidRPr="00A02B31" w:rsidRDefault="00FA18EA" w:rsidP="00FA18EA">
            <w:pPr>
              <w:rPr>
                <w:rFonts w:eastAsia="Times New Roman" w:cstheme="minorHAnsi"/>
                <w:sz w:val="18"/>
                <w:szCs w:val="18"/>
                <w:lang w:eastAsia="en-GB"/>
              </w:rPr>
            </w:pPr>
            <w:r w:rsidRPr="00A02B31">
              <w:rPr>
                <w:rFonts w:eastAsia="Times New Roman" w:cstheme="minorHAnsi"/>
                <w:sz w:val="18"/>
                <w:szCs w:val="18"/>
                <w:lang w:eastAsia="en-GB"/>
              </w:rPr>
              <w:t> </w:t>
            </w:r>
          </w:p>
        </w:tc>
        <w:tc>
          <w:tcPr>
            <w:tcW w:w="1736" w:type="dxa"/>
            <w:tcBorders>
              <w:top w:val="nil"/>
              <w:left w:val="nil"/>
              <w:bottom w:val="nil"/>
              <w:right w:val="nil"/>
            </w:tcBorders>
            <w:shd w:val="clear" w:color="000000" w:fill="FFFFFF"/>
            <w:noWrap/>
            <w:vAlign w:val="bottom"/>
            <w:hideMark/>
          </w:tcPr>
          <w:p w14:paraId="2E3E2F0A" w14:textId="77777777" w:rsidR="00FA18EA" w:rsidRPr="00A02B31" w:rsidRDefault="00FA18EA" w:rsidP="00FA18EA">
            <w:pPr>
              <w:rPr>
                <w:rFonts w:eastAsia="Times New Roman" w:cstheme="minorHAnsi"/>
                <w:sz w:val="18"/>
                <w:szCs w:val="18"/>
                <w:lang w:eastAsia="en-GB"/>
              </w:rPr>
            </w:pPr>
            <w:r w:rsidRPr="00A02B31">
              <w:rPr>
                <w:rFonts w:eastAsia="Times New Roman" w:cstheme="minorHAnsi"/>
                <w:sz w:val="18"/>
                <w:szCs w:val="18"/>
                <w:lang w:eastAsia="en-GB"/>
              </w:rPr>
              <w:t> </w:t>
            </w:r>
          </w:p>
        </w:tc>
      </w:tr>
      <w:tr w:rsidR="00FA18EA" w:rsidRPr="007600A7" w14:paraId="2885C2B1" w14:textId="77777777" w:rsidTr="00FA18EA">
        <w:trPr>
          <w:trHeight w:val="286"/>
        </w:trPr>
        <w:tc>
          <w:tcPr>
            <w:tcW w:w="5078" w:type="dxa"/>
            <w:gridSpan w:val="2"/>
            <w:tcBorders>
              <w:top w:val="nil"/>
              <w:left w:val="nil"/>
              <w:bottom w:val="nil"/>
              <w:right w:val="nil"/>
            </w:tcBorders>
            <w:shd w:val="clear" w:color="000000" w:fill="FFFFFF"/>
            <w:noWrap/>
            <w:vAlign w:val="bottom"/>
            <w:hideMark/>
          </w:tcPr>
          <w:p w14:paraId="58FA30AA" w14:textId="77777777" w:rsidR="00FA18EA" w:rsidRPr="008B2DDA" w:rsidRDefault="00FA18EA" w:rsidP="00FA18EA">
            <w:pPr>
              <w:rPr>
                <w:rFonts w:eastAsia="Times New Roman" w:cstheme="minorHAnsi"/>
                <w:sz w:val="18"/>
                <w:szCs w:val="18"/>
                <w:lang w:eastAsia="en-GB"/>
              </w:rPr>
            </w:pPr>
            <w:r w:rsidRPr="008B2DDA">
              <w:rPr>
                <w:rFonts w:eastAsia="Times New Roman" w:cstheme="minorHAnsi"/>
                <w:sz w:val="18"/>
                <w:szCs w:val="18"/>
                <w:lang w:eastAsia="en-GB"/>
              </w:rPr>
              <w:t>Issued capital</w:t>
            </w:r>
          </w:p>
        </w:tc>
        <w:tc>
          <w:tcPr>
            <w:tcW w:w="778" w:type="dxa"/>
            <w:gridSpan w:val="2"/>
            <w:tcBorders>
              <w:top w:val="nil"/>
              <w:left w:val="nil"/>
              <w:bottom w:val="nil"/>
              <w:right w:val="nil"/>
            </w:tcBorders>
            <w:shd w:val="clear" w:color="000000" w:fill="FFFFFF"/>
            <w:noWrap/>
            <w:vAlign w:val="bottom"/>
            <w:hideMark/>
          </w:tcPr>
          <w:p w14:paraId="1129BDC1" w14:textId="77777777" w:rsidR="00FA18EA" w:rsidRPr="0091098D" w:rsidRDefault="00FA18EA" w:rsidP="00FA18EA">
            <w:pPr>
              <w:jc w:val="center"/>
              <w:rPr>
                <w:rFonts w:eastAsia="Times New Roman" w:cstheme="minorHAnsi"/>
                <w:sz w:val="18"/>
                <w:szCs w:val="18"/>
                <w:lang w:eastAsia="en-GB"/>
              </w:rPr>
            </w:pPr>
            <w:r w:rsidRPr="000C5053">
              <w:rPr>
                <w:rFonts w:eastAsia="Times New Roman" w:cstheme="minorHAnsi"/>
                <w:sz w:val="18"/>
                <w:szCs w:val="18"/>
                <w:lang w:eastAsia="en-GB"/>
              </w:rPr>
              <w:t>12</w:t>
            </w:r>
          </w:p>
        </w:tc>
        <w:tc>
          <w:tcPr>
            <w:tcW w:w="282" w:type="dxa"/>
            <w:tcBorders>
              <w:top w:val="nil"/>
              <w:left w:val="nil"/>
              <w:bottom w:val="nil"/>
              <w:right w:val="nil"/>
            </w:tcBorders>
            <w:shd w:val="clear" w:color="000000" w:fill="FFFFFF"/>
            <w:noWrap/>
            <w:vAlign w:val="bottom"/>
            <w:hideMark/>
          </w:tcPr>
          <w:p w14:paraId="09616058" w14:textId="77777777" w:rsidR="00FA18EA" w:rsidRPr="0075195E" w:rsidRDefault="00FA18EA" w:rsidP="00FA18EA">
            <w:pPr>
              <w:rPr>
                <w:rFonts w:eastAsia="Times New Roman" w:cstheme="minorHAnsi"/>
                <w:sz w:val="18"/>
                <w:szCs w:val="18"/>
                <w:lang w:eastAsia="en-GB"/>
              </w:rPr>
            </w:pPr>
            <w:r w:rsidRPr="0075195E">
              <w:rPr>
                <w:rFonts w:eastAsia="Times New Roman" w:cstheme="minorHAnsi"/>
                <w:sz w:val="18"/>
                <w:szCs w:val="18"/>
                <w:lang w:eastAsia="en-GB"/>
              </w:rPr>
              <w:t> </w:t>
            </w:r>
          </w:p>
        </w:tc>
        <w:tc>
          <w:tcPr>
            <w:tcW w:w="1599" w:type="dxa"/>
            <w:gridSpan w:val="2"/>
            <w:tcBorders>
              <w:top w:val="nil"/>
              <w:left w:val="nil"/>
              <w:bottom w:val="nil"/>
              <w:right w:val="nil"/>
            </w:tcBorders>
            <w:shd w:val="clear" w:color="000000" w:fill="FFFFFF"/>
            <w:noWrap/>
            <w:vAlign w:val="bottom"/>
            <w:hideMark/>
          </w:tcPr>
          <w:p w14:paraId="77B9D187" w14:textId="77777777" w:rsidR="00FA18EA" w:rsidRPr="00536A35" w:rsidRDefault="00FA18EA" w:rsidP="00FA18EA">
            <w:pPr>
              <w:jc w:val="right"/>
              <w:rPr>
                <w:rFonts w:eastAsia="Times New Roman" w:cstheme="minorHAnsi"/>
                <w:b/>
                <w:bCs/>
                <w:sz w:val="18"/>
                <w:szCs w:val="18"/>
                <w:lang w:eastAsia="en-GB"/>
              </w:rPr>
            </w:pPr>
            <w:r w:rsidRPr="00536A35">
              <w:rPr>
                <w:rFonts w:eastAsia="Times New Roman" w:cstheme="minorHAnsi"/>
                <w:b/>
                <w:bCs/>
                <w:sz w:val="18"/>
                <w:szCs w:val="18"/>
                <w:lang w:eastAsia="en-GB"/>
              </w:rPr>
              <w:t>1,281</w:t>
            </w:r>
          </w:p>
        </w:tc>
        <w:tc>
          <w:tcPr>
            <w:tcW w:w="282" w:type="dxa"/>
            <w:tcBorders>
              <w:top w:val="nil"/>
              <w:left w:val="nil"/>
              <w:bottom w:val="nil"/>
              <w:right w:val="nil"/>
            </w:tcBorders>
            <w:shd w:val="clear" w:color="000000" w:fill="FFFFFF"/>
            <w:noWrap/>
            <w:vAlign w:val="bottom"/>
            <w:hideMark/>
          </w:tcPr>
          <w:p w14:paraId="2EA825C6" w14:textId="77777777" w:rsidR="00FA18EA" w:rsidRPr="00A02B31" w:rsidRDefault="00FA18EA" w:rsidP="00FA18EA">
            <w:pPr>
              <w:rPr>
                <w:rFonts w:eastAsia="Times New Roman" w:cstheme="minorHAnsi"/>
                <w:sz w:val="18"/>
                <w:szCs w:val="18"/>
                <w:lang w:eastAsia="en-GB"/>
              </w:rPr>
            </w:pPr>
            <w:r w:rsidRPr="00A02B31">
              <w:rPr>
                <w:rFonts w:eastAsia="Times New Roman" w:cstheme="minorHAnsi"/>
                <w:sz w:val="18"/>
                <w:szCs w:val="18"/>
                <w:lang w:eastAsia="en-GB"/>
              </w:rPr>
              <w:t> </w:t>
            </w:r>
          </w:p>
        </w:tc>
        <w:tc>
          <w:tcPr>
            <w:tcW w:w="1736" w:type="dxa"/>
            <w:tcBorders>
              <w:top w:val="nil"/>
              <w:left w:val="nil"/>
              <w:bottom w:val="nil"/>
              <w:right w:val="nil"/>
            </w:tcBorders>
            <w:shd w:val="clear" w:color="000000" w:fill="FFFFFF"/>
            <w:noWrap/>
            <w:vAlign w:val="bottom"/>
            <w:hideMark/>
          </w:tcPr>
          <w:p w14:paraId="03BDEEFB" w14:textId="77777777" w:rsidR="00FA18EA" w:rsidRPr="00A02B31" w:rsidRDefault="00FA18EA" w:rsidP="00FA18EA">
            <w:pPr>
              <w:jc w:val="right"/>
              <w:rPr>
                <w:rFonts w:eastAsia="Times New Roman" w:cstheme="minorHAnsi"/>
                <w:sz w:val="18"/>
                <w:szCs w:val="18"/>
                <w:lang w:eastAsia="en-GB"/>
              </w:rPr>
            </w:pPr>
            <w:r w:rsidRPr="00A02B31">
              <w:rPr>
                <w:rFonts w:eastAsia="Times New Roman" w:cstheme="minorHAnsi"/>
                <w:sz w:val="18"/>
                <w:szCs w:val="18"/>
                <w:lang w:eastAsia="en-GB"/>
              </w:rPr>
              <w:t>1,751</w:t>
            </w:r>
          </w:p>
        </w:tc>
      </w:tr>
      <w:tr w:rsidR="00FA18EA" w:rsidRPr="007600A7" w14:paraId="5078D358" w14:textId="77777777" w:rsidTr="00FA18EA">
        <w:trPr>
          <w:trHeight w:val="286"/>
        </w:trPr>
        <w:tc>
          <w:tcPr>
            <w:tcW w:w="5078" w:type="dxa"/>
            <w:gridSpan w:val="2"/>
            <w:tcBorders>
              <w:top w:val="nil"/>
              <w:left w:val="nil"/>
              <w:bottom w:val="nil"/>
              <w:right w:val="nil"/>
            </w:tcBorders>
            <w:shd w:val="clear" w:color="000000" w:fill="FFFFFF"/>
            <w:noWrap/>
            <w:vAlign w:val="bottom"/>
            <w:hideMark/>
          </w:tcPr>
          <w:p w14:paraId="2E8AB9EC" w14:textId="77777777" w:rsidR="00FA18EA" w:rsidRPr="008B2DDA" w:rsidRDefault="00FA18EA" w:rsidP="00FA18EA">
            <w:pPr>
              <w:rPr>
                <w:rFonts w:eastAsia="Times New Roman" w:cstheme="minorHAnsi"/>
                <w:sz w:val="18"/>
                <w:szCs w:val="18"/>
                <w:lang w:eastAsia="en-GB"/>
              </w:rPr>
            </w:pPr>
            <w:r w:rsidRPr="008B2DDA">
              <w:rPr>
                <w:rFonts w:eastAsia="Times New Roman" w:cstheme="minorHAnsi"/>
                <w:sz w:val="18"/>
                <w:szCs w:val="18"/>
                <w:lang w:eastAsia="en-GB"/>
              </w:rPr>
              <w:t>Share premium</w:t>
            </w:r>
          </w:p>
        </w:tc>
        <w:tc>
          <w:tcPr>
            <w:tcW w:w="778" w:type="dxa"/>
            <w:gridSpan w:val="2"/>
            <w:tcBorders>
              <w:top w:val="nil"/>
              <w:left w:val="nil"/>
              <w:bottom w:val="nil"/>
              <w:right w:val="nil"/>
            </w:tcBorders>
            <w:shd w:val="clear" w:color="000000" w:fill="FFFFFF"/>
            <w:noWrap/>
            <w:vAlign w:val="bottom"/>
            <w:hideMark/>
          </w:tcPr>
          <w:p w14:paraId="1B0B605D" w14:textId="77777777" w:rsidR="00FA18EA" w:rsidRPr="000C5053" w:rsidRDefault="00FA18EA" w:rsidP="00FA18EA">
            <w:pPr>
              <w:jc w:val="center"/>
              <w:rPr>
                <w:rFonts w:eastAsia="Times New Roman" w:cstheme="minorHAnsi"/>
                <w:sz w:val="18"/>
                <w:szCs w:val="18"/>
                <w:lang w:eastAsia="en-GB"/>
              </w:rPr>
            </w:pPr>
          </w:p>
        </w:tc>
        <w:tc>
          <w:tcPr>
            <w:tcW w:w="282" w:type="dxa"/>
            <w:tcBorders>
              <w:top w:val="nil"/>
              <w:left w:val="nil"/>
              <w:bottom w:val="nil"/>
              <w:right w:val="nil"/>
            </w:tcBorders>
            <w:shd w:val="clear" w:color="000000" w:fill="FFFFFF"/>
            <w:noWrap/>
            <w:vAlign w:val="bottom"/>
            <w:hideMark/>
          </w:tcPr>
          <w:p w14:paraId="1E7C8A28" w14:textId="77777777" w:rsidR="00FA18EA" w:rsidRPr="0091098D" w:rsidRDefault="00FA18EA" w:rsidP="00FA18EA">
            <w:pPr>
              <w:rPr>
                <w:rFonts w:eastAsia="Times New Roman" w:cstheme="minorHAnsi"/>
                <w:sz w:val="18"/>
                <w:szCs w:val="18"/>
                <w:lang w:eastAsia="en-GB"/>
              </w:rPr>
            </w:pPr>
            <w:r w:rsidRPr="0091098D">
              <w:rPr>
                <w:rFonts w:eastAsia="Times New Roman" w:cstheme="minorHAnsi"/>
                <w:sz w:val="18"/>
                <w:szCs w:val="18"/>
                <w:lang w:eastAsia="en-GB"/>
              </w:rPr>
              <w:t> </w:t>
            </w:r>
          </w:p>
        </w:tc>
        <w:tc>
          <w:tcPr>
            <w:tcW w:w="1599" w:type="dxa"/>
            <w:gridSpan w:val="2"/>
            <w:tcBorders>
              <w:top w:val="nil"/>
              <w:left w:val="nil"/>
              <w:bottom w:val="nil"/>
              <w:right w:val="nil"/>
            </w:tcBorders>
            <w:shd w:val="clear" w:color="000000" w:fill="FFFFFF"/>
            <w:noWrap/>
            <w:vAlign w:val="bottom"/>
            <w:hideMark/>
          </w:tcPr>
          <w:p w14:paraId="2ACCE71E" w14:textId="77777777" w:rsidR="00FA18EA" w:rsidRPr="0075195E" w:rsidRDefault="00FA18EA" w:rsidP="00FA18EA">
            <w:pPr>
              <w:jc w:val="right"/>
              <w:rPr>
                <w:rFonts w:eastAsia="Times New Roman" w:cstheme="minorHAnsi"/>
                <w:b/>
                <w:bCs/>
                <w:sz w:val="18"/>
                <w:szCs w:val="18"/>
                <w:lang w:eastAsia="en-GB"/>
              </w:rPr>
            </w:pPr>
            <w:r w:rsidRPr="0075195E">
              <w:rPr>
                <w:rFonts w:eastAsia="Times New Roman" w:cstheme="minorHAnsi"/>
                <w:b/>
                <w:bCs/>
                <w:sz w:val="18"/>
                <w:szCs w:val="18"/>
                <w:lang w:eastAsia="en-GB"/>
              </w:rPr>
              <w:t>13,063</w:t>
            </w:r>
          </w:p>
        </w:tc>
        <w:tc>
          <w:tcPr>
            <w:tcW w:w="282" w:type="dxa"/>
            <w:tcBorders>
              <w:top w:val="nil"/>
              <w:left w:val="nil"/>
              <w:bottom w:val="nil"/>
              <w:right w:val="nil"/>
            </w:tcBorders>
            <w:shd w:val="clear" w:color="000000" w:fill="FFFFFF"/>
            <w:noWrap/>
            <w:vAlign w:val="bottom"/>
            <w:hideMark/>
          </w:tcPr>
          <w:p w14:paraId="11CB216C" w14:textId="77777777" w:rsidR="00FA18EA" w:rsidRPr="00536A35" w:rsidRDefault="00FA18EA" w:rsidP="00FA18EA">
            <w:pPr>
              <w:rPr>
                <w:rFonts w:eastAsia="Times New Roman" w:cstheme="minorHAnsi"/>
                <w:sz w:val="18"/>
                <w:szCs w:val="18"/>
                <w:lang w:eastAsia="en-GB"/>
              </w:rPr>
            </w:pPr>
            <w:r w:rsidRPr="00536A35">
              <w:rPr>
                <w:rFonts w:eastAsia="Times New Roman" w:cstheme="minorHAnsi"/>
                <w:sz w:val="18"/>
                <w:szCs w:val="18"/>
                <w:lang w:eastAsia="en-GB"/>
              </w:rPr>
              <w:t> </w:t>
            </w:r>
          </w:p>
        </w:tc>
        <w:tc>
          <w:tcPr>
            <w:tcW w:w="1736" w:type="dxa"/>
            <w:tcBorders>
              <w:top w:val="nil"/>
              <w:left w:val="nil"/>
              <w:bottom w:val="nil"/>
              <w:right w:val="nil"/>
            </w:tcBorders>
            <w:shd w:val="clear" w:color="000000" w:fill="FFFFFF"/>
            <w:noWrap/>
            <w:vAlign w:val="bottom"/>
            <w:hideMark/>
          </w:tcPr>
          <w:p w14:paraId="38CDF690" w14:textId="77777777" w:rsidR="00FA18EA" w:rsidRPr="00A02B31" w:rsidRDefault="00FA18EA" w:rsidP="00FA18EA">
            <w:pPr>
              <w:jc w:val="right"/>
              <w:rPr>
                <w:rFonts w:eastAsia="Times New Roman" w:cstheme="minorHAnsi"/>
                <w:sz w:val="18"/>
                <w:szCs w:val="18"/>
                <w:lang w:eastAsia="en-GB"/>
              </w:rPr>
            </w:pPr>
            <w:r w:rsidRPr="00A02B31">
              <w:rPr>
                <w:rFonts w:eastAsia="Times New Roman" w:cstheme="minorHAnsi"/>
                <w:sz w:val="18"/>
                <w:szCs w:val="18"/>
                <w:lang w:eastAsia="en-GB"/>
              </w:rPr>
              <w:t>13,063</w:t>
            </w:r>
          </w:p>
        </w:tc>
      </w:tr>
      <w:tr w:rsidR="00FA18EA" w:rsidRPr="007600A7" w14:paraId="3339CE39" w14:textId="77777777" w:rsidTr="00FA18EA">
        <w:trPr>
          <w:trHeight w:val="286"/>
        </w:trPr>
        <w:tc>
          <w:tcPr>
            <w:tcW w:w="5078" w:type="dxa"/>
            <w:gridSpan w:val="2"/>
            <w:tcBorders>
              <w:top w:val="nil"/>
              <w:left w:val="nil"/>
              <w:bottom w:val="nil"/>
              <w:right w:val="nil"/>
            </w:tcBorders>
            <w:shd w:val="clear" w:color="000000" w:fill="FFFFFF"/>
            <w:noWrap/>
            <w:vAlign w:val="bottom"/>
            <w:hideMark/>
          </w:tcPr>
          <w:p w14:paraId="4650B96D" w14:textId="77777777" w:rsidR="00FA18EA" w:rsidRPr="008B2DDA" w:rsidRDefault="00FA18EA" w:rsidP="00FA18EA">
            <w:pPr>
              <w:rPr>
                <w:rFonts w:eastAsia="Times New Roman" w:cstheme="minorHAnsi"/>
                <w:sz w:val="18"/>
                <w:szCs w:val="18"/>
                <w:lang w:eastAsia="en-GB"/>
              </w:rPr>
            </w:pPr>
            <w:r w:rsidRPr="008B2DDA">
              <w:rPr>
                <w:rFonts w:eastAsia="Times New Roman" w:cstheme="minorHAnsi"/>
                <w:sz w:val="18"/>
                <w:szCs w:val="18"/>
                <w:lang w:eastAsia="en-GB"/>
              </w:rPr>
              <w:t>Revenue reserve</w:t>
            </w:r>
          </w:p>
        </w:tc>
        <w:tc>
          <w:tcPr>
            <w:tcW w:w="778" w:type="dxa"/>
            <w:gridSpan w:val="2"/>
            <w:tcBorders>
              <w:top w:val="nil"/>
              <w:left w:val="nil"/>
              <w:bottom w:val="nil"/>
              <w:right w:val="nil"/>
            </w:tcBorders>
            <w:shd w:val="clear" w:color="000000" w:fill="FFFFFF"/>
            <w:noWrap/>
            <w:vAlign w:val="bottom"/>
            <w:hideMark/>
          </w:tcPr>
          <w:p w14:paraId="21E65800" w14:textId="77777777" w:rsidR="00FA18EA" w:rsidRPr="0091098D" w:rsidRDefault="00FA18EA" w:rsidP="00FA18EA">
            <w:pPr>
              <w:jc w:val="center"/>
              <w:rPr>
                <w:rFonts w:eastAsia="Times New Roman" w:cstheme="minorHAnsi"/>
                <w:sz w:val="18"/>
                <w:szCs w:val="18"/>
                <w:lang w:eastAsia="en-GB"/>
              </w:rPr>
            </w:pPr>
            <w:r w:rsidRPr="000C5053">
              <w:rPr>
                <w:rFonts w:eastAsia="Times New Roman" w:cstheme="minorHAnsi"/>
                <w:sz w:val="18"/>
                <w:szCs w:val="18"/>
                <w:lang w:eastAsia="en-GB"/>
              </w:rPr>
              <w:t>14</w:t>
            </w:r>
          </w:p>
        </w:tc>
        <w:tc>
          <w:tcPr>
            <w:tcW w:w="282" w:type="dxa"/>
            <w:tcBorders>
              <w:top w:val="nil"/>
              <w:left w:val="nil"/>
              <w:bottom w:val="nil"/>
              <w:right w:val="nil"/>
            </w:tcBorders>
            <w:shd w:val="clear" w:color="000000" w:fill="FFFFFF"/>
            <w:noWrap/>
            <w:vAlign w:val="bottom"/>
            <w:hideMark/>
          </w:tcPr>
          <w:p w14:paraId="1CCAC3D4" w14:textId="77777777" w:rsidR="00FA18EA" w:rsidRPr="0075195E" w:rsidRDefault="00FA18EA" w:rsidP="00FA18EA">
            <w:pPr>
              <w:rPr>
                <w:rFonts w:eastAsia="Times New Roman" w:cstheme="minorHAnsi"/>
                <w:sz w:val="18"/>
                <w:szCs w:val="18"/>
                <w:lang w:eastAsia="en-GB"/>
              </w:rPr>
            </w:pPr>
            <w:r w:rsidRPr="0075195E">
              <w:rPr>
                <w:rFonts w:eastAsia="Times New Roman" w:cstheme="minorHAnsi"/>
                <w:sz w:val="18"/>
                <w:szCs w:val="18"/>
                <w:lang w:eastAsia="en-GB"/>
              </w:rPr>
              <w:t> </w:t>
            </w:r>
          </w:p>
        </w:tc>
        <w:tc>
          <w:tcPr>
            <w:tcW w:w="1599" w:type="dxa"/>
            <w:gridSpan w:val="2"/>
            <w:tcBorders>
              <w:top w:val="nil"/>
              <w:left w:val="nil"/>
              <w:bottom w:val="nil"/>
              <w:right w:val="nil"/>
            </w:tcBorders>
            <w:shd w:val="clear" w:color="000000" w:fill="FFFFFF"/>
            <w:noWrap/>
            <w:vAlign w:val="bottom"/>
            <w:hideMark/>
          </w:tcPr>
          <w:p w14:paraId="29C76EF7" w14:textId="77777777" w:rsidR="00FA18EA" w:rsidRPr="00536A35" w:rsidRDefault="00FA18EA" w:rsidP="00FA18EA">
            <w:pPr>
              <w:jc w:val="right"/>
              <w:rPr>
                <w:rFonts w:eastAsia="Times New Roman" w:cstheme="minorHAnsi"/>
                <w:b/>
                <w:bCs/>
                <w:sz w:val="18"/>
                <w:szCs w:val="18"/>
                <w:lang w:eastAsia="en-GB"/>
              </w:rPr>
            </w:pPr>
            <w:r w:rsidRPr="00536A35">
              <w:rPr>
                <w:rFonts w:eastAsia="Times New Roman" w:cstheme="minorHAnsi"/>
                <w:b/>
                <w:bCs/>
                <w:sz w:val="18"/>
                <w:szCs w:val="18"/>
                <w:lang w:eastAsia="en-GB"/>
              </w:rPr>
              <w:t>15,320</w:t>
            </w:r>
          </w:p>
        </w:tc>
        <w:tc>
          <w:tcPr>
            <w:tcW w:w="282" w:type="dxa"/>
            <w:tcBorders>
              <w:top w:val="nil"/>
              <w:left w:val="nil"/>
              <w:bottom w:val="nil"/>
              <w:right w:val="nil"/>
            </w:tcBorders>
            <w:shd w:val="clear" w:color="000000" w:fill="FFFFFF"/>
            <w:noWrap/>
            <w:vAlign w:val="bottom"/>
            <w:hideMark/>
          </w:tcPr>
          <w:p w14:paraId="62F8B020" w14:textId="77777777" w:rsidR="00FA18EA" w:rsidRPr="00A02B31" w:rsidRDefault="00FA18EA" w:rsidP="00FA18EA">
            <w:pPr>
              <w:rPr>
                <w:rFonts w:eastAsia="Times New Roman" w:cstheme="minorHAnsi"/>
                <w:sz w:val="18"/>
                <w:szCs w:val="18"/>
                <w:lang w:eastAsia="en-GB"/>
              </w:rPr>
            </w:pPr>
            <w:r w:rsidRPr="00A02B31">
              <w:rPr>
                <w:rFonts w:eastAsia="Times New Roman" w:cstheme="minorHAnsi"/>
                <w:sz w:val="18"/>
                <w:szCs w:val="18"/>
                <w:lang w:eastAsia="en-GB"/>
              </w:rPr>
              <w:t> </w:t>
            </w:r>
          </w:p>
        </w:tc>
        <w:tc>
          <w:tcPr>
            <w:tcW w:w="1736" w:type="dxa"/>
            <w:tcBorders>
              <w:top w:val="nil"/>
              <w:left w:val="nil"/>
              <w:bottom w:val="nil"/>
              <w:right w:val="nil"/>
            </w:tcBorders>
            <w:shd w:val="clear" w:color="000000" w:fill="FFFFFF"/>
            <w:noWrap/>
            <w:vAlign w:val="bottom"/>
            <w:hideMark/>
          </w:tcPr>
          <w:p w14:paraId="7989B6E1" w14:textId="77777777" w:rsidR="00FA18EA" w:rsidRPr="00A02B31" w:rsidRDefault="00FA18EA" w:rsidP="00FA18EA">
            <w:pPr>
              <w:jc w:val="right"/>
              <w:rPr>
                <w:rFonts w:eastAsia="Times New Roman" w:cstheme="minorHAnsi"/>
                <w:sz w:val="18"/>
                <w:szCs w:val="18"/>
                <w:lang w:eastAsia="en-GB"/>
              </w:rPr>
            </w:pPr>
            <w:r w:rsidRPr="00A02B31">
              <w:rPr>
                <w:rFonts w:eastAsia="Times New Roman" w:cstheme="minorHAnsi"/>
                <w:sz w:val="18"/>
                <w:szCs w:val="18"/>
                <w:lang w:eastAsia="en-GB"/>
              </w:rPr>
              <w:t>26,969</w:t>
            </w:r>
          </w:p>
        </w:tc>
      </w:tr>
      <w:tr w:rsidR="00FA18EA" w:rsidRPr="007600A7" w14:paraId="44E58619" w14:textId="77777777" w:rsidTr="00FA18EA">
        <w:trPr>
          <w:trHeight w:val="286"/>
        </w:trPr>
        <w:tc>
          <w:tcPr>
            <w:tcW w:w="5078" w:type="dxa"/>
            <w:gridSpan w:val="2"/>
            <w:tcBorders>
              <w:top w:val="nil"/>
              <w:left w:val="nil"/>
              <w:bottom w:val="single" w:sz="4" w:space="0" w:color="auto"/>
              <w:right w:val="nil"/>
            </w:tcBorders>
            <w:shd w:val="clear" w:color="000000" w:fill="FFFFFF"/>
            <w:noWrap/>
            <w:vAlign w:val="bottom"/>
            <w:hideMark/>
          </w:tcPr>
          <w:p w14:paraId="4BA93D8B" w14:textId="77777777" w:rsidR="00FA18EA" w:rsidRPr="008B2DDA" w:rsidRDefault="00FA18EA" w:rsidP="00FA18EA">
            <w:pPr>
              <w:rPr>
                <w:rFonts w:eastAsia="Times New Roman" w:cstheme="minorHAnsi"/>
                <w:sz w:val="18"/>
                <w:szCs w:val="18"/>
                <w:lang w:eastAsia="en-GB"/>
              </w:rPr>
            </w:pPr>
            <w:r w:rsidRPr="008B2DDA">
              <w:rPr>
                <w:rFonts w:eastAsia="Times New Roman" w:cstheme="minorHAnsi"/>
                <w:sz w:val="18"/>
                <w:szCs w:val="18"/>
                <w:lang w:eastAsia="en-GB"/>
              </w:rPr>
              <w:t>Capital redemption reserve</w:t>
            </w:r>
          </w:p>
        </w:tc>
        <w:tc>
          <w:tcPr>
            <w:tcW w:w="778" w:type="dxa"/>
            <w:gridSpan w:val="2"/>
            <w:tcBorders>
              <w:top w:val="nil"/>
              <w:left w:val="nil"/>
              <w:bottom w:val="single" w:sz="4" w:space="0" w:color="auto"/>
              <w:right w:val="nil"/>
            </w:tcBorders>
            <w:shd w:val="clear" w:color="000000" w:fill="FFFFFF"/>
            <w:noWrap/>
            <w:vAlign w:val="bottom"/>
            <w:hideMark/>
          </w:tcPr>
          <w:p w14:paraId="36AAD95C" w14:textId="77777777" w:rsidR="00FA18EA" w:rsidRPr="0091098D" w:rsidRDefault="00FA18EA" w:rsidP="00FA18EA">
            <w:pPr>
              <w:jc w:val="right"/>
              <w:rPr>
                <w:rFonts w:eastAsia="Times New Roman" w:cstheme="minorHAnsi"/>
                <w:sz w:val="18"/>
                <w:szCs w:val="18"/>
                <w:lang w:eastAsia="en-GB"/>
              </w:rPr>
            </w:pPr>
            <w:r w:rsidRPr="000C5053">
              <w:rPr>
                <w:rFonts w:eastAsia="Times New Roman" w:cstheme="minorHAnsi"/>
                <w:sz w:val="18"/>
                <w:szCs w:val="18"/>
                <w:lang w:eastAsia="en-GB"/>
              </w:rPr>
              <w:t> </w:t>
            </w:r>
          </w:p>
        </w:tc>
        <w:tc>
          <w:tcPr>
            <w:tcW w:w="282" w:type="dxa"/>
            <w:tcBorders>
              <w:top w:val="nil"/>
              <w:left w:val="nil"/>
              <w:bottom w:val="single" w:sz="4" w:space="0" w:color="auto"/>
              <w:right w:val="nil"/>
            </w:tcBorders>
            <w:shd w:val="clear" w:color="000000" w:fill="FFFFFF"/>
            <w:noWrap/>
            <w:vAlign w:val="bottom"/>
            <w:hideMark/>
          </w:tcPr>
          <w:p w14:paraId="53616C6C" w14:textId="77777777" w:rsidR="00FA18EA" w:rsidRPr="0075195E" w:rsidRDefault="00FA18EA" w:rsidP="00FA18EA">
            <w:pPr>
              <w:rPr>
                <w:rFonts w:eastAsia="Times New Roman" w:cstheme="minorHAnsi"/>
                <w:sz w:val="18"/>
                <w:szCs w:val="18"/>
                <w:lang w:eastAsia="en-GB"/>
              </w:rPr>
            </w:pPr>
            <w:r w:rsidRPr="0075195E">
              <w:rPr>
                <w:rFonts w:eastAsia="Times New Roman" w:cstheme="minorHAnsi"/>
                <w:sz w:val="18"/>
                <w:szCs w:val="18"/>
                <w:lang w:eastAsia="en-GB"/>
              </w:rPr>
              <w:t> </w:t>
            </w:r>
          </w:p>
        </w:tc>
        <w:tc>
          <w:tcPr>
            <w:tcW w:w="1599" w:type="dxa"/>
            <w:gridSpan w:val="2"/>
            <w:tcBorders>
              <w:top w:val="nil"/>
              <w:left w:val="nil"/>
              <w:bottom w:val="single" w:sz="4" w:space="0" w:color="auto"/>
              <w:right w:val="nil"/>
            </w:tcBorders>
            <w:shd w:val="clear" w:color="000000" w:fill="FFFFFF"/>
            <w:noWrap/>
            <w:vAlign w:val="bottom"/>
            <w:hideMark/>
          </w:tcPr>
          <w:p w14:paraId="5B894872" w14:textId="77777777" w:rsidR="00FA18EA" w:rsidRPr="00536A35" w:rsidRDefault="00FA18EA" w:rsidP="00FA18EA">
            <w:pPr>
              <w:jc w:val="right"/>
              <w:rPr>
                <w:rFonts w:eastAsia="Times New Roman" w:cstheme="minorHAnsi"/>
                <w:b/>
                <w:bCs/>
                <w:sz w:val="18"/>
                <w:szCs w:val="18"/>
                <w:lang w:eastAsia="en-GB"/>
              </w:rPr>
            </w:pPr>
            <w:r w:rsidRPr="00536A35">
              <w:rPr>
                <w:rFonts w:eastAsia="Times New Roman" w:cstheme="minorHAnsi"/>
                <w:b/>
                <w:bCs/>
                <w:sz w:val="18"/>
                <w:szCs w:val="18"/>
                <w:lang w:eastAsia="en-GB"/>
              </w:rPr>
              <w:t>11,344</w:t>
            </w:r>
          </w:p>
        </w:tc>
        <w:tc>
          <w:tcPr>
            <w:tcW w:w="282" w:type="dxa"/>
            <w:tcBorders>
              <w:top w:val="nil"/>
              <w:left w:val="nil"/>
              <w:bottom w:val="single" w:sz="4" w:space="0" w:color="auto"/>
              <w:right w:val="nil"/>
            </w:tcBorders>
            <w:shd w:val="clear" w:color="000000" w:fill="FFFFFF"/>
            <w:noWrap/>
            <w:vAlign w:val="bottom"/>
            <w:hideMark/>
          </w:tcPr>
          <w:p w14:paraId="3CAD15C1" w14:textId="77777777" w:rsidR="00FA18EA" w:rsidRPr="00A02B31" w:rsidRDefault="00FA18EA" w:rsidP="00FA18EA">
            <w:pPr>
              <w:rPr>
                <w:rFonts w:eastAsia="Times New Roman" w:cstheme="minorHAnsi"/>
                <w:sz w:val="18"/>
                <w:szCs w:val="18"/>
                <w:lang w:eastAsia="en-GB"/>
              </w:rPr>
            </w:pPr>
            <w:r w:rsidRPr="00A02B31">
              <w:rPr>
                <w:rFonts w:eastAsia="Times New Roman" w:cstheme="minorHAnsi"/>
                <w:sz w:val="18"/>
                <w:szCs w:val="18"/>
                <w:lang w:eastAsia="en-GB"/>
              </w:rPr>
              <w:t> </w:t>
            </w:r>
          </w:p>
        </w:tc>
        <w:tc>
          <w:tcPr>
            <w:tcW w:w="1736" w:type="dxa"/>
            <w:tcBorders>
              <w:top w:val="nil"/>
              <w:left w:val="nil"/>
              <w:bottom w:val="single" w:sz="4" w:space="0" w:color="auto"/>
              <w:right w:val="nil"/>
            </w:tcBorders>
            <w:shd w:val="clear" w:color="000000" w:fill="FFFFFF"/>
            <w:noWrap/>
            <w:vAlign w:val="bottom"/>
            <w:hideMark/>
          </w:tcPr>
          <w:p w14:paraId="57286CDF" w14:textId="77777777" w:rsidR="00FA18EA" w:rsidRPr="00A02B31" w:rsidRDefault="00FA18EA" w:rsidP="00FA18EA">
            <w:pPr>
              <w:jc w:val="right"/>
              <w:rPr>
                <w:rFonts w:eastAsia="Times New Roman" w:cstheme="minorHAnsi"/>
                <w:sz w:val="18"/>
                <w:szCs w:val="18"/>
                <w:lang w:eastAsia="en-GB"/>
              </w:rPr>
            </w:pPr>
            <w:r w:rsidRPr="00A02B31">
              <w:rPr>
                <w:rFonts w:eastAsia="Times New Roman" w:cstheme="minorHAnsi"/>
                <w:sz w:val="18"/>
                <w:szCs w:val="18"/>
                <w:lang w:eastAsia="en-GB"/>
              </w:rPr>
              <w:t>10,874</w:t>
            </w:r>
          </w:p>
        </w:tc>
      </w:tr>
      <w:tr w:rsidR="00FA18EA" w:rsidRPr="007600A7" w14:paraId="1BA79867" w14:textId="77777777" w:rsidTr="00FA18EA">
        <w:trPr>
          <w:trHeight w:val="286"/>
        </w:trPr>
        <w:tc>
          <w:tcPr>
            <w:tcW w:w="2539" w:type="dxa"/>
            <w:tcBorders>
              <w:top w:val="nil"/>
              <w:left w:val="nil"/>
              <w:bottom w:val="single" w:sz="8" w:space="0" w:color="auto"/>
              <w:right w:val="nil"/>
            </w:tcBorders>
            <w:shd w:val="clear" w:color="000000" w:fill="FFFFFF"/>
            <w:noWrap/>
            <w:vAlign w:val="bottom"/>
            <w:hideMark/>
          </w:tcPr>
          <w:p w14:paraId="345633D1" w14:textId="77777777" w:rsidR="00FA18EA" w:rsidRPr="008B2DDA" w:rsidRDefault="00FA18EA" w:rsidP="00FA18EA">
            <w:pPr>
              <w:rPr>
                <w:rFonts w:eastAsia="Times New Roman" w:cstheme="minorHAnsi"/>
                <w:b/>
                <w:bCs/>
                <w:sz w:val="18"/>
                <w:szCs w:val="18"/>
                <w:lang w:eastAsia="en-GB"/>
              </w:rPr>
            </w:pPr>
            <w:r w:rsidRPr="008B2DDA">
              <w:rPr>
                <w:rFonts w:eastAsia="Times New Roman" w:cstheme="minorHAnsi"/>
                <w:b/>
                <w:bCs/>
                <w:sz w:val="18"/>
                <w:szCs w:val="18"/>
                <w:lang w:eastAsia="en-GB"/>
              </w:rPr>
              <w:t>Total equity</w:t>
            </w:r>
          </w:p>
        </w:tc>
        <w:tc>
          <w:tcPr>
            <w:tcW w:w="2539" w:type="dxa"/>
            <w:tcBorders>
              <w:top w:val="nil"/>
              <w:left w:val="nil"/>
              <w:bottom w:val="single" w:sz="8" w:space="0" w:color="auto"/>
              <w:right w:val="nil"/>
            </w:tcBorders>
            <w:shd w:val="clear" w:color="000000" w:fill="FFFFFF"/>
            <w:vAlign w:val="bottom"/>
          </w:tcPr>
          <w:p w14:paraId="6A0E9E62" w14:textId="77777777" w:rsidR="00FA18EA" w:rsidRPr="000C5053" w:rsidRDefault="00FA18EA" w:rsidP="00FA18EA">
            <w:pPr>
              <w:rPr>
                <w:rFonts w:eastAsia="Times New Roman" w:cstheme="minorHAnsi"/>
                <w:b/>
                <w:bCs/>
                <w:sz w:val="18"/>
                <w:szCs w:val="18"/>
                <w:lang w:eastAsia="en-GB"/>
              </w:rPr>
            </w:pPr>
          </w:p>
        </w:tc>
        <w:tc>
          <w:tcPr>
            <w:tcW w:w="778" w:type="dxa"/>
            <w:gridSpan w:val="2"/>
            <w:tcBorders>
              <w:top w:val="nil"/>
              <w:left w:val="nil"/>
              <w:bottom w:val="single" w:sz="8" w:space="0" w:color="auto"/>
              <w:right w:val="nil"/>
            </w:tcBorders>
            <w:shd w:val="clear" w:color="000000" w:fill="FFFFFF"/>
            <w:noWrap/>
            <w:vAlign w:val="bottom"/>
            <w:hideMark/>
          </w:tcPr>
          <w:p w14:paraId="4DDEFE0D" w14:textId="77777777" w:rsidR="00FA18EA" w:rsidRPr="0091098D" w:rsidRDefault="00FA18EA" w:rsidP="00FA18EA">
            <w:pPr>
              <w:jc w:val="right"/>
              <w:rPr>
                <w:rFonts w:eastAsia="Times New Roman" w:cstheme="minorHAnsi"/>
                <w:sz w:val="18"/>
                <w:szCs w:val="18"/>
                <w:lang w:eastAsia="en-GB"/>
              </w:rPr>
            </w:pPr>
            <w:r w:rsidRPr="0091098D">
              <w:rPr>
                <w:rFonts w:eastAsia="Times New Roman" w:cstheme="minorHAnsi"/>
                <w:sz w:val="18"/>
                <w:szCs w:val="18"/>
                <w:lang w:eastAsia="en-GB"/>
              </w:rPr>
              <w:t> </w:t>
            </w:r>
          </w:p>
        </w:tc>
        <w:tc>
          <w:tcPr>
            <w:tcW w:w="282" w:type="dxa"/>
            <w:tcBorders>
              <w:top w:val="nil"/>
              <w:left w:val="nil"/>
              <w:bottom w:val="single" w:sz="8" w:space="0" w:color="auto"/>
              <w:right w:val="nil"/>
            </w:tcBorders>
            <w:shd w:val="clear" w:color="000000" w:fill="FFFFFF"/>
            <w:noWrap/>
            <w:vAlign w:val="bottom"/>
            <w:hideMark/>
          </w:tcPr>
          <w:p w14:paraId="7EC51A80" w14:textId="77777777" w:rsidR="00FA18EA" w:rsidRPr="0075195E" w:rsidRDefault="00FA18EA" w:rsidP="00FA18EA">
            <w:pPr>
              <w:rPr>
                <w:rFonts w:eastAsia="Times New Roman" w:cstheme="minorHAnsi"/>
                <w:sz w:val="18"/>
                <w:szCs w:val="18"/>
                <w:lang w:eastAsia="en-GB"/>
              </w:rPr>
            </w:pPr>
            <w:r w:rsidRPr="0075195E">
              <w:rPr>
                <w:rFonts w:eastAsia="Times New Roman" w:cstheme="minorHAnsi"/>
                <w:sz w:val="18"/>
                <w:szCs w:val="18"/>
                <w:lang w:eastAsia="en-GB"/>
              </w:rPr>
              <w:t> </w:t>
            </w:r>
          </w:p>
        </w:tc>
        <w:tc>
          <w:tcPr>
            <w:tcW w:w="799" w:type="dxa"/>
            <w:tcBorders>
              <w:top w:val="nil"/>
              <w:left w:val="nil"/>
              <w:bottom w:val="single" w:sz="8" w:space="0" w:color="auto"/>
              <w:right w:val="nil"/>
            </w:tcBorders>
            <w:shd w:val="clear" w:color="000000" w:fill="FFFFFF"/>
            <w:noWrap/>
            <w:vAlign w:val="bottom"/>
          </w:tcPr>
          <w:p w14:paraId="6A96A246" w14:textId="77777777" w:rsidR="00FA18EA" w:rsidRPr="00536A35" w:rsidRDefault="00FA18EA" w:rsidP="00FA18EA">
            <w:pPr>
              <w:jc w:val="right"/>
              <w:rPr>
                <w:rFonts w:eastAsia="Times New Roman" w:cstheme="minorHAnsi"/>
                <w:b/>
                <w:bCs/>
                <w:sz w:val="18"/>
                <w:szCs w:val="18"/>
                <w:lang w:eastAsia="en-GB"/>
              </w:rPr>
            </w:pPr>
          </w:p>
        </w:tc>
        <w:tc>
          <w:tcPr>
            <w:tcW w:w="800" w:type="dxa"/>
            <w:tcBorders>
              <w:top w:val="nil"/>
              <w:left w:val="nil"/>
              <w:bottom w:val="single" w:sz="8" w:space="0" w:color="auto"/>
              <w:right w:val="nil"/>
            </w:tcBorders>
            <w:shd w:val="clear" w:color="000000" w:fill="FFFFFF"/>
            <w:vAlign w:val="bottom"/>
          </w:tcPr>
          <w:p w14:paraId="2FDC4859" w14:textId="77777777" w:rsidR="00FA18EA" w:rsidRPr="00A02B31" w:rsidRDefault="00FA18EA" w:rsidP="00FA18EA">
            <w:pPr>
              <w:jc w:val="right"/>
              <w:rPr>
                <w:rFonts w:eastAsia="Times New Roman" w:cstheme="minorHAnsi"/>
                <w:b/>
                <w:bCs/>
                <w:sz w:val="18"/>
                <w:szCs w:val="18"/>
                <w:lang w:eastAsia="en-GB"/>
              </w:rPr>
            </w:pPr>
            <w:r w:rsidRPr="00A02B31">
              <w:rPr>
                <w:rFonts w:eastAsia="Times New Roman" w:cstheme="minorHAnsi"/>
                <w:b/>
                <w:bCs/>
                <w:sz w:val="18"/>
                <w:szCs w:val="18"/>
                <w:lang w:eastAsia="en-GB"/>
              </w:rPr>
              <w:t>41,008</w:t>
            </w:r>
          </w:p>
        </w:tc>
        <w:tc>
          <w:tcPr>
            <w:tcW w:w="282" w:type="dxa"/>
            <w:tcBorders>
              <w:top w:val="nil"/>
              <w:left w:val="nil"/>
              <w:bottom w:val="single" w:sz="8" w:space="0" w:color="auto"/>
              <w:right w:val="nil"/>
            </w:tcBorders>
            <w:shd w:val="clear" w:color="000000" w:fill="FFFFFF"/>
            <w:noWrap/>
            <w:vAlign w:val="bottom"/>
            <w:hideMark/>
          </w:tcPr>
          <w:p w14:paraId="30D04DE8" w14:textId="77777777" w:rsidR="00FA18EA" w:rsidRPr="00A02B31" w:rsidRDefault="00FA18EA" w:rsidP="00FA18EA">
            <w:pPr>
              <w:rPr>
                <w:rFonts w:eastAsia="Times New Roman" w:cstheme="minorHAnsi"/>
                <w:sz w:val="18"/>
                <w:szCs w:val="18"/>
                <w:highlight w:val="yellow"/>
                <w:lang w:eastAsia="en-GB"/>
              </w:rPr>
            </w:pPr>
            <w:r w:rsidRPr="00A02B31">
              <w:rPr>
                <w:rFonts w:eastAsia="Times New Roman" w:cstheme="minorHAnsi"/>
                <w:sz w:val="18"/>
                <w:szCs w:val="18"/>
                <w:lang w:eastAsia="en-GB"/>
              </w:rPr>
              <w:t> </w:t>
            </w:r>
          </w:p>
        </w:tc>
        <w:tc>
          <w:tcPr>
            <w:tcW w:w="1736" w:type="dxa"/>
            <w:tcBorders>
              <w:top w:val="nil"/>
              <w:left w:val="nil"/>
              <w:bottom w:val="single" w:sz="8" w:space="0" w:color="auto"/>
              <w:right w:val="nil"/>
            </w:tcBorders>
            <w:shd w:val="clear" w:color="000000" w:fill="FFFFFF"/>
            <w:noWrap/>
            <w:vAlign w:val="bottom"/>
            <w:hideMark/>
          </w:tcPr>
          <w:p w14:paraId="42499360" w14:textId="77777777" w:rsidR="00FA18EA" w:rsidRPr="00A02B31" w:rsidRDefault="00FA18EA" w:rsidP="00FA18EA">
            <w:pPr>
              <w:jc w:val="right"/>
              <w:rPr>
                <w:rFonts w:eastAsia="Times New Roman" w:cstheme="minorHAnsi"/>
                <w:sz w:val="18"/>
                <w:szCs w:val="18"/>
                <w:lang w:eastAsia="en-GB"/>
              </w:rPr>
            </w:pPr>
            <w:r w:rsidRPr="00A02B31">
              <w:rPr>
                <w:rFonts w:eastAsia="Times New Roman" w:cstheme="minorHAnsi"/>
                <w:sz w:val="18"/>
                <w:szCs w:val="18"/>
                <w:lang w:eastAsia="en-GB"/>
              </w:rPr>
              <w:t>52,657</w:t>
            </w:r>
          </w:p>
        </w:tc>
      </w:tr>
    </w:tbl>
    <w:p w14:paraId="078E68AF" w14:textId="77777777" w:rsidR="00FA18EA" w:rsidRPr="008B2DDA" w:rsidRDefault="00FA18EA" w:rsidP="00FA18EA">
      <w:pPr>
        <w:jc w:val="both"/>
        <w:rPr>
          <w:rFonts w:cstheme="minorHAnsi"/>
          <w:sz w:val="18"/>
          <w:szCs w:val="16"/>
        </w:rPr>
      </w:pPr>
    </w:p>
    <w:p w14:paraId="7D52BD10" w14:textId="77777777" w:rsidR="00FA18EA" w:rsidRPr="000C5053" w:rsidRDefault="00FA18EA" w:rsidP="00FA18EA">
      <w:pPr>
        <w:jc w:val="both"/>
        <w:rPr>
          <w:rFonts w:cstheme="minorHAnsi"/>
          <w:sz w:val="18"/>
          <w:szCs w:val="16"/>
        </w:rPr>
      </w:pPr>
    </w:p>
    <w:p w14:paraId="6A2C178E" w14:textId="2C7F95CA" w:rsidR="00FA18EA" w:rsidRPr="0075195E" w:rsidRDefault="00FA18EA" w:rsidP="00FA18EA">
      <w:pPr>
        <w:jc w:val="both"/>
        <w:rPr>
          <w:rFonts w:cstheme="minorHAnsi"/>
          <w:sz w:val="18"/>
          <w:szCs w:val="16"/>
        </w:rPr>
      </w:pPr>
      <w:r w:rsidRPr="0091098D">
        <w:rPr>
          <w:rFonts w:cstheme="minorHAnsi"/>
          <w:sz w:val="18"/>
          <w:szCs w:val="16"/>
        </w:rPr>
        <w:t>The NAV per share on 31 March 2022 is 1,613</w:t>
      </w:r>
      <w:r w:rsidR="00A4427A" w:rsidRPr="0091098D">
        <w:rPr>
          <w:rFonts w:cstheme="minorHAnsi"/>
          <w:sz w:val="18"/>
          <w:szCs w:val="16"/>
        </w:rPr>
        <w:t>.</w:t>
      </w:r>
      <w:r w:rsidRPr="0075195E">
        <w:rPr>
          <w:rFonts w:cstheme="minorHAnsi"/>
          <w:sz w:val="18"/>
          <w:szCs w:val="16"/>
        </w:rPr>
        <w:t>8 pence (2021: 1,512.8 pence)</w:t>
      </w:r>
    </w:p>
    <w:p w14:paraId="38908F75" w14:textId="77777777" w:rsidR="00FA18EA" w:rsidRPr="00536A35" w:rsidRDefault="00FA18EA" w:rsidP="00FA18EA">
      <w:pPr>
        <w:jc w:val="both"/>
        <w:rPr>
          <w:rFonts w:cstheme="minorHAnsi"/>
          <w:sz w:val="18"/>
          <w:szCs w:val="16"/>
        </w:rPr>
      </w:pPr>
    </w:p>
    <w:p w14:paraId="1CDC526C" w14:textId="00DE8DE2" w:rsidR="00FA18EA" w:rsidRPr="00A02B31" w:rsidRDefault="00FA18EA" w:rsidP="00FA18EA">
      <w:pPr>
        <w:jc w:val="both"/>
        <w:rPr>
          <w:rFonts w:cstheme="minorHAnsi"/>
          <w:sz w:val="18"/>
          <w:szCs w:val="16"/>
        </w:rPr>
      </w:pPr>
      <w:r w:rsidRPr="0030187E">
        <w:rPr>
          <w:rFonts w:cstheme="minorHAnsi"/>
          <w:sz w:val="18"/>
          <w:szCs w:val="16"/>
        </w:rPr>
        <w:t xml:space="preserve">These financial statements were approved and authorised for issue by the Board of Directors </w:t>
      </w:r>
      <w:r w:rsidRPr="00A02B31">
        <w:rPr>
          <w:rFonts w:cstheme="minorHAnsi"/>
          <w:sz w:val="18"/>
          <w:szCs w:val="16"/>
        </w:rPr>
        <w:t xml:space="preserve">on </w:t>
      </w:r>
      <w:r w:rsidR="0019404A" w:rsidRPr="00A02B31">
        <w:rPr>
          <w:rFonts w:cstheme="minorHAnsi"/>
          <w:sz w:val="18"/>
          <w:szCs w:val="16"/>
        </w:rPr>
        <w:t>22 June</w:t>
      </w:r>
      <w:r w:rsidRPr="00A02B31">
        <w:rPr>
          <w:rFonts w:cstheme="minorHAnsi"/>
          <w:sz w:val="18"/>
          <w:szCs w:val="16"/>
        </w:rPr>
        <w:t xml:space="preserve"> 2022. Signed on behalf of the Board of Directors.</w:t>
      </w:r>
    </w:p>
    <w:p w14:paraId="4B52C7AF" w14:textId="1F3DB4F2" w:rsidR="00FA18EA" w:rsidRPr="00A02B31" w:rsidRDefault="00FA18EA" w:rsidP="00FA18EA">
      <w:pPr>
        <w:jc w:val="both"/>
        <w:rPr>
          <w:rFonts w:cstheme="minorHAnsi"/>
          <w:color w:val="000000"/>
          <w:sz w:val="18"/>
          <w:szCs w:val="16"/>
        </w:rPr>
      </w:pPr>
    </w:p>
    <w:p w14:paraId="41C3653B" w14:textId="5AEC2D75" w:rsidR="00FA18EA" w:rsidRPr="00A02B31" w:rsidRDefault="00270D73" w:rsidP="00FA18EA">
      <w:pPr>
        <w:jc w:val="both"/>
        <w:rPr>
          <w:rFonts w:cstheme="minorHAnsi"/>
          <w:color w:val="000000"/>
          <w:sz w:val="18"/>
          <w:szCs w:val="16"/>
        </w:rPr>
      </w:pPr>
      <w:r>
        <w:rPr>
          <w:noProof/>
          <w:lang w:eastAsia="en-GB"/>
        </w:rPr>
        <w:drawing>
          <wp:anchor distT="0" distB="0" distL="114300" distR="114300" simplePos="0" relativeHeight="251739136" behindDoc="1" locked="0" layoutInCell="1" allowOverlap="1" wp14:anchorId="5C00B3F3" wp14:editId="26022EEB">
            <wp:simplePos x="0" y="0"/>
            <wp:positionH relativeFrom="margin">
              <wp:align>left</wp:align>
            </wp:positionH>
            <wp:positionV relativeFrom="paragraph">
              <wp:posOffset>42545</wp:posOffset>
            </wp:positionV>
            <wp:extent cx="1200150" cy="6000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200150" cy="60007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38112" behindDoc="1" locked="0" layoutInCell="1" allowOverlap="1" wp14:anchorId="444F9589" wp14:editId="78B9C290">
            <wp:simplePos x="0" y="0"/>
            <wp:positionH relativeFrom="column">
              <wp:posOffset>4086860</wp:posOffset>
            </wp:positionH>
            <wp:positionV relativeFrom="paragraph">
              <wp:posOffset>61595</wp:posOffset>
            </wp:positionV>
            <wp:extent cx="1687945" cy="539750"/>
            <wp:effectExtent l="0" t="0" r="762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1687945" cy="539750"/>
                    </a:xfrm>
                    <a:prstGeom prst="rect">
                      <a:avLst/>
                    </a:prstGeom>
                  </pic:spPr>
                </pic:pic>
              </a:graphicData>
            </a:graphic>
          </wp:anchor>
        </w:drawing>
      </w:r>
    </w:p>
    <w:p w14:paraId="000F6E6A" w14:textId="3464E4EF" w:rsidR="00FA18EA" w:rsidRPr="00A02B31" w:rsidRDefault="00FA18EA" w:rsidP="00FA18EA">
      <w:pPr>
        <w:jc w:val="both"/>
        <w:rPr>
          <w:rFonts w:cstheme="minorHAnsi"/>
          <w:color w:val="000000"/>
          <w:sz w:val="18"/>
          <w:szCs w:val="16"/>
        </w:rPr>
      </w:pPr>
    </w:p>
    <w:p w14:paraId="6B0B9426" w14:textId="2ED52847" w:rsidR="00FA18EA" w:rsidRPr="00A02B31" w:rsidRDefault="00FA18EA" w:rsidP="00270D73">
      <w:pPr>
        <w:ind w:firstLine="720"/>
        <w:jc w:val="both"/>
        <w:rPr>
          <w:rFonts w:cstheme="minorHAnsi"/>
          <w:color w:val="000000"/>
          <w:sz w:val="18"/>
          <w:szCs w:val="16"/>
        </w:rPr>
      </w:pPr>
    </w:p>
    <w:p w14:paraId="363F6620" w14:textId="2D5CC487" w:rsidR="00FA18EA" w:rsidRPr="00A02B31" w:rsidRDefault="00FA18EA" w:rsidP="00FA18EA">
      <w:pPr>
        <w:jc w:val="both"/>
        <w:rPr>
          <w:rFonts w:cstheme="minorHAnsi"/>
          <w:color w:val="000000"/>
          <w:sz w:val="18"/>
          <w:szCs w:val="16"/>
        </w:rPr>
      </w:pPr>
    </w:p>
    <w:p w14:paraId="393DA587" w14:textId="77777777" w:rsidR="00FA18EA" w:rsidRPr="00A02B31" w:rsidRDefault="00FA18EA" w:rsidP="00FA18EA">
      <w:pPr>
        <w:jc w:val="both"/>
        <w:rPr>
          <w:rFonts w:cstheme="minorHAnsi"/>
          <w:color w:val="000000"/>
          <w:sz w:val="18"/>
          <w:szCs w:val="16"/>
        </w:rPr>
      </w:pPr>
    </w:p>
    <w:p w14:paraId="0D0405F6" w14:textId="77777777" w:rsidR="00FA18EA" w:rsidRPr="00A02B31" w:rsidRDefault="00FA18EA" w:rsidP="00FA18EA">
      <w:pPr>
        <w:jc w:val="both"/>
        <w:rPr>
          <w:rFonts w:cstheme="minorHAnsi"/>
          <w:color w:val="000000"/>
          <w:sz w:val="18"/>
          <w:szCs w:val="16"/>
        </w:rPr>
      </w:pPr>
      <w:r w:rsidRPr="00A02B31">
        <w:rPr>
          <w:rFonts w:cstheme="minorHAnsi"/>
          <w:color w:val="000000"/>
          <w:sz w:val="18"/>
          <w:szCs w:val="16"/>
        </w:rPr>
        <w:t>Noel Lamb</w:t>
      </w:r>
      <w:r w:rsidRPr="00A02B31">
        <w:rPr>
          <w:rFonts w:cstheme="minorHAnsi"/>
          <w:color w:val="000000"/>
          <w:sz w:val="18"/>
          <w:szCs w:val="16"/>
        </w:rPr>
        <w:tab/>
      </w:r>
      <w:r w:rsidRPr="00A02B31">
        <w:rPr>
          <w:rFonts w:cstheme="minorHAnsi"/>
          <w:color w:val="000000"/>
          <w:sz w:val="18"/>
          <w:szCs w:val="16"/>
        </w:rPr>
        <w:tab/>
      </w:r>
      <w:r w:rsidRPr="00A02B31">
        <w:rPr>
          <w:rFonts w:cstheme="minorHAnsi"/>
          <w:color w:val="000000"/>
          <w:sz w:val="18"/>
          <w:szCs w:val="16"/>
        </w:rPr>
        <w:tab/>
      </w:r>
      <w:r w:rsidRPr="00A02B31">
        <w:rPr>
          <w:rFonts w:cstheme="minorHAnsi"/>
          <w:color w:val="000000"/>
          <w:sz w:val="18"/>
          <w:szCs w:val="16"/>
        </w:rPr>
        <w:tab/>
      </w:r>
      <w:r w:rsidRPr="00A02B31">
        <w:rPr>
          <w:rFonts w:cstheme="minorHAnsi"/>
          <w:color w:val="000000"/>
          <w:sz w:val="18"/>
          <w:szCs w:val="16"/>
        </w:rPr>
        <w:tab/>
      </w:r>
      <w:r w:rsidRPr="00A02B31">
        <w:rPr>
          <w:rFonts w:cstheme="minorHAnsi"/>
          <w:color w:val="000000"/>
          <w:sz w:val="18"/>
          <w:szCs w:val="16"/>
        </w:rPr>
        <w:tab/>
      </w:r>
      <w:r w:rsidRPr="00A02B31">
        <w:rPr>
          <w:rFonts w:cstheme="minorHAnsi"/>
          <w:color w:val="000000"/>
          <w:sz w:val="18"/>
          <w:szCs w:val="16"/>
        </w:rPr>
        <w:tab/>
      </w:r>
      <w:r w:rsidRPr="00A02B31">
        <w:rPr>
          <w:rFonts w:cstheme="minorHAnsi"/>
          <w:color w:val="000000"/>
          <w:sz w:val="18"/>
          <w:szCs w:val="16"/>
        </w:rPr>
        <w:tab/>
        <w:t>Kenneth Lever</w:t>
      </w:r>
    </w:p>
    <w:p w14:paraId="6E6560A4" w14:textId="77777777" w:rsidR="00FA18EA" w:rsidRPr="00A02B31" w:rsidRDefault="00FA18EA" w:rsidP="00FA18EA">
      <w:pPr>
        <w:jc w:val="both"/>
        <w:rPr>
          <w:rFonts w:cstheme="minorHAnsi"/>
          <w:b/>
          <w:color w:val="FF0000"/>
        </w:rPr>
      </w:pPr>
      <w:r w:rsidRPr="00A02B31">
        <w:rPr>
          <w:rFonts w:cstheme="minorHAnsi"/>
          <w:color w:val="000000"/>
          <w:sz w:val="18"/>
          <w:szCs w:val="16"/>
        </w:rPr>
        <w:t>Chairman</w:t>
      </w:r>
      <w:r w:rsidRPr="00A02B31">
        <w:rPr>
          <w:rFonts w:cstheme="minorHAnsi"/>
          <w:color w:val="000000"/>
          <w:sz w:val="18"/>
          <w:szCs w:val="16"/>
        </w:rPr>
        <w:tab/>
      </w:r>
      <w:r w:rsidRPr="00A02B31">
        <w:rPr>
          <w:rFonts w:cstheme="minorHAnsi"/>
          <w:color w:val="000000"/>
          <w:sz w:val="18"/>
          <w:szCs w:val="16"/>
        </w:rPr>
        <w:tab/>
      </w:r>
      <w:r w:rsidRPr="00A02B31">
        <w:rPr>
          <w:rFonts w:cstheme="minorHAnsi"/>
          <w:color w:val="000000"/>
          <w:sz w:val="18"/>
          <w:szCs w:val="16"/>
        </w:rPr>
        <w:tab/>
      </w:r>
      <w:r w:rsidRPr="00A02B31">
        <w:rPr>
          <w:rFonts w:cstheme="minorHAnsi"/>
          <w:color w:val="000000"/>
          <w:sz w:val="18"/>
          <w:szCs w:val="16"/>
        </w:rPr>
        <w:tab/>
      </w:r>
      <w:r w:rsidRPr="00A02B31">
        <w:rPr>
          <w:rFonts w:cstheme="minorHAnsi"/>
          <w:color w:val="000000"/>
          <w:sz w:val="18"/>
          <w:szCs w:val="16"/>
        </w:rPr>
        <w:tab/>
      </w:r>
      <w:r w:rsidRPr="00A02B31">
        <w:rPr>
          <w:rFonts w:cstheme="minorHAnsi"/>
          <w:color w:val="000000"/>
          <w:sz w:val="18"/>
          <w:szCs w:val="16"/>
        </w:rPr>
        <w:tab/>
      </w:r>
      <w:r w:rsidRPr="00A02B31">
        <w:rPr>
          <w:rFonts w:cstheme="minorHAnsi"/>
          <w:color w:val="000000"/>
          <w:sz w:val="18"/>
          <w:szCs w:val="16"/>
        </w:rPr>
        <w:tab/>
      </w:r>
      <w:r w:rsidRPr="00A02B31">
        <w:rPr>
          <w:rFonts w:cstheme="minorHAnsi"/>
          <w:color w:val="000000"/>
          <w:sz w:val="18"/>
          <w:szCs w:val="16"/>
        </w:rPr>
        <w:tab/>
      </w:r>
      <w:r w:rsidRPr="00A02B31">
        <w:rPr>
          <w:rFonts w:cstheme="minorHAnsi"/>
          <w:color w:val="000000"/>
          <w:sz w:val="18"/>
          <w:szCs w:val="16"/>
        </w:rPr>
        <w:tab/>
        <w:t>Director</w:t>
      </w:r>
    </w:p>
    <w:p w14:paraId="42396F36" w14:textId="77777777" w:rsidR="00FA18EA" w:rsidRPr="00A02B31" w:rsidRDefault="00FA18EA" w:rsidP="00FA18EA">
      <w:pPr>
        <w:jc w:val="both"/>
        <w:rPr>
          <w:rFonts w:cstheme="minorHAnsi"/>
          <w:b/>
          <w:color w:val="FF0000"/>
        </w:rPr>
      </w:pPr>
    </w:p>
    <w:p w14:paraId="306C395E" w14:textId="77777777" w:rsidR="00FA18EA" w:rsidRPr="00A02B31" w:rsidRDefault="00FA18EA" w:rsidP="00FA18EA">
      <w:pPr>
        <w:rPr>
          <w:rFonts w:cstheme="minorHAnsi"/>
          <w:b/>
          <w:color w:val="FF0000"/>
        </w:rPr>
      </w:pPr>
      <w:r w:rsidRPr="00A02B31">
        <w:rPr>
          <w:rFonts w:cstheme="minorHAnsi"/>
          <w:b/>
          <w:color w:val="FF0000"/>
        </w:rPr>
        <w:br w:type="page"/>
      </w:r>
    </w:p>
    <w:p w14:paraId="42E1A151" w14:textId="77777777" w:rsidR="00FA18EA" w:rsidRPr="00A02B31" w:rsidRDefault="00FA18EA" w:rsidP="00FA18EA">
      <w:pPr>
        <w:pageBreakBefore/>
        <w:autoSpaceDE w:val="0"/>
        <w:autoSpaceDN w:val="0"/>
        <w:adjustRightInd w:val="0"/>
        <w:rPr>
          <w:rFonts w:cstheme="minorHAnsi"/>
          <w:b/>
          <w:sz w:val="28"/>
        </w:rPr>
      </w:pPr>
      <w:r w:rsidRPr="00A02B31">
        <w:rPr>
          <w:rFonts w:cstheme="minorHAnsi"/>
          <w:b/>
          <w:sz w:val="28"/>
        </w:rPr>
        <w:lastRenderedPageBreak/>
        <w:t>Statement of Cash Flows for the year ended 31 March 2022</w:t>
      </w:r>
    </w:p>
    <w:p w14:paraId="64F675EB" w14:textId="77777777" w:rsidR="00FA18EA" w:rsidRPr="00A02B31" w:rsidRDefault="00FA18EA" w:rsidP="00FA18EA">
      <w:pPr>
        <w:rPr>
          <w:rFonts w:cstheme="minorHAnsi"/>
          <w:b/>
        </w:rPr>
      </w:pPr>
    </w:p>
    <w:tbl>
      <w:tblPr>
        <w:tblW w:w="5000" w:type="pct"/>
        <w:tblLook w:val="04A0" w:firstRow="1" w:lastRow="0" w:firstColumn="1" w:lastColumn="0" w:noHBand="0" w:noVBand="1"/>
      </w:tblPr>
      <w:tblGrid>
        <w:gridCol w:w="6226"/>
        <w:gridCol w:w="1198"/>
        <w:gridCol w:w="1357"/>
        <w:gridCol w:w="1425"/>
      </w:tblGrid>
      <w:tr w:rsidR="00FA18EA" w:rsidRPr="007600A7" w14:paraId="4E61ED62" w14:textId="77777777" w:rsidTr="00FA18EA">
        <w:trPr>
          <w:trHeight w:val="240"/>
        </w:trPr>
        <w:tc>
          <w:tcPr>
            <w:tcW w:w="3050" w:type="pct"/>
            <w:tcBorders>
              <w:top w:val="single" w:sz="4" w:space="0" w:color="auto"/>
            </w:tcBorders>
            <w:shd w:val="clear" w:color="auto" w:fill="auto"/>
            <w:noWrap/>
            <w:vAlign w:val="bottom"/>
            <w:hideMark/>
          </w:tcPr>
          <w:p w14:paraId="5E169BE0" w14:textId="77777777" w:rsidR="00FA18EA" w:rsidRPr="00A02B31" w:rsidRDefault="00FA18EA" w:rsidP="00FA18EA">
            <w:pPr>
              <w:rPr>
                <w:rFonts w:eastAsia="Times New Roman" w:cstheme="minorHAnsi"/>
                <w:sz w:val="18"/>
                <w:szCs w:val="18"/>
                <w:lang w:val="en-SG" w:eastAsia="en-SG"/>
              </w:rPr>
            </w:pPr>
            <w:r w:rsidRPr="00A02B31">
              <w:rPr>
                <w:rFonts w:eastAsia="Times New Roman" w:cstheme="minorHAnsi"/>
                <w:sz w:val="18"/>
                <w:szCs w:val="18"/>
                <w:lang w:val="en-SG" w:eastAsia="en-SG"/>
              </w:rPr>
              <w:t> </w:t>
            </w:r>
          </w:p>
        </w:tc>
        <w:tc>
          <w:tcPr>
            <w:tcW w:w="586" w:type="pct"/>
            <w:tcBorders>
              <w:top w:val="single" w:sz="4" w:space="0" w:color="auto"/>
            </w:tcBorders>
            <w:shd w:val="clear" w:color="auto" w:fill="auto"/>
            <w:noWrap/>
            <w:vAlign w:val="bottom"/>
            <w:hideMark/>
          </w:tcPr>
          <w:p w14:paraId="2466C29C" w14:textId="77777777" w:rsidR="00FA18EA" w:rsidRPr="00A02B31" w:rsidRDefault="00FA18EA" w:rsidP="00FA18EA">
            <w:pPr>
              <w:jc w:val="center"/>
              <w:rPr>
                <w:rFonts w:eastAsia="Times New Roman" w:cstheme="minorHAnsi"/>
                <w:sz w:val="18"/>
                <w:szCs w:val="18"/>
                <w:lang w:val="en-SG" w:eastAsia="en-SG"/>
              </w:rPr>
            </w:pPr>
            <w:r w:rsidRPr="00A02B31">
              <w:rPr>
                <w:rFonts w:eastAsia="Times New Roman" w:cstheme="minorHAnsi"/>
                <w:sz w:val="18"/>
                <w:szCs w:val="18"/>
                <w:lang w:val="en-SG" w:eastAsia="en-SG"/>
              </w:rPr>
              <w:t> </w:t>
            </w:r>
          </w:p>
        </w:tc>
        <w:tc>
          <w:tcPr>
            <w:tcW w:w="665" w:type="pct"/>
            <w:tcBorders>
              <w:top w:val="single" w:sz="4" w:space="0" w:color="auto"/>
            </w:tcBorders>
            <w:shd w:val="clear" w:color="auto" w:fill="auto"/>
            <w:noWrap/>
            <w:vAlign w:val="bottom"/>
            <w:hideMark/>
          </w:tcPr>
          <w:p w14:paraId="1544932C" w14:textId="77777777" w:rsidR="00FA18EA" w:rsidRPr="00A02B31" w:rsidRDefault="00FA18EA" w:rsidP="00FA18EA">
            <w:pPr>
              <w:jc w:val="right"/>
              <w:rPr>
                <w:rFonts w:eastAsia="Times New Roman" w:cstheme="minorHAnsi"/>
                <w:b/>
                <w:bCs/>
                <w:sz w:val="18"/>
                <w:szCs w:val="18"/>
                <w:lang w:val="en-SG" w:eastAsia="en-SG"/>
              </w:rPr>
            </w:pPr>
            <w:r w:rsidRPr="00A02B31">
              <w:rPr>
                <w:rFonts w:eastAsia="Times New Roman" w:cstheme="minorHAnsi"/>
                <w:b/>
                <w:bCs/>
                <w:sz w:val="18"/>
                <w:szCs w:val="18"/>
                <w:lang w:val="en-SG" w:eastAsia="en-SG"/>
              </w:rPr>
              <w:t>Year ended</w:t>
            </w:r>
          </w:p>
        </w:tc>
        <w:tc>
          <w:tcPr>
            <w:tcW w:w="698" w:type="pct"/>
            <w:tcBorders>
              <w:top w:val="single" w:sz="4" w:space="0" w:color="auto"/>
            </w:tcBorders>
            <w:shd w:val="clear" w:color="auto" w:fill="auto"/>
            <w:noWrap/>
            <w:vAlign w:val="bottom"/>
            <w:hideMark/>
          </w:tcPr>
          <w:p w14:paraId="02CEB0D1" w14:textId="77777777" w:rsidR="00FA18EA" w:rsidRPr="00A02B31" w:rsidRDefault="00FA18EA" w:rsidP="00FA18EA">
            <w:pPr>
              <w:jc w:val="right"/>
              <w:rPr>
                <w:rFonts w:eastAsia="Times New Roman" w:cstheme="minorHAnsi"/>
                <w:sz w:val="18"/>
                <w:szCs w:val="18"/>
                <w:lang w:val="en-SG" w:eastAsia="en-SG"/>
              </w:rPr>
            </w:pPr>
            <w:r w:rsidRPr="00A02B31">
              <w:rPr>
                <w:rFonts w:eastAsia="Times New Roman" w:cstheme="minorHAnsi"/>
                <w:sz w:val="18"/>
                <w:szCs w:val="18"/>
                <w:lang w:val="en-SG" w:eastAsia="en-SG"/>
              </w:rPr>
              <w:t>Year ended</w:t>
            </w:r>
          </w:p>
        </w:tc>
      </w:tr>
      <w:tr w:rsidR="00FA18EA" w:rsidRPr="007600A7" w14:paraId="030C00A0" w14:textId="77777777" w:rsidTr="00FA18EA">
        <w:trPr>
          <w:trHeight w:val="240"/>
        </w:trPr>
        <w:tc>
          <w:tcPr>
            <w:tcW w:w="3050" w:type="pct"/>
            <w:shd w:val="clear" w:color="auto" w:fill="auto"/>
            <w:noWrap/>
            <w:vAlign w:val="bottom"/>
            <w:hideMark/>
          </w:tcPr>
          <w:p w14:paraId="1DDCAFEF" w14:textId="77777777" w:rsidR="00FA18EA" w:rsidRPr="008B2DDA" w:rsidRDefault="00FA18EA" w:rsidP="00FA18EA">
            <w:pPr>
              <w:rPr>
                <w:rFonts w:eastAsia="Times New Roman" w:cstheme="minorHAnsi"/>
                <w:sz w:val="18"/>
                <w:szCs w:val="18"/>
                <w:lang w:val="en-SG" w:eastAsia="en-SG"/>
              </w:rPr>
            </w:pPr>
          </w:p>
        </w:tc>
        <w:tc>
          <w:tcPr>
            <w:tcW w:w="586" w:type="pct"/>
            <w:shd w:val="clear" w:color="auto" w:fill="auto"/>
            <w:noWrap/>
            <w:vAlign w:val="bottom"/>
            <w:hideMark/>
          </w:tcPr>
          <w:p w14:paraId="36561A73" w14:textId="77777777" w:rsidR="00FA18EA" w:rsidRPr="000C5053" w:rsidRDefault="00FA18EA" w:rsidP="00FA18EA">
            <w:pPr>
              <w:jc w:val="center"/>
              <w:rPr>
                <w:rFonts w:eastAsia="Times New Roman" w:cstheme="minorHAnsi"/>
                <w:sz w:val="18"/>
                <w:szCs w:val="18"/>
                <w:lang w:val="en-SG" w:eastAsia="en-SG"/>
              </w:rPr>
            </w:pPr>
          </w:p>
        </w:tc>
        <w:tc>
          <w:tcPr>
            <w:tcW w:w="665" w:type="pct"/>
            <w:shd w:val="clear" w:color="000000" w:fill="FFFFFF"/>
            <w:vAlign w:val="center"/>
          </w:tcPr>
          <w:p w14:paraId="20417137" w14:textId="77777777" w:rsidR="00FA18EA" w:rsidRPr="0091098D" w:rsidRDefault="00FA18EA" w:rsidP="00FA18EA">
            <w:pPr>
              <w:jc w:val="right"/>
              <w:rPr>
                <w:rFonts w:eastAsia="Times New Roman" w:cstheme="minorHAnsi"/>
                <w:b/>
                <w:bCs/>
                <w:sz w:val="18"/>
                <w:szCs w:val="18"/>
                <w:lang w:val="en-SG" w:eastAsia="en-SG"/>
              </w:rPr>
            </w:pPr>
            <w:r w:rsidRPr="0091098D">
              <w:rPr>
                <w:rFonts w:eastAsia="Times New Roman" w:cstheme="minorHAnsi"/>
                <w:b/>
                <w:bCs/>
                <w:sz w:val="18"/>
                <w:szCs w:val="18"/>
                <w:lang w:val="en-SG" w:eastAsia="en-SG"/>
              </w:rPr>
              <w:t>31-Mar-22</w:t>
            </w:r>
          </w:p>
        </w:tc>
        <w:tc>
          <w:tcPr>
            <w:tcW w:w="698" w:type="pct"/>
            <w:shd w:val="clear" w:color="000000" w:fill="FFFFFF"/>
            <w:vAlign w:val="center"/>
          </w:tcPr>
          <w:p w14:paraId="09A110BE" w14:textId="77777777" w:rsidR="00FA18EA" w:rsidRPr="0075195E" w:rsidRDefault="00FA18EA" w:rsidP="00FA18EA">
            <w:pPr>
              <w:ind w:firstLine="122"/>
              <w:jc w:val="right"/>
              <w:rPr>
                <w:rFonts w:eastAsia="Times New Roman" w:cstheme="minorHAnsi"/>
                <w:sz w:val="18"/>
                <w:szCs w:val="18"/>
                <w:lang w:val="en-SG" w:eastAsia="en-SG"/>
              </w:rPr>
            </w:pPr>
            <w:r w:rsidRPr="0075195E">
              <w:rPr>
                <w:rFonts w:eastAsia="Times New Roman" w:cstheme="minorHAnsi"/>
                <w:sz w:val="18"/>
                <w:szCs w:val="18"/>
                <w:lang w:val="en-SG" w:eastAsia="en-SG"/>
              </w:rPr>
              <w:t>31-Mar-21</w:t>
            </w:r>
          </w:p>
        </w:tc>
      </w:tr>
      <w:tr w:rsidR="00FA18EA" w:rsidRPr="007600A7" w14:paraId="56927DAF" w14:textId="77777777" w:rsidTr="00FA18EA">
        <w:trPr>
          <w:trHeight w:val="240"/>
        </w:trPr>
        <w:tc>
          <w:tcPr>
            <w:tcW w:w="3050" w:type="pct"/>
            <w:tcBorders>
              <w:bottom w:val="single" w:sz="4" w:space="0" w:color="auto"/>
            </w:tcBorders>
            <w:shd w:val="clear" w:color="auto" w:fill="auto"/>
            <w:noWrap/>
            <w:vAlign w:val="bottom"/>
            <w:hideMark/>
          </w:tcPr>
          <w:p w14:paraId="7E80A50E" w14:textId="77777777" w:rsidR="00FA18EA" w:rsidRPr="008B2DDA" w:rsidRDefault="00FA18EA" w:rsidP="00FA18EA">
            <w:pPr>
              <w:rPr>
                <w:rFonts w:eastAsia="Times New Roman" w:cstheme="minorHAnsi"/>
                <w:sz w:val="18"/>
                <w:szCs w:val="18"/>
                <w:lang w:val="en-SG" w:eastAsia="en-SG"/>
              </w:rPr>
            </w:pPr>
            <w:r w:rsidRPr="008B2DDA">
              <w:rPr>
                <w:rFonts w:eastAsia="Times New Roman" w:cstheme="minorHAnsi"/>
                <w:sz w:val="18"/>
                <w:szCs w:val="18"/>
                <w:lang w:val="en-SG" w:eastAsia="en-SG"/>
              </w:rPr>
              <w:t> </w:t>
            </w:r>
          </w:p>
        </w:tc>
        <w:tc>
          <w:tcPr>
            <w:tcW w:w="586" w:type="pct"/>
            <w:tcBorders>
              <w:bottom w:val="single" w:sz="4" w:space="0" w:color="auto"/>
            </w:tcBorders>
            <w:shd w:val="clear" w:color="auto" w:fill="auto"/>
            <w:noWrap/>
            <w:vAlign w:val="bottom"/>
            <w:hideMark/>
          </w:tcPr>
          <w:p w14:paraId="28490D5D" w14:textId="77777777" w:rsidR="00FA18EA" w:rsidRPr="0091098D" w:rsidRDefault="00FA18EA" w:rsidP="00FA18EA">
            <w:pPr>
              <w:jc w:val="center"/>
              <w:rPr>
                <w:rFonts w:eastAsia="Times New Roman" w:cstheme="minorHAnsi"/>
                <w:sz w:val="18"/>
                <w:szCs w:val="18"/>
                <w:lang w:val="en-SG" w:eastAsia="en-SG"/>
              </w:rPr>
            </w:pPr>
            <w:r w:rsidRPr="000C5053">
              <w:rPr>
                <w:rFonts w:eastAsia="Times New Roman" w:cstheme="minorHAnsi"/>
                <w:sz w:val="18"/>
                <w:szCs w:val="18"/>
                <w:lang w:val="en-SG" w:eastAsia="en-SG"/>
              </w:rPr>
              <w:t>Notes</w:t>
            </w:r>
          </w:p>
        </w:tc>
        <w:tc>
          <w:tcPr>
            <w:tcW w:w="665" w:type="pct"/>
            <w:tcBorders>
              <w:bottom w:val="single" w:sz="4" w:space="0" w:color="auto"/>
            </w:tcBorders>
            <w:shd w:val="clear" w:color="auto" w:fill="auto"/>
            <w:noWrap/>
            <w:vAlign w:val="bottom"/>
            <w:hideMark/>
          </w:tcPr>
          <w:p w14:paraId="15927C55" w14:textId="77777777" w:rsidR="00FA18EA" w:rsidRPr="0075195E" w:rsidRDefault="00FA18EA" w:rsidP="00FA18EA">
            <w:pPr>
              <w:jc w:val="right"/>
              <w:rPr>
                <w:rFonts w:eastAsia="Times New Roman" w:cstheme="minorHAnsi"/>
                <w:b/>
                <w:bCs/>
                <w:sz w:val="18"/>
                <w:szCs w:val="18"/>
                <w:lang w:val="en-SG" w:eastAsia="en-SG"/>
              </w:rPr>
            </w:pPr>
            <w:r w:rsidRPr="0075195E">
              <w:rPr>
                <w:rFonts w:eastAsia="Times New Roman" w:cstheme="minorHAnsi"/>
                <w:b/>
                <w:bCs/>
                <w:sz w:val="18"/>
                <w:szCs w:val="18"/>
                <w:lang w:val="en-SG" w:eastAsia="en-SG"/>
              </w:rPr>
              <w:t>£'000</w:t>
            </w:r>
          </w:p>
        </w:tc>
        <w:tc>
          <w:tcPr>
            <w:tcW w:w="698" w:type="pct"/>
            <w:tcBorders>
              <w:bottom w:val="single" w:sz="4" w:space="0" w:color="auto"/>
            </w:tcBorders>
            <w:shd w:val="clear" w:color="auto" w:fill="auto"/>
            <w:noWrap/>
            <w:vAlign w:val="bottom"/>
            <w:hideMark/>
          </w:tcPr>
          <w:p w14:paraId="2FB890A9" w14:textId="77777777" w:rsidR="00FA18EA" w:rsidRPr="0075195E" w:rsidRDefault="00FA18EA" w:rsidP="00FA18EA">
            <w:pPr>
              <w:jc w:val="right"/>
              <w:rPr>
                <w:rFonts w:eastAsia="Times New Roman" w:cstheme="minorHAnsi"/>
                <w:sz w:val="18"/>
                <w:szCs w:val="18"/>
                <w:lang w:val="en-SG" w:eastAsia="en-SG"/>
              </w:rPr>
            </w:pPr>
            <w:r w:rsidRPr="0075195E">
              <w:rPr>
                <w:rFonts w:eastAsia="Times New Roman" w:cstheme="minorHAnsi"/>
                <w:sz w:val="18"/>
                <w:szCs w:val="18"/>
                <w:lang w:val="en-SG" w:eastAsia="en-SG"/>
              </w:rPr>
              <w:t>£'000</w:t>
            </w:r>
          </w:p>
        </w:tc>
      </w:tr>
      <w:tr w:rsidR="00FA18EA" w:rsidRPr="007600A7" w14:paraId="241F86FE" w14:textId="77777777" w:rsidTr="00FA18EA">
        <w:trPr>
          <w:trHeight w:val="240"/>
        </w:trPr>
        <w:tc>
          <w:tcPr>
            <w:tcW w:w="3050" w:type="pct"/>
            <w:tcBorders>
              <w:top w:val="single" w:sz="4" w:space="0" w:color="auto"/>
            </w:tcBorders>
            <w:shd w:val="clear" w:color="auto" w:fill="auto"/>
            <w:noWrap/>
            <w:vAlign w:val="bottom"/>
            <w:hideMark/>
          </w:tcPr>
          <w:p w14:paraId="4CEC77B1" w14:textId="77777777" w:rsidR="00FA18EA" w:rsidRPr="008B2DDA" w:rsidRDefault="00FA18EA" w:rsidP="00FA18EA">
            <w:pPr>
              <w:rPr>
                <w:rFonts w:eastAsia="Times New Roman" w:cstheme="minorHAnsi"/>
                <w:b/>
                <w:bCs/>
                <w:sz w:val="18"/>
                <w:szCs w:val="18"/>
                <w:lang w:val="en-SG" w:eastAsia="en-SG"/>
              </w:rPr>
            </w:pPr>
            <w:r w:rsidRPr="008B2DDA">
              <w:rPr>
                <w:rFonts w:eastAsia="Times New Roman" w:cstheme="minorHAnsi"/>
                <w:b/>
                <w:bCs/>
                <w:sz w:val="18"/>
                <w:szCs w:val="18"/>
                <w:lang w:val="en-SG" w:eastAsia="en-SG"/>
              </w:rPr>
              <w:t>Cash flow from operating activities</w:t>
            </w:r>
          </w:p>
        </w:tc>
        <w:tc>
          <w:tcPr>
            <w:tcW w:w="586" w:type="pct"/>
            <w:tcBorders>
              <w:top w:val="single" w:sz="4" w:space="0" w:color="auto"/>
            </w:tcBorders>
            <w:shd w:val="clear" w:color="auto" w:fill="auto"/>
            <w:noWrap/>
            <w:vAlign w:val="bottom"/>
            <w:hideMark/>
          </w:tcPr>
          <w:p w14:paraId="26B8A854" w14:textId="77777777" w:rsidR="00FA18EA" w:rsidRPr="000C5053" w:rsidRDefault="00FA18EA" w:rsidP="00FA18EA">
            <w:pPr>
              <w:jc w:val="center"/>
              <w:rPr>
                <w:rFonts w:eastAsia="Times New Roman" w:cstheme="minorHAnsi"/>
                <w:sz w:val="18"/>
                <w:szCs w:val="18"/>
                <w:lang w:val="en-SG" w:eastAsia="en-SG"/>
              </w:rPr>
            </w:pPr>
          </w:p>
        </w:tc>
        <w:tc>
          <w:tcPr>
            <w:tcW w:w="665" w:type="pct"/>
            <w:tcBorders>
              <w:top w:val="single" w:sz="4" w:space="0" w:color="auto"/>
            </w:tcBorders>
            <w:shd w:val="clear" w:color="auto" w:fill="auto"/>
            <w:noWrap/>
            <w:vAlign w:val="bottom"/>
            <w:hideMark/>
          </w:tcPr>
          <w:p w14:paraId="151E6EFE" w14:textId="77777777" w:rsidR="00FA18EA" w:rsidRPr="0091098D" w:rsidRDefault="00FA18EA" w:rsidP="00FA18EA">
            <w:pPr>
              <w:jc w:val="right"/>
              <w:rPr>
                <w:rFonts w:eastAsia="Times New Roman" w:cstheme="minorHAnsi"/>
                <w:b/>
                <w:bCs/>
                <w:sz w:val="18"/>
                <w:szCs w:val="18"/>
                <w:lang w:val="en-SG" w:eastAsia="en-SG"/>
              </w:rPr>
            </w:pPr>
          </w:p>
        </w:tc>
        <w:tc>
          <w:tcPr>
            <w:tcW w:w="698" w:type="pct"/>
            <w:tcBorders>
              <w:top w:val="single" w:sz="4" w:space="0" w:color="auto"/>
            </w:tcBorders>
            <w:shd w:val="clear" w:color="auto" w:fill="auto"/>
            <w:noWrap/>
            <w:vAlign w:val="bottom"/>
            <w:hideMark/>
          </w:tcPr>
          <w:p w14:paraId="4B94BCE5" w14:textId="77777777" w:rsidR="00FA18EA" w:rsidRPr="0075195E" w:rsidRDefault="00FA18EA" w:rsidP="00FA18EA">
            <w:pPr>
              <w:ind w:left="-136" w:hanging="142"/>
              <w:jc w:val="right"/>
              <w:rPr>
                <w:rFonts w:eastAsia="Times New Roman" w:cstheme="minorHAnsi"/>
                <w:sz w:val="18"/>
                <w:szCs w:val="18"/>
                <w:lang w:val="en-SG" w:eastAsia="en-SG"/>
              </w:rPr>
            </w:pPr>
          </w:p>
        </w:tc>
      </w:tr>
      <w:tr w:rsidR="00FA18EA" w:rsidRPr="007600A7" w14:paraId="166CB27C" w14:textId="77777777" w:rsidTr="00FA18EA">
        <w:trPr>
          <w:trHeight w:val="240"/>
        </w:trPr>
        <w:tc>
          <w:tcPr>
            <w:tcW w:w="3050" w:type="pct"/>
            <w:shd w:val="clear" w:color="auto" w:fill="auto"/>
            <w:noWrap/>
            <w:vAlign w:val="bottom"/>
            <w:hideMark/>
          </w:tcPr>
          <w:p w14:paraId="688A8408" w14:textId="77777777" w:rsidR="00FA18EA" w:rsidRPr="008B2DDA" w:rsidRDefault="00FA18EA" w:rsidP="00FA18EA">
            <w:pPr>
              <w:rPr>
                <w:rFonts w:eastAsia="Times New Roman" w:cstheme="minorHAnsi"/>
                <w:sz w:val="18"/>
                <w:szCs w:val="18"/>
                <w:lang w:val="en-SG" w:eastAsia="en-SG"/>
              </w:rPr>
            </w:pPr>
            <w:r w:rsidRPr="008B2DDA">
              <w:rPr>
                <w:rFonts w:eastAsia="Times New Roman" w:cstheme="minorHAnsi"/>
                <w:sz w:val="18"/>
                <w:szCs w:val="18"/>
                <w:lang w:val="en-SG" w:eastAsia="en-SG"/>
              </w:rPr>
              <w:t>Cash flow from operations</w:t>
            </w:r>
          </w:p>
        </w:tc>
        <w:tc>
          <w:tcPr>
            <w:tcW w:w="586" w:type="pct"/>
            <w:shd w:val="clear" w:color="auto" w:fill="auto"/>
            <w:noWrap/>
            <w:vAlign w:val="bottom"/>
            <w:hideMark/>
          </w:tcPr>
          <w:p w14:paraId="24F804DE" w14:textId="77777777" w:rsidR="00FA18EA" w:rsidRPr="0091098D" w:rsidRDefault="00FA18EA" w:rsidP="00FA18EA">
            <w:pPr>
              <w:jc w:val="center"/>
              <w:rPr>
                <w:rFonts w:eastAsia="Times New Roman" w:cstheme="minorHAnsi"/>
                <w:sz w:val="18"/>
                <w:szCs w:val="18"/>
                <w:lang w:val="en-SG" w:eastAsia="en-SG"/>
              </w:rPr>
            </w:pPr>
            <w:r w:rsidRPr="000C5053">
              <w:rPr>
                <w:rFonts w:eastAsia="Times New Roman" w:cstheme="minorHAnsi"/>
                <w:sz w:val="18"/>
                <w:szCs w:val="18"/>
                <w:lang w:val="en-SG" w:eastAsia="en-SG"/>
              </w:rPr>
              <w:t>a</w:t>
            </w:r>
          </w:p>
        </w:tc>
        <w:tc>
          <w:tcPr>
            <w:tcW w:w="665" w:type="pct"/>
            <w:shd w:val="clear" w:color="auto" w:fill="auto"/>
            <w:noWrap/>
            <w:vAlign w:val="bottom"/>
          </w:tcPr>
          <w:p w14:paraId="59DF89F2" w14:textId="77777777" w:rsidR="00FA18EA" w:rsidRPr="0075195E" w:rsidRDefault="00FA18EA" w:rsidP="00FA18EA">
            <w:pPr>
              <w:jc w:val="right"/>
              <w:rPr>
                <w:rFonts w:eastAsia="Times New Roman" w:cstheme="minorHAnsi"/>
                <w:b/>
                <w:bCs/>
                <w:sz w:val="18"/>
                <w:szCs w:val="18"/>
                <w:lang w:val="en-SG" w:eastAsia="en-SG"/>
              </w:rPr>
            </w:pPr>
            <w:r w:rsidRPr="0075195E">
              <w:rPr>
                <w:rFonts w:eastAsia="Times New Roman" w:cstheme="minorHAnsi"/>
                <w:b/>
                <w:bCs/>
                <w:sz w:val="18"/>
                <w:szCs w:val="18"/>
                <w:lang w:val="en-SG" w:eastAsia="en-SG"/>
              </w:rPr>
              <w:t>(7,306)</w:t>
            </w:r>
          </w:p>
        </w:tc>
        <w:tc>
          <w:tcPr>
            <w:tcW w:w="698" w:type="pct"/>
            <w:shd w:val="clear" w:color="auto" w:fill="auto"/>
            <w:noWrap/>
            <w:vAlign w:val="bottom"/>
            <w:hideMark/>
          </w:tcPr>
          <w:p w14:paraId="6FBBE5D3" w14:textId="77777777" w:rsidR="00FA18EA" w:rsidRPr="0075195E" w:rsidRDefault="00FA18EA" w:rsidP="00FA18EA">
            <w:pPr>
              <w:jc w:val="right"/>
              <w:rPr>
                <w:rFonts w:eastAsia="Times New Roman" w:cstheme="minorHAnsi"/>
                <w:sz w:val="18"/>
                <w:szCs w:val="18"/>
                <w:lang w:val="en-SG" w:eastAsia="en-SG"/>
              </w:rPr>
            </w:pPr>
            <w:r w:rsidRPr="0075195E">
              <w:rPr>
                <w:rFonts w:eastAsia="Times New Roman" w:cstheme="minorHAnsi"/>
                <w:sz w:val="18"/>
                <w:szCs w:val="18"/>
                <w:lang w:val="en-SG" w:eastAsia="en-SG"/>
              </w:rPr>
              <w:t>(783)</w:t>
            </w:r>
          </w:p>
        </w:tc>
      </w:tr>
      <w:tr w:rsidR="00FA18EA" w:rsidRPr="007600A7" w14:paraId="14A19ACC" w14:textId="77777777" w:rsidTr="00FA18EA">
        <w:trPr>
          <w:trHeight w:val="240"/>
        </w:trPr>
        <w:tc>
          <w:tcPr>
            <w:tcW w:w="3050" w:type="pct"/>
            <w:tcBorders>
              <w:bottom w:val="single" w:sz="4" w:space="0" w:color="auto"/>
            </w:tcBorders>
            <w:shd w:val="clear" w:color="auto" w:fill="auto"/>
            <w:noWrap/>
            <w:vAlign w:val="bottom"/>
          </w:tcPr>
          <w:p w14:paraId="63080900" w14:textId="77777777" w:rsidR="00FA18EA" w:rsidRPr="008B2DDA" w:rsidRDefault="00FA18EA" w:rsidP="00FA18EA">
            <w:pPr>
              <w:rPr>
                <w:rFonts w:eastAsia="Times New Roman" w:cstheme="minorHAnsi"/>
                <w:sz w:val="18"/>
                <w:szCs w:val="18"/>
                <w:lang w:val="en-SG" w:eastAsia="en-SG"/>
              </w:rPr>
            </w:pPr>
            <w:r w:rsidRPr="008B2DDA">
              <w:rPr>
                <w:rFonts w:cstheme="minorHAnsi"/>
                <w:color w:val="000000"/>
                <w:sz w:val="18"/>
                <w:szCs w:val="18"/>
              </w:rPr>
              <w:t>Portfolio dividend income</w:t>
            </w:r>
          </w:p>
        </w:tc>
        <w:tc>
          <w:tcPr>
            <w:tcW w:w="586" w:type="pct"/>
            <w:tcBorders>
              <w:bottom w:val="single" w:sz="4" w:space="0" w:color="auto"/>
            </w:tcBorders>
            <w:shd w:val="clear" w:color="auto" w:fill="auto"/>
            <w:noWrap/>
            <w:vAlign w:val="bottom"/>
          </w:tcPr>
          <w:p w14:paraId="464E298E" w14:textId="77777777" w:rsidR="00FA18EA" w:rsidRPr="000C5053" w:rsidRDefault="00FA18EA" w:rsidP="00FA18EA">
            <w:pPr>
              <w:jc w:val="center"/>
              <w:rPr>
                <w:rFonts w:eastAsia="Times New Roman" w:cstheme="minorHAnsi"/>
                <w:sz w:val="18"/>
                <w:szCs w:val="18"/>
                <w:lang w:val="en-SG" w:eastAsia="en-SG"/>
              </w:rPr>
            </w:pPr>
          </w:p>
        </w:tc>
        <w:tc>
          <w:tcPr>
            <w:tcW w:w="665" w:type="pct"/>
            <w:tcBorders>
              <w:bottom w:val="single" w:sz="4" w:space="0" w:color="auto"/>
            </w:tcBorders>
            <w:shd w:val="clear" w:color="auto" w:fill="auto"/>
            <w:noWrap/>
            <w:vAlign w:val="bottom"/>
          </w:tcPr>
          <w:p w14:paraId="3F9CFD49" w14:textId="77777777" w:rsidR="00FA18EA" w:rsidRPr="0091098D" w:rsidRDefault="00FA18EA" w:rsidP="00FA18EA">
            <w:pPr>
              <w:jc w:val="right"/>
              <w:rPr>
                <w:rFonts w:eastAsia="Times New Roman" w:cstheme="minorHAnsi"/>
                <w:b/>
                <w:bCs/>
                <w:sz w:val="18"/>
                <w:szCs w:val="18"/>
                <w:lang w:val="en-SG" w:eastAsia="en-SG"/>
              </w:rPr>
            </w:pPr>
            <w:r w:rsidRPr="0091098D">
              <w:rPr>
                <w:rFonts w:eastAsia="Times New Roman" w:cstheme="minorHAnsi"/>
                <w:b/>
                <w:bCs/>
                <w:sz w:val="18"/>
                <w:szCs w:val="18"/>
                <w:lang w:val="en-SG" w:eastAsia="en-SG"/>
              </w:rPr>
              <w:t>99</w:t>
            </w:r>
          </w:p>
        </w:tc>
        <w:tc>
          <w:tcPr>
            <w:tcW w:w="698" w:type="pct"/>
            <w:tcBorders>
              <w:bottom w:val="single" w:sz="4" w:space="0" w:color="auto"/>
            </w:tcBorders>
            <w:shd w:val="clear" w:color="auto" w:fill="auto"/>
            <w:noWrap/>
            <w:vAlign w:val="bottom"/>
          </w:tcPr>
          <w:p w14:paraId="04ADA50D" w14:textId="77777777" w:rsidR="00FA18EA" w:rsidRPr="0075195E" w:rsidRDefault="00FA18EA" w:rsidP="00FA18EA">
            <w:pPr>
              <w:jc w:val="right"/>
              <w:rPr>
                <w:rFonts w:eastAsia="Times New Roman" w:cstheme="minorHAnsi"/>
                <w:sz w:val="18"/>
                <w:szCs w:val="18"/>
                <w:lang w:val="en-SG" w:eastAsia="en-SG"/>
              </w:rPr>
            </w:pPr>
            <w:r w:rsidRPr="0075195E">
              <w:rPr>
                <w:rFonts w:eastAsia="Times New Roman" w:cstheme="minorHAnsi"/>
                <w:sz w:val="18"/>
                <w:szCs w:val="18"/>
                <w:lang w:val="en-SG" w:eastAsia="en-SG"/>
              </w:rPr>
              <w:t>-</w:t>
            </w:r>
          </w:p>
        </w:tc>
      </w:tr>
      <w:tr w:rsidR="00FA18EA" w:rsidRPr="007600A7" w14:paraId="6CD4EEBA" w14:textId="77777777" w:rsidTr="00FA18EA">
        <w:trPr>
          <w:trHeight w:val="240"/>
        </w:trPr>
        <w:tc>
          <w:tcPr>
            <w:tcW w:w="3050" w:type="pct"/>
            <w:tcBorders>
              <w:top w:val="single" w:sz="4" w:space="0" w:color="auto"/>
            </w:tcBorders>
            <w:shd w:val="clear" w:color="auto" w:fill="auto"/>
            <w:noWrap/>
            <w:vAlign w:val="bottom"/>
            <w:hideMark/>
          </w:tcPr>
          <w:p w14:paraId="16BC4AFF" w14:textId="77777777" w:rsidR="00FA18EA" w:rsidRPr="008B2DDA" w:rsidRDefault="00FA18EA" w:rsidP="00FA18EA">
            <w:pPr>
              <w:rPr>
                <w:rFonts w:eastAsia="Times New Roman" w:cstheme="minorHAnsi"/>
                <w:b/>
                <w:bCs/>
                <w:sz w:val="18"/>
                <w:szCs w:val="18"/>
                <w:lang w:val="en-SG" w:eastAsia="en-SG"/>
              </w:rPr>
            </w:pPr>
            <w:r w:rsidRPr="008B2DDA">
              <w:rPr>
                <w:rFonts w:eastAsia="Times New Roman" w:cstheme="minorHAnsi"/>
                <w:b/>
                <w:bCs/>
                <w:sz w:val="18"/>
                <w:szCs w:val="18"/>
                <w:lang w:val="en-SG" w:eastAsia="en-SG"/>
              </w:rPr>
              <w:t>Net cash outflow from operating activities</w:t>
            </w:r>
          </w:p>
        </w:tc>
        <w:tc>
          <w:tcPr>
            <w:tcW w:w="586" w:type="pct"/>
            <w:tcBorders>
              <w:top w:val="single" w:sz="4" w:space="0" w:color="auto"/>
            </w:tcBorders>
            <w:shd w:val="clear" w:color="auto" w:fill="auto"/>
            <w:noWrap/>
            <w:vAlign w:val="bottom"/>
            <w:hideMark/>
          </w:tcPr>
          <w:p w14:paraId="5095C5AB" w14:textId="77777777" w:rsidR="00FA18EA" w:rsidRPr="000C5053" w:rsidRDefault="00FA18EA" w:rsidP="00FA18EA">
            <w:pPr>
              <w:jc w:val="center"/>
              <w:rPr>
                <w:rFonts w:eastAsia="Times New Roman" w:cstheme="minorHAnsi"/>
                <w:sz w:val="18"/>
                <w:szCs w:val="18"/>
                <w:lang w:val="en-SG" w:eastAsia="en-SG"/>
              </w:rPr>
            </w:pPr>
          </w:p>
        </w:tc>
        <w:tc>
          <w:tcPr>
            <w:tcW w:w="665" w:type="pct"/>
            <w:tcBorders>
              <w:top w:val="single" w:sz="4" w:space="0" w:color="auto"/>
            </w:tcBorders>
            <w:shd w:val="clear" w:color="auto" w:fill="auto"/>
            <w:noWrap/>
            <w:vAlign w:val="bottom"/>
          </w:tcPr>
          <w:p w14:paraId="1CCD1155" w14:textId="77777777" w:rsidR="00FA18EA" w:rsidRPr="0091098D" w:rsidRDefault="00FA18EA" w:rsidP="00FA18EA">
            <w:pPr>
              <w:jc w:val="right"/>
              <w:rPr>
                <w:rFonts w:eastAsia="Times New Roman" w:cstheme="minorHAnsi"/>
                <w:b/>
                <w:bCs/>
                <w:sz w:val="18"/>
                <w:szCs w:val="18"/>
                <w:lang w:val="en-SG" w:eastAsia="en-SG"/>
              </w:rPr>
            </w:pPr>
            <w:r w:rsidRPr="0091098D">
              <w:rPr>
                <w:rFonts w:eastAsia="Times New Roman" w:cstheme="minorHAnsi"/>
                <w:b/>
                <w:bCs/>
                <w:sz w:val="18"/>
                <w:szCs w:val="18"/>
                <w:lang w:val="en-SG" w:eastAsia="en-SG"/>
              </w:rPr>
              <w:t>(7,207)</w:t>
            </w:r>
          </w:p>
        </w:tc>
        <w:tc>
          <w:tcPr>
            <w:tcW w:w="698" w:type="pct"/>
            <w:tcBorders>
              <w:top w:val="single" w:sz="4" w:space="0" w:color="auto"/>
            </w:tcBorders>
            <w:shd w:val="clear" w:color="auto" w:fill="auto"/>
            <w:noWrap/>
            <w:vAlign w:val="bottom"/>
            <w:hideMark/>
          </w:tcPr>
          <w:p w14:paraId="021EA60D" w14:textId="77777777" w:rsidR="00FA18EA" w:rsidRPr="0075195E" w:rsidRDefault="00FA18EA" w:rsidP="00FA18EA">
            <w:pPr>
              <w:jc w:val="right"/>
              <w:rPr>
                <w:rFonts w:eastAsia="Times New Roman" w:cstheme="minorHAnsi"/>
                <w:sz w:val="18"/>
                <w:szCs w:val="18"/>
                <w:lang w:val="en-SG" w:eastAsia="en-SG"/>
              </w:rPr>
            </w:pPr>
            <w:r w:rsidRPr="0075195E">
              <w:rPr>
                <w:rFonts w:eastAsia="Times New Roman" w:cstheme="minorHAnsi"/>
                <w:sz w:val="18"/>
                <w:szCs w:val="18"/>
                <w:lang w:val="en-SG" w:eastAsia="en-SG"/>
              </w:rPr>
              <w:t>(783)</w:t>
            </w:r>
          </w:p>
        </w:tc>
      </w:tr>
      <w:tr w:rsidR="00FA18EA" w:rsidRPr="007600A7" w14:paraId="3EDC964D" w14:textId="77777777" w:rsidTr="00FA18EA">
        <w:trPr>
          <w:trHeight w:val="240"/>
        </w:trPr>
        <w:tc>
          <w:tcPr>
            <w:tcW w:w="3050" w:type="pct"/>
            <w:shd w:val="clear" w:color="auto" w:fill="auto"/>
            <w:noWrap/>
            <w:vAlign w:val="bottom"/>
            <w:hideMark/>
          </w:tcPr>
          <w:p w14:paraId="3FD743A5" w14:textId="77777777" w:rsidR="00FA18EA" w:rsidRPr="008B2DDA" w:rsidRDefault="00FA18EA" w:rsidP="00FA18EA">
            <w:pPr>
              <w:rPr>
                <w:rFonts w:eastAsia="Times New Roman" w:cstheme="minorHAnsi"/>
                <w:sz w:val="18"/>
                <w:szCs w:val="18"/>
                <w:lang w:val="en-SG" w:eastAsia="en-SG"/>
              </w:rPr>
            </w:pPr>
          </w:p>
        </w:tc>
        <w:tc>
          <w:tcPr>
            <w:tcW w:w="586" w:type="pct"/>
            <w:shd w:val="clear" w:color="auto" w:fill="auto"/>
            <w:noWrap/>
            <w:vAlign w:val="bottom"/>
            <w:hideMark/>
          </w:tcPr>
          <w:p w14:paraId="404AD4E7" w14:textId="77777777" w:rsidR="00FA18EA" w:rsidRPr="000C5053" w:rsidRDefault="00FA18EA" w:rsidP="00FA18EA">
            <w:pPr>
              <w:jc w:val="center"/>
              <w:rPr>
                <w:rFonts w:eastAsia="Times New Roman" w:cstheme="minorHAnsi"/>
                <w:sz w:val="18"/>
                <w:szCs w:val="18"/>
                <w:lang w:val="en-SG" w:eastAsia="en-SG"/>
              </w:rPr>
            </w:pPr>
          </w:p>
        </w:tc>
        <w:tc>
          <w:tcPr>
            <w:tcW w:w="665" w:type="pct"/>
            <w:shd w:val="clear" w:color="auto" w:fill="auto"/>
            <w:noWrap/>
            <w:vAlign w:val="bottom"/>
          </w:tcPr>
          <w:p w14:paraId="11D67218" w14:textId="77777777" w:rsidR="00FA18EA" w:rsidRPr="0091098D" w:rsidRDefault="00FA18EA" w:rsidP="00FA18EA">
            <w:pPr>
              <w:jc w:val="right"/>
              <w:rPr>
                <w:rFonts w:eastAsia="Times New Roman" w:cstheme="minorHAnsi"/>
                <w:b/>
                <w:bCs/>
                <w:sz w:val="18"/>
                <w:szCs w:val="18"/>
                <w:lang w:val="en-SG" w:eastAsia="en-SG"/>
              </w:rPr>
            </w:pPr>
          </w:p>
        </w:tc>
        <w:tc>
          <w:tcPr>
            <w:tcW w:w="698" w:type="pct"/>
            <w:shd w:val="clear" w:color="auto" w:fill="auto"/>
            <w:noWrap/>
            <w:vAlign w:val="bottom"/>
            <w:hideMark/>
          </w:tcPr>
          <w:p w14:paraId="6AE3C3D4" w14:textId="77777777" w:rsidR="00FA18EA" w:rsidRPr="0075195E" w:rsidRDefault="00FA18EA" w:rsidP="00FA18EA">
            <w:pPr>
              <w:jc w:val="right"/>
              <w:rPr>
                <w:rFonts w:eastAsia="Times New Roman" w:cstheme="minorHAnsi"/>
                <w:sz w:val="18"/>
                <w:szCs w:val="18"/>
                <w:lang w:val="en-SG" w:eastAsia="en-SG"/>
              </w:rPr>
            </w:pPr>
          </w:p>
        </w:tc>
      </w:tr>
      <w:tr w:rsidR="00FA18EA" w:rsidRPr="007600A7" w14:paraId="20D30F3E" w14:textId="77777777" w:rsidTr="00FA18EA">
        <w:trPr>
          <w:trHeight w:val="240"/>
        </w:trPr>
        <w:tc>
          <w:tcPr>
            <w:tcW w:w="3050" w:type="pct"/>
            <w:shd w:val="clear" w:color="auto" w:fill="auto"/>
            <w:noWrap/>
            <w:vAlign w:val="bottom"/>
            <w:hideMark/>
          </w:tcPr>
          <w:p w14:paraId="2F7ECC3C" w14:textId="77777777" w:rsidR="00FA18EA" w:rsidRPr="008B2DDA" w:rsidRDefault="00FA18EA" w:rsidP="00FA18EA">
            <w:pPr>
              <w:rPr>
                <w:rFonts w:eastAsia="Times New Roman" w:cstheme="minorHAnsi"/>
                <w:b/>
                <w:bCs/>
                <w:sz w:val="18"/>
                <w:szCs w:val="18"/>
                <w:lang w:val="en-SG" w:eastAsia="en-SG"/>
              </w:rPr>
            </w:pPr>
            <w:r w:rsidRPr="008B2DDA">
              <w:rPr>
                <w:rFonts w:eastAsia="Times New Roman" w:cstheme="minorHAnsi"/>
                <w:b/>
                <w:bCs/>
                <w:sz w:val="18"/>
                <w:szCs w:val="18"/>
                <w:lang w:val="en-SG" w:eastAsia="en-SG"/>
              </w:rPr>
              <w:t>Cash flows from investing activities</w:t>
            </w:r>
          </w:p>
        </w:tc>
        <w:tc>
          <w:tcPr>
            <w:tcW w:w="586" w:type="pct"/>
            <w:shd w:val="clear" w:color="auto" w:fill="auto"/>
            <w:noWrap/>
            <w:vAlign w:val="bottom"/>
            <w:hideMark/>
          </w:tcPr>
          <w:p w14:paraId="2E6DDF7B" w14:textId="77777777" w:rsidR="00FA18EA" w:rsidRPr="000C5053" w:rsidRDefault="00FA18EA" w:rsidP="00FA18EA">
            <w:pPr>
              <w:jc w:val="center"/>
              <w:rPr>
                <w:rFonts w:eastAsia="Times New Roman" w:cstheme="minorHAnsi"/>
                <w:sz w:val="18"/>
                <w:szCs w:val="18"/>
                <w:lang w:val="en-SG" w:eastAsia="en-SG"/>
              </w:rPr>
            </w:pPr>
          </w:p>
        </w:tc>
        <w:tc>
          <w:tcPr>
            <w:tcW w:w="665" w:type="pct"/>
            <w:shd w:val="clear" w:color="auto" w:fill="auto"/>
            <w:noWrap/>
            <w:vAlign w:val="bottom"/>
          </w:tcPr>
          <w:p w14:paraId="482348AD" w14:textId="77777777" w:rsidR="00FA18EA" w:rsidRPr="0091098D" w:rsidRDefault="00FA18EA" w:rsidP="00FA18EA">
            <w:pPr>
              <w:jc w:val="right"/>
              <w:rPr>
                <w:rFonts w:eastAsia="Times New Roman" w:cstheme="minorHAnsi"/>
                <w:b/>
                <w:bCs/>
                <w:sz w:val="18"/>
                <w:szCs w:val="18"/>
                <w:lang w:val="en-SG" w:eastAsia="en-SG"/>
              </w:rPr>
            </w:pPr>
          </w:p>
        </w:tc>
        <w:tc>
          <w:tcPr>
            <w:tcW w:w="698" w:type="pct"/>
            <w:shd w:val="clear" w:color="auto" w:fill="auto"/>
            <w:noWrap/>
            <w:vAlign w:val="bottom"/>
            <w:hideMark/>
          </w:tcPr>
          <w:p w14:paraId="0CA7EA45" w14:textId="77777777" w:rsidR="00FA18EA" w:rsidRPr="0075195E" w:rsidRDefault="00FA18EA" w:rsidP="00FA18EA">
            <w:pPr>
              <w:jc w:val="right"/>
              <w:rPr>
                <w:rFonts w:eastAsia="Times New Roman" w:cstheme="minorHAnsi"/>
                <w:sz w:val="18"/>
                <w:szCs w:val="18"/>
                <w:lang w:val="en-SG" w:eastAsia="en-SG"/>
              </w:rPr>
            </w:pPr>
          </w:p>
        </w:tc>
      </w:tr>
      <w:tr w:rsidR="00FA18EA" w:rsidRPr="007600A7" w14:paraId="3DD01CB5" w14:textId="77777777" w:rsidTr="00FA18EA">
        <w:trPr>
          <w:trHeight w:val="240"/>
        </w:trPr>
        <w:tc>
          <w:tcPr>
            <w:tcW w:w="3050" w:type="pct"/>
            <w:shd w:val="clear" w:color="auto" w:fill="auto"/>
            <w:noWrap/>
            <w:vAlign w:val="bottom"/>
            <w:hideMark/>
          </w:tcPr>
          <w:p w14:paraId="5BFC7D83" w14:textId="77777777" w:rsidR="00FA18EA" w:rsidRPr="008B2DDA" w:rsidRDefault="00FA18EA" w:rsidP="00FA18EA">
            <w:pPr>
              <w:rPr>
                <w:rFonts w:eastAsia="Times New Roman" w:cstheme="minorHAnsi"/>
                <w:sz w:val="18"/>
                <w:szCs w:val="18"/>
                <w:lang w:val="en-SG" w:eastAsia="en-SG"/>
              </w:rPr>
            </w:pPr>
            <w:r w:rsidRPr="008B2DDA">
              <w:rPr>
                <w:rFonts w:eastAsia="Times New Roman" w:cstheme="minorHAnsi"/>
                <w:sz w:val="18"/>
                <w:szCs w:val="18"/>
                <w:lang w:val="en-SG" w:eastAsia="en-SG"/>
              </w:rPr>
              <w:t>Purchase of investments</w:t>
            </w:r>
          </w:p>
        </w:tc>
        <w:tc>
          <w:tcPr>
            <w:tcW w:w="586" w:type="pct"/>
            <w:shd w:val="clear" w:color="auto" w:fill="auto"/>
            <w:noWrap/>
            <w:vAlign w:val="bottom"/>
            <w:hideMark/>
          </w:tcPr>
          <w:p w14:paraId="0067E914" w14:textId="77777777" w:rsidR="00FA18EA" w:rsidRPr="008B2DDA" w:rsidRDefault="00FA18EA" w:rsidP="00FA18EA">
            <w:pPr>
              <w:jc w:val="center"/>
              <w:rPr>
                <w:rFonts w:eastAsia="Times New Roman" w:cstheme="minorHAnsi"/>
                <w:sz w:val="18"/>
                <w:szCs w:val="18"/>
                <w:lang w:val="en-SG" w:eastAsia="en-SG"/>
              </w:rPr>
            </w:pPr>
            <w:r w:rsidRPr="007600A7">
              <w:rPr>
                <w:rFonts w:eastAsia="Times New Roman" w:cstheme="minorHAnsi"/>
                <w:sz w:val="18"/>
                <w:szCs w:val="18"/>
                <w:lang w:val="en-SG" w:eastAsia="en-SG"/>
              </w:rPr>
              <w:t>8•</w:t>
            </w:r>
          </w:p>
        </w:tc>
        <w:tc>
          <w:tcPr>
            <w:tcW w:w="665" w:type="pct"/>
            <w:shd w:val="clear" w:color="auto" w:fill="auto"/>
            <w:noWrap/>
            <w:vAlign w:val="bottom"/>
          </w:tcPr>
          <w:p w14:paraId="2D65599E" w14:textId="77777777" w:rsidR="00FA18EA" w:rsidRPr="0091098D" w:rsidRDefault="00FA18EA" w:rsidP="00FA18EA">
            <w:pPr>
              <w:jc w:val="right"/>
              <w:rPr>
                <w:rFonts w:eastAsia="Times New Roman" w:cstheme="minorHAnsi"/>
                <w:b/>
                <w:bCs/>
                <w:sz w:val="18"/>
                <w:szCs w:val="18"/>
                <w:lang w:val="en-SG" w:eastAsia="en-SG"/>
              </w:rPr>
            </w:pPr>
            <w:r w:rsidRPr="000C5053">
              <w:rPr>
                <w:rFonts w:eastAsia="Times New Roman" w:cstheme="minorHAnsi"/>
                <w:b/>
                <w:bCs/>
                <w:sz w:val="18"/>
                <w:szCs w:val="18"/>
                <w:lang w:val="en-SG" w:eastAsia="en-SG"/>
              </w:rPr>
              <w:t>(1,457)</w:t>
            </w:r>
          </w:p>
        </w:tc>
        <w:tc>
          <w:tcPr>
            <w:tcW w:w="698" w:type="pct"/>
            <w:shd w:val="clear" w:color="auto" w:fill="auto"/>
            <w:noWrap/>
            <w:vAlign w:val="bottom"/>
            <w:hideMark/>
          </w:tcPr>
          <w:p w14:paraId="242BC277" w14:textId="77777777" w:rsidR="00FA18EA" w:rsidRPr="0075195E" w:rsidRDefault="00FA18EA" w:rsidP="00FA18EA">
            <w:pPr>
              <w:jc w:val="right"/>
              <w:rPr>
                <w:rFonts w:eastAsia="Times New Roman" w:cstheme="minorHAnsi"/>
                <w:sz w:val="18"/>
                <w:szCs w:val="18"/>
                <w:lang w:val="en-SG" w:eastAsia="en-SG"/>
              </w:rPr>
            </w:pPr>
            <w:r w:rsidRPr="0075195E">
              <w:rPr>
                <w:rFonts w:eastAsia="Times New Roman" w:cstheme="minorHAnsi"/>
                <w:sz w:val="18"/>
                <w:szCs w:val="18"/>
                <w:lang w:val="en-SG" w:eastAsia="en-SG"/>
              </w:rPr>
              <w:t>(14,943)</w:t>
            </w:r>
          </w:p>
        </w:tc>
      </w:tr>
      <w:tr w:rsidR="00FA18EA" w:rsidRPr="007600A7" w14:paraId="4790F2FA" w14:textId="77777777" w:rsidTr="00FA18EA">
        <w:trPr>
          <w:trHeight w:val="240"/>
        </w:trPr>
        <w:tc>
          <w:tcPr>
            <w:tcW w:w="3050" w:type="pct"/>
            <w:tcBorders>
              <w:bottom w:val="single" w:sz="4" w:space="0" w:color="auto"/>
            </w:tcBorders>
            <w:shd w:val="clear" w:color="auto" w:fill="auto"/>
            <w:noWrap/>
            <w:vAlign w:val="bottom"/>
            <w:hideMark/>
          </w:tcPr>
          <w:p w14:paraId="73EA1E8C" w14:textId="77777777" w:rsidR="00FA18EA" w:rsidRPr="008B2DDA" w:rsidRDefault="00FA18EA" w:rsidP="00FA18EA">
            <w:pPr>
              <w:rPr>
                <w:rFonts w:eastAsia="Times New Roman" w:cstheme="minorHAnsi"/>
                <w:sz w:val="18"/>
                <w:szCs w:val="18"/>
                <w:lang w:val="en-SG" w:eastAsia="en-SG"/>
              </w:rPr>
            </w:pPr>
            <w:r w:rsidRPr="008B2DDA">
              <w:rPr>
                <w:rFonts w:eastAsia="Times New Roman" w:cstheme="minorHAnsi"/>
                <w:sz w:val="18"/>
                <w:szCs w:val="18"/>
                <w:lang w:val="en-SG" w:eastAsia="en-SG"/>
              </w:rPr>
              <w:t>Sale of investments</w:t>
            </w:r>
          </w:p>
        </w:tc>
        <w:tc>
          <w:tcPr>
            <w:tcW w:w="586" w:type="pct"/>
            <w:tcBorders>
              <w:bottom w:val="single" w:sz="4" w:space="0" w:color="auto"/>
            </w:tcBorders>
            <w:shd w:val="clear" w:color="auto" w:fill="auto"/>
            <w:noWrap/>
            <w:vAlign w:val="bottom"/>
            <w:hideMark/>
          </w:tcPr>
          <w:p w14:paraId="77A2D60B" w14:textId="77777777" w:rsidR="00FA18EA" w:rsidRPr="008B2DDA" w:rsidRDefault="00FA18EA" w:rsidP="00FA18EA">
            <w:pPr>
              <w:jc w:val="center"/>
              <w:rPr>
                <w:rFonts w:eastAsia="Times New Roman" w:cstheme="minorHAnsi"/>
                <w:sz w:val="18"/>
                <w:szCs w:val="18"/>
                <w:lang w:val="en-SG" w:eastAsia="en-SG"/>
              </w:rPr>
            </w:pPr>
            <w:r w:rsidRPr="007600A7">
              <w:rPr>
                <w:rFonts w:eastAsia="Times New Roman" w:cstheme="minorHAnsi"/>
                <w:sz w:val="18"/>
                <w:szCs w:val="18"/>
                <w:lang w:val="en-SG" w:eastAsia="en-SG"/>
              </w:rPr>
              <w:t>8•</w:t>
            </w:r>
          </w:p>
        </w:tc>
        <w:tc>
          <w:tcPr>
            <w:tcW w:w="665" w:type="pct"/>
            <w:tcBorders>
              <w:bottom w:val="single" w:sz="4" w:space="0" w:color="auto"/>
            </w:tcBorders>
            <w:shd w:val="clear" w:color="auto" w:fill="auto"/>
            <w:noWrap/>
            <w:vAlign w:val="bottom"/>
          </w:tcPr>
          <w:p w14:paraId="3CFA677F" w14:textId="77777777" w:rsidR="00FA18EA" w:rsidRPr="0091098D" w:rsidRDefault="00FA18EA" w:rsidP="00FA18EA">
            <w:pPr>
              <w:jc w:val="right"/>
              <w:rPr>
                <w:rFonts w:eastAsia="Times New Roman" w:cstheme="minorHAnsi"/>
                <w:b/>
                <w:bCs/>
                <w:sz w:val="18"/>
                <w:szCs w:val="18"/>
                <w:lang w:val="en-SG" w:eastAsia="en-SG"/>
              </w:rPr>
            </w:pPr>
            <w:r w:rsidRPr="000C5053">
              <w:rPr>
                <w:rFonts w:eastAsia="Times New Roman" w:cstheme="minorHAnsi"/>
                <w:b/>
                <w:bCs/>
                <w:sz w:val="18"/>
                <w:szCs w:val="18"/>
                <w:lang w:val="en-SG" w:eastAsia="en-SG"/>
              </w:rPr>
              <w:t>43,122</w:t>
            </w:r>
          </w:p>
        </w:tc>
        <w:tc>
          <w:tcPr>
            <w:tcW w:w="698" w:type="pct"/>
            <w:tcBorders>
              <w:bottom w:val="single" w:sz="4" w:space="0" w:color="auto"/>
            </w:tcBorders>
            <w:shd w:val="clear" w:color="auto" w:fill="auto"/>
            <w:noWrap/>
            <w:vAlign w:val="bottom"/>
            <w:hideMark/>
          </w:tcPr>
          <w:p w14:paraId="6D614495" w14:textId="77777777" w:rsidR="00FA18EA" w:rsidRPr="0075195E" w:rsidRDefault="00FA18EA" w:rsidP="00FA18EA">
            <w:pPr>
              <w:jc w:val="right"/>
              <w:rPr>
                <w:rFonts w:eastAsia="Times New Roman" w:cstheme="minorHAnsi"/>
                <w:sz w:val="18"/>
                <w:szCs w:val="18"/>
                <w:lang w:val="en-SG" w:eastAsia="en-SG"/>
              </w:rPr>
            </w:pPr>
            <w:r w:rsidRPr="0075195E">
              <w:rPr>
                <w:rFonts w:eastAsia="Times New Roman" w:cstheme="minorHAnsi"/>
                <w:sz w:val="18"/>
                <w:szCs w:val="18"/>
                <w:lang w:val="en-SG" w:eastAsia="en-SG"/>
              </w:rPr>
              <w:t>11,334</w:t>
            </w:r>
          </w:p>
        </w:tc>
      </w:tr>
      <w:tr w:rsidR="00FA18EA" w:rsidRPr="007600A7" w14:paraId="52EE4A19" w14:textId="77777777" w:rsidTr="00FA18EA">
        <w:trPr>
          <w:trHeight w:val="240"/>
        </w:trPr>
        <w:tc>
          <w:tcPr>
            <w:tcW w:w="3050" w:type="pct"/>
            <w:tcBorders>
              <w:top w:val="single" w:sz="4" w:space="0" w:color="auto"/>
            </w:tcBorders>
            <w:shd w:val="clear" w:color="auto" w:fill="auto"/>
            <w:noWrap/>
            <w:vAlign w:val="bottom"/>
            <w:hideMark/>
          </w:tcPr>
          <w:p w14:paraId="1EC63B90" w14:textId="77777777" w:rsidR="00FA18EA" w:rsidRPr="008B2DDA" w:rsidRDefault="00FA18EA" w:rsidP="00FA18EA">
            <w:pPr>
              <w:rPr>
                <w:rFonts w:eastAsia="Times New Roman" w:cstheme="minorHAnsi"/>
                <w:b/>
                <w:bCs/>
                <w:sz w:val="18"/>
                <w:szCs w:val="18"/>
                <w:lang w:val="en-SG" w:eastAsia="en-SG"/>
              </w:rPr>
            </w:pPr>
            <w:r w:rsidRPr="008B2DDA">
              <w:rPr>
                <w:rFonts w:eastAsia="Times New Roman" w:cstheme="minorHAnsi"/>
                <w:b/>
                <w:bCs/>
                <w:sz w:val="18"/>
                <w:szCs w:val="18"/>
                <w:lang w:val="en-SG" w:eastAsia="en-SG"/>
              </w:rPr>
              <w:t>Net cash inflow/(outflow) from investing activities</w:t>
            </w:r>
          </w:p>
        </w:tc>
        <w:tc>
          <w:tcPr>
            <w:tcW w:w="586" w:type="pct"/>
            <w:tcBorders>
              <w:top w:val="single" w:sz="4" w:space="0" w:color="auto"/>
            </w:tcBorders>
            <w:shd w:val="clear" w:color="auto" w:fill="auto"/>
            <w:noWrap/>
            <w:vAlign w:val="bottom"/>
            <w:hideMark/>
          </w:tcPr>
          <w:p w14:paraId="35E7B584" w14:textId="77777777" w:rsidR="00FA18EA" w:rsidRPr="000C5053" w:rsidRDefault="00FA18EA" w:rsidP="00FA18EA">
            <w:pPr>
              <w:jc w:val="center"/>
              <w:rPr>
                <w:rFonts w:eastAsia="Times New Roman" w:cstheme="minorHAnsi"/>
                <w:sz w:val="18"/>
                <w:szCs w:val="18"/>
                <w:lang w:val="en-SG" w:eastAsia="en-SG"/>
              </w:rPr>
            </w:pPr>
          </w:p>
        </w:tc>
        <w:tc>
          <w:tcPr>
            <w:tcW w:w="665" w:type="pct"/>
            <w:tcBorders>
              <w:top w:val="single" w:sz="4" w:space="0" w:color="auto"/>
            </w:tcBorders>
            <w:shd w:val="clear" w:color="auto" w:fill="auto"/>
            <w:noWrap/>
            <w:vAlign w:val="bottom"/>
          </w:tcPr>
          <w:p w14:paraId="152B5742" w14:textId="77777777" w:rsidR="00FA18EA" w:rsidRPr="0091098D" w:rsidRDefault="00FA18EA" w:rsidP="00FA18EA">
            <w:pPr>
              <w:jc w:val="right"/>
              <w:rPr>
                <w:rFonts w:eastAsia="Times New Roman" w:cstheme="minorHAnsi"/>
                <w:b/>
                <w:bCs/>
                <w:sz w:val="18"/>
                <w:szCs w:val="18"/>
                <w:lang w:val="en-SG" w:eastAsia="en-SG"/>
              </w:rPr>
            </w:pPr>
            <w:r w:rsidRPr="0091098D">
              <w:rPr>
                <w:rFonts w:eastAsia="Times New Roman" w:cstheme="minorHAnsi"/>
                <w:b/>
                <w:bCs/>
                <w:sz w:val="18"/>
                <w:szCs w:val="18"/>
                <w:lang w:val="en-SG" w:eastAsia="en-SG"/>
              </w:rPr>
              <w:t>41,665</w:t>
            </w:r>
          </w:p>
        </w:tc>
        <w:tc>
          <w:tcPr>
            <w:tcW w:w="698" w:type="pct"/>
            <w:tcBorders>
              <w:top w:val="single" w:sz="4" w:space="0" w:color="auto"/>
            </w:tcBorders>
            <w:shd w:val="clear" w:color="auto" w:fill="auto"/>
            <w:noWrap/>
            <w:vAlign w:val="bottom"/>
            <w:hideMark/>
          </w:tcPr>
          <w:p w14:paraId="3ABF2B56" w14:textId="77777777" w:rsidR="00FA18EA" w:rsidRPr="0075195E" w:rsidRDefault="00FA18EA" w:rsidP="00FA18EA">
            <w:pPr>
              <w:jc w:val="right"/>
              <w:rPr>
                <w:rFonts w:eastAsia="Times New Roman" w:cstheme="minorHAnsi"/>
                <w:sz w:val="18"/>
                <w:szCs w:val="18"/>
                <w:lang w:val="en-SG" w:eastAsia="en-SG"/>
              </w:rPr>
            </w:pPr>
            <w:r w:rsidRPr="0075195E">
              <w:rPr>
                <w:rFonts w:eastAsia="Times New Roman" w:cstheme="minorHAnsi"/>
                <w:sz w:val="18"/>
                <w:szCs w:val="18"/>
                <w:lang w:val="en-SG" w:eastAsia="en-SG"/>
              </w:rPr>
              <w:t>(3,609)</w:t>
            </w:r>
          </w:p>
        </w:tc>
      </w:tr>
      <w:tr w:rsidR="00FA18EA" w:rsidRPr="007600A7" w14:paraId="3B0DE6FA" w14:textId="77777777" w:rsidTr="00FA18EA">
        <w:trPr>
          <w:trHeight w:val="240"/>
        </w:trPr>
        <w:tc>
          <w:tcPr>
            <w:tcW w:w="3050" w:type="pct"/>
            <w:shd w:val="clear" w:color="auto" w:fill="auto"/>
            <w:noWrap/>
            <w:vAlign w:val="bottom"/>
            <w:hideMark/>
          </w:tcPr>
          <w:p w14:paraId="1A9D8257" w14:textId="77777777" w:rsidR="00FA18EA" w:rsidRPr="008B2DDA" w:rsidRDefault="00FA18EA" w:rsidP="00FA18EA">
            <w:pPr>
              <w:rPr>
                <w:rFonts w:eastAsia="Times New Roman" w:cstheme="minorHAnsi"/>
                <w:sz w:val="18"/>
                <w:szCs w:val="18"/>
                <w:lang w:val="en-SG" w:eastAsia="en-SG"/>
              </w:rPr>
            </w:pPr>
          </w:p>
        </w:tc>
        <w:tc>
          <w:tcPr>
            <w:tcW w:w="586" w:type="pct"/>
            <w:shd w:val="clear" w:color="auto" w:fill="auto"/>
            <w:noWrap/>
            <w:vAlign w:val="bottom"/>
            <w:hideMark/>
          </w:tcPr>
          <w:p w14:paraId="279E149B" w14:textId="77777777" w:rsidR="00FA18EA" w:rsidRPr="000C5053" w:rsidRDefault="00FA18EA" w:rsidP="00FA18EA">
            <w:pPr>
              <w:jc w:val="center"/>
              <w:rPr>
                <w:rFonts w:eastAsia="Times New Roman" w:cstheme="minorHAnsi"/>
                <w:sz w:val="18"/>
                <w:szCs w:val="18"/>
                <w:lang w:val="en-SG" w:eastAsia="en-SG"/>
              </w:rPr>
            </w:pPr>
          </w:p>
        </w:tc>
        <w:tc>
          <w:tcPr>
            <w:tcW w:w="665" w:type="pct"/>
            <w:shd w:val="clear" w:color="auto" w:fill="auto"/>
            <w:noWrap/>
            <w:vAlign w:val="bottom"/>
          </w:tcPr>
          <w:p w14:paraId="76893F58" w14:textId="77777777" w:rsidR="00FA18EA" w:rsidRPr="0091098D" w:rsidRDefault="00FA18EA" w:rsidP="00FA18EA">
            <w:pPr>
              <w:jc w:val="right"/>
              <w:rPr>
                <w:rFonts w:eastAsia="Times New Roman" w:cstheme="minorHAnsi"/>
                <w:b/>
                <w:bCs/>
                <w:sz w:val="18"/>
                <w:szCs w:val="18"/>
                <w:lang w:val="en-SG" w:eastAsia="en-SG"/>
              </w:rPr>
            </w:pPr>
          </w:p>
        </w:tc>
        <w:tc>
          <w:tcPr>
            <w:tcW w:w="698" w:type="pct"/>
            <w:shd w:val="clear" w:color="auto" w:fill="auto"/>
            <w:noWrap/>
            <w:vAlign w:val="bottom"/>
            <w:hideMark/>
          </w:tcPr>
          <w:p w14:paraId="0A500649" w14:textId="77777777" w:rsidR="00FA18EA" w:rsidRPr="0075195E" w:rsidRDefault="00FA18EA" w:rsidP="00FA18EA">
            <w:pPr>
              <w:jc w:val="right"/>
              <w:rPr>
                <w:rFonts w:eastAsia="Times New Roman" w:cstheme="minorHAnsi"/>
                <w:sz w:val="18"/>
                <w:szCs w:val="18"/>
                <w:lang w:val="en-SG" w:eastAsia="en-SG"/>
              </w:rPr>
            </w:pPr>
          </w:p>
        </w:tc>
      </w:tr>
      <w:tr w:rsidR="00FA18EA" w:rsidRPr="007600A7" w14:paraId="5989CFF5" w14:textId="77777777" w:rsidTr="00FA18EA">
        <w:trPr>
          <w:trHeight w:val="240"/>
        </w:trPr>
        <w:tc>
          <w:tcPr>
            <w:tcW w:w="3050" w:type="pct"/>
            <w:shd w:val="clear" w:color="auto" w:fill="auto"/>
            <w:noWrap/>
            <w:vAlign w:val="bottom"/>
            <w:hideMark/>
          </w:tcPr>
          <w:p w14:paraId="1F62D11A" w14:textId="77777777" w:rsidR="00FA18EA" w:rsidRPr="008B2DDA" w:rsidRDefault="00FA18EA" w:rsidP="00FA18EA">
            <w:pPr>
              <w:rPr>
                <w:rFonts w:eastAsia="Times New Roman" w:cstheme="minorHAnsi"/>
                <w:b/>
                <w:bCs/>
                <w:sz w:val="18"/>
                <w:szCs w:val="18"/>
                <w:lang w:val="en-SG" w:eastAsia="en-SG"/>
              </w:rPr>
            </w:pPr>
            <w:r w:rsidRPr="008B2DDA">
              <w:rPr>
                <w:rFonts w:eastAsia="Times New Roman" w:cstheme="minorHAnsi"/>
                <w:b/>
                <w:bCs/>
                <w:sz w:val="18"/>
                <w:szCs w:val="18"/>
                <w:lang w:val="en-SG" w:eastAsia="en-SG"/>
              </w:rPr>
              <w:t>Cash flows from financing activities</w:t>
            </w:r>
          </w:p>
        </w:tc>
        <w:tc>
          <w:tcPr>
            <w:tcW w:w="586" w:type="pct"/>
            <w:shd w:val="clear" w:color="auto" w:fill="auto"/>
            <w:noWrap/>
            <w:vAlign w:val="bottom"/>
            <w:hideMark/>
          </w:tcPr>
          <w:p w14:paraId="2CFC827A" w14:textId="77777777" w:rsidR="00FA18EA" w:rsidRPr="000C5053" w:rsidRDefault="00FA18EA" w:rsidP="00FA18EA">
            <w:pPr>
              <w:jc w:val="center"/>
              <w:rPr>
                <w:rFonts w:eastAsia="Times New Roman" w:cstheme="minorHAnsi"/>
                <w:sz w:val="18"/>
                <w:szCs w:val="18"/>
                <w:lang w:val="en-SG" w:eastAsia="en-SG"/>
              </w:rPr>
            </w:pPr>
          </w:p>
        </w:tc>
        <w:tc>
          <w:tcPr>
            <w:tcW w:w="665" w:type="pct"/>
            <w:shd w:val="clear" w:color="auto" w:fill="auto"/>
            <w:noWrap/>
            <w:vAlign w:val="bottom"/>
          </w:tcPr>
          <w:p w14:paraId="6E26465A" w14:textId="77777777" w:rsidR="00FA18EA" w:rsidRPr="0091098D" w:rsidRDefault="00FA18EA" w:rsidP="00FA18EA">
            <w:pPr>
              <w:jc w:val="right"/>
              <w:rPr>
                <w:rFonts w:eastAsia="Times New Roman" w:cstheme="minorHAnsi"/>
                <w:b/>
                <w:bCs/>
                <w:sz w:val="18"/>
                <w:szCs w:val="18"/>
                <w:lang w:val="en-SG" w:eastAsia="en-SG"/>
              </w:rPr>
            </w:pPr>
          </w:p>
        </w:tc>
        <w:tc>
          <w:tcPr>
            <w:tcW w:w="698" w:type="pct"/>
            <w:shd w:val="clear" w:color="auto" w:fill="auto"/>
            <w:noWrap/>
            <w:vAlign w:val="bottom"/>
            <w:hideMark/>
          </w:tcPr>
          <w:p w14:paraId="4D65E833" w14:textId="77777777" w:rsidR="00FA18EA" w:rsidRPr="0075195E" w:rsidRDefault="00FA18EA" w:rsidP="00FA18EA">
            <w:pPr>
              <w:jc w:val="right"/>
              <w:rPr>
                <w:rFonts w:eastAsia="Times New Roman" w:cstheme="minorHAnsi"/>
                <w:sz w:val="18"/>
                <w:szCs w:val="18"/>
                <w:lang w:val="en-SG" w:eastAsia="en-SG"/>
              </w:rPr>
            </w:pPr>
          </w:p>
        </w:tc>
      </w:tr>
      <w:tr w:rsidR="00FA18EA" w:rsidRPr="007600A7" w14:paraId="549B160D" w14:textId="77777777" w:rsidTr="00FA18EA">
        <w:trPr>
          <w:trHeight w:val="240"/>
        </w:trPr>
        <w:tc>
          <w:tcPr>
            <w:tcW w:w="3050" w:type="pct"/>
            <w:shd w:val="clear" w:color="auto" w:fill="auto"/>
            <w:noWrap/>
            <w:vAlign w:val="bottom"/>
            <w:hideMark/>
          </w:tcPr>
          <w:p w14:paraId="16FBC545" w14:textId="77777777" w:rsidR="00FA18EA" w:rsidRPr="008B2DDA" w:rsidRDefault="00FA18EA" w:rsidP="00FA18EA">
            <w:pPr>
              <w:rPr>
                <w:rFonts w:eastAsia="Times New Roman" w:cstheme="minorHAnsi"/>
                <w:sz w:val="18"/>
                <w:szCs w:val="18"/>
                <w:lang w:val="en-SG" w:eastAsia="en-SG"/>
              </w:rPr>
            </w:pPr>
            <w:r w:rsidRPr="008B2DDA">
              <w:rPr>
                <w:rFonts w:eastAsia="Times New Roman" w:cstheme="minorHAnsi"/>
                <w:sz w:val="18"/>
                <w:szCs w:val="18"/>
                <w:lang w:val="en-SG" w:eastAsia="en-SG"/>
              </w:rPr>
              <w:t>Dividends paid</w:t>
            </w:r>
          </w:p>
        </w:tc>
        <w:tc>
          <w:tcPr>
            <w:tcW w:w="586" w:type="pct"/>
            <w:shd w:val="clear" w:color="auto" w:fill="auto"/>
            <w:noWrap/>
            <w:vAlign w:val="bottom"/>
            <w:hideMark/>
          </w:tcPr>
          <w:p w14:paraId="53CBA4AF" w14:textId="77777777" w:rsidR="00FA18EA" w:rsidRPr="0091098D" w:rsidRDefault="00FA18EA" w:rsidP="00FA18EA">
            <w:pPr>
              <w:jc w:val="center"/>
              <w:rPr>
                <w:rFonts w:eastAsia="Times New Roman" w:cstheme="minorHAnsi"/>
                <w:sz w:val="18"/>
                <w:szCs w:val="18"/>
                <w:lang w:val="en-SG" w:eastAsia="en-SG"/>
              </w:rPr>
            </w:pPr>
            <w:r w:rsidRPr="000C5053">
              <w:rPr>
                <w:rFonts w:eastAsia="Times New Roman" w:cstheme="minorHAnsi"/>
                <w:sz w:val="18"/>
                <w:szCs w:val="18"/>
                <w:lang w:val="en-SG" w:eastAsia="en-SG"/>
              </w:rPr>
              <w:t>7</w:t>
            </w:r>
          </w:p>
        </w:tc>
        <w:tc>
          <w:tcPr>
            <w:tcW w:w="665" w:type="pct"/>
            <w:shd w:val="clear" w:color="auto" w:fill="auto"/>
            <w:noWrap/>
            <w:vAlign w:val="bottom"/>
          </w:tcPr>
          <w:p w14:paraId="4679A564" w14:textId="77777777" w:rsidR="00FA18EA" w:rsidRPr="0075195E" w:rsidRDefault="00FA18EA" w:rsidP="00FA18EA">
            <w:pPr>
              <w:jc w:val="right"/>
              <w:rPr>
                <w:rFonts w:eastAsia="Times New Roman" w:cstheme="minorHAnsi"/>
                <w:b/>
                <w:bCs/>
                <w:sz w:val="18"/>
                <w:szCs w:val="18"/>
                <w:lang w:val="en-SG" w:eastAsia="en-SG"/>
              </w:rPr>
            </w:pPr>
            <w:r w:rsidRPr="0075195E">
              <w:rPr>
                <w:rFonts w:eastAsia="Times New Roman" w:cstheme="minorHAnsi"/>
                <w:b/>
                <w:bCs/>
                <w:sz w:val="18"/>
                <w:szCs w:val="18"/>
                <w:lang w:val="en-SG" w:eastAsia="en-SG"/>
              </w:rPr>
              <w:t>(535)</w:t>
            </w:r>
          </w:p>
        </w:tc>
        <w:tc>
          <w:tcPr>
            <w:tcW w:w="698" w:type="pct"/>
            <w:shd w:val="clear" w:color="auto" w:fill="auto"/>
            <w:noWrap/>
            <w:vAlign w:val="bottom"/>
            <w:hideMark/>
          </w:tcPr>
          <w:p w14:paraId="43CAC2AC" w14:textId="77777777" w:rsidR="00FA18EA" w:rsidRPr="0075195E" w:rsidRDefault="00FA18EA" w:rsidP="00FA18EA">
            <w:pPr>
              <w:jc w:val="right"/>
              <w:rPr>
                <w:rFonts w:eastAsia="Times New Roman" w:cstheme="minorHAnsi"/>
                <w:sz w:val="18"/>
                <w:szCs w:val="18"/>
                <w:lang w:val="en-SG" w:eastAsia="en-SG"/>
              </w:rPr>
            </w:pPr>
            <w:r w:rsidRPr="0075195E">
              <w:rPr>
                <w:rFonts w:eastAsia="Times New Roman" w:cstheme="minorHAnsi"/>
                <w:sz w:val="18"/>
                <w:szCs w:val="18"/>
                <w:lang w:val="en-SG" w:eastAsia="en-SG"/>
              </w:rPr>
              <w:t>(867)</w:t>
            </w:r>
          </w:p>
        </w:tc>
      </w:tr>
      <w:tr w:rsidR="00FA18EA" w:rsidRPr="007600A7" w14:paraId="70F0420C" w14:textId="77777777" w:rsidTr="00FA18EA">
        <w:trPr>
          <w:trHeight w:val="240"/>
        </w:trPr>
        <w:tc>
          <w:tcPr>
            <w:tcW w:w="3050" w:type="pct"/>
            <w:tcBorders>
              <w:bottom w:val="single" w:sz="4" w:space="0" w:color="auto"/>
            </w:tcBorders>
            <w:shd w:val="clear" w:color="auto" w:fill="auto"/>
            <w:noWrap/>
            <w:vAlign w:val="bottom"/>
            <w:hideMark/>
          </w:tcPr>
          <w:p w14:paraId="5CA9DB32" w14:textId="77777777" w:rsidR="00FA18EA" w:rsidRPr="008B2DDA" w:rsidRDefault="00FA18EA" w:rsidP="00FA18EA">
            <w:pPr>
              <w:rPr>
                <w:rFonts w:eastAsia="Times New Roman" w:cstheme="minorHAnsi"/>
                <w:sz w:val="18"/>
                <w:szCs w:val="18"/>
                <w:lang w:val="en-SG" w:eastAsia="en-SG"/>
              </w:rPr>
            </w:pPr>
            <w:r w:rsidRPr="008B2DDA">
              <w:rPr>
                <w:rFonts w:eastAsia="Times New Roman" w:cstheme="minorHAnsi"/>
                <w:sz w:val="18"/>
                <w:szCs w:val="18"/>
                <w:lang w:val="en-SG" w:eastAsia="en-SG"/>
              </w:rPr>
              <w:t>Return of Capital B Share Scheme and Tender Offer</w:t>
            </w:r>
          </w:p>
        </w:tc>
        <w:tc>
          <w:tcPr>
            <w:tcW w:w="586" w:type="pct"/>
            <w:tcBorders>
              <w:bottom w:val="single" w:sz="4" w:space="0" w:color="auto"/>
            </w:tcBorders>
            <w:shd w:val="clear" w:color="auto" w:fill="auto"/>
            <w:noWrap/>
            <w:vAlign w:val="bottom"/>
            <w:hideMark/>
          </w:tcPr>
          <w:p w14:paraId="7B4AEB45" w14:textId="77777777" w:rsidR="00FA18EA" w:rsidRPr="0091098D" w:rsidRDefault="00FA18EA" w:rsidP="00FA18EA">
            <w:pPr>
              <w:jc w:val="center"/>
              <w:rPr>
                <w:rFonts w:eastAsia="Times New Roman" w:cstheme="minorHAnsi"/>
                <w:sz w:val="18"/>
                <w:szCs w:val="18"/>
                <w:lang w:val="en-SG" w:eastAsia="en-SG"/>
              </w:rPr>
            </w:pPr>
            <w:r w:rsidRPr="000C5053">
              <w:rPr>
                <w:rFonts w:eastAsia="Times New Roman" w:cstheme="minorHAnsi"/>
                <w:sz w:val="18"/>
                <w:szCs w:val="18"/>
                <w:lang w:val="en-SG" w:eastAsia="en-SG"/>
              </w:rPr>
              <w:t> </w:t>
            </w:r>
          </w:p>
        </w:tc>
        <w:tc>
          <w:tcPr>
            <w:tcW w:w="665" w:type="pct"/>
            <w:tcBorders>
              <w:bottom w:val="single" w:sz="4" w:space="0" w:color="auto"/>
            </w:tcBorders>
            <w:shd w:val="clear" w:color="auto" w:fill="auto"/>
            <w:noWrap/>
            <w:vAlign w:val="bottom"/>
          </w:tcPr>
          <w:p w14:paraId="0430BBAB" w14:textId="77777777" w:rsidR="00FA18EA" w:rsidRPr="0075195E" w:rsidRDefault="00FA18EA" w:rsidP="00FA18EA">
            <w:pPr>
              <w:jc w:val="right"/>
              <w:rPr>
                <w:rFonts w:eastAsia="Times New Roman" w:cstheme="minorHAnsi"/>
                <w:b/>
                <w:bCs/>
                <w:sz w:val="18"/>
                <w:szCs w:val="18"/>
                <w:lang w:val="en-SG" w:eastAsia="en-SG"/>
              </w:rPr>
            </w:pPr>
            <w:r w:rsidRPr="0075195E">
              <w:rPr>
                <w:rFonts w:eastAsia="Times New Roman" w:cstheme="minorHAnsi"/>
                <w:b/>
                <w:bCs/>
                <w:sz w:val="18"/>
                <w:szCs w:val="18"/>
                <w:lang w:val="en-SG" w:eastAsia="en-SG"/>
              </w:rPr>
              <w:t>(25,021)</w:t>
            </w:r>
          </w:p>
        </w:tc>
        <w:tc>
          <w:tcPr>
            <w:tcW w:w="698" w:type="pct"/>
            <w:tcBorders>
              <w:bottom w:val="single" w:sz="4" w:space="0" w:color="auto"/>
            </w:tcBorders>
            <w:shd w:val="clear" w:color="auto" w:fill="auto"/>
            <w:noWrap/>
            <w:vAlign w:val="bottom"/>
            <w:hideMark/>
          </w:tcPr>
          <w:p w14:paraId="5C9C3D80" w14:textId="77777777" w:rsidR="00FA18EA" w:rsidRPr="0075195E" w:rsidRDefault="00FA18EA" w:rsidP="00FA18EA">
            <w:pPr>
              <w:jc w:val="right"/>
              <w:rPr>
                <w:rFonts w:eastAsia="Times New Roman" w:cstheme="minorHAnsi"/>
                <w:sz w:val="18"/>
                <w:szCs w:val="18"/>
                <w:lang w:val="en-SG" w:eastAsia="en-SG"/>
              </w:rPr>
            </w:pPr>
            <w:r w:rsidRPr="0075195E">
              <w:rPr>
                <w:rFonts w:eastAsia="Times New Roman" w:cstheme="minorHAnsi"/>
                <w:sz w:val="18"/>
                <w:szCs w:val="18"/>
                <w:lang w:val="en-SG" w:eastAsia="en-SG"/>
              </w:rPr>
              <w:t>-</w:t>
            </w:r>
          </w:p>
        </w:tc>
      </w:tr>
      <w:tr w:rsidR="00FA18EA" w:rsidRPr="007600A7" w14:paraId="04781EE4" w14:textId="77777777" w:rsidTr="00FA18EA">
        <w:trPr>
          <w:trHeight w:val="240"/>
        </w:trPr>
        <w:tc>
          <w:tcPr>
            <w:tcW w:w="3050" w:type="pct"/>
            <w:tcBorders>
              <w:top w:val="single" w:sz="4" w:space="0" w:color="auto"/>
            </w:tcBorders>
            <w:shd w:val="clear" w:color="auto" w:fill="auto"/>
            <w:noWrap/>
            <w:vAlign w:val="bottom"/>
            <w:hideMark/>
          </w:tcPr>
          <w:p w14:paraId="4C22AB70" w14:textId="77777777" w:rsidR="00FA18EA" w:rsidRPr="008B2DDA" w:rsidRDefault="00FA18EA" w:rsidP="00FA18EA">
            <w:pPr>
              <w:rPr>
                <w:rFonts w:eastAsia="Times New Roman" w:cstheme="minorHAnsi"/>
                <w:b/>
                <w:bCs/>
                <w:sz w:val="18"/>
                <w:szCs w:val="18"/>
                <w:lang w:val="en-SG" w:eastAsia="en-SG"/>
              </w:rPr>
            </w:pPr>
            <w:r w:rsidRPr="008B2DDA">
              <w:rPr>
                <w:rFonts w:eastAsia="Times New Roman" w:cstheme="minorHAnsi"/>
                <w:b/>
                <w:bCs/>
                <w:sz w:val="18"/>
                <w:szCs w:val="18"/>
                <w:lang w:val="en-SG" w:eastAsia="en-SG"/>
              </w:rPr>
              <w:t>Net cash outflow from financing activities</w:t>
            </w:r>
          </w:p>
        </w:tc>
        <w:tc>
          <w:tcPr>
            <w:tcW w:w="586" w:type="pct"/>
            <w:tcBorders>
              <w:top w:val="single" w:sz="4" w:space="0" w:color="auto"/>
            </w:tcBorders>
            <w:shd w:val="clear" w:color="auto" w:fill="auto"/>
            <w:noWrap/>
            <w:vAlign w:val="bottom"/>
            <w:hideMark/>
          </w:tcPr>
          <w:p w14:paraId="6917C2E0" w14:textId="77777777" w:rsidR="00FA18EA" w:rsidRPr="000C5053" w:rsidRDefault="00FA18EA" w:rsidP="00FA18EA">
            <w:pPr>
              <w:jc w:val="center"/>
              <w:rPr>
                <w:rFonts w:eastAsia="Times New Roman" w:cstheme="minorHAnsi"/>
                <w:sz w:val="18"/>
                <w:szCs w:val="18"/>
                <w:lang w:val="en-SG" w:eastAsia="en-SG"/>
              </w:rPr>
            </w:pPr>
          </w:p>
        </w:tc>
        <w:tc>
          <w:tcPr>
            <w:tcW w:w="665" w:type="pct"/>
            <w:tcBorders>
              <w:top w:val="single" w:sz="4" w:space="0" w:color="auto"/>
            </w:tcBorders>
            <w:shd w:val="clear" w:color="auto" w:fill="auto"/>
            <w:noWrap/>
            <w:vAlign w:val="bottom"/>
          </w:tcPr>
          <w:p w14:paraId="4F9BE763" w14:textId="77777777" w:rsidR="00FA18EA" w:rsidRPr="0091098D" w:rsidRDefault="00FA18EA" w:rsidP="00FA18EA">
            <w:pPr>
              <w:jc w:val="right"/>
              <w:rPr>
                <w:rFonts w:eastAsia="Times New Roman" w:cstheme="minorHAnsi"/>
                <w:b/>
                <w:bCs/>
                <w:sz w:val="18"/>
                <w:szCs w:val="18"/>
                <w:lang w:val="en-SG" w:eastAsia="en-SG"/>
              </w:rPr>
            </w:pPr>
            <w:r w:rsidRPr="0091098D">
              <w:rPr>
                <w:rFonts w:eastAsia="Times New Roman" w:cstheme="minorHAnsi"/>
                <w:b/>
                <w:bCs/>
                <w:sz w:val="18"/>
                <w:szCs w:val="18"/>
                <w:lang w:val="en-SG" w:eastAsia="en-SG"/>
              </w:rPr>
              <w:t>(25,556)</w:t>
            </w:r>
          </w:p>
        </w:tc>
        <w:tc>
          <w:tcPr>
            <w:tcW w:w="698" w:type="pct"/>
            <w:tcBorders>
              <w:top w:val="single" w:sz="4" w:space="0" w:color="auto"/>
            </w:tcBorders>
            <w:shd w:val="clear" w:color="auto" w:fill="auto"/>
            <w:noWrap/>
            <w:vAlign w:val="bottom"/>
            <w:hideMark/>
          </w:tcPr>
          <w:p w14:paraId="2B089CE7" w14:textId="77777777" w:rsidR="00FA18EA" w:rsidRPr="0075195E" w:rsidRDefault="00FA18EA" w:rsidP="00FA18EA">
            <w:pPr>
              <w:jc w:val="right"/>
              <w:rPr>
                <w:rFonts w:eastAsia="Times New Roman" w:cstheme="minorHAnsi"/>
                <w:sz w:val="18"/>
                <w:szCs w:val="18"/>
                <w:lang w:val="en-SG" w:eastAsia="en-SG"/>
              </w:rPr>
            </w:pPr>
            <w:r w:rsidRPr="0075195E">
              <w:rPr>
                <w:rFonts w:eastAsia="Times New Roman" w:cstheme="minorHAnsi"/>
                <w:sz w:val="18"/>
                <w:szCs w:val="18"/>
                <w:lang w:val="en-SG" w:eastAsia="en-SG"/>
              </w:rPr>
              <w:t>(867)</w:t>
            </w:r>
          </w:p>
        </w:tc>
      </w:tr>
      <w:tr w:rsidR="00FA18EA" w:rsidRPr="007600A7" w14:paraId="68BCA1AF" w14:textId="77777777" w:rsidTr="00FA18EA">
        <w:trPr>
          <w:trHeight w:val="240"/>
        </w:trPr>
        <w:tc>
          <w:tcPr>
            <w:tcW w:w="3050" w:type="pct"/>
            <w:shd w:val="clear" w:color="auto" w:fill="auto"/>
            <w:noWrap/>
            <w:vAlign w:val="bottom"/>
            <w:hideMark/>
          </w:tcPr>
          <w:p w14:paraId="0F45C38F" w14:textId="77777777" w:rsidR="00FA18EA" w:rsidRPr="008B2DDA" w:rsidRDefault="00FA18EA" w:rsidP="00FA18EA">
            <w:pPr>
              <w:rPr>
                <w:rFonts w:eastAsia="Times New Roman" w:cstheme="minorHAnsi"/>
                <w:sz w:val="18"/>
                <w:szCs w:val="18"/>
                <w:lang w:val="en-SG" w:eastAsia="en-SG"/>
              </w:rPr>
            </w:pPr>
          </w:p>
        </w:tc>
        <w:tc>
          <w:tcPr>
            <w:tcW w:w="586" w:type="pct"/>
            <w:shd w:val="clear" w:color="auto" w:fill="auto"/>
            <w:noWrap/>
            <w:vAlign w:val="bottom"/>
            <w:hideMark/>
          </w:tcPr>
          <w:p w14:paraId="026BF74E" w14:textId="77777777" w:rsidR="00FA18EA" w:rsidRPr="000C5053" w:rsidRDefault="00FA18EA" w:rsidP="00FA18EA">
            <w:pPr>
              <w:jc w:val="center"/>
              <w:rPr>
                <w:rFonts w:eastAsia="Times New Roman" w:cstheme="minorHAnsi"/>
                <w:sz w:val="18"/>
                <w:szCs w:val="18"/>
                <w:lang w:val="en-SG" w:eastAsia="en-SG"/>
              </w:rPr>
            </w:pPr>
          </w:p>
        </w:tc>
        <w:tc>
          <w:tcPr>
            <w:tcW w:w="665" w:type="pct"/>
            <w:shd w:val="clear" w:color="auto" w:fill="auto"/>
            <w:noWrap/>
            <w:vAlign w:val="bottom"/>
          </w:tcPr>
          <w:p w14:paraId="02FB2137" w14:textId="77777777" w:rsidR="00FA18EA" w:rsidRPr="0091098D" w:rsidRDefault="00FA18EA" w:rsidP="00FA18EA">
            <w:pPr>
              <w:jc w:val="right"/>
              <w:rPr>
                <w:rFonts w:eastAsia="Times New Roman" w:cstheme="minorHAnsi"/>
                <w:b/>
                <w:bCs/>
                <w:sz w:val="18"/>
                <w:szCs w:val="18"/>
                <w:lang w:val="en-SG" w:eastAsia="en-SG"/>
              </w:rPr>
            </w:pPr>
          </w:p>
        </w:tc>
        <w:tc>
          <w:tcPr>
            <w:tcW w:w="698" w:type="pct"/>
            <w:shd w:val="clear" w:color="auto" w:fill="auto"/>
            <w:noWrap/>
            <w:vAlign w:val="bottom"/>
            <w:hideMark/>
          </w:tcPr>
          <w:p w14:paraId="7735DF18" w14:textId="77777777" w:rsidR="00FA18EA" w:rsidRPr="0075195E" w:rsidRDefault="00FA18EA" w:rsidP="00FA18EA">
            <w:pPr>
              <w:jc w:val="right"/>
              <w:rPr>
                <w:rFonts w:eastAsia="Times New Roman" w:cstheme="minorHAnsi"/>
                <w:sz w:val="18"/>
                <w:szCs w:val="18"/>
                <w:lang w:val="en-SG" w:eastAsia="en-SG"/>
              </w:rPr>
            </w:pPr>
          </w:p>
        </w:tc>
      </w:tr>
      <w:tr w:rsidR="00FA18EA" w:rsidRPr="007600A7" w14:paraId="2B20E076" w14:textId="77777777" w:rsidTr="00FA18EA">
        <w:trPr>
          <w:trHeight w:val="240"/>
        </w:trPr>
        <w:tc>
          <w:tcPr>
            <w:tcW w:w="3050" w:type="pct"/>
            <w:shd w:val="clear" w:color="auto" w:fill="auto"/>
            <w:noWrap/>
            <w:vAlign w:val="bottom"/>
            <w:hideMark/>
          </w:tcPr>
          <w:p w14:paraId="2793A698" w14:textId="77777777" w:rsidR="00FA18EA" w:rsidRPr="008B2DDA" w:rsidRDefault="00FA18EA" w:rsidP="00FA18EA">
            <w:pPr>
              <w:rPr>
                <w:rFonts w:eastAsia="Times New Roman" w:cstheme="minorHAnsi"/>
                <w:sz w:val="18"/>
                <w:szCs w:val="18"/>
                <w:lang w:val="en-SG" w:eastAsia="en-SG"/>
              </w:rPr>
            </w:pPr>
            <w:r w:rsidRPr="008B2DDA">
              <w:rPr>
                <w:rFonts w:eastAsia="Times New Roman" w:cstheme="minorHAnsi"/>
                <w:sz w:val="18"/>
                <w:szCs w:val="18"/>
                <w:lang w:val="en-SG" w:eastAsia="en-SG"/>
              </w:rPr>
              <w:t>Change in cash and cash equivalents</w:t>
            </w:r>
          </w:p>
        </w:tc>
        <w:tc>
          <w:tcPr>
            <w:tcW w:w="586" w:type="pct"/>
            <w:shd w:val="clear" w:color="auto" w:fill="auto"/>
            <w:noWrap/>
            <w:vAlign w:val="bottom"/>
            <w:hideMark/>
          </w:tcPr>
          <w:p w14:paraId="666ADDE6" w14:textId="77777777" w:rsidR="00FA18EA" w:rsidRPr="000C5053" w:rsidRDefault="00FA18EA" w:rsidP="00FA18EA">
            <w:pPr>
              <w:jc w:val="center"/>
              <w:rPr>
                <w:rFonts w:eastAsia="Times New Roman" w:cstheme="minorHAnsi"/>
                <w:sz w:val="18"/>
                <w:szCs w:val="18"/>
                <w:lang w:val="en-SG" w:eastAsia="en-SG"/>
              </w:rPr>
            </w:pPr>
          </w:p>
        </w:tc>
        <w:tc>
          <w:tcPr>
            <w:tcW w:w="665" w:type="pct"/>
            <w:shd w:val="clear" w:color="auto" w:fill="auto"/>
            <w:noWrap/>
            <w:vAlign w:val="bottom"/>
          </w:tcPr>
          <w:p w14:paraId="2CCFA1BD" w14:textId="77777777" w:rsidR="00FA18EA" w:rsidRPr="0091098D" w:rsidRDefault="00FA18EA" w:rsidP="00FA18EA">
            <w:pPr>
              <w:jc w:val="right"/>
              <w:rPr>
                <w:rFonts w:eastAsia="Times New Roman" w:cstheme="minorHAnsi"/>
                <w:b/>
                <w:bCs/>
                <w:sz w:val="18"/>
                <w:szCs w:val="18"/>
                <w:lang w:val="en-SG" w:eastAsia="en-SG"/>
              </w:rPr>
            </w:pPr>
            <w:r w:rsidRPr="0091098D">
              <w:rPr>
                <w:rFonts w:eastAsia="Times New Roman" w:cstheme="minorHAnsi"/>
                <w:b/>
                <w:bCs/>
                <w:sz w:val="18"/>
                <w:szCs w:val="18"/>
                <w:lang w:val="en-SG" w:eastAsia="en-SG"/>
              </w:rPr>
              <w:t>8,902</w:t>
            </w:r>
          </w:p>
        </w:tc>
        <w:tc>
          <w:tcPr>
            <w:tcW w:w="698" w:type="pct"/>
            <w:shd w:val="clear" w:color="auto" w:fill="auto"/>
            <w:noWrap/>
            <w:vAlign w:val="bottom"/>
            <w:hideMark/>
          </w:tcPr>
          <w:p w14:paraId="347C99B1" w14:textId="77777777" w:rsidR="00FA18EA" w:rsidRPr="0075195E" w:rsidRDefault="00FA18EA" w:rsidP="00FA18EA">
            <w:pPr>
              <w:jc w:val="right"/>
              <w:rPr>
                <w:rFonts w:eastAsia="Times New Roman" w:cstheme="minorHAnsi"/>
                <w:sz w:val="18"/>
                <w:szCs w:val="18"/>
                <w:lang w:val="en-SG" w:eastAsia="en-SG"/>
              </w:rPr>
            </w:pPr>
            <w:r w:rsidRPr="0075195E">
              <w:rPr>
                <w:rFonts w:eastAsia="Times New Roman" w:cstheme="minorHAnsi"/>
                <w:sz w:val="18"/>
                <w:szCs w:val="18"/>
                <w:lang w:val="en-SG" w:eastAsia="en-SG"/>
              </w:rPr>
              <w:t>(5,259)</w:t>
            </w:r>
          </w:p>
        </w:tc>
      </w:tr>
      <w:tr w:rsidR="00FA18EA" w:rsidRPr="007600A7" w14:paraId="331D3528" w14:textId="77777777" w:rsidTr="00FA18EA">
        <w:trPr>
          <w:trHeight w:val="240"/>
        </w:trPr>
        <w:tc>
          <w:tcPr>
            <w:tcW w:w="3050" w:type="pct"/>
            <w:tcBorders>
              <w:bottom w:val="single" w:sz="4" w:space="0" w:color="auto"/>
            </w:tcBorders>
            <w:shd w:val="clear" w:color="auto" w:fill="auto"/>
            <w:noWrap/>
            <w:vAlign w:val="bottom"/>
            <w:hideMark/>
          </w:tcPr>
          <w:p w14:paraId="274FDB72" w14:textId="77777777" w:rsidR="00FA18EA" w:rsidRPr="008B2DDA" w:rsidRDefault="00FA18EA" w:rsidP="00FA18EA">
            <w:pPr>
              <w:rPr>
                <w:rFonts w:eastAsia="Times New Roman" w:cstheme="minorHAnsi"/>
                <w:sz w:val="18"/>
                <w:szCs w:val="18"/>
                <w:lang w:val="en-SG" w:eastAsia="en-SG"/>
              </w:rPr>
            </w:pPr>
            <w:r w:rsidRPr="008B2DDA">
              <w:rPr>
                <w:rFonts w:eastAsia="Times New Roman" w:cstheme="minorHAnsi"/>
                <w:sz w:val="18"/>
                <w:szCs w:val="18"/>
                <w:lang w:val="en-SG" w:eastAsia="en-SG"/>
              </w:rPr>
              <w:t>Opening cash and cash equivalents</w:t>
            </w:r>
          </w:p>
        </w:tc>
        <w:tc>
          <w:tcPr>
            <w:tcW w:w="586" w:type="pct"/>
            <w:tcBorders>
              <w:bottom w:val="single" w:sz="4" w:space="0" w:color="auto"/>
            </w:tcBorders>
            <w:shd w:val="clear" w:color="auto" w:fill="auto"/>
            <w:noWrap/>
            <w:vAlign w:val="bottom"/>
            <w:hideMark/>
          </w:tcPr>
          <w:p w14:paraId="3DA27051" w14:textId="77777777" w:rsidR="00FA18EA" w:rsidRPr="0091098D" w:rsidRDefault="00FA18EA" w:rsidP="00FA18EA">
            <w:pPr>
              <w:jc w:val="center"/>
              <w:rPr>
                <w:rFonts w:eastAsia="Times New Roman" w:cstheme="minorHAnsi"/>
                <w:sz w:val="18"/>
                <w:szCs w:val="18"/>
                <w:lang w:val="en-SG" w:eastAsia="en-SG"/>
              </w:rPr>
            </w:pPr>
            <w:r w:rsidRPr="000C5053">
              <w:rPr>
                <w:rFonts w:eastAsia="Times New Roman" w:cstheme="minorHAnsi"/>
                <w:sz w:val="18"/>
                <w:szCs w:val="18"/>
                <w:lang w:val="en-SG" w:eastAsia="en-SG"/>
              </w:rPr>
              <w:t> </w:t>
            </w:r>
          </w:p>
        </w:tc>
        <w:tc>
          <w:tcPr>
            <w:tcW w:w="665" w:type="pct"/>
            <w:tcBorders>
              <w:bottom w:val="single" w:sz="4" w:space="0" w:color="auto"/>
            </w:tcBorders>
            <w:shd w:val="clear" w:color="auto" w:fill="auto"/>
            <w:noWrap/>
            <w:vAlign w:val="bottom"/>
          </w:tcPr>
          <w:p w14:paraId="1BBBAD58" w14:textId="77777777" w:rsidR="00FA18EA" w:rsidRPr="0075195E" w:rsidRDefault="00FA18EA" w:rsidP="00FA18EA">
            <w:pPr>
              <w:jc w:val="right"/>
              <w:rPr>
                <w:rFonts w:eastAsia="Times New Roman" w:cstheme="minorHAnsi"/>
                <w:b/>
                <w:bCs/>
                <w:sz w:val="18"/>
                <w:szCs w:val="18"/>
                <w:lang w:val="en-SG" w:eastAsia="en-SG"/>
              </w:rPr>
            </w:pPr>
            <w:r w:rsidRPr="0075195E">
              <w:rPr>
                <w:rFonts w:eastAsia="Times New Roman" w:cstheme="minorHAnsi"/>
                <w:b/>
                <w:bCs/>
                <w:sz w:val="18"/>
                <w:szCs w:val="18"/>
                <w:lang w:val="en-SG" w:eastAsia="en-SG"/>
              </w:rPr>
              <w:t>1,605</w:t>
            </w:r>
          </w:p>
        </w:tc>
        <w:tc>
          <w:tcPr>
            <w:tcW w:w="698" w:type="pct"/>
            <w:tcBorders>
              <w:bottom w:val="single" w:sz="4" w:space="0" w:color="auto"/>
            </w:tcBorders>
            <w:shd w:val="clear" w:color="auto" w:fill="auto"/>
            <w:noWrap/>
            <w:vAlign w:val="bottom"/>
            <w:hideMark/>
          </w:tcPr>
          <w:p w14:paraId="09F5BB40" w14:textId="77777777" w:rsidR="00FA18EA" w:rsidRPr="0075195E" w:rsidRDefault="00FA18EA" w:rsidP="00FA18EA">
            <w:pPr>
              <w:jc w:val="right"/>
              <w:rPr>
                <w:rFonts w:eastAsia="Times New Roman" w:cstheme="minorHAnsi"/>
                <w:sz w:val="18"/>
                <w:szCs w:val="18"/>
                <w:lang w:val="en-SG" w:eastAsia="en-SG"/>
              </w:rPr>
            </w:pPr>
            <w:r w:rsidRPr="0075195E">
              <w:rPr>
                <w:rFonts w:eastAsia="Times New Roman" w:cstheme="minorHAnsi"/>
                <w:sz w:val="18"/>
                <w:szCs w:val="18"/>
                <w:lang w:val="en-SG" w:eastAsia="en-SG"/>
              </w:rPr>
              <w:t>6,864</w:t>
            </w:r>
          </w:p>
        </w:tc>
      </w:tr>
      <w:tr w:rsidR="00FA18EA" w:rsidRPr="007600A7" w14:paraId="5F4F8534" w14:textId="77777777" w:rsidTr="00FA18EA">
        <w:trPr>
          <w:trHeight w:val="255"/>
        </w:trPr>
        <w:tc>
          <w:tcPr>
            <w:tcW w:w="3050" w:type="pct"/>
            <w:tcBorders>
              <w:top w:val="single" w:sz="4" w:space="0" w:color="auto"/>
              <w:bottom w:val="single" w:sz="4" w:space="0" w:color="auto"/>
            </w:tcBorders>
            <w:shd w:val="clear" w:color="auto" w:fill="auto"/>
            <w:noWrap/>
            <w:vAlign w:val="bottom"/>
            <w:hideMark/>
          </w:tcPr>
          <w:p w14:paraId="028D0E23" w14:textId="77777777" w:rsidR="00FA18EA" w:rsidRPr="008B2DDA" w:rsidRDefault="00FA18EA" w:rsidP="00FA18EA">
            <w:pPr>
              <w:rPr>
                <w:rFonts w:eastAsia="Times New Roman" w:cstheme="minorHAnsi"/>
                <w:b/>
                <w:bCs/>
                <w:sz w:val="18"/>
                <w:szCs w:val="18"/>
                <w:lang w:val="en-SG" w:eastAsia="en-SG"/>
              </w:rPr>
            </w:pPr>
            <w:r w:rsidRPr="008B2DDA">
              <w:rPr>
                <w:rFonts w:eastAsia="Times New Roman" w:cstheme="minorHAnsi"/>
                <w:b/>
                <w:bCs/>
                <w:sz w:val="18"/>
                <w:szCs w:val="18"/>
                <w:lang w:val="en-SG" w:eastAsia="en-SG"/>
              </w:rPr>
              <w:t>Closing cash and cash equivalents</w:t>
            </w:r>
          </w:p>
        </w:tc>
        <w:tc>
          <w:tcPr>
            <w:tcW w:w="586" w:type="pct"/>
            <w:tcBorders>
              <w:top w:val="single" w:sz="4" w:space="0" w:color="auto"/>
              <w:bottom w:val="single" w:sz="4" w:space="0" w:color="auto"/>
            </w:tcBorders>
            <w:shd w:val="clear" w:color="auto" w:fill="auto"/>
            <w:noWrap/>
            <w:vAlign w:val="bottom"/>
            <w:hideMark/>
          </w:tcPr>
          <w:p w14:paraId="7863F694" w14:textId="77777777" w:rsidR="00FA18EA" w:rsidRPr="0091098D" w:rsidRDefault="00FA18EA" w:rsidP="00FA18EA">
            <w:pPr>
              <w:jc w:val="center"/>
              <w:rPr>
                <w:rFonts w:eastAsia="Times New Roman" w:cstheme="minorHAnsi"/>
                <w:sz w:val="18"/>
                <w:szCs w:val="18"/>
                <w:lang w:val="en-SG" w:eastAsia="en-SG"/>
              </w:rPr>
            </w:pPr>
            <w:r w:rsidRPr="000C5053">
              <w:rPr>
                <w:rFonts w:eastAsia="Times New Roman" w:cstheme="minorHAnsi"/>
                <w:sz w:val="18"/>
                <w:szCs w:val="18"/>
                <w:lang w:val="en-SG" w:eastAsia="en-SG"/>
              </w:rPr>
              <w:t> </w:t>
            </w:r>
          </w:p>
        </w:tc>
        <w:tc>
          <w:tcPr>
            <w:tcW w:w="665" w:type="pct"/>
            <w:tcBorders>
              <w:top w:val="single" w:sz="4" w:space="0" w:color="auto"/>
              <w:bottom w:val="single" w:sz="4" w:space="0" w:color="auto"/>
            </w:tcBorders>
            <w:shd w:val="clear" w:color="auto" w:fill="auto"/>
            <w:noWrap/>
            <w:vAlign w:val="bottom"/>
          </w:tcPr>
          <w:p w14:paraId="2DF78FDE" w14:textId="77777777" w:rsidR="00FA18EA" w:rsidRPr="0075195E" w:rsidRDefault="00FA18EA" w:rsidP="00FA18EA">
            <w:pPr>
              <w:jc w:val="right"/>
              <w:rPr>
                <w:rFonts w:eastAsia="Times New Roman" w:cstheme="minorHAnsi"/>
                <w:b/>
                <w:bCs/>
                <w:sz w:val="18"/>
                <w:szCs w:val="18"/>
                <w:lang w:val="en-SG" w:eastAsia="en-SG"/>
              </w:rPr>
            </w:pPr>
            <w:r w:rsidRPr="0075195E">
              <w:rPr>
                <w:rFonts w:eastAsia="Times New Roman" w:cstheme="minorHAnsi"/>
                <w:b/>
                <w:bCs/>
                <w:sz w:val="18"/>
                <w:szCs w:val="18"/>
                <w:lang w:val="en-SG" w:eastAsia="en-SG"/>
              </w:rPr>
              <w:t>10,507</w:t>
            </w:r>
          </w:p>
        </w:tc>
        <w:tc>
          <w:tcPr>
            <w:tcW w:w="698" w:type="pct"/>
            <w:tcBorders>
              <w:top w:val="single" w:sz="4" w:space="0" w:color="auto"/>
              <w:bottom w:val="single" w:sz="4" w:space="0" w:color="auto"/>
            </w:tcBorders>
            <w:shd w:val="clear" w:color="auto" w:fill="auto"/>
            <w:noWrap/>
            <w:vAlign w:val="bottom"/>
            <w:hideMark/>
          </w:tcPr>
          <w:p w14:paraId="0D570B0C" w14:textId="77777777" w:rsidR="00FA18EA" w:rsidRPr="0075195E" w:rsidRDefault="00FA18EA" w:rsidP="00FA18EA">
            <w:pPr>
              <w:jc w:val="right"/>
              <w:rPr>
                <w:rFonts w:eastAsia="Times New Roman" w:cstheme="minorHAnsi"/>
                <w:sz w:val="18"/>
                <w:szCs w:val="18"/>
                <w:lang w:val="en-SG" w:eastAsia="en-SG"/>
              </w:rPr>
            </w:pPr>
            <w:r w:rsidRPr="0075195E">
              <w:rPr>
                <w:rFonts w:eastAsia="Times New Roman" w:cstheme="minorHAnsi"/>
                <w:sz w:val="18"/>
                <w:szCs w:val="18"/>
                <w:lang w:val="en-SG" w:eastAsia="en-SG"/>
              </w:rPr>
              <w:t>1,605</w:t>
            </w:r>
          </w:p>
        </w:tc>
      </w:tr>
      <w:tr w:rsidR="00FA18EA" w:rsidRPr="007600A7" w14:paraId="1081C02C" w14:textId="77777777" w:rsidTr="00FA18EA">
        <w:trPr>
          <w:trHeight w:val="240"/>
        </w:trPr>
        <w:tc>
          <w:tcPr>
            <w:tcW w:w="3050" w:type="pct"/>
            <w:tcBorders>
              <w:top w:val="single" w:sz="4" w:space="0" w:color="auto"/>
            </w:tcBorders>
            <w:shd w:val="clear" w:color="auto" w:fill="auto"/>
            <w:noWrap/>
            <w:vAlign w:val="bottom"/>
            <w:hideMark/>
          </w:tcPr>
          <w:p w14:paraId="08B5FE6D" w14:textId="77777777" w:rsidR="00FA18EA" w:rsidRPr="008B2DDA" w:rsidRDefault="00FA18EA" w:rsidP="00FA18EA">
            <w:pPr>
              <w:rPr>
                <w:rFonts w:eastAsia="Times New Roman" w:cstheme="minorHAnsi"/>
                <w:sz w:val="18"/>
                <w:szCs w:val="18"/>
                <w:lang w:val="en-SG" w:eastAsia="en-SG"/>
              </w:rPr>
            </w:pPr>
          </w:p>
        </w:tc>
        <w:tc>
          <w:tcPr>
            <w:tcW w:w="586" w:type="pct"/>
            <w:tcBorders>
              <w:top w:val="single" w:sz="4" w:space="0" w:color="auto"/>
            </w:tcBorders>
            <w:shd w:val="clear" w:color="auto" w:fill="auto"/>
            <w:noWrap/>
            <w:vAlign w:val="bottom"/>
            <w:hideMark/>
          </w:tcPr>
          <w:p w14:paraId="48EE499A" w14:textId="77777777" w:rsidR="00FA18EA" w:rsidRPr="000C5053" w:rsidRDefault="00FA18EA" w:rsidP="00FA18EA">
            <w:pPr>
              <w:jc w:val="center"/>
              <w:rPr>
                <w:rFonts w:eastAsia="Times New Roman" w:cstheme="minorHAnsi"/>
                <w:sz w:val="18"/>
                <w:szCs w:val="18"/>
                <w:lang w:val="en-SG" w:eastAsia="en-SG"/>
              </w:rPr>
            </w:pPr>
          </w:p>
        </w:tc>
        <w:tc>
          <w:tcPr>
            <w:tcW w:w="665" w:type="pct"/>
            <w:tcBorders>
              <w:top w:val="single" w:sz="4" w:space="0" w:color="auto"/>
            </w:tcBorders>
            <w:shd w:val="clear" w:color="auto" w:fill="auto"/>
            <w:noWrap/>
            <w:vAlign w:val="bottom"/>
          </w:tcPr>
          <w:p w14:paraId="788A8703" w14:textId="77777777" w:rsidR="00FA18EA" w:rsidRPr="0091098D" w:rsidRDefault="00FA18EA" w:rsidP="00FA18EA">
            <w:pPr>
              <w:jc w:val="right"/>
              <w:rPr>
                <w:rFonts w:eastAsia="Times New Roman" w:cstheme="minorHAnsi"/>
                <w:b/>
                <w:bCs/>
                <w:sz w:val="18"/>
                <w:szCs w:val="18"/>
                <w:highlight w:val="yellow"/>
                <w:lang w:val="en-SG" w:eastAsia="en-SG"/>
              </w:rPr>
            </w:pPr>
          </w:p>
        </w:tc>
        <w:tc>
          <w:tcPr>
            <w:tcW w:w="698" w:type="pct"/>
            <w:tcBorders>
              <w:top w:val="single" w:sz="4" w:space="0" w:color="auto"/>
            </w:tcBorders>
            <w:shd w:val="clear" w:color="auto" w:fill="auto"/>
            <w:noWrap/>
            <w:vAlign w:val="bottom"/>
            <w:hideMark/>
          </w:tcPr>
          <w:p w14:paraId="756A77C5" w14:textId="77777777" w:rsidR="00FA18EA" w:rsidRPr="0075195E" w:rsidRDefault="00FA18EA" w:rsidP="00FA18EA">
            <w:pPr>
              <w:jc w:val="right"/>
              <w:rPr>
                <w:rFonts w:eastAsia="Times New Roman" w:cstheme="minorHAnsi"/>
                <w:sz w:val="18"/>
                <w:szCs w:val="18"/>
                <w:lang w:val="en-SG" w:eastAsia="en-SG"/>
              </w:rPr>
            </w:pPr>
          </w:p>
        </w:tc>
      </w:tr>
      <w:tr w:rsidR="00FA18EA" w:rsidRPr="007600A7" w14:paraId="3D60D780" w14:textId="77777777" w:rsidTr="00FA18EA">
        <w:trPr>
          <w:trHeight w:val="240"/>
        </w:trPr>
        <w:tc>
          <w:tcPr>
            <w:tcW w:w="3050" w:type="pct"/>
            <w:shd w:val="clear" w:color="auto" w:fill="auto"/>
            <w:noWrap/>
            <w:vAlign w:val="bottom"/>
            <w:hideMark/>
          </w:tcPr>
          <w:p w14:paraId="5CB61859" w14:textId="77777777" w:rsidR="00FA18EA" w:rsidRPr="008B2DDA" w:rsidRDefault="00FA18EA" w:rsidP="00FA18EA">
            <w:pPr>
              <w:rPr>
                <w:rFonts w:eastAsia="Times New Roman" w:cstheme="minorHAnsi"/>
                <w:sz w:val="18"/>
                <w:szCs w:val="18"/>
                <w:lang w:val="en-SG" w:eastAsia="en-SG"/>
              </w:rPr>
            </w:pPr>
            <w:r w:rsidRPr="008B2DDA">
              <w:rPr>
                <w:rFonts w:eastAsia="Times New Roman" w:cstheme="minorHAnsi"/>
                <w:sz w:val="18"/>
                <w:szCs w:val="18"/>
                <w:lang w:val="en-SG" w:eastAsia="en-SG"/>
              </w:rPr>
              <w:t>Note</w:t>
            </w:r>
          </w:p>
        </w:tc>
        <w:tc>
          <w:tcPr>
            <w:tcW w:w="586" w:type="pct"/>
            <w:shd w:val="clear" w:color="auto" w:fill="auto"/>
            <w:noWrap/>
            <w:vAlign w:val="bottom"/>
            <w:hideMark/>
          </w:tcPr>
          <w:p w14:paraId="50D0E94B" w14:textId="77777777" w:rsidR="00FA18EA" w:rsidRPr="000C5053" w:rsidRDefault="00FA18EA" w:rsidP="00FA18EA">
            <w:pPr>
              <w:jc w:val="center"/>
              <w:rPr>
                <w:rFonts w:eastAsia="Times New Roman" w:cstheme="minorHAnsi"/>
                <w:sz w:val="18"/>
                <w:szCs w:val="18"/>
                <w:lang w:val="en-SG" w:eastAsia="en-SG"/>
              </w:rPr>
            </w:pPr>
          </w:p>
        </w:tc>
        <w:tc>
          <w:tcPr>
            <w:tcW w:w="665" w:type="pct"/>
            <w:shd w:val="clear" w:color="auto" w:fill="auto"/>
            <w:noWrap/>
            <w:vAlign w:val="bottom"/>
            <w:hideMark/>
          </w:tcPr>
          <w:p w14:paraId="7992CFB7" w14:textId="77777777" w:rsidR="00FA18EA" w:rsidRPr="0091098D" w:rsidRDefault="00FA18EA" w:rsidP="00FA18EA">
            <w:pPr>
              <w:jc w:val="right"/>
              <w:rPr>
                <w:rFonts w:eastAsia="Times New Roman" w:cstheme="minorHAnsi"/>
                <w:b/>
                <w:bCs/>
                <w:sz w:val="18"/>
                <w:szCs w:val="18"/>
                <w:lang w:val="en-SG" w:eastAsia="en-SG"/>
              </w:rPr>
            </w:pPr>
          </w:p>
        </w:tc>
        <w:tc>
          <w:tcPr>
            <w:tcW w:w="698" w:type="pct"/>
            <w:shd w:val="clear" w:color="auto" w:fill="auto"/>
            <w:noWrap/>
            <w:vAlign w:val="bottom"/>
            <w:hideMark/>
          </w:tcPr>
          <w:p w14:paraId="103787C9" w14:textId="77777777" w:rsidR="00FA18EA" w:rsidRPr="0075195E" w:rsidRDefault="00FA18EA" w:rsidP="00FA18EA">
            <w:pPr>
              <w:jc w:val="right"/>
              <w:rPr>
                <w:rFonts w:eastAsia="Times New Roman" w:cstheme="minorHAnsi"/>
                <w:sz w:val="18"/>
                <w:szCs w:val="18"/>
                <w:lang w:val="en-SG" w:eastAsia="en-SG"/>
              </w:rPr>
            </w:pPr>
          </w:p>
        </w:tc>
      </w:tr>
      <w:tr w:rsidR="00FA18EA" w:rsidRPr="007600A7" w14:paraId="7AA3EEDC" w14:textId="77777777" w:rsidTr="00FA18EA">
        <w:trPr>
          <w:trHeight w:val="240"/>
        </w:trPr>
        <w:tc>
          <w:tcPr>
            <w:tcW w:w="3637" w:type="pct"/>
            <w:gridSpan w:val="2"/>
            <w:shd w:val="clear" w:color="auto" w:fill="auto"/>
            <w:noWrap/>
            <w:vAlign w:val="bottom"/>
          </w:tcPr>
          <w:p w14:paraId="47382D28" w14:textId="77777777" w:rsidR="00FA18EA" w:rsidRPr="008B2DDA" w:rsidRDefault="00FA18EA" w:rsidP="00FA18EA">
            <w:pPr>
              <w:rPr>
                <w:rFonts w:eastAsia="Times New Roman" w:cstheme="minorHAnsi"/>
                <w:sz w:val="18"/>
                <w:szCs w:val="18"/>
                <w:lang w:val="en-SG" w:eastAsia="en-SG"/>
              </w:rPr>
            </w:pPr>
            <w:r w:rsidRPr="008B2DDA">
              <w:rPr>
                <w:rFonts w:eastAsia="Times New Roman" w:cstheme="minorHAnsi"/>
                <w:b/>
                <w:bCs/>
                <w:sz w:val="18"/>
                <w:szCs w:val="18"/>
                <w:lang w:val="en-SG" w:eastAsia="en-SG"/>
              </w:rPr>
              <w:t>a)  Reconciliation of profit for the year to net cash outflow from operations</w:t>
            </w:r>
          </w:p>
        </w:tc>
        <w:tc>
          <w:tcPr>
            <w:tcW w:w="665" w:type="pct"/>
            <w:shd w:val="clear" w:color="auto" w:fill="auto"/>
            <w:noWrap/>
            <w:vAlign w:val="bottom"/>
          </w:tcPr>
          <w:p w14:paraId="51292156" w14:textId="77777777" w:rsidR="00FA18EA" w:rsidRPr="000C5053" w:rsidRDefault="00FA18EA" w:rsidP="00FA18EA">
            <w:pPr>
              <w:jc w:val="right"/>
              <w:rPr>
                <w:rFonts w:eastAsia="Times New Roman" w:cstheme="minorHAnsi"/>
                <w:b/>
                <w:bCs/>
                <w:sz w:val="18"/>
                <w:szCs w:val="18"/>
                <w:lang w:val="en-SG" w:eastAsia="en-SG"/>
              </w:rPr>
            </w:pPr>
          </w:p>
        </w:tc>
        <w:tc>
          <w:tcPr>
            <w:tcW w:w="698" w:type="pct"/>
            <w:shd w:val="clear" w:color="auto" w:fill="auto"/>
            <w:noWrap/>
            <w:vAlign w:val="bottom"/>
          </w:tcPr>
          <w:p w14:paraId="31F0B6DC" w14:textId="77777777" w:rsidR="00FA18EA" w:rsidRPr="0091098D" w:rsidRDefault="00FA18EA" w:rsidP="00FA18EA">
            <w:pPr>
              <w:jc w:val="right"/>
              <w:rPr>
                <w:rFonts w:eastAsia="Times New Roman" w:cstheme="minorHAnsi"/>
                <w:sz w:val="18"/>
                <w:szCs w:val="18"/>
                <w:lang w:val="en-SG" w:eastAsia="en-SG"/>
              </w:rPr>
            </w:pPr>
          </w:p>
        </w:tc>
      </w:tr>
      <w:tr w:rsidR="00FA18EA" w:rsidRPr="007600A7" w14:paraId="54D207F3" w14:textId="77777777" w:rsidTr="00FA18EA">
        <w:trPr>
          <w:trHeight w:val="240"/>
        </w:trPr>
        <w:tc>
          <w:tcPr>
            <w:tcW w:w="3050" w:type="pct"/>
            <w:tcBorders>
              <w:bottom w:val="single" w:sz="4" w:space="0" w:color="auto"/>
            </w:tcBorders>
            <w:shd w:val="clear" w:color="auto" w:fill="auto"/>
            <w:noWrap/>
            <w:vAlign w:val="bottom"/>
            <w:hideMark/>
          </w:tcPr>
          <w:p w14:paraId="7E0F5F0F" w14:textId="77777777" w:rsidR="00FA18EA" w:rsidRPr="008B2DDA" w:rsidRDefault="00FA18EA" w:rsidP="00FA18EA">
            <w:pPr>
              <w:rPr>
                <w:rFonts w:eastAsia="Times New Roman" w:cstheme="minorHAnsi"/>
                <w:sz w:val="18"/>
                <w:szCs w:val="18"/>
                <w:lang w:val="en-SG" w:eastAsia="en-SG"/>
              </w:rPr>
            </w:pPr>
            <w:r w:rsidRPr="008B2DDA">
              <w:rPr>
                <w:rFonts w:eastAsia="Times New Roman" w:cstheme="minorHAnsi"/>
                <w:sz w:val="18"/>
                <w:szCs w:val="18"/>
                <w:lang w:val="en-SG" w:eastAsia="en-SG"/>
              </w:rPr>
              <w:t> </w:t>
            </w:r>
          </w:p>
        </w:tc>
        <w:tc>
          <w:tcPr>
            <w:tcW w:w="586" w:type="pct"/>
            <w:tcBorders>
              <w:bottom w:val="single" w:sz="4" w:space="0" w:color="auto"/>
            </w:tcBorders>
            <w:shd w:val="clear" w:color="auto" w:fill="auto"/>
            <w:noWrap/>
            <w:vAlign w:val="bottom"/>
            <w:hideMark/>
          </w:tcPr>
          <w:p w14:paraId="2EBECD71" w14:textId="77777777" w:rsidR="00FA18EA" w:rsidRPr="0091098D" w:rsidRDefault="00FA18EA" w:rsidP="00FA18EA">
            <w:pPr>
              <w:jc w:val="center"/>
              <w:rPr>
                <w:rFonts w:eastAsia="Times New Roman" w:cstheme="minorHAnsi"/>
                <w:sz w:val="18"/>
                <w:szCs w:val="18"/>
                <w:lang w:val="en-SG" w:eastAsia="en-SG"/>
              </w:rPr>
            </w:pPr>
            <w:r w:rsidRPr="000C5053">
              <w:rPr>
                <w:rFonts w:eastAsia="Times New Roman" w:cstheme="minorHAnsi"/>
                <w:sz w:val="18"/>
                <w:szCs w:val="18"/>
                <w:lang w:val="en-SG" w:eastAsia="en-SG"/>
              </w:rPr>
              <w:t> </w:t>
            </w:r>
          </w:p>
        </w:tc>
        <w:tc>
          <w:tcPr>
            <w:tcW w:w="665" w:type="pct"/>
            <w:tcBorders>
              <w:bottom w:val="single" w:sz="4" w:space="0" w:color="auto"/>
            </w:tcBorders>
            <w:shd w:val="clear" w:color="auto" w:fill="auto"/>
            <w:noWrap/>
            <w:vAlign w:val="bottom"/>
            <w:hideMark/>
          </w:tcPr>
          <w:p w14:paraId="68DC3FCA" w14:textId="77777777" w:rsidR="00FA18EA" w:rsidRPr="0075195E" w:rsidRDefault="00FA18EA" w:rsidP="00FA18EA">
            <w:pPr>
              <w:jc w:val="right"/>
              <w:rPr>
                <w:rFonts w:eastAsia="Times New Roman" w:cstheme="minorHAnsi"/>
                <w:b/>
                <w:bCs/>
                <w:sz w:val="18"/>
                <w:szCs w:val="18"/>
                <w:lang w:val="en-SG" w:eastAsia="en-SG"/>
              </w:rPr>
            </w:pPr>
            <w:r w:rsidRPr="0075195E">
              <w:rPr>
                <w:rFonts w:eastAsia="Times New Roman" w:cstheme="minorHAnsi"/>
                <w:b/>
                <w:bCs/>
                <w:sz w:val="18"/>
                <w:szCs w:val="18"/>
                <w:lang w:val="en-SG" w:eastAsia="en-SG"/>
              </w:rPr>
              <w:t> </w:t>
            </w:r>
          </w:p>
        </w:tc>
        <w:tc>
          <w:tcPr>
            <w:tcW w:w="698" w:type="pct"/>
            <w:tcBorders>
              <w:bottom w:val="single" w:sz="4" w:space="0" w:color="auto"/>
            </w:tcBorders>
            <w:shd w:val="clear" w:color="auto" w:fill="auto"/>
            <w:noWrap/>
            <w:vAlign w:val="bottom"/>
            <w:hideMark/>
          </w:tcPr>
          <w:p w14:paraId="64881D1F" w14:textId="77777777" w:rsidR="00FA18EA" w:rsidRPr="0075195E" w:rsidRDefault="00FA18EA" w:rsidP="00FA18EA">
            <w:pPr>
              <w:jc w:val="right"/>
              <w:rPr>
                <w:rFonts w:eastAsia="Times New Roman" w:cstheme="minorHAnsi"/>
                <w:sz w:val="18"/>
                <w:szCs w:val="18"/>
                <w:lang w:val="en-SG" w:eastAsia="en-SG"/>
              </w:rPr>
            </w:pPr>
            <w:r w:rsidRPr="0075195E">
              <w:rPr>
                <w:rFonts w:eastAsia="Times New Roman" w:cstheme="minorHAnsi"/>
                <w:sz w:val="18"/>
                <w:szCs w:val="18"/>
                <w:lang w:val="en-SG" w:eastAsia="en-SG"/>
              </w:rPr>
              <w:t> </w:t>
            </w:r>
          </w:p>
        </w:tc>
      </w:tr>
      <w:tr w:rsidR="00FA18EA" w:rsidRPr="007600A7" w14:paraId="2CA00757" w14:textId="77777777" w:rsidTr="00FA18EA">
        <w:trPr>
          <w:trHeight w:val="240"/>
        </w:trPr>
        <w:tc>
          <w:tcPr>
            <w:tcW w:w="3050" w:type="pct"/>
            <w:tcBorders>
              <w:top w:val="single" w:sz="4" w:space="0" w:color="auto"/>
              <w:bottom w:val="single" w:sz="4" w:space="0" w:color="auto"/>
            </w:tcBorders>
            <w:shd w:val="clear" w:color="auto" w:fill="auto"/>
            <w:noWrap/>
            <w:vAlign w:val="bottom"/>
            <w:hideMark/>
          </w:tcPr>
          <w:p w14:paraId="1887DF61" w14:textId="77777777" w:rsidR="00FA18EA" w:rsidRPr="008B2DDA" w:rsidRDefault="00FA18EA" w:rsidP="00FA18EA">
            <w:pPr>
              <w:rPr>
                <w:rFonts w:eastAsia="Times New Roman" w:cstheme="minorHAnsi"/>
                <w:sz w:val="18"/>
                <w:szCs w:val="18"/>
                <w:lang w:val="en-SG" w:eastAsia="en-SG"/>
              </w:rPr>
            </w:pPr>
            <w:r w:rsidRPr="008B2DDA">
              <w:rPr>
                <w:rFonts w:eastAsia="Times New Roman" w:cstheme="minorHAnsi"/>
                <w:sz w:val="18"/>
                <w:szCs w:val="18"/>
                <w:lang w:val="en-SG" w:eastAsia="en-SG"/>
              </w:rPr>
              <w:t> </w:t>
            </w:r>
          </w:p>
        </w:tc>
        <w:tc>
          <w:tcPr>
            <w:tcW w:w="586" w:type="pct"/>
            <w:tcBorders>
              <w:top w:val="single" w:sz="4" w:space="0" w:color="auto"/>
              <w:bottom w:val="single" w:sz="4" w:space="0" w:color="auto"/>
            </w:tcBorders>
            <w:shd w:val="clear" w:color="auto" w:fill="auto"/>
            <w:noWrap/>
            <w:vAlign w:val="bottom"/>
            <w:hideMark/>
          </w:tcPr>
          <w:p w14:paraId="2F914782" w14:textId="77777777" w:rsidR="00FA18EA" w:rsidRPr="0091098D" w:rsidRDefault="00FA18EA" w:rsidP="00FA18EA">
            <w:pPr>
              <w:jc w:val="center"/>
              <w:rPr>
                <w:rFonts w:eastAsia="Times New Roman" w:cstheme="minorHAnsi"/>
                <w:sz w:val="18"/>
                <w:szCs w:val="18"/>
                <w:lang w:val="en-SG" w:eastAsia="en-SG"/>
              </w:rPr>
            </w:pPr>
            <w:r w:rsidRPr="000C5053">
              <w:rPr>
                <w:rFonts w:eastAsia="Times New Roman" w:cstheme="minorHAnsi"/>
                <w:sz w:val="18"/>
                <w:szCs w:val="18"/>
                <w:lang w:val="en-SG" w:eastAsia="en-SG"/>
              </w:rPr>
              <w:t> </w:t>
            </w:r>
          </w:p>
        </w:tc>
        <w:tc>
          <w:tcPr>
            <w:tcW w:w="665" w:type="pct"/>
            <w:tcBorders>
              <w:top w:val="single" w:sz="4" w:space="0" w:color="auto"/>
              <w:bottom w:val="single" w:sz="4" w:space="0" w:color="auto"/>
            </w:tcBorders>
            <w:shd w:val="clear" w:color="auto" w:fill="auto"/>
            <w:noWrap/>
            <w:vAlign w:val="bottom"/>
            <w:hideMark/>
          </w:tcPr>
          <w:p w14:paraId="737113B3" w14:textId="77777777" w:rsidR="00FA18EA" w:rsidRPr="0075195E" w:rsidRDefault="00FA18EA" w:rsidP="00FA18EA">
            <w:pPr>
              <w:jc w:val="right"/>
              <w:rPr>
                <w:rFonts w:eastAsia="Times New Roman" w:cstheme="minorHAnsi"/>
                <w:b/>
                <w:bCs/>
                <w:sz w:val="18"/>
                <w:szCs w:val="18"/>
                <w:lang w:val="en-SG" w:eastAsia="en-SG"/>
              </w:rPr>
            </w:pPr>
            <w:r w:rsidRPr="0075195E">
              <w:rPr>
                <w:rFonts w:eastAsia="Times New Roman" w:cstheme="minorHAnsi"/>
                <w:b/>
                <w:bCs/>
                <w:sz w:val="18"/>
                <w:szCs w:val="18"/>
                <w:lang w:val="en-SG" w:eastAsia="en-SG"/>
              </w:rPr>
              <w:t>£'000</w:t>
            </w:r>
          </w:p>
        </w:tc>
        <w:tc>
          <w:tcPr>
            <w:tcW w:w="698" w:type="pct"/>
            <w:tcBorders>
              <w:top w:val="single" w:sz="4" w:space="0" w:color="auto"/>
              <w:bottom w:val="single" w:sz="4" w:space="0" w:color="auto"/>
            </w:tcBorders>
            <w:shd w:val="clear" w:color="auto" w:fill="auto"/>
            <w:noWrap/>
            <w:vAlign w:val="bottom"/>
            <w:hideMark/>
          </w:tcPr>
          <w:p w14:paraId="540DB32F" w14:textId="77777777" w:rsidR="00FA18EA" w:rsidRPr="0075195E" w:rsidRDefault="00FA18EA" w:rsidP="00FA18EA">
            <w:pPr>
              <w:jc w:val="right"/>
              <w:rPr>
                <w:rFonts w:eastAsia="Times New Roman" w:cstheme="minorHAnsi"/>
                <w:sz w:val="18"/>
                <w:szCs w:val="18"/>
                <w:lang w:val="en-SG" w:eastAsia="en-SG"/>
              </w:rPr>
            </w:pPr>
            <w:r w:rsidRPr="0075195E">
              <w:rPr>
                <w:rFonts w:eastAsia="Times New Roman" w:cstheme="minorHAnsi"/>
                <w:sz w:val="18"/>
                <w:szCs w:val="18"/>
                <w:lang w:val="en-SG" w:eastAsia="en-SG"/>
              </w:rPr>
              <w:t xml:space="preserve"> £'000 </w:t>
            </w:r>
          </w:p>
        </w:tc>
      </w:tr>
      <w:tr w:rsidR="00FA18EA" w:rsidRPr="007600A7" w14:paraId="63E8DC65" w14:textId="77777777" w:rsidTr="00FA18EA">
        <w:trPr>
          <w:trHeight w:val="240"/>
        </w:trPr>
        <w:tc>
          <w:tcPr>
            <w:tcW w:w="3050" w:type="pct"/>
            <w:tcBorders>
              <w:top w:val="single" w:sz="4" w:space="0" w:color="auto"/>
            </w:tcBorders>
            <w:shd w:val="clear" w:color="auto" w:fill="auto"/>
            <w:noWrap/>
            <w:vAlign w:val="bottom"/>
            <w:hideMark/>
          </w:tcPr>
          <w:p w14:paraId="12465259" w14:textId="77777777" w:rsidR="00FA18EA" w:rsidRPr="008B2DDA" w:rsidRDefault="00FA18EA" w:rsidP="00FA18EA">
            <w:pPr>
              <w:rPr>
                <w:rFonts w:eastAsia="Times New Roman" w:cstheme="minorHAnsi"/>
                <w:sz w:val="18"/>
                <w:szCs w:val="18"/>
                <w:lang w:val="en-SG" w:eastAsia="en-SG"/>
              </w:rPr>
            </w:pPr>
            <w:r w:rsidRPr="008B2DDA">
              <w:rPr>
                <w:rFonts w:eastAsia="Times New Roman" w:cstheme="minorHAnsi"/>
                <w:sz w:val="18"/>
                <w:szCs w:val="18"/>
                <w:lang w:val="en-SG" w:eastAsia="en-SG"/>
              </w:rPr>
              <w:t>Profit for the year</w:t>
            </w:r>
          </w:p>
        </w:tc>
        <w:tc>
          <w:tcPr>
            <w:tcW w:w="586" w:type="pct"/>
            <w:tcBorders>
              <w:top w:val="single" w:sz="4" w:space="0" w:color="auto"/>
            </w:tcBorders>
            <w:shd w:val="clear" w:color="auto" w:fill="auto"/>
            <w:noWrap/>
            <w:vAlign w:val="bottom"/>
            <w:hideMark/>
          </w:tcPr>
          <w:p w14:paraId="2ED1ED96" w14:textId="77777777" w:rsidR="00FA18EA" w:rsidRPr="0091098D" w:rsidRDefault="00FA18EA" w:rsidP="00FA18EA">
            <w:pPr>
              <w:jc w:val="center"/>
              <w:rPr>
                <w:rFonts w:eastAsia="Times New Roman" w:cstheme="minorHAnsi"/>
                <w:sz w:val="18"/>
                <w:szCs w:val="18"/>
                <w:lang w:val="en-SG" w:eastAsia="en-SG"/>
              </w:rPr>
            </w:pPr>
            <w:r w:rsidRPr="000C5053">
              <w:rPr>
                <w:rFonts w:eastAsia="Times New Roman" w:cstheme="minorHAnsi"/>
                <w:sz w:val="18"/>
                <w:szCs w:val="18"/>
                <w:lang w:val="en-SG" w:eastAsia="en-SG"/>
              </w:rPr>
              <w:t>2</w:t>
            </w:r>
          </w:p>
        </w:tc>
        <w:tc>
          <w:tcPr>
            <w:tcW w:w="665" w:type="pct"/>
            <w:tcBorders>
              <w:top w:val="single" w:sz="4" w:space="0" w:color="auto"/>
            </w:tcBorders>
            <w:shd w:val="clear" w:color="auto" w:fill="auto"/>
            <w:noWrap/>
            <w:vAlign w:val="bottom"/>
            <w:hideMark/>
          </w:tcPr>
          <w:p w14:paraId="46945162" w14:textId="77777777" w:rsidR="00FA18EA" w:rsidRPr="0075195E" w:rsidRDefault="00FA18EA" w:rsidP="00FA18EA">
            <w:pPr>
              <w:jc w:val="right"/>
              <w:rPr>
                <w:rFonts w:eastAsia="Times New Roman" w:cstheme="minorHAnsi"/>
                <w:b/>
                <w:bCs/>
                <w:sz w:val="18"/>
                <w:szCs w:val="18"/>
                <w:lang w:val="en-SG" w:eastAsia="en-SG"/>
              </w:rPr>
            </w:pPr>
            <w:r w:rsidRPr="0075195E">
              <w:rPr>
                <w:rFonts w:eastAsia="Times New Roman" w:cstheme="minorHAnsi"/>
                <w:b/>
                <w:bCs/>
                <w:sz w:val="18"/>
                <w:szCs w:val="18"/>
                <w:lang w:val="en-SG" w:eastAsia="en-SG"/>
              </w:rPr>
              <w:t>13,843</w:t>
            </w:r>
          </w:p>
        </w:tc>
        <w:tc>
          <w:tcPr>
            <w:tcW w:w="698" w:type="pct"/>
            <w:tcBorders>
              <w:top w:val="single" w:sz="4" w:space="0" w:color="auto"/>
            </w:tcBorders>
            <w:shd w:val="clear" w:color="auto" w:fill="auto"/>
            <w:noWrap/>
            <w:vAlign w:val="bottom"/>
            <w:hideMark/>
          </w:tcPr>
          <w:p w14:paraId="4302F7CA" w14:textId="77777777" w:rsidR="00FA18EA" w:rsidRPr="0075195E" w:rsidRDefault="00FA18EA" w:rsidP="00FA18EA">
            <w:pPr>
              <w:jc w:val="right"/>
              <w:rPr>
                <w:rFonts w:eastAsia="Times New Roman" w:cstheme="minorHAnsi"/>
                <w:sz w:val="18"/>
                <w:szCs w:val="18"/>
                <w:lang w:val="en-SG" w:eastAsia="en-SG"/>
              </w:rPr>
            </w:pPr>
            <w:r w:rsidRPr="0075195E">
              <w:rPr>
                <w:rFonts w:eastAsia="Times New Roman" w:cstheme="minorHAnsi"/>
                <w:sz w:val="18"/>
                <w:szCs w:val="18"/>
                <w:lang w:val="en-SG" w:eastAsia="en-SG"/>
              </w:rPr>
              <w:t>16,612</w:t>
            </w:r>
          </w:p>
        </w:tc>
      </w:tr>
      <w:tr w:rsidR="00FA18EA" w:rsidRPr="007600A7" w14:paraId="38103FD8" w14:textId="77777777" w:rsidTr="00FA18EA">
        <w:trPr>
          <w:trHeight w:val="240"/>
        </w:trPr>
        <w:tc>
          <w:tcPr>
            <w:tcW w:w="3050" w:type="pct"/>
            <w:shd w:val="clear" w:color="auto" w:fill="auto"/>
            <w:noWrap/>
            <w:vAlign w:val="bottom"/>
            <w:hideMark/>
          </w:tcPr>
          <w:p w14:paraId="775BEAA0" w14:textId="77777777" w:rsidR="00FA18EA" w:rsidRPr="008B2DDA" w:rsidRDefault="00FA18EA" w:rsidP="00FA18EA">
            <w:pPr>
              <w:rPr>
                <w:rFonts w:eastAsia="Times New Roman" w:cstheme="minorHAnsi"/>
                <w:sz w:val="18"/>
                <w:szCs w:val="18"/>
                <w:lang w:val="en-SG" w:eastAsia="en-SG"/>
              </w:rPr>
            </w:pPr>
            <w:r w:rsidRPr="008B2DDA">
              <w:rPr>
                <w:rFonts w:eastAsia="Times New Roman" w:cstheme="minorHAnsi"/>
                <w:sz w:val="18"/>
                <w:szCs w:val="18"/>
                <w:lang w:val="en-SG" w:eastAsia="en-SG"/>
              </w:rPr>
              <w:t>Rolled up interest</w:t>
            </w:r>
          </w:p>
        </w:tc>
        <w:tc>
          <w:tcPr>
            <w:tcW w:w="586" w:type="pct"/>
            <w:shd w:val="clear" w:color="auto" w:fill="auto"/>
            <w:noWrap/>
            <w:vAlign w:val="bottom"/>
            <w:hideMark/>
          </w:tcPr>
          <w:p w14:paraId="1C44F776" w14:textId="77777777" w:rsidR="00FA18EA" w:rsidRPr="000C5053" w:rsidRDefault="00FA18EA" w:rsidP="00FA18EA">
            <w:pPr>
              <w:jc w:val="center"/>
              <w:rPr>
                <w:rFonts w:eastAsia="Times New Roman" w:cstheme="minorHAnsi"/>
                <w:sz w:val="18"/>
                <w:szCs w:val="18"/>
                <w:lang w:val="en-SG" w:eastAsia="en-SG"/>
              </w:rPr>
            </w:pPr>
          </w:p>
        </w:tc>
        <w:tc>
          <w:tcPr>
            <w:tcW w:w="665" w:type="pct"/>
            <w:shd w:val="clear" w:color="auto" w:fill="auto"/>
            <w:noWrap/>
            <w:vAlign w:val="bottom"/>
            <w:hideMark/>
          </w:tcPr>
          <w:p w14:paraId="1CD61CBF" w14:textId="77777777" w:rsidR="00FA18EA" w:rsidRPr="0091098D" w:rsidRDefault="00FA18EA" w:rsidP="00FA18EA">
            <w:pPr>
              <w:jc w:val="right"/>
              <w:rPr>
                <w:rFonts w:eastAsia="Times New Roman" w:cstheme="minorHAnsi"/>
                <w:b/>
                <w:bCs/>
                <w:sz w:val="18"/>
                <w:szCs w:val="18"/>
                <w:lang w:val="en-SG" w:eastAsia="en-SG"/>
              </w:rPr>
            </w:pPr>
            <w:r w:rsidRPr="0091098D">
              <w:rPr>
                <w:rFonts w:eastAsia="Times New Roman" w:cstheme="minorHAnsi"/>
                <w:b/>
                <w:bCs/>
                <w:sz w:val="18"/>
                <w:szCs w:val="18"/>
                <w:lang w:val="en-SG" w:eastAsia="en-SG"/>
              </w:rPr>
              <w:t>(224)</w:t>
            </w:r>
          </w:p>
        </w:tc>
        <w:tc>
          <w:tcPr>
            <w:tcW w:w="698" w:type="pct"/>
            <w:shd w:val="clear" w:color="auto" w:fill="auto"/>
            <w:noWrap/>
            <w:vAlign w:val="bottom"/>
            <w:hideMark/>
          </w:tcPr>
          <w:p w14:paraId="5D198BAC" w14:textId="77777777" w:rsidR="00FA18EA" w:rsidRPr="0075195E" w:rsidRDefault="00FA18EA" w:rsidP="00FA18EA">
            <w:pPr>
              <w:jc w:val="right"/>
              <w:rPr>
                <w:rFonts w:eastAsia="Times New Roman" w:cstheme="minorHAnsi"/>
                <w:sz w:val="18"/>
                <w:szCs w:val="18"/>
                <w:lang w:val="en-SG" w:eastAsia="en-SG"/>
              </w:rPr>
            </w:pPr>
            <w:r w:rsidRPr="0075195E">
              <w:rPr>
                <w:rFonts w:eastAsia="Times New Roman" w:cstheme="minorHAnsi"/>
                <w:sz w:val="18"/>
                <w:szCs w:val="18"/>
                <w:lang w:val="en-SG" w:eastAsia="en-SG"/>
              </w:rPr>
              <w:t>(345)</w:t>
            </w:r>
          </w:p>
        </w:tc>
      </w:tr>
      <w:tr w:rsidR="00FA18EA" w:rsidRPr="007600A7" w14:paraId="3611563E" w14:textId="77777777" w:rsidTr="00FA18EA">
        <w:trPr>
          <w:trHeight w:val="240"/>
        </w:trPr>
        <w:tc>
          <w:tcPr>
            <w:tcW w:w="3050" w:type="pct"/>
            <w:shd w:val="clear" w:color="auto" w:fill="auto"/>
            <w:noWrap/>
            <w:vAlign w:val="bottom"/>
            <w:hideMark/>
          </w:tcPr>
          <w:p w14:paraId="626E0CB2" w14:textId="77777777" w:rsidR="00FA18EA" w:rsidRPr="008B2DDA" w:rsidRDefault="00FA18EA" w:rsidP="00FA18EA">
            <w:pPr>
              <w:rPr>
                <w:rFonts w:eastAsia="Times New Roman" w:cstheme="minorHAnsi"/>
                <w:sz w:val="18"/>
                <w:szCs w:val="18"/>
                <w:lang w:val="en-SG" w:eastAsia="en-SG"/>
              </w:rPr>
            </w:pPr>
            <w:r w:rsidRPr="008B2DDA">
              <w:rPr>
                <w:rFonts w:eastAsia="Times New Roman" w:cstheme="minorHAnsi"/>
                <w:sz w:val="18"/>
                <w:szCs w:val="18"/>
                <w:lang w:val="en-SG" w:eastAsia="en-SG"/>
              </w:rPr>
              <w:t>Gains on investments</w:t>
            </w:r>
          </w:p>
        </w:tc>
        <w:tc>
          <w:tcPr>
            <w:tcW w:w="586" w:type="pct"/>
            <w:shd w:val="clear" w:color="auto" w:fill="auto"/>
            <w:noWrap/>
            <w:vAlign w:val="bottom"/>
            <w:hideMark/>
          </w:tcPr>
          <w:p w14:paraId="32E9F097" w14:textId="77777777" w:rsidR="00FA18EA" w:rsidRPr="0091098D" w:rsidRDefault="00FA18EA" w:rsidP="00FA18EA">
            <w:pPr>
              <w:jc w:val="center"/>
              <w:rPr>
                <w:rFonts w:eastAsia="Times New Roman" w:cstheme="minorHAnsi"/>
                <w:sz w:val="18"/>
                <w:szCs w:val="18"/>
                <w:lang w:val="en-SG" w:eastAsia="en-SG"/>
              </w:rPr>
            </w:pPr>
            <w:r w:rsidRPr="000C5053">
              <w:rPr>
                <w:rFonts w:eastAsia="Times New Roman" w:cstheme="minorHAnsi"/>
                <w:sz w:val="18"/>
                <w:szCs w:val="18"/>
                <w:lang w:val="en-SG" w:eastAsia="en-SG"/>
              </w:rPr>
              <w:t>8</w:t>
            </w:r>
          </w:p>
        </w:tc>
        <w:tc>
          <w:tcPr>
            <w:tcW w:w="665" w:type="pct"/>
            <w:shd w:val="clear" w:color="auto" w:fill="auto"/>
            <w:noWrap/>
            <w:vAlign w:val="bottom"/>
            <w:hideMark/>
          </w:tcPr>
          <w:p w14:paraId="53BFA839" w14:textId="77777777" w:rsidR="00FA18EA" w:rsidRPr="0075195E" w:rsidRDefault="00FA18EA" w:rsidP="00FA18EA">
            <w:pPr>
              <w:jc w:val="right"/>
              <w:rPr>
                <w:rFonts w:eastAsia="Times New Roman" w:cstheme="minorHAnsi"/>
                <w:b/>
                <w:bCs/>
                <w:sz w:val="18"/>
                <w:szCs w:val="18"/>
                <w:lang w:val="en-SG" w:eastAsia="en-SG"/>
              </w:rPr>
            </w:pPr>
            <w:r w:rsidRPr="0075195E">
              <w:rPr>
                <w:rFonts w:eastAsia="Times New Roman" w:cstheme="minorHAnsi"/>
                <w:b/>
                <w:bCs/>
                <w:sz w:val="18"/>
                <w:szCs w:val="18"/>
                <w:lang w:val="en-SG" w:eastAsia="en-SG"/>
              </w:rPr>
              <w:t>(20,007)</w:t>
            </w:r>
          </w:p>
        </w:tc>
        <w:tc>
          <w:tcPr>
            <w:tcW w:w="698" w:type="pct"/>
            <w:shd w:val="clear" w:color="auto" w:fill="auto"/>
            <w:noWrap/>
            <w:vAlign w:val="bottom"/>
            <w:hideMark/>
          </w:tcPr>
          <w:p w14:paraId="7AA5649A" w14:textId="77777777" w:rsidR="00FA18EA" w:rsidRPr="0075195E" w:rsidRDefault="00FA18EA" w:rsidP="00FA18EA">
            <w:pPr>
              <w:jc w:val="right"/>
              <w:rPr>
                <w:rFonts w:eastAsia="Times New Roman" w:cstheme="minorHAnsi"/>
                <w:sz w:val="18"/>
                <w:szCs w:val="18"/>
                <w:lang w:val="en-SG" w:eastAsia="en-SG"/>
              </w:rPr>
            </w:pPr>
            <w:r w:rsidRPr="0075195E">
              <w:rPr>
                <w:rFonts w:eastAsia="Times New Roman" w:cstheme="minorHAnsi"/>
                <w:sz w:val="18"/>
                <w:szCs w:val="18"/>
                <w:lang w:val="en-SG" w:eastAsia="en-SG"/>
              </w:rPr>
              <w:t>(19,837)</w:t>
            </w:r>
          </w:p>
        </w:tc>
      </w:tr>
      <w:tr w:rsidR="00FA18EA" w:rsidRPr="007600A7" w14:paraId="0C50D18C" w14:textId="77777777" w:rsidTr="00FA18EA">
        <w:trPr>
          <w:trHeight w:val="240"/>
        </w:trPr>
        <w:tc>
          <w:tcPr>
            <w:tcW w:w="3050" w:type="pct"/>
            <w:shd w:val="clear" w:color="auto" w:fill="auto"/>
            <w:noWrap/>
            <w:vAlign w:val="bottom"/>
          </w:tcPr>
          <w:p w14:paraId="52264A62" w14:textId="77777777" w:rsidR="00FA18EA" w:rsidRPr="008B2DDA" w:rsidRDefault="00FA18EA" w:rsidP="00FA18EA">
            <w:pPr>
              <w:rPr>
                <w:rFonts w:eastAsia="Times New Roman" w:cstheme="minorHAnsi"/>
                <w:sz w:val="18"/>
                <w:szCs w:val="18"/>
                <w:lang w:val="en-SG" w:eastAsia="en-SG"/>
              </w:rPr>
            </w:pPr>
            <w:r w:rsidRPr="008B2DDA">
              <w:rPr>
                <w:rFonts w:cstheme="minorHAnsi"/>
                <w:color w:val="000000"/>
                <w:sz w:val="18"/>
                <w:szCs w:val="18"/>
              </w:rPr>
              <w:t>Portfolio dividend income</w:t>
            </w:r>
          </w:p>
        </w:tc>
        <w:tc>
          <w:tcPr>
            <w:tcW w:w="586" w:type="pct"/>
            <w:shd w:val="clear" w:color="auto" w:fill="auto"/>
            <w:noWrap/>
            <w:vAlign w:val="bottom"/>
          </w:tcPr>
          <w:p w14:paraId="220084D8" w14:textId="77777777" w:rsidR="00FA18EA" w:rsidRPr="000C5053" w:rsidRDefault="00FA18EA" w:rsidP="00FA18EA">
            <w:pPr>
              <w:jc w:val="center"/>
              <w:rPr>
                <w:rFonts w:eastAsia="Times New Roman" w:cstheme="minorHAnsi"/>
                <w:sz w:val="18"/>
                <w:szCs w:val="18"/>
                <w:lang w:val="en-SG" w:eastAsia="en-SG"/>
              </w:rPr>
            </w:pPr>
          </w:p>
        </w:tc>
        <w:tc>
          <w:tcPr>
            <w:tcW w:w="665" w:type="pct"/>
            <w:shd w:val="clear" w:color="auto" w:fill="auto"/>
            <w:noWrap/>
            <w:vAlign w:val="bottom"/>
          </w:tcPr>
          <w:p w14:paraId="08F513E3" w14:textId="77777777" w:rsidR="00FA18EA" w:rsidRPr="0091098D" w:rsidRDefault="00FA18EA" w:rsidP="00FA18EA">
            <w:pPr>
              <w:jc w:val="right"/>
              <w:rPr>
                <w:rFonts w:eastAsia="Times New Roman" w:cstheme="minorHAnsi"/>
                <w:b/>
                <w:bCs/>
                <w:sz w:val="18"/>
                <w:szCs w:val="18"/>
                <w:lang w:val="en-SG" w:eastAsia="en-SG"/>
              </w:rPr>
            </w:pPr>
            <w:r w:rsidRPr="0091098D">
              <w:rPr>
                <w:rFonts w:eastAsia="Times New Roman" w:cstheme="minorHAnsi"/>
                <w:b/>
                <w:bCs/>
                <w:sz w:val="18"/>
                <w:szCs w:val="18"/>
                <w:lang w:val="en-SG" w:eastAsia="en-SG"/>
              </w:rPr>
              <w:t>(99)</w:t>
            </w:r>
          </w:p>
        </w:tc>
        <w:tc>
          <w:tcPr>
            <w:tcW w:w="698" w:type="pct"/>
            <w:shd w:val="clear" w:color="auto" w:fill="auto"/>
            <w:noWrap/>
            <w:vAlign w:val="bottom"/>
          </w:tcPr>
          <w:p w14:paraId="3D088E88" w14:textId="77777777" w:rsidR="00FA18EA" w:rsidRPr="0075195E" w:rsidRDefault="00FA18EA" w:rsidP="00FA18EA">
            <w:pPr>
              <w:jc w:val="right"/>
              <w:rPr>
                <w:rFonts w:eastAsia="Times New Roman" w:cstheme="minorHAnsi"/>
                <w:sz w:val="18"/>
                <w:szCs w:val="18"/>
                <w:lang w:val="en-SG" w:eastAsia="en-SG"/>
              </w:rPr>
            </w:pPr>
            <w:r w:rsidRPr="0075195E">
              <w:rPr>
                <w:rFonts w:eastAsia="Times New Roman" w:cstheme="minorHAnsi"/>
                <w:sz w:val="18"/>
                <w:szCs w:val="18"/>
                <w:lang w:val="en-SG" w:eastAsia="en-SG"/>
              </w:rPr>
              <w:t>-</w:t>
            </w:r>
          </w:p>
        </w:tc>
      </w:tr>
      <w:tr w:rsidR="00FA18EA" w:rsidRPr="007600A7" w14:paraId="7742FBF4" w14:textId="77777777" w:rsidTr="00FA18EA">
        <w:trPr>
          <w:trHeight w:val="240"/>
        </w:trPr>
        <w:tc>
          <w:tcPr>
            <w:tcW w:w="3050" w:type="pct"/>
            <w:tcBorders>
              <w:bottom w:val="single" w:sz="4" w:space="0" w:color="auto"/>
            </w:tcBorders>
            <w:shd w:val="clear" w:color="auto" w:fill="auto"/>
            <w:noWrap/>
            <w:vAlign w:val="bottom"/>
          </w:tcPr>
          <w:p w14:paraId="1383AF0B" w14:textId="77777777" w:rsidR="00FA18EA" w:rsidRPr="008B2DDA" w:rsidRDefault="00FA18EA" w:rsidP="00FA18EA">
            <w:pPr>
              <w:rPr>
                <w:rFonts w:eastAsia="Times New Roman" w:cstheme="minorHAnsi"/>
                <w:sz w:val="18"/>
                <w:szCs w:val="18"/>
                <w:lang w:val="en-SG" w:eastAsia="en-SG"/>
              </w:rPr>
            </w:pPr>
            <w:r w:rsidRPr="008B2DDA">
              <w:rPr>
                <w:rFonts w:eastAsia="Times New Roman" w:cstheme="minorHAnsi"/>
                <w:sz w:val="18"/>
                <w:szCs w:val="18"/>
                <w:lang w:val="en-SG" w:eastAsia="en-SG"/>
              </w:rPr>
              <w:t>Adjustment for accrued interest on redemption/conversion</w:t>
            </w:r>
          </w:p>
        </w:tc>
        <w:tc>
          <w:tcPr>
            <w:tcW w:w="586" w:type="pct"/>
            <w:tcBorders>
              <w:bottom w:val="single" w:sz="4" w:space="0" w:color="auto"/>
            </w:tcBorders>
            <w:shd w:val="clear" w:color="auto" w:fill="auto"/>
            <w:noWrap/>
            <w:vAlign w:val="bottom"/>
          </w:tcPr>
          <w:p w14:paraId="3DDF01E7" w14:textId="77777777" w:rsidR="00FA18EA" w:rsidRPr="000C5053" w:rsidRDefault="00FA18EA" w:rsidP="00FA18EA">
            <w:pPr>
              <w:jc w:val="center"/>
              <w:rPr>
                <w:rFonts w:eastAsia="Times New Roman" w:cstheme="minorHAnsi"/>
                <w:sz w:val="18"/>
                <w:szCs w:val="18"/>
                <w:lang w:val="en-SG" w:eastAsia="en-SG"/>
              </w:rPr>
            </w:pPr>
          </w:p>
        </w:tc>
        <w:tc>
          <w:tcPr>
            <w:tcW w:w="665" w:type="pct"/>
            <w:tcBorders>
              <w:bottom w:val="single" w:sz="4" w:space="0" w:color="auto"/>
            </w:tcBorders>
            <w:shd w:val="clear" w:color="auto" w:fill="auto"/>
            <w:noWrap/>
            <w:vAlign w:val="bottom"/>
          </w:tcPr>
          <w:p w14:paraId="2F58CAA5" w14:textId="77777777" w:rsidR="00FA18EA" w:rsidRPr="0091098D" w:rsidRDefault="00FA18EA" w:rsidP="00FA18EA">
            <w:pPr>
              <w:jc w:val="right"/>
              <w:rPr>
                <w:rFonts w:eastAsia="Times New Roman" w:cstheme="minorHAnsi"/>
                <w:b/>
                <w:bCs/>
                <w:sz w:val="18"/>
                <w:szCs w:val="18"/>
                <w:lang w:val="en-SG" w:eastAsia="en-SG"/>
              </w:rPr>
            </w:pPr>
            <w:r w:rsidRPr="0091098D">
              <w:rPr>
                <w:rFonts w:eastAsia="Times New Roman" w:cstheme="minorHAnsi"/>
                <w:b/>
                <w:bCs/>
                <w:sz w:val="18"/>
                <w:szCs w:val="18"/>
                <w:lang w:val="en-SG" w:eastAsia="en-SG"/>
              </w:rPr>
              <w:t>(16)</w:t>
            </w:r>
          </w:p>
        </w:tc>
        <w:tc>
          <w:tcPr>
            <w:tcW w:w="698" w:type="pct"/>
            <w:tcBorders>
              <w:bottom w:val="single" w:sz="4" w:space="0" w:color="auto"/>
            </w:tcBorders>
            <w:shd w:val="clear" w:color="auto" w:fill="auto"/>
            <w:noWrap/>
            <w:vAlign w:val="bottom"/>
          </w:tcPr>
          <w:p w14:paraId="7C62D99B" w14:textId="77777777" w:rsidR="00FA18EA" w:rsidRPr="0075195E" w:rsidRDefault="00FA18EA" w:rsidP="00FA18EA">
            <w:pPr>
              <w:jc w:val="right"/>
              <w:rPr>
                <w:rFonts w:eastAsia="Times New Roman" w:cstheme="minorHAnsi"/>
                <w:sz w:val="18"/>
                <w:szCs w:val="18"/>
                <w:lang w:val="en-SG" w:eastAsia="en-SG"/>
              </w:rPr>
            </w:pPr>
            <w:r w:rsidRPr="0075195E">
              <w:rPr>
                <w:rFonts w:eastAsia="Times New Roman" w:cstheme="minorHAnsi"/>
                <w:sz w:val="18"/>
                <w:szCs w:val="18"/>
                <w:lang w:val="en-SG" w:eastAsia="en-SG"/>
              </w:rPr>
              <w:t>-</w:t>
            </w:r>
          </w:p>
        </w:tc>
      </w:tr>
      <w:tr w:rsidR="00FA18EA" w:rsidRPr="007600A7" w14:paraId="142B4DB8" w14:textId="77777777" w:rsidTr="00FA18EA">
        <w:trPr>
          <w:trHeight w:val="240"/>
        </w:trPr>
        <w:tc>
          <w:tcPr>
            <w:tcW w:w="3050" w:type="pct"/>
            <w:tcBorders>
              <w:top w:val="single" w:sz="4" w:space="0" w:color="auto"/>
            </w:tcBorders>
            <w:shd w:val="clear" w:color="auto" w:fill="auto"/>
            <w:noWrap/>
            <w:vAlign w:val="bottom"/>
            <w:hideMark/>
          </w:tcPr>
          <w:p w14:paraId="5FC8A82A" w14:textId="77777777" w:rsidR="00FA18EA" w:rsidRPr="008B2DDA" w:rsidRDefault="00FA18EA" w:rsidP="00FA18EA">
            <w:pPr>
              <w:rPr>
                <w:rFonts w:eastAsia="Times New Roman" w:cstheme="minorHAnsi"/>
                <w:b/>
                <w:bCs/>
                <w:sz w:val="18"/>
                <w:szCs w:val="18"/>
                <w:lang w:val="en-SG" w:eastAsia="en-SG"/>
              </w:rPr>
            </w:pPr>
            <w:r w:rsidRPr="008B2DDA">
              <w:rPr>
                <w:rFonts w:eastAsia="Times New Roman" w:cstheme="minorHAnsi"/>
                <w:b/>
                <w:bCs/>
                <w:sz w:val="18"/>
                <w:szCs w:val="18"/>
                <w:lang w:val="en-SG" w:eastAsia="en-SG"/>
              </w:rPr>
              <w:t>Operating loss</w:t>
            </w:r>
          </w:p>
        </w:tc>
        <w:tc>
          <w:tcPr>
            <w:tcW w:w="586" w:type="pct"/>
            <w:tcBorders>
              <w:top w:val="single" w:sz="4" w:space="0" w:color="auto"/>
            </w:tcBorders>
            <w:shd w:val="clear" w:color="auto" w:fill="auto"/>
            <w:noWrap/>
            <w:vAlign w:val="bottom"/>
            <w:hideMark/>
          </w:tcPr>
          <w:p w14:paraId="2FE83C15" w14:textId="77777777" w:rsidR="00FA18EA" w:rsidRPr="000C5053" w:rsidRDefault="00FA18EA" w:rsidP="00FA18EA">
            <w:pPr>
              <w:jc w:val="center"/>
              <w:rPr>
                <w:rFonts w:eastAsia="Times New Roman" w:cstheme="minorHAnsi"/>
                <w:sz w:val="18"/>
                <w:szCs w:val="18"/>
                <w:lang w:val="en-SG" w:eastAsia="en-SG"/>
              </w:rPr>
            </w:pPr>
          </w:p>
        </w:tc>
        <w:tc>
          <w:tcPr>
            <w:tcW w:w="665" w:type="pct"/>
            <w:tcBorders>
              <w:top w:val="single" w:sz="4" w:space="0" w:color="auto"/>
            </w:tcBorders>
            <w:shd w:val="clear" w:color="auto" w:fill="auto"/>
            <w:noWrap/>
            <w:vAlign w:val="bottom"/>
            <w:hideMark/>
          </w:tcPr>
          <w:p w14:paraId="7B55CFE3" w14:textId="77777777" w:rsidR="00FA18EA" w:rsidRPr="0091098D" w:rsidRDefault="00FA18EA" w:rsidP="00FA18EA">
            <w:pPr>
              <w:jc w:val="right"/>
              <w:rPr>
                <w:rFonts w:eastAsia="Times New Roman" w:cstheme="minorHAnsi"/>
                <w:b/>
                <w:bCs/>
                <w:sz w:val="18"/>
                <w:szCs w:val="18"/>
                <w:lang w:val="en-SG" w:eastAsia="en-SG"/>
              </w:rPr>
            </w:pPr>
            <w:r w:rsidRPr="0091098D">
              <w:rPr>
                <w:rFonts w:eastAsia="Times New Roman" w:cstheme="minorHAnsi"/>
                <w:b/>
                <w:bCs/>
                <w:sz w:val="18"/>
                <w:szCs w:val="18"/>
                <w:lang w:val="en-SG" w:eastAsia="en-SG"/>
              </w:rPr>
              <w:t>(6,503)</w:t>
            </w:r>
          </w:p>
        </w:tc>
        <w:tc>
          <w:tcPr>
            <w:tcW w:w="698" w:type="pct"/>
            <w:tcBorders>
              <w:top w:val="single" w:sz="4" w:space="0" w:color="auto"/>
            </w:tcBorders>
            <w:shd w:val="clear" w:color="auto" w:fill="auto"/>
            <w:noWrap/>
            <w:vAlign w:val="bottom"/>
            <w:hideMark/>
          </w:tcPr>
          <w:p w14:paraId="261524A3" w14:textId="77777777" w:rsidR="00FA18EA" w:rsidRPr="0075195E" w:rsidRDefault="00FA18EA" w:rsidP="00FA18EA">
            <w:pPr>
              <w:jc w:val="right"/>
              <w:rPr>
                <w:rFonts w:eastAsia="Times New Roman" w:cstheme="minorHAnsi"/>
                <w:sz w:val="18"/>
                <w:szCs w:val="18"/>
                <w:lang w:val="en-SG" w:eastAsia="en-SG"/>
              </w:rPr>
            </w:pPr>
            <w:r w:rsidRPr="0075195E">
              <w:rPr>
                <w:rFonts w:eastAsia="Times New Roman" w:cstheme="minorHAnsi"/>
                <w:sz w:val="18"/>
                <w:szCs w:val="18"/>
                <w:lang w:val="en-SG" w:eastAsia="en-SG"/>
              </w:rPr>
              <w:t>(3,570)</w:t>
            </w:r>
          </w:p>
        </w:tc>
      </w:tr>
      <w:tr w:rsidR="00FA18EA" w:rsidRPr="007600A7" w14:paraId="7AC7039E" w14:textId="77777777" w:rsidTr="00FA18EA">
        <w:trPr>
          <w:trHeight w:val="255"/>
        </w:trPr>
        <w:tc>
          <w:tcPr>
            <w:tcW w:w="3050" w:type="pct"/>
            <w:shd w:val="clear" w:color="auto" w:fill="auto"/>
            <w:noWrap/>
            <w:vAlign w:val="bottom"/>
            <w:hideMark/>
          </w:tcPr>
          <w:p w14:paraId="5C5150C7" w14:textId="77777777" w:rsidR="00FA18EA" w:rsidRPr="008B2DDA" w:rsidRDefault="00FA18EA" w:rsidP="00FA18EA">
            <w:pPr>
              <w:rPr>
                <w:rFonts w:eastAsia="Times New Roman" w:cstheme="minorHAnsi"/>
                <w:sz w:val="18"/>
                <w:szCs w:val="18"/>
                <w:lang w:val="en-SG" w:eastAsia="en-SG"/>
              </w:rPr>
            </w:pPr>
          </w:p>
        </w:tc>
        <w:tc>
          <w:tcPr>
            <w:tcW w:w="586" w:type="pct"/>
            <w:shd w:val="clear" w:color="auto" w:fill="auto"/>
            <w:noWrap/>
            <w:vAlign w:val="bottom"/>
            <w:hideMark/>
          </w:tcPr>
          <w:p w14:paraId="3694C054" w14:textId="77777777" w:rsidR="00FA18EA" w:rsidRPr="000C5053" w:rsidRDefault="00FA18EA" w:rsidP="00FA18EA">
            <w:pPr>
              <w:jc w:val="center"/>
              <w:rPr>
                <w:rFonts w:eastAsia="Times New Roman" w:cstheme="minorHAnsi"/>
                <w:sz w:val="18"/>
                <w:szCs w:val="18"/>
                <w:lang w:val="en-SG" w:eastAsia="en-SG"/>
              </w:rPr>
            </w:pPr>
          </w:p>
        </w:tc>
        <w:tc>
          <w:tcPr>
            <w:tcW w:w="665" w:type="pct"/>
            <w:shd w:val="clear" w:color="auto" w:fill="auto"/>
            <w:noWrap/>
            <w:vAlign w:val="bottom"/>
            <w:hideMark/>
          </w:tcPr>
          <w:p w14:paraId="03A32EC9" w14:textId="77777777" w:rsidR="00FA18EA" w:rsidRPr="0091098D" w:rsidRDefault="00FA18EA" w:rsidP="00FA18EA">
            <w:pPr>
              <w:jc w:val="right"/>
              <w:rPr>
                <w:rFonts w:eastAsia="Times New Roman" w:cstheme="minorHAnsi"/>
                <w:b/>
                <w:bCs/>
                <w:sz w:val="18"/>
                <w:szCs w:val="18"/>
                <w:lang w:val="en-SG" w:eastAsia="en-SG"/>
              </w:rPr>
            </w:pPr>
          </w:p>
        </w:tc>
        <w:tc>
          <w:tcPr>
            <w:tcW w:w="698" w:type="pct"/>
            <w:shd w:val="clear" w:color="auto" w:fill="auto"/>
            <w:noWrap/>
            <w:vAlign w:val="bottom"/>
            <w:hideMark/>
          </w:tcPr>
          <w:p w14:paraId="26468773" w14:textId="77777777" w:rsidR="00FA18EA" w:rsidRPr="0075195E" w:rsidRDefault="00FA18EA" w:rsidP="00FA18EA">
            <w:pPr>
              <w:jc w:val="right"/>
              <w:rPr>
                <w:rFonts w:eastAsia="Times New Roman" w:cstheme="minorHAnsi"/>
                <w:sz w:val="18"/>
                <w:szCs w:val="18"/>
                <w:lang w:val="en-SG" w:eastAsia="en-SG"/>
              </w:rPr>
            </w:pPr>
          </w:p>
        </w:tc>
      </w:tr>
      <w:tr w:rsidR="00FA18EA" w:rsidRPr="007600A7" w14:paraId="1DC81A6F" w14:textId="77777777" w:rsidTr="00FA18EA">
        <w:trPr>
          <w:trHeight w:val="240"/>
        </w:trPr>
        <w:tc>
          <w:tcPr>
            <w:tcW w:w="3050" w:type="pct"/>
            <w:shd w:val="clear" w:color="auto" w:fill="auto"/>
            <w:noWrap/>
            <w:vAlign w:val="bottom"/>
            <w:hideMark/>
          </w:tcPr>
          <w:p w14:paraId="3FE2B11F" w14:textId="77777777" w:rsidR="00FA18EA" w:rsidRPr="008B2DDA" w:rsidRDefault="00FA18EA" w:rsidP="00FA18EA">
            <w:pPr>
              <w:rPr>
                <w:rFonts w:eastAsia="Times New Roman" w:cstheme="minorHAnsi"/>
                <w:sz w:val="18"/>
                <w:szCs w:val="18"/>
                <w:lang w:val="en-SG" w:eastAsia="en-SG"/>
              </w:rPr>
            </w:pPr>
            <w:r w:rsidRPr="008B2DDA">
              <w:rPr>
                <w:rFonts w:eastAsia="Times New Roman" w:cstheme="minorHAnsi"/>
                <w:sz w:val="18"/>
                <w:szCs w:val="18"/>
                <w:lang w:val="en-SG" w:eastAsia="en-SG"/>
              </w:rPr>
              <w:t>Decrease in trade and other receivables</w:t>
            </w:r>
          </w:p>
        </w:tc>
        <w:tc>
          <w:tcPr>
            <w:tcW w:w="586" w:type="pct"/>
            <w:shd w:val="clear" w:color="auto" w:fill="auto"/>
            <w:vAlign w:val="bottom"/>
          </w:tcPr>
          <w:p w14:paraId="76B1BB50" w14:textId="77777777" w:rsidR="00FA18EA" w:rsidRPr="000C5053" w:rsidRDefault="00FA18EA" w:rsidP="00FA18EA">
            <w:pPr>
              <w:rPr>
                <w:rFonts w:eastAsia="Times New Roman" w:cstheme="minorHAnsi"/>
                <w:sz w:val="18"/>
                <w:szCs w:val="18"/>
                <w:lang w:val="en-SG" w:eastAsia="en-SG"/>
              </w:rPr>
            </w:pPr>
          </w:p>
        </w:tc>
        <w:tc>
          <w:tcPr>
            <w:tcW w:w="665" w:type="pct"/>
            <w:shd w:val="clear" w:color="auto" w:fill="auto"/>
            <w:noWrap/>
            <w:vAlign w:val="bottom"/>
            <w:hideMark/>
          </w:tcPr>
          <w:p w14:paraId="1B6BF017" w14:textId="77777777" w:rsidR="00FA18EA" w:rsidRPr="0091098D" w:rsidRDefault="00FA18EA" w:rsidP="00FA18EA">
            <w:pPr>
              <w:jc w:val="right"/>
              <w:rPr>
                <w:rFonts w:eastAsia="Times New Roman" w:cstheme="minorHAnsi"/>
                <w:b/>
                <w:bCs/>
                <w:sz w:val="18"/>
                <w:szCs w:val="18"/>
                <w:lang w:val="en-SG" w:eastAsia="en-SG"/>
              </w:rPr>
            </w:pPr>
            <w:r w:rsidRPr="0091098D">
              <w:rPr>
                <w:rFonts w:eastAsia="Times New Roman" w:cstheme="minorHAnsi"/>
                <w:b/>
                <w:bCs/>
                <w:sz w:val="18"/>
                <w:szCs w:val="18"/>
                <w:lang w:val="en-SG" w:eastAsia="en-SG"/>
              </w:rPr>
              <w:t>(65)</w:t>
            </w:r>
          </w:p>
        </w:tc>
        <w:tc>
          <w:tcPr>
            <w:tcW w:w="698" w:type="pct"/>
            <w:shd w:val="clear" w:color="auto" w:fill="auto"/>
            <w:noWrap/>
            <w:vAlign w:val="bottom"/>
            <w:hideMark/>
          </w:tcPr>
          <w:p w14:paraId="16E657EF" w14:textId="77777777" w:rsidR="00FA18EA" w:rsidRPr="0075195E" w:rsidRDefault="00FA18EA" w:rsidP="00FA18EA">
            <w:pPr>
              <w:jc w:val="right"/>
              <w:rPr>
                <w:rFonts w:eastAsia="Times New Roman" w:cstheme="minorHAnsi"/>
                <w:sz w:val="18"/>
                <w:szCs w:val="18"/>
                <w:lang w:val="en-SG" w:eastAsia="en-SG"/>
              </w:rPr>
            </w:pPr>
            <w:r w:rsidRPr="0075195E">
              <w:rPr>
                <w:rFonts w:eastAsia="Times New Roman" w:cstheme="minorHAnsi"/>
                <w:sz w:val="18"/>
                <w:szCs w:val="18"/>
                <w:lang w:val="en-SG" w:eastAsia="en-SG"/>
              </w:rPr>
              <w:t>(33)</w:t>
            </w:r>
          </w:p>
        </w:tc>
      </w:tr>
      <w:tr w:rsidR="00FA18EA" w:rsidRPr="007600A7" w14:paraId="57FC7E5F" w14:textId="77777777" w:rsidTr="00FA18EA">
        <w:trPr>
          <w:trHeight w:val="240"/>
        </w:trPr>
        <w:tc>
          <w:tcPr>
            <w:tcW w:w="3050" w:type="pct"/>
            <w:tcBorders>
              <w:bottom w:val="single" w:sz="4" w:space="0" w:color="auto"/>
            </w:tcBorders>
            <w:shd w:val="clear" w:color="auto" w:fill="auto"/>
            <w:noWrap/>
            <w:vAlign w:val="bottom"/>
          </w:tcPr>
          <w:p w14:paraId="20AAC70E" w14:textId="77777777" w:rsidR="00FA18EA" w:rsidRPr="008B2DDA" w:rsidRDefault="00FA18EA" w:rsidP="00FA18EA">
            <w:pPr>
              <w:rPr>
                <w:rFonts w:eastAsia="Times New Roman" w:cstheme="minorHAnsi"/>
                <w:sz w:val="18"/>
                <w:szCs w:val="18"/>
                <w:lang w:val="en-SG" w:eastAsia="en-SG"/>
              </w:rPr>
            </w:pPr>
            <w:r w:rsidRPr="008B2DDA">
              <w:rPr>
                <w:rFonts w:eastAsia="Times New Roman" w:cstheme="minorHAnsi"/>
                <w:sz w:val="18"/>
                <w:szCs w:val="18"/>
                <w:lang w:val="en-SG" w:eastAsia="en-SG"/>
              </w:rPr>
              <w:t>(Decrease)/Increase in trade and other payables</w:t>
            </w:r>
          </w:p>
        </w:tc>
        <w:tc>
          <w:tcPr>
            <w:tcW w:w="586" w:type="pct"/>
            <w:tcBorders>
              <w:bottom w:val="single" w:sz="4" w:space="0" w:color="auto"/>
            </w:tcBorders>
            <w:shd w:val="clear" w:color="auto" w:fill="auto"/>
            <w:vAlign w:val="bottom"/>
          </w:tcPr>
          <w:p w14:paraId="52A31670" w14:textId="77777777" w:rsidR="00FA18EA" w:rsidRPr="000C5053" w:rsidRDefault="00FA18EA" w:rsidP="00FA18EA">
            <w:pPr>
              <w:rPr>
                <w:rFonts w:eastAsia="Times New Roman" w:cstheme="minorHAnsi"/>
                <w:sz w:val="18"/>
                <w:szCs w:val="18"/>
                <w:lang w:val="en-SG" w:eastAsia="en-SG"/>
              </w:rPr>
            </w:pPr>
          </w:p>
        </w:tc>
        <w:tc>
          <w:tcPr>
            <w:tcW w:w="665" w:type="pct"/>
            <w:tcBorders>
              <w:bottom w:val="single" w:sz="4" w:space="0" w:color="auto"/>
            </w:tcBorders>
            <w:shd w:val="clear" w:color="auto" w:fill="auto"/>
            <w:noWrap/>
            <w:vAlign w:val="bottom"/>
          </w:tcPr>
          <w:p w14:paraId="55A0A2EC" w14:textId="77777777" w:rsidR="00FA18EA" w:rsidRPr="0091098D" w:rsidRDefault="00FA18EA" w:rsidP="00FA18EA">
            <w:pPr>
              <w:jc w:val="right"/>
              <w:rPr>
                <w:rFonts w:eastAsia="Times New Roman" w:cstheme="minorHAnsi"/>
                <w:b/>
                <w:bCs/>
                <w:sz w:val="18"/>
                <w:szCs w:val="18"/>
                <w:lang w:val="en-SG" w:eastAsia="en-SG"/>
              </w:rPr>
            </w:pPr>
            <w:r w:rsidRPr="0091098D">
              <w:rPr>
                <w:rFonts w:eastAsia="Times New Roman" w:cstheme="minorHAnsi"/>
                <w:b/>
                <w:bCs/>
                <w:sz w:val="18"/>
                <w:szCs w:val="18"/>
                <w:lang w:val="en-SG" w:eastAsia="en-SG"/>
              </w:rPr>
              <w:t>(738)</w:t>
            </w:r>
          </w:p>
        </w:tc>
        <w:tc>
          <w:tcPr>
            <w:tcW w:w="698" w:type="pct"/>
            <w:tcBorders>
              <w:bottom w:val="single" w:sz="4" w:space="0" w:color="auto"/>
            </w:tcBorders>
            <w:shd w:val="clear" w:color="auto" w:fill="auto"/>
            <w:noWrap/>
            <w:vAlign w:val="bottom"/>
          </w:tcPr>
          <w:p w14:paraId="0E972894" w14:textId="77777777" w:rsidR="00FA18EA" w:rsidRPr="0075195E" w:rsidRDefault="00FA18EA" w:rsidP="00FA18EA">
            <w:pPr>
              <w:jc w:val="right"/>
              <w:rPr>
                <w:rFonts w:eastAsia="Times New Roman" w:cstheme="minorHAnsi"/>
                <w:sz w:val="18"/>
                <w:szCs w:val="18"/>
                <w:lang w:val="en-SG" w:eastAsia="en-SG"/>
              </w:rPr>
            </w:pPr>
            <w:r w:rsidRPr="0075195E">
              <w:rPr>
                <w:rFonts w:eastAsia="Times New Roman" w:cstheme="minorHAnsi"/>
                <w:sz w:val="18"/>
                <w:szCs w:val="18"/>
                <w:lang w:val="en-SG" w:eastAsia="en-SG"/>
              </w:rPr>
              <w:t>2,820</w:t>
            </w:r>
          </w:p>
        </w:tc>
      </w:tr>
      <w:tr w:rsidR="00FA18EA" w:rsidRPr="007600A7" w14:paraId="36225EC3" w14:textId="77777777" w:rsidTr="00FA18EA">
        <w:trPr>
          <w:trHeight w:val="255"/>
        </w:trPr>
        <w:tc>
          <w:tcPr>
            <w:tcW w:w="3050" w:type="pct"/>
            <w:tcBorders>
              <w:top w:val="single" w:sz="4" w:space="0" w:color="auto"/>
              <w:bottom w:val="single" w:sz="4" w:space="0" w:color="auto"/>
            </w:tcBorders>
            <w:shd w:val="clear" w:color="auto" w:fill="auto"/>
            <w:noWrap/>
            <w:vAlign w:val="bottom"/>
            <w:hideMark/>
          </w:tcPr>
          <w:p w14:paraId="0C88DCBB" w14:textId="77777777" w:rsidR="00FA18EA" w:rsidRPr="008B2DDA" w:rsidRDefault="00FA18EA" w:rsidP="00FA18EA">
            <w:pPr>
              <w:rPr>
                <w:rFonts w:eastAsia="Times New Roman" w:cstheme="minorHAnsi"/>
                <w:b/>
                <w:bCs/>
                <w:sz w:val="18"/>
                <w:szCs w:val="18"/>
                <w:lang w:val="en-SG" w:eastAsia="en-SG"/>
              </w:rPr>
            </w:pPr>
            <w:r w:rsidRPr="008B2DDA">
              <w:rPr>
                <w:rFonts w:eastAsia="Times New Roman" w:cstheme="minorHAnsi"/>
                <w:b/>
                <w:bCs/>
                <w:sz w:val="18"/>
                <w:szCs w:val="18"/>
                <w:lang w:val="en-SG" w:eastAsia="en-SG"/>
              </w:rPr>
              <w:t>Net cash outflow from operations</w:t>
            </w:r>
          </w:p>
        </w:tc>
        <w:tc>
          <w:tcPr>
            <w:tcW w:w="586" w:type="pct"/>
            <w:tcBorders>
              <w:top w:val="single" w:sz="4" w:space="0" w:color="auto"/>
              <w:bottom w:val="single" w:sz="4" w:space="0" w:color="auto"/>
            </w:tcBorders>
            <w:shd w:val="clear" w:color="auto" w:fill="auto"/>
            <w:noWrap/>
            <w:vAlign w:val="bottom"/>
            <w:hideMark/>
          </w:tcPr>
          <w:p w14:paraId="798899B8" w14:textId="77777777" w:rsidR="00FA18EA" w:rsidRPr="0091098D" w:rsidRDefault="00FA18EA" w:rsidP="00FA18EA">
            <w:pPr>
              <w:jc w:val="center"/>
              <w:rPr>
                <w:rFonts w:eastAsia="Times New Roman" w:cstheme="minorHAnsi"/>
                <w:sz w:val="18"/>
                <w:szCs w:val="18"/>
                <w:lang w:val="en-SG" w:eastAsia="en-SG"/>
              </w:rPr>
            </w:pPr>
            <w:r w:rsidRPr="000C5053">
              <w:rPr>
                <w:rFonts w:eastAsia="Times New Roman" w:cstheme="minorHAnsi"/>
                <w:sz w:val="18"/>
                <w:szCs w:val="18"/>
                <w:lang w:val="en-SG" w:eastAsia="en-SG"/>
              </w:rPr>
              <w:t> </w:t>
            </w:r>
          </w:p>
        </w:tc>
        <w:tc>
          <w:tcPr>
            <w:tcW w:w="665" w:type="pct"/>
            <w:tcBorders>
              <w:top w:val="single" w:sz="4" w:space="0" w:color="auto"/>
              <w:bottom w:val="single" w:sz="4" w:space="0" w:color="auto"/>
            </w:tcBorders>
            <w:shd w:val="clear" w:color="auto" w:fill="auto"/>
            <w:noWrap/>
            <w:vAlign w:val="bottom"/>
            <w:hideMark/>
          </w:tcPr>
          <w:p w14:paraId="087E12FF" w14:textId="77777777" w:rsidR="00FA18EA" w:rsidRPr="0075195E" w:rsidRDefault="00FA18EA" w:rsidP="00FA18EA">
            <w:pPr>
              <w:jc w:val="right"/>
              <w:rPr>
                <w:rFonts w:eastAsia="Times New Roman" w:cstheme="minorHAnsi"/>
                <w:b/>
                <w:bCs/>
                <w:sz w:val="18"/>
                <w:szCs w:val="18"/>
                <w:lang w:val="en-SG" w:eastAsia="en-SG"/>
              </w:rPr>
            </w:pPr>
            <w:r w:rsidRPr="0075195E">
              <w:rPr>
                <w:rFonts w:eastAsia="Times New Roman" w:cstheme="minorHAnsi"/>
                <w:b/>
                <w:bCs/>
                <w:sz w:val="18"/>
                <w:szCs w:val="18"/>
                <w:lang w:val="en-SG" w:eastAsia="en-SG"/>
              </w:rPr>
              <w:t>(7,306)</w:t>
            </w:r>
          </w:p>
        </w:tc>
        <w:tc>
          <w:tcPr>
            <w:tcW w:w="698" w:type="pct"/>
            <w:tcBorders>
              <w:top w:val="single" w:sz="4" w:space="0" w:color="auto"/>
              <w:bottom w:val="single" w:sz="4" w:space="0" w:color="auto"/>
            </w:tcBorders>
            <w:shd w:val="clear" w:color="auto" w:fill="auto"/>
            <w:noWrap/>
            <w:vAlign w:val="bottom"/>
            <w:hideMark/>
          </w:tcPr>
          <w:p w14:paraId="67AB6A85" w14:textId="77777777" w:rsidR="00FA18EA" w:rsidRPr="0075195E" w:rsidRDefault="00FA18EA" w:rsidP="00FA18EA">
            <w:pPr>
              <w:jc w:val="right"/>
              <w:rPr>
                <w:rFonts w:eastAsia="Times New Roman" w:cstheme="minorHAnsi"/>
                <w:sz w:val="18"/>
                <w:szCs w:val="18"/>
                <w:lang w:val="en-SG" w:eastAsia="en-SG"/>
              </w:rPr>
            </w:pPr>
            <w:r w:rsidRPr="0075195E">
              <w:rPr>
                <w:rFonts w:eastAsia="Times New Roman" w:cstheme="minorHAnsi"/>
                <w:sz w:val="18"/>
                <w:szCs w:val="18"/>
                <w:lang w:val="en-SG" w:eastAsia="en-SG"/>
              </w:rPr>
              <w:t>(783)</w:t>
            </w:r>
          </w:p>
        </w:tc>
      </w:tr>
      <w:tr w:rsidR="00FA18EA" w:rsidRPr="007600A7" w14:paraId="7E99DB4E" w14:textId="77777777" w:rsidTr="00FA18EA">
        <w:trPr>
          <w:trHeight w:val="240"/>
        </w:trPr>
        <w:tc>
          <w:tcPr>
            <w:tcW w:w="3050" w:type="pct"/>
            <w:tcBorders>
              <w:top w:val="single" w:sz="4" w:space="0" w:color="auto"/>
            </w:tcBorders>
            <w:shd w:val="clear" w:color="auto" w:fill="auto"/>
            <w:noWrap/>
            <w:vAlign w:val="bottom"/>
            <w:hideMark/>
          </w:tcPr>
          <w:p w14:paraId="5F9A2EA3" w14:textId="77777777" w:rsidR="00FA18EA" w:rsidRPr="008B2DDA" w:rsidRDefault="00FA18EA" w:rsidP="00FA18EA">
            <w:pPr>
              <w:rPr>
                <w:rFonts w:eastAsia="Times New Roman" w:cstheme="minorHAnsi"/>
                <w:sz w:val="18"/>
                <w:szCs w:val="18"/>
                <w:lang w:val="en-SG" w:eastAsia="en-SG"/>
              </w:rPr>
            </w:pPr>
          </w:p>
        </w:tc>
        <w:tc>
          <w:tcPr>
            <w:tcW w:w="586" w:type="pct"/>
            <w:tcBorders>
              <w:top w:val="single" w:sz="4" w:space="0" w:color="auto"/>
            </w:tcBorders>
            <w:shd w:val="clear" w:color="auto" w:fill="auto"/>
            <w:noWrap/>
            <w:vAlign w:val="bottom"/>
            <w:hideMark/>
          </w:tcPr>
          <w:p w14:paraId="38FC0E37" w14:textId="77777777" w:rsidR="00FA18EA" w:rsidRPr="000C5053" w:rsidRDefault="00FA18EA" w:rsidP="00FA18EA">
            <w:pPr>
              <w:jc w:val="center"/>
              <w:rPr>
                <w:rFonts w:eastAsia="Times New Roman" w:cstheme="minorHAnsi"/>
                <w:sz w:val="18"/>
                <w:szCs w:val="18"/>
                <w:lang w:val="en-SG" w:eastAsia="en-SG"/>
              </w:rPr>
            </w:pPr>
          </w:p>
        </w:tc>
        <w:tc>
          <w:tcPr>
            <w:tcW w:w="665" w:type="pct"/>
            <w:tcBorders>
              <w:top w:val="single" w:sz="4" w:space="0" w:color="auto"/>
            </w:tcBorders>
            <w:shd w:val="clear" w:color="auto" w:fill="auto"/>
            <w:noWrap/>
            <w:vAlign w:val="bottom"/>
            <w:hideMark/>
          </w:tcPr>
          <w:p w14:paraId="38BA1625" w14:textId="77777777" w:rsidR="00FA18EA" w:rsidRPr="0091098D" w:rsidRDefault="00FA18EA" w:rsidP="00FA18EA">
            <w:pPr>
              <w:jc w:val="right"/>
              <w:rPr>
                <w:rFonts w:eastAsia="Times New Roman" w:cstheme="minorHAnsi"/>
                <w:b/>
                <w:bCs/>
                <w:sz w:val="18"/>
                <w:szCs w:val="18"/>
                <w:lang w:val="en-SG" w:eastAsia="en-SG"/>
              </w:rPr>
            </w:pPr>
          </w:p>
        </w:tc>
        <w:tc>
          <w:tcPr>
            <w:tcW w:w="698" w:type="pct"/>
            <w:tcBorders>
              <w:top w:val="single" w:sz="4" w:space="0" w:color="auto"/>
            </w:tcBorders>
            <w:shd w:val="clear" w:color="auto" w:fill="auto"/>
            <w:noWrap/>
            <w:vAlign w:val="bottom"/>
            <w:hideMark/>
          </w:tcPr>
          <w:p w14:paraId="55F04BD4" w14:textId="77777777" w:rsidR="00FA18EA" w:rsidRPr="0075195E" w:rsidRDefault="00FA18EA" w:rsidP="00FA18EA">
            <w:pPr>
              <w:jc w:val="right"/>
              <w:rPr>
                <w:rFonts w:eastAsia="Times New Roman" w:cstheme="minorHAnsi"/>
                <w:sz w:val="18"/>
                <w:szCs w:val="18"/>
                <w:lang w:val="en-SG" w:eastAsia="en-SG"/>
              </w:rPr>
            </w:pPr>
          </w:p>
        </w:tc>
      </w:tr>
    </w:tbl>
    <w:p w14:paraId="6F7F30A0" w14:textId="77777777" w:rsidR="00FA18EA" w:rsidRPr="007600A7" w:rsidRDefault="00FA18EA" w:rsidP="00FA18EA">
      <w:pPr>
        <w:rPr>
          <w:rFonts w:cstheme="minorHAnsi"/>
          <w:b/>
          <w:i/>
          <w:sz w:val="18"/>
          <w:szCs w:val="18"/>
          <w:highlight w:val="yellow"/>
        </w:rPr>
      </w:pPr>
      <w:r w:rsidRPr="007600A7">
        <w:rPr>
          <w:rFonts w:cstheme="minorHAnsi"/>
          <w:b/>
          <w:sz w:val="18"/>
          <w:szCs w:val="18"/>
        </w:rPr>
        <w:t>•</w:t>
      </w:r>
      <w:r w:rsidRPr="007600A7">
        <w:rPr>
          <w:rFonts w:cstheme="minorHAnsi"/>
          <w:b/>
          <w:i/>
          <w:sz w:val="18"/>
          <w:szCs w:val="18"/>
        </w:rPr>
        <w:t>The purchase and sale of financial investments are the cash paid or received during the year and exclude unsettled investments as at 31 March 2022.</w:t>
      </w:r>
    </w:p>
    <w:p w14:paraId="7D795C89" w14:textId="77777777" w:rsidR="00FA18EA" w:rsidRPr="008B2DDA" w:rsidRDefault="00FA18EA" w:rsidP="00FA18EA">
      <w:pPr>
        <w:rPr>
          <w:rFonts w:cstheme="minorHAnsi"/>
          <w:b/>
          <w:sz w:val="32"/>
        </w:rPr>
      </w:pPr>
    </w:p>
    <w:p w14:paraId="33E0020F" w14:textId="77777777" w:rsidR="00FA18EA" w:rsidRPr="008B2DDA" w:rsidRDefault="00FA18EA" w:rsidP="00FA18EA">
      <w:pPr>
        <w:rPr>
          <w:rFonts w:cstheme="minorHAnsi"/>
          <w:b/>
          <w:sz w:val="32"/>
        </w:rPr>
      </w:pPr>
      <w:r w:rsidRPr="008B2DDA">
        <w:rPr>
          <w:rFonts w:cstheme="minorHAnsi"/>
          <w:b/>
          <w:sz w:val="32"/>
        </w:rPr>
        <w:br w:type="page"/>
      </w:r>
    </w:p>
    <w:p w14:paraId="33BBD0E4" w14:textId="77777777" w:rsidR="00FA18EA" w:rsidRPr="0091098D" w:rsidRDefault="00FA18EA" w:rsidP="00FA18EA">
      <w:pPr>
        <w:pageBreakBefore/>
        <w:autoSpaceDE w:val="0"/>
        <w:autoSpaceDN w:val="0"/>
        <w:adjustRightInd w:val="0"/>
        <w:rPr>
          <w:rFonts w:cstheme="minorHAnsi"/>
          <w:b/>
          <w:color w:val="000000"/>
          <w:sz w:val="28"/>
        </w:rPr>
      </w:pPr>
      <w:r w:rsidRPr="000C5053">
        <w:rPr>
          <w:rFonts w:cstheme="minorHAnsi"/>
          <w:b/>
          <w:color w:val="000000"/>
          <w:sz w:val="28"/>
        </w:rPr>
        <w:lastRenderedPageBreak/>
        <w:t xml:space="preserve">Statement of Changes in Equity </w:t>
      </w:r>
      <w:r w:rsidRPr="0091098D">
        <w:rPr>
          <w:rFonts w:cstheme="minorHAnsi"/>
          <w:b/>
          <w:sz w:val="28"/>
        </w:rPr>
        <w:t>for the year ended 31 March 2022</w:t>
      </w:r>
    </w:p>
    <w:p w14:paraId="474993B1" w14:textId="77777777" w:rsidR="00FA18EA" w:rsidRPr="0075195E" w:rsidRDefault="00FA18EA" w:rsidP="00FA18EA">
      <w:pPr>
        <w:rPr>
          <w:rFonts w:cstheme="minorHAnsi"/>
        </w:rPr>
      </w:pPr>
    </w:p>
    <w:p w14:paraId="6CB3D779" w14:textId="77777777" w:rsidR="00FA18EA" w:rsidRPr="0075195E" w:rsidRDefault="00FA18EA" w:rsidP="00FA18EA">
      <w:pPr>
        <w:rPr>
          <w:rFonts w:cstheme="minorHAnsi"/>
          <w:b/>
        </w:rPr>
      </w:pPr>
    </w:p>
    <w:tbl>
      <w:tblPr>
        <w:tblW w:w="10061" w:type="dxa"/>
        <w:tblInd w:w="108" w:type="dxa"/>
        <w:tblLook w:val="04A0" w:firstRow="1" w:lastRow="0" w:firstColumn="1" w:lastColumn="0" w:noHBand="0" w:noVBand="1"/>
      </w:tblPr>
      <w:tblGrid>
        <w:gridCol w:w="3011"/>
        <w:gridCol w:w="992"/>
        <w:gridCol w:w="1069"/>
        <w:gridCol w:w="859"/>
        <w:gridCol w:w="1009"/>
        <w:gridCol w:w="1081"/>
        <w:gridCol w:w="1117"/>
        <w:gridCol w:w="923"/>
      </w:tblGrid>
      <w:tr w:rsidR="00FA18EA" w:rsidRPr="007600A7" w14:paraId="76DC10E4" w14:textId="77777777" w:rsidTr="00FA18EA">
        <w:trPr>
          <w:trHeight w:val="240"/>
        </w:trPr>
        <w:tc>
          <w:tcPr>
            <w:tcW w:w="3011" w:type="dxa"/>
            <w:tcBorders>
              <w:top w:val="single" w:sz="4" w:space="0" w:color="auto"/>
              <w:left w:val="nil"/>
              <w:bottom w:val="nil"/>
              <w:right w:val="nil"/>
            </w:tcBorders>
            <w:shd w:val="clear" w:color="000000" w:fill="FFFFFF"/>
            <w:noWrap/>
            <w:vAlign w:val="bottom"/>
            <w:hideMark/>
          </w:tcPr>
          <w:p w14:paraId="4A5E258E" w14:textId="77777777" w:rsidR="00FA18EA" w:rsidRPr="00536A35" w:rsidRDefault="00FA18EA" w:rsidP="00FA18EA">
            <w:pPr>
              <w:rPr>
                <w:rFonts w:eastAsia="Times New Roman" w:cstheme="minorHAnsi"/>
                <w:sz w:val="18"/>
                <w:szCs w:val="18"/>
                <w:lang w:val="en-SG" w:eastAsia="en-SG"/>
              </w:rPr>
            </w:pPr>
            <w:r w:rsidRPr="00536A35">
              <w:rPr>
                <w:rFonts w:eastAsia="Times New Roman" w:cstheme="minorHAnsi"/>
                <w:sz w:val="18"/>
                <w:szCs w:val="18"/>
                <w:lang w:val="en-SG" w:eastAsia="en-SG"/>
              </w:rPr>
              <w:t> </w:t>
            </w:r>
          </w:p>
        </w:tc>
        <w:tc>
          <w:tcPr>
            <w:tcW w:w="992" w:type="dxa"/>
            <w:tcBorders>
              <w:top w:val="single" w:sz="4" w:space="0" w:color="auto"/>
              <w:left w:val="nil"/>
              <w:bottom w:val="nil"/>
              <w:right w:val="nil"/>
            </w:tcBorders>
            <w:shd w:val="clear" w:color="000000" w:fill="FFFFFF"/>
            <w:noWrap/>
            <w:vAlign w:val="bottom"/>
            <w:hideMark/>
          </w:tcPr>
          <w:p w14:paraId="18D3A84F" w14:textId="77777777" w:rsidR="00FA18EA" w:rsidRPr="00A02B31" w:rsidRDefault="00FA18EA" w:rsidP="00FA18EA">
            <w:pPr>
              <w:jc w:val="right"/>
              <w:rPr>
                <w:rFonts w:eastAsia="Times New Roman" w:cstheme="minorHAnsi"/>
                <w:sz w:val="18"/>
                <w:szCs w:val="18"/>
                <w:lang w:val="en-SG" w:eastAsia="en-SG"/>
              </w:rPr>
            </w:pPr>
            <w:r w:rsidRPr="00A02B31">
              <w:rPr>
                <w:rFonts w:eastAsia="Times New Roman" w:cstheme="minorHAnsi"/>
                <w:sz w:val="18"/>
                <w:szCs w:val="18"/>
                <w:lang w:val="en-SG" w:eastAsia="en-SG"/>
              </w:rPr>
              <w:t>B shares</w:t>
            </w:r>
          </w:p>
        </w:tc>
        <w:tc>
          <w:tcPr>
            <w:tcW w:w="1069" w:type="dxa"/>
            <w:tcBorders>
              <w:top w:val="single" w:sz="4" w:space="0" w:color="auto"/>
              <w:left w:val="nil"/>
              <w:bottom w:val="nil"/>
              <w:right w:val="nil"/>
            </w:tcBorders>
            <w:shd w:val="clear" w:color="000000" w:fill="FFFFFF"/>
            <w:vAlign w:val="bottom"/>
          </w:tcPr>
          <w:p w14:paraId="0AEC8B83" w14:textId="77777777" w:rsidR="00FA18EA" w:rsidRPr="00A02B31" w:rsidRDefault="00FA18EA" w:rsidP="00FA18EA">
            <w:pPr>
              <w:jc w:val="right"/>
              <w:rPr>
                <w:rFonts w:eastAsia="Times New Roman" w:cstheme="minorHAnsi"/>
                <w:sz w:val="18"/>
                <w:szCs w:val="18"/>
                <w:lang w:val="en-SG" w:eastAsia="en-SG"/>
              </w:rPr>
            </w:pPr>
            <w:r w:rsidRPr="00A02B31">
              <w:rPr>
                <w:rFonts w:eastAsia="Times New Roman" w:cstheme="minorHAnsi"/>
                <w:sz w:val="18"/>
                <w:szCs w:val="18"/>
                <w:lang w:val="en-SG" w:eastAsia="en-SG"/>
              </w:rPr>
              <w:t>D shares</w:t>
            </w:r>
          </w:p>
        </w:tc>
        <w:tc>
          <w:tcPr>
            <w:tcW w:w="859" w:type="dxa"/>
            <w:tcBorders>
              <w:top w:val="single" w:sz="4" w:space="0" w:color="auto"/>
              <w:left w:val="nil"/>
              <w:bottom w:val="nil"/>
              <w:right w:val="nil"/>
            </w:tcBorders>
            <w:shd w:val="clear" w:color="000000" w:fill="FFFFFF"/>
            <w:noWrap/>
            <w:vAlign w:val="bottom"/>
            <w:hideMark/>
          </w:tcPr>
          <w:p w14:paraId="2FB0C588" w14:textId="77777777" w:rsidR="00FA18EA" w:rsidRPr="00A02B31" w:rsidRDefault="00FA18EA" w:rsidP="00FA18EA">
            <w:pPr>
              <w:jc w:val="right"/>
              <w:rPr>
                <w:rFonts w:eastAsia="Times New Roman" w:cstheme="minorHAnsi"/>
                <w:sz w:val="18"/>
                <w:szCs w:val="18"/>
                <w:lang w:val="en-SG" w:eastAsia="en-SG"/>
              </w:rPr>
            </w:pPr>
            <w:r w:rsidRPr="00A02B31">
              <w:rPr>
                <w:rFonts w:eastAsia="Times New Roman" w:cstheme="minorHAnsi"/>
                <w:sz w:val="18"/>
                <w:szCs w:val="18"/>
                <w:lang w:val="en-SG" w:eastAsia="en-SG"/>
              </w:rPr>
              <w:t>Ordinary</w:t>
            </w:r>
          </w:p>
        </w:tc>
        <w:tc>
          <w:tcPr>
            <w:tcW w:w="1009" w:type="dxa"/>
            <w:tcBorders>
              <w:top w:val="single" w:sz="4" w:space="0" w:color="auto"/>
              <w:left w:val="nil"/>
              <w:bottom w:val="nil"/>
              <w:right w:val="nil"/>
            </w:tcBorders>
            <w:shd w:val="clear" w:color="000000" w:fill="FFFFFF"/>
            <w:noWrap/>
            <w:vAlign w:val="bottom"/>
            <w:hideMark/>
          </w:tcPr>
          <w:p w14:paraId="2B96BAF0" w14:textId="77777777" w:rsidR="00FA18EA" w:rsidRPr="00A02B31" w:rsidRDefault="00FA18EA" w:rsidP="00FA18EA">
            <w:pPr>
              <w:jc w:val="right"/>
              <w:rPr>
                <w:rFonts w:eastAsia="Times New Roman" w:cstheme="minorHAnsi"/>
                <w:sz w:val="18"/>
                <w:szCs w:val="18"/>
                <w:lang w:val="en-SG" w:eastAsia="en-SG"/>
              </w:rPr>
            </w:pPr>
            <w:r w:rsidRPr="00A02B31">
              <w:rPr>
                <w:rFonts w:eastAsia="Times New Roman" w:cstheme="minorHAnsi"/>
                <w:sz w:val="18"/>
                <w:szCs w:val="18"/>
                <w:lang w:val="en-SG" w:eastAsia="en-SG"/>
              </w:rPr>
              <w:t>Share</w:t>
            </w:r>
          </w:p>
        </w:tc>
        <w:tc>
          <w:tcPr>
            <w:tcW w:w="1081" w:type="dxa"/>
            <w:tcBorders>
              <w:top w:val="single" w:sz="4" w:space="0" w:color="auto"/>
              <w:left w:val="nil"/>
              <w:bottom w:val="nil"/>
              <w:right w:val="nil"/>
            </w:tcBorders>
            <w:shd w:val="clear" w:color="000000" w:fill="FFFFFF"/>
            <w:noWrap/>
            <w:vAlign w:val="bottom"/>
            <w:hideMark/>
          </w:tcPr>
          <w:p w14:paraId="508E5C6F" w14:textId="77777777" w:rsidR="00FA18EA" w:rsidRPr="00A02B31" w:rsidRDefault="00FA18EA" w:rsidP="00FA18EA">
            <w:pPr>
              <w:jc w:val="right"/>
              <w:rPr>
                <w:rFonts w:eastAsia="Times New Roman" w:cstheme="minorHAnsi"/>
                <w:sz w:val="18"/>
                <w:szCs w:val="18"/>
                <w:lang w:val="en-SG" w:eastAsia="en-SG"/>
              </w:rPr>
            </w:pPr>
            <w:r w:rsidRPr="00A02B31">
              <w:rPr>
                <w:rFonts w:eastAsia="Times New Roman" w:cstheme="minorHAnsi"/>
                <w:sz w:val="18"/>
                <w:szCs w:val="18"/>
                <w:lang w:val="en-SG" w:eastAsia="en-SG"/>
              </w:rPr>
              <w:t>Revenue</w:t>
            </w:r>
          </w:p>
        </w:tc>
        <w:tc>
          <w:tcPr>
            <w:tcW w:w="1117" w:type="dxa"/>
            <w:tcBorders>
              <w:top w:val="single" w:sz="4" w:space="0" w:color="auto"/>
              <w:left w:val="nil"/>
              <w:bottom w:val="nil"/>
              <w:right w:val="nil"/>
            </w:tcBorders>
            <w:shd w:val="clear" w:color="000000" w:fill="FFFFFF"/>
            <w:noWrap/>
            <w:vAlign w:val="bottom"/>
            <w:hideMark/>
          </w:tcPr>
          <w:p w14:paraId="007CE09A" w14:textId="77777777" w:rsidR="00FA18EA" w:rsidRPr="00A02B31" w:rsidRDefault="00FA18EA" w:rsidP="00FA18EA">
            <w:pPr>
              <w:jc w:val="right"/>
              <w:rPr>
                <w:rFonts w:eastAsia="Times New Roman" w:cstheme="minorHAnsi"/>
                <w:sz w:val="18"/>
                <w:szCs w:val="18"/>
                <w:lang w:val="en-SG" w:eastAsia="en-SG"/>
              </w:rPr>
            </w:pPr>
            <w:r w:rsidRPr="00A02B31">
              <w:rPr>
                <w:rFonts w:eastAsia="Times New Roman" w:cstheme="minorHAnsi"/>
                <w:sz w:val="18"/>
                <w:szCs w:val="18"/>
                <w:lang w:val="en-SG" w:eastAsia="en-SG"/>
              </w:rPr>
              <w:t>Capital</w:t>
            </w:r>
          </w:p>
        </w:tc>
        <w:tc>
          <w:tcPr>
            <w:tcW w:w="923" w:type="dxa"/>
            <w:tcBorders>
              <w:top w:val="single" w:sz="4" w:space="0" w:color="auto"/>
              <w:left w:val="nil"/>
              <w:bottom w:val="nil"/>
              <w:right w:val="nil"/>
            </w:tcBorders>
            <w:shd w:val="clear" w:color="000000" w:fill="FFFFFF"/>
            <w:noWrap/>
            <w:vAlign w:val="bottom"/>
            <w:hideMark/>
          </w:tcPr>
          <w:p w14:paraId="51C111FE" w14:textId="77777777" w:rsidR="00FA18EA" w:rsidRPr="00A02B31" w:rsidRDefault="00FA18EA" w:rsidP="00FA18EA">
            <w:pPr>
              <w:jc w:val="right"/>
              <w:rPr>
                <w:rFonts w:eastAsia="Times New Roman" w:cstheme="minorHAnsi"/>
                <w:sz w:val="18"/>
                <w:szCs w:val="18"/>
                <w:lang w:val="en-SG" w:eastAsia="en-SG"/>
              </w:rPr>
            </w:pPr>
            <w:r w:rsidRPr="00A02B31">
              <w:rPr>
                <w:rFonts w:eastAsia="Times New Roman" w:cstheme="minorHAnsi"/>
                <w:sz w:val="18"/>
                <w:szCs w:val="18"/>
                <w:lang w:val="en-SG" w:eastAsia="en-SG"/>
              </w:rPr>
              <w:t>Total</w:t>
            </w:r>
          </w:p>
        </w:tc>
      </w:tr>
      <w:tr w:rsidR="00FA18EA" w:rsidRPr="007600A7" w14:paraId="18A4A1C0" w14:textId="77777777" w:rsidTr="00FA18EA">
        <w:trPr>
          <w:trHeight w:val="240"/>
        </w:trPr>
        <w:tc>
          <w:tcPr>
            <w:tcW w:w="3011" w:type="dxa"/>
            <w:tcBorders>
              <w:top w:val="nil"/>
              <w:left w:val="nil"/>
              <w:bottom w:val="nil"/>
              <w:right w:val="nil"/>
            </w:tcBorders>
            <w:shd w:val="clear" w:color="000000" w:fill="FFFFFF"/>
            <w:noWrap/>
            <w:vAlign w:val="bottom"/>
            <w:hideMark/>
          </w:tcPr>
          <w:p w14:paraId="7380FB67" w14:textId="77777777" w:rsidR="00FA18EA" w:rsidRPr="008B2DDA" w:rsidRDefault="00FA18EA" w:rsidP="00FA18EA">
            <w:pPr>
              <w:rPr>
                <w:rFonts w:eastAsia="Times New Roman" w:cstheme="minorHAnsi"/>
                <w:sz w:val="18"/>
                <w:szCs w:val="18"/>
                <w:lang w:val="en-SG" w:eastAsia="en-SG"/>
              </w:rPr>
            </w:pPr>
            <w:r w:rsidRPr="008B2DDA">
              <w:rPr>
                <w:rFonts w:eastAsia="Times New Roman" w:cstheme="minorHAnsi"/>
                <w:sz w:val="18"/>
                <w:szCs w:val="18"/>
                <w:lang w:val="en-SG" w:eastAsia="en-SG"/>
              </w:rPr>
              <w:t> </w:t>
            </w:r>
          </w:p>
        </w:tc>
        <w:tc>
          <w:tcPr>
            <w:tcW w:w="992" w:type="dxa"/>
            <w:tcBorders>
              <w:top w:val="nil"/>
              <w:left w:val="nil"/>
              <w:bottom w:val="nil"/>
              <w:right w:val="nil"/>
            </w:tcBorders>
            <w:shd w:val="clear" w:color="000000" w:fill="FFFFFF"/>
            <w:noWrap/>
            <w:vAlign w:val="bottom"/>
            <w:hideMark/>
          </w:tcPr>
          <w:p w14:paraId="363992EF" w14:textId="77777777" w:rsidR="00FA18EA" w:rsidRPr="0091098D" w:rsidRDefault="00FA18EA" w:rsidP="00FA18EA">
            <w:pPr>
              <w:jc w:val="right"/>
              <w:rPr>
                <w:rFonts w:eastAsia="Times New Roman" w:cstheme="minorHAnsi"/>
                <w:sz w:val="18"/>
                <w:szCs w:val="18"/>
                <w:lang w:val="en-SG" w:eastAsia="en-SG"/>
              </w:rPr>
            </w:pPr>
            <w:r w:rsidRPr="000C5053">
              <w:rPr>
                <w:rFonts w:eastAsia="Times New Roman" w:cstheme="minorHAnsi"/>
                <w:sz w:val="18"/>
                <w:szCs w:val="18"/>
                <w:lang w:val="en-SG" w:eastAsia="en-SG"/>
              </w:rPr>
              <w:t> </w:t>
            </w:r>
          </w:p>
        </w:tc>
        <w:tc>
          <w:tcPr>
            <w:tcW w:w="1069" w:type="dxa"/>
            <w:tcBorders>
              <w:top w:val="nil"/>
              <w:left w:val="nil"/>
              <w:bottom w:val="nil"/>
              <w:right w:val="nil"/>
            </w:tcBorders>
            <w:shd w:val="clear" w:color="000000" w:fill="FFFFFF"/>
            <w:vAlign w:val="bottom"/>
          </w:tcPr>
          <w:p w14:paraId="59C69FAF" w14:textId="77777777" w:rsidR="00FA18EA" w:rsidRPr="0075195E" w:rsidRDefault="00FA18EA" w:rsidP="00FA18EA">
            <w:pPr>
              <w:jc w:val="right"/>
              <w:rPr>
                <w:rFonts w:eastAsia="Times New Roman" w:cstheme="minorHAnsi"/>
                <w:sz w:val="18"/>
                <w:szCs w:val="18"/>
                <w:lang w:val="en-SG" w:eastAsia="en-SG"/>
              </w:rPr>
            </w:pPr>
            <w:r w:rsidRPr="0075195E">
              <w:rPr>
                <w:rFonts w:eastAsia="Times New Roman" w:cstheme="minorHAnsi"/>
                <w:sz w:val="18"/>
                <w:szCs w:val="18"/>
                <w:lang w:val="en-SG" w:eastAsia="en-SG"/>
              </w:rPr>
              <w:t> </w:t>
            </w:r>
          </w:p>
        </w:tc>
        <w:tc>
          <w:tcPr>
            <w:tcW w:w="859" w:type="dxa"/>
            <w:tcBorders>
              <w:top w:val="nil"/>
              <w:left w:val="nil"/>
              <w:bottom w:val="nil"/>
              <w:right w:val="nil"/>
            </w:tcBorders>
            <w:shd w:val="clear" w:color="000000" w:fill="FFFFFF"/>
            <w:noWrap/>
            <w:vAlign w:val="bottom"/>
            <w:hideMark/>
          </w:tcPr>
          <w:p w14:paraId="33E8D3A4" w14:textId="77777777" w:rsidR="00FA18EA" w:rsidRPr="0075195E" w:rsidRDefault="00FA18EA" w:rsidP="00FA18EA">
            <w:pPr>
              <w:jc w:val="right"/>
              <w:rPr>
                <w:rFonts w:eastAsia="Times New Roman" w:cstheme="minorHAnsi"/>
                <w:sz w:val="18"/>
                <w:szCs w:val="18"/>
                <w:lang w:val="en-SG" w:eastAsia="en-SG"/>
              </w:rPr>
            </w:pPr>
            <w:r w:rsidRPr="0075195E">
              <w:rPr>
                <w:rFonts w:eastAsia="Times New Roman" w:cstheme="minorHAnsi"/>
                <w:sz w:val="18"/>
                <w:szCs w:val="18"/>
                <w:lang w:val="en-SG" w:eastAsia="en-SG"/>
              </w:rPr>
              <w:t>Share</w:t>
            </w:r>
          </w:p>
        </w:tc>
        <w:tc>
          <w:tcPr>
            <w:tcW w:w="1009" w:type="dxa"/>
            <w:tcBorders>
              <w:top w:val="nil"/>
              <w:left w:val="nil"/>
              <w:bottom w:val="nil"/>
              <w:right w:val="nil"/>
            </w:tcBorders>
            <w:shd w:val="clear" w:color="000000" w:fill="FFFFFF"/>
            <w:noWrap/>
            <w:vAlign w:val="bottom"/>
            <w:hideMark/>
          </w:tcPr>
          <w:p w14:paraId="060C16F8" w14:textId="77777777" w:rsidR="00FA18EA" w:rsidRPr="00536A35" w:rsidRDefault="00FA18EA" w:rsidP="00FA18EA">
            <w:pPr>
              <w:jc w:val="right"/>
              <w:rPr>
                <w:rFonts w:eastAsia="Times New Roman" w:cstheme="minorHAnsi"/>
                <w:sz w:val="18"/>
                <w:szCs w:val="18"/>
                <w:lang w:val="en-SG" w:eastAsia="en-SG"/>
              </w:rPr>
            </w:pPr>
            <w:r w:rsidRPr="00536A35">
              <w:rPr>
                <w:rFonts w:eastAsia="Times New Roman" w:cstheme="minorHAnsi"/>
                <w:sz w:val="18"/>
                <w:szCs w:val="18"/>
                <w:lang w:val="en-SG" w:eastAsia="en-SG"/>
              </w:rPr>
              <w:t>Premium</w:t>
            </w:r>
          </w:p>
        </w:tc>
        <w:tc>
          <w:tcPr>
            <w:tcW w:w="1081" w:type="dxa"/>
            <w:tcBorders>
              <w:top w:val="nil"/>
              <w:left w:val="nil"/>
              <w:bottom w:val="nil"/>
              <w:right w:val="nil"/>
            </w:tcBorders>
            <w:shd w:val="clear" w:color="000000" w:fill="FFFFFF"/>
            <w:noWrap/>
            <w:vAlign w:val="bottom"/>
            <w:hideMark/>
          </w:tcPr>
          <w:p w14:paraId="18D9DA26" w14:textId="77777777" w:rsidR="00FA18EA" w:rsidRPr="00A02B31" w:rsidRDefault="00FA18EA" w:rsidP="00FA18EA">
            <w:pPr>
              <w:jc w:val="right"/>
              <w:rPr>
                <w:rFonts w:eastAsia="Times New Roman" w:cstheme="minorHAnsi"/>
                <w:sz w:val="18"/>
                <w:szCs w:val="18"/>
                <w:lang w:val="en-SG" w:eastAsia="en-SG"/>
              </w:rPr>
            </w:pPr>
            <w:r w:rsidRPr="00A02B31">
              <w:rPr>
                <w:rFonts w:eastAsia="Times New Roman" w:cstheme="minorHAnsi"/>
                <w:sz w:val="18"/>
                <w:szCs w:val="18"/>
                <w:lang w:val="en-SG" w:eastAsia="en-SG"/>
              </w:rPr>
              <w:t>Reserve</w:t>
            </w:r>
          </w:p>
        </w:tc>
        <w:tc>
          <w:tcPr>
            <w:tcW w:w="1117" w:type="dxa"/>
            <w:tcBorders>
              <w:top w:val="nil"/>
              <w:left w:val="nil"/>
              <w:bottom w:val="nil"/>
              <w:right w:val="nil"/>
            </w:tcBorders>
            <w:shd w:val="clear" w:color="000000" w:fill="FFFFFF"/>
            <w:noWrap/>
            <w:vAlign w:val="bottom"/>
            <w:hideMark/>
          </w:tcPr>
          <w:p w14:paraId="7892A42A" w14:textId="77777777" w:rsidR="00FA18EA" w:rsidRPr="00A02B31" w:rsidRDefault="00FA18EA" w:rsidP="00FA18EA">
            <w:pPr>
              <w:jc w:val="right"/>
              <w:rPr>
                <w:rFonts w:eastAsia="Times New Roman" w:cstheme="minorHAnsi"/>
                <w:sz w:val="18"/>
                <w:szCs w:val="18"/>
                <w:lang w:val="en-SG" w:eastAsia="en-SG"/>
              </w:rPr>
            </w:pPr>
            <w:r w:rsidRPr="00A02B31">
              <w:rPr>
                <w:rFonts w:eastAsia="Times New Roman" w:cstheme="minorHAnsi"/>
                <w:sz w:val="18"/>
                <w:szCs w:val="18"/>
                <w:lang w:val="en-SG" w:eastAsia="en-SG"/>
              </w:rPr>
              <w:t>Redemption</w:t>
            </w:r>
          </w:p>
        </w:tc>
        <w:tc>
          <w:tcPr>
            <w:tcW w:w="923" w:type="dxa"/>
            <w:tcBorders>
              <w:top w:val="nil"/>
              <w:left w:val="nil"/>
              <w:bottom w:val="nil"/>
              <w:right w:val="nil"/>
            </w:tcBorders>
            <w:shd w:val="clear" w:color="000000" w:fill="FFFFFF"/>
            <w:noWrap/>
            <w:vAlign w:val="bottom"/>
            <w:hideMark/>
          </w:tcPr>
          <w:p w14:paraId="2CB0E096" w14:textId="77777777" w:rsidR="00FA18EA" w:rsidRPr="00A02B31" w:rsidRDefault="00FA18EA" w:rsidP="00FA18EA">
            <w:pPr>
              <w:jc w:val="right"/>
              <w:rPr>
                <w:rFonts w:eastAsia="Times New Roman" w:cstheme="minorHAnsi"/>
                <w:sz w:val="18"/>
                <w:szCs w:val="18"/>
                <w:lang w:val="en-SG" w:eastAsia="en-SG"/>
              </w:rPr>
            </w:pPr>
            <w:r w:rsidRPr="00A02B31">
              <w:rPr>
                <w:rFonts w:eastAsia="Times New Roman" w:cstheme="minorHAnsi"/>
                <w:sz w:val="18"/>
                <w:szCs w:val="18"/>
                <w:lang w:val="en-SG" w:eastAsia="en-SG"/>
              </w:rPr>
              <w:t>Equity</w:t>
            </w:r>
          </w:p>
        </w:tc>
      </w:tr>
      <w:tr w:rsidR="00FA18EA" w:rsidRPr="007600A7" w14:paraId="2C2A846F" w14:textId="77777777" w:rsidTr="00FA18EA">
        <w:trPr>
          <w:trHeight w:val="240"/>
        </w:trPr>
        <w:tc>
          <w:tcPr>
            <w:tcW w:w="3011" w:type="dxa"/>
            <w:tcBorders>
              <w:top w:val="nil"/>
              <w:left w:val="nil"/>
              <w:bottom w:val="nil"/>
              <w:right w:val="nil"/>
            </w:tcBorders>
            <w:shd w:val="clear" w:color="000000" w:fill="FFFFFF"/>
            <w:noWrap/>
            <w:vAlign w:val="bottom"/>
            <w:hideMark/>
          </w:tcPr>
          <w:p w14:paraId="7EDE129F" w14:textId="77777777" w:rsidR="00FA18EA" w:rsidRPr="008B2DDA" w:rsidRDefault="00FA18EA" w:rsidP="00FA18EA">
            <w:pPr>
              <w:rPr>
                <w:rFonts w:eastAsia="Times New Roman" w:cstheme="minorHAnsi"/>
                <w:sz w:val="18"/>
                <w:szCs w:val="18"/>
                <w:lang w:val="en-SG" w:eastAsia="en-SG"/>
              </w:rPr>
            </w:pPr>
            <w:r w:rsidRPr="008B2DDA">
              <w:rPr>
                <w:rFonts w:eastAsia="Times New Roman" w:cstheme="minorHAnsi"/>
                <w:sz w:val="18"/>
                <w:szCs w:val="18"/>
                <w:lang w:val="en-SG" w:eastAsia="en-SG"/>
              </w:rPr>
              <w:t> </w:t>
            </w:r>
          </w:p>
        </w:tc>
        <w:tc>
          <w:tcPr>
            <w:tcW w:w="992" w:type="dxa"/>
            <w:tcBorders>
              <w:top w:val="nil"/>
              <w:left w:val="nil"/>
              <w:bottom w:val="nil"/>
              <w:right w:val="nil"/>
            </w:tcBorders>
            <w:shd w:val="clear" w:color="000000" w:fill="FFFFFF"/>
            <w:noWrap/>
            <w:vAlign w:val="bottom"/>
            <w:hideMark/>
          </w:tcPr>
          <w:p w14:paraId="287D4FBB" w14:textId="77777777" w:rsidR="00FA18EA" w:rsidRPr="0091098D" w:rsidRDefault="00FA18EA" w:rsidP="00FA18EA">
            <w:pPr>
              <w:rPr>
                <w:rFonts w:eastAsia="Times New Roman" w:cstheme="minorHAnsi"/>
                <w:sz w:val="18"/>
                <w:szCs w:val="18"/>
                <w:lang w:val="en-SG" w:eastAsia="en-SG"/>
              </w:rPr>
            </w:pPr>
            <w:r w:rsidRPr="000C5053">
              <w:rPr>
                <w:rFonts w:eastAsia="Times New Roman" w:cstheme="minorHAnsi"/>
                <w:sz w:val="18"/>
                <w:szCs w:val="18"/>
                <w:lang w:val="en-SG" w:eastAsia="en-SG"/>
              </w:rPr>
              <w:t> </w:t>
            </w:r>
          </w:p>
        </w:tc>
        <w:tc>
          <w:tcPr>
            <w:tcW w:w="1069" w:type="dxa"/>
            <w:tcBorders>
              <w:top w:val="nil"/>
              <w:left w:val="nil"/>
              <w:bottom w:val="nil"/>
              <w:right w:val="nil"/>
            </w:tcBorders>
            <w:shd w:val="clear" w:color="000000" w:fill="FFFFFF"/>
            <w:vAlign w:val="bottom"/>
          </w:tcPr>
          <w:p w14:paraId="6A68770C" w14:textId="77777777" w:rsidR="00FA18EA" w:rsidRPr="0075195E" w:rsidRDefault="00FA18EA" w:rsidP="00FA18EA">
            <w:pPr>
              <w:jc w:val="right"/>
              <w:rPr>
                <w:rFonts w:eastAsia="Times New Roman" w:cstheme="minorHAnsi"/>
                <w:sz w:val="18"/>
                <w:szCs w:val="18"/>
                <w:lang w:val="en-SG" w:eastAsia="en-SG"/>
              </w:rPr>
            </w:pPr>
            <w:r w:rsidRPr="0075195E">
              <w:rPr>
                <w:rFonts w:eastAsia="Times New Roman" w:cstheme="minorHAnsi"/>
                <w:sz w:val="18"/>
                <w:szCs w:val="18"/>
                <w:lang w:val="en-SG" w:eastAsia="en-SG"/>
              </w:rPr>
              <w:t> </w:t>
            </w:r>
          </w:p>
        </w:tc>
        <w:tc>
          <w:tcPr>
            <w:tcW w:w="859" w:type="dxa"/>
            <w:tcBorders>
              <w:top w:val="nil"/>
              <w:left w:val="nil"/>
              <w:bottom w:val="nil"/>
              <w:right w:val="nil"/>
            </w:tcBorders>
            <w:shd w:val="clear" w:color="000000" w:fill="FFFFFF"/>
            <w:noWrap/>
            <w:vAlign w:val="bottom"/>
            <w:hideMark/>
          </w:tcPr>
          <w:p w14:paraId="44ABF774" w14:textId="77777777" w:rsidR="00FA18EA" w:rsidRPr="0075195E" w:rsidRDefault="00FA18EA" w:rsidP="00FA18EA">
            <w:pPr>
              <w:jc w:val="right"/>
              <w:rPr>
                <w:rFonts w:eastAsia="Times New Roman" w:cstheme="minorHAnsi"/>
                <w:sz w:val="18"/>
                <w:szCs w:val="18"/>
                <w:lang w:val="en-SG" w:eastAsia="en-SG"/>
              </w:rPr>
            </w:pPr>
            <w:r w:rsidRPr="0075195E">
              <w:rPr>
                <w:rFonts w:eastAsia="Times New Roman" w:cstheme="minorHAnsi"/>
                <w:sz w:val="18"/>
                <w:szCs w:val="18"/>
                <w:lang w:val="en-SG" w:eastAsia="en-SG"/>
              </w:rPr>
              <w:t>Capital</w:t>
            </w:r>
          </w:p>
        </w:tc>
        <w:tc>
          <w:tcPr>
            <w:tcW w:w="1009" w:type="dxa"/>
            <w:tcBorders>
              <w:top w:val="nil"/>
              <w:left w:val="nil"/>
              <w:bottom w:val="nil"/>
              <w:right w:val="nil"/>
            </w:tcBorders>
            <w:shd w:val="clear" w:color="000000" w:fill="FFFFFF"/>
            <w:noWrap/>
            <w:vAlign w:val="bottom"/>
            <w:hideMark/>
          </w:tcPr>
          <w:p w14:paraId="1440ECCB" w14:textId="77777777" w:rsidR="00FA18EA" w:rsidRPr="00536A35" w:rsidRDefault="00FA18EA" w:rsidP="00FA18EA">
            <w:pPr>
              <w:rPr>
                <w:rFonts w:eastAsia="Times New Roman" w:cstheme="minorHAnsi"/>
                <w:sz w:val="18"/>
                <w:szCs w:val="18"/>
                <w:lang w:val="en-SG" w:eastAsia="en-SG"/>
              </w:rPr>
            </w:pPr>
            <w:r w:rsidRPr="00536A35">
              <w:rPr>
                <w:rFonts w:eastAsia="Times New Roman" w:cstheme="minorHAnsi"/>
                <w:sz w:val="18"/>
                <w:szCs w:val="18"/>
                <w:lang w:val="en-SG" w:eastAsia="en-SG"/>
              </w:rPr>
              <w:t> </w:t>
            </w:r>
          </w:p>
        </w:tc>
        <w:tc>
          <w:tcPr>
            <w:tcW w:w="1081" w:type="dxa"/>
            <w:tcBorders>
              <w:top w:val="nil"/>
              <w:left w:val="nil"/>
              <w:bottom w:val="nil"/>
              <w:right w:val="nil"/>
            </w:tcBorders>
            <w:shd w:val="clear" w:color="000000" w:fill="FFFFFF"/>
            <w:noWrap/>
            <w:vAlign w:val="bottom"/>
            <w:hideMark/>
          </w:tcPr>
          <w:p w14:paraId="19C8DE72" w14:textId="77777777" w:rsidR="00FA18EA" w:rsidRPr="00A02B31" w:rsidRDefault="00FA18EA" w:rsidP="00FA18EA">
            <w:pPr>
              <w:rPr>
                <w:rFonts w:eastAsia="Times New Roman" w:cstheme="minorHAnsi"/>
                <w:sz w:val="18"/>
                <w:szCs w:val="18"/>
                <w:lang w:val="en-SG" w:eastAsia="en-SG"/>
              </w:rPr>
            </w:pPr>
            <w:r w:rsidRPr="00A02B31">
              <w:rPr>
                <w:rFonts w:eastAsia="Times New Roman" w:cstheme="minorHAnsi"/>
                <w:sz w:val="18"/>
                <w:szCs w:val="18"/>
                <w:lang w:val="en-SG" w:eastAsia="en-SG"/>
              </w:rPr>
              <w:t> </w:t>
            </w:r>
          </w:p>
        </w:tc>
        <w:tc>
          <w:tcPr>
            <w:tcW w:w="1117" w:type="dxa"/>
            <w:tcBorders>
              <w:top w:val="nil"/>
              <w:left w:val="nil"/>
              <w:bottom w:val="nil"/>
              <w:right w:val="nil"/>
            </w:tcBorders>
            <w:shd w:val="clear" w:color="000000" w:fill="FFFFFF"/>
            <w:noWrap/>
            <w:vAlign w:val="bottom"/>
            <w:hideMark/>
          </w:tcPr>
          <w:p w14:paraId="4A0A85D1" w14:textId="77777777" w:rsidR="00FA18EA" w:rsidRPr="00A02B31" w:rsidRDefault="00FA18EA" w:rsidP="00FA18EA">
            <w:pPr>
              <w:jc w:val="right"/>
              <w:rPr>
                <w:rFonts w:eastAsia="Times New Roman" w:cstheme="minorHAnsi"/>
                <w:sz w:val="18"/>
                <w:szCs w:val="18"/>
                <w:lang w:val="en-SG" w:eastAsia="en-SG"/>
              </w:rPr>
            </w:pPr>
            <w:r w:rsidRPr="00A02B31">
              <w:rPr>
                <w:rFonts w:eastAsia="Times New Roman" w:cstheme="minorHAnsi"/>
                <w:sz w:val="18"/>
                <w:szCs w:val="18"/>
                <w:lang w:val="en-SG" w:eastAsia="en-SG"/>
              </w:rPr>
              <w:t>Reserve</w:t>
            </w:r>
          </w:p>
        </w:tc>
        <w:tc>
          <w:tcPr>
            <w:tcW w:w="923" w:type="dxa"/>
            <w:tcBorders>
              <w:top w:val="nil"/>
              <w:left w:val="nil"/>
              <w:bottom w:val="nil"/>
              <w:right w:val="nil"/>
            </w:tcBorders>
            <w:shd w:val="clear" w:color="000000" w:fill="FFFFFF"/>
            <w:noWrap/>
            <w:vAlign w:val="bottom"/>
            <w:hideMark/>
          </w:tcPr>
          <w:p w14:paraId="10BC8AEE" w14:textId="77777777" w:rsidR="00FA18EA" w:rsidRPr="00A02B31" w:rsidRDefault="00FA18EA" w:rsidP="00FA18EA">
            <w:pPr>
              <w:rPr>
                <w:rFonts w:eastAsia="Times New Roman" w:cstheme="minorHAnsi"/>
                <w:sz w:val="18"/>
                <w:szCs w:val="18"/>
                <w:lang w:val="en-SG" w:eastAsia="en-SG"/>
              </w:rPr>
            </w:pPr>
            <w:r w:rsidRPr="00A02B31">
              <w:rPr>
                <w:rFonts w:eastAsia="Times New Roman" w:cstheme="minorHAnsi"/>
                <w:sz w:val="18"/>
                <w:szCs w:val="18"/>
                <w:lang w:val="en-SG" w:eastAsia="en-SG"/>
              </w:rPr>
              <w:t> </w:t>
            </w:r>
          </w:p>
        </w:tc>
      </w:tr>
      <w:tr w:rsidR="00FA18EA" w:rsidRPr="007600A7" w14:paraId="40BDF98B" w14:textId="77777777" w:rsidTr="00FA18EA">
        <w:trPr>
          <w:trHeight w:val="240"/>
        </w:trPr>
        <w:tc>
          <w:tcPr>
            <w:tcW w:w="3011" w:type="dxa"/>
            <w:tcBorders>
              <w:top w:val="nil"/>
              <w:left w:val="nil"/>
              <w:bottom w:val="single" w:sz="4" w:space="0" w:color="auto"/>
              <w:right w:val="nil"/>
            </w:tcBorders>
            <w:shd w:val="clear" w:color="000000" w:fill="FFFFFF"/>
            <w:noWrap/>
            <w:vAlign w:val="bottom"/>
            <w:hideMark/>
          </w:tcPr>
          <w:p w14:paraId="76276419" w14:textId="77777777" w:rsidR="00FA18EA" w:rsidRPr="008B2DDA" w:rsidRDefault="00FA18EA" w:rsidP="00FA18EA">
            <w:pPr>
              <w:rPr>
                <w:rFonts w:eastAsia="Times New Roman" w:cstheme="minorHAnsi"/>
                <w:sz w:val="18"/>
                <w:szCs w:val="18"/>
                <w:lang w:val="en-SG" w:eastAsia="en-SG"/>
              </w:rPr>
            </w:pPr>
            <w:r w:rsidRPr="008B2DDA">
              <w:rPr>
                <w:rFonts w:eastAsia="Times New Roman" w:cstheme="minorHAnsi"/>
                <w:sz w:val="18"/>
                <w:szCs w:val="18"/>
                <w:lang w:val="en-SG" w:eastAsia="en-SG"/>
              </w:rPr>
              <w:t> </w:t>
            </w:r>
          </w:p>
        </w:tc>
        <w:tc>
          <w:tcPr>
            <w:tcW w:w="992" w:type="dxa"/>
            <w:tcBorders>
              <w:top w:val="nil"/>
              <w:left w:val="nil"/>
              <w:bottom w:val="single" w:sz="4" w:space="0" w:color="auto"/>
              <w:right w:val="nil"/>
            </w:tcBorders>
            <w:shd w:val="clear" w:color="000000" w:fill="FFFFFF"/>
            <w:noWrap/>
            <w:vAlign w:val="bottom"/>
            <w:hideMark/>
          </w:tcPr>
          <w:p w14:paraId="603801C0" w14:textId="77777777" w:rsidR="00FA18EA" w:rsidRPr="0091098D" w:rsidRDefault="00FA18EA" w:rsidP="00FA18EA">
            <w:pPr>
              <w:jc w:val="right"/>
              <w:rPr>
                <w:rFonts w:eastAsia="Times New Roman" w:cstheme="minorHAnsi"/>
                <w:sz w:val="18"/>
                <w:szCs w:val="18"/>
                <w:lang w:val="en-SG" w:eastAsia="en-SG"/>
              </w:rPr>
            </w:pPr>
            <w:r w:rsidRPr="000C5053">
              <w:rPr>
                <w:rFonts w:eastAsia="Times New Roman" w:cstheme="minorHAnsi"/>
                <w:sz w:val="18"/>
                <w:szCs w:val="18"/>
                <w:lang w:val="en-SG" w:eastAsia="en-SG"/>
              </w:rPr>
              <w:t>£'000</w:t>
            </w:r>
          </w:p>
        </w:tc>
        <w:tc>
          <w:tcPr>
            <w:tcW w:w="1069" w:type="dxa"/>
            <w:tcBorders>
              <w:top w:val="nil"/>
              <w:left w:val="nil"/>
              <w:bottom w:val="single" w:sz="4" w:space="0" w:color="auto"/>
              <w:right w:val="nil"/>
            </w:tcBorders>
            <w:shd w:val="clear" w:color="000000" w:fill="FFFFFF"/>
            <w:vAlign w:val="bottom"/>
          </w:tcPr>
          <w:p w14:paraId="5FA80787" w14:textId="77777777" w:rsidR="00FA18EA" w:rsidRPr="0075195E" w:rsidRDefault="00FA18EA" w:rsidP="00FA18EA">
            <w:pPr>
              <w:jc w:val="right"/>
              <w:rPr>
                <w:rFonts w:eastAsia="Times New Roman" w:cstheme="minorHAnsi"/>
                <w:sz w:val="18"/>
                <w:szCs w:val="18"/>
                <w:lang w:val="en-SG" w:eastAsia="en-SG"/>
              </w:rPr>
            </w:pPr>
            <w:r w:rsidRPr="0075195E">
              <w:rPr>
                <w:rFonts w:eastAsia="Times New Roman" w:cstheme="minorHAnsi"/>
                <w:sz w:val="18"/>
                <w:szCs w:val="18"/>
                <w:lang w:val="en-SG" w:eastAsia="en-SG"/>
              </w:rPr>
              <w:t>£'000</w:t>
            </w:r>
          </w:p>
        </w:tc>
        <w:tc>
          <w:tcPr>
            <w:tcW w:w="859" w:type="dxa"/>
            <w:tcBorders>
              <w:top w:val="nil"/>
              <w:left w:val="nil"/>
              <w:bottom w:val="single" w:sz="4" w:space="0" w:color="auto"/>
              <w:right w:val="nil"/>
            </w:tcBorders>
            <w:shd w:val="clear" w:color="000000" w:fill="FFFFFF"/>
            <w:noWrap/>
            <w:vAlign w:val="bottom"/>
            <w:hideMark/>
          </w:tcPr>
          <w:p w14:paraId="4C35ABA5" w14:textId="77777777" w:rsidR="00FA18EA" w:rsidRPr="0075195E" w:rsidRDefault="00FA18EA" w:rsidP="00FA18EA">
            <w:pPr>
              <w:jc w:val="right"/>
              <w:rPr>
                <w:rFonts w:eastAsia="Times New Roman" w:cstheme="minorHAnsi"/>
                <w:sz w:val="18"/>
                <w:szCs w:val="18"/>
                <w:lang w:val="en-SG" w:eastAsia="en-SG"/>
              </w:rPr>
            </w:pPr>
            <w:r w:rsidRPr="0075195E">
              <w:rPr>
                <w:rFonts w:eastAsia="Times New Roman" w:cstheme="minorHAnsi"/>
                <w:sz w:val="18"/>
                <w:szCs w:val="18"/>
                <w:lang w:val="en-SG" w:eastAsia="en-SG"/>
              </w:rPr>
              <w:t>£'000</w:t>
            </w:r>
          </w:p>
        </w:tc>
        <w:tc>
          <w:tcPr>
            <w:tcW w:w="1009" w:type="dxa"/>
            <w:tcBorders>
              <w:top w:val="nil"/>
              <w:left w:val="nil"/>
              <w:bottom w:val="single" w:sz="4" w:space="0" w:color="auto"/>
              <w:right w:val="nil"/>
            </w:tcBorders>
            <w:shd w:val="clear" w:color="000000" w:fill="FFFFFF"/>
            <w:noWrap/>
            <w:vAlign w:val="bottom"/>
            <w:hideMark/>
          </w:tcPr>
          <w:p w14:paraId="4206BE78" w14:textId="77777777" w:rsidR="00FA18EA" w:rsidRPr="00536A35" w:rsidRDefault="00FA18EA" w:rsidP="00FA18EA">
            <w:pPr>
              <w:jc w:val="right"/>
              <w:rPr>
                <w:rFonts w:eastAsia="Times New Roman" w:cstheme="minorHAnsi"/>
                <w:sz w:val="18"/>
                <w:szCs w:val="18"/>
                <w:lang w:val="en-SG" w:eastAsia="en-SG"/>
              </w:rPr>
            </w:pPr>
            <w:r w:rsidRPr="00536A35">
              <w:rPr>
                <w:rFonts w:eastAsia="Times New Roman" w:cstheme="minorHAnsi"/>
                <w:sz w:val="18"/>
                <w:szCs w:val="18"/>
                <w:lang w:val="en-SG" w:eastAsia="en-SG"/>
              </w:rPr>
              <w:t>£'000</w:t>
            </w:r>
          </w:p>
        </w:tc>
        <w:tc>
          <w:tcPr>
            <w:tcW w:w="1081" w:type="dxa"/>
            <w:tcBorders>
              <w:top w:val="nil"/>
              <w:left w:val="nil"/>
              <w:bottom w:val="single" w:sz="4" w:space="0" w:color="auto"/>
              <w:right w:val="nil"/>
            </w:tcBorders>
            <w:shd w:val="clear" w:color="000000" w:fill="FFFFFF"/>
            <w:noWrap/>
            <w:vAlign w:val="bottom"/>
            <w:hideMark/>
          </w:tcPr>
          <w:p w14:paraId="17C5E028" w14:textId="77777777" w:rsidR="00FA18EA" w:rsidRPr="00A02B31" w:rsidRDefault="00FA18EA" w:rsidP="00FA18EA">
            <w:pPr>
              <w:jc w:val="right"/>
              <w:rPr>
                <w:rFonts w:eastAsia="Times New Roman" w:cstheme="minorHAnsi"/>
                <w:sz w:val="18"/>
                <w:szCs w:val="18"/>
                <w:lang w:val="en-SG" w:eastAsia="en-SG"/>
              </w:rPr>
            </w:pPr>
            <w:r w:rsidRPr="00A02B31">
              <w:rPr>
                <w:rFonts w:eastAsia="Times New Roman" w:cstheme="minorHAnsi"/>
                <w:sz w:val="18"/>
                <w:szCs w:val="18"/>
                <w:lang w:val="en-SG" w:eastAsia="en-SG"/>
              </w:rPr>
              <w:t>£'000</w:t>
            </w:r>
          </w:p>
        </w:tc>
        <w:tc>
          <w:tcPr>
            <w:tcW w:w="1117" w:type="dxa"/>
            <w:tcBorders>
              <w:top w:val="nil"/>
              <w:left w:val="nil"/>
              <w:bottom w:val="single" w:sz="4" w:space="0" w:color="auto"/>
              <w:right w:val="nil"/>
            </w:tcBorders>
            <w:shd w:val="clear" w:color="000000" w:fill="FFFFFF"/>
            <w:noWrap/>
            <w:vAlign w:val="bottom"/>
            <w:hideMark/>
          </w:tcPr>
          <w:p w14:paraId="1D351ADA" w14:textId="77777777" w:rsidR="00FA18EA" w:rsidRPr="00A02B31" w:rsidRDefault="00FA18EA" w:rsidP="00FA18EA">
            <w:pPr>
              <w:jc w:val="right"/>
              <w:rPr>
                <w:rFonts w:eastAsia="Times New Roman" w:cstheme="minorHAnsi"/>
                <w:sz w:val="18"/>
                <w:szCs w:val="18"/>
                <w:lang w:val="en-SG" w:eastAsia="en-SG"/>
              </w:rPr>
            </w:pPr>
            <w:r w:rsidRPr="00A02B31">
              <w:rPr>
                <w:rFonts w:eastAsia="Times New Roman" w:cstheme="minorHAnsi"/>
                <w:sz w:val="18"/>
                <w:szCs w:val="18"/>
                <w:lang w:val="en-SG" w:eastAsia="en-SG"/>
              </w:rPr>
              <w:t>£'000</w:t>
            </w:r>
          </w:p>
        </w:tc>
        <w:tc>
          <w:tcPr>
            <w:tcW w:w="923" w:type="dxa"/>
            <w:tcBorders>
              <w:top w:val="nil"/>
              <w:left w:val="nil"/>
              <w:bottom w:val="single" w:sz="4" w:space="0" w:color="auto"/>
              <w:right w:val="nil"/>
            </w:tcBorders>
            <w:shd w:val="clear" w:color="000000" w:fill="FFFFFF"/>
            <w:noWrap/>
            <w:vAlign w:val="bottom"/>
            <w:hideMark/>
          </w:tcPr>
          <w:p w14:paraId="1953D924" w14:textId="77777777" w:rsidR="00FA18EA" w:rsidRPr="00A02B31" w:rsidRDefault="00FA18EA" w:rsidP="00FA18EA">
            <w:pPr>
              <w:jc w:val="right"/>
              <w:rPr>
                <w:rFonts w:eastAsia="Times New Roman" w:cstheme="minorHAnsi"/>
                <w:sz w:val="18"/>
                <w:szCs w:val="18"/>
                <w:lang w:val="en-SG" w:eastAsia="en-SG"/>
              </w:rPr>
            </w:pPr>
            <w:r w:rsidRPr="00A02B31">
              <w:rPr>
                <w:rFonts w:eastAsia="Times New Roman" w:cstheme="minorHAnsi"/>
                <w:sz w:val="18"/>
                <w:szCs w:val="18"/>
                <w:lang w:val="en-SG" w:eastAsia="en-SG"/>
              </w:rPr>
              <w:t>£'000</w:t>
            </w:r>
          </w:p>
        </w:tc>
      </w:tr>
      <w:tr w:rsidR="00FA18EA" w:rsidRPr="007600A7" w14:paraId="7D824671" w14:textId="77777777" w:rsidTr="00FA18EA">
        <w:trPr>
          <w:trHeight w:val="240"/>
        </w:trPr>
        <w:tc>
          <w:tcPr>
            <w:tcW w:w="3011" w:type="dxa"/>
            <w:tcBorders>
              <w:top w:val="single" w:sz="4" w:space="0" w:color="auto"/>
              <w:left w:val="nil"/>
              <w:bottom w:val="single" w:sz="4" w:space="0" w:color="auto"/>
              <w:right w:val="nil"/>
            </w:tcBorders>
            <w:shd w:val="clear" w:color="000000" w:fill="FFFFFF"/>
            <w:noWrap/>
            <w:vAlign w:val="bottom"/>
            <w:hideMark/>
          </w:tcPr>
          <w:p w14:paraId="531B1D91" w14:textId="77777777" w:rsidR="00FA18EA" w:rsidRPr="008B2DDA" w:rsidRDefault="00FA18EA" w:rsidP="00FA18EA">
            <w:pPr>
              <w:rPr>
                <w:rFonts w:eastAsia="Times New Roman" w:cstheme="minorHAnsi"/>
                <w:b/>
                <w:bCs/>
                <w:sz w:val="18"/>
                <w:szCs w:val="18"/>
                <w:lang w:val="en-SG" w:eastAsia="en-SG"/>
              </w:rPr>
            </w:pPr>
            <w:r w:rsidRPr="008B2DDA">
              <w:rPr>
                <w:rFonts w:eastAsia="Times New Roman" w:cstheme="minorHAnsi"/>
                <w:b/>
                <w:bCs/>
                <w:sz w:val="18"/>
                <w:szCs w:val="18"/>
                <w:lang w:val="en-SG" w:eastAsia="en-SG"/>
              </w:rPr>
              <w:t>Balance at 31 March 2020</w:t>
            </w:r>
          </w:p>
        </w:tc>
        <w:tc>
          <w:tcPr>
            <w:tcW w:w="992" w:type="dxa"/>
            <w:tcBorders>
              <w:top w:val="nil"/>
              <w:left w:val="nil"/>
              <w:bottom w:val="single" w:sz="4" w:space="0" w:color="auto"/>
              <w:right w:val="nil"/>
            </w:tcBorders>
            <w:shd w:val="clear" w:color="000000" w:fill="FFFFFF"/>
            <w:noWrap/>
            <w:vAlign w:val="bottom"/>
            <w:hideMark/>
          </w:tcPr>
          <w:p w14:paraId="524A15DF" w14:textId="77777777" w:rsidR="00FA18EA" w:rsidRPr="0091098D" w:rsidRDefault="00FA18EA" w:rsidP="00FA18EA">
            <w:pPr>
              <w:jc w:val="right"/>
              <w:rPr>
                <w:rFonts w:eastAsia="Times New Roman" w:cstheme="minorHAnsi"/>
                <w:b/>
                <w:bCs/>
                <w:sz w:val="18"/>
                <w:szCs w:val="18"/>
                <w:lang w:val="en-SG" w:eastAsia="en-SG"/>
              </w:rPr>
            </w:pPr>
            <w:r w:rsidRPr="000C5053">
              <w:rPr>
                <w:rFonts w:eastAsia="Times New Roman" w:cstheme="minorHAnsi"/>
                <w:b/>
                <w:bCs/>
                <w:sz w:val="18"/>
                <w:szCs w:val="18"/>
                <w:lang w:val="en-SG" w:eastAsia="en-SG"/>
              </w:rPr>
              <w:t>-</w:t>
            </w:r>
          </w:p>
        </w:tc>
        <w:tc>
          <w:tcPr>
            <w:tcW w:w="1069" w:type="dxa"/>
            <w:tcBorders>
              <w:top w:val="nil"/>
              <w:left w:val="nil"/>
              <w:bottom w:val="single" w:sz="4" w:space="0" w:color="auto"/>
              <w:right w:val="nil"/>
            </w:tcBorders>
            <w:shd w:val="clear" w:color="000000" w:fill="FFFFFF"/>
            <w:vAlign w:val="bottom"/>
          </w:tcPr>
          <w:p w14:paraId="7F35EFD0" w14:textId="77777777" w:rsidR="00FA18EA" w:rsidRPr="0075195E" w:rsidRDefault="00FA18EA" w:rsidP="00FA18EA">
            <w:pPr>
              <w:jc w:val="right"/>
              <w:rPr>
                <w:rFonts w:eastAsia="Times New Roman" w:cstheme="minorHAnsi"/>
                <w:b/>
                <w:sz w:val="18"/>
                <w:szCs w:val="18"/>
                <w:lang w:val="en-SG" w:eastAsia="en-SG"/>
              </w:rPr>
            </w:pPr>
            <w:r w:rsidRPr="0075195E">
              <w:rPr>
                <w:rFonts w:eastAsia="Times New Roman" w:cstheme="minorHAnsi"/>
                <w:b/>
                <w:sz w:val="18"/>
                <w:szCs w:val="18"/>
                <w:lang w:val="en-SG" w:eastAsia="en-SG"/>
              </w:rPr>
              <w:t>10</w:t>
            </w:r>
          </w:p>
        </w:tc>
        <w:tc>
          <w:tcPr>
            <w:tcW w:w="859" w:type="dxa"/>
            <w:tcBorders>
              <w:top w:val="nil"/>
              <w:left w:val="nil"/>
              <w:bottom w:val="single" w:sz="4" w:space="0" w:color="auto"/>
              <w:right w:val="nil"/>
            </w:tcBorders>
            <w:shd w:val="clear" w:color="000000" w:fill="FFFFFF"/>
            <w:noWrap/>
            <w:vAlign w:val="bottom"/>
            <w:hideMark/>
          </w:tcPr>
          <w:p w14:paraId="533DFCAA" w14:textId="77777777" w:rsidR="00FA18EA" w:rsidRPr="0075195E" w:rsidRDefault="00FA18EA" w:rsidP="00FA18EA">
            <w:pPr>
              <w:jc w:val="right"/>
              <w:rPr>
                <w:rFonts w:eastAsia="Times New Roman" w:cstheme="minorHAnsi"/>
                <w:b/>
                <w:bCs/>
                <w:sz w:val="18"/>
                <w:szCs w:val="18"/>
                <w:lang w:val="en-SG" w:eastAsia="en-SG"/>
              </w:rPr>
            </w:pPr>
            <w:r w:rsidRPr="0075195E">
              <w:rPr>
                <w:rFonts w:eastAsia="Times New Roman" w:cstheme="minorHAnsi"/>
                <w:b/>
                <w:bCs/>
                <w:sz w:val="18"/>
                <w:szCs w:val="18"/>
                <w:lang w:val="en-SG" w:eastAsia="en-SG"/>
              </w:rPr>
              <w:t>1,741</w:t>
            </w:r>
          </w:p>
        </w:tc>
        <w:tc>
          <w:tcPr>
            <w:tcW w:w="1009" w:type="dxa"/>
            <w:tcBorders>
              <w:top w:val="nil"/>
              <w:left w:val="nil"/>
              <w:bottom w:val="single" w:sz="4" w:space="0" w:color="auto"/>
              <w:right w:val="nil"/>
            </w:tcBorders>
            <w:shd w:val="clear" w:color="000000" w:fill="FFFFFF"/>
            <w:noWrap/>
            <w:vAlign w:val="bottom"/>
            <w:hideMark/>
          </w:tcPr>
          <w:p w14:paraId="0C12FA93" w14:textId="77777777" w:rsidR="00FA18EA" w:rsidRPr="00536A35" w:rsidRDefault="00FA18EA" w:rsidP="00FA18EA">
            <w:pPr>
              <w:jc w:val="right"/>
              <w:rPr>
                <w:rFonts w:eastAsia="Times New Roman" w:cstheme="minorHAnsi"/>
                <w:b/>
                <w:bCs/>
                <w:sz w:val="18"/>
                <w:szCs w:val="18"/>
                <w:lang w:val="en-SG" w:eastAsia="en-SG"/>
              </w:rPr>
            </w:pPr>
            <w:r w:rsidRPr="00536A35">
              <w:rPr>
                <w:rFonts w:eastAsia="Times New Roman" w:cstheme="minorHAnsi"/>
                <w:b/>
                <w:bCs/>
                <w:sz w:val="18"/>
                <w:szCs w:val="18"/>
                <w:lang w:val="en-SG" w:eastAsia="en-SG"/>
              </w:rPr>
              <w:t>13,063</w:t>
            </w:r>
          </w:p>
        </w:tc>
        <w:tc>
          <w:tcPr>
            <w:tcW w:w="1081" w:type="dxa"/>
            <w:tcBorders>
              <w:top w:val="nil"/>
              <w:left w:val="nil"/>
              <w:bottom w:val="single" w:sz="4" w:space="0" w:color="auto"/>
              <w:right w:val="nil"/>
            </w:tcBorders>
            <w:shd w:val="clear" w:color="000000" w:fill="FFFFFF"/>
            <w:noWrap/>
            <w:vAlign w:val="bottom"/>
            <w:hideMark/>
          </w:tcPr>
          <w:p w14:paraId="4F2393B2" w14:textId="77777777" w:rsidR="00FA18EA" w:rsidRPr="00A02B31" w:rsidRDefault="00FA18EA" w:rsidP="00FA18EA">
            <w:pPr>
              <w:jc w:val="right"/>
              <w:rPr>
                <w:rFonts w:eastAsia="Times New Roman" w:cstheme="minorHAnsi"/>
                <w:b/>
                <w:bCs/>
                <w:sz w:val="18"/>
                <w:szCs w:val="18"/>
                <w:lang w:val="en-SG" w:eastAsia="en-SG"/>
              </w:rPr>
            </w:pPr>
            <w:r w:rsidRPr="00A02B31">
              <w:rPr>
                <w:rFonts w:eastAsia="Times New Roman" w:cstheme="minorHAnsi"/>
                <w:b/>
                <w:bCs/>
                <w:sz w:val="18"/>
                <w:szCs w:val="18"/>
                <w:lang w:val="en-SG" w:eastAsia="en-SG"/>
              </w:rPr>
              <w:t>11,224</w:t>
            </w:r>
          </w:p>
        </w:tc>
        <w:tc>
          <w:tcPr>
            <w:tcW w:w="1117" w:type="dxa"/>
            <w:tcBorders>
              <w:top w:val="nil"/>
              <w:left w:val="nil"/>
              <w:bottom w:val="single" w:sz="4" w:space="0" w:color="auto"/>
              <w:right w:val="nil"/>
            </w:tcBorders>
            <w:shd w:val="clear" w:color="000000" w:fill="FFFFFF"/>
            <w:noWrap/>
            <w:vAlign w:val="bottom"/>
            <w:hideMark/>
          </w:tcPr>
          <w:p w14:paraId="22E5F9A5" w14:textId="77777777" w:rsidR="00FA18EA" w:rsidRPr="00A02B31" w:rsidRDefault="00FA18EA" w:rsidP="00FA18EA">
            <w:pPr>
              <w:jc w:val="right"/>
              <w:rPr>
                <w:rFonts w:eastAsia="Times New Roman" w:cstheme="minorHAnsi"/>
                <w:b/>
                <w:bCs/>
                <w:sz w:val="18"/>
                <w:szCs w:val="18"/>
                <w:lang w:val="en-SG" w:eastAsia="en-SG"/>
              </w:rPr>
            </w:pPr>
            <w:r w:rsidRPr="00A02B31">
              <w:rPr>
                <w:rFonts w:eastAsia="Times New Roman" w:cstheme="minorHAnsi"/>
                <w:b/>
                <w:bCs/>
                <w:sz w:val="18"/>
                <w:szCs w:val="18"/>
                <w:lang w:val="en-SG" w:eastAsia="en-SG"/>
              </w:rPr>
              <w:t>10,874</w:t>
            </w:r>
          </w:p>
        </w:tc>
        <w:tc>
          <w:tcPr>
            <w:tcW w:w="923" w:type="dxa"/>
            <w:tcBorders>
              <w:top w:val="nil"/>
              <w:left w:val="nil"/>
              <w:bottom w:val="single" w:sz="4" w:space="0" w:color="auto"/>
              <w:right w:val="nil"/>
            </w:tcBorders>
            <w:shd w:val="clear" w:color="000000" w:fill="FFFFFF"/>
            <w:noWrap/>
            <w:vAlign w:val="bottom"/>
            <w:hideMark/>
          </w:tcPr>
          <w:p w14:paraId="6BA6EA95" w14:textId="77777777" w:rsidR="00FA18EA" w:rsidRPr="00A02B31" w:rsidRDefault="00FA18EA" w:rsidP="00FA18EA">
            <w:pPr>
              <w:jc w:val="right"/>
              <w:rPr>
                <w:rFonts w:eastAsia="Times New Roman" w:cstheme="minorHAnsi"/>
                <w:b/>
                <w:bCs/>
                <w:sz w:val="18"/>
                <w:szCs w:val="18"/>
                <w:lang w:val="en-SG" w:eastAsia="en-SG"/>
              </w:rPr>
            </w:pPr>
            <w:r w:rsidRPr="00A02B31">
              <w:rPr>
                <w:rFonts w:eastAsia="Times New Roman" w:cstheme="minorHAnsi"/>
                <w:b/>
                <w:bCs/>
                <w:sz w:val="18"/>
                <w:szCs w:val="18"/>
                <w:lang w:val="en-SG" w:eastAsia="en-SG"/>
              </w:rPr>
              <w:t>36,912</w:t>
            </w:r>
          </w:p>
        </w:tc>
      </w:tr>
      <w:tr w:rsidR="00FA18EA" w:rsidRPr="007600A7" w14:paraId="7474097B" w14:textId="77777777" w:rsidTr="00FA18EA">
        <w:trPr>
          <w:trHeight w:val="240"/>
        </w:trPr>
        <w:tc>
          <w:tcPr>
            <w:tcW w:w="3011" w:type="dxa"/>
            <w:tcBorders>
              <w:top w:val="nil"/>
              <w:left w:val="nil"/>
              <w:bottom w:val="nil"/>
              <w:right w:val="nil"/>
            </w:tcBorders>
            <w:shd w:val="clear" w:color="000000" w:fill="FFFFFF"/>
            <w:noWrap/>
            <w:vAlign w:val="bottom"/>
            <w:hideMark/>
          </w:tcPr>
          <w:p w14:paraId="09D5680C" w14:textId="77777777" w:rsidR="00FA18EA" w:rsidRPr="008B2DDA" w:rsidRDefault="00FA18EA" w:rsidP="00FA18EA">
            <w:pPr>
              <w:rPr>
                <w:rFonts w:eastAsia="Times New Roman" w:cstheme="minorHAnsi"/>
                <w:sz w:val="18"/>
                <w:szCs w:val="18"/>
                <w:lang w:val="en-SG" w:eastAsia="en-SG"/>
              </w:rPr>
            </w:pPr>
            <w:r w:rsidRPr="008B2DDA">
              <w:rPr>
                <w:rFonts w:eastAsia="Times New Roman" w:cstheme="minorHAnsi"/>
                <w:sz w:val="18"/>
                <w:szCs w:val="18"/>
                <w:lang w:val="en-SG" w:eastAsia="en-SG"/>
              </w:rPr>
              <w:t> </w:t>
            </w:r>
          </w:p>
        </w:tc>
        <w:tc>
          <w:tcPr>
            <w:tcW w:w="992" w:type="dxa"/>
            <w:tcBorders>
              <w:top w:val="nil"/>
              <w:left w:val="nil"/>
              <w:bottom w:val="nil"/>
              <w:right w:val="nil"/>
            </w:tcBorders>
            <w:shd w:val="clear" w:color="000000" w:fill="FFFFFF"/>
            <w:noWrap/>
            <w:vAlign w:val="bottom"/>
            <w:hideMark/>
          </w:tcPr>
          <w:p w14:paraId="5B0545BC" w14:textId="77777777" w:rsidR="00FA18EA" w:rsidRPr="0091098D" w:rsidRDefault="00FA18EA" w:rsidP="00FA18EA">
            <w:pPr>
              <w:rPr>
                <w:rFonts w:eastAsia="Times New Roman" w:cstheme="minorHAnsi"/>
                <w:sz w:val="18"/>
                <w:szCs w:val="18"/>
                <w:lang w:val="en-SG" w:eastAsia="en-SG"/>
              </w:rPr>
            </w:pPr>
            <w:r w:rsidRPr="000C5053">
              <w:rPr>
                <w:rFonts w:eastAsia="Times New Roman" w:cstheme="minorHAnsi"/>
                <w:sz w:val="18"/>
                <w:szCs w:val="18"/>
                <w:lang w:val="en-SG" w:eastAsia="en-SG"/>
              </w:rPr>
              <w:t> </w:t>
            </w:r>
          </w:p>
        </w:tc>
        <w:tc>
          <w:tcPr>
            <w:tcW w:w="1069" w:type="dxa"/>
            <w:tcBorders>
              <w:top w:val="nil"/>
              <w:left w:val="nil"/>
              <w:bottom w:val="nil"/>
              <w:right w:val="nil"/>
            </w:tcBorders>
            <w:shd w:val="clear" w:color="000000" w:fill="FFFFFF"/>
            <w:vAlign w:val="bottom"/>
          </w:tcPr>
          <w:p w14:paraId="74513208" w14:textId="77777777" w:rsidR="00FA18EA" w:rsidRPr="0075195E" w:rsidRDefault="00FA18EA" w:rsidP="00FA18EA">
            <w:pPr>
              <w:jc w:val="right"/>
              <w:rPr>
                <w:rFonts w:eastAsia="Times New Roman" w:cstheme="minorHAnsi"/>
                <w:sz w:val="18"/>
                <w:szCs w:val="18"/>
                <w:lang w:val="en-SG" w:eastAsia="en-SG"/>
              </w:rPr>
            </w:pPr>
            <w:r w:rsidRPr="0075195E">
              <w:rPr>
                <w:rFonts w:eastAsia="Times New Roman" w:cstheme="minorHAnsi"/>
                <w:sz w:val="18"/>
                <w:szCs w:val="18"/>
                <w:lang w:val="en-SG" w:eastAsia="en-SG"/>
              </w:rPr>
              <w:t> </w:t>
            </w:r>
          </w:p>
        </w:tc>
        <w:tc>
          <w:tcPr>
            <w:tcW w:w="859" w:type="dxa"/>
            <w:tcBorders>
              <w:top w:val="nil"/>
              <w:left w:val="nil"/>
              <w:bottom w:val="nil"/>
              <w:right w:val="nil"/>
            </w:tcBorders>
            <w:shd w:val="clear" w:color="000000" w:fill="FFFFFF"/>
            <w:noWrap/>
            <w:vAlign w:val="bottom"/>
            <w:hideMark/>
          </w:tcPr>
          <w:p w14:paraId="69F95CF5" w14:textId="77777777" w:rsidR="00FA18EA" w:rsidRPr="0075195E" w:rsidRDefault="00FA18EA" w:rsidP="00FA18EA">
            <w:pPr>
              <w:rPr>
                <w:rFonts w:eastAsia="Times New Roman" w:cstheme="minorHAnsi"/>
                <w:sz w:val="18"/>
                <w:szCs w:val="18"/>
                <w:lang w:val="en-SG" w:eastAsia="en-SG"/>
              </w:rPr>
            </w:pPr>
            <w:r w:rsidRPr="0075195E">
              <w:rPr>
                <w:rFonts w:eastAsia="Times New Roman" w:cstheme="minorHAnsi"/>
                <w:sz w:val="18"/>
                <w:szCs w:val="18"/>
                <w:lang w:val="en-SG" w:eastAsia="en-SG"/>
              </w:rPr>
              <w:t> </w:t>
            </w:r>
          </w:p>
        </w:tc>
        <w:tc>
          <w:tcPr>
            <w:tcW w:w="1009" w:type="dxa"/>
            <w:tcBorders>
              <w:top w:val="nil"/>
              <w:left w:val="nil"/>
              <w:bottom w:val="nil"/>
              <w:right w:val="nil"/>
            </w:tcBorders>
            <w:shd w:val="clear" w:color="000000" w:fill="FFFFFF"/>
            <w:noWrap/>
            <w:vAlign w:val="bottom"/>
            <w:hideMark/>
          </w:tcPr>
          <w:p w14:paraId="1E700D2E" w14:textId="77777777" w:rsidR="00FA18EA" w:rsidRPr="00536A35" w:rsidRDefault="00FA18EA" w:rsidP="00FA18EA">
            <w:pPr>
              <w:rPr>
                <w:rFonts w:eastAsia="Times New Roman" w:cstheme="minorHAnsi"/>
                <w:sz w:val="18"/>
                <w:szCs w:val="18"/>
                <w:lang w:val="en-SG" w:eastAsia="en-SG"/>
              </w:rPr>
            </w:pPr>
            <w:r w:rsidRPr="00536A35">
              <w:rPr>
                <w:rFonts w:eastAsia="Times New Roman" w:cstheme="minorHAnsi"/>
                <w:sz w:val="18"/>
                <w:szCs w:val="18"/>
                <w:lang w:val="en-SG" w:eastAsia="en-SG"/>
              </w:rPr>
              <w:t> </w:t>
            </w:r>
          </w:p>
        </w:tc>
        <w:tc>
          <w:tcPr>
            <w:tcW w:w="1081" w:type="dxa"/>
            <w:tcBorders>
              <w:top w:val="nil"/>
              <w:left w:val="nil"/>
              <w:bottom w:val="nil"/>
              <w:right w:val="nil"/>
            </w:tcBorders>
            <w:shd w:val="clear" w:color="000000" w:fill="FFFFFF"/>
            <w:noWrap/>
            <w:vAlign w:val="bottom"/>
            <w:hideMark/>
          </w:tcPr>
          <w:p w14:paraId="4BB65FF2" w14:textId="77777777" w:rsidR="00FA18EA" w:rsidRPr="00A02B31" w:rsidRDefault="00FA18EA" w:rsidP="00FA18EA">
            <w:pPr>
              <w:rPr>
                <w:rFonts w:eastAsia="Times New Roman" w:cstheme="minorHAnsi"/>
                <w:sz w:val="18"/>
                <w:szCs w:val="18"/>
                <w:lang w:val="en-SG" w:eastAsia="en-SG"/>
              </w:rPr>
            </w:pPr>
            <w:r w:rsidRPr="00A02B31">
              <w:rPr>
                <w:rFonts w:eastAsia="Times New Roman" w:cstheme="minorHAnsi"/>
                <w:sz w:val="18"/>
                <w:szCs w:val="18"/>
                <w:lang w:val="en-SG" w:eastAsia="en-SG"/>
              </w:rPr>
              <w:t> </w:t>
            </w:r>
          </w:p>
        </w:tc>
        <w:tc>
          <w:tcPr>
            <w:tcW w:w="1117" w:type="dxa"/>
            <w:tcBorders>
              <w:top w:val="nil"/>
              <w:left w:val="nil"/>
              <w:bottom w:val="nil"/>
              <w:right w:val="nil"/>
            </w:tcBorders>
            <w:shd w:val="clear" w:color="000000" w:fill="FFFFFF"/>
            <w:noWrap/>
            <w:vAlign w:val="bottom"/>
            <w:hideMark/>
          </w:tcPr>
          <w:p w14:paraId="2E8BB6A2" w14:textId="77777777" w:rsidR="00FA18EA" w:rsidRPr="00A02B31" w:rsidRDefault="00FA18EA" w:rsidP="00FA18EA">
            <w:pPr>
              <w:rPr>
                <w:rFonts w:eastAsia="Times New Roman" w:cstheme="minorHAnsi"/>
                <w:sz w:val="18"/>
                <w:szCs w:val="18"/>
                <w:lang w:val="en-SG" w:eastAsia="en-SG"/>
              </w:rPr>
            </w:pPr>
            <w:r w:rsidRPr="00A02B31">
              <w:rPr>
                <w:rFonts w:eastAsia="Times New Roman" w:cstheme="minorHAnsi"/>
                <w:sz w:val="18"/>
                <w:szCs w:val="18"/>
                <w:lang w:val="en-SG" w:eastAsia="en-SG"/>
              </w:rPr>
              <w:t> </w:t>
            </w:r>
          </w:p>
        </w:tc>
        <w:tc>
          <w:tcPr>
            <w:tcW w:w="923" w:type="dxa"/>
            <w:tcBorders>
              <w:top w:val="nil"/>
              <w:left w:val="nil"/>
              <w:bottom w:val="nil"/>
              <w:right w:val="nil"/>
            </w:tcBorders>
            <w:shd w:val="clear" w:color="000000" w:fill="FFFFFF"/>
            <w:noWrap/>
            <w:vAlign w:val="bottom"/>
            <w:hideMark/>
          </w:tcPr>
          <w:p w14:paraId="40EA3806" w14:textId="77777777" w:rsidR="00FA18EA" w:rsidRPr="00A02B31" w:rsidRDefault="00FA18EA" w:rsidP="00FA18EA">
            <w:pPr>
              <w:rPr>
                <w:rFonts w:eastAsia="Times New Roman" w:cstheme="minorHAnsi"/>
                <w:sz w:val="18"/>
                <w:szCs w:val="18"/>
                <w:lang w:val="en-SG" w:eastAsia="en-SG"/>
              </w:rPr>
            </w:pPr>
            <w:r w:rsidRPr="00A02B31">
              <w:rPr>
                <w:rFonts w:eastAsia="Times New Roman" w:cstheme="minorHAnsi"/>
                <w:sz w:val="18"/>
                <w:szCs w:val="18"/>
                <w:lang w:val="en-SG" w:eastAsia="en-SG"/>
              </w:rPr>
              <w:t> </w:t>
            </w:r>
          </w:p>
        </w:tc>
      </w:tr>
      <w:tr w:rsidR="00FA18EA" w:rsidRPr="007600A7" w14:paraId="064398B4" w14:textId="77777777" w:rsidTr="00FA18EA">
        <w:trPr>
          <w:trHeight w:val="240"/>
        </w:trPr>
        <w:tc>
          <w:tcPr>
            <w:tcW w:w="3011" w:type="dxa"/>
            <w:tcBorders>
              <w:top w:val="nil"/>
              <w:left w:val="nil"/>
              <w:bottom w:val="nil"/>
              <w:right w:val="nil"/>
            </w:tcBorders>
            <w:shd w:val="clear" w:color="000000" w:fill="FFFFFF"/>
            <w:noWrap/>
            <w:vAlign w:val="bottom"/>
            <w:hideMark/>
          </w:tcPr>
          <w:p w14:paraId="229CA294" w14:textId="77777777" w:rsidR="00FA18EA" w:rsidRPr="008B2DDA" w:rsidRDefault="00FA18EA" w:rsidP="00FA18EA">
            <w:pPr>
              <w:rPr>
                <w:rFonts w:eastAsia="Times New Roman" w:cstheme="minorHAnsi"/>
                <w:sz w:val="18"/>
                <w:szCs w:val="18"/>
                <w:lang w:val="en-SG" w:eastAsia="en-SG"/>
              </w:rPr>
            </w:pPr>
            <w:r w:rsidRPr="008B2DDA">
              <w:rPr>
                <w:rFonts w:eastAsia="Times New Roman" w:cstheme="minorHAnsi"/>
                <w:sz w:val="18"/>
                <w:szCs w:val="18"/>
                <w:lang w:val="en-SG" w:eastAsia="en-SG"/>
              </w:rPr>
              <w:t xml:space="preserve">Profit and total comprehensive </w:t>
            </w:r>
          </w:p>
        </w:tc>
        <w:tc>
          <w:tcPr>
            <w:tcW w:w="992" w:type="dxa"/>
            <w:tcBorders>
              <w:top w:val="nil"/>
              <w:left w:val="nil"/>
              <w:bottom w:val="nil"/>
              <w:right w:val="nil"/>
            </w:tcBorders>
            <w:shd w:val="clear" w:color="000000" w:fill="FFFFFF"/>
            <w:noWrap/>
            <w:vAlign w:val="bottom"/>
            <w:hideMark/>
          </w:tcPr>
          <w:p w14:paraId="6E15DB02" w14:textId="77777777" w:rsidR="00FA18EA" w:rsidRPr="0091098D" w:rsidRDefault="00FA18EA" w:rsidP="00FA18EA">
            <w:pPr>
              <w:rPr>
                <w:rFonts w:eastAsia="Times New Roman" w:cstheme="minorHAnsi"/>
                <w:sz w:val="18"/>
                <w:szCs w:val="18"/>
                <w:lang w:val="en-SG" w:eastAsia="en-SG"/>
              </w:rPr>
            </w:pPr>
            <w:r w:rsidRPr="000C5053">
              <w:rPr>
                <w:rFonts w:eastAsia="Times New Roman" w:cstheme="minorHAnsi"/>
                <w:sz w:val="18"/>
                <w:szCs w:val="18"/>
                <w:lang w:val="en-SG" w:eastAsia="en-SG"/>
              </w:rPr>
              <w:t> </w:t>
            </w:r>
          </w:p>
        </w:tc>
        <w:tc>
          <w:tcPr>
            <w:tcW w:w="1069" w:type="dxa"/>
            <w:tcBorders>
              <w:top w:val="nil"/>
              <w:left w:val="nil"/>
              <w:bottom w:val="nil"/>
              <w:right w:val="nil"/>
            </w:tcBorders>
            <w:shd w:val="clear" w:color="000000" w:fill="FFFFFF"/>
            <w:vAlign w:val="bottom"/>
          </w:tcPr>
          <w:p w14:paraId="577FD45C" w14:textId="77777777" w:rsidR="00FA18EA" w:rsidRPr="0075195E" w:rsidRDefault="00FA18EA" w:rsidP="00FA18EA">
            <w:pPr>
              <w:jc w:val="right"/>
              <w:rPr>
                <w:rFonts w:eastAsia="Times New Roman" w:cstheme="minorHAnsi"/>
                <w:sz w:val="18"/>
                <w:szCs w:val="18"/>
                <w:lang w:val="en-SG" w:eastAsia="en-SG"/>
              </w:rPr>
            </w:pPr>
            <w:r w:rsidRPr="0075195E">
              <w:rPr>
                <w:rFonts w:eastAsia="Times New Roman" w:cstheme="minorHAnsi"/>
                <w:sz w:val="18"/>
                <w:szCs w:val="18"/>
                <w:lang w:val="en-SG" w:eastAsia="en-SG"/>
              </w:rPr>
              <w:t> </w:t>
            </w:r>
          </w:p>
        </w:tc>
        <w:tc>
          <w:tcPr>
            <w:tcW w:w="859" w:type="dxa"/>
            <w:tcBorders>
              <w:top w:val="nil"/>
              <w:left w:val="nil"/>
              <w:bottom w:val="nil"/>
              <w:right w:val="nil"/>
            </w:tcBorders>
            <w:shd w:val="clear" w:color="000000" w:fill="FFFFFF"/>
            <w:noWrap/>
            <w:vAlign w:val="bottom"/>
            <w:hideMark/>
          </w:tcPr>
          <w:p w14:paraId="5E02B858" w14:textId="77777777" w:rsidR="00FA18EA" w:rsidRPr="0075195E" w:rsidRDefault="00FA18EA" w:rsidP="00FA18EA">
            <w:pPr>
              <w:rPr>
                <w:rFonts w:eastAsia="Times New Roman" w:cstheme="minorHAnsi"/>
                <w:sz w:val="18"/>
                <w:szCs w:val="18"/>
                <w:lang w:val="en-SG" w:eastAsia="en-SG"/>
              </w:rPr>
            </w:pPr>
            <w:r w:rsidRPr="0075195E">
              <w:rPr>
                <w:rFonts w:eastAsia="Times New Roman" w:cstheme="minorHAnsi"/>
                <w:sz w:val="18"/>
                <w:szCs w:val="18"/>
                <w:lang w:val="en-SG" w:eastAsia="en-SG"/>
              </w:rPr>
              <w:t> </w:t>
            </w:r>
          </w:p>
        </w:tc>
        <w:tc>
          <w:tcPr>
            <w:tcW w:w="1009" w:type="dxa"/>
            <w:tcBorders>
              <w:top w:val="nil"/>
              <w:left w:val="nil"/>
              <w:bottom w:val="nil"/>
              <w:right w:val="nil"/>
            </w:tcBorders>
            <w:shd w:val="clear" w:color="000000" w:fill="FFFFFF"/>
            <w:noWrap/>
            <w:vAlign w:val="bottom"/>
            <w:hideMark/>
          </w:tcPr>
          <w:p w14:paraId="2966E987" w14:textId="77777777" w:rsidR="00FA18EA" w:rsidRPr="00536A35" w:rsidRDefault="00FA18EA" w:rsidP="00FA18EA">
            <w:pPr>
              <w:rPr>
                <w:rFonts w:eastAsia="Times New Roman" w:cstheme="minorHAnsi"/>
                <w:sz w:val="18"/>
                <w:szCs w:val="18"/>
                <w:lang w:val="en-SG" w:eastAsia="en-SG"/>
              </w:rPr>
            </w:pPr>
            <w:r w:rsidRPr="00536A35">
              <w:rPr>
                <w:rFonts w:eastAsia="Times New Roman" w:cstheme="minorHAnsi"/>
                <w:sz w:val="18"/>
                <w:szCs w:val="18"/>
                <w:lang w:val="en-SG" w:eastAsia="en-SG"/>
              </w:rPr>
              <w:t> </w:t>
            </w:r>
          </w:p>
        </w:tc>
        <w:tc>
          <w:tcPr>
            <w:tcW w:w="1081" w:type="dxa"/>
            <w:tcBorders>
              <w:top w:val="nil"/>
              <w:left w:val="nil"/>
              <w:bottom w:val="nil"/>
              <w:right w:val="nil"/>
            </w:tcBorders>
            <w:shd w:val="clear" w:color="000000" w:fill="FFFFFF"/>
            <w:noWrap/>
            <w:vAlign w:val="bottom"/>
            <w:hideMark/>
          </w:tcPr>
          <w:p w14:paraId="6C19A68C" w14:textId="77777777" w:rsidR="00FA18EA" w:rsidRPr="00A02B31" w:rsidRDefault="00FA18EA" w:rsidP="00FA18EA">
            <w:pPr>
              <w:rPr>
                <w:rFonts w:eastAsia="Times New Roman" w:cstheme="minorHAnsi"/>
                <w:sz w:val="18"/>
                <w:szCs w:val="18"/>
                <w:lang w:val="en-SG" w:eastAsia="en-SG"/>
              </w:rPr>
            </w:pPr>
            <w:r w:rsidRPr="00A02B31">
              <w:rPr>
                <w:rFonts w:eastAsia="Times New Roman" w:cstheme="minorHAnsi"/>
                <w:sz w:val="18"/>
                <w:szCs w:val="18"/>
                <w:lang w:val="en-SG" w:eastAsia="en-SG"/>
              </w:rPr>
              <w:t> </w:t>
            </w:r>
          </w:p>
        </w:tc>
        <w:tc>
          <w:tcPr>
            <w:tcW w:w="1117" w:type="dxa"/>
            <w:tcBorders>
              <w:top w:val="nil"/>
              <w:left w:val="nil"/>
              <w:bottom w:val="nil"/>
              <w:right w:val="nil"/>
            </w:tcBorders>
            <w:shd w:val="clear" w:color="000000" w:fill="FFFFFF"/>
            <w:noWrap/>
            <w:vAlign w:val="bottom"/>
            <w:hideMark/>
          </w:tcPr>
          <w:p w14:paraId="2F174624" w14:textId="77777777" w:rsidR="00FA18EA" w:rsidRPr="00A02B31" w:rsidRDefault="00FA18EA" w:rsidP="00FA18EA">
            <w:pPr>
              <w:rPr>
                <w:rFonts w:eastAsia="Times New Roman" w:cstheme="minorHAnsi"/>
                <w:sz w:val="18"/>
                <w:szCs w:val="18"/>
                <w:lang w:val="en-SG" w:eastAsia="en-SG"/>
              </w:rPr>
            </w:pPr>
            <w:r w:rsidRPr="00A02B31">
              <w:rPr>
                <w:rFonts w:eastAsia="Times New Roman" w:cstheme="minorHAnsi"/>
                <w:sz w:val="18"/>
                <w:szCs w:val="18"/>
                <w:lang w:val="en-SG" w:eastAsia="en-SG"/>
              </w:rPr>
              <w:t> </w:t>
            </w:r>
          </w:p>
        </w:tc>
        <w:tc>
          <w:tcPr>
            <w:tcW w:w="923" w:type="dxa"/>
            <w:tcBorders>
              <w:top w:val="nil"/>
              <w:left w:val="nil"/>
              <w:bottom w:val="nil"/>
              <w:right w:val="nil"/>
            </w:tcBorders>
            <w:shd w:val="clear" w:color="000000" w:fill="FFFFFF"/>
            <w:noWrap/>
            <w:vAlign w:val="bottom"/>
            <w:hideMark/>
          </w:tcPr>
          <w:p w14:paraId="2AEAA188" w14:textId="77777777" w:rsidR="00FA18EA" w:rsidRPr="00A02B31" w:rsidRDefault="00FA18EA" w:rsidP="00FA18EA">
            <w:pPr>
              <w:rPr>
                <w:rFonts w:eastAsia="Times New Roman" w:cstheme="minorHAnsi"/>
                <w:sz w:val="18"/>
                <w:szCs w:val="18"/>
                <w:lang w:val="en-SG" w:eastAsia="en-SG"/>
              </w:rPr>
            </w:pPr>
            <w:r w:rsidRPr="00A02B31">
              <w:rPr>
                <w:rFonts w:eastAsia="Times New Roman" w:cstheme="minorHAnsi"/>
                <w:sz w:val="18"/>
                <w:szCs w:val="18"/>
                <w:lang w:val="en-SG" w:eastAsia="en-SG"/>
              </w:rPr>
              <w:t> </w:t>
            </w:r>
          </w:p>
        </w:tc>
      </w:tr>
      <w:tr w:rsidR="00FA18EA" w:rsidRPr="007600A7" w14:paraId="1B126F4B" w14:textId="77777777" w:rsidTr="00FA18EA">
        <w:trPr>
          <w:trHeight w:val="240"/>
        </w:trPr>
        <w:tc>
          <w:tcPr>
            <w:tcW w:w="3011" w:type="dxa"/>
            <w:tcBorders>
              <w:top w:val="nil"/>
              <w:left w:val="nil"/>
              <w:bottom w:val="single" w:sz="4" w:space="0" w:color="auto"/>
              <w:right w:val="nil"/>
            </w:tcBorders>
            <w:shd w:val="clear" w:color="000000" w:fill="FFFFFF"/>
            <w:noWrap/>
            <w:vAlign w:val="bottom"/>
            <w:hideMark/>
          </w:tcPr>
          <w:p w14:paraId="6A45F101" w14:textId="77777777" w:rsidR="00FA18EA" w:rsidRPr="008B2DDA" w:rsidRDefault="00FA18EA" w:rsidP="00FA18EA">
            <w:pPr>
              <w:rPr>
                <w:rFonts w:eastAsia="Times New Roman" w:cstheme="minorHAnsi"/>
                <w:sz w:val="18"/>
                <w:szCs w:val="18"/>
                <w:lang w:val="en-SG" w:eastAsia="en-SG"/>
              </w:rPr>
            </w:pPr>
            <w:r w:rsidRPr="008B2DDA">
              <w:rPr>
                <w:rFonts w:eastAsia="Times New Roman" w:cstheme="minorHAnsi"/>
                <w:sz w:val="18"/>
                <w:szCs w:val="18"/>
                <w:lang w:val="en-SG" w:eastAsia="en-SG"/>
              </w:rPr>
              <w:t>income for the year</w:t>
            </w:r>
          </w:p>
        </w:tc>
        <w:tc>
          <w:tcPr>
            <w:tcW w:w="992" w:type="dxa"/>
            <w:tcBorders>
              <w:top w:val="nil"/>
              <w:left w:val="nil"/>
              <w:bottom w:val="single" w:sz="4" w:space="0" w:color="auto"/>
              <w:right w:val="nil"/>
            </w:tcBorders>
            <w:shd w:val="clear" w:color="000000" w:fill="FFFFFF"/>
            <w:noWrap/>
            <w:vAlign w:val="bottom"/>
            <w:hideMark/>
          </w:tcPr>
          <w:p w14:paraId="183B955F" w14:textId="77777777" w:rsidR="00FA18EA" w:rsidRPr="0091098D" w:rsidRDefault="00FA18EA" w:rsidP="00FA18EA">
            <w:pPr>
              <w:jc w:val="right"/>
              <w:rPr>
                <w:rFonts w:eastAsia="Times New Roman" w:cstheme="minorHAnsi"/>
                <w:sz w:val="18"/>
                <w:szCs w:val="18"/>
                <w:lang w:val="en-SG" w:eastAsia="en-SG"/>
              </w:rPr>
            </w:pPr>
            <w:r w:rsidRPr="000C5053">
              <w:rPr>
                <w:rFonts w:eastAsia="Times New Roman" w:cstheme="minorHAnsi"/>
                <w:sz w:val="18"/>
                <w:szCs w:val="18"/>
                <w:lang w:val="en-SG" w:eastAsia="en-SG"/>
              </w:rPr>
              <w:t>-</w:t>
            </w:r>
          </w:p>
        </w:tc>
        <w:tc>
          <w:tcPr>
            <w:tcW w:w="1069" w:type="dxa"/>
            <w:tcBorders>
              <w:top w:val="nil"/>
              <w:left w:val="nil"/>
              <w:bottom w:val="single" w:sz="4" w:space="0" w:color="auto"/>
              <w:right w:val="nil"/>
            </w:tcBorders>
            <w:shd w:val="clear" w:color="000000" w:fill="FFFFFF"/>
            <w:vAlign w:val="bottom"/>
          </w:tcPr>
          <w:p w14:paraId="40DE2777" w14:textId="77777777" w:rsidR="00FA18EA" w:rsidRPr="0075195E" w:rsidRDefault="00FA18EA" w:rsidP="00FA18EA">
            <w:pPr>
              <w:jc w:val="right"/>
              <w:rPr>
                <w:rFonts w:eastAsia="Times New Roman" w:cstheme="minorHAnsi"/>
                <w:sz w:val="18"/>
                <w:szCs w:val="18"/>
                <w:lang w:val="en-SG" w:eastAsia="en-SG"/>
              </w:rPr>
            </w:pPr>
            <w:r w:rsidRPr="0075195E">
              <w:rPr>
                <w:rFonts w:eastAsia="Times New Roman" w:cstheme="minorHAnsi"/>
                <w:sz w:val="18"/>
                <w:szCs w:val="18"/>
                <w:lang w:val="en-SG" w:eastAsia="en-SG"/>
              </w:rPr>
              <w:t>-</w:t>
            </w:r>
          </w:p>
        </w:tc>
        <w:tc>
          <w:tcPr>
            <w:tcW w:w="859" w:type="dxa"/>
            <w:tcBorders>
              <w:top w:val="nil"/>
              <w:left w:val="nil"/>
              <w:bottom w:val="single" w:sz="4" w:space="0" w:color="auto"/>
              <w:right w:val="nil"/>
            </w:tcBorders>
            <w:shd w:val="clear" w:color="000000" w:fill="FFFFFF"/>
            <w:noWrap/>
            <w:vAlign w:val="bottom"/>
            <w:hideMark/>
          </w:tcPr>
          <w:p w14:paraId="259CE4C9" w14:textId="77777777" w:rsidR="00FA18EA" w:rsidRPr="0075195E" w:rsidRDefault="00FA18EA" w:rsidP="00FA18EA">
            <w:pPr>
              <w:jc w:val="right"/>
              <w:rPr>
                <w:rFonts w:eastAsia="Times New Roman" w:cstheme="minorHAnsi"/>
                <w:sz w:val="18"/>
                <w:szCs w:val="18"/>
                <w:lang w:val="en-SG" w:eastAsia="en-SG"/>
              </w:rPr>
            </w:pPr>
            <w:r w:rsidRPr="0075195E">
              <w:rPr>
                <w:rFonts w:eastAsia="Times New Roman" w:cstheme="minorHAnsi"/>
                <w:sz w:val="18"/>
                <w:szCs w:val="18"/>
                <w:lang w:val="en-SG" w:eastAsia="en-SG"/>
              </w:rPr>
              <w:t>-</w:t>
            </w:r>
          </w:p>
        </w:tc>
        <w:tc>
          <w:tcPr>
            <w:tcW w:w="1009" w:type="dxa"/>
            <w:tcBorders>
              <w:top w:val="nil"/>
              <w:left w:val="nil"/>
              <w:bottom w:val="single" w:sz="4" w:space="0" w:color="auto"/>
              <w:right w:val="nil"/>
            </w:tcBorders>
            <w:shd w:val="clear" w:color="000000" w:fill="FFFFFF"/>
            <w:noWrap/>
            <w:vAlign w:val="bottom"/>
            <w:hideMark/>
          </w:tcPr>
          <w:p w14:paraId="0F01C3B8" w14:textId="77777777" w:rsidR="00FA18EA" w:rsidRPr="00536A35" w:rsidRDefault="00FA18EA" w:rsidP="00FA18EA">
            <w:pPr>
              <w:jc w:val="right"/>
              <w:rPr>
                <w:rFonts w:eastAsia="Times New Roman" w:cstheme="minorHAnsi"/>
                <w:sz w:val="18"/>
                <w:szCs w:val="18"/>
                <w:lang w:val="en-SG" w:eastAsia="en-SG"/>
              </w:rPr>
            </w:pPr>
            <w:r w:rsidRPr="00536A35">
              <w:rPr>
                <w:rFonts w:eastAsia="Times New Roman" w:cstheme="minorHAnsi"/>
                <w:sz w:val="18"/>
                <w:szCs w:val="18"/>
                <w:lang w:val="en-SG" w:eastAsia="en-SG"/>
              </w:rPr>
              <w:t>-</w:t>
            </w:r>
          </w:p>
        </w:tc>
        <w:tc>
          <w:tcPr>
            <w:tcW w:w="1081" w:type="dxa"/>
            <w:tcBorders>
              <w:top w:val="nil"/>
              <w:left w:val="nil"/>
              <w:bottom w:val="single" w:sz="4" w:space="0" w:color="auto"/>
              <w:right w:val="nil"/>
            </w:tcBorders>
            <w:shd w:val="clear" w:color="000000" w:fill="FFFFFF"/>
            <w:noWrap/>
            <w:vAlign w:val="bottom"/>
            <w:hideMark/>
          </w:tcPr>
          <w:p w14:paraId="51BE355F" w14:textId="77777777" w:rsidR="00FA18EA" w:rsidRPr="00A02B31" w:rsidRDefault="00FA18EA" w:rsidP="00FA18EA">
            <w:pPr>
              <w:jc w:val="right"/>
              <w:rPr>
                <w:rFonts w:eastAsia="Times New Roman" w:cstheme="minorHAnsi"/>
                <w:sz w:val="18"/>
                <w:szCs w:val="18"/>
                <w:lang w:val="en-SG" w:eastAsia="en-SG"/>
              </w:rPr>
            </w:pPr>
            <w:r w:rsidRPr="00A02B31">
              <w:rPr>
                <w:rFonts w:eastAsia="Times New Roman" w:cstheme="minorHAnsi"/>
                <w:sz w:val="18"/>
                <w:szCs w:val="18"/>
                <w:lang w:val="en-SG" w:eastAsia="en-SG"/>
              </w:rPr>
              <w:t>16,612</w:t>
            </w:r>
          </w:p>
        </w:tc>
        <w:tc>
          <w:tcPr>
            <w:tcW w:w="1117" w:type="dxa"/>
            <w:tcBorders>
              <w:top w:val="nil"/>
              <w:left w:val="nil"/>
              <w:bottom w:val="single" w:sz="4" w:space="0" w:color="auto"/>
              <w:right w:val="nil"/>
            </w:tcBorders>
            <w:shd w:val="clear" w:color="000000" w:fill="FFFFFF"/>
            <w:noWrap/>
            <w:vAlign w:val="bottom"/>
            <w:hideMark/>
          </w:tcPr>
          <w:p w14:paraId="09125AF3" w14:textId="77777777" w:rsidR="00FA18EA" w:rsidRPr="00A02B31" w:rsidRDefault="00FA18EA" w:rsidP="00FA18EA">
            <w:pPr>
              <w:jc w:val="right"/>
              <w:rPr>
                <w:rFonts w:eastAsia="Times New Roman" w:cstheme="minorHAnsi"/>
                <w:sz w:val="18"/>
                <w:szCs w:val="18"/>
                <w:lang w:val="en-SG" w:eastAsia="en-SG"/>
              </w:rPr>
            </w:pPr>
            <w:r w:rsidRPr="00A02B31">
              <w:rPr>
                <w:rFonts w:eastAsia="Times New Roman" w:cstheme="minorHAnsi"/>
                <w:sz w:val="18"/>
                <w:szCs w:val="18"/>
                <w:lang w:val="en-SG" w:eastAsia="en-SG"/>
              </w:rPr>
              <w:t>-</w:t>
            </w:r>
          </w:p>
        </w:tc>
        <w:tc>
          <w:tcPr>
            <w:tcW w:w="923" w:type="dxa"/>
            <w:tcBorders>
              <w:top w:val="nil"/>
              <w:left w:val="nil"/>
              <w:bottom w:val="single" w:sz="4" w:space="0" w:color="auto"/>
              <w:right w:val="nil"/>
            </w:tcBorders>
            <w:shd w:val="clear" w:color="000000" w:fill="FFFFFF"/>
            <w:noWrap/>
            <w:vAlign w:val="bottom"/>
            <w:hideMark/>
          </w:tcPr>
          <w:p w14:paraId="2037E329" w14:textId="77777777" w:rsidR="00FA18EA" w:rsidRPr="00A02B31" w:rsidRDefault="00FA18EA" w:rsidP="00FA18EA">
            <w:pPr>
              <w:jc w:val="right"/>
              <w:rPr>
                <w:rFonts w:eastAsia="Times New Roman" w:cstheme="minorHAnsi"/>
                <w:sz w:val="18"/>
                <w:szCs w:val="18"/>
                <w:lang w:val="en-SG" w:eastAsia="en-SG"/>
              </w:rPr>
            </w:pPr>
            <w:r w:rsidRPr="00A02B31">
              <w:rPr>
                <w:rFonts w:eastAsia="Times New Roman" w:cstheme="minorHAnsi"/>
                <w:sz w:val="18"/>
                <w:szCs w:val="18"/>
                <w:lang w:val="en-SG" w:eastAsia="en-SG"/>
              </w:rPr>
              <w:t>16,612</w:t>
            </w:r>
          </w:p>
        </w:tc>
      </w:tr>
      <w:tr w:rsidR="00FA18EA" w:rsidRPr="007600A7" w14:paraId="76900A59" w14:textId="77777777" w:rsidTr="00FA18EA">
        <w:trPr>
          <w:trHeight w:val="240"/>
        </w:trPr>
        <w:tc>
          <w:tcPr>
            <w:tcW w:w="3011" w:type="dxa"/>
            <w:tcBorders>
              <w:top w:val="single" w:sz="4" w:space="0" w:color="auto"/>
              <w:left w:val="nil"/>
              <w:right w:val="nil"/>
            </w:tcBorders>
            <w:shd w:val="clear" w:color="000000" w:fill="FFFFFF"/>
            <w:noWrap/>
            <w:vAlign w:val="bottom"/>
          </w:tcPr>
          <w:p w14:paraId="2D444A18" w14:textId="77777777" w:rsidR="00FA18EA" w:rsidRPr="008B2DDA" w:rsidRDefault="00FA18EA" w:rsidP="00FA18EA">
            <w:pPr>
              <w:rPr>
                <w:rFonts w:eastAsia="Times New Roman" w:cstheme="minorHAnsi"/>
                <w:b/>
                <w:bCs/>
                <w:sz w:val="18"/>
                <w:szCs w:val="18"/>
                <w:lang w:val="en-SG" w:eastAsia="en-SG"/>
              </w:rPr>
            </w:pPr>
            <w:r w:rsidRPr="008B2DDA">
              <w:rPr>
                <w:rFonts w:eastAsia="Times New Roman" w:cstheme="minorHAnsi"/>
                <w:b/>
                <w:bCs/>
                <w:sz w:val="18"/>
                <w:szCs w:val="18"/>
                <w:lang w:val="en-SG" w:eastAsia="en-SG"/>
              </w:rPr>
              <w:t>Total profit and comprehensive</w:t>
            </w:r>
          </w:p>
        </w:tc>
        <w:tc>
          <w:tcPr>
            <w:tcW w:w="992" w:type="dxa"/>
            <w:tcBorders>
              <w:top w:val="single" w:sz="4" w:space="0" w:color="auto"/>
              <w:left w:val="nil"/>
              <w:right w:val="nil"/>
            </w:tcBorders>
            <w:shd w:val="clear" w:color="000000" w:fill="FFFFFF"/>
            <w:noWrap/>
            <w:vAlign w:val="bottom"/>
          </w:tcPr>
          <w:p w14:paraId="2FDB36E3" w14:textId="77777777" w:rsidR="00FA18EA" w:rsidRPr="000C5053" w:rsidRDefault="00FA18EA" w:rsidP="00FA18EA">
            <w:pPr>
              <w:rPr>
                <w:rFonts w:eastAsia="Times New Roman" w:cstheme="minorHAnsi"/>
                <w:b/>
                <w:bCs/>
                <w:sz w:val="18"/>
                <w:szCs w:val="18"/>
                <w:lang w:val="en-SG" w:eastAsia="en-SG"/>
              </w:rPr>
            </w:pPr>
          </w:p>
        </w:tc>
        <w:tc>
          <w:tcPr>
            <w:tcW w:w="1069" w:type="dxa"/>
            <w:tcBorders>
              <w:top w:val="single" w:sz="4" w:space="0" w:color="auto"/>
              <w:left w:val="nil"/>
              <w:right w:val="nil"/>
            </w:tcBorders>
            <w:shd w:val="clear" w:color="000000" w:fill="FFFFFF"/>
            <w:vAlign w:val="bottom"/>
          </w:tcPr>
          <w:p w14:paraId="07D576D6" w14:textId="77777777" w:rsidR="00FA18EA" w:rsidRPr="0091098D" w:rsidRDefault="00FA18EA" w:rsidP="00FA18EA">
            <w:pPr>
              <w:jc w:val="right"/>
              <w:rPr>
                <w:rFonts w:eastAsia="Times New Roman" w:cstheme="minorHAnsi"/>
                <w:sz w:val="18"/>
                <w:szCs w:val="18"/>
                <w:lang w:val="en-SG" w:eastAsia="en-SG"/>
              </w:rPr>
            </w:pPr>
          </w:p>
        </w:tc>
        <w:tc>
          <w:tcPr>
            <w:tcW w:w="859" w:type="dxa"/>
            <w:tcBorders>
              <w:top w:val="single" w:sz="4" w:space="0" w:color="auto"/>
              <w:left w:val="nil"/>
              <w:right w:val="nil"/>
            </w:tcBorders>
            <w:shd w:val="clear" w:color="000000" w:fill="FFFFFF"/>
            <w:noWrap/>
            <w:vAlign w:val="bottom"/>
          </w:tcPr>
          <w:p w14:paraId="233CB773" w14:textId="77777777" w:rsidR="00FA18EA" w:rsidRPr="0075195E" w:rsidRDefault="00FA18EA" w:rsidP="00FA18EA">
            <w:pPr>
              <w:jc w:val="right"/>
              <w:rPr>
                <w:rFonts w:eastAsia="Times New Roman" w:cstheme="minorHAnsi"/>
                <w:b/>
                <w:bCs/>
                <w:sz w:val="18"/>
                <w:szCs w:val="18"/>
                <w:lang w:val="en-SG" w:eastAsia="en-SG"/>
              </w:rPr>
            </w:pPr>
          </w:p>
        </w:tc>
        <w:tc>
          <w:tcPr>
            <w:tcW w:w="1009" w:type="dxa"/>
            <w:tcBorders>
              <w:top w:val="single" w:sz="4" w:space="0" w:color="auto"/>
              <w:left w:val="nil"/>
              <w:right w:val="nil"/>
            </w:tcBorders>
            <w:shd w:val="clear" w:color="000000" w:fill="FFFFFF"/>
            <w:noWrap/>
            <w:vAlign w:val="bottom"/>
          </w:tcPr>
          <w:p w14:paraId="6B568A18" w14:textId="77777777" w:rsidR="00FA18EA" w:rsidRPr="0075195E" w:rsidRDefault="00FA18EA" w:rsidP="00FA18EA">
            <w:pPr>
              <w:jc w:val="right"/>
              <w:rPr>
                <w:rFonts w:eastAsia="Times New Roman" w:cstheme="minorHAnsi"/>
                <w:b/>
                <w:bCs/>
                <w:sz w:val="18"/>
                <w:szCs w:val="18"/>
                <w:lang w:val="en-SG" w:eastAsia="en-SG"/>
              </w:rPr>
            </w:pPr>
          </w:p>
        </w:tc>
        <w:tc>
          <w:tcPr>
            <w:tcW w:w="1081" w:type="dxa"/>
            <w:tcBorders>
              <w:top w:val="single" w:sz="4" w:space="0" w:color="auto"/>
              <w:left w:val="nil"/>
              <w:right w:val="nil"/>
            </w:tcBorders>
            <w:shd w:val="clear" w:color="000000" w:fill="FFFFFF"/>
            <w:noWrap/>
            <w:vAlign w:val="bottom"/>
          </w:tcPr>
          <w:p w14:paraId="71FCBA52" w14:textId="77777777" w:rsidR="00FA18EA" w:rsidRPr="00536A35" w:rsidRDefault="00FA18EA" w:rsidP="00FA18EA">
            <w:pPr>
              <w:jc w:val="right"/>
              <w:rPr>
                <w:rFonts w:eastAsia="Times New Roman" w:cstheme="minorHAnsi"/>
                <w:b/>
                <w:bCs/>
                <w:sz w:val="18"/>
                <w:szCs w:val="18"/>
                <w:lang w:val="en-SG" w:eastAsia="en-SG"/>
              </w:rPr>
            </w:pPr>
          </w:p>
        </w:tc>
        <w:tc>
          <w:tcPr>
            <w:tcW w:w="1117" w:type="dxa"/>
            <w:tcBorders>
              <w:top w:val="single" w:sz="4" w:space="0" w:color="auto"/>
              <w:left w:val="nil"/>
              <w:right w:val="nil"/>
            </w:tcBorders>
            <w:shd w:val="clear" w:color="000000" w:fill="FFFFFF"/>
            <w:noWrap/>
            <w:vAlign w:val="bottom"/>
          </w:tcPr>
          <w:p w14:paraId="0784C285" w14:textId="77777777" w:rsidR="00FA18EA" w:rsidRPr="00A02B31" w:rsidRDefault="00FA18EA" w:rsidP="00FA18EA">
            <w:pPr>
              <w:jc w:val="right"/>
              <w:rPr>
                <w:rFonts w:eastAsia="Times New Roman" w:cstheme="minorHAnsi"/>
                <w:b/>
                <w:bCs/>
                <w:sz w:val="18"/>
                <w:szCs w:val="18"/>
                <w:lang w:val="en-SG" w:eastAsia="en-SG"/>
              </w:rPr>
            </w:pPr>
          </w:p>
        </w:tc>
        <w:tc>
          <w:tcPr>
            <w:tcW w:w="923" w:type="dxa"/>
            <w:tcBorders>
              <w:top w:val="single" w:sz="4" w:space="0" w:color="auto"/>
              <w:left w:val="nil"/>
              <w:right w:val="nil"/>
            </w:tcBorders>
            <w:shd w:val="clear" w:color="000000" w:fill="FFFFFF"/>
            <w:noWrap/>
            <w:vAlign w:val="bottom"/>
          </w:tcPr>
          <w:p w14:paraId="0B271CFF" w14:textId="77777777" w:rsidR="00FA18EA" w:rsidRPr="00A02B31" w:rsidRDefault="00FA18EA" w:rsidP="00FA18EA">
            <w:pPr>
              <w:jc w:val="right"/>
              <w:rPr>
                <w:rFonts w:eastAsia="Times New Roman" w:cstheme="minorHAnsi"/>
                <w:b/>
                <w:bCs/>
                <w:sz w:val="18"/>
                <w:szCs w:val="18"/>
                <w:lang w:val="en-SG" w:eastAsia="en-SG"/>
              </w:rPr>
            </w:pPr>
          </w:p>
        </w:tc>
      </w:tr>
      <w:tr w:rsidR="00FA18EA" w:rsidRPr="007600A7" w14:paraId="5925E8F4" w14:textId="77777777" w:rsidTr="00FA18EA">
        <w:trPr>
          <w:trHeight w:val="240"/>
        </w:trPr>
        <w:tc>
          <w:tcPr>
            <w:tcW w:w="3011" w:type="dxa"/>
            <w:tcBorders>
              <w:left w:val="nil"/>
              <w:bottom w:val="single" w:sz="4" w:space="0" w:color="auto"/>
              <w:right w:val="nil"/>
            </w:tcBorders>
            <w:shd w:val="clear" w:color="000000" w:fill="FFFFFF"/>
            <w:noWrap/>
            <w:vAlign w:val="bottom"/>
          </w:tcPr>
          <w:p w14:paraId="0EE9DC84" w14:textId="77777777" w:rsidR="00FA18EA" w:rsidRPr="008B2DDA" w:rsidRDefault="00FA18EA" w:rsidP="00FA18EA">
            <w:pPr>
              <w:rPr>
                <w:rFonts w:eastAsia="Times New Roman" w:cstheme="minorHAnsi"/>
                <w:b/>
                <w:bCs/>
                <w:sz w:val="18"/>
                <w:szCs w:val="18"/>
                <w:lang w:val="en-SG" w:eastAsia="en-SG"/>
              </w:rPr>
            </w:pPr>
            <w:r w:rsidRPr="008B2DDA">
              <w:rPr>
                <w:rFonts w:eastAsia="Times New Roman" w:cstheme="minorHAnsi"/>
                <w:b/>
                <w:bCs/>
                <w:sz w:val="18"/>
                <w:szCs w:val="18"/>
                <w:lang w:val="en-SG" w:eastAsia="en-SG"/>
              </w:rPr>
              <w:t>income for the year</w:t>
            </w:r>
          </w:p>
        </w:tc>
        <w:tc>
          <w:tcPr>
            <w:tcW w:w="992" w:type="dxa"/>
            <w:tcBorders>
              <w:left w:val="nil"/>
              <w:bottom w:val="single" w:sz="4" w:space="0" w:color="auto"/>
              <w:right w:val="nil"/>
            </w:tcBorders>
            <w:shd w:val="clear" w:color="000000" w:fill="FFFFFF"/>
            <w:noWrap/>
            <w:vAlign w:val="bottom"/>
          </w:tcPr>
          <w:p w14:paraId="3CBD61E2" w14:textId="77777777" w:rsidR="00FA18EA" w:rsidRPr="0091098D" w:rsidRDefault="00FA18EA" w:rsidP="00FA18EA">
            <w:pPr>
              <w:jc w:val="right"/>
              <w:rPr>
                <w:rFonts w:eastAsia="Times New Roman" w:cstheme="minorHAnsi"/>
                <w:b/>
                <w:bCs/>
                <w:sz w:val="18"/>
                <w:szCs w:val="18"/>
                <w:lang w:val="en-SG" w:eastAsia="en-SG"/>
              </w:rPr>
            </w:pPr>
            <w:r w:rsidRPr="000C5053">
              <w:rPr>
                <w:rFonts w:eastAsia="Times New Roman" w:cstheme="minorHAnsi"/>
                <w:b/>
                <w:bCs/>
                <w:sz w:val="18"/>
                <w:szCs w:val="18"/>
                <w:lang w:val="en-SG" w:eastAsia="en-SG"/>
              </w:rPr>
              <w:t>-</w:t>
            </w:r>
          </w:p>
        </w:tc>
        <w:tc>
          <w:tcPr>
            <w:tcW w:w="1069" w:type="dxa"/>
            <w:tcBorders>
              <w:left w:val="nil"/>
              <w:bottom w:val="single" w:sz="4" w:space="0" w:color="auto"/>
              <w:right w:val="nil"/>
            </w:tcBorders>
            <w:shd w:val="clear" w:color="000000" w:fill="FFFFFF"/>
            <w:vAlign w:val="bottom"/>
          </w:tcPr>
          <w:p w14:paraId="48610234" w14:textId="77777777" w:rsidR="00FA18EA" w:rsidRPr="0075195E" w:rsidRDefault="00FA18EA" w:rsidP="00FA18EA">
            <w:pPr>
              <w:jc w:val="right"/>
              <w:rPr>
                <w:rFonts w:eastAsia="Times New Roman" w:cstheme="minorHAnsi"/>
                <w:b/>
                <w:sz w:val="18"/>
                <w:szCs w:val="18"/>
                <w:lang w:val="en-SG" w:eastAsia="en-SG"/>
              </w:rPr>
            </w:pPr>
            <w:r w:rsidRPr="0075195E">
              <w:rPr>
                <w:rFonts w:eastAsia="Times New Roman" w:cstheme="minorHAnsi"/>
                <w:b/>
                <w:sz w:val="18"/>
                <w:szCs w:val="18"/>
                <w:lang w:val="en-SG" w:eastAsia="en-SG"/>
              </w:rPr>
              <w:t>10</w:t>
            </w:r>
          </w:p>
        </w:tc>
        <w:tc>
          <w:tcPr>
            <w:tcW w:w="859" w:type="dxa"/>
            <w:tcBorders>
              <w:left w:val="nil"/>
              <w:bottom w:val="single" w:sz="4" w:space="0" w:color="auto"/>
              <w:right w:val="nil"/>
            </w:tcBorders>
            <w:shd w:val="clear" w:color="000000" w:fill="FFFFFF"/>
            <w:noWrap/>
            <w:vAlign w:val="bottom"/>
          </w:tcPr>
          <w:p w14:paraId="4C9E5C55" w14:textId="77777777" w:rsidR="00FA18EA" w:rsidRPr="0075195E" w:rsidRDefault="00FA18EA" w:rsidP="00FA18EA">
            <w:pPr>
              <w:jc w:val="right"/>
              <w:rPr>
                <w:rFonts w:eastAsia="Times New Roman" w:cstheme="minorHAnsi"/>
                <w:b/>
                <w:bCs/>
                <w:sz w:val="18"/>
                <w:szCs w:val="18"/>
                <w:lang w:val="en-SG" w:eastAsia="en-SG"/>
              </w:rPr>
            </w:pPr>
            <w:r w:rsidRPr="0075195E">
              <w:rPr>
                <w:rFonts w:eastAsia="Times New Roman" w:cstheme="minorHAnsi"/>
                <w:b/>
                <w:bCs/>
                <w:sz w:val="18"/>
                <w:szCs w:val="18"/>
                <w:lang w:val="en-SG" w:eastAsia="en-SG"/>
              </w:rPr>
              <w:t>1,741</w:t>
            </w:r>
          </w:p>
        </w:tc>
        <w:tc>
          <w:tcPr>
            <w:tcW w:w="1009" w:type="dxa"/>
            <w:tcBorders>
              <w:left w:val="nil"/>
              <w:bottom w:val="single" w:sz="4" w:space="0" w:color="auto"/>
              <w:right w:val="nil"/>
            </w:tcBorders>
            <w:shd w:val="clear" w:color="000000" w:fill="FFFFFF"/>
            <w:noWrap/>
            <w:vAlign w:val="bottom"/>
          </w:tcPr>
          <w:p w14:paraId="724901BE" w14:textId="77777777" w:rsidR="00FA18EA" w:rsidRPr="00536A35" w:rsidRDefault="00FA18EA" w:rsidP="00FA18EA">
            <w:pPr>
              <w:jc w:val="right"/>
              <w:rPr>
                <w:rFonts w:eastAsia="Times New Roman" w:cstheme="minorHAnsi"/>
                <w:b/>
                <w:bCs/>
                <w:sz w:val="18"/>
                <w:szCs w:val="18"/>
                <w:lang w:val="en-SG" w:eastAsia="en-SG"/>
              </w:rPr>
            </w:pPr>
            <w:r w:rsidRPr="00536A35">
              <w:rPr>
                <w:rFonts w:eastAsia="Times New Roman" w:cstheme="minorHAnsi"/>
                <w:b/>
                <w:bCs/>
                <w:sz w:val="18"/>
                <w:szCs w:val="18"/>
                <w:lang w:val="en-SG" w:eastAsia="en-SG"/>
              </w:rPr>
              <w:t>13,063</w:t>
            </w:r>
          </w:p>
        </w:tc>
        <w:tc>
          <w:tcPr>
            <w:tcW w:w="1081" w:type="dxa"/>
            <w:tcBorders>
              <w:left w:val="nil"/>
              <w:bottom w:val="single" w:sz="4" w:space="0" w:color="auto"/>
              <w:right w:val="nil"/>
            </w:tcBorders>
            <w:shd w:val="clear" w:color="000000" w:fill="FFFFFF"/>
            <w:noWrap/>
            <w:vAlign w:val="bottom"/>
          </w:tcPr>
          <w:p w14:paraId="75D4C032" w14:textId="77777777" w:rsidR="00FA18EA" w:rsidRPr="00A02B31" w:rsidRDefault="00FA18EA" w:rsidP="00FA18EA">
            <w:pPr>
              <w:jc w:val="right"/>
              <w:rPr>
                <w:rFonts w:eastAsia="Times New Roman" w:cstheme="minorHAnsi"/>
                <w:b/>
                <w:bCs/>
                <w:sz w:val="18"/>
                <w:szCs w:val="18"/>
                <w:lang w:val="en-SG" w:eastAsia="en-SG"/>
              </w:rPr>
            </w:pPr>
            <w:r w:rsidRPr="00A02B31">
              <w:rPr>
                <w:rFonts w:eastAsia="Times New Roman" w:cstheme="minorHAnsi"/>
                <w:b/>
                <w:bCs/>
                <w:sz w:val="18"/>
                <w:szCs w:val="18"/>
                <w:lang w:val="en-SG" w:eastAsia="en-SG"/>
              </w:rPr>
              <w:t>27,836</w:t>
            </w:r>
          </w:p>
        </w:tc>
        <w:tc>
          <w:tcPr>
            <w:tcW w:w="1117" w:type="dxa"/>
            <w:tcBorders>
              <w:left w:val="nil"/>
              <w:bottom w:val="single" w:sz="4" w:space="0" w:color="auto"/>
              <w:right w:val="nil"/>
            </w:tcBorders>
            <w:shd w:val="clear" w:color="000000" w:fill="FFFFFF"/>
            <w:noWrap/>
            <w:vAlign w:val="bottom"/>
          </w:tcPr>
          <w:p w14:paraId="7DDE26D6" w14:textId="77777777" w:rsidR="00FA18EA" w:rsidRPr="00A02B31" w:rsidRDefault="00FA18EA" w:rsidP="00FA18EA">
            <w:pPr>
              <w:jc w:val="right"/>
              <w:rPr>
                <w:rFonts w:eastAsia="Times New Roman" w:cstheme="minorHAnsi"/>
                <w:b/>
                <w:bCs/>
                <w:sz w:val="18"/>
                <w:szCs w:val="18"/>
                <w:lang w:val="en-SG" w:eastAsia="en-SG"/>
              </w:rPr>
            </w:pPr>
            <w:r w:rsidRPr="00A02B31">
              <w:rPr>
                <w:rFonts w:eastAsia="Times New Roman" w:cstheme="minorHAnsi"/>
                <w:b/>
                <w:bCs/>
                <w:sz w:val="18"/>
                <w:szCs w:val="18"/>
                <w:lang w:val="en-SG" w:eastAsia="en-SG"/>
              </w:rPr>
              <w:t>10,874</w:t>
            </w:r>
          </w:p>
        </w:tc>
        <w:tc>
          <w:tcPr>
            <w:tcW w:w="923" w:type="dxa"/>
            <w:tcBorders>
              <w:left w:val="nil"/>
              <w:bottom w:val="single" w:sz="4" w:space="0" w:color="auto"/>
              <w:right w:val="nil"/>
            </w:tcBorders>
            <w:shd w:val="clear" w:color="000000" w:fill="FFFFFF"/>
            <w:noWrap/>
            <w:vAlign w:val="bottom"/>
          </w:tcPr>
          <w:p w14:paraId="4E84D681" w14:textId="77777777" w:rsidR="00FA18EA" w:rsidRPr="00A02B31" w:rsidRDefault="00FA18EA" w:rsidP="00FA18EA">
            <w:pPr>
              <w:jc w:val="right"/>
              <w:rPr>
                <w:rFonts w:eastAsia="Times New Roman" w:cstheme="minorHAnsi"/>
                <w:b/>
                <w:bCs/>
                <w:sz w:val="18"/>
                <w:szCs w:val="18"/>
                <w:lang w:val="en-SG" w:eastAsia="en-SG"/>
              </w:rPr>
            </w:pPr>
            <w:r w:rsidRPr="00A02B31">
              <w:rPr>
                <w:rFonts w:eastAsia="Times New Roman" w:cstheme="minorHAnsi"/>
                <w:b/>
                <w:bCs/>
                <w:sz w:val="18"/>
                <w:szCs w:val="18"/>
                <w:lang w:val="en-SG" w:eastAsia="en-SG"/>
              </w:rPr>
              <w:t>53,524</w:t>
            </w:r>
          </w:p>
        </w:tc>
      </w:tr>
      <w:tr w:rsidR="00FA18EA" w:rsidRPr="007600A7" w14:paraId="7FFBD8CB" w14:textId="77777777" w:rsidTr="00FA18EA">
        <w:trPr>
          <w:trHeight w:val="240"/>
        </w:trPr>
        <w:tc>
          <w:tcPr>
            <w:tcW w:w="3011" w:type="dxa"/>
            <w:tcBorders>
              <w:top w:val="single" w:sz="4" w:space="0" w:color="auto"/>
              <w:left w:val="nil"/>
              <w:right w:val="nil"/>
            </w:tcBorders>
            <w:shd w:val="clear" w:color="000000" w:fill="FFFFFF"/>
            <w:noWrap/>
            <w:vAlign w:val="bottom"/>
          </w:tcPr>
          <w:p w14:paraId="1E66CD88" w14:textId="77777777" w:rsidR="00FA18EA" w:rsidRPr="008B2DDA" w:rsidRDefault="00FA18EA" w:rsidP="00FA18EA">
            <w:pPr>
              <w:rPr>
                <w:rFonts w:eastAsia="Times New Roman" w:cstheme="minorHAnsi"/>
                <w:b/>
                <w:bCs/>
                <w:sz w:val="18"/>
                <w:szCs w:val="18"/>
                <w:lang w:val="en-SG" w:eastAsia="en-SG"/>
              </w:rPr>
            </w:pPr>
          </w:p>
        </w:tc>
        <w:tc>
          <w:tcPr>
            <w:tcW w:w="992" w:type="dxa"/>
            <w:tcBorders>
              <w:top w:val="single" w:sz="4" w:space="0" w:color="auto"/>
              <w:left w:val="nil"/>
              <w:right w:val="nil"/>
            </w:tcBorders>
            <w:shd w:val="clear" w:color="000000" w:fill="FFFFFF"/>
            <w:noWrap/>
            <w:vAlign w:val="bottom"/>
          </w:tcPr>
          <w:p w14:paraId="68E79BAB" w14:textId="77777777" w:rsidR="00FA18EA" w:rsidRPr="000C5053" w:rsidRDefault="00FA18EA" w:rsidP="00FA18EA">
            <w:pPr>
              <w:jc w:val="right"/>
              <w:rPr>
                <w:rFonts w:eastAsia="Times New Roman" w:cstheme="minorHAnsi"/>
                <w:b/>
                <w:bCs/>
                <w:sz w:val="18"/>
                <w:szCs w:val="18"/>
                <w:lang w:val="en-SG" w:eastAsia="en-SG"/>
              </w:rPr>
            </w:pPr>
          </w:p>
        </w:tc>
        <w:tc>
          <w:tcPr>
            <w:tcW w:w="1069" w:type="dxa"/>
            <w:tcBorders>
              <w:top w:val="single" w:sz="4" w:space="0" w:color="auto"/>
              <w:left w:val="nil"/>
              <w:right w:val="nil"/>
            </w:tcBorders>
            <w:shd w:val="clear" w:color="000000" w:fill="FFFFFF"/>
            <w:vAlign w:val="bottom"/>
          </w:tcPr>
          <w:p w14:paraId="184BD0FB" w14:textId="77777777" w:rsidR="00FA18EA" w:rsidRPr="0091098D" w:rsidRDefault="00FA18EA" w:rsidP="00FA18EA">
            <w:pPr>
              <w:jc w:val="right"/>
              <w:rPr>
                <w:rFonts w:eastAsia="Times New Roman" w:cstheme="minorHAnsi"/>
                <w:sz w:val="18"/>
                <w:szCs w:val="18"/>
                <w:lang w:val="en-SG" w:eastAsia="en-SG"/>
              </w:rPr>
            </w:pPr>
          </w:p>
        </w:tc>
        <w:tc>
          <w:tcPr>
            <w:tcW w:w="859" w:type="dxa"/>
            <w:tcBorders>
              <w:top w:val="single" w:sz="4" w:space="0" w:color="auto"/>
              <w:left w:val="nil"/>
              <w:right w:val="nil"/>
            </w:tcBorders>
            <w:shd w:val="clear" w:color="000000" w:fill="FFFFFF"/>
            <w:noWrap/>
            <w:vAlign w:val="bottom"/>
          </w:tcPr>
          <w:p w14:paraId="2F9CE934" w14:textId="77777777" w:rsidR="00FA18EA" w:rsidRPr="0075195E" w:rsidRDefault="00FA18EA" w:rsidP="00FA18EA">
            <w:pPr>
              <w:jc w:val="right"/>
              <w:rPr>
                <w:rFonts w:eastAsia="Times New Roman" w:cstheme="minorHAnsi"/>
                <w:b/>
                <w:bCs/>
                <w:sz w:val="18"/>
                <w:szCs w:val="18"/>
                <w:lang w:val="en-SG" w:eastAsia="en-SG"/>
              </w:rPr>
            </w:pPr>
          </w:p>
        </w:tc>
        <w:tc>
          <w:tcPr>
            <w:tcW w:w="1009" w:type="dxa"/>
            <w:tcBorders>
              <w:top w:val="single" w:sz="4" w:space="0" w:color="auto"/>
              <w:left w:val="nil"/>
              <w:right w:val="nil"/>
            </w:tcBorders>
            <w:shd w:val="clear" w:color="000000" w:fill="FFFFFF"/>
            <w:noWrap/>
            <w:vAlign w:val="bottom"/>
          </w:tcPr>
          <w:p w14:paraId="31AB3653" w14:textId="77777777" w:rsidR="00FA18EA" w:rsidRPr="0075195E" w:rsidRDefault="00FA18EA" w:rsidP="00FA18EA">
            <w:pPr>
              <w:jc w:val="right"/>
              <w:rPr>
                <w:rFonts w:eastAsia="Times New Roman" w:cstheme="minorHAnsi"/>
                <w:b/>
                <w:bCs/>
                <w:sz w:val="18"/>
                <w:szCs w:val="18"/>
                <w:lang w:val="en-SG" w:eastAsia="en-SG"/>
              </w:rPr>
            </w:pPr>
          </w:p>
        </w:tc>
        <w:tc>
          <w:tcPr>
            <w:tcW w:w="1081" w:type="dxa"/>
            <w:tcBorders>
              <w:top w:val="single" w:sz="4" w:space="0" w:color="auto"/>
              <w:left w:val="nil"/>
              <w:right w:val="nil"/>
            </w:tcBorders>
            <w:shd w:val="clear" w:color="000000" w:fill="FFFFFF"/>
            <w:noWrap/>
            <w:vAlign w:val="bottom"/>
          </w:tcPr>
          <w:p w14:paraId="104FDE1B" w14:textId="77777777" w:rsidR="00FA18EA" w:rsidRPr="00536A35" w:rsidRDefault="00FA18EA" w:rsidP="00FA18EA">
            <w:pPr>
              <w:jc w:val="right"/>
              <w:rPr>
                <w:rFonts w:eastAsia="Times New Roman" w:cstheme="minorHAnsi"/>
                <w:b/>
                <w:bCs/>
                <w:sz w:val="18"/>
                <w:szCs w:val="18"/>
                <w:lang w:val="en-SG" w:eastAsia="en-SG"/>
              </w:rPr>
            </w:pPr>
          </w:p>
        </w:tc>
        <w:tc>
          <w:tcPr>
            <w:tcW w:w="1117" w:type="dxa"/>
            <w:tcBorders>
              <w:top w:val="single" w:sz="4" w:space="0" w:color="auto"/>
              <w:left w:val="nil"/>
              <w:right w:val="nil"/>
            </w:tcBorders>
            <w:shd w:val="clear" w:color="000000" w:fill="FFFFFF"/>
            <w:noWrap/>
            <w:vAlign w:val="bottom"/>
          </w:tcPr>
          <w:p w14:paraId="63085E04" w14:textId="77777777" w:rsidR="00FA18EA" w:rsidRPr="00A02B31" w:rsidRDefault="00FA18EA" w:rsidP="00FA18EA">
            <w:pPr>
              <w:jc w:val="right"/>
              <w:rPr>
                <w:rFonts w:eastAsia="Times New Roman" w:cstheme="minorHAnsi"/>
                <w:b/>
                <w:bCs/>
                <w:sz w:val="18"/>
                <w:szCs w:val="18"/>
                <w:lang w:val="en-SG" w:eastAsia="en-SG"/>
              </w:rPr>
            </w:pPr>
          </w:p>
        </w:tc>
        <w:tc>
          <w:tcPr>
            <w:tcW w:w="923" w:type="dxa"/>
            <w:tcBorders>
              <w:top w:val="single" w:sz="4" w:space="0" w:color="auto"/>
              <w:left w:val="nil"/>
              <w:right w:val="nil"/>
            </w:tcBorders>
            <w:shd w:val="clear" w:color="000000" w:fill="FFFFFF"/>
            <w:noWrap/>
            <w:vAlign w:val="bottom"/>
          </w:tcPr>
          <w:p w14:paraId="530B9FBC" w14:textId="77777777" w:rsidR="00FA18EA" w:rsidRPr="00A02B31" w:rsidRDefault="00FA18EA" w:rsidP="00FA18EA">
            <w:pPr>
              <w:jc w:val="right"/>
              <w:rPr>
                <w:rFonts w:eastAsia="Times New Roman" w:cstheme="minorHAnsi"/>
                <w:b/>
                <w:bCs/>
                <w:sz w:val="18"/>
                <w:szCs w:val="18"/>
                <w:lang w:val="en-SG" w:eastAsia="en-SG"/>
              </w:rPr>
            </w:pPr>
          </w:p>
        </w:tc>
      </w:tr>
      <w:tr w:rsidR="00FA18EA" w:rsidRPr="007600A7" w14:paraId="4A39F21C" w14:textId="77777777" w:rsidTr="00FA18EA">
        <w:trPr>
          <w:trHeight w:val="240"/>
        </w:trPr>
        <w:tc>
          <w:tcPr>
            <w:tcW w:w="3011" w:type="dxa"/>
            <w:tcBorders>
              <w:left w:val="nil"/>
              <w:right w:val="nil"/>
            </w:tcBorders>
            <w:shd w:val="clear" w:color="000000" w:fill="FFFFFF"/>
            <w:noWrap/>
            <w:vAlign w:val="bottom"/>
          </w:tcPr>
          <w:p w14:paraId="7BB8DA5B" w14:textId="77777777" w:rsidR="00FA18EA" w:rsidRPr="008B2DDA" w:rsidRDefault="00FA18EA" w:rsidP="00FA18EA">
            <w:pPr>
              <w:rPr>
                <w:rFonts w:eastAsia="Times New Roman" w:cstheme="minorHAnsi"/>
                <w:b/>
                <w:bCs/>
                <w:sz w:val="18"/>
                <w:szCs w:val="18"/>
                <w:lang w:val="en-SG" w:eastAsia="en-SG"/>
              </w:rPr>
            </w:pPr>
            <w:r w:rsidRPr="008B2DDA">
              <w:rPr>
                <w:rFonts w:eastAsia="Times New Roman" w:cstheme="minorHAnsi"/>
                <w:b/>
                <w:bCs/>
                <w:sz w:val="18"/>
                <w:szCs w:val="18"/>
                <w:lang w:val="en-SG" w:eastAsia="en-SG"/>
              </w:rPr>
              <w:t xml:space="preserve">Contributions by and distributions to </w:t>
            </w:r>
          </w:p>
        </w:tc>
        <w:tc>
          <w:tcPr>
            <w:tcW w:w="992" w:type="dxa"/>
            <w:tcBorders>
              <w:left w:val="nil"/>
              <w:right w:val="nil"/>
            </w:tcBorders>
            <w:shd w:val="clear" w:color="000000" w:fill="FFFFFF"/>
            <w:noWrap/>
            <w:vAlign w:val="bottom"/>
          </w:tcPr>
          <w:p w14:paraId="7D9DC393" w14:textId="77777777" w:rsidR="00FA18EA" w:rsidRPr="000C5053" w:rsidRDefault="00FA18EA" w:rsidP="00FA18EA">
            <w:pPr>
              <w:jc w:val="right"/>
              <w:rPr>
                <w:rFonts w:eastAsia="Times New Roman" w:cstheme="minorHAnsi"/>
                <w:b/>
                <w:bCs/>
                <w:sz w:val="18"/>
                <w:szCs w:val="18"/>
                <w:lang w:val="en-SG" w:eastAsia="en-SG"/>
              </w:rPr>
            </w:pPr>
          </w:p>
        </w:tc>
        <w:tc>
          <w:tcPr>
            <w:tcW w:w="1069" w:type="dxa"/>
            <w:tcBorders>
              <w:left w:val="nil"/>
              <w:right w:val="nil"/>
            </w:tcBorders>
            <w:shd w:val="clear" w:color="000000" w:fill="FFFFFF"/>
            <w:vAlign w:val="bottom"/>
          </w:tcPr>
          <w:p w14:paraId="2864DB9C" w14:textId="77777777" w:rsidR="00FA18EA" w:rsidRPr="0091098D" w:rsidRDefault="00FA18EA" w:rsidP="00FA18EA">
            <w:pPr>
              <w:jc w:val="right"/>
              <w:rPr>
                <w:rFonts w:eastAsia="Times New Roman" w:cstheme="minorHAnsi"/>
                <w:sz w:val="18"/>
                <w:szCs w:val="18"/>
                <w:lang w:val="en-SG" w:eastAsia="en-SG"/>
              </w:rPr>
            </w:pPr>
          </w:p>
        </w:tc>
        <w:tc>
          <w:tcPr>
            <w:tcW w:w="859" w:type="dxa"/>
            <w:tcBorders>
              <w:left w:val="nil"/>
              <w:right w:val="nil"/>
            </w:tcBorders>
            <w:shd w:val="clear" w:color="000000" w:fill="FFFFFF"/>
            <w:noWrap/>
            <w:vAlign w:val="bottom"/>
          </w:tcPr>
          <w:p w14:paraId="4049B73B" w14:textId="77777777" w:rsidR="00FA18EA" w:rsidRPr="0075195E" w:rsidRDefault="00FA18EA" w:rsidP="00FA18EA">
            <w:pPr>
              <w:jc w:val="right"/>
              <w:rPr>
                <w:rFonts w:eastAsia="Times New Roman" w:cstheme="minorHAnsi"/>
                <w:b/>
                <w:bCs/>
                <w:sz w:val="18"/>
                <w:szCs w:val="18"/>
                <w:lang w:val="en-SG" w:eastAsia="en-SG"/>
              </w:rPr>
            </w:pPr>
          </w:p>
        </w:tc>
        <w:tc>
          <w:tcPr>
            <w:tcW w:w="1009" w:type="dxa"/>
            <w:tcBorders>
              <w:left w:val="nil"/>
              <w:right w:val="nil"/>
            </w:tcBorders>
            <w:shd w:val="clear" w:color="000000" w:fill="FFFFFF"/>
            <w:noWrap/>
            <w:vAlign w:val="bottom"/>
          </w:tcPr>
          <w:p w14:paraId="670717D1" w14:textId="77777777" w:rsidR="00FA18EA" w:rsidRPr="0075195E" w:rsidRDefault="00FA18EA" w:rsidP="00FA18EA">
            <w:pPr>
              <w:jc w:val="right"/>
              <w:rPr>
                <w:rFonts w:eastAsia="Times New Roman" w:cstheme="minorHAnsi"/>
                <w:b/>
                <w:bCs/>
                <w:sz w:val="18"/>
                <w:szCs w:val="18"/>
                <w:lang w:val="en-SG" w:eastAsia="en-SG"/>
              </w:rPr>
            </w:pPr>
          </w:p>
        </w:tc>
        <w:tc>
          <w:tcPr>
            <w:tcW w:w="1081" w:type="dxa"/>
            <w:tcBorders>
              <w:left w:val="nil"/>
              <w:right w:val="nil"/>
            </w:tcBorders>
            <w:shd w:val="clear" w:color="000000" w:fill="FFFFFF"/>
            <w:noWrap/>
            <w:vAlign w:val="bottom"/>
          </w:tcPr>
          <w:p w14:paraId="16298E69" w14:textId="77777777" w:rsidR="00FA18EA" w:rsidRPr="00536A35" w:rsidRDefault="00FA18EA" w:rsidP="00FA18EA">
            <w:pPr>
              <w:jc w:val="right"/>
              <w:rPr>
                <w:rFonts w:eastAsia="Times New Roman" w:cstheme="minorHAnsi"/>
                <w:b/>
                <w:bCs/>
                <w:sz w:val="18"/>
                <w:szCs w:val="18"/>
                <w:lang w:val="en-SG" w:eastAsia="en-SG"/>
              </w:rPr>
            </w:pPr>
          </w:p>
        </w:tc>
        <w:tc>
          <w:tcPr>
            <w:tcW w:w="1117" w:type="dxa"/>
            <w:tcBorders>
              <w:left w:val="nil"/>
              <w:right w:val="nil"/>
            </w:tcBorders>
            <w:shd w:val="clear" w:color="000000" w:fill="FFFFFF"/>
            <w:noWrap/>
            <w:vAlign w:val="bottom"/>
          </w:tcPr>
          <w:p w14:paraId="534911AF" w14:textId="77777777" w:rsidR="00FA18EA" w:rsidRPr="00A02B31" w:rsidRDefault="00FA18EA" w:rsidP="00FA18EA">
            <w:pPr>
              <w:jc w:val="right"/>
              <w:rPr>
                <w:rFonts w:eastAsia="Times New Roman" w:cstheme="minorHAnsi"/>
                <w:b/>
                <w:bCs/>
                <w:sz w:val="18"/>
                <w:szCs w:val="18"/>
                <w:lang w:val="en-SG" w:eastAsia="en-SG"/>
              </w:rPr>
            </w:pPr>
          </w:p>
        </w:tc>
        <w:tc>
          <w:tcPr>
            <w:tcW w:w="923" w:type="dxa"/>
            <w:tcBorders>
              <w:left w:val="nil"/>
              <w:right w:val="nil"/>
            </w:tcBorders>
            <w:shd w:val="clear" w:color="000000" w:fill="FFFFFF"/>
            <w:noWrap/>
            <w:vAlign w:val="bottom"/>
          </w:tcPr>
          <w:p w14:paraId="3538419D" w14:textId="77777777" w:rsidR="00FA18EA" w:rsidRPr="00A02B31" w:rsidRDefault="00FA18EA" w:rsidP="00FA18EA">
            <w:pPr>
              <w:jc w:val="right"/>
              <w:rPr>
                <w:rFonts w:eastAsia="Times New Roman" w:cstheme="minorHAnsi"/>
                <w:b/>
                <w:bCs/>
                <w:sz w:val="18"/>
                <w:szCs w:val="18"/>
                <w:lang w:val="en-SG" w:eastAsia="en-SG"/>
              </w:rPr>
            </w:pPr>
          </w:p>
        </w:tc>
      </w:tr>
      <w:tr w:rsidR="00FA18EA" w:rsidRPr="007600A7" w14:paraId="0E02C449" w14:textId="77777777" w:rsidTr="00FA18EA">
        <w:trPr>
          <w:trHeight w:val="240"/>
        </w:trPr>
        <w:tc>
          <w:tcPr>
            <w:tcW w:w="3011" w:type="dxa"/>
            <w:tcBorders>
              <w:left w:val="nil"/>
              <w:right w:val="nil"/>
            </w:tcBorders>
            <w:shd w:val="clear" w:color="000000" w:fill="FFFFFF"/>
            <w:noWrap/>
            <w:vAlign w:val="bottom"/>
          </w:tcPr>
          <w:p w14:paraId="2C0A005A" w14:textId="77777777" w:rsidR="00FA18EA" w:rsidRPr="008B2DDA" w:rsidRDefault="00FA18EA" w:rsidP="00FA18EA">
            <w:pPr>
              <w:rPr>
                <w:rFonts w:eastAsia="Times New Roman" w:cstheme="minorHAnsi"/>
                <w:b/>
                <w:bCs/>
                <w:sz w:val="18"/>
                <w:szCs w:val="18"/>
                <w:lang w:val="en-SG" w:eastAsia="en-SG"/>
              </w:rPr>
            </w:pPr>
            <w:r w:rsidRPr="008B2DDA">
              <w:rPr>
                <w:rFonts w:eastAsia="Times New Roman" w:cstheme="minorHAnsi"/>
                <w:b/>
                <w:bCs/>
                <w:sz w:val="18"/>
                <w:szCs w:val="18"/>
                <w:lang w:val="en-SG" w:eastAsia="en-SG"/>
              </w:rPr>
              <w:t>owners</w:t>
            </w:r>
          </w:p>
        </w:tc>
        <w:tc>
          <w:tcPr>
            <w:tcW w:w="992" w:type="dxa"/>
            <w:tcBorders>
              <w:left w:val="nil"/>
              <w:right w:val="nil"/>
            </w:tcBorders>
            <w:shd w:val="clear" w:color="000000" w:fill="FFFFFF"/>
            <w:noWrap/>
            <w:vAlign w:val="bottom"/>
          </w:tcPr>
          <w:p w14:paraId="16BC50EB" w14:textId="77777777" w:rsidR="00FA18EA" w:rsidRPr="000C5053" w:rsidRDefault="00FA18EA" w:rsidP="00FA18EA">
            <w:pPr>
              <w:jc w:val="right"/>
              <w:rPr>
                <w:rFonts w:eastAsia="Times New Roman" w:cstheme="minorHAnsi"/>
                <w:b/>
                <w:bCs/>
                <w:sz w:val="18"/>
                <w:szCs w:val="18"/>
                <w:lang w:val="en-SG" w:eastAsia="en-SG"/>
              </w:rPr>
            </w:pPr>
          </w:p>
        </w:tc>
        <w:tc>
          <w:tcPr>
            <w:tcW w:w="1069" w:type="dxa"/>
            <w:tcBorders>
              <w:left w:val="nil"/>
              <w:right w:val="nil"/>
            </w:tcBorders>
            <w:shd w:val="clear" w:color="000000" w:fill="FFFFFF"/>
            <w:vAlign w:val="bottom"/>
          </w:tcPr>
          <w:p w14:paraId="51790124" w14:textId="77777777" w:rsidR="00FA18EA" w:rsidRPr="0091098D" w:rsidRDefault="00FA18EA" w:rsidP="00FA18EA">
            <w:pPr>
              <w:jc w:val="right"/>
              <w:rPr>
                <w:rFonts w:eastAsia="Times New Roman" w:cstheme="minorHAnsi"/>
                <w:sz w:val="18"/>
                <w:szCs w:val="18"/>
                <w:lang w:val="en-SG" w:eastAsia="en-SG"/>
              </w:rPr>
            </w:pPr>
          </w:p>
        </w:tc>
        <w:tc>
          <w:tcPr>
            <w:tcW w:w="859" w:type="dxa"/>
            <w:tcBorders>
              <w:left w:val="nil"/>
              <w:right w:val="nil"/>
            </w:tcBorders>
            <w:shd w:val="clear" w:color="000000" w:fill="FFFFFF"/>
            <w:noWrap/>
            <w:vAlign w:val="bottom"/>
          </w:tcPr>
          <w:p w14:paraId="2A2D9DA4" w14:textId="77777777" w:rsidR="00FA18EA" w:rsidRPr="0075195E" w:rsidRDefault="00FA18EA" w:rsidP="00FA18EA">
            <w:pPr>
              <w:jc w:val="right"/>
              <w:rPr>
                <w:rFonts w:eastAsia="Times New Roman" w:cstheme="minorHAnsi"/>
                <w:b/>
                <w:bCs/>
                <w:sz w:val="18"/>
                <w:szCs w:val="18"/>
                <w:lang w:val="en-SG" w:eastAsia="en-SG"/>
              </w:rPr>
            </w:pPr>
          </w:p>
        </w:tc>
        <w:tc>
          <w:tcPr>
            <w:tcW w:w="1009" w:type="dxa"/>
            <w:tcBorders>
              <w:left w:val="nil"/>
              <w:right w:val="nil"/>
            </w:tcBorders>
            <w:shd w:val="clear" w:color="000000" w:fill="FFFFFF"/>
            <w:noWrap/>
            <w:vAlign w:val="bottom"/>
          </w:tcPr>
          <w:p w14:paraId="33057512" w14:textId="77777777" w:rsidR="00FA18EA" w:rsidRPr="0075195E" w:rsidRDefault="00FA18EA" w:rsidP="00FA18EA">
            <w:pPr>
              <w:jc w:val="right"/>
              <w:rPr>
                <w:rFonts w:eastAsia="Times New Roman" w:cstheme="minorHAnsi"/>
                <w:b/>
                <w:bCs/>
                <w:sz w:val="18"/>
                <w:szCs w:val="18"/>
                <w:lang w:val="en-SG" w:eastAsia="en-SG"/>
              </w:rPr>
            </w:pPr>
          </w:p>
        </w:tc>
        <w:tc>
          <w:tcPr>
            <w:tcW w:w="1081" w:type="dxa"/>
            <w:tcBorders>
              <w:left w:val="nil"/>
              <w:right w:val="nil"/>
            </w:tcBorders>
            <w:shd w:val="clear" w:color="000000" w:fill="FFFFFF"/>
            <w:noWrap/>
            <w:vAlign w:val="bottom"/>
          </w:tcPr>
          <w:p w14:paraId="7368FADE" w14:textId="77777777" w:rsidR="00FA18EA" w:rsidRPr="00536A35" w:rsidRDefault="00FA18EA" w:rsidP="00FA18EA">
            <w:pPr>
              <w:jc w:val="right"/>
              <w:rPr>
                <w:rFonts w:eastAsia="Times New Roman" w:cstheme="minorHAnsi"/>
                <w:b/>
                <w:bCs/>
                <w:sz w:val="18"/>
                <w:szCs w:val="18"/>
                <w:lang w:val="en-SG" w:eastAsia="en-SG"/>
              </w:rPr>
            </w:pPr>
          </w:p>
        </w:tc>
        <w:tc>
          <w:tcPr>
            <w:tcW w:w="1117" w:type="dxa"/>
            <w:tcBorders>
              <w:left w:val="nil"/>
              <w:right w:val="nil"/>
            </w:tcBorders>
            <w:shd w:val="clear" w:color="000000" w:fill="FFFFFF"/>
            <w:noWrap/>
            <w:vAlign w:val="bottom"/>
          </w:tcPr>
          <w:p w14:paraId="1D6D13DB" w14:textId="77777777" w:rsidR="00FA18EA" w:rsidRPr="00A02B31" w:rsidRDefault="00FA18EA" w:rsidP="00FA18EA">
            <w:pPr>
              <w:jc w:val="right"/>
              <w:rPr>
                <w:rFonts w:eastAsia="Times New Roman" w:cstheme="minorHAnsi"/>
                <w:b/>
                <w:bCs/>
                <w:sz w:val="18"/>
                <w:szCs w:val="18"/>
                <w:lang w:val="en-SG" w:eastAsia="en-SG"/>
              </w:rPr>
            </w:pPr>
          </w:p>
        </w:tc>
        <w:tc>
          <w:tcPr>
            <w:tcW w:w="923" w:type="dxa"/>
            <w:tcBorders>
              <w:left w:val="nil"/>
              <w:right w:val="nil"/>
            </w:tcBorders>
            <w:shd w:val="clear" w:color="000000" w:fill="FFFFFF"/>
            <w:noWrap/>
            <w:vAlign w:val="bottom"/>
          </w:tcPr>
          <w:p w14:paraId="7C9F801D" w14:textId="77777777" w:rsidR="00FA18EA" w:rsidRPr="00A02B31" w:rsidRDefault="00FA18EA" w:rsidP="00FA18EA">
            <w:pPr>
              <w:jc w:val="right"/>
              <w:rPr>
                <w:rFonts w:eastAsia="Times New Roman" w:cstheme="minorHAnsi"/>
                <w:b/>
                <w:bCs/>
                <w:sz w:val="18"/>
                <w:szCs w:val="18"/>
                <w:lang w:val="en-SG" w:eastAsia="en-SG"/>
              </w:rPr>
            </w:pPr>
          </w:p>
        </w:tc>
      </w:tr>
      <w:tr w:rsidR="00FA18EA" w:rsidRPr="007600A7" w14:paraId="1C661EC6" w14:textId="77777777" w:rsidTr="00FA18EA">
        <w:trPr>
          <w:trHeight w:val="240"/>
        </w:trPr>
        <w:tc>
          <w:tcPr>
            <w:tcW w:w="3011" w:type="dxa"/>
            <w:tcBorders>
              <w:left w:val="nil"/>
              <w:bottom w:val="nil"/>
              <w:right w:val="nil"/>
            </w:tcBorders>
            <w:shd w:val="clear" w:color="000000" w:fill="FFFFFF"/>
            <w:noWrap/>
            <w:vAlign w:val="bottom"/>
            <w:hideMark/>
          </w:tcPr>
          <w:p w14:paraId="1B30DFCA" w14:textId="77777777" w:rsidR="00FA18EA" w:rsidRPr="008B2DDA" w:rsidRDefault="00FA18EA" w:rsidP="00FA18EA">
            <w:pPr>
              <w:rPr>
                <w:rFonts w:eastAsia="Times New Roman" w:cstheme="minorHAnsi"/>
                <w:sz w:val="18"/>
                <w:szCs w:val="18"/>
                <w:lang w:val="en-SG" w:eastAsia="en-SG"/>
              </w:rPr>
            </w:pPr>
            <w:r w:rsidRPr="008B2DDA">
              <w:rPr>
                <w:rFonts w:eastAsia="Times New Roman" w:cstheme="minorHAnsi"/>
                <w:sz w:val="18"/>
                <w:szCs w:val="18"/>
                <w:lang w:val="en-SG" w:eastAsia="en-SG"/>
              </w:rPr>
              <w:t>Share buy back</w:t>
            </w:r>
          </w:p>
        </w:tc>
        <w:tc>
          <w:tcPr>
            <w:tcW w:w="992" w:type="dxa"/>
            <w:tcBorders>
              <w:left w:val="nil"/>
              <w:bottom w:val="nil"/>
              <w:right w:val="nil"/>
            </w:tcBorders>
            <w:shd w:val="clear" w:color="000000" w:fill="FFFFFF"/>
            <w:noWrap/>
            <w:vAlign w:val="bottom"/>
            <w:hideMark/>
          </w:tcPr>
          <w:p w14:paraId="3D0615DC" w14:textId="77777777" w:rsidR="00FA18EA" w:rsidRPr="0091098D" w:rsidRDefault="00FA18EA" w:rsidP="00FA18EA">
            <w:pPr>
              <w:jc w:val="right"/>
              <w:rPr>
                <w:rFonts w:eastAsia="Times New Roman" w:cstheme="minorHAnsi"/>
                <w:sz w:val="18"/>
                <w:szCs w:val="18"/>
                <w:lang w:val="en-SG" w:eastAsia="en-SG"/>
              </w:rPr>
            </w:pPr>
            <w:r w:rsidRPr="000C5053">
              <w:rPr>
                <w:rFonts w:eastAsia="Times New Roman" w:cstheme="minorHAnsi"/>
                <w:sz w:val="18"/>
                <w:szCs w:val="18"/>
                <w:lang w:val="en-SG" w:eastAsia="en-SG"/>
              </w:rPr>
              <w:t>-</w:t>
            </w:r>
          </w:p>
        </w:tc>
        <w:tc>
          <w:tcPr>
            <w:tcW w:w="1069" w:type="dxa"/>
            <w:tcBorders>
              <w:left w:val="nil"/>
              <w:bottom w:val="nil"/>
              <w:right w:val="nil"/>
            </w:tcBorders>
            <w:shd w:val="clear" w:color="000000" w:fill="FFFFFF"/>
            <w:vAlign w:val="bottom"/>
          </w:tcPr>
          <w:p w14:paraId="2D816BB8" w14:textId="77777777" w:rsidR="00FA18EA" w:rsidRPr="0075195E" w:rsidRDefault="00FA18EA" w:rsidP="00FA18EA">
            <w:pPr>
              <w:jc w:val="right"/>
              <w:rPr>
                <w:rFonts w:eastAsia="Times New Roman" w:cstheme="minorHAnsi"/>
                <w:sz w:val="18"/>
                <w:szCs w:val="18"/>
                <w:lang w:val="en-SG" w:eastAsia="en-SG"/>
              </w:rPr>
            </w:pPr>
            <w:r w:rsidRPr="0075195E">
              <w:rPr>
                <w:rFonts w:eastAsia="Times New Roman" w:cstheme="minorHAnsi"/>
                <w:sz w:val="18"/>
                <w:szCs w:val="18"/>
                <w:lang w:val="en-SG" w:eastAsia="en-SG"/>
              </w:rPr>
              <w:t>-</w:t>
            </w:r>
          </w:p>
        </w:tc>
        <w:tc>
          <w:tcPr>
            <w:tcW w:w="859" w:type="dxa"/>
            <w:tcBorders>
              <w:left w:val="nil"/>
              <w:bottom w:val="nil"/>
              <w:right w:val="nil"/>
            </w:tcBorders>
            <w:shd w:val="clear" w:color="000000" w:fill="FFFFFF"/>
            <w:noWrap/>
            <w:hideMark/>
          </w:tcPr>
          <w:p w14:paraId="590E40AB" w14:textId="77777777" w:rsidR="00FA18EA" w:rsidRPr="0075195E" w:rsidRDefault="00FA18EA" w:rsidP="00FA18EA">
            <w:pPr>
              <w:jc w:val="right"/>
              <w:rPr>
                <w:rFonts w:eastAsia="Times New Roman" w:cstheme="minorHAnsi"/>
                <w:sz w:val="18"/>
                <w:szCs w:val="18"/>
                <w:lang w:val="en-SG" w:eastAsia="en-SG"/>
              </w:rPr>
            </w:pPr>
            <w:r w:rsidRPr="0075195E">
              <w:rPr>
                <w:rFonts w:eastAsia="Times New Roman" w:cstheme="minorHAnsi"/>
                <w:sz w:val="18"/>
                <w:szCs w:val="18"/>
                <w:lang w:val="en-SG" w:eastAsia="en-SG"/>
              </w:rPr>
              <w:t>-</w:t>
            </w:r>
          </w:p>
        </w:tc>
        <w:tc>
          <w:tcPr>
            <w:tcW w:w="1009" w:type="dxa"/>
            <w:tcBorders>
              <w:left w:val="nil"/>
              <w:bottom w:val="nil"/>
              <w:right w:val="nil"/>
            </w:tcBorders>
            <w:shd w:val="clear" w:color="000000" w:fill="FFFFFF"/>
            <w:noWrap/>
            <w:hideMark/>
          </w:tcPr>
          <w:p w14:paraId="12D3BD43" w14:textId="77777777" w:rsidR="00FA18EA" w:rsidRPr="00536A35" w:rsidRDefault="00FA18EA" w:rsidP="00FA18EA">
            <w:pPr>
              <w:jc w:val="right"/>
              <w:rPr>
                <w:rFonts w:eastAsia="Times New Roman" w:cstheme="minorHAnsi"/>
                <w:sz w:val="18"/>
                <w:szCs w:val="18"/>
                <w:lang w:val="en-SG" w:eastAsia="en-SG"/>
              </w:rPr>
            </w:pPr>
            <w:r w:rsidRPr="00536A35">
              <w:rPr>
                <w:rFonts w:eastAsia="Times New Roman" w:cstheme="minorHAnsi"/>
                <w:sz w:val="18"/>
                <w:szCs w:val="18"/>
                <w:lang w:val="en-SG" w:eastAsia="en-SG"/>
              </w:rPr>
              <w:t>-</w:t>
            </w:r>
          </w:p>
        </w:tc>
        <w:tc>
          <w:tcPr>
            <w:tcW w:w="1081" w:type="dxa"/>
            <w:tcBorders>
              <w:left w:val="nil"/>
              <w:bottom w:val="nil"/>
              <w:right w:val="nil"/>
            </w:tcBorders>
            <w:shd w:val="clear" w:color="000000" w:fill="FFFFFF"/>
            <w:noWrap/>
            <w:hideMark/>
          </w:tcPr>
          <w:p w14:paraId="60105E59" w14:textId="77777777" w:rsidR="00FA18EA" w:rsidRPr="00A02B31" w:rsidRDefault="00FA18EA" w:rsidP="00FA18EA">
            <w:pPr>
              <w:jc w:val="right"/>
              <w:rPr>
                <w:rFonts w:eastAsia="Times New Roman" w:cstheme="minorHAnsi"/>
                <w:sz w:val="18"/>
                <w:szCs w:val="18"/>
                <w:lang w:val="en-SG" w:eastAsia="en-SG"/>
              </w:rPr>
            </w:pPr>
            <w:r w:rsidRPr="00A02B31">
              <w:rPr>
                <w:rFonts w:eastAsia="Times New Roman" w:cstheme="minorHAnsi"/>
                <w:sz w:val="18"/>
                <w:szCs w:val="18"/>
                <w:lang w:val="en-SG" w:eastAsia="en-SG"/>
              </w:rPr>
              <w:t>-</w:t>
            </w:r>
          </w:p>
        </w:tc>
        <w:tc>
          <w:tcPr>
            <w:tcW w:w="1117" w:type="dxa"/>
            <w:tcBorders>
              <w:left w:val="nil"/>
              <w:bottom w:val="nil"/>
              <w:right w:val="nil"/>
            </w:tcBorders>
            <w:shd w:val="clear" w:color="000000" w:fill="FFFFFF"/>
            <w:noWrap/>
            <w:hideMark/>
          </w:tcPr>
          <w:p w14:paraId="6F006035" w14:textId="77777777" w:rsidR="00FA18EA" w:rsidRPr="00A02B31" w:rsidRDefault="00FA18EA" w:rsidP="00FA18EA">
            <w:pPr>
              <w:jc w:val="right"/>
              <w:rPr>
                <w:rFonts w:eastAsia="Times New Roman" w:cstheme="minorHAnsi"/>
                <w:sz w:val="18"/>
                <w:szCs w:val="18"/>
                <w:lang w:val="en-SG" w:eastAsia="en-SG"/>
              </w:rPr>
            </w:pPr>
            <w:r w:rsidRPr="00A02B31">
              <w:rPr>
                <w:rFonts w:eastAsia="Times New Roman" w:cstheme="minorHAnsi"/>
                <w:sz w:val="18"/>
                <w:szCs w:val="18"/>
                <w:lang w:val="en-SG" w:eastAsia="en-SG"/>
              </w:rPr>
              <w:t>-</w:t>
            </w:r>
          </w:p>
        </w:tc>
        <w:tc>
          <w:tcPr>
            <w:tcW w:w="923" w:type="dxa"/>
            <w:tcBorders>
              <w:left w:val="nil"/>
              <w:bottom w:val="nil"/>
              <w:right w:val="nil"/>
            </w:tcBorders>
            <w:shd w:val="clear" w:color="000000" w:fill="FFFFFF"/>
            <w:noWrap/>
            <w:hideMark/>
          </w:tcPr>
          <w:p w14:paraId="7C77D653" w14:textId="77777777" w:rsidR="00FA18EA" w:rsidRPr="00A02B31" w:rsidRDefault="00FA18EA" w:rsidP="00FA18EA">
            <w:pPr>
              <w:jc w:val="right"/>
              <w:rPr>
                <w:rFonts w:eastAsia="Times New Roman" w:cstheme="minorHAnsi"/>
                <w:sz w:val="18"/>
                <w:szCs w:val="18"/>
                <w:lang w:val="en-SG" w:eastAsia="en-SG"/>
              </w:rPr>
            </w:pPr>
            <w:r w:rsidRPr="00A02B31">
              <w:rPr>
                <w:rFonts w:eastAsia="Times New Roman" w:cstheme="minorHAnsi"/>
                <w:sz w:val="18"/>
                <w:szCs w:val="18"/>
                <w:lang w:val="en-SG" w:eastAsia="en-SG"/>
              </w:rPr>
              <w:t>-</w:t>
            </w:r>
          </w:p>
        </w:tc>
      </w:tr>
      <w:tr w:rsidR="00FA18EA" w:rsidRPr="007600A7" w14:paraId="35EB3A65" w14:textId="77777777" w:rsidTr="00FA18EA">
        <w:trPr>
          <w:trHeight w:val="240"/>
        </w:trPr>
        <w:tc>
          <w:tcPr>
            <w:tcW w:w="3011" w:type="dxa"/>
            <w:tcBorders>
              <w:top w:val="nil"/>
              <w:left w:val="nil"/>
              <w:bottom w:val="single" w:sz="4" w:space="0" w:color="auto"/>
              <w:right w:val="nil"/>
            </w:tcBorders>
            <w:shd w:val="clear" w:color="000000" w:fill="FFFFFF"/>
            <w:noWrap/>
            <w:vAlign w:val="bottom"/>
            <w:hideMark/>
          </w:tcPr>
          <w:p w14:paraId="14B745B5" w14:textId="77777777" w:rsidR="00FA18EA" w:rsidRPr="008B2DDA" w:rsidRDefault="00FA18EA" w:rsidP="00FA18EA">
            <w:pPr>
              <w:rPr>
                <w:rFonts w:eastAsia="Times New Roman" w:cstheme="minorHAnsi"/>
                <w:sz w:val="18"/>
                <w:szCs w:val="18"/>
                <w:lang w:val="en-SG" w:eastAsia="en-SG"/>
              </w:rPr>
            </w:pPr>
            <w:r w:rsidRPr="008B2DDA">
              <w:rPr>
                <w:rFonts w:eastAsia="Times New Roman" w:cstheme="minorHAnsi"/>
                <w:sz w:val="18"/>
                <w:szCs w:val="18"/>
                <w:lang w:val="en-SG" w:eastAsia="en-SG"/>
              </w:rPr>
              <w:t>Dividends paid</w:t>
            </w:r>
          </w:p>
        </w:tc>
        <w:tc>
          <w:tcPr>
            <w:tcW w:w="992" w:type="dxa"/>
            <w:tcBorders>
              <w:top w:val="nil"/>
              <w:left w:val="nil"/>
              <w:bottom w:val="single" w:sz="4" w:space="0" w:color="auto"/>
              <w:right w:val="nil"/>
            </w:tcBorders>
            <w:shd w:val="clear" w:color="000000" w:fill="FFFFFF"/>
            <w:noWrap/>
            <w:vAlign w:val="bottom"/>
            <w:hideMark/>
          </w:tcPr>
          <w:p w14:paraId="55F9F7EF" w14:textId="77777777" w:rsidR="00FA18EA" w:rsidRPr="0091098D" w:rsidRDefault="00FA18EA" w:rsidP="00FA18EA">
            <w:pPr>
              <w:jc w:val="right"/>
              <w:rPr>
                <w:rFonts w:eastAsia="Times New Roman" w:cstheme="minorHAnsi"/>
                <w:sz w:val="18"/>
                <w:szCs w:val="18"/>
                <w:lang w:val="en-SG" w:eastAsia="en-SG"/>
              </w:rPr>
            </w:pPr>
            <w:r w:rsidRPr="000C5053">
              <w:rPr>
                <w:rFonts w:eastAsia="Times New Roman" w:cstheme="minorHAnsi"/>
                <w:sz w:val="18"/>
                <w:szCs w:val="18"/>
                <w:lang w:val="en-SG" w:eastAsia="en-SG"/>
              </w:rPr>
              <w:t>-</w:t>
            </w:r>
          </w:p>
        </w:tc>
        <w:tc>
          <w:tcPr>
            <w:tcW w:w="1069" w:type="dxa"/>
            <w:tcBorders>
              <w:top w:val="nil"/>
              <w:left w:val="nil"/>
              <w:bottom w:val="single" w:sz="4" w:space="0" w:color="auto"/>
              <w:right w:val="nil"/>
            </w:tcBorders>
            <w:shd w:val="clear" w:color="000000" w:fill="FFFFFF"/>
            <w:vAlign w:val="bottom"/>
          </w:tcPr>
          <w:p w14:paraId="71A97B17" w14:textId="77777777" w:rsidR="00FA18EA" w:rsidRPr="0075195E" w:rsidRDefault="00FA18EA" w:rsidP="00FA18EA">
            <w:pPr>
              <w:jc w:val="right"/>
              <w:rPr>
                <w:rFonts w:eastAsia="Times New Roman" w:cstheme="minorHAnsi"/>
                <w:sz w:val="18"/>
                <w:szCs w:val="18"/>
                <w:lang w:val="en-SG" w:eastAsia="en-SG"/>
              </w:rPr>
            </w:pPr>
            <w:r w:rsidRPr="0075195E">
              <w:rPr>
                <w:rFonts w:eastAsia="Times New Roman" w:cstheme="minorHAnsi"/>
                <w:sz w:val="18"/>
                <w:szCs w:val="18"/>
                <w:lang w:val="en-SG" w:eastAsia="en-SG"/>
              </w:rPr>
              <w:t>-</w:t>
            </w:r>
          </w:p>
        </w:tc>
        <w:tc>
          <w:tcPr>
            <w:tcW w:w="859" w:type="dxa"/>
            <w:tcBorders>
              <w:top w:val="nil"/>
              <w:left w:val="nil"/>
              <w:bottom w:val="single" w:sz="4" w:space="0" w:color="auto"/>
              <w:right w:val="nil"/>
            </w:tcBorders>
            <w:shd w:val="clear" w:color="000000" w:fill="FFFFFF"/>
            <w:noWrap/>
            <w:vAlign w:val="bottom"/>
            <w:hideMark/>
          </w:tcPr>
          <w:p w14:paraId="0DE41772" w14:textId="77777777" w:rsidR="00FA18EA" w:rsidRPr="0075195E" w:rsidRDefault="00FA18EA" w:rsidP="00FA18EA">
            <w:pPr>
              <w:jc w:val="right"/>
              <w:rPr>
                <w:rFonts w:eastAsia="Times New Roman" w:cstheme="minorHAnsi"/>
                <w:sz w:val="18"/>
                <w:szCs w:val="18"/>
                <w:lang w:val="en-SG" w:eastAsia="en-SG"/>
              </w:rPr>
            </w:pPr>
            <w:r w:rsidRPr="0075195E">
              <w:rPr>
                <w:rFonts w:eastAsia="Times New Roman" w:cstheme="minorHAnsi"/>
                <w:sz w:val="18"/>
                <w:szCs w:val="18"/>
                <w:lang w:val="en-SG" w:eastAsia="en-SG"/>
              </w:rPr>
              <w:t>-</w:t>
            </w:r>
          </w:p>
        </w:tc>
        <w:tc>
          <w:tcPr>
            <w:tcW w:w="1009" w:type="dxa"/>
            <w:tcBorders>
              <w:top w:val="nil"/>
              <w:left w:val="nil"/>
              <w:bottom w:val="single" w:sz="4" w:space="0" w:color="auto"/>
              <w:right w:val="nil"/>
            </w:tcBorders>
            <w:shd w:val="clear" w:color="000000" w:fill="FFFFFF"/>
            <w:noWrap/>
            <w:vAlign w:val="bottom"/>
            <w:hideMark/>
          </w:tcPr>
          <w:p w14:paraId="02642E16" w14:textId="77777777" w:rsidR="00FA18EA" w:rsidRPr="00536A35" w:rsidRDefault="00FA18EA" w:rsidP="00FA18EA">
            <w:pPr>
              <w:jc w:val="right"/>
              <w:rPr>
                <w:rFonts w:eastAsia="Times New Roman" w:cstheme="minorHAnsi"/>
                <w:sz w:val="18"/>
                <w:szCs w:val="18"/>
                <w:lang w:val="en-SG" w:eastAsia="en-SG"/>
              </w:rPr>
            </w:pPr>
            <w:r w:rsidRPr="00536A35">
              <w:rPr>
                <w:rFonts w:eastAsia="Times New Roman" w:cstheme="minorHAnsi"/>
                <w:sz w:val="18"/>
                <w:szCs w:val="18"/>
                <w:lang w:val="en-SG" w:eastAsia="en-SG"/>
              </w:rPr>
              <w:t>-</w:t>
            </w:r>
          </w:p>
        </w:tc>
        <w:tc>
          <w:tcPr>
            <w:tcW w:w="1081" w:type="dxa"/>
            <w:tcBorders>
              <w:top w:val="nil"/>
              <w:left w:val="nil"/>
              <w:bottom w:val="single" w:sz="4" w:space="0" w:color="auto"/>
              <w:right w:val="nil"/>
            </w:tcBorders>
            <w:shd w:val="clear" w:color="000000" w:fill="FFFFFF"/>
            <w:noWrap/>
            <w:vAlign w:val="bottom"/>
            <w:hideMark/>
          </w:tcPr>
          <w:p w14:paraId="5848A1E9" w14:textId="77777777" w:rsidR="00FA18EA" w:rsidRPr="00A02B31" w:rsidRDefault="00FA18EA" w:rsidP="00FA18EA">
            <w:pPr>
              <w:jc w:val="right"/>
              <w:rPr>
                <w:rFonts w:eastAsia="Times New Roman" w:cstheme="minorHAnsi"/>
                <w:sz w:val="18"/>
                <w:szCs w:val="18"/>
                <w:lang w:val="en-SG" w:eastAsia="en-SG"/>
              </w:rPr>
            </w:pPr>
            <w:r w:rsidRPr="00A02B31">
              <w:rPr>
                <w:rFonts w:eastAsia="Times New Roman" w:cstheme="minorHAnsi"/>
                <w:sz w:val="18"/>
                <w:szCs w:val="18"/>
                <w:lang w:val="en-SG" w:eastAsia="en-SG"/>
              </w:rPr>
              <w:t>(867)</w:t>
            </w:r>
          </w:p>
        </w:tc>
        <w:tc>
          <w:tcPr>
            <w:tcW w:w="1117" w:type="dxa"/>
            <w:tcBorders>
              <w:top w:val="nil"/>
              <w:left w:val="nil"/>
              <w:bottom w:val="single" w:sz="4" w:space="0" w:color="auto"/>
              <w:right w:val="nil"/>
            </w:tcBorders>
            <w:shd w:val="clear" w:color="000000" w:fill="FFFFFF"/>
            <w:noWrap/>
            <w:vAlign w:val="bottom"/>
            <w:hideMark/>
          </w:tcPr>
          <w:p w14:paraId="75785005" w14:textId="77777777" w:rsidR="00FA18EA" w:rsidRPr="00A02B31" w:rsidRDefault="00FA18EA" w:rsidP="00FA18EA">
            <w:pPr>
              <w:jc w:val="right"/>
              <w:rPr>
                <w:rFonts w:eastAsia="Times New Roman" w:cstheme="minorHAnsi"/>
                <w:sz w:val="18"/>
                <w:szCs w:val="18"/>
                <w:lang w:val="en-SG" w:eastAsia="en-SG"/>
              </w:rPr>
            </w:pPr>
            <w:r w:rsidRPr="00A02B31">
              <w:rPr>
                <w:rFonts w:eastAsia="Times New Roman" w:cstheme="minorHAnsi"/>
                <w:sz w:val="18"/>
                <w:szCs w:val="18"/>
                <w:lang w:val="en-SG" w:eastAsia="en-SG"/>
              </w:rPr>
              <w:t>-</w:t>
            </w:r>
          </w:p>
        </w:tc>
        <w:tc>
          <w:tcPr>
            <w:tcW w:w="923" w:type="dxa"/>
            <w:tcBorders>
              <w:top w:val="nil"/>
              <w:left w:val="nil"/>
              <w:bottom w:val="single" w:sz="4" w:space="0" w:color="auto"/>
              <w:right w:val="nil"/>
            </w:tcBorders>
            <w:shd w:val="clear" w:color="000000" w:fill="FFFFFF"/>
            <w:noWrap/>
            <w:vAlign w:val="bottom"/>
            <w:hideMark/>
          </w:tcPr>
          <w:p w14:paraId="23A2C1A2" w14:textId="77777777" w:rsidR="00FA18EA" w:rsidRPr="00A02B31" w:rsidRDefault="00FA18EA" w:rsidP="00FA18EA">
            <w:pPr>
              <w:jc w:val="right"/>
              <w:rPr>
                <w:rFonts w:eastAsia="Times New Roman" w:cstheme="minorHAnsi"/>
                <w:sz w:val="18"/>
                <w:szCs w:val="18"/>
                <w:lang w:val="en-SG" w:eastAsia="en-SG"/>
              </w:rPr>
            </w:pPr>
            <w:r w:rsidRPr="00A02B31">
              <w:rPr>
                <w:rFonts w:eastAsia="Times New Roman" w:cstheme="minorHAnsi"/>
                <w:sz w:val="18"/>
                <w:szCs w:val="18"/>
                <w:lang w:val="en-SG" w:eastAsia="en-SG"/>
              </w:rPr>
              <w:t>(867)</w:t>
            </w:r>
          </w:p>
        </w:tc>
      </w:tr>
      <w:tr w:rsidR="00FA18EA" w:rsidRPr="007600A7" w14:paraId="4776E814" w14:textId="77777777" w:rsidTr="00FA18EA">
        <w:trPr>
          <w:trHeight w:val="240"/>
        </w:trPr>
        <w:tc>
          <w:tcPr>
            <w:tcW w:w="3011" w:type="dxa"/>
            <w:tcBorders>
              <w:top w:val="single" w:sz="4" w:space="0" w:color="auto"/>
              <w:left w:val="nil"/>
              <w:bottom w:val="single" w:sz="4" w:space="0" w:color="auto"/>
              <w:right w:val="nil"/>
            </w:tcBorders>
            <w:shd w:val="clear" w:color="000000" w:fill="FFFFFF"/>
            <w:noWrap/>
            <w:vAlign w:val="bottom"/>
            <w:hideMark/>
          </w:tcPr>
          <w:p w14:paraId="1C2C06AA" w14:textId="77777777" w:rsidR="00FA18EA" w:rsidRPr="008B2DDA" w:rsidRDefault="00FA18EA" w:rsidP="00FA18EA">
            <w:pPr>
              <w:rPr>
                <w:rFonts w:eastAsia="Times New Roman" w:cstheme="minorHAnsi"/>
                <w:b/>
                <w:bCs/>
                <w:sz w:val="18"/>
                <w:szCs w:val="18"/>
                <w:lang w:val="en-SG" w:eastAsia="en-SG"/>
              </w:rPr>
            </w:pPr>
            <w:r w:rsidRPr="008B2DDA">
              <w:rPr>
                <w:rFonts w:eastAsia="Times New Roman" w:cstheme="minorHAnsi"/>
                <w:b/>
                <w:bCs/>
                <w:sz w:val="18"/>
                <w:szCs w:val="18"/>
                <w:lang w:val="en-SG" w:eastAsia="en-SG"/>
              </w:rPr>
              <w:t>Balance at 31 March 2021</w:t>
            </w:r>
          </w:p>
        </w:tc>
        <w:tc>
          <w:tcPr>
            <w:tcW w:w="992" w:type="dxa"/>
            <w:tcBorders>
              <w:top w:val="single" w:sz="4" w:space="0" w:color="auto"/>
              <w:left w:val="nil"/>
              <w:bottom w:val="single" w:sz="4" w:space="0" w:color="auto"/>
              <w:right w:val="nil"/>
            </w:tcBorders>
            <w:shd w:val="clear" w:color="000000" w:fill="FFFFFF"/>
            <w:noWrap/>
            <w:vAlign w:val="bottom"/>
            <w:hideMark/>
          </w:tcPr>
          <w:p w14:paraId="600876A8" w14:textId="77777777" w:rsidR="00FA18EA" w:rsidRPr="0091098D" w:rsidRDefault="00FA18EA" w:rsidP="00FA18EA">
            <w:pPr>
              <w:jc w:val="right"/>
              <w:rPr>
                <w:rFonts w:eastAsia="Times New Roman" w:cstheme="minorHAnsi"/>
                <w:b/>
                <w:bCs/>
                <w:sz w:val="18"/>
                <w:szCs w:val="18"/>
                <w:lang w:val="en-SG" w:eastAsia="en-SG"/>
              </w:rPr>
            </w:pPr>
            <w:r w:rsidRPr="000C5053">
              <w:rPr>
                <w:rFonts w:eastAsia="Times New Roman" w:cstheme="minorHAnsi"/>
                <w:b/>
                <w:bCs/>
                <w:sz w:val="18"/>
                <w:szCs w:val="18"/>
                <w:lang w:val="en-SG" w:eastAsia="en-SG"/>
              </w:rPr>
              <w:t>-</w:t>
            </w:r>
          </w:p>
        </w:tc>
        <w:tc>
          <w:tcPr>
            <w:tcW w:w="1069" w:type="dxa"/>
            <w:tcBorders>
              <w:top w:val="single" w:sz="4" w:space="0" w:color="auto"/>
              <w:left w:val="nil"/>
              <w:bottom w:val="single" w:sz="4" w:space="0" w:color="auto"/>
              <w:right w:val="nil"/>
            </w:tcBorders>
            <w:shd w:val="clear" w:color="000000" w:fill="FFFFFF"/>
            <w:vAlign w:val="bottom"/>
          </w:tcPr>
          <w:p w14:paraId="3FBCEF23" w14:textId="77777777" w:rsidR="00FA18EA" w:rsidRPr="0075195E" w:rsidRDefault="00FA18EA" w:rsidP="00FA18EA">
            <w:pPr>
              <w:jc w:val="right"/>
              <w:rPr>
                <w:rFonts w:eastAsia="Times New Roman" w:cstheme="minorHAnsi"/>
                <w:b/>
                <w:sz w:val="18"/>
                <w:szCs w:val="18"/>
                <w:lang w:val="en-SG" w:eastAsia="en-SG"/>
              </w:rPr>
            </w:pPr>
            <w:r w:rsidRPr="0075195E">
              <w:rPr>
                <w:rFonts w:eastAsia="Times New Roman" w:cstheme="minorHAnsi"/>
                <w:b/>
                <w:sz w:val="18"/>
                <w:szCs w:val="18"/>
                <w:lang w:val="en-SG" w:eastAsia="en-SG"/>
              </w:rPr>
              <w:t>10</w:t>
            </w:r>
          </w:p>
        </w:tc>
        <w:tc>
          <w:tcPr>
            <w:tcW w:w="859" w:type="dxa"/>
            <w:tcBorders>
              <w:top w:val="single" w:sz="4" w:space="0" w:color="auto"/>
              <w:left w:val="nil"/>
              <w:bottom w:val="single" w:sz="4" w:space="0" w:color="auto"/>
              <w:right w:val="nil"/>
            </w:tcBorders>
            <w:shd w:val="clear" w:color="000000" w:fill="FFFFFF"/>
            <w:noWrap/>
            <w:vAlign w:val="bottom"/>
            <w:hideMark/>
          </w:tcPr>
          <w:p w14:paraId="4E2EDEF7" w14:textId="77777777" w:rsidR="00FA18EA" w:rsidRPr="0075195E" w:rsidRDefault="00FA18EA" w:rsidP="00FA18EA">
            <w:pPr>
              <w:jc w:val="right"/>
              <w:rPr>
                <w:rFonts w:eastAsia="Times New Roman" w:cstheme="minorHAnsi"/>
                <w:b/>
                <w:bCs/>
                <w:sz w:val="18"/>
                <w:szCs w:val="18"/>
                <w:lang w:val="en-SG" w:eastAsia="en-SG"/>
              </w:rPr>
            </w:pPr>
            <w:r w:rsidRPr="0075195E">
              <w:rPr>
                <w:rFonts w:eastAsia="Times New Roman" w:cstheme="minorHAnsi"/>
                <w:b/>
                <w:bCs/>
                <w:sz w:val="18"/>
                <w:szCs w:val="18"/>
                <w:lang w:val="en-SG" w:eastAsia="en-SG"/>
              </w:rPr>
              <w:t>1,741</w:t>
            </w:r>
          </w:p>
        </w:tc>
        <w:tc>
          <w:tcPr>
            <w:tcW w:w="1009" w:type="dxa"/>
            <w:tcBorders>
              <w:top w:val="single" w:sz="4" w:space="0" w:color="auto"/>
              <w:left w:val="nil"/>
              <w:bottom w:val="single" w:sz="4" w:space="0" w:color="auto"/>
              <w:right w:val="nil"/>
            </w:tcBorders>
            <w:shd w:val="clear" w:color="000000" w:fill="FFFFFF"/>
            <w:noWrap/>
            <w:vAlign w:val="bottom"/>
            <w:hideMark/>
          </w:tcPr>
          <w:p w14:paraId="772C8DFB" w14:textId="77777777" w:rsidR="00FA18EA" w:rsidRPr="00536A35" w:rsidRDefault="00FA18EA" w:rsidP="00FA18EA">
            <w:pPr>
              <w:jc w:val="right"/>
              <w:rPr>
                <w:rFonts w:eastAsia="Times New Roman" w:cstheme="minorHAnsi"/>
                <w:b/>
                <w:bCs/>
                <w:sz w:val="18"/>
                <w:szCs w:val="18"/>
                <w:lang w:val="en-SG" w:eastAsia="en-SG"/>
              </w:rPr>
            </w:pPr>
            <w:r w:rsidRPr="00536A35">
              <w:rPr>
                <w:rFonts w:eastAsia="Times New Roman" w:cstheme="minorHAnsi"/>
                <w:b/>
                <w:bCs/>
                <w:sz w:val="18"/>
                <w:szCs w:val="18"/>
                <w:lang w:val="en-SG" w:eastAsia="en-SG"/>
              </w:rPr>
              <w:t>13,063</w:t>
            </w:r>
          </w:p>
        </w:tc>
        <w:tc>
          <w:tcPr>
            <w:tcW w:w="1081" w:type="dxa"/>
            <w:tcBorders>
              <w:top w:val="single" w:sz="4" w:space="0" w:color="auto"/>
              <w:left w:val="nil"/>
              <w:bottom w:val="single" w:sz="4" w:space="0" w:color="auto"/>
              <w:right w:val="nil"/>
            </w:tcBorders>
            <w:shd w:val="clear" w:color="000000" w:fill="FFFFFF"/>
            <w:noWrap/>
            <w:vAlign w:val="bottom"/>
            <w:hideMark/>
          </w:tcPr>
          <w:p w14:paraId="034FD7BD" w14:textId="77777777" w:rsidR="00FA18EA" w:rsidRPr="00A02B31" w:rsidRDefault="00FA18EA" w:rsidP="00FA18EA">
            <w:pPr>
              <w:jc w:val="right"/>
              <w:rPr>
                <w:rFonts w:eastAsia="Times New Roman" w:cstheme="minorHAnsi"/>
                <w:b/>
                <w:bCs/>
                <w:sz w:val="18"/>
                <w:szCs w:val="18"/>
                <w:lang w:val="en-SG" w:eastAsia="en-SG"/>
              </w:rPr>
            </w:pPr>
            <w:r w:rsidRPr="00A02B31">
              <w:rPr>
                <w:rFonts w:eastAsia="Times New Roman" w:cstheme="minorHAnsi"/>
                <w:b/>
                <w:bCs/>
                <w:sz w:val="18"/>
                <w:szCs w:val="18"/>
                <w:lang w:val="en-SG" w:eastAsia="en-SG"/>
              </w:rPr>
              <w:t>26,969</w:t>
            </w:r>
          </w:p>
        </w:tc>
        <w:tc>
          <w:tcPr>
            <w:tcW w:w="1117" w:type="dxa"/>
            <w:tcBorders>
              <w:top w:val="single" w:sz="4" w:space="0" w:color="auto"/>
              <w:left w:val="nil"/>
              <w:bottom w:val="single" w:sz="4" w:space="0" w:color="auto"/>
              <w:right w:val="nil"/>
            </w:tcBorders>
            <w:shd w:val="clear" w:color="000000" w:fill="FFFFFF"/>
            <w:noWrap/>
            <w:vAlign w:val="bottom"/>
            <w:hideMark/>
          </w:tcPr>
          <w:p w14:paraId="29142363" w14:textId="77777777" w:rsidR="00FA18EA" w:rsidRPr="00A02B31" w:rsidRDefault="00FA18EA" w:rsidP="00FA18EA">
            <w:pPr>
              <w:jc w:val="right"/>
              <w:rPr>
                <w:rFonts w:eastAsia="Times New Roman" w:cstheme="minorHAnsi"/>
                <w:b/>
                <w:bCs/>
                <w:sz w:val="18"/>
                <w:szCs w:val="18"/>
                <w:lang w:val="en-SG" w:eastAsia="en-SG"/>
              </w:rPr>
            </w:pPr>
            <w:r w:rsidRPr="00A02B31">
              <w:rPr>
                <w:rFonts w:eastAsia="Times New Roman" w:cstheme="minorHAnsi"/>
                <w:b/>
                <w:bCs/>
                <w:sz w:val="18"/>
                <w:szCs w:val="18"/>
                <w:lang w:val="en-SG" w:eastAsia="en-SG"/>
              </w:rPr>
              <w:t>10,874</w:t>
            </w:r>
          </w:p>
        </w:tc>
        <w:tc>
          <w:tcPr>
            <w:tcW w:w="923" w:type="dxa"/>
            <w:tcBorders>
              <w:top w:val="single" w:sz="4" w:space="0" w:color="auto"/>
              <w:left w:val="nil"/>
              <w:bottom w:val="single" w:sz="4" w:space="0" w:color="auto"/>
              <w:right w:val="nil"/>
            </w:tcBorders>
            <w:shd w:val="clear" w:color="000000" w:fill="FFFFFF"/>
            <w:noWrap/>
            <w:vAlign w:val="bottom"/>
            <w:hideMark/>
          </w:tcPr>
          <w:p w14:paraId="049E4983" w14:textId="77777777" w:rsidR="00FA18EA" w:rsidRPr="00A02B31" w:rsidRDefault="00FA18EA" w:rsidP="00FA18EA">
            <w:pPr>
              <w:jc w:val="right"/>
              <w:rPr>
                <w:rFonts w:eastAsia="Times New Roman" w:cstheme="minorHAnsi"/>
                <w:b/>
                <w:bCs/>
                <w:sz w:val="18"/>
                <w:szCs w:val="18"/>
                <w:lang w:val="en-SG" w:eastAsia="en-SG"/>
              </w:rPr>
            </w:pPr>
            <w:r w:rsidRPr="00A02B31">
              <w:rPr>
                <w:rFonts w:eastAsia="Times New Roman" w:cstheme="minorHAnsi"/>
                <w:b/>
                <w:bCs/>
                <w:sz w:val="18"/>
                <w:szCs w:val="18"/>
                <w:lang w:val="en-SG" w:eastAsia="en-SG"/>
              </w:rPr>
              <w:t>52,657</w:t>
            </w:r>
          </w:p>
        </w:tc>
      </w:tr>
      <w:tr w:rsidR="00FA18EA" w:rsidRPr="007600A7" w14:paraId="0AAD23D4" w14:textId="77777777" w:rsidTr="00FA18EA">
        <w:trPr>
          <w:trHeight w:val="240"/>
        </w:trPr>
        <w:tc>
          <w:tcPr>
            <w:tcW w:w="3011" w:type="dxa"/>
            <w:tcBorders>
              <w:top w:val="nil"/>
              <w:left w:val="nil"/>
              <w:bottom w:val="nil"/>
              <w:right w:val="nil"/>
            </w:tcBorders>
            <w:shd w:val="clear" w:color="000000" w:fill="FFFFFF"/>
            <w:noWrap/>
            <w:vAlign w:val="bottom"/>
            <w:hideMark/>
          </w:tcPr>
          <w:p w14:paraId="37B217AA" w14:textId="77777777" w:rsidR="00FA18EA" w:rsidRPr="008B2DDA" w:rsidRDefault="00FA18EA" w:rsidP="00FA18EA">
            <w:pPr>
              <w:rPr>
                <w:rFonts w:eastAsia="Times New Roman" w:cstheme="minorHAnsi"/>
                <w:sz w:val="18"/>
                <w:szCs w:val="18"/>
                <w:lang w:val="en-SG" w:eastAsia="en-SG"/>
              </w:rPr>
            </w:pPr>
            <w:r w:rsidRPr="008B2DDA">
              <w:rPr>
                <w:rFonts w:eastAsia="Times New Roman" w:cstheme="minorHAnsi"/>
                <w:sz w:val="18"/>
                <w:szCs w:val="18"/>
                <w:lang w:val="en-SG" w:eastAsia="en-SG"/>
              </w:rPr>
              <w:t> </w:t>
            </w:r>
          </w:p>
        </w:tc>
        <w:tc>
          <w:tcPr>
            <w:tcW w:w="992" w:type="dxa"/>
            <w:tcBorders>
              <w:top w:val="nil"/>
              <w:left w:val="nil"/>
              <w:bottom w:val="nil"/>
              <w:right w:val="nil"/>
            </w:tcBorders>
            <w:shd w:val="clear" w:color="000000" w:fill="FFFFFF"/>
            <w:noWrap/>
            <w:vAlign w:val="bottom"/>
            <w:hideMark/>
          </w:tcPr>
          <w:p w14:paraId="4642AAC7" w14:textId="77777777" w:rsidR="00FA18EA" w:rsidRPr="0091098D" w:rsidRDefault="00FA18EA" w:rsidP="00FA18EA">
            <w:pPr>
              <w:rPr>
                <w:rFonts w:eastAsia="Times New Roman" w:cstheme="minorHAnsi"/>
                <w:sz w:val="18"/>
                <w:szCs w:val="18"/>
                <w:lang w:val="en-SG" w:eastAsia="en-SG"/>
              </w:rPr>
            </w:pPr>
            <w:r w:rsidRPr="000C5053">
              <w:rPr>
                <w:rFonts w:eastAsia="Times New Roman" w:cstheme="minorHAnsi"/>
                <w:sz w:val="18"/>
                <w:szCs w:val="18"/>
                <w:lang w:val="en-SG" w:eastAsia="en-SG"/>
              </w:rPr>
              <w:t> </w:t>
            </w:r>
          </w:p>
        </w:tc>
        <w:tc>
          <w:tcPr>
            <w:tcW w:w="1069" w:type="dxa"/>
            <w:tcBorders>
              <w:top w:val="nil"/>
              <w:left w:val="nil"/>
              <w:bottom w:val="nil"/>
              <w:right w:val="nil"/>
            </w:tcBorders>
            <w:shd w:val="clear" w:color="000000" w:fill="FFFFFF"/>
            <w:vAlign w:val="bottom"/>
          </w:tcPr>
          <w:p w14:paraId="069E5BDA" w14:textId="77777777" w:rsidR="00FA18EA" w:rsidRPr="0075195E" w:rsidRDefault="00FA18EA" w:rsidP="00FA18EA">
            <w:pPr>
              <w:jc w:val="right"/>
              <w:rPr>
                <w:rFonts w:eastAsia="Times New Roman" w:cstheme="minorHAnsi"/>
                <w:sz w:val="18"/>
                <w:szCs w:val="18"/>
                <w:lang w:val="en-SG" w:eastAsia="en-SG"/>
              </w:rPr>
            </w:pPr>
            <w:r w:rsidRPr="0075195E">
              <w:rPr>
                <w:rFonts w:eastAsia="Times New Roman" w:cstheme="minorHAnsi"/>
                <w:sz w:val="18"/>
                <w:szCs w:val="18"/>
                <w:lang w:val="en-SG" w:eastAsia="en-SG"/>
              </w:rPr>
              <w:t> </w:t>
            </w:r>
          </w:p>
        </w:tc>
        <w:tc>
          <w:tcPr>
            <w:tcW w:w="859" w:type="dxa"/>
            <w:tcBorders>
              <w:top w:val="nil"/>
              <w:left w:val="nil"/>
              <w:bottom w:val="nil"/>
              <w:right w:val="nil"/>
            </w:tcBorders>
            <w:shd w:val="clear" w:color="000000" w:fill="FFFFFF"/>
            <w:noWrap/>
            <w:vAlign w:val="bottom"/>
            <w:hideMark/>
          </w:tcPr>
          <w:p w14:paraId="04367F95" w14:textId="77777777" w:rsidR="00FA18EA" w:rsidRPr="0075195E" w:rsidRDefault="00FA18EA" w:rsidP="00FA18EA">
            <w:pPr>
              <w:rPr>
                <w:rFonts w:eastAsia="Times New Roman" w:cstheme="minorHAnsi"/>
                <w:sz w:val="18"/>
                <w:szCs w:val="18"/>
                <w:lang w:val="en-SG" w:eastAsia="en-SG"/>
              </w:rPr>
            </w:pPr>
            <w:r w:rsidRPr="0075195E">
              <w:rPr>
                <w:rFonts w:eastAsia="Times New Roman" w:cstheme="minorHAnsi"/>
                <w:sz w:val="18"/>
                <w:szCs w:val="18"/>
                <w:lang w:val="en-SG" w:eastAsia="en-SG"/>
              </w:rPr>
              <w:t> </w:t>
            </w:r>
          </w:p>
        </w:tc>
        <w:tc>
          <w:tcPr>
            <w:tcW w:w="1009" w:type="dxa"/>
            <w:tcBorders>
              <w:top w:val="nil"/>
              <w:left w:val="nil"/>
              <w:bottom w:val="nil"/>
              <w:right w:val="nil"/>
            </w:tcBorders>
            <w:shd w:val="clear" w:color="000000" w:fill="FFFFFF"/>
            <w:noWrap/>
            <w:vAlign w:val="bottom"/>
            <w:hideMark/>
          </w:tcPr>
          <w:p w14:paraId="39C9323F" w14:textId="77777777" w:rsidR="00FA18EA" w:rsidRPr="00536A35" w:rsidRDefault="00FA18EA" w:rsidP="00FA18EA">
            <w:pPr>
              <w:rPr>
                <w:rFonts w:eastAsia="Times New Roman" w:cstheme="minorHAnsi"/>
                <w:sz w:val="18"/>
                <w:szCs w:val="18"/>
                <w:lang w:val="en-SG" w:eastAsia="en-SG"/>
              </w:rPr>
            </w:pPr>
            <w:r w:rsidRPr="00536A35">
              <w:rPr>
                <w:rFonts w:eastAsia="Times New Roman" w:cstheme="minorHAnsi"/>
                <w:sz w:val="18"/>
                <w:szCs w:val="18"/>
                <w:lang w:val="en-SG" w:eastAsia="en-SG"/>
              </w:rPr>
              <w:t> </w:t>
            </w:r>
          </w:p>
        </w:tc>
        <w:tc>
          <w:tcPr>
            <w:tcW w:w="1081" w:type="dxa"/>
            <w:tcBorders>
              <w:top w:val="nil"/>
              <w:left w:val="nil"/>
              <w:bottom w:val="nil"/>
              <w:right w:val="nil"/>
            </w:tcBorders>
            <w:shd w:val="clear" w:color="000000" w:fill="FFFFFF"/>
            <w:noWrap/>
            <w:vAlign w:val="bottom"/>
            <w:hideMark/>
          </w:tcPr>
          <w:p w14:paraId="769980C9" w14:textId="77777777" w:rsidR="00FA18EA" w:rsidRPr="00A02B31" w:rsidRDefault="00FA18EA" w:rsidP="00FA18EA">
            <w:pPr>
              <w:rPr>
                <w:rFonts w:eastAsia="Times New Roman" w:cstheme="minorHAnsi"/>
                <w:sz w:val="18"/>
                <w:szCs w:val="18"/>
                <w:lang w:val="en-SG" w:eastAsia="en-SG"/>
              </w:rPr>
            </w:pPr>
            <w:r w:rsidRPr="00A02B31">
              <w:rPr>
                <w:rFonts w:eastAsia="Times New Roman" w:cstheme="minorHAnsi"/>
                <w:sz w:val="18"/>
                <w:szCs w:val="18"/>
                <w:lang w:val="en-SG" w:eastAsia="en-SG"/>
              </w:rPr>
              <w:t> </w:t>
            </w:r>
          </w:p>
        </w:tc>
        <w:tc>
          <w:tcPr>
            <w:tcW w:w="1117" w:type="dxa"/>
            <w:tcBorders>
              <w:top w:val="nil"/>
              <w:left w:val="nil"/>
              <w:bottom w:val="nil"/>
              <w:right w:val="nil"/>
            </w:tcBorders>
            <w:shd w:val="clear" w:color="000000" w:fill="FFFFFF"/>
            <w:noWrap/>
            <w:vAlign w:val="bottom"/>
            <w:hideMark/>
          </w:tcPr>
          <w:p w14:paraId="79EEA06B" w14:textId="77777777" w:rsidR="00FA18EA" w:rsidRPr="00A02B31" w:rsidRDefault="00FA18EA" w:rsidP="00FA18EA">
            <w:pPr>
              <w:rPr>
                <w:rFonts w:eastAsia="Times New Roman" w:cstheme="minorHAnsi"/>
                <w:sz w:val="18"/>
                <w:szCs w:val="18"/>
                <w:lang w:val="en-SG" w:eastAsia="en-SG"/>
              </w:rPr>
            </w:pPr>
            <w:r w:rsidRPr="00A02B31">
              <w:rPr>
                <w:rFonts w:eastAsia="Times New Roman" w:cstheme="minorHAnsi"/>
                <w:sz w:val="18"/>
                <w:szCs w:val="18"/>
                <w:lang w:val="en-SG" w:eastAsia="en-SG"/>
              </w:rPr>
              <w:t> </w:t>
            </w:r>
          </w:p>
        </w:tc>
        <w:tc>
          <w:tcPr>
            <w:tcW w:w="923" w:type="dxa"/>
            <w:tcBorders>
              <w:top w:val="nil"/>
              <w:left w:val="nil"/>
              <w:bottom w:val="nil"/>
              <w:right w:val="nil"/>
            </w:tcBorders>
            <w:shd w:val="clear" w:color="000000" w:fill="FFFFFF"/>
            <w:noWrap/>
            <w:vAlign w:val="bottom"/>
            <w:hideMark/>
          </w:tcPr>
          <w:p w14:paraId="528D1D62" w14:textId="77777777" w:rsidR="00FA18EA" w:rsidRPr="00A02B31" w:rsidRDefault="00FA18EA" w:rsidP="00FA18EA">
            <w:pPr>
              <w:rPr>
                <w:rFonts w:eastAsia="Times New Roman" w:cstheme="minorHAnsi"/>
                <w:sz w:val="18"/>
                <w:szCs w:val="18"/>
                <w:lang w:val="en-SG" w:eastAsia="en-SG"/>
              </w:rPr>
            </w:pPr>
            <w:r w:rsidRPr="00A02B31">
              <w:rPr>
                <w:rFonts w:eastAsia="Times New Roman" w:cstheme="minorHAnsi"/>
                <w:sz w:val="18"/>
                <w:szCs w:val="18"/>
                <w:lang w:val="en-SG" w:eastAsia="en-SG"/>
              </w:rPr>
              <w:t> </w:t>
            </w:r>
          </w:p>
        </w:tc>
      </w:tr>
      <w:tr w:rsidR="00FA18EA" w:rsidRPr="007600A7" w14:paraId="6F5FC7C2" w14:textId="77777777" w:rsidTr="00FA18EA">
        <w:trPr>
          <w:trHeight w:val="240"/>
        </w:trPr>
        <w:tc>
          <w:tcPr>
            <w:tcW w:w="3011" w:type="dxa"/>
            <w:tcBorders>
              <w:top w:val="nil"/>
              <w:left w:val="nil"/>
              <w:bottom w:val="nil"/>
              <w:right w:val="nil"/>
            </w:tcBorders>
            <w:shd w:val="clear" w:color="000000" w:fill="FFFFFF"/>
            <w:noWrap/>
            <w:vAlign w:val="bottom"/>
            <w:hideMark/>
          </w:tcPr>
          <w:p w14:paraId="2F442CB8" w14:textId="77777777" w:rsidR="00FA18EA" w:rsidRPr="008B2DDA" w:rsidRDefault="00FA18EA" w:rsidP="00FA18EA">
            <w:pPr>
              <w:rPr>
                <w:rFonts w:eastAsia="Times New Roman" w:cstheme="minorHAnsi"/>
                <w:sz w:val="18"/>
                <w:szCs w:val="18"/>
                <w:lang w:val="en-SG" w:eastAsia="en-SG"/>
              </w:rPr>
            </w:pPr>
            <w:r w:rsidRPr="008B2DDA">
              <w:rPr>
                <w:rFonts w:eastAsia="Times New Roman" w:cstheme="minorHAnsi"/>
                <w:sz w:val="18"/>
                <w:szCs w:val="18"/>
                <w:lang w:val="en-SG" w:eastAsia="en-SG"/>
              </w:rPr>
              <w:t xml:space="preserve">Profit and total comprehensive </w:t>
            </w:r>
          </w:p>
        </w:tc>
        <w:tc>
          <w:tcPr>
            <w:tcW w:w="992" w:type="dxa"/>
            <w:tcBorders>
              <w:top w:val="nil"/>
              <w:left w:val="nil"/>
              <w:bottom w:val="nil"/>
              <w:right w:val="nil"/>
            </w:tcBorders>
            <w:shd w:val="clear" w:color="000000" w:fill="FFFFFF"/>
            <w:noWrap/>
            <w:vAlign w:val="bottom"/>
            <w:hideMark/>
          </w:tcPr>
          <w:p w14:paraId="65746B3A" w14:textId="77777777" w:rsidR="00FA18EA" w:rsidRPr="0091098D" w:rsidRDefault="00FA18EA" w:rsidP="00FA18EA">
            <w:pPr>
              <w:rPr>
                <w:rFonts w:eastAsia="Times New Roman" w:cstheme="minorHAnsi"/>
                <w:sz w:val="18"/>
                <w:szCs w:val="18"/>
                <w:lang w:val="en-SG" w:eastAsia="en-SG"/>
              </w:rPr>
            </w:pPr>
            <w:r w:rsidRPr="000C5053">
              <w:rPr>
                <w:rFonts w:eastAsia="Times New Roman" w:cstheme="minorHAnsi"/>
                <w:sz w:val="18"/>
                <w:szCs w:val="18"/>
                <w:lang w:val="en-SG" w:eastAsia="en-SG"/>
              </w:rPr>
              <w:t> </w:t>
            </w:r>
          </w:p>
        </w:tc>
        <w:tc>
          <w:tcPr>
            <w:tcW w:w="1069" w:type="dxa"/>
            <w:tcBorders>
              <w:top w:val="nil"/>
              <w:left w:val="nil"/>
              <w:bottom w:val="nil"/>
              <w:right w:val="nil"/>
            </w:tcBorders>
            <w:shd w:val="clear" w:color="000000" w:fill="FFFFFF"/>
            <w:vAlign w:val="bottom"/>
          </w:tcPr>
          <w:p w14:paraId="3E428ED9" w14:textId="77777777" w:rsidR="00FA18EA" w:rsidRPr="0075195E" w:rsidRDefault="00FA18EA" w:rsidP="00FA18EA">
            <w:pPr>
              <w:jc w:val="right"/>
              <w:rPr>
                <w:rFonts w:eastAsia="Times New Roman" w:cstheme="minorHAnsi"/>
                <w:sz w:val="18"/>
                <w:szCs w:val="18"/>
                <w:lang w:val="en-SG" w:eastAsia="en-SG"/>
              </w:rPr>
            </w:pPr>
            <w:r w:rsidRPr="0075195E">
              <w:rPr>
                <w:rFonts w:eastAsia="Times New Roman" w:cstheme="minorHAnsi"/>
                <w:sz w:val="18"/>
                <w:szCs w:val="18"/>
                <w:lang w:val="en-SG" w:eastAsia="en-SG"/>
              </w:rPr>
              <w:t> </w:t>
            </w:r>
          </w:p>
        </w:tc>
        <w:tc>
          <w:tcPr>
            <w:tcW w:w="859" w:type="dxa"/>
            <w:tcBorders>
              <w:top w:val="nil"/>
              <w:left w:val="nil"/>
              <w:bottom w:val="nil"/>
              <w:right w:val="nil"/>
            </w:tcBorders>
            <w:shd w:val="clear" w:color="000000" w:fill="FFFFFF"/>
            <w:noWrap/>
            <w:vAlign w:val="bottom"/>
            <w:hideMark/>
          </w:tcPr>
          <w:p w14:paraId="1A6F0190" w14:textId="77777777" w:rsidR="00FA18EA" w:rsidRPr="0075195E" w:rsidRDefault="00FA18EA" w:rsidP="00FA18EA">
            <w:pPr>
              <w:rPr>
                <w:rFonts w:eastAsia="Times New Roman" w:cstheme="minorHAnsi"/>
                <w:sz w:val="18"/>
                <w:szCs w:val="18"/>
                <w:lang w:val="en-SG" w:eastAsia="en-SG"/>
              </w:rPr>
            </w:pPr>
            <w:r w:rsidRPr="0075195E">
              <w:rPr>
                <w:rFonts w:eastAsia="Times New Roman" w:cstheme="minorHAnsi"/>
                <w:sz w:val="18"/>
                <w:szCs w:val="18"/>
                <w:lang w:val="en-SG" w:eastAsia="en-SG"/>
              </w:rPr>
              <w:t> </w:t>
            </w:r>
          </w:p>
        </w:tc>
        <w:tc>
          <w:tcPr>
            <w:tcW w:w="1009" w:type="dxa"/>
            <w:tcBorders>
              <w:top w:val="nil"/>
              <w:left w:val="nil"/>
              <w:bottom w:val="nil"/>
              <w:right w:val="nil"/>
            </w:tcBorders>
            <w:shd w:val="clear" w:color="000000" w:fill="FFFFFF"/>
            <w:noWrap/>
            <w:vAlign w:val="bottom"/>
            <w:hideMark/>
          </w:tcPr>
          <w:p w14:paraId="2F9BA5EA" w14:textId="77777777" w:rsidR="00FA18EA" w:rsidRPr="00536A35" w:rsidRDefault="00FA18EA" w:rsidP="00FA18EA">
            <w:pPr>
              <w:rPr>
                <w:rFonts w:eastAsia="Times New Roman" w:cstheme="minorHAnsi"/>
                <w:sz w:val="18"/>
                <w:szCs w:val="18"/>
                <w:lang w:val="en-SG" w:eastAsia="en-SG"/>
              </w:rPr>
            </w:pPr>
            <w:r w:rsidRPr="00536A35">
              <w:rPr>
                <w:rFonts w:eastAsia="Times New Roman" w:cstheme="minorHAnsi"/>
                <w:sz w:val="18"/>
                <w:szCs w:val="18"/>
                <w:lang w:val="en-SG" w:eastAsia="en-SG"/>
              </w:rPr>
              <w:t> </w:t>
            </w:r>
          </w:p>
        </w:tc>
        <w:tc>
          <w:tcPr>
            <w:tcW w:w="1081" w:type="dxa"/>
            <w:tcBorders>
              <w:top w:val="nil"/>
              <w:left w:val="nil"/>
              <w:bottom w:val="nil"/>
              <w:right w:val="nil"/>
            </w:tcBorders>
            <w:shd w:val="clear" w:color="000000" w:fill="FFFFFF"/>
            <w:noWrap/>
            <w:vAlign w:val="bottom"/>
            <w:hideMark/>
          </w:tcPr>
          <w:p w14:paraId="0138C91E" w14:textId="77777777" w:rsidR="00FA18EA" w:rsidRPr="00A02B31" w:rsidRDefault="00FA18EA" w:rsidP="00FA18EA">
            <w:pPr>
              <w:rPr>
                <w:rFonts w:eastAsia="Times New Roman" w:cstheme="minorHAnsi"/>
                <w:sz w:val="18"/>
                <w:szCs w:val="18"/>
                <w:lang w:val="en-SG" w:eastAsia="en-SG"/>
              </w:rPr>
            </w:pPr>
            <w:r w:rsidRPr="00A02B31">
              <w:rPr>
                <w:rFonts w:eastAsia="Times New Roman" w:cstheme="minorHAnsi"/>
                <w:sz w:val="18"/>
                <w:szCs w:val="18"/>
                <w:lang w:val="en-SG" w:eastAsia="en-SG"/>
              </w:rPr>
              <w:t> </w:t>
            </w:r>
          </w:p>
        </w:tc>
        <w:tc>
          <w:tcPr>
            <w:tcW w:w="1117" w:type="dxa"/>
            <w:tcBorders>
              <w:top w:val="nil"/>
              <w:left w:val="nil"/>
              <w:bottom w:val="nil"/>
              <w:right w:val="nil"/>
            </w:tcBorders>
            <w:shd w:val="clear" w:color="000000" w:fill="FFFFFF"/>
            <w:noWrap/>
            <w:vAlign w:val="bottom"/>
            <w:hideMark/>
          </w:tcPr>
          <w:p w14:paraId="7A8845D5" w14:textId="77777777" w:rsidR="00FA18EA" w:rsidRPr="00A02B31" w:rsidRDefault="00FA18EA" w:rsidP="00FA18EA">
            <w:pPr>
              <w:rPr>
                <w:rFonts w:eastAsia="Times New Roman" w:cstheme="minorHAnsi"/>
                <w:sz w:val="18"/>
                <w:szCs w:val="18"/>
                <w:lang w:val="en-SG" w:eastAsia="en-SG"/>
              </w:rPr>
            </w:pPr>
            <w:r w:rsidRPr="00A02B31">
              <w:rPr>
                <w:rFonts w:eastAsia="Times New Roman" w:cstheme="minorHAnsi"/>
                <w:sz w:val="18"/>
                <w:szCs w:val="18"/>
                <w:lang w:val="en-SG" w:eastAsia="en-SG"/>
              </w:rPr>
              <w:t> </w:t>
            </w:r>
          </w:p>
        </w:tc>
        <w:tc>
          <w:tcPr>
            <w:tcW w:w="923" w:type="dxa"/>
            <w:tcBorders>
              <w:top w:val="nil"/>
              <w:left w:val="nil"/>
              <w:bottom w:val="nil"/>
              <w:right w:val="nil"/>
            </w:tcBorders>
            <w:shd w:val="clear" w:color="000000" w:fill="FFFFFF"/>
            <w:noWrap/>
            <w:vAlign w:val="bottom"/>
            <w:hideMark/>
          </w:tcPr>
          <w:p w14:paraId="58EBF696" w14:textId="77777777" w:rsidR="00FA18EA" w:rsidRPr="00A02B31" w:rsidRDefault="00FA18EA" w:rsidP="00FA18EA">
            <w:pPr>
              <w:rPr>
                <w:rFonts w:eastAsia="Times New Roman" w:cstheme="minorHAnsi"/>
                <w:sz w:val="18"/>
                <w:szCs w:val="18"/>
                <w:lang w:val="en-SG" w:eastAsia="en-SG"/>
              </w:rPr>
            </w:pPr>
            <w:r w:rsidRPr="00A02B31">
              <w:rPr>
                <w:rFonts w:eastAsia="Times New Roman" w:cstheme="minorHAnsi"/>
                <w:sz w:val="18"/>
                <w:szCs w:val="18"/>
                <w:lang w:val="en-SG" w:eastAsia="en-SG"/>
              </w:rPr>
              <w:t> </w:t>
            </w:r>
          </w:p>
        </w:tc>
      </w:tr>
      <w:tr w:rsidR="00FA18EA" w:rsidRPr="007600A7" w14:paraId="4E512784" w14:textId="77777777" w:rsidTr="00FA18EA">
        <w:trPr>
          <w:trHeight w:val="240"/>
        </w:trPr>
        <w:tc>
          <w:tcPr>
            <w:tcW w:w="3011" w:type="dxa"/>
            <w:tcBorders>
              <w:top w:val="nil"/>
              <w:left w:val="nil"/>
              <w:bottom w:val="single" w:sz="4" w:space="0" w:color="auto"/>
              <w:right w:val="nil"/>
            </w:tcBorders>
            <w:shd w:val="clear" w:color="000000" w:fill="FFFFFF"/>
            <w:noWrap/>
            <w:vAlign w:val="bottom"/>
            <w:hideMark/>
          </w:tcPr>
          <w:p w14:paraId="487F5390" w14:textId="77777777" w:rsidR="00FA18EA" w:rsidRPr="008B2DDA" w:rsidRDefault="00FA18EA" w:rsidP="00FA18EA">
            <w:pPr>
              <w:rPr>
                <w:rFonts w:eastAsia="Times New Roman" w:cstheme="minorHAnsi"/>
                <w:sz w:val="18"/>
                <w:szCs w:val="18"/>
                <w:lang w:val="en-SG" w:eastAsia="en-SG"/>
              </w:rPr>
            </w:pPr>
            <w:r w:rsidRPr="008B2DDA">
              <w:rPr>
                <w:rFonts w:eastAsia="Times New Roman" w:cstheme="minorHAnsi"/>
                <w:sz w:val="18"/>
                <w:szCs w:val="18"/>
                <w:lang w:val="en-SG" w:eastAsia="en-SG"/>
              </w:rPr>
              <w:t>income for the year</w:t>
            </w:r>
          </w:p>
        </w:tc>
        <w:tc>
          <w:tcPr>
            <w:tcW w:w="992" w:type="dxa"/>
            <w:tcBorders>
              <w:top w:val="nil"/>
              <w:left w:val="nil"/>
              <w:bottom w:val="single" w:sz="4" w:space="0" w:color="auto"/>
              <w:right w:val="nil"/>
            </w:tcBorders>
            <w:shd w:val="clear" w:color="000000" w:fill="FFFFFF"/>
            <w:noWrap/>
            <w:vAlign w:val="bottom"/>
            <w:hideMark/>
          </w:tcPr>
          <w:p w14:paraId="57B59F57" w14:textId="77777777" w:rsidR="00FA18EA" w:rsidRPr="0091098D" w:rsidRDefault="00FA18EA" w:rsidP="00FA18EA">
            <w:pPr>
              <w:jc w:val="right"/>
              <w:rPr>
                <w:rFonts w:eastAsia="Times New Roman" w:cstheme="minorHAnsi"/>
                <w:sz w:val="18"/>
                <w:szCs w:val="18"/>
                <w:lang w:val="en-SG" w:eastAsia="en-SG"/>
              </w:rPr>
            </w:pPr>
            <w:r w:rsidRPr="000C5053">
              <w:rPr>
                <w:rFonts w:eastAsia="Times New Roman" w:cstheme="minorHAnsi"/>
                <w:sz w:val="18"/>
                <w:szCs w:val="18"/>
                <w:lang w:val="en-SG" w:eastAsia="en-SG"/>
              </w:rPr>
              <w:t>-</w:t>
            </w:r>
          </w:p>
        </w:tc>
        <w:tc>
          <w:tcPr>
            <w:tcW w:w="1069" w:type="dxa"/>
            <w:tcBorders>
              <w:top w:val="nil"/>
              <w:left w:val="nil"/>
              <w:bottom w:val="single" w:sz="4" w:space="0" w:color="auto"/>
              <w:right w:val="nil"/>
            </w:tcBorders>
            <w:shd w:val="clear" w:color="000000" w:fill="FFFFFF"/>
            <w:vAlign w:val="bottom"/>
          </w:tcPr>
          <w:p w14:paraId="6DAEB940" w14:textId="77777777" w:rsidR="00FA18EA" w:rsidRPr="0075195E" w:rsidRDefault="00FA18EA" w:rsidP="00FA18EA">
            <w:pPr>
              <w:jc w:val="right"/>
              <w:rPr>
                <w:rFonts w:eastAsia="Times New Roman" w:cstheme="minorHAnsi"/>
                <w:sz w:val="18"/>
                <w:szCs w:val="18"/>
                <w:lang w:val="en-SG" w:eastAsia="en-SG"/>
              </w:rPr>
            </w:pPr>
            <w:r w:rsidRPr="0075195E">
              <w:rPr>
                <w:rFonts w:eastAsia="Times New Roman" w:cstheme="minorHAnsi"/>
                <w:sz w:val="18"/>
                <w:szCs w:val="18"/>
                <w:lang w:val="en-SG" w:eastAsia="en-SG"/>
              </w:rPr>
              <w:t>-</w:t>
            </w:r>
          </w:p>
        </w:tc>
        <w:tc>
          <w:tcPr>
            <w:tcW w:w="859" w:type="dxa"/>
            <w:tcBorders>
              <w:top w:val="nil"/>
              <w:left w:val="nil"/>
              <w:bottom w:val="single" w:sz="4" w:space="0" w:color="auto"/>
              <w:right w:val="nil"/>
            </w:tcBorders>
            <w:shd w:val="clear" w:color="000000" w:fill="FFFFFF"/>
            <w:noWrap/>
            <w:vAlign w:val="bottom"/>
            <w:hideMark/>
          </w:tcPr>
          <w:p w14:paraId="6305B4A0" w14:textId="77777777" w:rsidR="00FA18EA" w:rsidRPr="0075195E" w:rsidRDefault="00FA18EA" w:rsidP="00FA18EA">
            <w:pPr>
              <w:jc w:val="right"/>
              <w:rPr>
                <w:rFonts w:eastAsia="Times New Roman" w:cstheme="minorHAnsi"/>
                <w:sz w:val="18"/>
                <w:szCs w:val="18"/>
                <w:lang w:val="en-SG" w:eastAsia="en-SG"/>
              </w:rPr>
            </w:pPr>
            <w:r w:rsidRPr="0075195E">
              <w:rPr>
                <w:rFonts w:eastAsia="Times New Roman" w:cstheme="minorHAnsi"/>
                <w:sz w:val="18"/>
                <w:szCs w:val="18"/>
                <w:lang w:val="en-SG" w:eastAsia="en-SG"/>
              </w:rPr>
              <w:t>-</w:t>
            </w:r>
          </w:p>
        </w:tc>
        <w:tc>
          <w:tcPr>
            <w:tcW w:w="1009" w:type="dxa"/>
            <w:tcBorders>
              <w:top w:val="nil"/>
              <w:left w:val="nil"/>
              <w:bottom w:val="single" w:sz="4" w:space="0" w:color="auto"/>
              <w:right w:val="nil"/>
            </w:tcBorders>
            <w:shd w:val="clear" w:color="000000" w:fill="FFFFFF"/>
            <w:noWrap/>
            <w:vAlign w:val="bottom"/>
            <w:hideMark/>
          </w:tcPr>
          <w:p w14:paraId="6CEF3903" w14:textId="77777777" w:rsidR="00FA18EA" w:rsidRPr="00536A35" w:rsidRDefault="00FA18EA" w:rsidP="00FA18EA">
            <w:pPr>
              <w:jc w:val="right"/>
              <w:rPr>
                <w:rFonts w:eastAsia="Times New Roman" w:cstheme="minorHAnsi"/>
                <w:sz w:val="18"/>
                <w:szCs w:val="18"/>
                <w:lang w:val="en-SG" w:eastAsia="en-SG"/>
              </w:rPr>
            </w:pPr>
            <w:r w:rsidRPr="00536A35">
              <w:rPr>
                <w:rFonts w:eastAsia="Times New Roman" w:cstheme="minorHAnsi"/>
                <w:sz w:val="18"/>
                <w:szCs w:val="18"/>
                <w:lang w:val="en-SG" w:eastAsia="en-SG"/>
              </w:rPr>
              <w:t>-</w:t>
            </w:r>
          </w:p>
        </w:tc>
        <w:tc>
          <w:tcPr>
            <w:tcW w:w="1081" w:type="dxa"/>
            <w:tcBorders>
              <w:top w:val="nil"/>
              <w:left w:val="nil"/>
              <w:bottom w:val="single" w:sz="4" w:space="0" w:color="auto"/>
              <w:right w:val="nil"/>
            </w:tcBorders>
            <w:shd w:val="clear" w:color="000000" w:fill="FFFFFF"/>
            <w:noWrap/>
            <w:vAlign w:val="bottom"/>
            <w:hideMark/>
          </w:tcPr>
          <w:p w14:paraId="306B0E98" w14:textId="77777777" w:rsidR="00FA18EA" w:rsidRPr="00A02B31" w:rsidRDefault="00FA18EA" w:rsidP="00FA18EA">
            <w:pPr>
              <w:jc w:val="right"/>
              <w:rPr>
                <w:rFonts w:eastAsia="Times New Roman" w:cstheme="minorHAnsi"/>
                <w:sz w:val="18"/>
                <w:szCs w:val="18"/>
                <w:lang w:val="en-SG" w:eastAsia="en-SG"/>
              </w:rPr>
            </w:pPr>
            <w:r w:rsidRPr="00A02B31">
              <w:rPr>
                <w:rFonts w:eastAsia="Times New Roman" w:cstheme="minorHAnsi"/>
                <w:sz w:val="18"/>
                <w:szCs w:val="18"/>
                <w:lang w:val="en-SG" w:eastAsia="en-SG"/>
              </w:rPr>
              <w:t>13,843</w:t>
            </w:r>
          </w:p>
        </w:tc>
        <w:tc>
          <w:tcPr>
            <w:tcW w:w="1117" w:type="dxa"/>
            <w:tcBorders>
              <w:top w:val="nil"/>
              <w:left w:val="nil"/>
              <w:bottom w:val="single" w:sz="4" w:space="0" w:color="auto"/>
              <w:right w:val="nil"/>
            </w:tcBorders>
            <w:shd w:val="clear" w:color="000000" w:fill="FFFFFF"/>
            <w:noWrap/>
            <w:vAlign w:val="bottom"/>
            <w:hideMark/>
          </w:tcPr>
          <w:p w14:paraId="161BA348" w14:textId="77777777" w:rsidR="00FA18EA" w:rsidRPr="00A02B31" w:rsidRDefault="00FA18EA" w:rsidP="00FA18EA">
            <w:pPr>
              <w:jc w:val="right"/>
              <w:rPr>
                <w:rFonts w:eastAsia="Times New Roman" w:cstheme="minorHAnsi"/>
                <w:sz w:val="18"/>
                <w:szCs w:val="18"/>
                <w:lang w:val="en-SG" w:eastAsia="en-SG"/>
              </w:rPr>
            </w:pPr>
            <w:r w:rsidRPr="00A02B31">
              <w:rPr>
                <w:rFonts w:eastAsia="Times New Roman" w:cstheme="minorHAnsi"/>
                <w:sz w:val="18"/>
                <w:szCs w:val="18"/>
                <w:lang w:val="en-SG" w:eastAsia="en-SG"/>
              </w:rPr>
              <w:t>-</w:t>
            </w:r>
          </w:p>
        </w:tc>
        <w:tc>
          <w:tcPr>
            <w:tcW w:w="923" w:type="dxa"/>
            <w:tcBorders>
              <w:top w:val="nil"/>
              <w:left w:val="nil"/>
              <w:bottom w:val="single" w:sz="4" w:space="0" w:color="auto"/>
              <w:right w:val="nil"/>
            </w:tcBorders>
            <w:shd w:val="clear" w:color="000000" w:fill="FFFFFF"/>
            <w:noWrap/>
            <w:vAlign w:val="bottom"/>
            <w:hideMark/>
          </w:tcPr>
          <w:p w14:paraId="3D53AE43" w14:textId="77777777" w:rsidR="00FA18EA" w:rsidRPr="00A02B31" w:rsidRDefault="00FA18EA" w:rsidP="00FA18EA">
            <w:pPr>
              <w:jc w:val="right"/>
              <w:rPr>
                <w:rFonts w:eastAsia="Times New Roman" w:cstheme="minorHAnsi"/>
                <w:sz w:val="18"/>
                <w:szCs w:val="18"/>
                <w:lang w:val="en-SG" w:eastAsia="en-SG"/>
              </w:rPr>
            </w:pPr>
            <w:r w:rsidRPr="00A02B31">
              <w:rPr>
                <w:rFonts w:eastAsia="Times New Roman" w:cstheme="minorHAnsi"/>
                <w:sz w:val="18"/>
                <w:szCs w:val="18"/>
                <w:lang w:val="en-SG" w:eastAsia="en-SG"/>
              </w:rPr>
              <w:t>13,843</w:t>
            </w:r>
          </w:p>
        </w:tc>
      </w:tr>
      <w:tr w:rsidR="00FA18EA" w:rsidRPr="007600A7" w14:paraId="029199D7" w14:textId="77777777" w:rsidTr="00FA18EA">
        <w:trPr>
          <w:trHeight w:val="240"/>
        </w:trPr>
        <w:tc>
          <w:tcPr>
            <w:tcW w:w="3011" w:type="dxa"/>
            <w:tcBorders>
              <w:top w:val="single" w:sz="4" w:space="0" w:color="auto"/>
              <w:left w:val="nil"/>
              <w:right w:val="nil"/>
            </w:tcBorders>
            <w:shd w:val="clear" w:color="000000" w:fill="FFFFFF"/>
            <w:noWrap/>
            <w:vAlign w:val="bottom"/>
          </w:tcPr>
          <w:p w14:paraId="1A65D15E" w14:textId="77777777" w:rsidR="00FA18EA" w:rsidRPr="008B2DDA" w:rsidRDefault="00FA18EA" w:rsidP="00FA18EA">
            <w:pPr>
              <w:rPr>
                <w:rFonts w:eastAsia="Times New Roman" w:cstheme="minorHAnsi"/>
                <w:b/>
                <w:bCs/>
                <w:sz w:val="18"/>
                <w:szCs w:val="18"/>
                <w:lang w:val="en-SG" w:eastAsia="en-SG"/>
              </w:rPr>
            </w:pPr>
            <w:r w:rsidRPr="008B2DDA">
              <w:rPr>
                <w:rFonts w:eastAsia="Times New Roman" w:cstheme="minorHAnsi"/>
                <w:b/>
                <w:bCs/>
                <w:sz w:val="18"/>
                <w:szCs w:val="18"/>
                <w:lang w:val="en-SG" w:eastAsia="en-SG"/>
              </w:rPr>
              <w:t xml:space="preserve">Total profit and comprehensive  </w:t>
            </w:r>
          </w:p>
        </w:tc>
        <w:tc>
          <w:tcPr>
            <w:tcW w:w="992" w:type="dxa"/>
            <w:tcBorders>
              <w:top w:val="single" w:sz="4" w:space="0" w:color="auto"/>
              <w:left w:val="nil"/>
              <w:right w:val="nil"/>
            </w:tcBorders>
            <w:shd w:val="clear" w:color="000000" w:fill="FFFFFF"/>
            <w:noWrap/>
            <w:vAlign w:val="bottom"/>
          </w:tcPr>
          <w:p w14:paraId="4F1DB187" w14:textId="77777777" w:rsidR="00FA18EA" w:rsidRPr="000C5053" w:rsidRDefault="00FA18EA" w:rsidP="00FA18EA">
            <w:pPr>
              <w:jc w:val="right"/>
              <w:rPr>
                <w:rFonts w:eastAsia="Times New Roman" w:cstheme="minorHAnsi"/>
                <w:b/>
                <w:bCs/>
                <w:sz w:val="18"/>
                <w:szCs w:val="18"/>
                <w:lang w:val="en-SG" w:eastAsia="en-SG"/>
              </w:rPr>
            </w:pPr>
          </w:p>
        </w:tc>
        <w:tc>
          <w:tcPr>
            <w:tcW w:w="1069" w:type="dxa"/>
            <w:tcBorders>
              <w:top w:val="single" w:sz="4" w:space="0" w:color="auto"/>
              <w:left w:val="nil"/>
              <w:right w:val="nil"/>
            </w:tcBorders>
            <w:shd w:val="clear" w:color="000000" w:fill="FFFFFF"/>
            <w:vAlign w:val="bottom"/>
          </w:tcPr>
          <w:p w14:paraId="41307297" w14:textId="77777777" w:rsidR="00FA18EA" w:rsidRPr="0091098D" w:rsidRDefault="00FA18EA" w:rsidP="00FA18EA">
            <w:pPr>
              <w:jc w:val="right"/>
              <w:rPr>
                <w:rFonts w:eastAsia="Times New Roman" w:cstheme="minorHAnsi"/>
                <w:sz w:val="18"/>
                <w:szCs w:val="18"/>
                <w:lang w:val="en-SG" w:eastAsia="en-SG"/>
              </w:rPr>
            </w:pPr>
          </w:p>
        </w:tc>
        <w:tc>
          <w:tcPr>
            <w:tcW w:w="859" w:type="dxa"/>
            <w:tcBorders>
              <w:top w:val="single" w:sz="4" w:space="0" w:color="auto"/>
              <w:left w:val="nil"/>
              <w:right w:val="nil"/>
            </w:tcBorders>
            <w:shd w:val="clear" w:color="000000" w:fill="FFFFFF"/>
            <w:noWrap/>
            <w:vAlign w:val="bottom"/>
          </w:tcPr>
          <w:p w14:paraId="7AA8EFEE" w14:textId="77777777" w:rsidR="00FA18EA" w:rsidRPr="0075195E" w:rsidRDefault="00FA18EA" w:rsidP="00FA18EA">
            <w:pPr>
              <w:jc w:val="right"/>
              <w:rPr>
                <w:rFonts w:eastAsia="Times New Roman" w:cstheme="minorHAnsi"/>
                <w:b/>
                <w:bCs/>
                <w:sz w:val="18"/>
                <w:szCs w:val="18"/>
                <w:lang w:val="en-SG" w:eastAsia="en-SG"/>
              </w:rPr>
            </w:pPr>
          </w:p>
        </w:tc>
        <w:tc>
          <w:tcPr>
            <w:tcW w:w="1009" w:type="dxa"/>
            <w:tcBorders>
              <w:top w:val="single" w:sz="4" w:space="0" w:color="auto"/>
              <w:left w:val="nil"/>
              <w:right w:val="nil"/>
            </w:tcBorders>
            <w:shd w:val="clear" w:color="000000" w:fill="FFFFFF"/>
            <w:noWrap/>
            <w:vAlign w:val="bottom"/>
          </w:tcPr>
          <w:p w14:paraId="3E097EF0" w14:textId="77777777" w:rsidR="00FA18EA" w:rsidRPr="0075195E" w:rsidRDefault="00FA18EA" w:rsidP="00FA18EA">
            <w:pPr>
              <w:jc w:val="right"/>
              <w:rPr>
                <w:rFonts w:eastAsia="Times New Roman" w:cstheme="minorHAnsi"/>
                <w:b/>
                <w:bCs/>
                <w:sz w:val="18"/>
                <w:szCs w:val="18"/>
                <w:lang w:val="en-SG" w:eastAsia="en-SG"/>
              </w:rPr>
            </w:pPr>
          </w:p>
        </w:tc>
        <w:tc>
          <w:tcPr>
            <w:tcW w:w="1081" w:type="dxa"/>
            <w:tcBorders>
              <w:top w:val="single" w:sz="4" w:space="0" w:color="auto"/>
              <w:left w:val="nil"/>
              <w:right w:val="nil"/>
            </w:tcBorders>
            <w:shd w:val="clear" w:color="000000" w:fill="FFFFFF"/>
            <w:noWrap/>
            <w:vAlign w:val="bottom"/>
          </w:tcPr>
          <w:p w14:paraId="0D57923C" w14:textId="77777777" w:rsidR="00FA18EA" w:rsidRPr="00536A35" w:rsidRDefault="00FA18EA" w:rsidP="00FA18EA">
            <w:pPr>
              <w:jc w:val="right"/>
              <w:rPr>
                <w:rFonts w:eastAsia="Times New Roman" w:cstheme="minorHAnsi"/>
                <w:b/>
                <w:bCs/>
                <w:sz w:val="18"/>
                <w:szCs w:val="18"/>
                <w:lang w:val="en-SG" w:eastAsia="en-SG"/>
              </w:rPr>
            </w:pPr>
          </w:p>
        </w:tc>
        <w:tc>
          <w:tcPr>
            <w:tcW w:w="1117" w:type="dxa"/>
            <w:tcBorders>
              <w:top w:val="single" w:sz="4" w:space="0" w:color="auto"/>
              <w:left w:val="nil"/>
              <w:right w:val="nil"/>
            </w:tcBorders>
            <w:shd w:val="clear" w:color="000000" w:fill="FFFFFF"/>
            <w:noWrap/>
            <w:vAlign w:val="bottom"/>
          </w:tcPr>
          <w:p w14:paraId="7391C17D" w14:textId="77777777" w:rsidR="00FA18EA" w:rsidRPr="00A02B31" w:rsidRDefault="00FA18EA" w:rsidP="00FA18EA">
            <w:pPr>
              <w:jc w:val="right"/>
              <w:rPr>
                <w:rFonts w:eastAsia="Times New Roman" w:cstheme="minorHAnsi"/>
                <w:b/>
                <w:bCs/>
                <w:sz w:val="18"/>
                <w:szCs w:val="18"/>
                <w:lang w:val="en-SG" w:eastAsia="en-SG"/>
              </w:rPr>
            </w:pPr>
          </w:p>
        </w:tc>
        <w:tc>
          <w:tcPr>
            <w:tcW w:w="923" w:type="dxa"/>
            <w:tcBorders>
              <w:top w:val="single" w:sz="4" w:space="0" w:color="auto"/>
              <w:left w:val="nil"/>
              <w:right w:val="nil"/>
            </w:tcBorders>
            <w:shd w:val="clear" w:color="000000" w:fill="FFFFFF"/>
            <w:noWrap/>
            <w:vAlign w:val="bottom"/>
          </w:tcPr>
          <w:p w14:paraId="39B8D35E" w14:textId="77777777" w:rsidR="00FA18EA" w:rsidRPr="00A02B31" w:rsidRDefault="00FA18EA" w:rsidP="00FA18EA">
            <w:pPr>
              <w:jc w:val="right"/>
              <w:rPr>
                <w:rFonts w:eastAsia="Times New Roman" w:cstheme="minorHAnsi"/>
                <w:b/>
                <w:bCs/>
                <w:sz w:val="18"/>
                <w:szCs w:val="18"/>
                <w:lang w:val="en-SG" w:eastAsia="en-SG"/>
              </w:rPr>
            </w:pPr>
          </w:p>
        </w:tc>
      </w:tr>
      <w:tr w:rsidR="00FA18EA" w:rsidRPr="007600A7" w14:paraId="5CFFEF90" w14:textId="77777777" w:rsidTr="00FA18EA">
        <w:trPr>
          <w:trHeight w:val="240"/>
        </w:trPr>
        <w:tc>
          <w:tcPr>
            <w:tcW w:w="3011" w:type="dxa"/>
            <w:tcBorders>
              <w:left w:val="nil"/>
              <w:right w:val="nil"/>
            </w:tcBorders>
            <w:shd w:val="clear" w:color="000000" w:fill="FFFFFF"/>
            <w:noWrap/>
            <w:vAlign w:val="bottom"/>
          </w:tcPr>
          <w:p w14:paraId="26C774AB" w14:textId="77777777" w:rsidR="00FA18EA" w:rsidRPr="008B2DDA" w:rsidRDefault="00FA18EA" w:rsidP="00FA18EA">
            <w:pPr>
              <w:rPr>
                <w:rFonts w:eastAsia="Times New Roman" w:cstheme="minorHAnsi"/>
                <w:b/>
                <w:bCs/>
                <w:sz w:val="18"/>
                <w:szCs w:val="18"/>
                <w:lang w:val="en-SG" w:eastAsia="en-SG"/>
              </w:rPr>
            </w:pPr>
            <w:r w:rsidRPr="008B2DDA">
              <w:rPr>
                <w:rFonts w:eastAsia="Times New Roman" w:cstheme="minorHAnsi"/>
                <w:b/>
                <w:bCs/>
                <w:sz w:val="18"/>
                <w:szCs w:val="18"/>
                <w:lang w:val="en-SG" w:eastAsia="en-SG"/>
              </w:rPr>
              <w:t>income for the year</w:t>
            </w:r>
          </w:p>
        </w:tc>
        <w:tc>
          <w:tcPr>
            <w:tcW w:w="992" w:type="dxa"/>
            <w:tcBorders>
              <w:left w:val="nil"/>
              <w:right w:val="nil"/>
            </w:tcBorders>
            <w:shd w:val="clear" w:color="000000" w:fill="FFFFFF"/>
            <w:noWrap/>
            <w:vAlign w:val="bottom"/>
          </w:tcPr>
          <w:p w14:paraId="4CD39A5E" w14:textId="77777777" w:rsidR="00FA18EA" w:rsidRPr="0091098D" w:rsidRDefault="00FA18EA" w:rsidP="00FA18EA">
            <w:pPr>
              <w:jc w:val="right"/>
              <w:rPr>
                <w:rFonts w:eastAsia="Times New Roman" w:cstheme="minorHAnsi"/>
                <w:b/>
                <w:bCs/>
                <w:sz w:val="18"/>
                <w:szCs w:val="18"/>
                <w:lang w:val="en-SG" w:eastAsia="en-SG"/>
              </w:rPr>
            </w:pPr>
            <w:r w:rsidRPr="000C5053">
              <w:rPr>
                <w:rFonts w:eastAsia="Times New Roman" w:cstheme="minorHAnsi"/>
                <w:b/>
                <w:bCs/>
                <w:sz w:val="18"/>
                <w:szCs w:val="18"/>
                <w:lang w:val="en-SG" w:eastAsia="en-SG"/>
              </w:rPr>
              <w:t>-</w:t>
            </w:r>
          </w:p>
        </w:tc>
        <w:tc>
          <w:tcPr>
            <w:tcW w:w="1069" w:type="dxa"/>
            <w:tcBorders>
              <w:left w:val="nil"/>
              <w:right w:val="nil"/>
            </w:tcBorders>
            <w:shd w:val="clear" w:color="000000" w:fill="FFFFFF"/>
            <w:vAlign w:val="bottom"/>
          </w:tcPr>
          <w:p w14:paraId="6CD5D53F" w14:textId="77777777" w:rsidR="00FA18EA" w:rsidRPr="0075195E" w:rsidRDefault="00FA18EA" w:rsidP="00FA18EA">
            <w:pPr>
              <w:jc w:val="right"/>
              <w:rPr>
                <w:rFonts w:eastAsia="Times New Roman" w:cstheme="minorHAnsi"/>
                <w:b/>
                <w:sz w:val="18"/>
                <w:szCs w:val="18"/>
                <w:lang w:val="en-SG" w:eastAsia="en-SG"/>
              </w:rPr>
            </w:pPr>
            <w:r w:rsidRPr="0075195E">
              <w:rPr>
                <w:rFonts w:eastAsia="Times New Roman" w:cstheme="minorHAnsi"/>
                <w:b/>
                <w:sz w:val="18"/>
                <w:szCs w:val="18"/>
                <w:lang w:val="en-SG" w:eastAsia="en-SG"/>
              </w:rPr>
              <w:t>10</w:t>
            </w:r>
          </w:p>
        </w:tc>
        <w:tc>
          <w:tcPr>
            <w:tcW w:w="859" w:type="dxa"/>
            <w:tcBorders>
              <w:left w:val="nil"/>
              <w:right w:val="nil"/>
            </w:tcBorders>
            <w:shd w:val="clear" w:color="000000" w:fill="FFFFFF"/>
            <w:noWrap/>
            <w:vAlign w:val="bottom"/>
          </w:tcPr>
          <w:p w14:paraId="6262CE91" w14:textId="77777777" w:rsidR="00FA18EA" w:rsidRPr="0075195E" w:rsidRDefault="00FA18EA" w:rsidP="00FA18EA">
            <w:pPr>
              <w:jc w:val="right"/>
              <w:rPr>
                <w:rFonts w:eastAsia="Times New Roman" w:cstheme="minorHAnsi"/>
                <w:b/>
                <w:bCs/>
                <w:sz w:val="18"/>
                <w:szCs w:val="18"/>
                <w:lang w:val="en-SG" w:eastAsia="en-SG"/>
              </w:rPr>
            </w:pPr>
            <w:r w:rsidRPr="0075195E">
              <w:rPr>
                <w:rFonts w:eastAsia="Times New Roman" w:cstheme="minorHAnsi"/>
                <w:b/>
                <w:bCs/>
                <w:sz w:val="18"/>
                <w:szCs w:val="18"/>
                <w:lang w:val="en-SG" w:eastAsia="en-SG"/>
              </w:rPr>
              <w:t>1,741</w:t>
            </w:r>
          </w:p>
        </w:tc>
        <w:tc>
          <w:tcPr>
            <w:tcW w:w="1009" w:type="dxa"/>
            <w:tcBorders>
              <w:left w:val="nil"/>
              <w:right w:val="nil"/>
            </w:tcBorders>
            <w:shd w:val="clear" w:color="000000" w:fill="FFFFFF"/>
            <w:noWrap/>
            <w:vAlign w:val="bottom"/>
          </w:tcPr>
          <w:p w14:paraId="039B741C" w14:textId="77777777" w:rsidR="00FA18EA" w:rsidRPr="00536A35" w:rsidRDefault="00FA18EA" w:rsidP="00FA18EA">
            <w:pPr>
              <w:jc w:val="right"/>
              <w:rPr>
                <w:rFonts w:eastAsia="Times New Roman" w:cstheme="minorHAnsi"/>
                <w:b/>
                <w:bCs/>
                <w:sz w:val="18"/>
                <w:szCs w:val="18"/>
                <w:lang w:val="en-SG" w:eastAsia="en-SG"/>
              </w:rPr>
            </w:pPr>
            <w:r w:rsidRPr="00536A35">
              <w:rPr>
                <w:rFonts w:eastAsia="Times New Roman" w:cstheme="minorHAnsi"/>
                <w:b/>
                <w:bCs/>
                <w:sz w:val="18"/>
                <w:szCs w:val="18"/>
                <w:lang w:val="en-SG" w:eastAsia="en-SG"/>
              </w:rPr>
              <w:t>13,063</w:t>
            </w:r>
          </w:p>
        </w:tc>
        <w:tc>
          <w:tcPr>
            <w:tcW w:w="1081" w:type="dxa"/>
            <w:tcBorders>
              <w:left w:val="nil"/>
              <w:right w:val="nil"/>
            </w:tcBorders>
            <w:shd w:val="clear" w:color="000000" w:fill="FFFFFF"/>
            <w:noWrap/>
            <w:vAlign w:val="bottom"/>
          </w:tcPr>
          <w:p w14:paraId="7DC20B11" w14:textId="77777777" w:rsidR="00FA18EA" w:rsidRPr="00A02B31" w:rsidRDefault="00FA18EA" w:rsidP="00FA18EA">
            <w:pPr>
              <w:jc w:val="right"/>
              <w:rPr>
                <w:rFonts w:eastAsia="Times New Roman" w:cstheme="minorHAnsi"/>
                <w:b/>
                <w:bCs/>
                <w:sz w:val="18"/>
                <w:szCs w:val="18"/>
                <w:lang w:val="en-SG" w:eastAsia="en-SG"/>
              </w:rPr>
            </w:pPr>
            <w:r w:rsidRPr="00A02B31">
              <w:rPr>
                <w:rFonts w:eastAsia="Times New Roman" w:cstheme="minorHAnsi"/>
                <w:b/>
                <w:bCs/>
                <w:sz w:val="18"/>
                <w:szCs w:val="18"/>
                <w:lang w:val="en-SG" w:eastAsia="en-SG"/>
              </w:rPr>
              <w:t>40,812</w:t>
            </w:r>
          </w:p>
        </w:tc>
        <w:tc>
          <w:tcPr>
            <w:tcW w:w="1117" w:type="dxa"/>
            <w:tcBorders>
              <w:left w:val="nil"/>
              <w:right w:val="nil"/>
            </w:tcBorders>
            <w:shd w:val="clear" w:color="000000" w:fill="FFFFFF"/>
            <w:noWrap/>
            <w:vAlign w:val="bottom"/>
          </w:tcPr>
          <w:p w14:paraId="182F9486" w14:textId="77777777" w:rsidR="00FA18EA" w:rsidRPr="00A02B31" w:rsidRDefault="00FA18EA" w:rsidP="00FA18EA">
            <w:pPr>
              <w:jc w:val="right"/>
              <w:rPr>
                <w:rFonts w:eastAsia="Times New Roman" w:cstheme="minorHAnsi"/>
                <w:b/>
                <w:bCs/>
                <w:sz w:val="18"/>
                <w:szCs w:val="18"/>
                <w:lang w:val="en-SG" w:eastAsia="en-SG"/>
              </w:rPr>
            </w:pPr>
            <w:r w:rsidRPr="00A02B31">
              <w:rPr>
                <w:rFonts w:eastAsia="Times New Roman" w:cstheme="minorHAnsi"/>
                <w:b/>
                <w:bCs/>
                <w:sz w:val="18"/>
                <w:szCs w:val="18"/>
                <w:lang w:val="en-SG" w:eastAsia="en-SG"/>
              </w:rPr>
              <w:t>10,874</w:t>
            </w:r>
          </w:p>
        </w:tc>
        <w:tc>
          <w:tcPr>
            <w:tcW w:w="923" w:type="dxa"/>
            <w:tcBorders>
              <w:left w:val="nil"/>
              <w:right w:val="nil"/>
            </w:tcBorders>
            <w:shd w:val="clear" w:color="000000" w:fill="FFFFFF"/>
            <w:noWrap/>
            <w:vAlign w:val="bottom"/>
          </w:tcPr>
          <w:p w14:paraId="74618A34" w14:textId="77777777" w:rsidR="00FA18EA" w:rsidRPr="00A02B31" w:rsidRDefault="00FA18EA" w:rsidP="00FA18EA">
            <w:pPr>
              <w:jc w:val="right"/>
              <w:rPr>
                <w:rFonts w:eastAsia="Times New Roman" w:cstheme="minorHAnsi"/>
                <w:b/>
                <w:bCs/>
                <w:sz w:val="18"/>
                <w:szCs w:val="18"/>
                <w:lang w:val="en-SG" w:eastAsia="en-SG"/>
              </w:rPr>
            </w:pPr>
            <w:r w:rsidRPr="00A02B31">
              <w:rPr>
                <w:rFonts w:eastAsia="Times New Roman" w:cstheme="minorHAnsi"/>
                <w:b/>
                <w:bCs/>
                <w:sz w:val="18"/>
                <w:szCs w:val="18"/>
                <w:lang w:val="en-SG" w:eastAsia="en-SG"/>
              </w:rPr>
              <w:t>66,500</w:t>
            </w:r>
          </w:p>
        </w:tc>
      </w:tr>
      <w:tr w:rsidR="00FA18EA" w:rsidRPr="007600A7" w14:paraId="61C588DD" w14:textId="77777777" w:rsidTr="00FA18EA">
        <w:trPr>
          <w:trHeight w:val="240"/>
        </w:trPr>
        <w:tc>
          <w:tcPr>
            <w:tcW w:w="3011" w:type="dxa"/>
            <w:tcBorders>
              <w:left w:val="nil"/>
              <w:bottom w:val="nil"/>
              <w:right w:val="nil"/>
            </w:tcBorders>
            <w:shd w:val="clear" w:color="000000" w:fill="FFFFFF"/>
            <w:noWrap/>
            <w:vAlign w:val="bottom"/>
          </w:tcPr>
          <w:p w14:paraId="61965F1F" w14:textId="77777777" w:rsidR="00FA18EA" w:rsidRPr="008B2DDA" w:rsidRDefault="00FA18EA" w:rsidP="00FA18EA">
            <w:pPr>
              <w:rPr>
                <w:rFonts w:eastAsia="Times New Roman" w:cstheme="minorHAnsi"/>
                <w:sz w:val="18"/>
                <w:szCs w:val="18"/>
                <w:lang w:val="en-SG" w:eastAsia="en-SG"/>
              </w:rPr>
            </w:pPr>
          </w:p>
        </w:tc>
        <w:tc>
          <w:tcPr>
            <w:tcW w:w="992" w:type="dxa"/>
            <w:tcBorders>
              <w:left w:val="nil"/>
              <w:bottom w:val="nil"/>
              <w:right w:val="nil"/>
            </w:tcBorders>
            <w:shd w:val="clear" w:color="000000" w:fill="FFFFFF"/>
            <w:noWrap/>
            <w:vAlign w:val="bottom"/>
          </w:tcPr>
          <w:p w14:paraId="60CC131C" w14:textId="77777777" w:rsidR="00FA18EA" w:rsidRPr="000C5053" w:rsidRDefault="00FA18EA" w:rsidP="00FA18EA">
            <w:pPr>
              <w:jc w:val="right"/>
              <w:rPr>
                <w:rFonts w:eastAsia="Times New Roman" w:cstheme="minorHAnsi"/>
                <w:sz w:val="18"/>
                <w:szCs w:val="18"/>
                <w:lang w:val="en-SG" w:eastAsia="en-SG"/>
              </w:rPr>
            </w:pPr>
          </w:p>
        </w:tc>
        <w:tc>
          <w:tcPr>
            <w:tcW w:w="1069" w:type="dxa"/>
            <w:tcBorders>
              <w:left w:val="nil"/>
              <w:bottom w:val="nil"/>
              <w:right w:val="nil"/>
            </w:tcBorders>
            <w:shd w:val="clear" w:color="000000" w:fill="FFFFFF"/>
            <w:vAlign w:val="bottom"/>
          </w:tcPr>
          <w:p w14:paraId="1005F3C3" w14:textId="77777777" w:rsidR="00FA18EA" w:rsidRPr="0091098D" w:rsidRDefault="00FA18EA" w:rsidP="00FA18EA">
            <w:pPr>
              <w:jc w:val="right"/>
              <w:rPr>
                <w:rFonts w:eastAsia="Times New Roman" w:cstheme="minorHAnsi"/>
                <w:sz w:val="18"/>
                <w:szCs w:val="18"/>
                <w:lang w:val="en-SG" w:eastAsia="en-SG"/>
              </w:rPr>
            </w:pPr>
          </w:p>
        </w:tc>
        <w:tc>
          <w:tcPr>
            <w:tcW w:w="859" w:type="dxa"/>
            <w:tcBorders>
              <w:left w:val="nil"/>
              <w:bottom w:val="nil"/>
              <w:right w:val="nil"/>
            </w:tcBorders>
            <w:shd w:val="clear" w:color="000000" w:fill="FFFFFF"/>
            <w:noWrap/>
            <w:vAlign w:val="bottom"/>
          </w:tcPr>
          <w:p w14:paraId="4F654A78" w14:textId="77777777" w:rsidR="00FA18EA" w:rsidRPr="0075195E" w:rsidRDefault="00FA18EA" w:rsidP="00FA18EA">
            <w:pPr>
              <w:jc w:val="right"/>
              <w:rPr>
                <w:rFonts w:eastAsia="Times New Roman" w:cstheme="minorHAnsi"/>
                <w:sz w:val="18"/>
                <w:szCs w:val="18"/>
                <w:lang w:val="en-SG" w:eastAsia="en-SG"/>
              </w:rPr>
            </w:pPr>
          </w:p>
        </w:tc>
        <w:tc>
          <w:tcPr>
            <w:tcW w:w="1009" w:type="dxa"/>
            <w:tcBorders>
              <w:left w:val="nil"/>
              <w:bottom w:val="nil"/>
              <w:right w:val="nil"/>
            </w:tcBorders>
            <w:shd w:val="clear" w:color="000000" w:fill="FFFFFF"/>
            <w:noWrap/>
            <w:vAlign w:val="bottom"/>
          </w:tcPr>
          <w:p w14:paraId="7BE6B422" w14:textId="77777777" w:rsidR="00FA18EA" w:rsidRPr="0075195E" w:rsidRDefault="00FA18EA" w:rsidP="00FA18EA">
            <w:pPr>
              <w:jc w:val="right"/>
              <w:rPr>
                <w:rFonts w:eastAsia="Times New Roman" w:cstheme="minorHAnsi"/>
                <w:sz w:val="18"/>
                <w:szCs w:val="18"/>
                <w:lang w:val="en-SG" w:eastAsia="en-SG"/>
              </w:rPr>
            </w:pPr>
          </w:p>
        </w:tc>
        <w:tc>
          <w:tcPr>
            <w:tcW w:w="1081" w:type="dxa"/>
            <w:tcBorders>
              <w:left w:val="nil"/>
              <w:bottom w:val="nil"/>
              <w:right w:val="nil"/>
            </w:tcBorders>
            <w:shd w:val="clear" w:color="000000" w:fill="FFFFFF"/>
            <w:noWrap/>
            <w:vAlign w:val="bottom"/>
          </w:tcPr>
          <w:p w14:paraId="5C9974AF" w14:textId="77777777" w:rsidR="00FA18EA" w:rsidRPr="00536A35" w:rsidRDefault="00FA18EA" w:rsidP="00FA18EA">
            <w:pPr>
              <w:jc w:val="right"/>
              <w:rPr>
                <w:rFonts w:eastAsia="Times New Roman" w:cstheme="minorHAnsi"/>
                <w:sz w:val="18"/>
                <w:szCs w:val="18"/>
                <w:lang w:val="en-SG" w:eastAsia="en-SG"/>
              </w:rPr>
            </w:pPr>
          </w:p>
        </w:tc>
        <w:tc>
          <w:tcPr>
            <w:tcW w:w="1117" w:type="dxa"/>
            <w:tcBorders>
              <w:left w:val="nil"/>
              <w:bottom w:val="nil"/>
              <w:right w:val="nil"/>
            </w:tcBorders>
            <w:shd w:val="clear" w:color="000000" w:fill="FFFFFF"/>
            <w:noWrap/>
            <w:vAlign w:val="bottom"/>
          </w:tcPr>
          <w:p w14:paraId="061E52FE" w14:textId="77777777" w:rsidR="00FA18EA" w:rsidRPr="00A02B31" w:rsidRDefault="00FA18EA" w:rsidP="00FA18EA">
            <w:pPr>
              <w:jc w:val="right"/>
              <w:rPr>
                <w:rFonts w:eastAsia="Times New Roman" w:cstheme="minorHAnsi"/>
                <w:sz w:val="18"/>
                <w:szCs w:val="18"/>
                <w:lang w:val="en-SG" w:eastAsia="en-SG"/>
              </w:rPr>
            </w:pPr>
          </w:p>
        </w:tc>
        <w:tc>
          <w:tcPr>
            <w:tcW w:w="923" w:type="dxa"/>
            <w:tcBorders>
              <w:left w:val="nil"/>
              <w:bottom w:val="nil"/>
              <w:right w:val="nil"/>
            </w:tcBorders>
            <w:shd w:val="clear" w:color="000000" w:fill="FFFFFF"/>
            <w:noWrap/>
            <w:vAlign w:val="bottom"/>
          </w:tcPr>
          <w:p w14:paraId="54627F96" w14:textId="77777777" w:rsidR="00FA18EA" w:rsidRPr="00A02B31" w:rsidRDefault="00FA18EA" w:rsidP="00FA18EA">
            <w:pPr>
              <w:jc w:val="right"/>
              <w:rPr>
                <w:rFonts w:eastAsia="Times New Roman" w:cstheme="minorHAnsi"/>
                <w:sz w:val="18"/>
                <w:szCs w:val="18"/>
                <w:lang w:val="en-SG" w:eastAsia="en-SG"/>
              </w:rPr>
            </w:pPr>
          </w:p>
        </w:tc>
      </w:tr>
      <w:tr w:rsidR="00FA18EA" w:rsidRPr="007600A7" w14:paraId="3839B504" w14:textId="77777777" w:rsidTr="00FA18EA">
        <w:trPr>
          <w:trHeight w:val="240"/>
        </w:trPr>
        <w:tc>
          <w:tcPr>
            <w:tcW w:w="3011" w:type="dxa"/>
            <w:tcBorders>
              <w:top w:val="nil"/>
              <w:left w:val="nil"/>
              <w:bottom w:val="nil"/>
              <w:right w:val="nil"/>
            </w:tcBorders>
            <w:shd w:val="clear" w:color="000000" w:fill="FFFFFF"/>
            <w:noWrap/>
            <w:vAlign w:val="bottom"/>
          </w:tcPr>
          <w:p w14:paraId="72206B49" w14:textId="77777777" w:rsidR="00FA18EA" w:rsidRPr="008B2DDA" w:rsidRDefault="00FA18EA" w:rsidP="00FA18EA">
            <w:pPr>
              <w:rPr>
                <w:rFonts w:eastAsia="Times New Roman" w:cstheme="minorHAnsi"/>
                <w:sz w:val="18"/>
                <w:szCs w:val="18"/>
                <w:lang w:val="en-SG" w:eastAsia="en-SG"/>
              </w:rPr>
            </w:pPr>
            <w:r w:rsidRPr="008B2DDA">
              <w:rPr>
                <w:rFonts w:eastAsia="Times New Roman" w:cstheme="minorHAnsi"/>
                <w:b/>
                <w:bCs/>
                <w:sz w:val="18"/>
                <w:szCs w:val="18"/>
                <w:lang w:val="en-SG" w:eastAsia="en-SG"/>
              </w:rPr>
              <w:t>Contributions by and distributions to owners</w:t>
            </w:r>
          </w:p>
        </w:tc>
        <w:tc>
          <w:tcPr>
            <w:tcW w:w="992" w:type="dxa"/>
            <w:tcBorders>
              <w:top w:val="nil"/>
              <w:left w:val="nil"/>
              <w:bottom w:val="nil"/>
              <w:right w:val="nil"/>
            </w:tcBorders>
            <w:shd w:val="clear" w:color="000000" w:fill="FFFFFF"/>
            <w:noWrap/>
            <w:vAlign w:val="bottom"/>
          </w:tcPr>
          <w:p w14:paraId="60C0CA07" w14:textId="77777777" w:rsidR="00FA18EA" w:rsidRPr="000C5053" w:rsidRDefault="00FA18EA" w:rsidP="00FA18EA">
            <w:pPr>
              <w:jc w:val="right"/>
              <w:rPr>
                <w:rFonts w:eastAsia="Times New Roman" w:cstheme="minorHAnsi"/>
                <w:sz w:val="18"/>
                <w:szCs w:val="18"/>
                <w:lang w:val="en-SG" w:eastAsia="en-SG"/>
              </w:rPr>
            </w:pPr>
          </w:p>
        </w:tc>
        <w:tc>
          <w:tcPr>
            <w:tcW w:w="1069" w:type="dxa"/>
            <w:tcBorders>
              <w:top w:val="nil"/>
              <w:left w:val="nil"/>
              <w:bottom w:val="nil"/>
              <w:right w:val="nil"/>
            </w:tcBorders>
            <w:shd w:val="clear" w:color="000000" w:fill="FFFFFF"/>
            <w:vAlign w:val="bottom"/>
          </w:tcPr>
          <w:p w14:paraId="5F1347C8" w14:textId="77777777" w:rsidR="00FA18EA" w:rsidRPr="0091098D" w:rsidRDefault="00FA18EA" w:rsidP="00FA18EA">
            <w:pPr>
              <w:jc w:val="right"/>
              <w:rPr>
                <w:rFonts w:eastAsia="Times New Roman" w:cstheme="minorHAnsi"/>
                <w:sz w:val="18"/>
                <w:szCs w:val="18"/>
                <w:lang w:val="en-SG" w:eastAsia="en-SG"/>
              </w:rPr>
            </w:pPr>
          </w:p>
        </w:tc>
        <w:tc>
          <w:tcPr>
            <w:tcW w:w="859" w:type="dxa"/>
            <w:tcBorders>
              <w:top w:val="nil"/>
              <w:left w:val="nil"/>
              <w:bottom w:val="nil"/>
              <w:right w:val="nil"/>
            </w:tcBorders>
            <w:shd w:val="clear" w:color="000000" w:fill="FFFFFF"/>
            <w:noWrap/>
            <w:vAlign w:val="bottom"/>
          </w:tcPr>
          <w:p w14:paraId="01B5AA50" w14:textId="77777777" w:rsidR="00FA18EA" w:rsidRPr="0075195E" w:rsidRDefault="00FA18EA" w:rsidP="00FA18EA">
            <w:pPr>
              <w:jc w:val="right"/>
              <w:rPr>
                <w:rFonts w:eastAsia="Times New Roman" w:cstheme="minorHAnsi"/>
                <w:sz w:val="18"/>
                <w:szCs w:val="18"/>
                <w:lang w:val="en-SG" w:eastAsia="en-SG"/>
              </w:rPr>
            </w:pPr>
          </w:p>
        </w:tc>
        <w:tc>
          <w:tcPr>
            <w:tcW w:w="1009" w:type="dxa"/>
            <w:tcBorders>
              <w:top w:val="nil"/>
              <w:left w:val="nil"/>
              <w:bottom w:val="nil"/>
              <w:right w:val="nil"/>
            </w:tcBorders>
            <w:shd w:val="clear" w:color="000000" w:fill="FFFFFF"/>
            <w:noWrap/>
            <w:vAlign w:val="bottom"/>
          </w:tcPr>
          <w:p w14:paraId="31536CB2" w14:textId="77777777" w:rsidR="00FA18EA" w:rsidRPr="0075195E" w:rsidRDefault="00FA18EA" w:rsidP="00FA18EA">
            <w:pPr>
              <w:jc w:val="right"/>
              <w:rPr>
                <w:rFonts w:eastAsia="Times New Roman" w:cstheme="minorHAnsi"/>
                <w:sz w:val="18"/>
                <w:szCs w:val="18"/>
                <w:lang w:val="en-SG" w:eastAsia="en-SG"/>
              </w:rPr>
            </w:pPr>
          </w:p>
        </w:tc>
        <w:tc>
          <w:tcPr>
            <w:tcW w:w="1081" w:type="dxa"/>
            <w:tcBorders>
              <w:top w:val="nil"/>
              <w:left w:val="nil"/>
              <w:bottom w:val="nil"/>
              <w:right w:val="nil"/>
            </w:tcBorders>
            <w:shd w:val="clear" w:color="000000" w:fill="FFFFFF"/>
            <w:noWrap/>
            <w:vAlign w:val="bottom"/>
          </w:tcPr>
          <w:p w14:paraId="687DB3E4" w14:textId="77777777" w:rsidR="00FA18EA" w:rsidRPr="00536A35" w:rsidRDefault="00FA18EA" w:rsidP="00FA18EA">
            <w:pPr>
              <w:jc w:val="right"/>
              <w:rPr>
                <w:rFonts w:eastAsia="Times New Roman" w:cstheme="minorHAnsi"/>
                <w:sz w:val="18"/>
                <w:szCs w:val="18"/>
                <w:lang w:val="en-SG" w:eastAsia="en-SG"/>
              </w:rPr>
            </w:pPr>
          </w:p>
        </w:tc>
        <w:tc>
          <w:tcPr>
            <w:tcW w:w="1117" w:type="dxa"/>
            <w:tcBorders>
              <w:top w:val="nil"/>
              <w:left w:val="nil"/>
              <w:bottom w:val="nil"/>
              <w:right w:val="nil"/>
            </w:tcBorders>
            <w:shd w:val="clear" w:color="000000" w:fill="FFFFFF"/>
            <w:noWrap/>
            <w:vAlign w:val="bottom"/>
          </w:tcPr>
          <w:p w14:paraId="396B30C2" w14:textId="77777777" w:rsidR="00FA18EA" w:rsidRPr="00A02B31" w:rsidRDefault="00FA18EA" w:rsidP="00FA18EA">
            <w:pPr>
              <w:jc w:val="right"/>
              <w:rPr>
                <w:rFonts w:eastAsia="Times New Roman" w:cstheme="minorHAnsi"/>
                <w:sz w:val="18"/>
                <w:szCs w:val="18"/>
                <w:lang w:val="en-SG" w:eastAsia="en-SG"/>
              </w:rPr>
            </w:pPr>
          </w:p>
        </w:tc>
        <w:tc>
          <w:tcPr>
            <w:tcW w:w="923" w:type="dxa"/>
            <w:tcBorders>
              <w:top w:val="nil"/>
              <w:left w:val="nil"/>
              <w:bottom w:val="nil"/>
              <w:right w:val="nil"/>
            </w:tcBorders>
            <w:shd w:val="clear" w:color="000000" w:fill="FFFFFF"/>
            <w:noWrap/>
            <w:vAlign w:val="bottom"/>
          </w:tcPr>
          <w:p w14:paraId="603A50C6" w14:textId="77777777" w:rsidR="00FA18EA" w:rsidRPr="00A02B31" w:rsidRDefault="00FA18EA" w:rsidP="00FA18EA">
            <w:pPr>
              <w:jc w:val="right"/>
              <w:rPr>
                <w:rFonts w:eastAsia="Times New Roman" w:cstheme="minorHAnsi"/>
                <w:sz w:val="18"/>
                <w:szCs w:val="18"/>
                <w:lang w:val="en-SG" w:eastAsia="en-SG"/>
              </w:rPr>
            </w:pPr>
          </w:p>
        </w:tc>
      </w:tr>
      <w:tr w:rsidR="00FA18EA" w:rsidRPr="007600A7" w14:paraId="38F5540C" w14:textId="77777777" w:rsidTr="00FA18EA">
        <w:trPr>
          <w:trHeight w:val="240"/>
        </w:trPr>
        <w:tc>
          <w:tcPr>
            <w:tcW w:w="3011" w:type="dxa"/>
            <w:tcBorders>
              <w:top w:val="nil"/>
              <w:left w:val="nil"/>
              <w:right w:val="nil"/>
            </w:tcBorders>
            <w:shd w:val="clear" w:color="000000" w:fill="FFFFFF"/>
            <w:noWrap/>
            <w:vAlign w:val="bottom"/>
            <w:hideMark/>
          </w:tcPr>
          <w:p w14:paraId="18E22250" w14:textId="77777777" w:rsidR="00FA18EA" w:rsidRPr="008B2DDA" w:rsidRDefault="00FA18EA" w:rsidP="00FA18EA">
            <w:pPr>
              <w:rPr>
                <w:rFonts w:eastAsia="Times New Roman" w:cstheme="minorHAnsi"/>
                <w:sz w:val="18"/>
                <w:szCs w:val="18"/>
                <w:lang w:val="en-SG" w:eastAsia="en-SG"/>
              </w:rPr>
            </w:pPr>
            <w:r w:rsidRPr="008B2DDA">
              <w:rPr>
                <w:rFonts w:eastAsia="Times New Roman" w:cstheme="minorHAnsi"/>
                <w:sz w:val="18"/>
                <w:szCs w:val="18"/>
                <w:lang w:val="en-SG" w:eastAsia="en-SG"/>
              </w:rPr>
              <w:t>Share buy back</w:t>
            </w:r>
          </w:p>
        </w:tc>
        <w:tc>
          <w:tcPr>
            <w:tcW w:w="992" w:type="dxa"/>
            <w:tcBorders>
              <w:top w:val="nil"/>
              <w:left w:val="nil"/>
              <w:right w:val="nil"/>
            </w:tcBorders>
            <w:shd w:val="clear" w:color="000000" w:fill="FFFFFF"/>
            <w:noWrap/>
            <w:vAlign w:val="bottom"/>
            <w:hideMark/>
          </w:tcPr>
          <w:p w14:paraId="364B11F5" w14:textId="77777777" w:rsidR="00FA18EA" w:rsidRPr="0091098D" w:rsidRDefault="00FA18EA" w:rsidP="00FA18EA">
            <w:pPr>
              <w:jc w:val="right"/>
              <w:rPr>
                <w:rFonts w:eastAsia="Times New Roman" w:cstheme="minorHAnsi"/>
                <w:sz w:val="18"/>
                <w:szCs w:val="18"/>
                <w:lang w:val="en-SG" w:eastAsia="en-SG"/>
              </w:rPr>
            </w:pPr>
            <w:r w:rsidRPr="000C5053">
              <w:rPr>
                <w:rFonts w:eastAsia="Times New Roman" w:cstheme="minorHAnsi"/>
                <w:sz w:val="18"/>
                <w:szCs w:val="18"/>
                <w:lang w:val="en-SG" w:eastAsia="en-SG"/>
              </w:rPr>
              <w:t>-</w:t>
            </w:r>
          </w:p>
        </w:tc>
        <w:tc>
          <w:tcPr>
            <w:tcW w:w="1069" w:type="dxa"/>
            <w:tcBorders>
              <w:top w:val="nil"/>
              <w:left w:val="nil"/>
              <w:right w:val="nil"/>
            </w:tcBorders>
            <w:shd w:val="clear" w:color="000000" w:fill="FFFFFF"/>
            <w:vAlign w:val="bottom"/>
          </w:tcPr>
          <w:p w14:paraId="78FCB500" w14:textId="77777777" w:rsidR="00FA18EA" w:rsidRPr="0075195E" w:rsidRDefault="00FA18EA" w:rsidP="00FA18EA">
            <w:pPr>
              <w:jc w:val="right"/>
              <w:rPr>
                <w:rFonts w:eastAsia="Times New Roman" w:cstheme="minorHAnsi"/>
                <w:sz w:val="18"/>
                <w:szCs w:val="18"/>
                <w:lang w:val="en-SG" w:eastAsia="en-SG"/>
              </w:rPr>
            </w:pPr>
            <w:r w:rsidRPr="0075195E">
              <w:rPr>
                <w:rFonts w:eastAsia="Times New Roman" w:cstheme="minorHAnsi"/>
                <w:sz w:val="18"/>
                <w:szCs w:val="18"/>
                <w:lang w:val="en-SG" w:eastAsia="en-SG"/>
              </w:rPr>
              <w:t>-</w:t>
            </w:r>
          </w:p>
        </w:tc>
        <w:tc>
          <w:tcPr>
            <w:tcW w:w="859" w:type="dxa"/>
            <w:tcBorders>
              <w:top w:val="nil"/>
              <w:left w:val="nil"/>
              <w:right w:val="nil"/>
            </w:tcBorders>
            <w:shd w:val="clear" w:color="000000" w:fill="FFFFFF"/>
            <w:noWrap/>
            <w:vAlign w:val="bottom"/>
            <w:hideMark/>
          </w:tcPr>
          <w:p w14:paraId="11B8A867" w14:textId="77777777" w:rsidR="00FA18EA" w:rsidRPr="0075195E" w:rsidRDefault="00FA18EA" w:rsidP="00FA18EA">
            <w:pPr>
              <w:jc w:val="right"/>
              <w:rPr>
                <w:rFonts w:eastAsia="Times New Roman" w:cstheme="minorHAnsi"/>
                <w:sz w:val="18"/>
                <w:szCs w:val="18"/>
                <w:lang w:val="en-SG" w:eastAsia="en-SG"/>
              </w:rPr>
            </w:pPr>
            <w:r w:rsidRPr="0075195E">
              <w:rPr>
                <w:rFonts w:eastAsia="Times New Roman" w:cstheme="minorHAnsi"/>
                <w:sz w:val="18"/>
                <w:szCs w:val="18"/>
                <w:lang w:val="en-SG" w:eastAsia="en-SG"/>
              </w:rPr>
              <w:t>(470)</w:t>
            </w:r>
          </w:p>
        </w:tc>
        <w:tc>
          <w:tcPr>
            <w:tcW w:w="1009" w:type="dxa"/>
            <w:tcBorders>
              <w:top w:val="nil"/>
              <w:left w:val="nil"/>
              <w:right w:val="nil"/>
            </w:tcBorders>
            <w:shd w:val="clear" w:color="000000" w:fill="FFFFFF"/>
            <w:noWrap/>
            <w:vAlign w:val="bottom"/>
            <w:hideMark/>
          </w:tcPr>
          <w:p w14:paraId="7421445E" w14:textId="77777777" w:rsidR="00FA18EA" w:rsidRPr="00536A35" w:rsidRDefault="00FA18EA" w:rsidP="00FA18EA">
            <w:pPr>
              <w:jc w:val="right"/>
              <w:rPr>
                <w:rFonts w:eastAsia="Times New Roman" w:cstheme="minorHAnsi"/>
                <w:sz w:val="18"/>
                <w:szCs w:val="18"/>
                <w:lang w:val="en-SG" w:eastAsia="en-SG"/>
              </w:rPr>
            </w:pPr>
          </w:p>
        </w:tc>
        <w:tc>
          <w:tcPr>
            <w:tcW w:w="1081" w:type="dxa"/>
            <w:tcBorders>
              <w:top w:val="nil"/>
              <w:left w:val="nil"/>
              <w:right w:val="nil"/>
            </w:tcBorders>
            <w:shd w:val="clear" w:color="000000" w:fill="FFFFFF"/>
            <w:noWrap/>
            <w:vAlign w:val="bottom"/>
            <w:hideMark/>
          </w:tcPr>
          <w:p w14:paraId="3B48B8E5" w14:textId="77777777" w:rsidR="00FA18EA" w:rsidRPr="00A02B31" w:rsidRDefault="00FA18EA" w:rsidP="00FA18EA">
            <w:pPr>
              <w:jc w:val="right"/>
              <w:rPr>
                <w:rFonts w:eastAsia="Times New Roman" w:cstheme="minorHAnsi"/>
                <w:sz w:val="18"/>
                <w:szCs w:val="18"/>
                <w:lang w:val="en-SG" w:eastAsia="en-SG"/>
              </w:rPr>
            </w:pPr>
            <w:r w:rsidRPr="00A02B31">
              <w:rPr>
                <w:rFonts w:eastAsia="Times New Roman" w:cstheme="minorHAnsi"/>
                <w:sz w:val="18"/>
                <w:szCs w:val="18"/>
                <w:lang w:val="en-SG" w:eastAsia="en-SG"/>
              </w:rPr>
              <w:t>-</w:t>
            </w:r>
          </w:p>
        </w:tc>
        <w:tc>
          <w:tcPr>
            <w:tcW w:w="1117" w:type="dxa"/>
            <w:tcBorders>
              <w:top w:val="nil"/>
              <w:left w:val="nil"/>
              <w:right w:val="nil"/>
            </w:tcBorders>
            <w:shd w:val="clear" w:color="000000" w:fill="FFFFFF"/>
            <w:noWrap/>
            <w:vAlign w:val="bottom"/>
            <w:hideMark/>
          </w:tcPr>
          <w:p w14:paraId="6FE9EEA6" w14:textId="77777777" w:rsidR="00FA18EA" w:rsidRPr="00A02B31" w:rsidRDefault="00FA18EA" w:rsidP="00FA18EA">
            <w:pPr>
              <w:jc w:val="right"/>
              <w:rPr>
                <w:rFonts w:eastAsia="Times New Roman" w:cstheme="minorHAnsi"/>
                <w:sz w:val="18"/>
                <w:szCs w:val="18"/>
                <w:lang w:val="en-SG" w:eastAsia="en-SG"/>
              </w:rPr>
            </w:pPr>
            <w:r w:rsidRPr="00A02B31">
              <w:rPr>
                <w:rFonts w:eastAsia="Times New Roman" w:cstheme="minorHAnsi"/>
                <w:sz w:val="18"/>
                <w:szCs w:val="18"/>
                <w:lang w:val="en-SG" w:eastAsia="en-SG"/>
              </w:rPr>
              <w:t>470</w:t>
            </w:r>
          </w:p>
        </w:tc>
        <w:tc>
          <w:tcPr>
            <w:tcW w:w="923" w:type="dxa"/>
            <w:tcBorders>
              <w:top w:val="nil"/>
              <w:left w:val="nil"/>
              <w:right w:val="nil"/>
            </w:tcBorders>
            <w:shd w:val="clear" w:color="000000" w:fill="FFFFFF"/>
            <w:noWrap/>
            <w:vAlign w:val="bottom"/>
            <w:hideMark/>
          </w:tcPr>
          <w:p w14:paraId="7C753EC0" w14:textId="77777777" w:rsidR="00FA18EA" w:rsidRPr="00A02B31" w:rsidRDefault="00FA18EA" w:rsidP="00FA18EA">
            <w:pPr>
              <w:jc w:val="right"/>
              <w:rPr>
                <w:rFonts w:eastAsia="Times New Roman" w:cstheme="minorHAnsi"/>
                <w:sz w:val="18"/>
                <w:szCs w:val="18"/>
                <w:lang w:val="en-SG" w:eastAsia="en-SG"/>
              </w:rPr>
            </w:pPr>
            <w:r w:rsidRPr="00A02B31">
              <w:rPr>
                <w:rFonts w:eastAsia="Times New Roman" w:cstheme="minorHAnsi"/>
                <w:sz w:val="18"/>
                <w:szCs w:val="18"/>
                <w:lang w:val="en-SG" w:eastAsia="en-SG"/>
              </w:rPr>
              <w:t>-</w:t>
            </w:r>
          </w:p>
        </w:tc>
      </w:tr>
      <w:tr w:rsidR="00FA18EA" w:rsidRPr="007600A7" w14:paraId="6DDCC43C" w14:textId="77777777" w:rsidTr="00FA18EA">
        <w:trPr>
          <w:trHeight w:val="240"/>
        </w:trPr>
        <w:tc>
          <w:tcPr>
            <w:tcW w:w="3011" w:type="dxa"/>
            <w:tcBorders>
              <w:top w:val="nil"/>
              <w:left w:val="nil"/>
              <w:right w:val="nil"/>
            </w:tcBorders>
            <w:shd w:val="clear" w:color="000000" w:fill="FFFFFF"/>
            <w:noWrap/>
            <w:vAlign w:val="bottom"/>
            <w:hideMark/>
          </w:tcPr>
          <w:p w14:paraId="36A6136C" w14:textId="77777777" w:rsidR="00FA18EA" w:rsidRPr="008B2DDA" w:rsidRDefault="00FA18EA" w:rsidP="00FA18EA">
            <w:pPr>
              <w:rPr>
                <w:rFonts w:eastAsia="Times New Roman" w:cstheme="minorHAnsi"/>
                <w:sz w:val="18"/>
                <w:szCs w:val="18"/>
                <w:lang w:val="en-SG" w:eastAsia="en-SG"/>
              </w:rPr>
            </w:pPr>
            <w:r w:rsidRPr="008B2DDA">
              <w:rPr>
                <w:rFonts w:eastAsia="Times New Roman" w:cstheme="minorHAnsi"/>
                <w:sz w:val="18"/>
                <w:szCs w:val="18"/>
                <w:lang w:val="en-SG" w:eastAsia="en-SG"/>
              </w:rPr>
              <w:t>Dividends paid</w:t>
            </w:r>
          </w:p>
        </w:tc>
        <w:tc>
          <w:tcPr>
            <w:tcW w:w="992" w:type="dxa"/>
            <w:tcBorders>
              <w:top w:val="nil"/>
              <w:left w:val="nil"/>
              <w:right w:val="nil"/>
            </w:tcBorders>
            <w:shd w:val="clear" w:color="000000" w:fill="FFFFFF"/>
            <w:noWrap/>
            <w:vAlign w:val="bottom"/>
            <w:hideMark/>
          </w:tcPr>
          <w:p w14:paraId="1C43DF84" w14:textId="77777777" w:rsidR="00FA18EA" w:rsidRPr="0091098D" w:rsidRDefault="00FA18EA" w:rsidP="00FA18EA">
            <w:pPr>
              <w:jc w:val="right"/>
              <w:rPr>
                <w:rFonts w:eastAsia="Times New Roman" w:cstheme="minorHAnsi"/>
                <w:sz w:val="18"/>
                <w:szCs w:val="18"/>
                <w:lang w:val="en-SG" w:eastAsia="en-SG"/>
              </w:rPr>
            </w:pPr>
            <w:r w:rsidRPr="000C5053">
              <w:rPr>
                <w:rFonts w:eastAsia="Times New Roman" w:cstheme="minorHAnsi"/>
                <w:sz w:val="18"/>
                <w:szCs w:val="18"/>
                <w:lang w:val="en-SG" w:eastAsia="en-SG"/>
              </w:rPr>
              <w:t>-</w:t>
            </w:r>
          </w:p>
        </w:tc>
        <w:tc>
          <w:tcPr>
            <w:tcW w:w="1069" w:type="dxa"/>
            <w:tcBorders>
              <w:top w:val="nil"/>
              <w:left w:val="nil"/>
              <w:right w:val="nil"/>
            </w:tcBorders>
            <w:shd w:val="clear" w:color="000000" w:fill="FFFFFF"/>
            <w:vAlign w:val="bottom"/>
          </w:tcPr>
          <w:p w14:paraId="72E29727" w14:textId="77777777" w:rsidR="00FA18EA" w:rsidRPr="0075195E" w:rsidRDefault="00FA18EA" w:rsidP="00FA18EA">
            <w:pPr>
              <w:jc w:val="right"/>
              <w:rPr>
                <w:rFonts w:eastAsia="Times New Roman" w:cstheme="minorHAnsi"/>
                <w:sz w:val="18"/>
                <w:szCs w:val="18"/>
                <w:lang w:val="en-SG" w:eastAsia="en-SG"/>
              </w:rPr>
            </w:pPr>
            <w:r w:rsidRPr="0075195E">
              <w:rPr>
                <w:rFonts w:eastAsia="Times New Roman" w:cstheme="minorHAnsi"/>
                <w:sz w:val="18"/>
                <w:szCs w:val="18"/>
                <w:lang w:val="en-SG" w:eastAsia="en-SG"/>
              </w:rPr>
              <w:t>-</w:t>
            </w:r>
          </w:p>
        </w:tc>
        <w:tc>
          <w:tcPr>
            <w:tcW w:w="859" w:type="dxa"/>
            <w:tcBorders>
              <w:top w:val="nil"/>
              <w:left w:val="nil"/>
              <w:right w:val="nil"/>
            </w:tcBorders>
            <w:shd w:val="clear" w:color="000000" w:fill="FFFFFF"/>
            <w:noWrap/>
            <w:vAlign w:val="bottom"/>
            <w:hideMark/>
          </w:tcPr>
          <w:p w14:paraId="79CDA8F4" w14:textId="77777777" w:rsidR="00FA18EA" w:rsidRPr="0075195E" w:rsidRDefault="00FA18EA" w:rsidP="00FA18EA">
            <w:pPr>
              <w:jc w:val="right"/>
              <w:rPr>
                <w:rFonts w:eastAsia="Times New Roman" w:cstheme="minorHAnsi"/>
                <w:sz w:val="18"/>
                <w:szCs w:val="18"/>
                <w:lang w:val="en-SG" w:eastAsia="en-SG"/>
              </w:rPr>
            </w:pPr>
            <w:r w:rsidRPr="0075195E">
              <w:rPr>
                <w:rFonts w:eastAsia="Times New Roman" w:cstheme="minorHAnsi"/>
                <w:sz w:val="18"/>
                <w:szCs w:val="18"/>
                <w:lang w:val="en-SG" w:eastAsia="en-SG"/>
              </w:rPr>
              <w:t>-</w:t>
            </w:r>
          </w:p>
        </w:tc>
        <w:tc>
          <w:tcPr>
            <w:tcW w:w="1009" w:type="dxa"/>
            <w:tcBorders>
              <w:top w:val="nil"/>
              <w:left w:val="nil"/>
              <w:right w:val="nil"/>
            </w:tcBorders>
            <w:shd w:val="clear" w:color="000000" w:fill="FFFFFF"/>
            <w:noWrap/>
            <w:vAlign w:val="bottom"/>
            <w:hideMark/>
          </w:tcPr>
          <w:p w14:paraId="61D78728" w14:textId="77777777" w:rsidR="00FA18EA" w:rsidRPr="00536A35" w:rsidRDefault="00FA18EA" w:rsidP="00FA18EA">
            <w:pPr>
              <w:jc w:val="right"/>
              <w:rPr>
                <w:rFonts w:eastAsia="Times New Roman" w:cstheme="minorHAnsi"/>
                <w:sz w:val="18"/>
                <w:szCs w:val="18"/>
                <w:lang w:val="en-SG" w:eastAsia="en-SG"/>
              </w:rPr>
            </w:pPr>
            <w:r w:rsidRPr="00536A35">
              <w:rPr>
                <w:rFonts w:eastAsia="Times New Roman" w:cstheme="minorHAnsi"/>
                <w:sz w:val="18"/>
                <w:szCs w:val="18"/>
                <w:lang w:val="en-SG" w:eastAsia="en-SG"/>
              </w:rPr>
              <w:t>-</w:t>
            </w:r>
          </w:p>
        </w:tc>
        <w:tc>
          <w:tcPr>
            <w:tcW w:w="1081" w:type="dxa"/>
            <w:tcBorders>
              <w:top w:val="nil"/>
              <w:left w:val="nil"/>
              <w:right w:val="nil"/>
            </w:tcBorders>
            <w:shd w:val="clear" w:color="000000" w:fill="FFFFFF"/>
            <w:noWrap/>
            <w:vAlign w:val="bottom"/>
            <w:hideMark/>
          </w:tcPr>
          <w:p w14:paraId="246906BD" w14:textId="77777777" w:rsidR="00FA18EA" w:rsidRPr="00A02B31" w:rsidRDefault="00FA18EA" w:rsidP="00FA18EA">
            <w:pPr>
              <w:jc w:val="right"/>
              <w:rPr>
                <w:rFonts w:eastAsia="Times New Roman" w:cstheme="minorHAnsi"/>
                <w:sz w:val="18"/>
                <w:szCs w:val="18"/>
                <w:lang w:val="en-SG" w:eastAsia="en-SG"/>
              </w:rPr>
            </w:pPr>
            <w:r w:rsidRPr="00A02B31">
              <w:rPr>
                <w:rFonts w:eastAsia="Times New Roman" w:cstheme="minorHAnsi"/>
                <w:sz w:val="18"/>
                <w:szCs w:val="18"/>
                <w:lang w:val="en-SG" w:eastAsia="en-SG"/>
              </w:rPr>
              <w:t>(535)</w:t>
            </w:r>
          </w:p>
        </w:tc>
        <w:tc>
          <w:tcPr>
            <w:tcW w:w="1117" w:type="dxa"/>
            <w:tcBorders>
              <w:top w:val="nil"/>
              <w:left w:val="nil"/>
              <w:right w:val="nil"/>
            </w:tcBorders>
            <w:shd w:val="clear" w:color="000000" w:fill="FFFFFF"/>
            <w:noWrap/>
            <w:vAlign w:val="bottom"/>
            <w:hideMark/>
          </w:tcPr>
          <w:p w14:paraId="6C344824" w14:textId="77777777" w:rsidR="00FA18EA" w:rsidRPr="00A02B31" w:rsidRDefault="00FA18EA" w:rsidP="00FA18EA">
            <w:pPr>
              <w:jc w:val="right"/>
              <w:rPr>
                <w:rFonts w:eastAsia="Times New Roman" w:cstheme="minorHAnsi"/>
                <w:sz w:val="18"/>
                <w:szCs w:val="18"/>
                <w:lang w:val="en-SG" w:eastAsia="en-SG"/>
              </w:rPr>
            </w:pPr>
            <w:r w:rsidRPr="00A02B31">
              <w:rPr>
                <w:rFonts w:eastAsia="Times New Roman" w:cstheme="minorHAnsi"/>
                <w:sz w:val="18"/>
                <w:szCs w:val="18"/>
                <w:lang w:val="en-SG" w:eastAsia="en-SG"/>
              </w:rPr>
              <w:t>-</w:t>
            </w:r>
          </w:p>
        </w:tc>
        <w:tc>
          <w:tcPr>
            <w:tcW w:w="923" w:type="dxa"/>
            <w:tcBorders>
              <w:top w:val="nil"/>
              <w:left w:val="nil"/>
              <w:right w:val="nil"/>
            </w:tcBorders>
            <w:shd w:val="clear" w:color="000000" w:fill="FFFFFF"/>
            <w:noWrap/>
            <w:vAlign w:val="bottom"/>
            <w:hideMark/>
          </w:tcPr>
          <w:p w14:paraId="2CC071DC" w14:textId="77777777" w:rsidR="00FA18EA" w:rsidRPr="00A02B31" w:rsidRDefault="00FA18EA" w:rsidP="00FA18EA">
            <w:pPr>
              <w:jc w:val="right"/>
              <w:rPr>
                <w:rFonts w:eastAsia="Times New Roman" w:cstheme="minorHAnsi"/>
                <w:sz w:val="18"/>
                <w:szCs w:val="18"/>
                <w:lang w:val="en-SG" w:eastAsia="en-SG"/>
              </w:rPr>
            </w:pPr>
            <w:r w:rsidRPr="00A02B31">
              <w:rPr>
                <w:rFonts w:eastAsia="Times New Roman" w:cstheme="minorHAnsi"/>
                <w:sz w:val="18"/>
                <w:szCs w:val="18"/>
                <w:lang w:val="en-SG" w:eastAsia="en-SG"/>
              </w:rPr>
              <w:t>(535)</w:t>
            </w:r>
          </w:p>
        </w:tc>
      </w:tr>
      <w:tr w:rsidR="00FA18EA" w:rsidRPr="007600A7" w14:paraId="70EB2198" w14:textId="77777777" w:rsidTr="00FA18EA">
        <w:trPr>
          <w:trHeight w:val="240"/>
        </w:trPr>
        <w:tc>
          <w:tcPr>
            <w:tcW w:w="3011" w:type="dxa"/>
            <w:tcBorders>
              <w:top w:val="nil"/>
              <w:left w:val="nil"/>
              <w:right w:val="nil"/>
            </w:tcBorders>
            <w:shd w:val="clear" w:color="000000" w:fill="FFFFFF"/>
            <w:noWrap/>
            <w:vAlign w:val="bottom"/>
          </w:tcPr>
          <w:p w14:paraId="49611E4B" w14:textId="77777777" w:rsidR="00FA18EA" w:rsidRPr="008B2DDA" w:rsidRDefault="00FA18EA" w:rsidP="00FA18EA">
            <w:pPr>
              <w:rPr>
                <w:rFonts w:eastAsia="Times New Roman" w:cstheme="minorHAnsi"/>
                <w:sz w:val="18"/>
                <w:szCs w:val="18"/>
                <w:lang w:val="en-SG" w:eastAsia="en-SG"/>
              </w:rPr>
            </w:pPr>
            <w:r w:rsidRPr="008B2DDA">
              <w:rPr>
                <w:rFonts w:eastAsia="Times New Roman" w:cstheme="minorHAnsi"/>
                <w:sz w:val="18"/>
                <w:szCs w:val="18"/>
                <w:lang w:val="en-SG" w:eastAsia="en-SG"/>
              </w:rPr>
              <w:t>Return of unclaimed special dividends and capital payments</w:t>
            </w:r>
          </w:p>
        </w:tc>
        <w:tc>
          <w:tcPr>
            <w:tcW w:w="992" w:type="dxa"/>
            <w:tcBorders>
              <w:top w:val="nil"/>
              <w:left w:val="nil"/>
              <w:right w:val="nil"/>
            </w:tcBorders>
            <w:shd w:val="clear" w:color="000000" w:fill="FFFFFF"/>
            <w:noWrap/>
            <w:vAlign w:val="bottom"/>
          </w:tcPr>
          <w:p w14:paraId="2DD3FDB0" w14:textId="77777777" w:rsidR="00FA18EA" w:rsidRPr="0091098D" w:rsidRDefault="00FA18EA" w:rsidP="00FA18EA">
            <w:pPr>
              <w:jc w:val="right"/>
              <w:rPr>
                <w:rFonts w:eastAsia="Times New Roman" w:cstheme="minorHAnsi"/>
                <w:sz w:val="18"/>
                <w:szCs w:val="18"/>
                <w:lang w:val="en-SG" w:eastAsia="en-SG"/>
              </w:rPr>
            </w:pPr>
            <w:r w:rsidRPr="000C5053">
              <w:rPr>
                <w:rFonts w:eastAsia="Times New Roman" w:cstheme="minorHAnsi"/>
                <w:sz w:val="18"/>
                <w:szCs w:val="18"/>
                <w:lang w:val="en-SG" w:eastAsia="en-SG"/>
              </w:rPr>
              <w:t>-</w:t>
            </w:r>
          </w:p>
        </w:tc>
        <w:tc>
          <w:tcPr>
            <w:tcW w:w="1069" w:type="dxa"/>
            <w:tcBorders>
              <w:top w:val="nil"/>
              <w:left w:val="nil"/>
              <w:right w:val="nil"/>
            </w:tcBorders>
            <w:shd w:val="clear" w:color="000000" w:fill="FFFFFF"/>
            <w:vAlign w:val="bottom"/>
          </w:tcPr>
          <w:p w14:paraId="38B805A1" w14:textId="77777777" w:rsidR="00FA18EA" w:rsidRPr="0075195E" w:rsidRDefault="00FA18EA" w:rsidP="00FA18EA">
            <w:pPr>
              <w:jc w:val="right"/>
              <w:rPr>
                <w:rFonts w:eastAsia="Times New Roman" w:cstheme="minorHAnsi"/>
                <w:sz w:val="18"/>
                <w:szCs w:val="18"/>
                <w:lang w:val="en-SG" w:eastAsia="en-SG"/>
              </w:rPr>
            </w:pPr>
            <w:r w:rsidRPr="0075195E">
              <w:rPr>
                <w:rFonts w:eastAsia="Times New Roman" w:cstheme="minorHAnsi"/>
                <w:sz w:val="18"/>
                <w:szCs w:val="18"/>
                <w:lang w:val="en-SG" w:eastAsia="en-SG"/>
              </w:rPr>
              <w:t>-</w:t>
            </w:r>
          </w:p>
        </w:tc>
        <w:tc>
          <w:tcPr>
            <w:tcW w:w="859" w:type="dxa"/>
            <w:tcBorders>
              <w:top w:val="nil"/>
              <w:left w:val="nil"/>
              <w:right w:val="nil"/>
            </w:tcBorders>
            <w:shd w:val="clear" w:color="000000" w:fill="FFFFFF"/>
            <w:noWrap/>
            <w:vAlign w:val="bottom"/>
          </w:tcPr>
          <w:p w14:paraId="06BCD047" w14:textId="77777777" w:rsidR="00FA18EA" w:rsidRPr="0075195E" w:rsidRDefault="00FA18EA" w:rsidP="00FA18EA">
            <w:pPr>
              <w:jc w:val="right"/>
              <w:rPr>
                <w:rFonts w:eastAsia="Times New Roman" w:cstheme="minorHAnsi"/>
                <w:sz w:val="18"/>
                <w:szCs w:val="18"/>
                <w:lang w:val="en-SG" w:eastAsia="en-SG"/>
              </w:rPr>
            </w:pPr>
            <w:r w:rsidRPr="0075195E">
              <w:rPr>
                <w:rFonts w:eastAsia="Times New Roman" w:cstheme="minorHAnsi"/>
                <w:sz w:val="18"/>
                <w:szCs w:val="18"/>
                <w:lang w:val="en-SG" w:eastAsia="en-SG"/>
              </w:rPr>
              <w:t>-</w:t>
            </w:r>
          </w:p>
        </w:tc>
        <w:tc>
          <w:tcPr>
            <w:tcW w:w="1009" w:type="dxa"/>
            <w:tcBorders>
              <w:top w:val="nil"/>
              <w:left w:val="nil"/>
              <w:right w:val="nil"/>
            </w:tcBorders>
            <w:shd w:val="clear" w:color="000000" w:fill="FFFFFF"/>
            <w:noWrap/>
            <w:vAlign w:val="bottom"/>
          </w:tcPr>
          <w:p w14:paraId="148EDEA8" w14:textId="77777777" w:rsidR="00FA18EA" w:rsidRPr="00536A35" w:rsidRDefault="00FA18EA" w:rsidP="00FA18EA">
            <w:pPr>
              <w:jc w:val="right"/>
              <w:rPr>
                <w:rFonts w:eastAsia="Times New Roman" w:cstheme="minorHAnsi"/>
                <w:sz w:val="18"/>
                <w:szCs w:val="18"/>
                <w:lang w:val="en-SG" w:eastAsia="en-SG"/>
              </w:rPr>
            </w:pPr>
            <w:r w:rsidRPr="00536A35">
              <w:rPr>
                <w:rFonts w:eastAsia="Times New Roman" w:cstheme="minorHAnsi"/>
                <w:sz w:val="18"/>
                <w:szCs w:val="18"/>
                <w:lang w:val="en-SG" w:eastAsia="en-SG"/>
              </w:rPr>
              <w:t>-</w:t>
            </w:r>
          </w:p>
        </w:tc>
        <w:tc>
          <w:tcPr>
            <w:tcW w:w="1081" w:type="dxa"/>
            <w:tcBorders>
              <w:top w:val="nil"/>
              <w:left w:val="nil"/>
              <w:right w:val="nil"/>
            </w:tcBorders>
            <w:shd w:val="clear" w:color="000000" w:fill="FFFFFF"/>
            <w:noWrap/>
            <w:vAlign w:val="bottom"/>
          </w:tcPr>
          <w:p w14:paraId="4800829C" w14:textId="77777777" w:rsidR="00FA18EA" w:rsidRPr="00A02B31" w:rsidRDefault="00FA18EA" w:rsidP="00FA18EA">
            <w:pPr>
              <w:jc w:val="right"/>
              <w:rPr>
                <w:rFonts w:eastAsia="Times New Roman" w:cstheme="minorHAnsi"/>
                <w:sz w:val="18"/>
                <w:szCs w:val="18"/>
                <w:lang w:val="en-SG" w:eastAsia="en-SG"/>
              </w:rPr>
            </w:pPr>
            <w:r w:rsidRPr="00A02B31">
              <w:rPr>
                <w:rFonts w:eastAsia="Times New Roman" w:cstheme="minorHAnsi"/>
                <w:sz w:val="18"/>
                <w:szCs w:val="18"/>
                <w:lang w:val="en-SG" w:eastAsia="en-SG"/>
              </w:rPr>
              <w:t>64</w:t>
            </w:r>
          </w:p>
        </w:tc>
        <w:tc>
          <w:tcPr>
            <w:tcW w:w="1117" w:type="dxa"/>
            <w:tcBorders>
              <w:top w:val="nil"/>
              <w:left w:val="nil"/>
              <w:right w:val="nil"/>
            </w:tcBorders>
            <w:shd w:val="clear" w:color="000000" w:fill="FFFFFF"/>
            <w:noWrap/>
            <w:vAlign w:val="bottom"/>
          </w:tcPr>
          <w:p w14:paraId="569F819F" w14:textId="77777777" w:rsidR="00FA18EA" w:rsidRPr="00A02B31" w:rsidRDefault="00FA18EA" w:rsidP="00FA18EA">
            <w:pPr>
              <w:jc w:val="right"/>
              <w:rPr>
                <w:rFonts w:eastAsia="Times New Roman" w:cstheme="minorHAnsi"/>
                <w:sz w:val="18"/>
                <w:szCs w:val="18"/>
                <w:lang w:val="en-SG" w:eastAsia="en-SG"/>
              </w:rPr>
            </w:pPr>
            <w:r w:rsidRPr="00A02B31">
              <w:rPr>
                <w:rFonts w:eastAsia="Times New Roman" w:cstheme="minorHAnsi"/>
                <w:sz w:val="18"/>
                <w:szCs w:val="18"/>
                <w:lang w:val="en-SG" w:eastAsia="en-SG"/>
              </w:rPr>
              <w:t>-</w:t>
            </w:r>
          </w:p>
        </w:tc>
        <w:tc>
          <w:tcPr>
            <w:tcW w:w="923" w:type="dxa"/>
            <w:tcBorders>
              <w:top w:val="nil"/>
              <w:left w:val="nil"/>
              <w:right w:val="nil"/>
            </w:tcBorders>
            <w:shd w:val="clear" w:color="000000" w:fill="FFFFFF"/>
            <w:noWrap/>
            <w:vAlign w:val="bottom"/>
          </w:tcPr>
          <w:p w14:paraId="403CA0A1" w14:textId="77777777" w:rsidR="00FA18EA" w:rsidRPr="00A02B31" w:rsidRDefault="00FA18EA" w:rsidP="00FA18EA">
            <w:pPr>
              <w:jc w:val="right"/>
              <w:rPr>
                <w:rFonts w:eastAsia="Times New Roman" w:cstheme="minorHAnsi"/>
                <w:sz w:val="18"/>
                <w:szCs w:val="18"/>
                <w:lang w:val="en-SG" w:eastAsia="en-SG"/>
              </w:rPr>
            </w:pPr>
            <w:r w:rsidRPr="00A02B31">
              <w:rPr>
                <w:rFonts w:eastAsia="Times New Roman" w:cstheme="minorHAnsi"/>
                <w:sz w:val="18"/>
                <w:szCs w:val="18"/>
                <w:lang w:val="en-SG" w:eastAsia="en-SG"/>
              </w:rPr>
              <w:t>64</w:t>
            </w:r>
          </w:p>
        </w:tc>
      </w:tr>
      <w:tr w:rsidR="00FA18EA" w:rsidRPr="007600A7" w14:paraId="5E85F679" w14:textId="77777777" w:rsidTr="00FA18EA">
        <w:trPr>
          <w:trHeight w:val="240"/>
        </w:trPr>
        <w:tc>
          <w:tcPr>
            <w:tcW w:w="3011" w:type="dxa"/>
            <w:tcBorders>
              <w:top w:val="nil"/>
              <w:left w:val="nil"/>
              <w:right w:val="nil"/>
            </w:tcBorders>
            <w:shd w:val="clear" w:color="000000" w:fill="FFFFFF"/>
            <w:noWrap/>
            <w:vAlign w:val="bottom"/>
          </w:tcPr>
          <w:p w14:paraId="0774ADA6" w14:textId="77777777" w:rsidR="00FA18EA" w:rsidRPr="008B2DDA" w:rsidRDefault="00FA18EA" w:rsidP="00FA18EA">
            <w:pPr>
              <w:rPr>
                <w:rFonts w:eastAsia="Times New Roman" w:cstheme="minorHAnsi"/>
                <w:sz w:val="18"/>
                <w:szCs w:val="18"/>
                <w:lang w:val="en-SG" w:eastAsia="en-SG"/>
              </w:rPr>
            </w:pPr>
            <w:r w:rsidRPr="008B2DDA">
              <w:rPr>
                <w:rFonts w:eastAsia="Times New Roman" w:cstheme="minorHAnsi"/>
                <w:sz w:val="18"/>
                <w:szCs w:val="18"/>
                <w:lang w:val="en-SG" w:eastAsia="en-SG"/>
              </w:rPr>
              <w:t>Tender Offer</w:t>
            </w:r>
          </w:p>
        </w:tc>
        <w:tc>
          <w:tcPr>
            <w:tcW w:w="992" w:type="dxa"/>
            <w:tcBorders>
              <w:top w:val="nil"/>
              <w:left w:val="nil"/>
              <w:right w:val="nil"/>
            </w:tcBorders>
            <w:shd w:val="clear" w:color="000000" w:fill="FFFFFF"/>
            <w:noWrap/>
            <w:vAlign w:val="bottom"/>
          </w:tcPr>
          <w:p w14:paraId="22365C4C" w14:textId="77777777" w:rsidR="00FA18EA" w:rsidRPr="0091098D" w:rsidRDefault="00FA18EA" w:rsidP="00FA18EA">
            <w:pPr>
              <w:jc w:val="right"/>
              <w:rPr>
                <w:rFonts w:eastAsia="Times New Roman" w:cstheme="minorHAnsi"/>
                <w:sz w:val="18"/>
                <w:szCs w:val="18"/>
                <w:lang w:val="en-SG" w:eastAsia="en-SG"/>
              </w:rPr>
            </w:pPr>
            <w:r w:rsidRPr="000C5053">
              <w:rPr>
                <w:rFonts w:eastAsia="Times New Roman" w:cstheme="minorHAnsi"/>
                <w:sz w:val="18"/>
                <w:szCs w:val="18"/>
                <w:lang w:val="en-SG" w:eastAsia="en-SG"/>
              </w:rPr>
              <w:t>-</w:t>
            </w:r>
          </w:p>
        </w:tc>
        <w:tc>
          <w:tcPr>
            <w:tcW w:w="1069" w:type="dxa"/>
            <w:tcBorders>
              <w:top w:val="nil"/>
              <w:left w:val="nil"/>
              <w:right w:val="nil"/>
            </w:tcBorders>
            <w:shd w:val="clear" w:color="000000" w:fill="FFFFFF"/>
            <w:vAlign w:val="bottom"/>
          </w:tcPr>
          <w:p w14:paraId="1A7FA2C8" w14:textId="77777777" w:rsidR="00FA18EA" w:rsidRPr="0075195E" w:rsidRDefault="00FA18EA" w:rsidP="00FA18EA">
            <w:pPr>
              <w:jc w:val="right"/>
              <w:rPr>
                <w:rFonts w:eastAsia="Times New Roman" w:cstheme="minorHAnsi"/>
                <w:sz w:val="18"/>
                <w:szCs w:val="18"/>
                <w:lang w:val="en-SG" w:eastAsia="en-SG"/>
              </w:rPr>
            </w:pPr>
            <w:r w:rsidRPr="0075195E">
              <w:rPr>
                <w:rFonts w:eastAsia="Times New Roman" w:cstheme="minorHAnsi"/>
                <w:sz w:val="18"/>
                <w:szCs w:val="18"/>
                <w:lang w:val="en-SG" w:eastAsia="en-SG"/>
              </w:rPr>
              <w:t>-</w:t>
            </w:r>
          </w:p>
        </w:tc>
        <w:tc>
          <w:tcPr>
            <w:tcW w:w="859" w:type="dxa"/>
            <w:tcBorders>
              <w:top w:val="nil"/>
              <w:left w:val="nil"/>
              <w:right w:val="nil"/>
            </w:tcBorders>
            <w:shd w:val="clear" w:color="000000" w:fill="FFFFFF"/>
            <w:noWrap/>
            <w:vAlign w:val="bottom"/>
          </w:tcPr>
          <w:p w14:paraId="2D949DF6" w14:textId="77777777" w:rsidR="00FA18EA" w:rsidRPr="0075195E" w:rsidRDefault="00FA18EA" w:rsidP="00FA18EA">
            <w:pPr>
              <w:jc w:val="right"/>
              <w:rPr>
                <w:rFonts w:eastAsia="Times New Roman" w:cstheme="minorHAnsi"/>
                <w:sz w:val="18"/>
                <w:szCs w:val="18"/>
                <w:lang w:val="en-SG" w:eastAsia="en-SG"/>
              </w:rPr>
            </w:pPr>
            <w:r w:rsidRPr="0075195E">
              <w:rPr>
                <w:rFonts w:eastAsia="Times New Roman" w:cstheme="minorHAnsi"/>
                <w:sz w:val="18"/>
                <w:szCs w:val="18"/>
                <w:lang w:val="en-SG" w:eastAsia="en-SG"/>
              </w:rPr>
              <w:t>-</w:t>
            </w:r>
          </w:p>
        </w:tc>
        <w:tc>
          <w:tcPr>
            <w:tcW w:w="1009" w:type="dxa"/>
            <w:tcBorders>
              <w:top w:val="nil"/>
              <w:left w:val="nil"/>
              <w:right w:val="nil"/>
            </w:tcBorders>
            <w:shd w:val="clear" w:color="000000" w:fill="FFFFFF"/>
            <w:noWrap/>
            <w:vAlign w:val="bottom"/>
          </w:tcPr>
          <w:p w14:paraId="397CAEE6" w14:textId="77777777" w:rsidR="00FA18EA" w:rsidRPr="00536A35" w:rsidRDefault="00FA18EA" w:rsidP="00FA18EA">
            <w:pPr>
              <w:jc w:val="right"/>
              <w:rPr>
                <w:rFonts w:eastAsia="Times New Roman" w:cstheme="minorHAnsi"/>
                <w:sz w:val="18"/>
                <w:szCs w:val="18"/>
                <w:lang w:val="en-SG" w:eastAsia="en-SG"/>
              </w:rPr>
            </w:pPr>
            <w:r w:rsidRPr="00536A35">
              <w:rPr>
                <w:rFonts w:eastAsia="Times New Roman" w:cstheme="minorHAnsi"/>
                <w:sz w:val="18"/>
                <w:szCs w:val="18"/>
                <w:lang w:val="en-SG" w:eastAsia="en-SG"/>
              </w:rPr>
              <w:t>-</w:t>
            </w:r>
          </w:p>
        </w:tc>
        <w:tc>
          <w:tcPr>
            <w:tcW w:w="1081" w:type="dxa"/>
            <w:tcBorders>
              <w:top w:val="nil"/>
              <w:left w:val="nil"/>
              <w:right w:val="nil"/>
            </w:tcBorders>
            <w:shd w:val="clear" w:color="000000" w:fill="FFFFFF"/>
            <w:noWrap/>
            <w:vAlign w:val="bottom"/>
          </w:tcPr>
          <w:p w14:paraId="7F4E80CC" w14:textId="77777777" w:rsidR="00FA18EA" w:rsidRPr="00A02B31" w:rsidRDefault="00FA18EA" w:rsidP="00FA18EA">
            <w:pPr>
              <w:jc w:val="right"/>
              <w:rPr>
                <w:rFonts w:eastAsia="Times New Roman" w:cstheme="minorHAnsi"/>
                <w:sz w:val="18"/>
                <w:szCs w:val="18"/>
                <w:lang w:val="en-SG" w:eastAsia="en-SG"/>
              </w:rPr>
            </w:pPr>
            <w:r w:rsidRPr="00A02B31">
              <w:rPr>
                <w:rFonts w:eastAsia="Times New Roman" w:cstheme="minorHAnsi"/>
                <w:sz w:val="18"/>
                <w:szCs w:val="18"/>
                <w:lang w:val="en-SG" w:eastAsia="en-SG"/>
              </w:rPr>
              <w:t>(14,578)</w:t>
            </w:r>
          </w:p>
        </w:tc>
        <w:tc>
          <w:tcPr>
            <w:tcW w:w="1117" w:type="dxa"/>
            <w:tcBorders>
              <w:top w:val="nil"/>
              <w:left w:val="nil"/>
              <w:right w:val="nil"/>
            </w:tcBorders>
            <w:shd w:val="clear" w:color="000000" w:fill="FFFFFF"/>
            <w:noWrap/>
            <w:vAlign w:val="bottom"/>
          </w:tcPr>
          <w:p w14:paraId="01B00AC0" w14:textId="77777777" w:rsidR="00FA18EA" w:rsidRPr="00A02B31" w:rsidRDefault="00FA18EA" w:rsidP="00FA18EA">
            <w:pPr>
              <w:jc w:val="right"/>
              <w:rPr>
                <w:rFonts w:eastAsia="Times New Roman" w:cstheme="minorHAnsi"/>
                <w:sz w:val="18"/>
                <w:szCs w:val="18"/>
                <w:lang w:val="en-SG" w:eastAsia="en-SG"/>
              </w:rPr>
            </w:pPr>
            <w:r w:rsidRPr="00A02B31">
              <w:rPr>
                <w:rFonts w:eastAsia="Times New Roman" w:cstheme="minorHAnsi"/>
                <w:sz w:val="18"/>
                <w:szCs w:val="18"/>
                <w:lang w:val="en-SG" w:eastAsia="en-SG"/>
              </w:rPr>
              <w:t>-</w:t>
            </w:r>
          </w:p>
        </w:tc>
        <w:tc>
          <w:tcPr>
            <w:tcW w:w="923" w:type="dxa"/>
            <w:tcBorders>
              <w:top w:val="nil"/>
              <w:left w:val="nil"/>
              <w:right w:val="nil"/>
            </w:tcBorders>
            <w:shd w:val="clear" w:color="000000" w:fill="FFFFFF"/>
            <w:noWrap/>
            <w:vAlign w:val="bottom"/>
          </w:tcPr>
          <w:p w14:paraId="599905F2" w14:textId="77777777" w:rsidR="00FA18EA" w:rsidRPr="00A02B31" w:rsidRDefault="00FA18EA" w:rsidP="00FA18EA">
            <w:pPr>
              <w:jc w:val="right"/>
              <w:rPr>
                <w:rFonts w:eastAsia="Times New Roman" w:cstheme="minorHAnsi"/>
                <w:sz w:val="18"/>
                <w:szCs w:val="18"/>
                <w:lang w:val="en-SG" w:eastAsia="en-SG"/>
              </w:rPr>
            </w:pPr>
            <w:r w:rsidRPr="00A02B31">
              <w:rPr>
                <w:rFonts w:eastAsia="Times New Roman" w:cstheme="minorHAnsi"/>
                <w:sz w:val="18"/>
                <w:szCs w:val="18"/>
                <w:lang w:val="en-SG" w:eastAsia="en-SG"/>
              </w:rPr>
              <w:t>(14,578)</w:t>
            </w:r>
          </w:p>
        </w:tc>
      </w:tr>
      <w:tr w:rsidR="00FA18EA" w:rsidRPr="007600A7" w14:paraId="4C2859D0" w14:textId="77777777" w:rsidTr="00FA18EA">
        <w:trPr>
          <w:trHeight w:val="240"/>
        </w:trPr>
        <w:tc>
          <w:tcPr>
            <w:tcW w:w="3011" w:type="dxa"/>
            <w:tcBorders>
              <w:top w:val="nil"/>
              <w:left w:val="nil"/>
              <w:right w:val="nil"/>
            </w:tcBorders>
            <w:shd w:val="clear" w:color="000000" w:fill="FFFFFF"/>
            <w:noWrap/>
            <w:vAlign w:val="bottom"/>
          </w:tcPr>
          <w:p w14:paraId="544D5D77" w14:textId="77777777" w:rsidR="00FA18EA" w:rsidRPr="008B2DDA" w:rsidRDefault="00FA18EA" w:rsidP="00FA18EA">
            <w:pPr>
              <w:rPr>
                <w:rFonts w:eastAsia="Times New Roman" w:cstheme="minorHAnsi"/>
                <w:sz w:val="18"/>
                <w:szCs w:val="18"/>
                <w:lang w:val="en-SG" w:eastAsia="en-SG"/>
              </w:rPr>
            </w:pPr>
            <w:r w:rsidRPr="008B2DDA">
              <w:rPr>
                <w:rFonts w:eastAsia="Times New Roman" w:cstheme="minorHAnsi"/>
                <w:sz w:val="18"/>
                <w:szCs w:val="18"/>
                <w:lang w:val="en-SG" w:eastAsia="en-SG"/>
              </w:rPr>
              <w:t>Issue of B Shares</w:t>
            </w:r>
          </w:p>
        </w:tc>
        <w:tc>
          <w:tcPr>
            <w:tcW w:w="992" w:type="dxa"/>
            <w:tcBorders>
              <w:top w:val="nil"/>
              <w:left w:val="nil"/>
              <w:right w:val="nil"/>
            </w:tcBorders>
            <w:shd w:val="clear" w:color="000000" w:fill="FFFFFF"/>
            <w:noWrap/>
            <w:vAlign w:val="bottom"/>
          </w:tcPr>
          <w:p w14:paraId="37079272" w14:textId="77777777" w:rsidR="00FA18EA" w:rsidRPr="0091098D" w:rsidRDefault="00FA18EA" w:rsidP="00FA18EA">
            <w:pPr>
              <w:jc w:val="right"/>
              <w:rPr>
                <w:rFonts w:eastAsia="Times New Roman" w:cstheme="minorHAnsi"/>
                <w:sz w:val="18"/>
                <w:szCs w:val="18"/>
                <w:lang w:val="en-SG" w:eastAsia="en-SG"/>
              </w:rPr>
            </w:pPr>
            <w:r w:rsidRPr="000C5053">
              <w:rPr>
                <w:rFonts w:eastAsia="Times New Roman" w:cstheme="minorHAnsi"/>
                <w:sz w:val="18"/>
                <w:szCs w:val="18"/>
                <w:lang w:val="en-SG" w:eastAsia="en-SG"/>
              </w:rPr>
              <w:t>10,443</w:t>
            </w:r>
          </w:p>
        </w:tc>
        <w:tc>
          <w:tcPr>
            <w:tcW w:w="1069" w:type="dxa"/>
            <w:tcBorders>
              <w:top w:val="nil"/>
              <w:left w:val="nil"/>
              <w:right w:val="nil"/>
            </w:tcBorders>
            <w:shd w:val="clear" w:color="000000" w:fill="FFFFFF"/>
            <w:vAlign w:val="bottom"/>
          </w:tcPr>
          <w:p w14:paraId="3889EEB0" w14:textId="77777777" w:rsidR="00FA18EA" w:rsidRPr="0075195E" w:rsidRDefault="00FA18EA" w:rsidP="00FA18EA">
            <w:pPr>
              <w:jc w:val="right"/>
              <w:rPr>
                <w:rFonts w:eastAsia="Times New Roman" w:cstheme="minorHAnsi"/>
                <w:sz w:val="18"/>
                <w:szCs w:val="18"/>
                <w:lang w:val="en-SG" w:eastAsia="en-SG"/>
              </w:rPr>
            </w:pPr>
            <w:r w:rsidRPr="0075195E">
              <w:rPr>
                <w:rFonts w:eastAsia="Times New Roman" w:cstheme="minorHAnsi"/>
                <w:sz w:val="18"/>
                <w:szCs w:val="18"/>
                <w:lang w:val="en-SG" w:eastAsia="en-SG"/>
              </w:rPr>
              <w:t>-</w:t>
            </w:r>
          </w:p>
        </w:tc>
        <w:tc>
          <w:tcPr>
            <w:tcW w:w="859" w:type="dxa"/>
            <w:tcBorders>
              <w:top w:val="nil"/>
              <w:left w:val="nil"/>
              <w:right w:val="nil"/>
            </w:tcBorders>
            <w:shd w:val="clear" w:color="000000" w:fill="FFFFFF"/>
            <w:noWrap/>
            <w:vAlign w:val="bottom"/>
          </w:tcPr>
          <w:p w14:paraId="1E96B686" w14:textId="77777777" w:rsidR="00FA18EA" w:rsidRPr="0075195E" w:rsidRDefault="00FA18EA" w:rsidP="00FA18EA">
            <w:pPr>
              <w:jc w:val="right"/>
              <w:rPr>
                <w:rFonts w:eastAsia="Times New Roman" w:cstheme="minorHAnsi"/>
                <w:sz w:val="18"/>
                <w:szCs w:val="18"/>
                <w:lang w:val="en-SG" w:eastAsia="en-SG"/>
              </w:rPr>
            </w:pPr>
            <w:r w:rsidRPr="0075195E">
              <w:rPr>
                <w:rFonts w:eastAsia="Times New Roman" w:cstheme="minorHAnsi"/>
                <w:sz w:val="18"/>
                <w:szCs w:val="18"/>
                <w:lang w:val="en-SG" w:eastAsia="en-SG"/>
              </w:rPr>
              <w:t>-</w:t>
            </w:r>
          </w:p>
        </w:tc>
        <w:tc>
          <w:tcPr>
            <w:tcW w:w="1009" w:type="dxa"/>
            <w:tcBorders>
              <w:top w:val="nil"/>
              <w:left w:val="nil"/>
              <w:right w:val="nil"/>
            </w:tcBorders>
            <w:shd w:val="clear" w:color="000000" w:fill="FFFFFF"/>
            <w:noWrap/>
            <w:vAlign w:val="bottom"/>
          </w:tcPr>
          <w:p w14:paraId="16E4EB54" w14:textId="77777777" w:rsidR="00FA18EA" w:rsidRPr="00536A35" w:rsidRDefault="00FA18EA" w:rsidP="00FA18EA">
            <w:pPr>
              <w:jc w:val="right"/>
              <w:rPr>
                <w:rFonts w:eastAsia="Times New Roman" w:cstheme="minorHAnsi"/>
                <w:sz w:val="18"/>
                <w:szCs w:val="18"/>
                <w:lang w:val="en-SG" w:eastAsia="en-SG"/>
              </w:rPr>
            </w:pPr>
            <w:r w:rsidRPr="00536A35">
              <w:rPr>
                <w:rFonts w:eastAsia="Times New Roman" w:cstheme="minorHAnsi"/>
                <w:sz w:val="18"/>
                <w:szCs w:val="18"/>
                <w:lang w:val="en-SG" w:eastAsia="en-SG"/>
              </w:rPr>
              <w:t>(10,443)</w:t>
            </w:r>
          </w:p>
        </w:tc>
        <w:tc>
          <w:tcPr>
            <w:tcW w:w="1081" w:type="dxa"/>
            <w:tcBorders>
              <w:top w:val="nil"/>
              <w:left w:val="nil"/>
              <w:right w:val="nil"/>
            </w:tcBorders>
            <w:shd w:val="clear" w:color="000000" w:fill="FFFFFF"/>
            <w:noWrap/>
            <w:vAlign w:val="bottom"/>
          </w:tcPr>
          <w:p w14:paraId="6724B547" w14:textId="77777777" w:rsidR="00FA18EA" w:rsidRPr="00A02B31" w:rsidRDefault="00FA18EA" w:rsidP="00FA18EA">
            <w:pPr>
              <w:jc w:val="right"/>
              <w:rPr>
                <w:rFonts w:eastAsia="Times New Roman" w:cstheme="minorHAnsi"/>
                <w:sz w:val="18"/>
                <w:szCs w:val="18"/>
                <w:lang w:val="en-SG" w:eastAsia="en-SG"/>
              </w:rPr>
            </w:pPr>
            <w:r w:rsidRPr="00A02B31">
              <w:rPr>
                <w:rFonts w:eastAsia="Times New Roman" w:cstheme="minorHAnsi"/>
                <w:sz w:val="18"/>
                <w:szCs w:val="18"/>
                <w:lang w:val="en-SG" w:eastAsia="en-SG"/>
              </w:rPr>
              <w:t>-</w:t>
            </w:r>
          </w:p>
        </w:tc>
        <w:tc>
          <w:tcPr>
            <w:tcW w:w="1117" w:type="dxa"/>
            <w:tcBorders>
              <w:top w:val="nil"/>
              <w:left w:val="nil"/>
              <w:right w:val="nil"/>
            </w:tcBorders>
            <w:shd w:val="clear" w:color="000000" w:fill="FFFFFF"/>
            <w:noWrap/>
            <w:vAlign w:val="bottom"/>
          </w:tcPr>
          <w:p w14:paraId="064B54BD" w14:textId="77777777" w:rsidR="00FA18EA" w:rsidRPr="00A02B31" w:rsidRDefault="00FA18EA" w:rsidP="00FA18EA">
            <w:pPr>
              <w:jc w:val="right"/>
              <w:rPr>
                <w:rFonts w:eastAsia="Times New Roman" w:cstheme="minorHAnsi"/>
                <w:sz w:val="18"/>
                <w:szCs w:val="18"/>
                <w:lang w:val="en-SG" w:eastAsia="en-SG"/>
              </w:rPr>
            </w:pPr>
            <w:r w:rsidRPr="00A02B31">
              <w:rPr>
                <w:rFonts w:eastAsia="Times New Roman" w:cstheme="minorHAnsi"/>
                <w:sz w:val="18"/>
                <w:szCs w:val="18"/>
                <w:lang w:val="en-SG" w:eastAsia="en-SG"/>
              </w:rPr>
              <w:t>-</w:t>
            </w:r>
          </w:p>
        </w:tc>
        <w:tc>
          <w:tcPr>
            <w:tcW w:w="923" w:type="dxa"/>
            <w:tcBorders>
              <w:top w:val="nil"/>
              <w:left w:val="nil"/>
              <w:right w:val="nil"/>
            </w:tcBorders>
            <w:shd w:val="clear" w:color="000000" w:fill="FFFFFF"/>
            <w:noWrap/>
            <w:vAlign w:val="bottom"/>
          </w:tcPr>
          <w:p w14:paraId="12FE9860" w14:textId="77777777" w:rsidR="00FA18EA" w:rsidRPr="00A02B31" w:rsidRDefault="00FA18EA" w:rsidP="00FA18EA">
            <w:pPr>
              <w:jc w:val="right"/>
              <w:rPr>
                <w:rFonts w:eastAsia="Times New Roman" w:cstheme="minorHAnsi"/>
                <w:sz w:val="18"/>
                <w:szCs w:val="18"/>
                <w:lang w:val="en-SG" w:eastAsia="en-SG"/>
              </w:rPr>
            </w:pPr>
            <w:r w:rsidRPr="00A02B31">
              <w:rPr>
                <w:rFonts w:eastAsia="Times New Roman" w:cstheme="minorHAnsi"/>
                <w:sz w:val="18"/>
                <w:szCs w:val="18"/>
                <w:lang w:val="en-SG" w:eastAsia="en-SG"/>
              </w:rPr>
              <w:t>-</w:t>
            </w:r>
          </w:p>
        </w:tc>
      </w:tr>
      <w:tr w:rsidR="00FA18EA" w:rsidRPr="007600A7" w14:paraId="58EF81A4" w14:textId="77777777" w:rsidTr="00FA18EA">
        <w:trPr>
          <w:trHeight w:val="240"/>
        </w:trPr>
        <w:tc>
          <w:tcPr>
            <w:tcW w:w="3011" w:type="dxa"/>
            <w:tcBorders>
              <w:top w:val="nil"/>
              <w:left w:val="nil"/>
              <w:right w:val="nil"/>
            </w:tcBorders>
            <w:shd w:val="clear" w:color="000000" w:fill="FFFFFF"/>
            <w:noWrap/>
            <w:vAlign w:val="bottom"/>
          </w:tcPr>
          <w:p w14:paraId="430A7095" w14:textId="77777777" w:rsidR="00FA18EA" w:rsidRPr="008B2DDA" w:rsidRDefault="00FA18EA" w:rsidP="00FA18EA">
            <w:pPr>
              <w:rPr>
                <w:rFonts w:eastAsia="Times New Roman" w:cstheme="minorHAnsi"/>
                <w:sz w:val="18"/>
                <w:szCs w:val="18"/>
                <w:lang w:val="en-SG" w:eastAsia="en-SG"/>
              </w:rPr>
            </w:pPr>
            <w:r w:rsidRPr="008B2DDA">
              <w:rPr>
                <w:rFonts w:eastAsia="Times New Roman" w:cstheme="minorHAnsi"/>
                <w:sz w:val="18"/>
                <w:szCs w:val="18"/>
                <w:lang w:val="en-SG" w:eastAsia="en-SG"/>
              </w:rPr>
              <w:t>Redemption of B Shares</w:t>
            </w:r>
          </w:p>
        </w:tc>
        <w:tc>
          <w:tcPr>
            <w:tcW w:w="992" w:type="dxa"/>
            <w:tcBorders>
              <w:top w:val="nil"/>
              <w:left w:val="nil"/>
              <w:right w:val="nil"/>
            </w:tcBorders>
            <w:shd w:val="clear" w:color="000000" w:fill="FFFFFF"/>
            <w:noWrap/>
            <w:vAlign w:val="bottom"/>
          </w:tcPr>
          <w:p w14:paraId="028DCCD0" w14:textId="77777777" w:rsidR="00FA18EA" w:rsidRPr="0091098D" w:rsidRDefault="00FA18EA" w:rsidP="00FA18EA">
            <w:pPr>
              <w:jc w:val="right"/>
              <w:rPr>
                <w:rFonts w:eastAsia="Times New Roman" w:cstheme="minorHAnsi"/>
                <w:sz w:val="18"/>
                <w:szCs w:val="18"/>
                <w:lang w:val="en-SG" w:eastAsia="en-SG"/>
              </w:rPr>
            </w:pPr>
            <w:r w:rsidRPr="000C5053">
              <w:rPr>
                <w:rFonts w:eastAsia="Times New Roman" w:cstheme="minorHAnsi"/>
                <w:sz w:val="18"/>
                <w:szCs w:val="18"/>
                <w:lang w:val="en-SG" w:eastAsia="en-SG"/>
              </w:rPr>
              <w:t>(10,443)</w:t>
            </w:r>
          </w:p>
        </w:tc>
        <w:tc>
          <w:tcPr>
            <w:tcW w:w="1069" w:type="dxa"/>
            <w:tcBorders>
              <w:top w:val="nil"/>
              <w:left w:val="nil"/>
              <w:right w:val="nil"/>
            </w:tcBorders>
            <w:shd w:val="clear" w:color="000000" w:fill="FFFFFF"/>
            <w:vAlign w:val="bottom"/>
          </w:tcPr>
          <w:p w14:paraId="14F70262" w14:textId="77777777" w:rsidR="00FA18EA" w:rsidRPr="0075195E" w:rsidRDefault="00FA18EA" w:rsidP="00FA18EA">
            <w:pPr>
              <w:jc w:val="right"/>
              <w:rPr>
                <w:rFonts w:eastAsia="Times New Roman" w:cstheme="minorHAnsi"/>
                <w:sz w:val="18"/>
                <w:szCs w:val="18"/>
                <w:lang w:val="en-SG" w:eastAsia="en-SG"/>
              </w:rPr>
            </w:pPr>
            <w:r w:rsidRPr="0075195E">
              <w:rPr>
                <w:rFonts w:eastAsia="Times New Roman" w:cstheme="minorHAnsi"/>
                <w:sz w:val="18"/>
                <w:szCs w:val="18"/>
                <w:lang w:val="en-SG" w:eastAsia="en-SG"/>
              </w:rPr>
              <w:t>-</w:t>
            </w:r>
          </w:p>
        </w:tc>
        <w:tc>
          <w:tcPr>
            <w:tcW w:w="859" w:type="dxa"/>
            <w:tcBorders>
              <w:top w:val="nil"/>
              <w:left w:val="nil"/>
              <w:right w:val="nil"/>
            </w:tcBorders>
            <w:shd w:val="clear" w:color="000000" w:fill="FFFFFF"/>
            <w:noWrap/>
            <w:vAlign w:val="bottom"/>
          </w:tcPr>
          <w:p w14:paraId="632333A2" w14:textId="77777777" w:rsidR="00FA18EA" w:rsidRPr="0075195E" w:rsidRDefault="00FA18EA" w:rsidP="00FA18EA">
            <w:pPr>
              <w:jc w:val="right"/>
              <w:rPr>
                <w:rFonts w:eastAsia="Times New Roman" w:cstheme="minorHAnsi"/>
                <w:sz w:val="18"/>
                <w:szCs w:val="18"/>
                <w:lang w:val="en-SG" w:eastAsia="en-SG"/>
              </w:rPr>
            </w:pPr>
            <w:r w:rsidRPr="0075195E">
              <w:rPr>
                <w:rFonts w:eastAsia="Times New Roman" w:cstheme="minorHAnsi"/>
                <w:sz w:val="18"/>
                <w:szCs w:val="18"/>
                <w:lang w:val="en-SG" w:eastAsia="en-SG"/>
              </w:rPr>
              <w:t>-</w:t>
            </w:r>
          </w:p>
        </w:tc>
        <w:tc>
          <w:tcPr>
            <w:tcW w:w="1009" w:type="dxa"/>
            <w:tcBorders>
              <w:top w:val="nil"/>
              <w:left w:val="nil"/>
              <w:right w:val="nil"/>
            </w:tcBorders>
            <w:shd w:val="clear" w:color="000000" w:fill="FFFFFF"/>
            <w:noWrap/>
            <w:vAlign w:val="bottom"/>
          </w:tcPr>
          <w:p w14:paraId="5880AA03" w14:textId="77777777" w:rsidR="00FA18EA" w:rsidRPr="00536A35" w:rsidRDefault="00FA18EA" w:rsidP="00FA18EA">
            <w:pPr>
              <w:jc w:val="right"/>
              <w:rPr>
                <w:rFonts w:eastAsia="Times New Roman" w:cstheme="minorHAnsi"/>
                <w:sz w:val="18"/>
                <w:szCs w:val="18"/>
                <w:lang w:val="en-SG" w:eastAsia="en-SG"/>
              </w:rPr>
            </w:pPr>
            <w:r w:rsidRPr="00536A35">
              <w:rPr>
                <w:rFonts w:eastAsia="Times New Roman" w:cstheme="minorHAnsi"/>
                <w:sz w:val="18"/>
                <w:szCs w:val="18"/>
                <w:lang w:val="en-SG" w:eastAsia="en-SG"/>
              </w:rPr>
              <w:t>10,443</w:t>
            </w:r>
          </w:p>
        </w:tc>
        <w:tc>
          <w:tcPr>
            <w:tcW w:w="1081" w:type="dxa"/>
            <w:tcBorders>
              <w:top w:val="nil"/>
              <w:left w:val="nil"/>
              <w:right w:val="nil"/>
            </w:tcBorders>
            <w:shd w:val="clear" w:color="000000" w:fill="FFFFFF"/>
            <w:noWrap/>
            <w:vAlign w:val="bottom"/>
          </w:tcPr>
          <w:p w14:paraId="5B071EF6" w14:textId="77777777" w:rsidR="00FA18EA" w:rsidRPr="00A02B31" w:rsidRDefault="00FA18EA" w:rsidP="00FA18EA">
            <w:pPr>
              <w:jc w:val="right"/>
              <w:rPr>
                <w:rFonts w:eastAsia="Times New Roman" w:cstheme="minorHAnsi"/>
                <w:sz w:val="18"/>
                <w:szCs w:val="18"/>
                <w:lang w:val="en-SG" w:eastAsia="en-SG"/>
              </w:rPr>
            </w:pPr>
            <w:r w:rsidRPr="00A02B31">
              <w:rPr>
                <w:rFonts w:eastAsia="Times New Roman" w:cstheme="minorHAnsi"/>
                <w:sz w:val="18"/>
                <w:szCs w:val="18"/>
                <w:lang w:val="en-SG" w:eastAsia="en-SG"/>
              </w:rPr>
              <w:t>(10,443)</w:t>
            </w:r>
          </w:p>
        </w:tc>
        <w:tc>
          <w:tcPr>
            <w:tcW w:w="1117" w:type="dxa"/>
            <w:tcBorders>
              <w:top w:val="nil"/>
              <w:left w:val="nil"/>
              <w:right w:val="nil"/>
            </w:tcBorders>
            <w:shd w:val="clear" w:color="000000" w:fill="FFFFFF"/>
            <w:noWrap/>
            <w:vAlign w:val="bottom"/>
          </w:tcPr>
          <w:p w14:paraId="3B3BB675" w14:textId="77777777" w:rsidR="00FA18EA" w:rsidRPr="00A02B31" w:rsidRDefault="00FA18EA" w:rsidP="00FA18EA">
            <w:pPr>
              <w:jc w:val="right"/>
              <w:rPr>
                <w:rFonts w:eastAsia="Times New Roman" w:cstheme="minorHAnsi"/>
                <w:sz w:val="18"/>
                <w:szCs w:val="18"/>
                <w:lang w:val="en-SG" w:eastAsia="en-SG"/>
              </w:rPr>
            </w:pPr>
            <w:r w:rsidRPr="00A02B31">
              <w:rPr>
                <w:rFonts w:eastAsia="Times New Roman" w:cstheme="minorHAnsi"/>
                <w:sz w:val="18"/>
                <w:szCs w:val="18"/>
                <w:lang w:val="en-SG" w:eastAsia="en-SG"/>
              </w:rPr>
              <w:t>-</w:t>
            </w:r>
          </w:p>
        </w:tc>
        <w:tc>
          <w:tcPr>
            <w:tcW w:w="923" w:type="dxa"/>
            <w:tcBorders>
              <w:top w:val="nil"/>
              <w:left w:val="nil"/>
              <w:right w:val="nil"/>
            </w:tcBorders>
            <w:shd w:val="clear" w:color="000000" w:fill="FFFFFF"/>
            <w:noWrap/>
            <w:vAlign w:val="bottom"/>
          </w:tcPr>
          <w:p w14:paraId="7CD38057" w14:textId="77777777" w:rsidR="00FA18EA" w:rsidRPr="00A02B31" w:rsidRDefault="00FA18EA" w:rsidP="00FA18EA">
            <w:pPr>
              <w:jc w:val="right"/>
              <w:rPr>
                <w:rFonts w:eastAsia="Times New Roman" w:cstheme="minorHAnsi"/>
                <w:sz w:val="18"/>
                <w:szCs w:val="18"/>
                <w:lang w:val="en-SG" w:eastAsia="en-SG"/>
              </w:rPr>
            </w:pPr>
            <w:r w:rsidRPr="00A02B31">
              <w:rPr>
                <w:rFonts w:eastAsia="Times New Roman" w:cstheme="minorHAnsi"/>
                <w:sz w:val="18"/>
                <w:szCs w:val="18"/>
                <w:lang w:val="en-SG" w:eastAsia="en-SG"/>
              </w:rPr>
              <w:t>(10,443)</w:t>
            </w:r>
          </w:p>
        </w:tc>
      </w:tr>
      <w:tr w:rsidR="00FA18EA" w:rsidRPr="007600A7" w14:paraId="40EDB0E4" w14:textId="77777777" w:rsidTr="00FA18EA">
        <w:trPr>
          <w:trHeight w:val="240"/>
        </w:trPr>
        <w:tc>
          <w:tcPr>
            <w:tcW w:w="3011" w:type="dxa"/>
            <w:tcBorders>
              <w:left w:val="nil"/>
              <w:bottom w:val="single" w:sz="4" w:space="0" w:color="auto"/>
              <w:right w:val="nil"/>
            </w:tcBorders>
            <w:shd w:val="clear" w:color="000000" w:fill="FFFFFF"/>
            <w:noWrap/>
            <w:vAlign w:val="bottom"/>
          </w:tcPr>
          <w:p w14:paraId="774D4A1D" w14:textId="77777777" w:rsidR="00FA18EA" w:rsidRPr="008B2DDA" w:rsidRDefault="00FA18EA" w:rsidP="00FA18EA">
            <w:pPr>
              <w:rPr>
                <w:rFonts w:eastAsia="Times New Roman" w:cstheme="minorHAnsi"/>
                <w:sz w:val="18"/>
                <w:szCs w:val="18"/>
                <w:lang w:val="en-SG" w:eastAsia="en-SG"/>
              </w:rPr>
            </w:pPr>
          </w:p>
        </w:tc>
        <w:tc>
          <w:tcPr>
            <w:tcW w:w="992" w:type="dxa"/>
            <w:tcBorders>
              <w:left w:val="nil"/>
              <w:bottom w:val="single" w:sz="4" w:space="0" w:color="auto"/>
              <w:right w:val="nil"/>
            </w:tcBorders>
            <w:shd w:val="clear" w:color="000000" w:fill="FFFFFF"/>
            <w:noWrap/>
            <w:vAlign w:val="bottom"/>
          </w:tcPr>
          <w:p w14:paraId="6B213D0F" w14:textId="77777777" w:rsidR="00FA18EA" w:rsidRPr="000C5053" w:rsidRDefault="00FA18EA" w:rsidP="00FA18EA">
            <w:pPr>
              <w:jc w:val="right"/>
              <w:rPr>
                <w:rFonts w:eastAsia="Times New Roman" w:cstheme="minorHAnsi"/>
                <w:sz w:val="18"/>
                <w:szCs w:val="18"/>
                <w:lang w:val="en-SG" w:eastAsia="en-SG"/>
              </w:rPr>
            </w:pPr>
          </w:p>
        </w:tc>
        <w:tc>
          <w:tcPr>
            <w:tcW w:w="1069" w:type="dxa"/>
            <w:tcBorders>
              <w:left w:val="nil"/>
              <w:bottom w:val="single" w:sz="4" w:space="0" w:color="auto"/>
              <w:right w:val="nil"/>
            </w:tcBorders>
            <w:shd w:val="clear" w:color="000000" w:fill="FFFFFF"/>
            <w:vAlign w:val="bottom"/>
          </w:tcPr>
          <w:p w14:paraId="75305278" w14:textId="77777777" w:rsidR="00FA18EA" w:rsidRPr="0091098D" w:rsidRDefault="00FA18EA" w:rsidP="00FA18EA">
            <w:pPr>
              <w:jc w:val="right"/>
              <w:rPr>
                <w:rFonts w:eastAsia="Times New Roman" w:cstheme="minorHAnsi"/>
                <w:sz w:val="18"/>
                <w:szCs w:val="18"/>
                <w:lang w:val="en-SG" w:eastAsia="en-SG"/>
              </w:rPr>
            </w:pPr>
          </w:p>
        </w:tc>
        <w:tc>
          <w:tcPr>
            <w:tcW w:w="859" w:type="dxa"/>
            <w:tcBorders>
              <w:left w:val="nil"/>
              <w:bottom w:val="single" w:sz="4" w:space="0" w:color="auto"/>
              <w:right w:val="nil"/>
            </w:tcBorders>
            <w:shd w:val="clear" w:color="000000" w:fill="FFFFFF"/>
            <w:noWrap/>
            <w:vAlign w:val="bottom"/>
          </w:tcPr>
          <w:p w14:paraId="59D8C6B2" w14:textId="77777777" w:rsidR="00FA18EA" w:rsidRPr="0075195E" w:rsidRDefault="00FA18EA" w:rsidP="00FA18EA">
            <w:pPr>
              <w:jc w:val="right"/>
              <w:rPr>
                <w:rFonts w:eastAsia="Times New Roman" w:cstheme="minorHAnsi"/>
                <w:sz w:val="18"/>
                <w:szCs w:val="18"/>
                <w:lang w:val="en-SG" w:eastAsia="en-SG"/>
              </w:rPr>
            </w:pPr>
          </w:p>
        </w:tc>
        <w:tc>
          <w:tcPr>
            <w:tcW w:w="1009" w:type="dxa"/>
            <w:tcBorders>
              <w:left w:val="nil"/>
              <w:bottom w:val="single" w:sz="4" w:space="0" w:color="auto"/>
              <w:right w:val="nil"/>
            </w:tcBorders>
            <w:shd w:val="clear" w:color="000000" w:fill="FFFFFF"/>
            <w:noWrap/>
            <w:vAlign w:val="bottom"/>
          </w:tcPr>
          <w:p w14:paraId="6C4B734D" w14:textId="77777777" w:rsidR="00FA18EA" w:rsidRPr="0075195E" w:rsidRDefault="00FA18EA" w:rsidP="00FA18EA">
            <w:pPr>
              <w:jc w:val="right"/>
              <w:rPr>
                <w:rFonts w:eastAsia="Times New Roman" w:cstheme="minorHAnsi"/>
                <w:sz w:val="18"/>
                <w:szCs w:val="18"/>
                <w:lang w:val="en-SG" w:eastAsia="en-SG"/>
              </w:rPr>
            </w:pPr>
          </w:p>
        </w:tc>
        <w:tc>
          <w:tcPr>
            <w:tcW w:w="1081" w:type="dxa"/>
            <w:tcBorders>
              <w:left w:val="nil"/>
              <w:bottom w:val="single" w:sz="4" w:space="0" w:color="auto"/>
              <w:right w:val="nil"/>
            </w:tcBorders>
            <w:shd w:val="clear" w:color="000000" w:fill="FFFFFF"/>
            <w:noWrap/>
            <w:vAlign w:val="bottom"/>
          </w:tcPr>
          <w:p w14:paraId="25934C9B" w14:textId="77777777" w:rsidR="00FA18EA" w:rsidRPr="00536A35" w:rsidRDefault="00FA18EA" w:rsidP="00FA18EA">
            <w:pPr>
              <w:jc w:val="right"/>
              <w:rPr>
                <w:rFonts w:eastAsia="Times New Roman" w:cstheme="minorHAnsi"/>
                <w:sz w:val="18"/>
                <w:szCs w:val="18"/>
                <w:lang w:val="en-SG" w:eastAsia="en-SG"/>
              </w:rPr>
            </w:pPr>
          </w:p>
        </w:tc>
        <w:tc>
          <w:tcPr>
            <w:tcW w:w="1117" w:type="dxa"/>
            <w:tcBorders>
              <w:left w:val="nil"/>
              <w:bottom w:val="single" w:sz="4" w:space="0" w:color="auto"/>
              <w:right w:val="nil"/>
            </w:tcBorders>
            <w:shd w:val="clear" w:color="000000" w:fill="FFFFFF"/>
            <w:noWrap/>
            <w:vAlign w:val="bottom"/>
          </w:tcPr>
          <w:p w14:paraId="1EEEA510" w14:textId="77777777" w:rsidR="00FA18EA" w:rsidRPr="00A02B31" w:rsidRDefault="00FA18EA" w:rsidP="00FA18EA">
            <w:pPr>
              <w:jc w:val="right"/>
              <w:rPr>
                <w:rFonts w:eastAsia="Times New Roman" w:cstheme="minorHAnsi"/>
                <w:sz w:val="18"/>
                <w:szCs w:val="18"/>
                <w:lang w:val="en-SG" w:eastAsia="en-SG"/>
              </w:rPr>
            </w:pPr>
          </w:p>
        </w:tc>
        <w:tc>
          <w:tcPr>
            <w:tcW w:w="923" w:type="dxa"/>
            <w:tcBorders>
              <w:left w:val="nil"/>
              <w:bottom w:val="single" w:sz="4" w:space="0" w:color="auto"/>
              <w:right w:val="nil"/>
            </w:tcBorders>
            <w:shd w:val="clear" w:color="000000" w:fill="FFFFFF"/>
            <w:noWrap/>
            <w:vAlign w:val="bottom"/>
          </w:tcPr>
          <w:p w14:paraId="443F069E" w14:textId="77777777" w:rsidR="00FA18EA" w:rsidRPr="00A02B31" w:rsidRDefault="00FA18EA" w:rsidP="00FA18EA">
            <w:pPr>
              <w:jc w:val="right"/>
              <w:rPr>
                <w:rFonts w:eastAsia="Times New Roman" w:cstheme="minorHAnsi"/>
                <w:sz w:val="18"/>
                <w:szCs w:val="18"/>
                <w:lang w:val="en-SG" w:eastAsia="en-SG"/>
              </w:rPr>
            </w:pPr>
          </w:p>
        </w:tc>
      </w:tr>
      <w:tr w:rsidR="00FA18EA" w:rsidRPr="007600A7" w14:paraId="2D737831" w14:textId="77777777" w:rsidTr="00FA18EA">
        <w:trPr>
          <w:trHeight w:val="240"/>
        </w:trPr>
        <w:tc>
          <w:tcPr>
            <w:tcW w:w="3011" w:type="dxa"/>
            <w:tcBorders>
              <w:top w:val="single" w:sz="4" w:space="0" w:color="auto"/>
              <w:left w:val="nil"/>
              <w:bottom w:val="single" w:sz="4" w:space="0" w:color="auto"/>
              <w:right w:val="nil"/>
            </w:tcBorders>
            <w:shd w:val="clear" w:color="000000" w:fill="FFFFFF"/>
            <w:noWrap/>
            <w:vAlign w:val="bottom"/>
            <w:hideMark/>
          </w:tcPr>
          <w:p w14:paraId="79A7FE54" w14:textId="77777777" w:rsidR="00FA18EA" w:rsidRPr="008B2DDA" w:rsidRDefault="00FA18EA" w:rsidP="00FA18EA">
            <w:pPr>
              <w:rPr>
                <w:rFonts w:eastAsia="Times New Roman" w:cstheme="minorHAnsi"/>
                <w:b/>
                <w:bCs/>
                <w:sz w:val="18"/>
                <w:szCs w:val="18"/>
                <w:lang w:val="en-SG" w:eastAsia="en-SG"/>
              </w:rPr>
            </w:pPr>
            <w:r w:rsidRPr="008B2DDA">
              <w:rPr>
                <w:rFonts w:eastAsia="Times New Roman" w:cstheme="minorHAnsi"/>
                <w:b/>
                <w:bCs/>
                <w:sz w:val="18"/>
                <w:szCs w:val="18"/>
                <w:lang w:val="en-SG" w:eastAsia="en-SG"/>
              </w:rPr>
              <w:t>Balance at 31 March 2022</w:t>
            </w:r>
          </w:p>
        </w:tc>
        <w:tc>
          <w:tcPr>
            <w:tcW w:w="992" w:type="dxa"/>
            <w:tcBorders>
              <w:top w:val="single" w:sz="4" w:space="0" w:color="auto"/>
              <w:left w:val="nil"/>
              <w:bottom w:val="single" w:sz="4" w:space="0" w:color="auto"/>
              <w:right w:val="nil"/>
            </w:tcBorders>
            <w:shd w:val="clear" w:color="000000" w:fill="FFFFFF"/>
            <w:noWrap/>
            <w:vAlign w:val="bottom"/>
            <w:hideMark/>
          </w:tcPr>
          <w:p w14:paraId="3CD4E51C" w14:textId="77777777" w:rsidR="00FA18EA" w:rsidRPr="0091098D" w:rsidRDefault="00FA18EA" w:rsidP="00FA18EA">
            <w:pPr>
              <w:jc w:val="right"/>
              <w:rPr>
                <w:rFonts w:eastAsia="Times New Roman" w:cstheme="minorHAnsi"/>
                <w:b/>
                <w:bCs/>
                <w:sz w:val="18"/>
                <w:szCs w:val="18"/>
                <w:lang w:val="en-SG" w:eastAsia="en-SG"/>
              </w:rPr>
            </w:pPr>
            <w:r w:rsidRPr="000C5053">
              <w:rPr>
                <w:rFonts w:eastAsia="Times New Roman" w:cstheme="minorHAnsi"/>
                <w:b/>
                <w:bCs/>
                <w:sz w:val="18"/>
                <w:szCs w:val="18"/>
                <w:lang w:val="en-SG" w:eastAsia="en-SG"/>
              </w:rPr>
              <w:t>-</w:t>
            </w:r>
          </w:p>
        </w:tc>
        <w:tc>
          <w:tcPr>
            <w:tcW w:w="1069" w:type="dxa"/>
            <w:tcBorders>
              <w:top w:val="single" w:sz="4" w:space="0" w:color="auto"/>
              <w:left w:val="nil"/>
              <w:bottom w:val="single" w:sz="4" w:space="0" w:color="auto"/>
              <w:right w:val="nil"/>
            </w:tcBorders>
            <w:shd w:val="clear" w:color="000000" w:fill="FFFFFF"/>
            <w:vAlign w:val="bottom"/>
          </w:tcPr>
          <w:p w14:paraId="4E66421B" w14:textId="77777777" w:rsidR="00FA18EA" w:rsidRPr="0075195E" w:rsidRDefault="00FA18EA" w:rsidP="00FA18EA">
            <w:pPr>
              <w:jc w:val="right"/>
              <w:rPr>
                <w:rFonts w:eastAsia="Times New Roman" w:cstheme="minorHAnsi"/>
                <w:b/>
                <w:sz w:val="18"/>
                <w:szCs w:val="18"/>
                <w:lang w:val="en-SG" w:eastAsia="en-SG"/>
              </w:rPr>
            </w:pPr>
            <w:r w:rsidRPr="0075195E">
              <w:rPr>
                <w:rFonts w:eastAsia="Times New Roman" w:cstheme="minorHAnsi"/>
                <w:b/>
                <w:sz w:val="18"/>
                <w:szCs w:val="18"/>
                <w:lang w:val="en-SG" w:eastAsia="en-SG"/>
              </w:rPr>
              <w:t>10</w:t>
            </w:r>
          </w:p>
        </w:tc>
        <w:tc>
          <w:tcPr>
            <w:tcW w:w="859" w:type="dxa"/>
            <w:tcBorders>
              <w:top w:val="single" w:sz="4" w:space="0" w:color="auto"/>
              <w:left w:val="nil"/>
              <w:bottom w:val="single" w:sz="4" w:space="0" w:color="auto"/>
              <w:right w:val="nil"/>
            </w:tcBorders>
            <w:shd w:val="clear" w:color="000000" w:fill="FFFFFF"/>
            <w:noWrap/>
            <w:vAlign w:val="bottom"/>
            <w:hideMark/>
          </w:tcPr>
          <w:p w14:paraId="4402E4F8" w14:textId="77777777" w:rsidR="00FA18EA" w:rsidRPr="0075195E" w:rsidRDefault="00FA18EA" w:rsidP="00FA18EA">
            <w:pPr>
              <w:jc w:val="right"/>
              <w:rPr>
                <w:rFonts w:eastAsia="Times New Roman" w:cstheme="minorHAnsi"/>
                <w:b/>
                <w:bCs/>
                <w:sz w:val="18"/>
                <w:szCs w:val="18"/>
                <w:lang w:val="en-SG" w:eastAsia="en-SG"/>
              </w:rPr>
            </w:pPr>
            <w:r w:rsidRPr="0075195E">
              <w:rPr>
                <w:rFonts w:eastAsia="Times New Roman" w:cstheme="minorHAnsi"/>
                <w:b/>
                <w:bCs/>
                <w:sz w:val="18"/>
                <w:szCs w:val="18"/>
                <w:lang w:val="en-SG" w:eastAsia="en-SG"/>
              </w:rPr>
              <w:t>1,271</w:t>
            </w:r>
          </w:p>
        </w:tc>
        <w:tc>
          <w:tcPr>
            <w:tcW w:w="1009" w:type="dxa"/>
            <w:tcBorders>
              <w:top w:val="single" w:sz="4" w:space="0" w:color="auto"/>
              <w:left w:val="nil"/>
              <w:bottom w:val="single" w:sz="4" w:space="0" w:color="auto"/>
              <w:right w:val="nil"/>
            </w:tcBorders>
            <w:shd w:val="clear" w:color="000000" w:fill="FFFFFF"/>
            <w:noWrap/>
            <w:vAlign w:val="bottom"/>
            <w:hideMark/>
          </w:tcPr>
          <w:p w14:paraId="3E16CBCB" w14:textId="77777777" w:rsidR="00FA18EA" w:rsidRPr="00536A35" w:rsidRDefault="00FA18EA" w:rsidP="00FA18EA">
            <w:pPr>
              <w:jc w:val="right"/>
              <w:rPr>
                <w:rFonts w:eastAsia="Times New Roman" w:cstheme="minorHAnsi"/>
                <w:b/>
                <w:bCs/>
                <w:sz w:val="18"/>
                <w:szCs w:val="18"/>
                <w:lang w:val="en-SG" w:eastAsia="en-SG"/>
              </w:rPr>
            </w:pPr>
            <w:r w:rsidRPr="00536A35">
              <w:rPr>
                <w:rFonts w:eastAsia="Times New Roman" w:cstheme="minorHAnsi"/>
                <w:b/>
                <w:bCs/>
                <w:sz w:val="18"/>
                <w:szCs w:val="18"/>
                <w:lang w:val="en-SG" w:eastAsia="en-SG"/>
              </w:rPr>
              <w:t>13,063</w:t>
            </w:r>
          </w:p>
        </w:tc>
        <w:tc>
          <w:tcPr>
            <w:tcW w:w="1081" w:type="dxa"/>
            <w:tcBorders>
              <w:top w:val="single" w:sz="4" w:space="0" w:color="auto"/>
              <w:left w:val="nil"/>
              <w:bottom w:val="single" w:sz="4" w:space="0" w:color="auto"/>
              <w:right w:val="nil"/>
            </w:tcBorders>
            <w:shd w:val="clear" w:color="000000" w:fill="FFFFFF"/>
            <w:noWrap/>
            <w:vAlign w:val="bottom"/>
            <w:hideMark/>
          </w:tcPr>
          <w:p w14:paraId="0B951273" w14:textId="77777777" w:rsidR="00FA18EA" w:rsidRPr="00A02B31" w:rsidRDefault="00FA18EA" w:rsidP="00FA18EA">
            <w:pPr>
              <w:jc w:val="right"/>
              <w:rPr>
                <w:rFonts w:eastAsia="Times New Roman" w:cstheme="minorHAnsi"/>
                <w:b/>
                <w:bCs/>
                <w:sz w:val="18"/>
                <w:szCs w:val="18"/>
                <w:lang w:val="en-SG" w:eastAsia="en-SG"/>
              </w:rPr>
            </w:pPr>
            <w:r w:rsidRPr="00A02B31">
              <w:rPr>
                <w:rFonts w:eastAsia="Times New Roman" w:cstheme="minorHAnsi"/>
                <w:b/>
                <w:bCs/>
                <w:sz w:val="18"/>
                <w:szCs w:val="18"/>
                <w:lang w:val="en-SG" w:eastAsia="en-SG"/>
              </w:rPr>
              <w:t>15,320</w:t>
            </w:r>
          </w:p>
        </w:tc>
        <w:tc>
          <w:tcPr>
            <w:tcW w:w="1117" w:type="dxa"/>
            <w:tcBorders>
              <w:top w:val="single" w:sz="4" w:space="0" w:color="auto"/>
              <w:left w:val="nil"/>
              <w:bottom w:val="single" w:sz="4" w:space="0" w:color="auto"/>
              <w:right w:val="nil"/>
            </w:tcBorders>
            <w:shd w:val="clear" w:color="000000" w:fill="FFFFFF"/>
            <w:noWrap/>
            <w:vAlign w:val="bottom"/>
            <w:hideMark/>
          </w:tcPr>
          <w:p w14:paraId="70F1883C" w14:textId="77777777" w:rsidR="00FA18EA" w:rsidRPr="00A02B31" w:rsidRDefault="00FA18EA" w:rsidP="00FA18EA">
            <w:pPr>
              <w:jc w:val="right"/>
              <w:rPr>
                <w:rFonts w:eastAsia="Times New Roman" w:cstheme="minorHAnsi"/>
                <w:b/>
                <w:bCs/>
                <w:sz w:val="18"/>
                <w:szCs w:val="18"/>
                <w:lang w:val="en-SG" w:eastAsia="en-SG"/>
              </w:rPr>
            </w:pPr>
            <w:r w:rsidRPr="00A02B31">
              <w:rPr>
                <w:rFonts w:eastAsia="Times New Roman" w:cstheme="minorHAnsi"/>
                <w:b/>
                <w:bCs/>
                <w:sz w:val="18"/>
                <w:szCs w:val="18"/>
                <w:lang w:val="en-SG" w:eastAsia="en-SG"/>
              </w:rPr>
              <w:t>11,344</w:t>
            </w:r>
          </w:p>
        </w:tc>
        <w:tc>
          <w:tcPr>
            <w:tcW w:w="923" w:type="dxa"/>
            <w:tcBorders>
              <w:top w:val="single" w:sz="4" w:space="0" w:color="auto"/>
              <w:left w:val="nil"/>
              <w:bottom w:val="single" w:sz="4" w:space="0" w:color="auto"/>
              <w:right w:val="nil"/>
            </w:tcBorders>
            <w:shd w:val="clear" w:color="000000" w:fill="FFFFFF"/>
            <w:noWrap/>
            <w:vAlign w:val="bottom"/>
            <w:hideMark/>
          </w:tcPr>
          <w:p w14:paraId="7D046A6B" w14:textId="77777777" w:rsidR="00FA18EA" w:rsidRPr="00A02B31" w:rsidRDefault="00FA18EA" w:rsidP="00FA18EA">
            <w:pPr>
              <w:jc w:val="right"/>
              <w:rPr>
                <w:rFonts w:eastAsia="Times New Roman" w:cstheme="minorHAnsi"/>
                <w:b/>
                <w:bCs/>
                <w:sz w:val="18"/>
                <w:szCs w:val="18"/>
                <w:lang w:val="en-SG" w:eastAsia="en-SG"/>
              </w:rPr>
            </w:pPr>
            <w:r w:rsidRPr="00A02B31">
              <w:rPr>
                <w:rFonts w:eastAsia="Times New Roman" w:cstheme="minorHAnsi"/>
                <w:b/>
                <w:bCs/>
                <w:sz w:val="18"/>
                <w:szCs w:val="18"/>
                <w:lang w:val="en-SG" w:eastAsia="en-SG"/>
              </w:rPr>
              <w:t>41,008</w:t>
            </w:r>
          </w:p>
        </w:tc>
      </w:tr>
    </w:tbl>
    <w:p w14:paraId="41D6CA3D" w14:textId="77777777" w:rsidR="00FA18EA" w:rsidRPr="00A02B31" w:rsidRDefault="00FA18EA" w:rsidP="00FA18EA">
      <w:pPr>
        <w:rPr>
          <w:rFonts w:cstheme="minorHAnsi"/>
          <w:color w:val="70706F"/>
          <w:sz w:val="18"/>
          <w:szCs w:val="18"/>
        </w:rPr>
      </w:pPr>
      <w:r w:rsidRPr="00A02B31">
        <w:rPr>
          <w:rFonts w:cstheme="minorHAnsi"/>
          <w:color w:val="70706F"/>
          <w:sz w:val="18"/>
          <w:szCs w:val="18"/>
        </w:rPr>
        <w:br w:type="page"/>
      </w:r>
    </w:p>
    <w:p w14:paraId="68196937" w14:textId="77777777" w:rsidR="00FA18EA" w:rsidRPr="007600A7" w:rsidRDefault="00FA18EA" w:rsidP="00FA18EA">
      <w:pPr>
        <w:pageBreakBefore/>
        <w:autoSpaceDE w:val="0"/>
        <w:autoSpaceDN w:val="0"/>
        <w:adjustRightInd w:val="0"/>
        <w:rPr>
          <w:rFonts w:cstheme="minorHAnsi"/>
          <w:b/>
          <w:color w:val="000000"/>
          <w:sz w:val="28"/>
        </w:rPr>
      </w:pPr>
      <w:r w:rsidRPr="007600A7">
        <w:rPr>
          <w:rFonts w:cstheme="minorHAnsi"/>
          <w:b/>
          <w:color w:val="000000"/>
          <w:sz w:val="28"/>
        </w:rPr>
        <w:lastRenderedPageBreak/>
        <w:t>Notes to the Financial Statements</w:t>
      </w:r>
    </w:p>
    <w:p w14:paraId="31E641C4" w14:textId="77777777" w:rsidR="00FA18EA" w:rsidRPr="000C1F6F" w:rsidRDefault="00FA18EA" w:rsidP="00FA18EA">
      <w:pPr>
        <w:autoSpaceDE w:val="0"/>
        <w:autoSpaceDN w:val="0"/>
        <w:adjustRightInd w:val="0"/>
        <w:rPr>
          <w:rFonts w:cstheme="minorHAnsi"/>
          <w:b/>
          <w:color w:val="000000" w:themeColor="text1"/>
          <w:szCs w:val="16"/>
        </w:rPr>
      </w:pPr>
    </w:p>
    <w:p w14:paraId="6975CD6C" w14:textId="77777777" w:rsidR="00FA18EA" w:rsidRPr="008B2DDA" w:rsidRDefault="00FA18EA" w:rsidP="00FA18EA">
      <w:pPr>
        <w:autoSpaceDE w:val="0"/>
        <w:autoSpaceDN w:val="0"/>
        <w:adjustRightInd w:val="0"/>
        <w:rPr>
          <w:rFonts w:cstheme="minorHAnsi"/>
          <w:b/>
          <w:color w:val="000000"/>
        </w:rPr>
      </w:pPr>
      <w:r w:rsidRPr="008B2DDA">
        <w:rPr>
          <w:rFonts w:cstheme="minorHAnsi"/>
          <w:b/>
          <w:color w:val="000000"/>
        </w:rPr>
        <w:t>1 Basis of preparation and significant accounting policies</w:t>
      </w:r>
    </w:p>
    <w:p w14:paraId="6756A48A" w14:textId="77777777" w:rsidR="00FA18EA" w:rsidRPr="000C5053" w:rsidRDefault="00FA18EA" w:rsidP="00FA18EA">
      <w:pPr>
        <w:autoSpaceDE w:val="0"/>
        <w:autoSpaceDN w:val="0"/>
        <w:adjustRightInd w:val="0"/>
        <w:jc w:val="both"/>
        <w:rPr>
          <w:rFonts w:cstheme="minorHAnsi"/>
          <w:color w:val="000000" w:themeColor="text1"/>
          <w:sz w:val="18"/>
          <w:szCs w:val="16"/>
        </w:rPr>
      </w:pPr>
    </w:p>
    <w:p w14:paraId="01F32917" w14:textId="77777777" w:rsidR="00FA18EA" w:rsidRPr="00A02B31" w:rsidRDefault="00FA18EA" w:rsidP="00FA18EA">
      <w:pPr>
        <w:autoSpaceDE w:val="0"/>
        <w:autoSpaceDN w:val="0"/>
        <w:adjustRightInd w:val="0"/>
        <w:jc w:val="both"/>
        <w:rPr>
          <w:rFonts w:cstheme="minorHAnsi"/>
          <w:color w:val="000000" w:themeColor="text1"/>
          <w:sz w:val="18"/>
          <w:szCs w:val="16"/>
        </w:rPr>
      </w:pPr>
      <w:r w:rsidRPr="0091098D">
        <w:rPr>
          <w:rFonts w:cstheme="minorHAnsi"/>
          <w:color w:val="000000" w:themeColor="text1"/>
          <w:sz w:val="18"/>
          <w:szCs w:val="16"/>
        </w:rPr>
        <w:t>Rockwood Strategic Plc (the Company) is a company incorporated in the UK and registered in England and Wales (registration number: 03813450).</w:t>
      </w:r>
      <w:r w:rsidRPr="0075195E">
        <w:rPr>
          <w:rFonts w:cstheme="minorHAnsi"/>
        </w:rPr>
        <w:t xml:space="preserve"> </w:t>
      </w:r>
      <w:r w:rsidRPr="0075195E">
        <w:rPr>
          <w:rFonts w:cstheme="minorHAnsi"/>
          <w:color w:val="000000" w:themeColor="text1"/>
          <w:sz w:val="18"/>
          <w:szCs w:val="16"/>
        </w:rPr>
        <w:t>The Company was formerly named Gresham House Strategic Plc but took the opportunity to change the Articles of Association at a General Meeting held on 15 December 2021 to permit the Directors to change the company's name by</w:t>
      </w:r>
      <w:r w:rsidRPr="00536A35">
        <w:rPr>
          <w:rFonts w:cstheme="minorHAnsi"/>
          <w:color w:val="000000" w:themeColor="text1"/>
          <w:sz w:val="18"/>
          <w:szCs w:val="16"/>
        </w:rPr>
        <w:t xml:space="preserve"> a resolution of the Board. Accordingly, the name was changed to Rockwood Realisation Plc on 23 December 2021.</w:t>
      </w:r>
      <w:r w:rsidRPr="00A02B31">
        <w:rPr>
          <w:rFonts w:cstheme="minorHAnsi"/>
        </w:rPr>
        <w:t xml:space="preserve"> </w:t>
      </w:r>
      <w:r w:rsidRPr="00A02B31">
        <w:rPr>
          <w:rFonts w:cstheme="minorHAnsi"/>
          <w:color w:val="000000" w:themeColor="text1"/>
          <w:sz w:val="18"/>
          <w:szCs w:val="16"/>
        </w:rPr>
        <w:t>The company subsequently changed its name to Rockwood Strategic Plc on 4 May 2022 (Note 16). The accounting policies applied are consistent with the prior year.</w:t>
      </w:r>
    </w:p>
    <w:p w14:paraId="687BFA7F" w14:textId="77777777" w:rsidR="00FA18EA" w:rsidRPr="00A02B31" w:rsidRDefault="00FA18EA" w:rsidP="00FA18EA">
      <w:pPr>
        <w:autoSpaceDE w:val="0"/>
        <w:autoSpaceDN w:val="0"/>
        <w:adjustRightInd w:val="0"/>
        <w:rPr>
          <w:rFonts w:cstheme="minorHAnsi"/>
          <w:color w:val="000000" w:themeColor="text1"/>
          <w:sz w:val="16"/>
          <w:szCs w:val="16"/>
        </w:rPr>
      </w:pPr>
    </w:p>
    <w:p w14:paraId="7745BB3E" w14:textId="77777777" w:rsidR="00FA18EA" w:rsidRPr="007600A7" w:rsidRDefault="00FA18EA" w:rsidP="00FA18EA">
      <w:pPr>
        <w:autoSpaceDE w:val="0"/>
        <w:autoSpaceDN w:val="0"/>
        <w:adjustRightInd w:val="0"/>
        <w:rPr>
          <w:rFonts w:cstheme="minorHAnsi"/>
          <w:b/>
          <w:color w:val="000000"/>
          <w:sz w:val="18"/>
          <w:szCs w:val="16"/>
        </w:rPr>
      </w:pPr>
      <w:r w:rsidRPr="007600A7">
        <w:rPr>
          <w:rFonts w:cstheme="minorHAnsi"/>
          <w:b/>
          <w:color w:val="000000"/>
          <w:sz w:val="18"/>
          <w:szCs w:val="16"/>
        </w:rPr>
        <w:t>Basis of preparation</w:t>
      </w:r>
    </w:p>
    <w:p w14:paraId="492D39F3" w14:textId="27D7F24F" w:rsidR="00FA18EA" w:rsidRPr="000C1F6F" w:rsidRDefault="00FA18EA" w:rsidP="00FA18EA">
      <w:pPr>
        <w:autoSpaceDE w:val="0"/>
        <w:autoSpaceDN w:val="0"/>
        <w:adjustRightInd w:val="0"/>
        <w:jc w:val="both"/>
        <w:rPr>
          <w:rFonts w:cstheme="minorHAnsi"/>
          <w:color w:val="000000" w:themeColor="text1"/>
          <w:sz w:val="18"/>
          <w:szCs w:val="16"/>
        </w:rPr>
      </w:pPr>
      <w:r w:rsidRPr="007600A7">
        <w:rPr>
          <w:rFonts w:cstheme="minorHAnsi"/>
          <w:color w:val="000000" w:themeColor="text1"/>
          <w:sz w:val="18"/>
          <w:szCs w:val="16"/>
        </w:rPr>
        <w:t xml:space="preserve">These financial statements for year ended 31 March 2022 have been prepared in accordance with </w:t>
      </w:r>
      <w:r w:rsidR="00A4427A" w:rsidRPr="007600A7">
        <w:rPr>
          <w:rFonts w:cstheme="minorHAnsi"/>
          <w:color w:val="000000" w:themeColor="text1"/>
          <w:sz w:val="18"/>
          <w:szCs w:val="16"/>
        </w:rPr>
        <w:t>UK adopted International Accounting Standards.</w:t>
      </w:r>
    </w:p>
    <w:p w14:paraId="67150601" w14:textId="77777777" w:rsidR="00FA18EA" w:rsidRPr="008B2DDA" w:rsidRDefault="00FA18EA" w:rsidP="00FA18EA">
      <w:pPr>
        <w:autoSpaceDE w:val="0"/>
        <w:autoSpaceDN w:val="0"/>
        <w:adjustRightInd w:val="0"/>
        <w:jc w:val="both"/>
        <w:rPr>
          <w:rFonts w:cstheme="minorHAnsi"/>
          <w:color w:val="000000" w:themeColor="text1"/>
          <w:sz w:val="18"/>
          <w:szCs w:val="16"/>
        </w:rPr>
      </w:pPr>
    </w:p>
    <w:p w14:paraId="2C942F54" w14:textId="77777777" w:rsidR="00FA18EA" w:rsidRPr="0091098D" w:rsidRDefault="00FA18EA" w:rsidP="00FA18EA">
      <w:pPr>
        <w:autoSpaceDE w:val="0"/>
        <w:autoSpaceDN w:val="0"/>
        <w:adjustRightInd w:val="0"/>
        <w:jc w:val="both"/>
        <w:rPr>
          <w:rFonts w:cstheme="minorHAnsi"/>
          <w:color w:val="000000" w:themeColor="text1"/>
          <w:sz w:val="18"/>
          <w:szCs w:val="16"/>
        </w:rPr>
      </w:pPr>
      <w:r w:rsidRPr="000C5053">
        <w:rPr>
          <w:rFonts w:cstheme="minorHAnsi"/>
          <w:color w:val="000000" w:themeColor="text1"/>
          <w:sz w:val="18"/>
          <w:szCs w:val="16"/>
        </w:rPr>
        <w:t>The financial statements are prepared on a h</w:t>
      </w:r>
      <w:r w:rsidRPr="0091098D">
        <w:rPr>
          <w:rFonts w:cstheme="minorHAnsi"/>
          <w:color w:val="000000" w:themeColor="text1"/>
          <w:sz w:val="18"/>
          <w:szCs w:val="16"/>
        </w:rPr>
        <w:t>istorical cost basis except for the revaluation of certain financial instruments stated at fair value. Standards and interpretations applied for the first time have had no material impact on these financial statements.</w:t>
      </w:r>
    </w:p>
    <w:p w14:paraId="4BE8709F" w14:textId="77777777" w:rsidR="00FA18EA" w:rsidRPr="0075195E" w:rsidRDefault="00FA18EA" w:rsidP="00FA18EA">
      <w:pPr>
        <w:autoSpaceDE w:val="0"/>
        <w:autoSpaceDN w:val="0"/>
        <w:adjustRightInd w:val="0"/>
        <w:jc w:val="both"/>
        <w:rPr>
          <w:rFonts w:cstheme="minorHAnsi"/>
          <w:color w:val="000000" w:themeColor="text1"/>
          <w:sz w:val="18"/>
          <w:szCs w:val="16"/>
        </w:rPr>
      </w:pPr>
    </w:p>
    <w:p w14:paraId="2F356C10" w14:textId="77777777" w:rsidR="00FA18EA" w:rsidRPr="00A02B31" w:rsidRDefault="00FA18EA" w:rsidP="00FA18EA">
      <w:pPr>
        <w:jc w:val="both"/>
        <w:rPr>
          <w:rFonts w:cstheme="minorHAnsi"/>
          <w:color w:val="000000" w:themeColor="text1"/>
          <w:sz w:val="18"/>
          <w:szCs w:val="18"/>
        </w:rPr>
      </w:pPr>
      <w:r w:rsidRPr="00536A35">
        <w:rPr>
          <w:rFonts w:cstheme="minorHAnsi"/>
          <w:color w:val="000000" w:themeColor="text1"/>
          <w:sz w:val="18"/>
          <w:szCs w:val="18"/>
        </w:rPr>
        <w:t>The Company’s business activities, together with the factors likely to affect its future development, performance and position are set out in the Directors’ Report and Investment Manager’s Report. The key risks facing the business and management’s policy</w:t>
      </w:r>
      <w:r w:rsidRPr="00A02B31">
        <w:rPr>
          <w:rFonts w:cstheme="minorHAnsi"/>
          <w:color w:val="000000" w:themeColor="text1"/>
          <w:sz w:val="18"/>
          <w:szCs w:val="18"/>
        </w:rPr>
        <w:t xml:space="preserve"> and practices to manage these are further discussed in note </w:t>
      </w:r>
      <w:r w:rsidRPr="00A02B31">
        <w:rPr>
          <w:rFonts w:cstheme="minorHAnsi"/>
          <w:sz w:val="18"/>
          <w:szCs w:val="18"/>
        </w:rPr>
        <w:t>13.</w:t>
      </w:r>
      <w:r w:rsidRPr="00A02B31">
        <w:rPr>
          <w:rFonts w:cstheme="minorHAnsi"/>
          <w:color w:val="000000" w:themeColor="text1"/>
          <w:sz w:val="18"/>
          <w:szCs w:val="18"/>
        </w:rPr>
        <w:t xml:space="preserve"> </w:t>
      </w:r>
    </w:p>
    <w:p w14:paraId="2F7F75A9" w14:textId="77777777" w:rsidR="00FA18EA" w:rsidRPr="00A02B31" w:rsidRDefault="00FA18EA" w:rsidP="00FA18EA">
      <w:pPr>
        <w:autoSpaceDE w:val="0"/>
        <w:autoSpaceDN w:val="0"/>
        <w:adjustRightInd w:val="0"/>
        <w:jc w:val="both"/>
        <w:rPr>
          <w:rFonts w:cstheme="minorHAnsi"/>
          <w:color w:val="000000" w:themeColor="text1"/>
          <w:sz w:val="18"/>
          <w:szCs w:val="18"/>
          <w:highlight w:val="yellow"/>
        </w:rPr>
      </w:pPr>
    </w:p>
    <w:p w14:paraId="47D191B0" w14:textId="77777777" w:rsidR="00FA18EA" w:rsidRPr="00A02B31" w:rsidRDefault="00FA18EA" w:rsidP="00FA18EA">
      <w:pPr>
        <w:autoSpaceDE w:val="0"/>
        <w:autoSpaceDN w:val="0"/>
        <w:adjustRightInd w:val="0"/>
        <w:jc w:val="both"/>
        <w:rPr>
          <w:rFonts w:cstheme="minorHAnsi"/>
          <w:b/>
          <w:color w:val="000000" w:themeColor="text1"/>
          <w:sz w:val="18"/>
          <w:szCs w:val="18"/>
        </w:rPr>
      </w:pPr>
      <w:r w:rsidRPr="00A02B31">
        <w:rPr>
          <w:rFonts w:cstheme="minorHAnsi"/>
          <w:b/>
          <w:color w:val="000000" w:themeColor="text1"/>
          <w:sz w:val="18"/>
          <w:szCs w:val="18"/>
        </w:rPr>
        <w:t>Going concern</w:t>
      </w:r>
    </w:p>
    <w:p w14:paraId="4DCED6BE" w14:textId="77777777" w:rsidR="00FA18EA" w:rsidRPr="00A02B31" w:rsidRDefault="00FA18EA" w:rsidP="00FA18EA">
      <w:pPr>
        <w:autoSpaceDE w:val="0"/>
        <w:autoSpaceDN w:val="0"/>
        <w:adjustRightInd w:val="0"/>
        <w:jc w:val="both"/>
        <w:rPr>
          <w:rFonts w:cstheme="minorHAnsi"/>
          <w:color w:val="000000" w:themeColor="text1"/>
          <w:sz w:val="18"/>
          <w:szCs w:val="18"/>
        </w:rPr>
      </w:pPr>
      <w:r w:rsidRPr="00A02B31">
        <w:rPr>
          <w:rFonts w:cstheme="minorHAnsi"/>
          <w:color w:val="000000" w:themeColor="text1"/>
          <w:sz w:val="18"/>
          <w:szCs w:val="18"/>
        </w:rPr>
        <w:t>In assessing the Company as a going concern, the Directors have considered the market valuations of the portfolio investments, the current economic outlook and forecasts for Company costs.</w:t>
      </w:r>
    </w:p>
    <w:p w14:paraId="13110DA5" w14:textId="77777777" w:rsidR="00FA18EA" w:rsidRPr="00A02B31" w:rsidRDefault="00FA18EA" w:rsidP="00FA18EA">
      <w:pPr>
        <w:autoSpaceDE w:val="0"/>
        <w:autoSpaceDN w:val="0"/>
        <w:adjustRightInd w:val="0"/>
        <w:jc w:val="both"/>
        <w:rPr>
          <w:rFonts w:cstheme="minorHAnsi"/>
          <w:color w:val="000000" w:themeColor="text1"/>
          <w:sz w:val="18"/>
          <w:szCs w:val="18"/>
          <w:highlight w:val="cyan"/>
        </w:rPr>
      </w:pPr>
    </w:p>
    <w:p w14:paraId="10452585" w14:textId="77777777" w:rsidR="00FA18EA" w:rsidRPr="00A02B31" w:rsidRDefault="00FA18EA" w:rsidP="00FA18EA">
      <w:pPr>
        <w:autoSpaceDE w:val="0"/>
        <w:autoSpaceDN w:val="0"/>
        <w:adjustRightInd w:val="0"/>
        <w:jc w:val="both"/>
        <w:rPr>
          <w:rFonts w:cstheme="minorHAnsi"/>
          <w:color w:val="000000" w:themeColor="text1"/>
          <w:sz w:val="18"/>
          <w:szCs w:val="18"/>
        </w:rPr>
      </w:pPr>
      <w:r w:rsidRPr="00A02B31">
        <w:rPr>
          <w:rFonts w:cstheme="minorHAnsi"/>
          <w:color w:val="000000" w:themeColor="text1"/>
          <w:sz w:val="18"/>
          <w:szCs w:val="18"/>
        </w:rPr>
        <w:t xml:space="preserve">A formal decision was taken for a Managed Wind-Down of the Company and associated adoption of the New Investment Policy on 15 </w:t>
      </w:r>
    </w:p>
    <w:p w14:paraId="47BD2A18" w14:textId="77777777" w:rsidR="00FA18EA" w:rsidRPr="00A02B31" w:rsidRDefault="00FA18EA" w:rsidP="00FA18EA">
      <w:pPr>
        <w:autoSpaceDE w:val="0"/>
        <w:autoSpaceDN w:val="0"/>
        <w:adjustRightInd w:val="0"/>
        <w:jc w:val="both"/>
        <w:rPr>
          <w:rFonts w:cstheme="minorHAnsi"/>
          <w:color w:val="000000" w:themeColor="text1"/>
          <w:sz w:val="18"/>
          <w:szCs w:val="18"/>
        </w:rPr>
      </w:pPr>
      <w:r w:rsidRPr="00A02B31">
        <w:rPr>
          <w:rFonts w:cstheme="minorHAnsi"/>
          <w:color w:val="000000" w:themeColor="text1"/>
          <w:sz w:val="18"/>
          <w:szCs w:val="18"/>
        </w:rPr>
        <w:t>December 2021. Subsequently, Gresham House plc (Gresham), the parent company of its former investment manager sold its entire c.23.7% interest (being 602,866 ordinary shares) in the Company to a number of institutional investors, including the current investment manager, Harwood Capital LLP (Harwood). Harwood now owns 28.9% of the Company's issued share capital.</w:t>
      </w:r>
    </w:p>
    <w:p w14:paraId="3F04BF33" w14:textId="77777777" w:rsidR="00FA18EA" w:rsidRPr="00A02B31" w:rsidRDefault="00FA18EA" w:rsidP="00FA18EA">
      <w:pPr>
        <w:autoSpaceDE w:val="0"/>
        <w:autoSpaceDN w:val="0"/>
        <w:adjustRightInd w:val="0"/>
        <w:jc w:val="both"/>
        <w:rPr>
          <w:rFonts w:cstheme="minorHAnsi"/>
          <w:color w:val="000000" w:themeColor="text1"/>
          <w:sz w:val="18"/>
          <w:szCs w:val="18"/>
        </w:rPr>
      </w:pPr>
      <w:r w:rsidRPr="00A02B31">
        <w:rPr>
          <w:rFonts w:cstheme="minorHAnsi"/>
          <w:color w:val="000000" w:themeColor="text1"/>
          <w:sz w:val="18"/>
          <w:szCs w:val="18"/>
        </w:rPr>
        <w:tab/>
      </w:r>
    </w:p>
    <w:p w14:paraId="3427D142" w14:textId="77777777" w:rsidR="00FA18EA" w:rsidRPr="00A02B31" w:rsidRDefault="00FA18EA" w:rsidP="00FA18EA">
      <w:pPr>
        <w:autoSpaceDE w:val="0"/>
        <w:autoSpaceDN w:val="0"/>
        <w:adjustRightInd w:val="0"/>
        <w:jc w:val="both"/>
        <w:rPr>
          <w:rFonts w:cstheme="minorHAnsi"/>
          <w:color w:val="000000" w:themeColor="text1"/>
          <w:sz w:val="18"/>
          <w:szCs w:val="18"/>
        </w:rPr>
      </w:pPr>
      <w:r w:rsidRPr="00A02B31">
        <w:rPr>
          <w:rFonts w:cstheme="minorHAnsi"/>
          <w:color w:val="000000" w:themeColor="text1"/>
          <w:sz w:val="18"/>
          <w:szCs w:val="18"/>
        </w:rPr>
        <w:t>Harwood indicated to the Board that it believes that the investing policy does not operate in the best interests of the Company's shareholders and should be reviewed. The Board therefore engaged with Harwood, in its capacity as both the Company's investment manager and largest shareholder, to consider whether a change of investing policy is warranted.</w:t>
      </w:r>
    </w:p>
    <w:p w14:paraId="7693A09F" w14:textId="77777777" w:rsidR="00FA18EA" w:rsidRPr="00A02B31" w:rsidRDefault="00FA18EA" w:rsidP="00FA18EA">
      <w:pPr>
        <w:autoSpaceDE w:val="0"/>
        <w:autoSpaceDN w:val="0"/>
        <w:adjustRightInd w:val="0"/>
        <w:jc w:val="both"/>
        <w:rPr>
          <w:rFonts w:cstheme="minorHAnsi"/>
          <w:color w:val="000000" w:themeColor="text1"/>
          <w:sz w:val="18"/>
          <w:szCs w:val="18"/>
          <w:highlight w:val="cyan"/>
        </w:rPr>
      </w:pPr>
    </w:p>
    <w:p w14:paraId="1885F730" w14:textId="77777777" w:rsidR="00FA18EA" w:rsidRPr="00A02B31" w:rsidRDefault="00FA18EA" w:rsidP="00FA18EA">
      <w:pPr>
        <w:autoSpaceDE w:val="0"/>
        <w:autoSpaceDN w:val="0"/>
        <w:adjustRightInd w:val="0"/>
        <w:jc w:val="both"/>
        <w:rPr>
          <w:rFonts w:cstheme="minorHAnsi"/>
          <w:color w:val="000000" w:themeColor="text1"/>
          <w:sz w:val="18"/>
          <w:szCs w:val="18"/>
        </w:rPr>
      </w:pPr>
      <w:r w:rsidRPr="00A02B31">
        <w:rPr>
          <w:rFonts w:cstheme="minorHAnsi"/>
          <w:color w:val="000000" w:themeColor="text1"/>
          <w:sz w:val="18"/>
          <w:szCs w:val="18"/>
        </w:rPr>
        <w:t>The Board convened a general meeting for Shareholders to vote on a proposal to change its investment strategy from its current realisation strategy to instead enable the Company to continue as a going concern and to make new investments (the Proposal).</w:t>
      </w:r>
    </w:p>
    <w:p w14:paraId="6668B6FD" w14:textId="77777777" w:rsidR="00FA18EA" w:rsidRPr="00A02B31" w:rsidRDefault="00FA18EA" w:rsidP="00FA18EA">
      <w:pPr>
        <w:autoSpaceDE w:val="0"/>
        <w:autoSpaceDN w:val="0"/>
        <w:adjustRightInd w:val="0"/>
        <w:jc w:val="both"/>
        <w:rPr>
          <w:rFonts w:cstheme="minorHAnsi"/>
          <w:color w:val="000000" w:themeColor="text1"/>
          <w:sz w:val="18"/>
          <w:szCs w:val="18"/>
          <w:highlight w:val="cyan"/>
        </w:rPr>
      </w:pPr>
    </w:p>
    <w:p w14:paraId="5A40FDD9" w14:textId="77777777" w:rsidR="00FA18EA" w:rsidRPr="00A02B31" w:rsidRDefault="00FA18EA" w:rsidP="00FA18EA">
      <w:pPr>
        <w:autoSpaceDE w:val="0"/>
        <w:autoSpaceDN w:val="0"/>
        <w:adjustRightInd w:val="0"/>
        <w:jc w:val="both"/>
        <w:rPr>
          <w:rFonts w:cstheme="minorHAnsi"/>
          <w:color w:val="000000" w:themeColor="text1"/>
          <w:sz w:val="18"/>
          <w:szCs w:val="18"/>
        </w:rPr>
      </w:pPr>
      <w:r w:rsidRPr="00A02B31">
        <w:rPr>
          <w:rFonts w:cstheme="minorHAnsi"/>
          <w:color w:val="000000" w:themeColor="text1"/>
          <w:sz w:val="18"/>
          <w:szCs w:val="18"/>
        </w:rPr>
        <w:t>Shareholders voted in favour of the resolution to re-start active investing in U.K. small companies at a general meeting on 25 April 2022.</w:t>
      </w:r>
    </w:p>
    <w:p w14:paraId="0A5743EE" w14:textId="77777777" w:rsidR="00FA18EA" w:rsidRPr="00A02B31" w:rsidRDefault="00FA18EA" w:rsidP="00FA18EA">
      <w:pPr>
        <w:autoSpaceDE w:val="0"/>
        <w:autoSpaceDN w:val="0"/>
        <w:adjustRightInd w:val="0"/>
        <w:jc w:val="both"/>
        <w:rPr>
          <w:rFonts w:cstheme="minorHAnsi"/>
          <w:color w:val="000000" w:themeColor="text1"/>
          <w:sz w:val="18"/>
          <w:szCs w:val="18"/>
          <w:highlight w:val="cyan"/>
        </w:rPr>
      </w:pPr>
    </w:p>
    <w:p w14:paraId="50D5A99F" w14:textId="77777777" w:rsidR="00FA18EA" w:rsidRPr="00A02B31" w:rsidRDefault="00FA18EA" w:rsidP="00FA18EA">
      <w:pPr>
        <w:autoSpaceDE w:val="0"/>
        <w:autoSpaceDN w:val="0"/>
        <w:adjustRightInd w:val="0"/>
        <w:jc w:val="both"/>
        <w:rPr>
          <w:rFonts w:cstheme="minorHAnsi"/>
          <w:color w:val="000000" w:themeColor="text1"/>
          <w:sz w:val="18"/>
          <w:szCs w:val="18"/>
        </w:rPr>
      </w:pPr>
      <w:r w:rsidRPr="00A02B31">
        <w:rPr>
          <w:rFonts w:cstheme="minorHAnsi"/>
          <w:color w:val="000000" w:themeColor="text1"/>
          <w:sz w:val="18"/>
          <w:szCs w:val="18"/>
        </w:rPr>
        <w:t>The Company is in a net asset position of £41.0 million (2021: £52.7 million) and approximately 91% of the Company’s portfolio of Investments consist listed equities which, should the need arise, can be liquidated to settle liabilities. There are no other contractual obligations other than those already in existence and which are predictable.</w:t>
      </w:r>
    </w:p>
    <w:p w14:paraId="2FD92064" w14:textId="77777777" w:rsidR="00FA18EA" w:rsidRPr="00A02B31" w:rsidRDefault="00FA18EA" w:rsidP="00FA18EA">
      <w:pPr>
        <w:autoSpaceDE w:val="0"/>
        <w:autoSpaceDN w:val="0"/>
        <w:adjustRightInd w:val="0"/>
        <w:jc w:val="both"/>
        <w:rPr>
          <w:rFonts w:cstheme="minorHAnsi"/>
          <w:color w:val="000000" w:themeColor="text1"/>
          <w:sz w:val="18"/>
          <w:szCs w:val="18"/>
          <w:highlight w:val="cyan"/>
        </w:rPr>
      </w:pPr>
    </w:p>
    <w:p w14:paraId="37BC57D2" w14:textId="77777777" w:rsidR="00FA18EA" w:rsidRPr="00A02B31" w:rsidRDefault="00FA18EA" w:rsidP="00FA18EA">
      <w:pPr>
        <w:autoSpaceDE w:val="0"/>
        <w:autoSpaceDN w:val="0"/>
        <w:adjustRightInd w:val="0"/>
        <w:jc w:val="both"/>
        <w:rPr>
          <w:rFonts w:cstheme="minorHAnsi"/>
          <w:color w:val="000000" w:themeColor="text1"/>
          <w:sz w:val="18"/>
          <w:szCs w:val="18"/>
        </w:rPr>
      </w:pPr>
      <w:r w:rsidRPr="00A02B31">
        <w:rPr>
          <w:rFonts w:cstheme="minorHAnsi"/>
          <w:color w:val="000000" w:themeColor="text1"/>
          <w:sz w:val="18"/>
          <w:szCs w:val="18"/>
        </w:rPr>
        <w:t xml:space="preserve">The Company’s forecasts and projections, taking into account the current economic environment and other factors, including reasonably possible changes in performance, show that the Company is able to operate within its available working capital and continue to settle all liabilities as they fall due for the foreseeable future. The Company has consistent, predictable ongoing costs and </w:t>
      </w:r>
    </w:p>
    <w:p w14:paraId="4F81F5AB" w14:textId="77777777" w:rsidR="00FA18EA" w:rsidRPr="00A02B31" w:rsidRDefault="00FA18EA" w:rsidP="00FA18EA">
      <w:pPr>
        <w:autoSpaceDE w:val="0"/>
        <w:autoSpaceDN w:val="0"/>
        <w:adjustRightInd w:val="0"/>
        <w:jc w:val="both"/>
        <w:rPr>
          <w:rFonts w:cstheme="minorHAnsi"/>
          <w:color w:val="000000" w:themeColor="text1"/>
          <w:sz w:val="18"/>
          <w:szCs w:val="18"/>
        </w:rPr>
      </w:pPr>
      <w:r w:rsidRPr="00A02B31">
        <w:rPr>
          <w:rFonts w:cstheme="minorHAnsi"/>
          <w:color w:val="000000" w:themeColor="text1"/>
          <w:sz w:val="18"/>
          <w:szCs w:val="18"/>
        </w:rPr>
        <w:t>major cash outflows, such as for the payment of dividends, are at the full discretion of the Board.</w:t>
      </w:r>
    </w:p>
    <w:p w14:paraId="47BA8DEB" w14:textId="77777777" w:rsidR="00FA18EA" w:rsidRPr="00A02B31" w:rsidRDefault="00FA18EA" w:rsidP="00FA18EA">
      <w:pPr>
        <w:autoSpaceDE w:val="0"/>
        <w:autoSpaceDN w:val="0"/>
        <w:adjustRightInd w:val="0"/>
        <w:jc w:val="both"/>
        <w:rPr>
          <w:rFonts w:cstheme="minorHAnsi"/>
          <w:color w:val="000000" w:themeColor="text1"/>
          <w:sz w:val="18"/>
          <w:szCs w:val="18"/>
          <w:highlight w:val="cyan"/>
        </w:rPr>
      </w:pPr>
    </w:p>
    <w:p w14:paraId="5AE34051" w14:textId="18B271D5" w:rsidR="00FA18EA" w:rsidRPr="007600A7" w:rsidRDefault="00FA18EA" w:rsidP="00FA18EA">
      <w:pPr>
        <w:autoSpaceDE w:val="0"/>
        <w:autoSpaceDN w:val="0"/>
        <w:adjustRightInd w:val="0"/>
        <w:jc w:val="both"/>
        <w:rPr>
          <w:rFonts w:cstheme="minorHAnsi"/>
          <w:color w:val="000000" w:themeColor="text1"/>
          <w:sz w:val="18"/>
          <w:szCs w:val="18"/>
        </w:rPr>
      </w:pPr>
      <w:r w:rsidRPr="00A02B31">
        <w:rPr>
          <w:rFonts w:cstheme="minorHAnsi"/>
          <w:color w:val="000000" w:themeColor="text1"/>
          <w:sz w:val="18"/>
          <w:szCs w:val="18"/>
        </w:rPr>
        <w:t>Therefore, the directors taking into the consideration the above assessment are satisfied that the company will be able to settle their liabilities as they fall due and therefore is a going concern</w:t>
      </w:r>
      <w:r w:rsidRPr="007600A7">
        <w:rPr>
          <w:rFonts w:cstheme="minorHAnsi"/>
          <w:color w:val="000000" w:themeColor="text1"/>
          <w:sz w:val="18"/>
          <w:szCs w:val="18"/>
        </w:rPr>
        <w:t xml:space="preserve"> and the financial statements are prepared on this basis.</w:t>
      </w:r>
    </w:p>
    <w:p w14:paraId="5B275C5C" w14:textId="77777777" w:rsidR="00FA18EA" w:rsidRPr="000C1F6F" w:rsidRDefault="00FA18EA" w:rsidP="00FA18EA">
      <w:pPr>
        <w:pageBreakBefore/>
        <w:autoSpaceDE w:val="0"/>
        <w:autoSpaceDN w:val="0"/>
        <w:adjustRightInd w:val="0"/>
        <w:rPr>
          <w:rFonts w:cstheme="minorHAnsi"/>
          <w:b/>
          <w:color w:val="000000"/>
          <w:sz w:val="28"/>
        </w:rPr>
      </w:pPr>
      <w:r w:rsidRPr="000C1F6F">
        <w:rPr>
          <w:rFonts w:cstheme="minorHAnsi"/>
          <w:b/>
          <w:color w:val="000000"/>
          <w:sz w:val="28"/>
        </w:rPr>
        <w:lastRenderedPageBreak/>
        <w:t>Notes to the Financial Statements (continued)</w:t>
      </w:r>
    </w:p>
    <w:p w14:paraId="100F15B5" w14:textId="77777777" w:rsidR="00FA18EA" w:rsidRPr="008B2DDA" w:rsidRDefault="00FA18EA" w:rsidP="00FA18EA">
      <w:pPr>
        <w:autoSpaceDE w:val="0"/>
        <w:autoSpaceDN w:val="0"/>
        <w:adjustRightInd w:val="0"/>
        <w:rPr>
          <w:rFonts w:cstheme="minorHAnsi"/>
          <w:b/>
          <w:color w:val="000000" w:themeColor="text1"/>
          <w:szCs w:val="16"/>
        </w:rPr>
      </w:pPr>
      <w:r w:rsidRPr="008B2DDA">
        <w:rPr>
          <w:rFonts w:cstheme="minorHAnsi"/>
          <w:b/>
          <w:color w:val="000000" w:themeColor="text1"/>
          <w:szCs w:val="16"/>
        </w:rPr>
        <w:t xml:space="preserve"> </w:t>
      </w:r>
    </w:p>
    <w:p w14:paraId="2DC083E4" w14:textId="77777777" w:rsidR="00FA18EA" w:rsidRPr="0091098D" w:rsidRDefault="00FA18EA" w:rsidP="00FA18EA">
      <w:pPr>
        <w:autoSpaceDE w:val="0"/>
        <w:autoSpaceDN w:val="0"/>
        <w:adjustRightInd w:val="0"/>
        <w:rPr>
          <w:rFonts w:cstheme="minorHAnsi"/>
          <w:b/>
          <w:color w:val="000000"/>
        </w:rPr>
      </w:pPr>
      <w:r w:rsidRPr="000C5053">
        <w:rPr>
          <w:rFonts w:cstheme="minorHAnsi"/>
          <w:b/>
          <w:color w:val="000000"/>
        </w:rPr>
        <w:t>1 Basis of preparation and significant accounting policies (continued)</w:t>
      </w:r>
    </w:p>
    <w:p w14:paraId="4D909213" w14:textId="77777777" w:rsidR="00FA18EA" w:rsidRPr="0075195E" w:rsidRDefault="00FA18EA" w:rsidP="00FA18EA">
      <w:pPr>
        <w:autoSpaceDE w:val="0"/>
        <w:autoSpaceDN w:val="0"/>
        <w:adjustRightInd w:val="0"/>
        <w:rPr>
          <w:rFonts w:cstheme="minorHAnsi"/>
          <w:color w:val="000000" w:themeColor="text1"/>
          <w:sz w:val="18"/>
          <w:szCs w:val="18"/>
        </w:rPr>
      </w:pPr>
    </w:p>
    <w:p w14:paraId="3E40D159" w14:textId="77777777" w:rsidR="00FA18EA" w:rsidRPr="00536A35" w:rsidRDefault="00FA18EA" w:rsidP="00FA18EA">
      <w:pPr>
        <w:autoSpaceDE w:val="0"/>
        <w:autoSpaceDN w:val="0"/>
        <w:adjustRightInd w:val="0"/>
        <w:rPr>
          <w:rFonts w:cstheme="minorHAnsi"/>
          <w:b/>
          <w:i/>
          <w:color w:val="000000" w:themeColor="text1"/>
          <w:sz w:val="18"/>
          <w:szCs w:val="16"/>
        </w:rPr>
      </w:pPr>
      <w:r w:rsidRPr="00536A35">
        <w:rPr>
          <w:rFonts w:cstheme="minorHAnsi"/>
          <w:b/>
          <w:i/>
          <w:color w:val="000000" w:themeColor="text1"/>
          <w:sz w:val="18"/>
          <w:szCs w:val="16"/>
        </w:rPr>
        <w:t>Financial instruments:</w:t>
      </w:r>
    </w:p>
    <w:p w14:paraId="57AC1321" w14:textId="77777777" w:rsidR="00FA18EA" w:rsidRPr="00A02B31" w:rsidRDefault="00FA18EA" w:rsidP="00FA18EA">
      <w:pPr>
        <w:autoSpaceDE w:val="0"/>
        <w:autoSpaceDN w:val="0"/>
        <w:adjustRightInd w:val="0"/>
        <w:spacing w:line="120" w:lineRule="auto"/>
        <w:rPr>
          <w:rFonts w:cstheme="minorHAnsi"/>
          <w:b/>
          <w:color w:val="000000" w:themeColor="text1"/>
          <w:sz w:val="18"/>
          <w:szCs w:val="16"/>
        </w:rPr>
      </w:pPr>
    </w:p>
    <w:p w14:paraId="7F66C3FB" w14:textId="77777777" w:rsidR="00FA18EA" w:rsidRPr="00A02B31" w:rsidRDefault="00FA18EA" w:rsidP="00FA18EA">
      <w:pPr>
        <w:autoSpaceDE w:val="0"/>
        <w:autoSpaceDN w:val="0"/>
        <w:adjustRightInd w:val="0"/>
        <w:rPr>
          <w:rFonts w:cstheme="minorHAnsi"/>
          <w:b/>
          <w:color w:val="000000"/>
          <w:sz w:val="18"/>
          <w:szCs w:val="18"/>
        </w:rPr>
      </w:pPr>
      <w:r w:rsidRPr="00A02B31">
        <w:rPr>
          <w:rFonts w:cstheme="minorHAnsi"/>
          <w:b/>
          <w:color w:val="000000"/>
          <w:sz w:val="18"/>
          <w:szCs w:val="18"/>
        </w:rPr>
        <w:t>Trade debtors and creditors</w:t>
      </w:r>
    </w:p>
    <w:p w14:paraId="24798313" w14:textId="77777777" w:rsidR="00FA18EA" w:rsidRPr="00A02B31" w:rsidRDefault="00FA18EA" w:rsidP="00FA18EA">
      <w:pPr>
        <w:autoSpaceDE w:val="0"/>
        <w:autoSpaceDN w:val="0"/>
        <w:adjustRightInd w:val="0"/>
        <w:jc w:val="both"/>
        <w:rPr>
          <w:rFonts w:cstheme="minorHAnsi"/>
          <w:color w:val="000000" w:themeColor="text1"/>
          <w:sz w:val="18"/>
          <w:szCs w:val="18"/>
        </w:rPr>
      </w:pPr>
      <w:r w:rsidRPr="00A02B31">
        <w:rPr>
          <w:rFonts w:cstheme="minorHAnsi"/>
          <w:color w:val="000000" w:themeColor="text1"/>
          <w:sz w:val="18"/>
          <w:szCs w:val="18"/>
        </w:rPr>
        <w:t>Trade debtors and creditors are held at amortised cost and are accounted for at transaction value when an asset or liability is incurred as these are short term in nature.</w:t>
      </w:r>
    </w:p>
    <w:p w14:paraId="64A6325D" w14:textId="77777777" w:rsidR="00FA18EA" w:rsidRPr="00A02B31" w:rsidRDefault="00FA18EA" w:rsidP="00FA18EA">
      <w:pPr>
        <w:autoSpaceDE w:val="0"/>
        <w:autoSpaceDN w:val="0"/>
        <w:adjustRightInd w:val="0"/>
        <w:rPr>
          <w:rFonts w:cstheme="minorHAnsi"/>
          <w:color w:val="000000" w:themeColor="text1"/>
          <w:sz w:val="18"/>
          <w:szCs w:val="18"/>
        </w:rPr>
      </w:pPr>
    </w:p>
    <w:p w14:paraId="56E6F80B" w14:textId="77777777" w:rsidR="00FA18EA" w:rsidRPr="00A02B31" w:rsidRDefault="00FA18EA" w:rsidP="00FA18EA">
      <w:pPr>
        <w:autoSpaceDE w:val="0"/>
        <w:autoSpaceDN w:val="0"/>
        <w:adjustRightInd w:val="0"/>
        <w:rPr>
          <w:rFonts w:cstheme="minorHAnsi"/>
          <w:b/>
          <w:color w:val="000000"/>
          <w:sz w:val="18"/>
          <w:szCs w:val="18"/>
        </w:rPr>
      </w:pPr>
      <w:r w:rsidRPr="00A02B31">
        <w:rPr>
          <w:rFonts w:cstheme="minorHAnsi"/>
          <w:b/>
          <w:color w:val="000000"/>
          <w:sz w:val="18"/>
          <w:szCs w:val="18"/>
        </w:rPr>
        <w:t>Cash and cash equivalents</w:t>
      </w:r>
    </w:p>
    <w:p w14:paraId="75C6AB2A" w14:textId="77777777" w:rsidR="00FA18EA" w:rsidRPr="00A02B31" w:rsidRDefault="00FA18EA" w:rsidP="00FA18EA">
      <w:pPr>
        <w:autoSpaceDE w:val="0"/>
        <w:autoSpaceDN w:val="0"/>
        <w:adjustRightInd w:val="0"/>
        <w:jc w:val="both"/>
        <w:rPr>
          <w:rFonts w:cstheme="minorHAnsi"/>
          <w:color w:val="000000" w:themeColor="text1"/>
          <w:sz w:val="18"/>
          <w:szCs w:val="18"/>
        </w:rPr>
      </w:pPr>
      <w:r w:rsidRPr="00A02B31">
        <w:rPr>
          <w:rFonts w:cstheme="minorHAnsi"/>
          <w:color w:val="000000" w:themeColor="text1"/>
          <w:sz w:val="18"/>
          <w:szCs w:val="18"/>
        </w:rPr>
        <w:t>Cash and cash equivalents include cash in hand and deposits held at call with banks and other short-term highly liquid investments that are readily convertible to a known amount of cash and are subject to an insignificant risk of changes in value.</w:t>
      </w:r>
    </w:p>
    <w:p w14:paraId="61A15D0C" w14:textId="77777777" w:rsidR="00FA18EA" w:rsidRPr="00A02B31" w:rsidRDefault="00FA18EA" w:rsidP="00FA18EA">
      <w:pPr>
        <w:autoSpaceDE w:val="0"/>
        <w:autoSpaceDN w:val="0"/>
        <w:adjustRightInd w:val="0"/>
        <w:jc w:val="both"/>
        <w:rPr>
          <w:rFonts w:cstheme="minorHAnsi"/>
          <w:b/>
          <w:color w:val="000000"/>
          <w:sz w:val="18"/>
          <w:szCs w:val="18"/>
        </w:rPr>
      </w:pPr>
    </w:p>
    <w:p w14:paraId="067B79B1" w14:textId="77777777" w:rsidR="00FA18EA" w:rsidRPr="00A02B31" w:rsidRDefault="00FA18EA" w:rsidP="00FA18EA">
      <w:pPr>
        <w:autoSpaceDE w:val="0"/>
        <w:autoSpaceDN w:val="0"/>
        <w:adjustRightInd w:val="0"/>
        <w:jc w:val="both"/>
        <w:rPr>
          <w:rFonts w:cstheme="minorHAnsi"/>
          <w:b/>
          <w:color w:val="000000"/>
          <w:sz w:val="18"/>
          <w:szCs w:val="18"/>
        </w:rPr>
      </w:pPr>
      <w:r w:rsidRPr="00A02B31">
        <w:rPr>
          <w:rFonts w:cstheme="minorHAnsi"/>
          <w:b/>
          <w:color w:val="000000"/>
          <w:sz w:val="18"/>
          <w:szCs w:val="18"/>
        </w:rPr>
        <w:t>Investments at fair value through profit or loss</w:t>
      </w:r>
    </w:p>
    <w:p w14:paraId="49F83718" w14:textId="77777777" w:rsidR="00FA18EA" w:rsidRPr="00A02B31" w:rsidRDefault="00FA18EA" w:rsidP="00FA18EA">
      <w:pPr>
        <w:autoSpaceDE w:val="0"/>
        <w:autoSpaceDN w:val="0"/>
        <w:adjustRightInd w:val="0"/>
        <w:jc w:val="both"/>
        <w:rPr>
          <w:rFonts w:cstheme="minorHAnsi"/>
          <w:b/>
          <w:color w:val="000000"/>
          <w:sz w:val="18"/>
          <w:szCs w:val="18"/>
        </w:rPr>
      </w:pPr>
    </w:p>
    <w:p w14:paraId="52666B9C" w14:textId="77777777" w:rsidR="00FA18EA" w:rsidRPr="00A02B31" w:rsidRDefault="00FA18EA" w:rsidP="00FA18EA">
      <w:pPr>
        <w:autoSpaceDE w:val="0"/>
        <w:autoSpaceDN w:val="0"/>
        <w:adjustRightInd w:val="0"/>
        <w:jc w:val="both"/>
        <w:rPr>
          <w:rFonts w:cstheme="minorHAnsi"/>
          <w:color w:val="000000" w:themeColor="text1"/>
          <w:sz w:val="18"/>
          <w:szCs w:val="16"/>
        </w:rPr>
      </w:pPr>
      <w:r w:rsidRPr="00A02B31">
        <w:rPr>
          <w:rFonts w:cstheme="minorHAnsi"/>
          <w:color w:val="000000" w:themeColor="text1"/>
          <w:sz w:val="18"/>
          <w:szCs w:val="16"/>
        </w:rPr>
        <w:t>Investments are included at valuation on the following basis:</w:t>
      </w:r>
    </w:p>
    <w:p w14:paraId="3E3B1BFC" w14:textId="77777777" w:rsidR="00FA18EA" w:rsidRPr="00A02B31" w:rsidRDefault="00FA18EA" w:rsidP="00FA18EA">
      <w:pPr>
        <w:autoSpaceDE w:val="0"/>
        <w:autoSpaceDN w:val="0"/>
        <w:adjustRightInd w:val="0"/>
        <w:jc w:val="both"/>
        <w:rPr>
          <w:rFonts w:cstheme="minorHAnsi"/>
          <w:color w:val="000000" w:themeColor="text1"/>
          <w:sz w:val="16"/>
          <w:szCs w:val="16"/>
        </w:rPr>
      </w:pPr>
    </w:p>
    <w:p w14:paraId="7CAD63FE" w14:textId="77777777" w:rsidR="00FA18EA" w:rsidRPr="00A02B31" w:rsidRDefault="00FA18EA" w:rsidP="00FA18EA">
      <w:pPr>
        <w:autoSpaceDE w:val="0"/>
        <w:autoSpaceDN w:val="0"/>
        <w:jc w:val="both"/>
        <w:rPr>
          <w:rFonts w:cstheme="minorHAnsi"/>
          <w:color w:val="000000" w:themeColor="text1"/>
          <w:sz w:val="18"/>
          <w:szCs w:val="16"/>
        </w:rPr>
      </w:pPr>
      <w:r w:rsidRPr="00A02B31">
        <w:rPr>
          <w:rFonts w:cstheme="minorHAnsi"/>
          <w:color w:val="000000" w:themeColor="text1"/>
          <w:sz w:val="18"/>
          <w:szCs w:val="16"/>
        </w:rPr>
        <w:t>(a)   Quoted investments are recognised on trading date and valued at the closing bid price at the year end.</w:t>
      </w:r>
    </w:p>
    <w:p w14:paraId="22E1F220" w14:textId="77777777" w:rsidR="00FA18EA" w:rsidRPr="00A02B31" w:rsidRDefault="00FA18EA" w:rsidP="00FA18EA">
      <w:pPr>
        <w:autoSpaceDE w:val="0"/>
        <w:autoSpaceDN w:val="0"/>
        <w:jc w:val="both"/>
        <w:rPr>
          <w:rFonts w:cstheme="minorHAnsi"/>
          <w:color w:val="000000" w:themeColor="text1"/>
          <w:sz w:val="18"/>
          <w:szCs w:val="16"/>
        </w:rPr>
      </w:pPr>
    </w:p>
    <w:p w14:paraId="51126A00" w14:textId="77777777" w:rsidR="00FA18EA" w:rsidRPr="00A02B31" w:rsidRDefault="00FA18EA" w:rsidP="00FA18EA">
      <w:pPr>
        <w:autoSpaceDE w:val="0"/>
        <w:autoSpaceDN w:val="0"/>
        <w:jc w:val="both"/>
        <w:rPr>
          <w:rFonts w:cstheme="minorHAnsi"/>
          <w:color w:val="000000" w:themeColor="text1"/>
          <w:sz w:val="18"/>
          <w:szCs w:val="16"/>
        </w:rPr>
      </w:pPr>
      <w:r w:rsidRPr="00A02B31">
        <w:rPr>
          <w:rFonts w:cstheme="minorHAnsi"/>
          <w:color w:val="000000" w:themeColor="text1"/>
          <w:sz w:val="18"/>
          <w:szCs w:val="16"/>
        </w:rPr>
        <w:t>(b)  Unquoted Investments are valued according to the to the Directors' best estimate of the Company's share of that investment's value. This value is calculated in accordance with the International Private Equity and Venture Capital Valuation Guidelines (the IPEV of December 2018 and the special valuation guidance issued in March 2020) and industry norms which include calculations based on appropriate earnings or sales multiples.</w:t>
      </w:r>
    </w:p>
    <w:p w14:paraId="4A795A91" w14:textId="77777777" w:rsidR="00FA18EA" w:rsidRPr="00A02B31" w:rsidRDefault="00FA18EA" w:rsidP="00FA18EA">
      <w:pPr>
        <w:autoSpaceDE w:val="0"/>
        <w:autoSpaceDN w:val="0"/>
        <w:jc w:val="both"/>
        <w:rPr>
          <w:rFonts w:cstheme="minorHAnsi"/>
          <w:color w:val="000000" w:themeColor="text1"/>
          <w:sz w:val="18"/>
          <w:szCs w:val="16"/>
          <w:highlight w:val="yellow"/>
        </w:rPr>
      </w:pPr>
      <w:r w:rsidRPr="00A02B31">
        <w:rPr>
          <w:rFonts w:cstheme="minorHAnsi"/>
          <w:color w:val="000000" w:themeColor="text1"/>
          <w:sz w:val="18"/>
          <w:szCs w:val="16"/>
          <w:highlight w:val="yellow"/>
        </w:rPr>
        <w:t xml:space="preserve"> </w:t>
      </w:r>
    </w:p>
    <w:p w14:paraId="2C943AFA" w14:textId="77777777" w:rsidR="00FA18EA" w:rsidRPr="00A02B31" w:rsidRDefault="00FA18EA" w:rsidP="00FA18EA">
      <w:pPr>
        <w:autoSpaceDE w:val="0"/>
        <w:autoSpaceDN w:val="0"/>
        <w:adjustRightInd w:val="0"/>
        <w:jc w:val="both"/>
        <w:rPr>
          <w:rFonts w:cstheme="minorHAnsi"/>
          <w:color w:val="000000" w:themeColor="text1"/>
          <w:sz w:val="18"/>
          <w:szCs w:val="16"/>
        </w:rPr>
      </w:pPr>
      <w:r w:rsidRPr="00A02B31">
        <w:rPr>
          <w:rFonts w:cstheme="minorHAnsi"/>
          <w:color w:val="000000" w:themeColor="text1"/>
          <w:sz w:val="18"/>
          <w:szCs w:val="16"/>
        </w:rPr>
        <w:t>The core principles of the IPEV guidelines are:</w:t>
      </w:r>
    </w:p>
    <w:p w14:paraId="4DA75B8A" w14:textId="77777777" w:rsidR="00FA18EA" w:rsidRPr="00A02B31" w:rsidRDefault="00FA18EA" w:rsidP="00FA18EA">
      <w:pPr>
        <w:autoSpaceDE w:val="0"/>
        <w:autoSpaceDN w:val="0"/>
        <w:adjustRightInd w:val="0"/>
        <w:jc w:val="both"/>
        <w:rPr>
          <w:rFonts w:cstheme="minorHAnsi"/>
          <w:color w:val="000000" w:themeColor="text1"/>
          <w:sz w:val="18"/>
          <w:szCs w:val="16"/>
        </w:rPr>
      </w:pPr>
    </w:p>
    <w:p w14:paraId="286FAB5B" w14:textId="77777777" w:rsidR="00FA18EA" w:rsidRPr="00A02B31" w:rsidRDefault="00FA18EA" w:rsidP="00FA18EA">
      <w:pPr>
        <w:numPr>
          <w:ilvl w:val="0"/>
          <w:numId w:val="52"/>
        </w:numPr>
        <w:autoSpaceDE w:val="0"/>
        <w:autoSpaceDN w:val="0"/>
        <w:adjustRightInd w:val="0"/>
        <w:contextualSpacing/>
        <w:jc w:val="both"/>
        <w:rPr>
          <w:rFonts w:cstheme="minorHAnsi"/>
          <w:color w:val="000000" w:themeColor="text1"/>
          <w:sz w:val="18"/>
          <w:szCs w:val="16"/>
        </w:rPr>
      </w:pPr>
      <w:r w:rsidRPr="00A02B31">
        <w:rPr>
          <w:rFonts w:cstheme="minorHAnsi"/>
          <w:color w:val="000000" w:themeColor="text1"/>
          <w:sz w:val="18"/>
          <w:szCs w:val="16"/>
        </w:rPr>
        <w:t>Fair Value should be estimated at each Measurement Date (each time Fair Value based Net Asset Value (NAV) is reported to investors (LPs)).</w:t>
      </w:r>
    </w:p>
    <w:p w14:paraId="5F0D7CF3" w14:textId="77777777" w:rsidR="00FA18EA" w:rsidRPr="00A02B31" w:rsidRDefault="00FA18EA" w:rsidP="00FA18EA">
      <w:pPr>
        <w:numPr>
          <w:ilvl w:val="0"/>
          <w:numId w:val="52"/>
        </w:numPr>
        <w:autoSpaceDE w:val="0"/>
        <w:autoSpaceDN w:val="0"/>
        <w:adjustRightInd w:val="0"/>
        <w:contextualSpacing/>
        <w:jc w:val="both"/>
        <w:rPr>
          <w:rFonts w:cstheme="minorHAnsi"/>
          <w:color w:val="000000" w:themeColor="text1"/>
          <w:sz w:val="18"/>
          <w:szCs w:val="16"/>
        </w:rPr>
      </w:pPr>
      <w:r w:rsidRPr="00A02B31">
        <w:rPr>
          <w:rFonts w:cstheme="minorHAnsi"/>
          <w:color w:val="000000" w:themeColor="text1"/>
          <w:sz w:val="18"/>
          <w:szCs w:val="16"/>
        </w:rPr>
        <w:t xml:space="preserve">The Price of a Recent Investment (if deemed Fair Value) should be used to calibrate against the alternative valuation methodologies. </w:t>
      </w:r>
    </w:p>
    <w:p w14:paraId="237F6DA4" w14:textId="77777777" w:rsidR="00FA18EA" w:rsidRPr="00A02B31" w:rsidRDefault="00FA18EA" w:rsidP="00FA18EA">
      <w:pPr>
        <w:numPr>
          <w:ilvl w:val="0"/>
          <w:numId w:val="52"/>
        </w:numPr>
        <w:autoSpaceDE w:val="0"/>
        <w:autoSpaceDN w:val="0"/>
        <w:adjustRightInd w:val="0"/>
        <w:contextualSpacing/>
        <w:jc w:val="both"/>
        <w:rPr>
          <w:rFonts w:cstheme="minorHAnsi"/>
          <w:color w:val="000000" w:themeColor="text1"/>
          <w:sz w:val="18"/>
          <w:szCs w:val="16"/>
        </w:rPr>
      </w:pPr>
      <w:r w:rsidRPr="00A02B31">
        <w:rPr>
          <w:rFonts w:cstheme="minorHAnsi"/>
          <w:color w:val="000000" w:themeColor="text1"/>
          <w:sz w:val="18"/>
          <w:szCs w:val="16"/>
        </w:rPr>
        <w:t>Calibration is required by accounting standards.</w:t>
      </w:r>
    </w:p>
    <w:p w14:paraId="6A9DED9D" w14:textId="77777777" w:rsidR="00FA18EA" w:rsidRPr="00A02B31" w:rsidRDefault="00FA18EA" w:rsidP="00FA18EA">
      <w:pPr>
        <w:numPr>
          <w:ilvl w:val="0"/>
          <w:numId w:val="52"/>
        </w:numPr>
        <w:autoSpaceDE w:val="0"/>
        <w:autoSpaceDN w:val="0"/>
        <w:adjustRightInd w:val="0"/>
        <w:contextualSpacing/>
        <w:jc w:val="both"/>
        <w:rPr>
          <w:rFonts w:cstheme="minorHAnsi"/>
          <w:color w:val="000000" w:themeColor="text1"/>
          <w:sz w:val="18"/>
          <w:szCs w:val="16"/>
        </w:rPr>
      </w:pPr>
      <w:r w:rsidRPr="00A02B31">
        <w:rPr>
          <w:rFonts w:cstheme="minorHAnsi"/>
          <w:color w:val="000000" w:themeColor="text1"/>
          <w:sz w:val="18"/>
          <w:szCs w:val="16"/>
        </w:rPr>
        <w:t>Market Participant perspectives should be used to estimate Fair Value at each Measurement Date.</w:t>
      </w:r>
    </w:p>
    <w:p w14:paraId="47B1935A" w14:textId="77777777" w:rsidR="00FA18EA" w:rsidRPr="00A02B31" w:rsidRDefault="00FA18EA" w:rsidP="00FA18EA">
      <w:pPr>
        <w:autoSpaceDE w:val="0"/>
        <w:autoSpaceDN w:val="0"/>
        <w:adjustRightInd w:val="0"/>
        <w:jc w:val="both"/>
        <w:rPr>
          <w:rFonts w:cstheme="minorHAnsi"/>
          <w:color w:val="000000" w:themeColor="text1"/>
          <w:sz w:val="18"/>
          <w:szCs w:val="16"/>
        </w:rPr>
      </w:pPr>
    </w:p>
    <w:p w14:paraId="026EAC15" w14:textId="77777777" w:rsidR="00FA18EA" w:rsidRPr="00A02B31" w:rsidRDefault="00FA18EA" w:rsidP="00FA18EA">
      <w:pPr>
        <w:autoSpaceDE w:val="0"/>
        <w:autoSpaceDN w:val="0"/>
        <w:adjustRightInd w:val="0"/>
        <w:jc w:val="both"/>
        <w:rPr>
          <w:rFonts w:cstheme="minorHAnsi"/>
          <w:color w:val="000000" w:themeColor="text1"/>
          <w:sz w:val="18"/>
          <w:szCs w:val="16"/>
        </w:rPr>
      </w:pPr>
      <w:r w:rsidRPr="00A02B31">
        <w:rPr>
          <w:rFonts w:cstheme="minorHAnsi"/>
          <w:color w:val="000000" w:themeColor="text1"/>
          <w:sz w:val="18"/>
          <w:szCs w:val="16"/>
        </w:rPr>
        <w:t>After considering individual facts and circumstances and applying these Guidelines, it is possible that Fair Value at a subsequent Measurement Date is the same as Fair Value as at a prior Measurement Date. This means that Fair Value may be equal to the Price of a Recent Investment; however, the Price of a Recent Investment is not automatically deemed to be Fair Value.</w:t>
      </w:r>
    </w:p>
    <w:p w14:paraId="6ACC4092" w14:textId="77777777" w:rsidR="00FA18EA" w:rsidRPr="00A02B31" w:rsidRDefault="00FA18EA" w:rsidP="00FA18EA">
      <w:pPr>
        <w:autoSpaceDE w:val="0"/>
        <w:autoSpaceDN w:val="0"/>
        <w:adjustRightInd w:val="0"/>
        <w:jc w:val="both"/>
        <w:rPr>
          <w:rFonts w:cstheme="minorHAnsi"/>
          <w:color w:val="000000" w:themeColor="text1"/>
          <w:sz w:val="18"/>
          <w:szCs w:val="16"/>
        </w:rPr>
      </w:pPr>
    </w:p>
    <w:p w14:paraId="38D621EB" w14:textId="77777777" w:rsidR="00FA18EA" w:rsidRPr="00A02B31" w:rsidRDefault="00FA18EA" w:rsidP="00FA18EA">
      <w:pPr>
        <w:autoSpaceDE w:val="0"/>
        <w:autoSpaceDN w:val="0"/>
        <w:adjustRightInd w:val="0"/>
        <w:jc w:val="both"/>
        <w:rPr>
          <w:rFonts w:cstheme="minorHAnsi"/>
          <w:color w:val="000000" w:themeColor="text1"/>
          <w:sz w:val="18"/>
          <w:szCs w:val="16"/>
        </w:rPr>
      </w:pPr>
      <w:r w:rsidRPr="00A02B31">
        <w:rPr>
          <w:rFonts w:cstheme="minorHAnsi"/>
          <w:color w:val="000000" w:themeColor="text1"/>
          <w:sz w:val="18"/>
          <w:szCs w:val="16"/>
        </w:rPr>
        <w:t>For measurement purposes, investments, including equity, loan and similar instruments, are designated at fair value through profit and loss, and are valued in compliance with IFRS 9 ‘Financial Instruments’, IFRS 13 ‘Fair Value Measurement’ and the IPEV Guidelines as recommended by the British Venture Capital Association.</w:t>
      </w:r>
    </w:p>
    <w:p w14:paraId="09E00F1D" w14:textId="77777777" w:rsidR="00FA18EA" w:rsidRPr="00A02B31" w:rsidRDefault="00FA18EA" w:rsidP="00FA18EA">
      <w:pPr>
        <w:autoSpaceDE w:val="0"/>
        <w:autoSpaceDN w:val="0"/>
        <w:adjustRightInd w:val="0"/>
        <w:jc w:val="both"/>
        <w:rPr>
          <w:rFonts w:cstheme="minorHAnsi"/>
          <w:color w:val="000000" w:themeColor="text1"/>
          <w:sz w:val="18"/>
          <w:szCs w:val="16"/>
        </w:rPr>
      </w:pPr>
    </w:p>
    <w:p w14:paraId="73B07DBC" w14:textId="77777777" w:rsidR="00FA18EA" w:rsidRPr="00A02B31" w:rsidRDefault="00FA18EA" w:rsidP="00FA18EA">
      <w:pPr>
        <w:autoSpaceDE w:val="0"/>
        <w:autoSpaceDN w:val="0"/>
        <w:adjustRightInd w:val="0"/>
        <w:jc w:val="both"/>
        <w:rPr>
          <w:rFonts w:cstheme="minorHAnsi"/>
          <w:color w:val="000000" w:themeColor="text1"/>
          <w:sz w:val="18"/>
          <w:szCs w:val="16"/>
        </w:rPr>
      </w:pPr>
      <w:r w:rsidRPr="00A02B31">
        <w:rPr>
          <w:rFonts w:cstheme="minorHAnsi"/>
          <w:color w:val="000000" w:themeColor="text1"/>
          <w:sz w:val="18"/>
          <w:szCs w:val="16"/>
        </w:rPr>
        <w:t>The Directors consider that a substantial measure of the performance of the Company is assessed through the capital gains and losses arising from the investment activity of the Company.</w:t>
      </w:r>
    </w:p>
    <w:p w14:paraId="54D489F6" w14:textId="77777777" w:rsidR="00FA18EA" w:rsidRPr="00A02B31" w:rsidRDefault="00FA18EA" w:rsidP="00FA18EA">
      <w:pPr>
        <w:autoSpaceDE w:val="0"/>
        <w:autoSpaceDN w:val="0"/>
        <w:adjustRightInd w:val="0"/>
        <w:rPr>
          <w:rFonts w:cstheme="minorHAnsi"/>
          <w:b/>
          <w:color w:val="000000"/>
          <w:sz w:val="18"/>
          <w:szCs w:val="18"/>
        </w:rPr>
      </w:pPr>
    </w:p>
    <w:p w14:paraId="78BD7529" w14:textId="77777777" w:rsidR="00FA18EA" w:rsidRPr="00A02B31" w:rsidRDefault="00FA18EA" w:rsidP="00FA18EA">
      <w:pPr>
        <w:autoSpaceDE w:val="0"/>
        <w:autoSpaceDN w:val="0"/>
        <w:adjustRightInd w:val="0"/>
        <w:jc w:val="both"/>
        <w:rPr>
          <w:rFonts w:cstheme="minorHAnsi"/>
          <w:color w:val="000000" w:themeColor="text1"/>
          <w:sz w:val="18"/>
          <w:szCs w:val="16"/>
        </w:rPr>
      </w:pPr>
      <w:r w:rsidRPr="00A02B31">
        <w:rPr>
          <w:rFonts w:cstheme="minorHAnsi"/>
          <w:color w:val="000000" w:themeColor="text1"/>
          <w:sz w:val="18"/>
          <w:szCs w:val="16"/>
        </w:rPr>
        <w:t>Gains and losses on the realisation of investments are recognised in the statement of comprehensive income for the year and taken to retained earnings. The difference between the market value of financial investments and book value to the Company is shown as a gain or loss for the year and taken to the statement of comprehensive income.</w:t>
      </w:r>
    </w:p>
    <w:p w14:paraId="17449B16" w14:textId="77777777" w:rsidR="00FA18EA" w:rsidRPr="00A02B31" w:rsidRDefault="00FA18EA" w:rsidP="00FA18EA">
      <w:pPr>
        <w:autoSpaceDE w:val="0"/>
        <w:autoSpaceDN w:val="0"/>
        <w:adjustRightInd w:val="0"/>
        <w:jc w:val="both"/>
        <w:rPr>
          <w:rFonts w:cstheme="minorHAnsi"/>
          <w:color w:val="000000" w:themeColor="text1"/>
          <w:sz w:val="18"/>
          <w:szCs w:val="16"/>
        </w:rPr>
      </w:pPr>
    </w:p>
    <w:p w14:paraId="3DFE51C4" w14:textId="77777777" w:rsidR="00FA18EA" w:rsidRPr="00A02B31" w:rsidRDefault="00FA18EA" w:rsidP="00FA18EA">
      <w:pPr>
        <w:autoSpaceDE w:val="0"/>
        <w:autoSpaceDN w:val="0"/>
        <w:adjustRightInd w:val="0"/>
        <w:jc w:val="both"/>
        <w:rPr>
          <w:rFonts w:cstheme="minorHAnsi"/>
          <w:b/>
          <w:color w:val="000000" w:themeColor="text1"/>
          <w:sz w:val="18"/>
          <w:szCs w:val="16"/>
        </w:rPr>
      </w:pPr>
      <w:r w:rsidRPr="00A02B31">
        <w:rPr>
          <w:rFonts w:cstheme="minorHAnsi"/>
          <w:b/>
          <w:color w:val="000000" w:themeColor="text1"/>
          <w:sz w:val="18"/>
          <w:szCs w:val="16"/>
        </w:rPr>
        <w:t>Revenue</w:t>
      </w:r>
    </w:p>
    <w:p w14:paraId="60939D93" w14:textId="77777777" w:rsidR="00FA18EA" w:rsidRPr="00A02B31" w:rsidRDefault="00FA18EA" w:rsidP="00FA18EA">
      <w:pPr>
        <w:autoSpaceDE w:val="0"/>
        <w:autoSpaceDN w:val="0"/>
        <w:adjustRightInd w:val="0"/>
        <w:jc w:val="both"/>
        <w:rPr>
          <w:rFonts w:cstheme="minorHAnsi"/>
          <w:color w:val="000000" w:themeColor="text1"/>
          <w:sz w:val="18"/>
          <w:szCs w:val="16"/>
        </w:rPr>
      </w:pPr>
      <w:r w:rsidRPr="00A02B31">
        <w:rPr>
          <w:rFonts w:cstheme="minorHAnsi"/>
          <w:color w:val="000000" w:themeColor="text1"/>
          <w:sz w:val="18"/>
          <w:szCs w:val="16"/>
        </w:rPr>
        <w:t xml:space="preserve">Dividends receivable on unquoted equity shares are brought into account when the Company’s right to receive payment is established and there is no reasonable doubt that payment will be received. </w:t>
      </w:r>
    </w:p>
    <w:p w14:paraId="1A10F449" w14:textId="77777777" w:rsidR="00FA18EA" w:rsidRPr="00A02B31" w:rsidRDefault="00FA18EA" w:rsidP="00FA18EA">
      <w:pPr>
        <w:autoSpaceDE w:val="0"/>
        <w:autoSpaceDN w:val="0"/>
        <w:adjustRightInd w:val="0"/>
        <w:jc w:val="both"/>
        <w:rPr>
          <w:rFonts w:cstheme="minorHAnsi"/>
          <w:color w:val="000000" w:themeColor="text1"/>
          <w:sz w:val="18"/>
          <w:szCs w:val="16"/>
        </w:rPr>
      </w:pPr>
    </w:p>
    <w:p w14:paraId="17784CDE" w14:textId="77777777" w:rsidR="00FA18EA" w:rsidRPr="00A02B31" w:rsidRDefault="00FA18EA" w:rsidP="00FA18EA">
      <w:pPr>
        <w:autoSpaceDE w:val="0"/>
        <w:autoSpaceDN w:val="0"/>
        <w:adjustRightInd w:val="0"/>
        <w:jc w:val="both"/>
        <w:rPr>
          <w:rFonts w:cstheme="minorHAnsi"/>
          <w:color w:val="000000" w:themeColor="text1"/>
          <w:sz w:val="18"/>
          <w:szCs w:val="16"/>
        </w:rPr>
      </w:pPr>
      <w:r w:rsidRPr="00A02B31">
        <w:rPr>
          <w:rFonts w:cstheme="minorHAnsi"/>
          <w:color w:val="000000" w:themeColor="text1"/>
          <w:sz w:val="18"/>
          <w:szCs w:val="16"/>
        </w:rPr>
        <w:t xml:space="preserve">Dividends receivable on quoted equity shares are brought into account when the right to receive payment is established and the amount of the dividend can be measured reliably. </w:t>
      </w:r>
    </w:p>
    <w:p w14:paraId="7D29AAE6" w14:textId="77777777" w:rsidR="00FA18EA" w:rsidRPr="00A02B31" w:rsidRDefault="00FA18EA" w:rsidP="00FA18EA">
      <w:pPr>
        <w:autoSpaceDE w:val="0"/>
        <w:autoSpaceDN w:val="0"/>
        <w:adjustRightInd w:val="0"/>
        <w:jc w:val="both"/>
        <w:rPr>
          <w:rFonts w:cstheme="minorHAnsi"/>
          <w:color w:val="000000" w:themeColor="text1"/>
          <w:sz w:val="18"/>
          <w:szCs w:val="16"/>
        </w:rPr>
      </w:pPr>
    </w:p>
    <w:p w14:paraId="428E39FB" w14:textId="77777777" w:rsidR="00FA18EA" w:rsidRPr="00A02B31" w:rsidRDefault="00FA18EA" w:rsidP="00FA18EA">
      <w:pPr>
        <w:autoSpaceDE w:val="0"/>
        <w:autoSpaceDN w:val="0"/>
        <w:adjustRightInd w:val="0"/>
        <w:jc w:val="both"/>
        <w:rPr>
          <w:rFonts w:cstheme="minorHAnsi"/>
          <w:color w:val="000000" w:themeColor="text1"/>
          <w:sz w:val="18"/>
          <w:szCs w:val="16"/>
        </w:rPr>
      </w:pPr>
      <w:r w:rsidRPr="00A02B31">
        <w:rPr>
          <w:rFonts w:cstheme="minorHAnsi"/>
          <w:color w:val="000000" w:themeColor="text1"/>
          <w:sz w:val="18"/>
          <w:szCs w:val="16"/>
        </w:rPr>
        <w:t xml:space="preserve">Interest receivable is included on an effective interest rate basis. </w:t>
      </w:r>
    </w:p>
    <w:p w14:paraId="655338E9" w14:textId="77777777" w:rsidR="00FA18EA" w:rsidRPr="00A02B31" w:rsidRDefault="00FA18EA" w:rsidP="00FA18EA">
      <w:pPr>
        <w:autoSpaceDE w:val="0"/>
        <w:autoSpaceDN w:val="0"/>
        <w:adjustRightInd w:val="0"/>
        <w:jc w:val="both"/>
        <w:rPr>
          <w:rFonts w:cstheme="minorHAnsi"/>
          <w:color w:val="000000" w:themeColor="text1"/>
          <w:sz w:val="18"/>
          <w:szCs w:val="16"/>
        </w:rPr>
      </w:pPr>
    </w:p>
    <w:p w14:paraId="44BB1D9C" w14:textId="77777777" w:rsidR="00FA18EA" w:rsidRPr="00A02B31" w:rsidRDefault="00FA18EA" w:rsidP="00FA18EA">
      <w:pPr>
        <w:autoSpaceDE w:val="0"/>
        <w:autoSpaceDN w:val="0"/>
        <w:adjustRightInd w:val="0"/>
        <w:rPr>
          <w:rFonts w:cstheme="minorHAnsi"/>
          <w:b/>
          <w:color w:val="000000"/>
          <w:sz w:val="18"/>
          <w:szCs w:val="16"/>
        </w:rPr>
      </w:pPr>
    </w:p>
    <w:p w14:paraId="596BB0C7" w14:textId="77777777" w:rsidR="00FA18EA" w:rsidRPr="00A02B31" w:rsidRDefault="00FA18EA" w:rsidP="00FA18EA">
      <w:pPr>
        <w:autoSpaceDE w:val="0"/>
        <w:autoSpaceDN w:val="0"/>
        <w:adjustRightInd w:val="0"/>
        <w:rPr>
          <w:rFonts w:cstheme="minorHAnsi"/>
          <w:b/>
          <w:color w:val="000000"/>
          <w:sz w:val="18"/>
          <w:szCs w:val="16"/>
        </w:rPr>
      </w:pPr>
    </w:p>
    <w:p w14:paraId="1369AA99" w14:textId="77777777" w:rsidR="00FA18EA" w:rsidRPr="00A02B31" w:rsidRDefault="00FA18EA" w:rsidP="00FA18EA">
      <w:pPr>
        <w:autoSpaceDE w:val="0"/>
        <w:autoSpaceDN w:val="0"/>
        <w:adjustRightInd w:val="0"/>
        <w:rPr>
          <w:rFonts w:cstheme="minorHAnsi"/>
          <w:b/>
          <w:color w:val="000000"/>
          <w:sz w:val="18"/>
          <w:szCs w:val="16"/>
        </w:rPr>
      </w:pPr>
    </w:p>
    <w:p w14:paraId="57C25D10" w14:textId="77777777" w:rsidR="00FA18EA" w:rsidRPr="00A02B31" w:rsidRDefault="00FA18EA" w:rsidP="00FA18EA">
      <w:pPr>
        <w:autoSpaceDE w:val="0"/>
        <w:autoSpaceDN w:val="0"/>
        <w:adjustRightInd w:val="0"/>
        <w:rPr>
          <w:rFonts w:cstheme="minorHAnsi"/>
          <w:b/>
          <w:color w:val="000000"/>
          <w:sz w:val="18"/>
          <w:szCs w:val="16"/>
        </w:rPr>
      </w:pPr>
    </w:p>
    <w:p w14:paraId="56791277" w14:textId="77777777" w:rsidR="00FA18EA" w:rsidRPr="00A02B31" w:rsidRDefault="00FA18EA" w:rsidP="00FA18EA">
      <w:pPr>
        <w:autoSpaceDE w:val="0"/>
        <w:autoSpaceDN w:val="0"/>
        <w:adjustRightInd w:val="0"/>
        <w:jc w:val="both"/>
        <w:rPr>
          <w:rFonts w:cstheme="minorHAnsi"/>
          <w:b/>
          <w:color w:val="000000"/>
          <w:sz w:val="18"/>
          <w:szCs w:val="16"/>
        </w:rPr>
      </w:pPr>
    </w:p>
    <w:p w14:paraId="7DC64F65" w14:textId="77777777" w:rsidR="00FA18EA" w:rsidRPr="00A02B31" w:rsidRDefault="00FA18EA" w:rsidP="00FA18EA">
      <w:pPr>
        <w:autoSpaceDE w:val="0"/>
        <w:autoSpaceDN w:val="0"/>
        <w:adjustRightInd w:val="0"/>
        <w:jc w:val="both"/>
        <w:rPr>
          <w:rFonts w:cstheme="minorHAnsi"/>
          <w:color w:val="000000" w:themeColor="text1"/>
          <w:sz w:val="18"/>
          <w:szCs w:val="18"/>
        </w:rPr>
      </w:pPr>
      <w:r w:rsidRPr="00A02B31">
        <w:rPr>
          <w:rFonts w:cstheme="minorHAnsi"/>
          <w:b/>
          <w:color w:val="000000"/>
          <w:sz w:val="28"/>
        </w:rPr>
        <w:lastRenderedPageBreak/>
        <w:t>Notes to the Financial Statements (continued)</w:t>
      </w:r>
    </w:p>
    <w:p w14:paraId="3BE0D2AC" w14:textId="77777777" w:rsidR="00FA18EA" w:rsidRPr="00A02B31" w:rsidRDefault="00FA18EA" w:rsidP="00FA18EA">
      <w:pPr>
        <w:autoSpaceDE w:val="0"/>
        <w:autoSpaceDN w:val="0"/>
        <w:adjustRightInd w:val="0"/>
        <w:rPr>
          <w:rFonts w:cstheme="minorHAnsi"/>
          <w:b/>
          <w:color w:val="000000" w:themeColor="text1"/>
          <w:szCs w:val="16"/>
        </w:rPr>
      </w:pPr>
      <w:r w:rsidRPr="00A02B31">
        <w:rPr>
          <w:rFonts w:cstheme="minorHAnsi"/>
          <w:b/>
          <w:color w:val="000000" w:themeColor="text1"/>
          <w:szCs w:val="16"/>
        </w:rPr>
        <w:t xml:space="preserve"> </w:t>
      </w:r>
    </w:p>
    <w:p w14:paraId="3AFEE96D" w14:textId="77777777" w:rsidR="00FA18EA" w:rsidRPr="00A02B31" w:rsidRDefault="00FA18EA" w:rsidP="00FA18EA">
      <w:pPr>
        <w:autoSpaceDE w:val="0"/>
        <w:autoSpaceDN w:val="0"/>
        <w:adjustRightInd w:val="0"/>
        <w:rPr>
          <w:rFonts w:cstheme="minorHAnsi"/>
          <w:b/>
          <w:color w:val="000000"/>
        </w:rPr>
      </w:pPr>
      <w:r w:rsidRPr="00A02B31">
        <w:rPr>
          <w:rFonts w:cstheme="minorHAnsi"/>
          <w:b/>
          <w:color w:val="000000"/>
        </w:rPr>
        <w:t>1 Basis of preparation and significant accounting policies (continued)</w:t>
      </w:r>
    </w:p>
    <w:p w14:paraId="604DC560" w14:textId="77777777" w:rsidR="00FA18EA" w:rsidRPr="00A02B31" w:rsidRDefault="00FA18EA" w:rsidP="00FA18EA">
      <w:pPr>
        <w:autoSpaceDE w:val="0"/>
        <w:autoSpaceDN w:val="0"/>
        <w:adjustRightInd w:val="0"/>
        <w:rPr>
          <w:rFonts w:cstheme="minorHAnsi"/>
          <w:b/>
          <w:color w:val="000000"/>
          <w:sz w:val="18"/>
          <w:szCs w:val="16"/>
        </w:rPr>
      </w:pPr>
    </w:p>
    <w:p w14:paraId="2299D85B" w14:textId="77777777" w:rsidR="00FA18EA" w:rsidRPr="00A02B31" w:rsidRDefault="00FA18EA" w:rsidP="00FA18EA">
      <w:pPr>
        <w:autoSpaceDE w:val="0"/>
        <w:autoSpaceDN w:val="0"/>
        <w:adjustRightInd w:val="0"/>
        <w:rPr>
          <w:rFonts w:cstheme="minorHAnsi"/>
          <w:b/>
          <w:color w:val="000000" w:themeColor="text1"/>
          <w:sz w:val="16"/>
          <w:szCs w:val="16"/>
        </w:rPr>
      </w:pPr>
      <w:r w:rsidRPr="00A02B31">
        <w:rPr>
          <w:rFonts w:cstheme="minorHAnsi"/>
          <w:b/>
          <w:color w:val="000000"/>
          <w:sz w:val="18"/>
          <w:szCs w:val="16"/>
        </w:rPr>
        <w:t>Taxation</w:t>
      </w:r>
    </w:p>
    <w:p w14:paraId="030DE4CB" w14:textId="77777777" w:rsidR="00FA18EA" w:rsidRPr="00A02B31" w:rsidRDefault="00FA18EA" w:rsidP="00FA18EA">
      <w:pPr>
        <w:autoSpaceDE w:val="0"/>
        <w:autoSpaceDN w:val="0"/>
        <w:adjustRightInd w:val="0"/>
        <w:jc w:val="both"/>
        <w:rPr>
          <w:rFonts w:cstheme="minorHAnsi"/>
          <w:color w:val="000000" w:themeColor="text1"/>
          <w:sz w:val="18"/>
          <w:szCs w:val="18"/>
        </w:rPr>
      </w:pPr>
      <w:r w:rsidRPr="00A02B31">
        <w:rPr>
          <w:rFonts w:cstheme="minorHAnsi"/>
          <w:color w:val="000000" w:themeColor="text1"/>
          <w:sz w:val="18"/>
          <w:szCs w:val="18"/>
        </w:rPr>
        <w:t>The tax expense included in the statement of comprehensive income comprises of current and deferred tax. Current tax is the expected tax payable based on the taxable profit for the year, using tax rates that have been enacted or substantially enacted by the reporting date. Deferred tax is recognised on differences between the carrying amounts of assets and liabilities in the accounts and the corresponding tax bases used in the computation of taxable profit and are accounted for using the statement of financial position liability method.</w:t>
      </w:r>
    </w:p>
    <w:p w14:paraId="470EE908" w14:textId="77777777" w:rsidR="00FA18EA" w:rsidRPr="00A02B31" w:rsidRDefault="00FA18EA" w:rsidP="00FA18EA">
      <w:pPr>
        <w:autoSpaceDE w:val="0"/>
        <w:autoSpaceDN w:val="0"/>
        <w:adjustRightInd w:val="0"/>
        <w:jc w:val="both"/>
        <w:rPr>
          <w:rFonts w:cstheme="minorHAnsi"/>
          <w:color w:val="000000" w:themeColor="text1"/>
          <w:sz w:val="18"/>
          <w:szCs w:val="18"/>
        </w:rPr>
      </w:pPr>
    </w:p>
    <w:p w14:paraId="220EB4F9" w14:textId="77777777" w:rsidR="00FA18EA" w:rsidRPr="00A02B31" w:rsidRDefault="00FA18EA" w:rsidP="00FA18EA">
      <w:pPr>
        <w:autoSpaceDE w:val="0"/>
        <w:autoSpaceDN w:val="0"/>
        <w:adjustRightInd w:val="0"/>
        <w:jc w:val="both"/>
        <w:rPr>
          <w:rFonts w:cstheme="minorHAnsi"/>
          <w:color w:val="000000" w:themeColor="text1"/>
          <w:sz w:val="18"/>
          <w:szCs w:val="18"/>
        </w:rPr>
      </w:pPr>
      <w:r w:rsidRPr="00A02B31">
        <w:rPr>
          <w:rFonts w:cstheme="minorHAnsi"/>
          <w:color w:val="000000" w:themeColor="text1"/>
          <w:sz w:val="18"/>
          <w:szCs w:val="18"/>
        </w:rPr>
        <w:t>Deferred tax liabilities are generally recognised for all taxable temporary differences and deferred tax assets are recognised to the extent that it is probable that taxable profits will be available against which deductible temporary differences can be utilised. Such assets and liabilities are not recognised if the temporary difference arises from goodwill or from the initial recognition of other assets and liabilities in a transaction that affects neither the tax profit nor the accounting profit. The carrying amount of deferred tax assets is reviewed at each reporting date and reduced to the extent that it is no longer probable that sufficient taxable profits will be available to allow all or part of the asset to be recovered. Deferred tax is calculated at the tax rates that are expected to apply in the period when the liability is settled, or the asset is realised. Deferred tax is charged or credited in the statement of comprehensive income, except when it relates to items charged or credited directly to equity, in which case the deferred tax is also recognised in equity.</w:t>
      </w:r>
    </w:p>
    <w:p w14:paraId="29416F81" w14:textId="77777777" w:rsidR="00FA18EA" w:rsidRPr="00A02B31" w:rsidRDefault="00FA18EA" w:rsidP="00FA18EA">
      <w:pPr>
        <w:autoSpaceDE w:val="0"/>
        <w:autoSpaceDN w:val="0"/>
        <w:adjustRightInd w:val="0"/>
        <w:jc w:val="both"/>
        <w:rPr>
          <w:rFonts w:cstheme="minorHAnsi"/>
          <w:b/>
          <w:color w:val="000000" w:themeColor="text1"/>
          <w:sz w:val="18"/>
          <w:szCs w:val="18"/>
        </w:rPr>
      </w:pPr>
    </w:p>
    <w:p w14:paraId="4E5F606F" w14:textId="77777777" w:rsidR="00FA18EA" w:rsidRPr="00A02B31" w:rsidRDefault="00FA18EA" w:rsidP="00FA18EA">
      <w:pPr>
        <w:autoSpaceDE w:val="0"/>
        <w:autoSpaceDN w:val="0"/>
        <w:adjustRightInd w:val="0"/>
        <w:jc w:val="both"/>
        <w:rPr>
          <w:rFonts w:cstheme="minorHAnsi"/>
          <w:b/>
          <w:color w:val="000000" w:themeColor="text1"/>
          <w:sz w:val="18"/>
          <w:szCs w:val="18"/>
        </w:rPr>
      </w:pPr>
      <w:r w:rsidRPr="00A02B31">
        <w:rPr>
          <w:rFonts w:cstheme="minorHAnsi"/>
          <w:b/>
          <w:color w:val="000000" w:themeColor="text1"/>
          <w:sz w:val="18"/>
          <w:szCs w:val="18"/>
        </w:rPr>
        <w:t>Performance fee</w:t>
      </w:r>
    </w:p>
    <w:p w14:paraId="3C03617C" w14:textId="77777777" w:rsidR="00FA18EA" w:rsidRPr="00A02B31" w:rsidRDefault="00FA18EA" w:rsidP="00FA18EA">
      <w:pPr>
        <w:autoSpaceDE w:val="0"/>
        <w:autoSpaceDN w:val="0"/>
        <w:adjustRightInd w:val="0"/>
        <w:jc w:val="both"/>
        <w:rPr>
          <w:rFonts w:cstheme="minorHAnsi"/>
          <w:color w:val="000000" w:themeColor="text1"/>
          <w:sz w:val="18"/>
          <w:szCs w:val="18"/>
        </w:rPr>
      </w:pPr>
      <w:r w:rsidRPr="00A02B31">
        <w:rPr>
          <w:rFonts w:cstheme="minorHAnsi"/>
          <w:color w:val="000000" w:themeColor="text1"/>
          <w:sz w:val="18"/>
          <w:szCs w:val="18"/>
        </w:rPr>
        <w:t>The Board terminated the Investment Management Agreement with Gresham House Management Ltd (GHAM) on 11 October 2021.</w:t>
      </w:r>
    </w:p>
    <w:p w14:paraId="68BF9FBF" w14:textId="77777777" w:rsidR="00FA18EA" w:rsidRPr="00A02B31" w:rsidRDefault="00FA18EA" w:rsidP="00FA18EA">
      <w:pPr>
        <w:autoSpaceDE w:val="0"/>
        <w:autoSpaceDN w:val="0"/>
        <w:adjustRightInd w:val="0"/>
        <w:jc w:val="both"/>
        <w:rPr>
          <w:rFonts w:cstheme="minorHAnsi"/>
          <w:color w:val="000000" w:themeColor="text1"/>
          <w:sz w:val="18"/>
          <w:szCs w:val="18"/>
        </w:rPr>
      </w:pPr>
    </w:p>
    <w:p w14:paraId="1A604A17" w14:textId="77777777" w:rsidR="00FA18EA" w:rsidRPr="00A02B31" w:rsidRDefault="00FA18EA" w:rsidP="00FA18EA">
      <w:pPr>
        <w:autoSpaceDE w:val="0"/>
        <w:autoSpaceDN w:val="0"/>
        <w:adjustRightInd w:val="0"/>
        <w:jc w:val="both"/>
        <w:rPr>
          <w:rFonts w:cstheme="minorHAnsi"/>
          <w:color w:val="000000" w:themeColor="text1"/>
          <w:sz w:val="18"/>
          <w:szCs w:val="18"/>
        </w:rPr>
      </w:pPr>
      <w:r w:rsidRPr="00A02B31">
        <w:rPr>
          <w:rFonts w:cstheme="minorHAnsi"/>
          <w:color w:val="000000" w:themeColor="text1"/>
          <w:sz w:val="18"/>
          <w:szCs w:val="18"/>
        </w:rPr>
        <w:t xml:space="preserve">Under the terms of the restated Investment Management Agreement (7 April 2022), the Company will pay the Investment Manager a performance fee </w:t>
      </w:r>
      <w:r w:rsidRPr="007600A7">
        <w:rPr>
          <w:rFonts w:cstheme="minorHAnsi"/>
          <w:color w:val="000000" w:themeColor="text1"/>
          <w:sz w:val="18"/>
          <w:szCs w:val="18"/>
        </w:rPr>
        <w:t>e</w:t>
      </w:r>
      <w:r w:rsidRPr="00A02B31">
        <w:rPr>
          <w:rFonts w:cstheme="minorHAnsi"/>
          <w:color w:val="000000" w:themeColor="text1"/>
          <w:sz w:val="18"/>
          <w:szCs w:val="18"/>
        </w:rPr>
        <w:t>qual to 10 per cent. of outperformance over the higher of a 6 per cent. per annum total return hurdle and the high watermark. The 6 per cent. per annum compounds weekly and the performance fee is calculated annually. Provided that the Company's average NAV is at or below £100 million, performance fees in any performance fee period are capped at 3 per cent. of the Company's average NAV for the relevant performance fee period. In such instance, performance fees in excess of the 3 per cent. cap will not be paid and will instead be deferred into the next performance fee period. If the average NAV exceeds £100 million, the performance fee shall be further limited such that the combined investment management and performance fees shall not exceed 3 per cent. of the Company's average NAV. In such instance, performance fees in excess of the cap will not be deferred and will not become payable at any future date.</w:t>
      </w:r>
    </w:p>
    <w:p w14:paraId="7B0716D0" w14:textId="77777777" w:rsidR="00FA18EA" w:rsidRPr="007600A7" w:rsidRDefault="00FA18EA" w:rsidP="00FA18EA">
      <w:pPr>
        <w:autoSpaceDE w:val="0"/>
        <w:autoSpaceDN w:val="0"/>
        <w:adjustRightInd w:val="0"/>
        <w:jc w:val="both"/>
        <w:rPr>
          <w:rFonts w:cstheme="minorHAnsi"/>
          <w:color w:val="000000" w:themeColor="text1"/>
          <w:sz w:val="18"/>
          <w:szCs w:val="18"/>
        </w:rPr>
      </w:pPr>
    </w:p>
    <w:p w14:paraId="5A032E2F" w14:textId="77777777" w:rsidR="00FA18EA" w:rsidRPr="000C1F6F" w:rsidRDefault="00FA18EA" w:rsidP="00FA18EA">
      <w:pPr>
        <w:autoSpaceDE w:val="0"/>
        <w:autoSpaceDN w:val="0"/>
        <w:adjustRightInd w:val="0"/>
        <w:jc w:val="both"/>
        <w:rPr>
          <w:rFonts w:cstheme="minorHAnsi"/>
          <w:color w:val="000000" w:themeColor="text1"/>
          <w:sz w:val="18"/>
          <w:szCs w:val="18"/>
        </w:rPr>
      </w:pPr>
      <w:r w:rsidRPr="000C1F6F">
        <w:rPr>
          <w:rFonts w:cstheme="minorHAnsi"/>
          <w:color w:val="000000" w:themeColor="text1"/>
          <w:sz w:val="18"/>
          <w:szCs w:val="18"/>
        </w:rPr>
        <w:t>The performance fee is calculated annually for each performance fee period, which is aligned with the Company’s accounting year. It is accounted for on an accrual basis and is recognised in the statement of comprehensive income once a performance fee is triggered during the performance fee period.</w:t>
      </w:r>
    </w:p>
    <w:p w14:paraId="470FAE65" w14:textId="77777777" w:rsidR="00FA18EA" w:rsidRPr="008B2DDA" w:rsidRDefault="00FA18EA" w:rsidP="00FA18EA">
      <w:pPr>
        <w:autoSpaceDE w:val="0"/>
        <w:autoSpaceDN w:val="0"/>
        <w:adjustRightInd w:val="0"/>
        <w:jc w:val="both"/>
        <w:rPr>
          <w:rFonts w:cstheme="minorHAnsi"/>
          <w:color w:val="000000" w:themeColor="text1"/>
          <w:sz w:val="18"/>
          <w:szCs w:val="18"/>
        </w:rPr>
      </w:pPr>
    </w:p>
    <w:p w14:paraId="3FA2330E" w14:textId="77777777" w:rsidR="00FA18EA" w:rsidRPr="0091098D" w:rsidRDefault="00FA18EA" w:rsidP="00FA18EA">
      <w:pPr>
        <w:autoSpaceDE w:val="0"/>
        <w:autoSpaceDN w:val="0"/>
        <w:adjustRightInd w:val="0"/>
        <w:jc w:val="both"/>
        <w:rPr>
          <w:rFonts w:cstheme="minorHAnsi"/>
          <w:color w:val="000000" w:themeColor="text1"/>
          <w:sz w:val="18"/>
          <w:szCs w:val="18"/>
        </w:rPr>
      </w:pPr>
      <w:r w:rsidRPr="000C5053">
        <w:rPr>
          <w:rFonts w:cstheme="minorHAnsi"/>
          <w:color w:val="000000" w:themeColor="text1"/>
          <w:sz w:val="18"/>
          <w:szCs w:val="18"/>
        </w:rPr>
        <w:t>Harwood Capital LLP (Harwood) was appointed as the new Alternative Investment Fund Manager on 10 October 2021. Based on the new agreement with Harwood</w:t>
      </w:r>
      <w:r w:rsidRPr="0091098D">
        <w:rPr>
          <w:rFonts w:cstheme="minorHAnsi"/>
          <w:color w:val="000000" w:themeColor="text1"/>
          <w:sz w:val="18"/>
          <w:szCs w:val="18"/>
        </w:rPr>
        <w:t>, a performance fee is not payable by the Company for the period from 10 October 2021 to 31 March 2022.</w:t>
      </w:r>
    </w:p>
    <w:p w14:paraId="4C8D7C2C" w14:textId="77777777" w:rsidR="00FA18EA" w:rsidRPr="0075195E" w:rsidRDefault="00FA18EA" w:rsidP="00FA18EA">
      <w:pPr>
        <w:autoSpaceDE w:val="0"/>
        <w:autoSpaceDN w:val="0"/>
        <w:adjustRightInd w:val="0"/>
        <w:jc w:val="both"/>
        <w:rPr>
          <w:rFonts w:cstheme="minorHAnsi"/>
          <w:color w:val="000000" w:themeColor="text1"/>
          <w:sz w:val="18"/>
          <w:szCs w:val="18"/>
        </w:rPr>
      </w:pPr>
    </w:p>
    <w:p w14:paraId="6AE186E3" w14:textId="77777777" w:rsidR="00FA18EA" w:rsidRPr="00536A35" w:rsidRDefault="00FA18EA" w:rsidP="00FA18EA">
      <w:pPr>
        <w:autoSpaceDE w:val="0"/>
        <w:autoSpaceDN w:val="0"/>
        <w:adjustRightInd w:val="0"/>
        <w:rPr>
          <w:rFonts w:cstheme="minorHAnsi"/>
          <w:b/>
          <w:color w:val="000000"/>
          <w:sz w:val="18"/>
          <w:szCs w:val="16"/>
        </w:rPr>
      </w:pPr>
      <w:r w:rsidRPr="00536A35">
        <w:rPr>
          <w:rFonts w:cstheme="minorHAnsi"/>
          <w:b/>
          <w:color w:val="000000"/>
          <w:sz w:val="18"/>
          <w:szCs w:val="16"/>
        </w:rPr>
        <w:t>Foreign exchange</w:t>
      </w:r>
    </w:p>
    <w:p w14:paraId="6900A9AC" w14:textId="77777777" w:rsidR="00FA18EA" w:rsidRPr="00A02B31" w:rsidRDefault="00FA18EA" w:rsidP="00FA18EA">
      <w:pPr>
        <w:autoSpaceDE w:val="0"/>
        <w:autoSpaceDN w:val="0"/>
        <w:adjustRightInd w:val="0"/>
        <w:jc w:val="both"/>
        <w:rPr>
          <w:rFonts w:cstheme="minorHAnsi"/>
          <w:color w:val="000000" w:themeColor="text1"/>
          <w:sz w:val="18"/>
          <w:szCs w:val="18"/>
        </w:rPr>
      </w:pPr>
      <w:r w:rsidRPr="00A02B31">
        <w:rPr>
          <w:rFonts w:cstheme="minorHAnsi"/>
          <w:color w:val="000000" w:themeColor="text1"/>
          <w:sz w:val="18"/>
          <w:szCs w:val="18"/>
        </w:rPr>
        <w:t>Transactions denominated in foreign currencies are translated into the functional currency at the rate ruling at the dates of the transactions. Monetary assets and liabilities denominated in foreign currencies at the reporting date are retranslated at the rates ruling at that date. These translation differences are recognised in the statement of comprehensive income.</w:t>
      </w:r>
    </w:p>
    <w:p w14:paraId="597A2B63" w14:textId="77777777" w:rsidR="00FA18EA" w:rsidRPr="00A02B31" w:rsidRDefault="00FA18EA" w:rsidP="00FA18EA">
      <w:pPr>
        <w:autoSpaceDE w:val="0"/>
        <w:autoSpaceDN w:val="0"/>
        <w:adjustRightInd w:val="0"/>
        <w:jc w:val="both"/>
        <w:rPr>
          <w:rFonts w:cstheme="minorHAnsi"/>
          <w:color w:val="000000" w:themeColor="text1"/>
          <w:sz w:val="18"/>
          <w:szCs w:val="18"/>
        </w:rPr>
      </w:pPr>
    </w:p>
    <w:p w14:paraId="3EDF5121" w14:textId="77777777" w:rsidR="00FA18EA" w:rsidRPr="00A02B31" w:rsidRDefault="00FA18EA" w:rsidP="00FA18EA">
      <w:pPr>
        <w:autoSpaceDE w:val="0"/>
        <w:autoSpaceDN w:val="0"/>
        <w:adjustRightInd w:val="0"/>
        <w:rPr>
          <w:rFonts w:cstheme="minorHAnsi"/>
          <w:b/>
          <w:color w:val="000000"/>
          <w:sz w:val="18"/>
          <w:szCs w:val="16"/>
        </w:rPr>
      </w:pPr>
      <w:r w:rsidRPr="00A02B31">
        <w:rPr>
          <w:rFonts w:cstheme="minorHAnsi"/>
          <w:b/>
          <w:color w:val="000000"/>
          <w:sz w:val="18"/>
          <w:szCs w:val="16"/>
        </w:rPr>
        <w:t>Critical accounting judgements and key sources of estimation uncertainty</w:t>
      </w:r>
    </w:p>
    <w:p w14:paraId="18382280" w14:textId="77777777" w:rsidR="00FA18EA" w:rsidRPr="00A02B31" w:rsidRDefault="00FA18EA" w:rsidP="00FA18EA">
      <w:pPr>
        <w:autoSpaceDE w:val="0"/>
        <w:autoSpaceDN w:val="0"/>
        <w:adjustRightInd w:val="0"/>
        <w:jc w:val="both"/>
        <w:rPr>
          <w:rFonts w:cstheme="minorHAnsi"/>
          <w:color w:val="000000" w:themeColor="text1"/>
          <w:sz w:val="18"/>
          <w:szCs w:val="18"/>
        </w:rPr>
      </w:pPr>
      <w:r w:rsidRPr="00A02B31">
        <w:rPr>
          <w:rFonts w:cstheme="minorHAnsi"/>
          <w:color w:val="000000" w:themeColor="text1"/>
          <w:sz w:val="18"/>
          <w:szCs w:val="18"/>
        </w:rPr>
        <w:t xml:space="preserve">The preparation of financial statements requires the use of estimates and assumptions that affect the reported amounts of assets and liabilities at the date of the financial statements and the reported amounts of revenues and expenses during the reported period. It also requires Management to exercise their judgement in the process of applying the accounting policies.  The main area of estimation is in the inputs used in determination of the valuation of the unquoted investments in Note 8. Although these estimates are based on management’s best knowledge of the amount, event or actions, actual results ultimately may differ from those estimates. </w:t>
      </w:r>
    </w:p>
    <w:p w14:paraId="3C90553A" w14:textId="77777777" w:rsidR="00FA18EA" w:rsidRPr="00A02B31" w:rsidRDefault="00FA18EA" w:rsidP="00FA18EA">
      <w:pPr>
        <w:autoSpaceDE w:val="0"/>
        <w:autoSpaceDN w:val="0"/>
        <w:adjustRightInd w:val="0"/>
        <w:jc w:val="both"/>
        <w:rPr>
          <w:rFonts w:cstheme="minorHAnsi"/>
          <w:color w:val="000000" w:themeColor="text1"/>
          <w:sz w:val="18"/>
          <w:szCs w:val="18"/>
        </w:rPr>
      </w:pPr>
    </w:p>
    <w:p w14:paraId="08226BEA" w14:textId="77777777" w:rsidR="00FA18EA" w:rsidRPr="00A02B31" w:rsidRDefault="00FA18EA" w:rsidP="00FA18EA">
      <w:pPr>
        <w:autoSpaceDE w:val="0"/>
        <w:autoSpaceDN w:val="0"/>
        <w:adjustRightInd w:val="0"/>
        <w:jc w:val="both"/>
        <w:rPr>
          <w:rFonts w:cstheme="minorHAnsi"/>
          <w:color w:val="000000" w:themeColor="text1"/>
          <w:sz w:val="18"/>
          <w:szCs w:val="18"/>
        </w:rPr>
      </w:pPr>
      <w:r w:rsidRPr="00A02B31">
        <w:rPr>
          <w:rFonts w:cstheme="minorHAnsi"/>
          <w:color w:val="000000" w:themeColor="text1"/>
          <w:sz w:val="18"/>
          <w:szCs w:val="18"/>
        </w:rPr>
        <w:t>The majority of the portfolio is valued on bid price which factors in the anticipated impact of climate and ESG related issues on the portfolio companies, therefore these are incorporated into the valuations.</w:t>
      </w:r>
    </w:p>
    <w:p w14:paraId="2B929B51" w14:textId="77777777" w:rsidR="00FA18EA" w:rsidRPr="00A02B31" w:rsidRDefault="00FA18EA" w:rsidP="00FA18EA">
      <w:pPr>
        <w:autoSpaceDE w:val="0"/>
        <w:autoSpaceDN w:val="0"/>
        <w:adjustRightInd w:val="0"/>
        <w:jc w:val="both"/>
        <w:rPr>
          <w:rFonts w:cstheme="minorHAnsi"/>
          <w:color w:val="000000" w:themeColor="text1"/>
          <w:sz w:val="18"/>
          <w:szCs w:val="18"/>
        </w:rPr>
      </w:pPr>
    </w:p>
    <w:p w14:paraId="325D4BD1" w14:textId="77777777" w:rsidR="00FA18EA" w:rsidRPr="00A02B31" w:rsidRDefault="00FA18EA" w:rsidP="00FA18EA">
      <w:pPr>
        <w:autoSpaceDE w:val="0"/>
        <w:autoSpaceDN w:val="0"/>
        <w:adjustRightInd w:val="0"/>
        <w:jc w:val="both"/>
        <w:rPr>
          <w:rFonts w:cstheme="minorHAnsi"/>
          <w:color w:val="000000" w:themeColor="text1"/>
          <w:sz w:val="18"/>
          <w:szCs w:val="18"/>
        </w:rPr>
      </w:pPr>
      <w:r w:rsidRPr="00A02B31">
        <w:rPr>
          <w:rFonts w:cstheme="minorHAnsi"/>
          <w:color w:val="000000" w:themeColor="text1"/>
          <w:sz w:val="18"/>
          <w:szCs w:val="18"/>
        </w:rPr>
        <w:t xml:space="preserve">Management believes that the underlying assumptions are appropriate and that the Company’s financial statements are fairly presented. </w:t>
      </w:r>
    </w:p>
    <w:p w14:paraId="40325F27" w14:textId="77777777" w:rsidR="00FA18EA" w:rsidRPr="00A02B31" w:rsidRDefault="00FA18EA" w:rsidP="00FA18EA">
      <w:pPr>
        <w:autoSpaceDE w:val="0"/>
        <w:autoSpaceDN w:val="0"/>
        <w:adjustRightInd w:val="0"/>
        <w:jc w:val="both"/>
        <w:rPr>
          <w:rFonts w:cstheme="minorHAnsi"/>
          <w:color w:val="000000" w:themeColor="text1"/>
          <w:sz w:val="18"/>
          <w:szCs w:val="18"/>
        </w:rPr>
      </w:pPr>
    </w:p>
    <w:p w14:paraId="677926EB" w14:textId="77777777" w:rsidR="00FA18EA" w:rsidRPr="00A02B31" w:rsidRDefault="00FA18EA" w:rsidP="00FA18EA">
      <w:pPr>
        <w:autoSpaceDE w:val="0"/>
        <w:autoSpaceDN w:val="0"/>
        <w:adjustRightInd w:val="0"/>
        <w:jc w:val="both"/>
        <w:rPr>
          <w:rFonts w:cstheme="minorHAnsi"/>
          <w:color w:val="000000" w:themeColor="text1"/>
          <w:sz w:val="18"/>
          <w:szCs w:val="18"/>
        </w:rPr>
      </w:pPr>
    </w:p>
    <w:p w14:paraId="2DD6F7B7" w14:textId="77777777" w:rsidR="00FA18EA" w:rsidRPr="00A02B31" w:rsidRDefault="00FA18EA" w:rsidP="00FA18EA">
      <w:pPr>
        <w:autoSpaceDE w:val="0"/>
        <w:autoSpaceDN w:val="0"/>
        <w:adjustRightInd w:val="0"/>
        <w:jc w:val="both"/>
        <w:rPr>
          <w:rFonts w:cstheme="minorHAnsi"/>
          <w:color w:val="000000" w:themeColor="text1"/>
          <w:sz w:val="18"/>
          <w:szCs w:val="18"/>
        </w:rPr>
      </w:pPr>
    </w:p>
    <w:p w14:paraId="2AE9E200" w14:textId="77777777" w:rsidR="00FA18EA" w:rsidRPr="00A02B31" w:rsidRDefault="00FA18EA" w:rsidP="00FA18EA">
      <w:pPr>
        <w:autoSpaceDE w:val="0"/>
        <w:autoSpaceDN w:val="0"/>
        <w:adjustRightInd w:val="0"/>
        <w:jc w:val="both"/>
        <w:rPr>
          <w:rFonts w:cstheme="minorHAnsi"/>
          <w:color w:val="000000" w:themeColor="text1"/>
          <w:sz w:val="18"/>
          <w:szCs w:val="18"/>
        </w:rPr>
      </w:pPr>
    </w:p>
    <w:p w14:paraId="698FEE84" w14:textId="77777777" w:rsidR="00FA18EA" w:rsidRPr="00A02B31" w:rsidRDefault="00FA18EA" w:rsidP="00FA18EA">
      <w:pPr>
        <w:autoSpaceDE w:val="0"/>
        <w:autoSpaceDN w:val="0"/>
        <w:adjustRightInd w:val="0"/>
        <w:jc w:val="both"/>
        <w:rPr>
          <w:rFonts w:cstheme="minorHAnsi"/>
          <w:color w:val="000000" w:themeColor="text1"/>
          <w:sz w:val="18"/>
          <w:szCs w:val="18"/>
        </w:rPr>
      </w:pPr>
    </w:p>
    <w:p w14:paraId="51BE39F5" w14:textId="77777777" w:rsidR="00FA18EA" w:rsidRPr="00A02B31" w:rsidRDefault="00FA18EA" w:rsidP="00FA18EA">
      <w:pPr>
        <w:autoSpaceDE w:val="0"/>
        <w:autoSpaceDN w:val="0"/>
        <w:adjustRightInd w:val="0"/>
        <w:jc w:val="both"/>
        <w:rPr>
          <w:rFonts w:cstheme="minorHAnsi"/>
          <w:color w:val="000000" w:themeColor="text1"/>
          <w:sz w:val="18"/>
          <w:szCs w:val="18"/>
        </w:rPr>
      </w:pPr>
    </w:p>
    <w:p w14:paraId="09C25D73" w14:textId="77777777" w:rsidR="00FA18EA" w:rsidRPr="00A02B31" w:rsidRDefault="00FA18EA" w:rsidP="00FA18EA">
      <w:pPr>
        <w:autoSpaceDE w:val="0"/>
        <w:autoSpaceDN w:val="0"/>
        <w:adjustRightInd w:val="0"/>
        <w:jc w:val="both"/>
        <w:rPr>
          <w:rFonts w:cstheme="minorHAnsi"/>
          <w:color w:val="000000" w:themeColor="text1"/>
          <w:sz w:val="18"/>
          <w:szCs w:val="18"/>
        </w:rPr>
      </w:pPr>
    </w:p>
    <w:p w14:paraId="0087B868" w14:textId="77777777" w:rsidR="00FA18EA" w:rsidRPr="00A02B31" w:rsidRDefault="00FA18EA" w:rsidP="00FA18EA">
      <w:pPr>
        <w:autoSpaceDE w:val="0"/>
        <w:autoSpaceDN w:val="0"/>
        <w:adjustRightInd w:val="0"/>
        <w:jc w:val="both"/>
        <w:rPr>
          <w:rFonts w:cstheme="minorHAnsi"/>
          <w:color w:val="000000" w:themeColor="text1"/>
          <w:sz w:val="18"/>
          <w:szCs w:val="18"/>
        </w:rPr>
      </w:pPr>
      <w:r w:rsidRPr="00A02B31">
        <w:rPr>
          <w:rFonts w:cstheme="minorHAnsi"/>
          <w:b/>
          <w:color w:val="000000"/>
          <w:sz w:val="28"/>
        </w:rPr>
        <w:lastRenderedPageBreak/>
        <w:t>Notes to the Financial Statements (continued)</w:t>
      </w:r>
    </w:p>
    <w:p w14:paraId="71BA2706" w14:textId="77777777" w:rsidR="00FA18EA" w:rsidRPr="00A02B31" w:rsidRDefault="00FA18EA" w:rsidP="00FA18EA">
      <w:pPr>
        <w:autoSpaceDE w:val="0"/>
        <w:autoSpaceDN w:val="0"/>
        <w:adjustRightInd w:val="0"/>
        <w:rPr>
          <w:rFonts w:cstheme="minorHAnsi"/>
          <w:b/>
          <w:color w:val="000000" w:themeColor="text1"/>
          <w:szCs w:val="16"/>
        </w:rPr>
      </w:pPr>
      <w:r w:rsidRPr="00A02B31">
        <w:rPr>
          <w:rFonts w:cstheme="minorHAnsi"/>
          <w:b/>
          <w:color w:val="000000" w:themeColor="text1"/>
          <w:szCs w:val="16"/>
        </w:rPr>
        <w:t xml:space="preserve"> </w:t>
      </w:r>
    </w:p>
    <w:p w14:paraId="0D7808B2" w14:textId="77777777" w:rsidR="00FA18EA" w:rsidRPr="00A02B31" w:rsidRDefault="00FA18EA" w:rsidP="00FA18EA">
      <w:pPr>
        <w:autoSpaceDE w:val="0"/>
        <w:autoSpaceDN w:val="0"/>
        <w:adjustRightInd w:val="0"/>
        <w:rPr>
          <w:rFonts w:cstheme="minorHAnsi"/>
          <w:b/>
          <w:color w:val="000000"/>
        </w:rPr>
      </w:pPr>
      <w:r w:rsidRPr="00A02B31">
        <w:rPr>
          <w:rFonts w:cstheme="minorHAnsi"/>
          <w:b/>
          <w:color w:val="000000"/>
        </w:rPr>
        <w:t>1 Basis of preparation and significant accounting policies (continued)</w:t>
      </w:r>
    </w:p>
    <w:p w14:paraId="50F248E3" w14:textId="77777777" w:rsidR="00FA18EA" w:rsidRPr="00A02B31" w:rsidRDefault="00FA18EA" w:rsidP="00FA18EA">
      <w:pPr>
        <w:autoSpaceDE w:val="0"/>
        <w:autoSpaceDN w:val="0"/>
        <w:adjustRightInd w:val="0"/>
        <w:rPr>
          <w:rFonts w:cstheme="minorHAnsi"/>
          <w:color w:val="000000" w:themeColor="text1"/>
          <w:sz w:val="18"/>
          <w:szCs w:val="18"/>
        </w:rPr>
      </w:pPr>
    </w:p>
    <w:p w14:paraId="79E31D74" w14:textId="77777777" w:rsidR="00FA18EA" w:rsidRPr="00A02B31" w:rsidRDefault="00FA18EA" w:rsidP="00FA18EA">
      <w:pPr>
        <w:autoSpaceDE w:val="0"/>
        <w:autoSpaceDN w:val="0"/>
        <w:adjustRightInd w:val="0"/>
        <w:rPr>
          <w:rFonts w:cstheme="minorHAnsi"/>
          <w:b/>
          <w:color w:val="000000"/>
          <w:sz w:val="18"/>
          <w:szCs w:val="16"/>
        </w:rPr>
      </w:pPr>
      <w:r w:rsidRPr="00A02B31">
        <w:rPr>
          <w:rFonts w:cstheme="minorHAnsi"/>
          <w:b/>
          <w:color w:val="000000"/>
          <w:sz w:val="18"/>
          <w:szCs w:val="16"/>
        </w:rPr>
        <w:t>Segmental analysis</w:t>
      </w:r>
    </w:p>
    <w:p w14:paraId="18EDE80C" w14:textId="77777777" w:rsidR="00FA18EA" w:rsidRPr="00A02B31" w:rsidRDefault="00FA18EA" w:rsidP="00FA18EA">
      <w:pPr>
        <w:autoSpaceDE w:val="0"/>
        <w:autoSpaceDN w:val="0"/>
        <w:adjustRightInd w:val="0"/>
        <w:jc w:val="both"/>
        <w:rPr>
          <w:rFonts w:cstheme="minorHAnsi"/>
          <w:b/>
          <w:color w:val="000000"/>
        </w:rPr>
      </w:pPr>
      <w:r w:rsidRPr="00A02B31">
        <w:rPr>
          <w:rFonts w:cstheme="minorHAnsi"/>
          <w:color w:val="000000" w:themeColor="text1"/>
          <w:sz w:val="18"/>
          <w:szCs w:val="18"/>
        </w:rPr>
        <w:t>There is only one operating segment of the business – investment activities. The performance measure of investment activities considered by the Board is profitability and is disclosed on the face of the statement of comprehensive income.</w:t>
      </w:r>
      <w:r w:rsidRPr="00A02B31">
        <w:rPr>
          <w:rFonts w:cstheme="minorHAnsi"/>
          <w:b/>
          <w:color w:val="000000"/>
        </w:rPr>
        <w:t xml:space="preserve"> </w:t>
      </w:r>
    </w:p>
    <w:p w14:paraId="79EBE667" w14:textId="77777777" w:rsidR="00FA18EA" w:rsidRPr="00A02B31" w:rsidRDefault="00FA18EA" w:rsidP="00FA18EA">
      <w:pPr>
        <w:autoSpaceDE w:val="0"/>
        <w:autoSpaceDN w:val="0"/>
        <w:adjustRightInd w:val="0"/>
        <w:jc w:val="both"/>
        <w:rPr>
          <w:rFonts w:cstheme="minorHAnsi"/>
          <w:b/>
          <w:color w:val="000000"/>
        </w:rPr>
      </w:pPr>
    </w:p>
    <w:p w14:paraId="69F2F9A6" w14:textId="77777777" w:rsidR="00FA18EA" w:rsidRPr="00A02B31" w:rsidRDefault="00FA18EA" w:rsidP="00FA18EA">
      <w:pPr>
        <w:autoSpaceDE w:val="0"/>
        <w:autoSpaceDN w:val="0"/>
        <w:adjustRightInd w:val="0"/>
        <w:jc w:val="both"/>
        <w:rPr>
          <w:rFonts w:cstheme="minorHAnsi"/>
          <w:b/>
          <w:color w:val="000000" w:themeColor="text1"/>
          <w:sz w:val="18"/>
          <w:szCs w:val="16"/>
        </w:rPr>
      </w:pPr>
      <w:r w:rsidRPr="00A02B31">
        <w:rPr>
          <w:rFonts w:cstheme="minorHAnsi"/>
          <w:b/>
          <w:color w:val="000000" w:themeColor="text1"/>
          <w:sz w:val="18"/>
          <w:szCs w:val="16"/>
        </w:rPr>
        <w:t>New Standards issued but not yet effective</w:t>
      </w:r>
    </w:p>
    <w:p w14:paraId="29603570" w14:textId="77777777" w:rsidR="00FA18EA" w:rsidRPr="00A02B31" w:rsidRDefault="00FA18EA" w:rsidP="00FA18EA">
      <w:pPr>
        <w:autoSpaceDE w:val="0"/>
        <w:autoSpaceDN w:val="0"/>
        <w:adjustRightInd w:val="0"/>
        <w:jc w:val="both"/>
        <w:rPr>
          <w:rFonts w:cstheme="minorHAnsi"/>
          <w:bCs/>
          <w:color w:val="000000" w:themeColor="text1"/>
          <w:sz w:val="18"/>
          <w:szCs w:val="16"/>
        </w:rPr>
      </w:pPr>
      <w:r w:rsidRPr="00A02B31">
        <w:rPr>
          <w:rFonts w:cstheme="minorHAnsi"/>
          <w:bCs/>
          <w:color w:val="000000" w:themeColor="text1"/>
          <w:sz w:val="18"/>
          <w:szCs w:val="16"/>
        </w:rPr>
        <w:t>Standards and amendments will be effective for annual reporting periods beginning on or after 1 January 2023 and which have not been early-adopted by the Company include:</w:t>
      </w:r>
    </w:p>
    <w:p w14:paraId="6AEEE53F" w14:textId="77777777" w:rsidR="00FA18EA" w:rsidRPr="00A02B31" w:rsidRDefault="00FA18EA" w:rsidP="00FA18EA">
      <w:pPr>
        <w:autoSpaceDE w:val="0"/>
        <w:autoSpaceDN w:val="0"/>
        <w:adjustRightInd w:val="0"/>
        <w:jc w:val="both"/>
        <w:rPr>
          <w:rFonts w:cstheme="minorHAnsi"/>
          <w:bCs/>
          <w:color w:val="000000" w:themeColor="text1"/>
          <w:sz w:val="18"/>
          <w:szCs w:val="16"/>
        </w:rPr>
      </w:pPr>
    </w:p>
    <w:p w14:paraId="69DDA0BD" w14:textId="77777777" w:rsidR="00FA18EA" w:rsidRPr="00A02B31" w:rsidRDefault="00FA18EA" w:rsidP="00FA18EA">
      <w:pPr>
        <w:numPr>
          <w:ilvl w:val="0"/>
          <w:numId w:val="53"/>
        </w:numPr>
        <w:autoSpaceDE w:val="0"/>
        <w:autoSpaceDN w:val="0"/>
        <w:adjustRightInd w:val="0"/>
        <w:spacing w:after="200" w:line="276" w:lineRule="auto"/>
        <w:contextualSpacing/>
        <w:jc w:val="both"/>
        <w:rPr>
          <w:rFonts w:cstheme="minorHAnsi"/>
          <w:bCs/>
          <w:color w:val="000000" w:themeColor="text1"/>
          <w:sz w:val="18"/>
          <w:szCs w:val="16"/>
        </w:rPr>
      </w:pPr>
      <w:r w:rsidRPr="00A02B31">
        <w:rPr>
          <w:rFonts w:cstheme="minorHAnsi"/>
          <w:bCs/>
          <w:color w:val="000000" w:themeColor="text1"/>
          <w:sz w:val="18"/>
          <w:szCs w:val="16"/>
        </w:rPr>
        <w:t>IAS 1 and IFRS Practice Statement 2 -Disclosure of Accounting Policies</w:t>
      </w:r>
    </w:p>
    <w:p w14:paraId="766C606D" w14:textId="77777777" w:rsidR="00FA18EA" w:rsidRPr="00A02B31" w:rsidRDefault="00FA18EA" w:rsidP="00FA18EA">
      <w:pPr>
        <w:numPr>
          <w:ilvl w:val="0"/>
          <w:numId w:val="53"/>
        </w:numPr>
        <w:autoSpaceDE w:val="0"/>
        <w:autoSpaceDN w:val="0"/>
        <w:adjustRightInd w:val="0"/>
        <w:spacing w:after="200" w:line="276" w:lineRule="auto"/>
        <w:contextualSpacing/>
        <w:jc w:val="both"/>
        <w:rPr>
          <w:rFonts w:cstheme="minorHAnsi"/>
          <w:bCs/>
          <w:color w:val="000000" w:themeColor="text1"/>
          <w:sz w:val="18"/>
          <w:szCs w:val="16"/>
        </w:rPr>
      </w:pPr>
      <w:r w:rsidRPr="00A02B31">
        <w:rPr>
          <w:rFonts w:cstheme="minorHAnsi"/>
          <w:bCs/>
          <w:color w:val="000000" w:themeColor="text1"/>
          <w:sz w:val="18"/>
          <w:szCs w:val="16"/>
        </w:rPr>
        <w:t>IAS 8 -Definition of Accounting Estimates</w:t>
      </w:r>
    </w:p>
    <w:p w14:paraId="36BC39C6" w14:textId="77777777" w:rsidR="00FA18EA" w:rsidRPr="00A02B31" w:rsidRDefault="00FA18EA" w:rsidP="00FA18EA">
      <w:pPr>
        <w:numPr>
          <w:ilvl w:val="0"/>
          <w:numId w:val="53"/>
        </w:numPr>
        <w:autoSpaceDE w:val="0"/>
        <w:autoSpaceDN w:val="0"/>
        <w:adjustRightInd w:val="0"/>
        <w:spacing w:after="200" w:line="276" w:lineRule="auto"/>
        <w:contextualSpacing/>
        <w:jc w:val="both"/>
        <w:rPr>
          <w:rFonts w:cstheme="minorHAnsi"/>
          <w:bCs/>
          <w:color w:val="000000" w:themeColor="text1"/>
          <w:sz w:val="18"/>
          <w:szCs w:val="16"/>
        </w:rPr>
      </w:pPr>
      <w:r w:rsidRPr="00A02B31">
        <w:rPr>
          <w:rFonts w:cstheme="minorHAnsi"/>
          <w:bCs/>
          <w:color w:val="000000" w:themeColor="text1"/>
          <w:sz w:val="18"/>
          <w:szCs w:val="16"/>
        </w:rPr>
        <w:t>IAS 12 - Deferred Tax Related to Assets and Liabilities Arising from a Single Transaction</w:t>
      </w:r>
    </w:p>
    <w:p w14:paraId="6E01244A" w14:textId="77777777" w:rsidR="00FA18EA" w:rsidRPr="00A02B31" w:rsidRDefault="00FA18EA" w:rsidP="00FA18EA">
      <w:pPr>
        <w:autoSpaceDE w:val="0"/>
        <w:autoSpaceDN w:val="0"/>
        <w:adjustRightInd w:val="0"/>
        <w:jc w:val="both"/>
        <w:rPr>
          <w:rFonts w:cstheme="minorHAnsi"/>
          <w:bCs/>
          <w:color w:val="000000" w:themeColor="text1"/>
          <w:sz w:val="18"/>
          <w:szCs w:val="16"/>
        </w:rPr>
      </w:pPr>
      <w:r w:rsidRPr="00A02B31">
        <w:rPr>
          <w:rFonts w:cstheme="minorHAnsi"/>
          <w:bCs/>
          <w:color w:val="000000" w:themeColor="text1"/>
          <w:sz w:val="18"/>
          <w:szCs w:val="16"/>
        </w:rPr>
        <w:t>These standards and amendments are not expected to have a significant impact on the financial statements in the period of initial application and therefore detailed disclosures have not been provided.</w:t>
      </w:r>
    </w:p>
    <w:p w14:paraId="3CDA1009" w14:textId="77777777" w:rsidR="00FA18EA" w:rsidRPr="00A02B31" w:rsidRDefault="00FA18EA" w:rsidP="00FA18EA">
      <w:pPr>
        <w:autoSpaceDE w:val="0"/>
        <w:autoSpaceDN w:val="0"/>
        <w:adjustRightInd w:val="0"/>
        <w:rPr>
          <w:rFonts w:cstheme="minorHAnsi"/>
          <w:b/>
          <w:color w:val="000000"/>
        </w:rPr>
      </w:pPr>
    </w:p>
    <w:p w14:paraId="14A60B81" w14:textId="77777777" w:rsidR="00FA18EA" w:rsidRPr="00A02B31" w:rsidRDefault="00FA18EA" w:rsidP="00FA18EA">
      <w:pPr>
        <w:autoSpaceDE w:val="0"/>
        <w:autoSpaceDN w:val="0"/>
        <w:adjustRightInd w:val="0"/>
        <w:rPr>
          <w:rFonts w:cstheme="minorHAnsi"/>
          <w:b/>
          <w:color w:val="000000"/>
        </w:rPr>
      </w:pPr>
      <w:r w:rsidRPr="00A02B31">
        <w:rPr>
          <w:rFonts w:cstheme="minorHAnsi"/>
          <w:b/>
          <w:color w:val="000000"/>
        </w:rPr>
        <w:t>2 Statement of comprehensive income</w:t>
      </w:r>
    </w:p>
    <w:p w14:paraId="41140C5C" w14:textId="77777777" w:rsidR="00FA18EA" w:rsidRPr="00A02B31" w:rsidRDefault="00FA18EA" w:rsidP="00FA18EA">
      <w:pPr>
        <w:autoSpaceDE w:val="0"/>
        <w:autoSpaceDN w:val="0"/>
        <w:adjustRightInd w:val="0"/>
        <w:rPr>
          <w:rFonts w:cstheme="minorHAnsi"/>
          <w:b/>
          <w:color w:val="000000" w:themeColor="text1"/>
          <w:sz w:val="16"/>
          <w:szCs w:val="16"/>
        </w:rPr>
      </w:pPr>
    </w:p>
    <w:p w14:paraId="392AFD9D" w14:textId="77777777" w:rsidR="00FA18EA" w:rsidRPr="00A02B31" w:rsidRDefault="00FA18EA" w:rsidP="00FA18EA">
      <w:pPr>
        <w:autoSpaceDE w:val="0"/>
        <w:autoSpaceDN w:val="0"/>
        <w:adjustRightInd w:val="0"/>
        <w:jc w:val="both"/>
        <w:rPr>
          <w:rFonts w:cstheme="minorHAnsi"/>
          <w:color w:val="000000" w:themeColor="text1"/>
          <w:sz w:val="18"/>
          <w:szCs w:val="18"/>
        </w:rPr>
      </w:pPr>
      <w:r w:rsidRPr="00A02B31">
        <w:rPr>
          <w:rFonts w:cstheme="minorHAnsi"/>
          <w:color w:val="000000" w:themeColor="text1"/>
          <w:sz w:val="18"/>
          <w:szCs w:val="18"/>
        </w:rPr>
        <w:t xml:space="preserve">The Company’s profit for the year was £13.843 million (2021: profit of £16.612 million). </w:t>
      </w:r>
    </w:p>
    <w:p w14:paraId="415041DB" w14:textId="77777777" w:rsidR="00FA18EA" w:rsidRPr="00A02B31" w:rsidRDefault="00FA18EA" w:rsidP="00FA18EA">
      <w:pPr>
        <w:autoSpaceDE w:val="0"/>
        <w:autoSpaceDN w:val="0"/>
        <w:adjustRightInd w:val="0"/>
        <w:jc w:val="both"/>
        <w:rPr>
          <w:rFonts w:cstheme="minorHAnsi"/>
          <w:color w:val="000000" w:themeColor="text1"/>
          <w:sz w:val="18"/>
          <w:szCs w:val="18"/>
        </w:rPr>
      </w:pPr>
    </w:p>
    <w:p w14:paraId="3EFB55E3" w14:textId="77777777" w:rsidR="00FA18EA" w:rsidRPr="00A02B31" w:rsidRDefault="00FA18EA" w:rsidP="00FA18EA">
      <w:pPr>
        <w:autoSpaceDE w:val="0"/>
        <w:autoSpaceDN w:val="0"/>
        <w:adjustRightInd w:val="0"/>
        <w:jc w:val="both"/>
        <w:rPr>
          <w:rFonts w:cstheme="minorHAnsi"/>
          <w:b/>
          <w:color w:val="000000" w:themeColor="text1"/>
          <w:sz w:val="18"/>
          <w:szCs w:val="18"/>
        </w:rPr>
      </w:pPr>
      <w:r w:rsidRPr="00A02B31">
        <w:rPr>
          <w:rFonts w:cstheme="minorHAnsi"/>
          <w:color w:val="000000" w:themeColor="text1"/>
          <w:sz w:val="18"/>
          <w:szCs w:val="18"/>
        </w:rPr>
        <w:t xml:space="preserve">The Company has recognised gains on investments through the statement of comprehensive income of £20.007 million (2021: income of £19.837 million). </w:t>
      </w:r>
    </w:p>
    <w:p w14:paraId="4B1AAB73" w14:textId="77777777" w:rsidR="00FA18EA" w:rsidRPr="00A02B31" w:rsidRDefault="00FA18EA" w:rsidP="00FA18EA">
      <w:pPr>
        <w:autoSpaceDE w:val="0"/>
        <w:autoSpaceDN w:val="0"/>
        <w:adjustRightInd w:val="0"/>
        <w:rPr>
          <w:rFonts w:cstheme="minorHAnsi"/>
          <w:b/>
          <w:color w:val="000000"/>
        </w:rPr>
      </w:pPr>
    </w:p>
    <w:p w14:paraId="59302747" w14:textId="77777777" w:rsidR="00FA18EA" w:rsidRPr="00A02B31" w:rsidRDefault="00FA18EA" w:rsidP="00FA18EA">
      <w:pPr>
        <w:autoSpaceDE w:val="0"/>
        <w:autoSpaceDN w:val="0"/>
        <w:adjustRightInd w:val="0"/>
        <w:rPr>
          <w:rFonts w:cstheme="minorHAnsi"/>
          <w:b/>
          <w:color w:val="000000"/>
        </w:rPr>
      </w:pPr>
      <w:r w:rsidRPr="00A02B31">
        <w:rPr>
          <w:rFonts w:cstheme="minorHAnsi"/>
          <w:b/>
          <w:color w:val="000000"/>
        </w:rPr>
        <w:t>3 Information regarding Directors and employees</w:t>
      </w:r>
    </w:p>
    <w:p w14:paraId="275FBA18" w14:textId="77777777" w:rsidR="00FA18EA" w:rsidRPr="00A02B31" w:rsidRDefault="00FA18EA" w:rsidP="00FA18EA">
      <w:pPr>
        <w:autoSpaceDE w:val="0"/>
        <w:autoSpaceDN w:val="0"/>
        <w:adjustRightInd w:val="0"/>
        <w:rPr>
          <w:rFonts w:cstheme="minorHAnsi"/>
          <w:color w:val="000000"/>
          <w:sz w:val="18"/>
          <w:szCs w:val="18"/>
        </w:rPr>
      </w:pPr>
    </w:p>
    <w:tbl>
      <w:tblPr>
        <w:tblW w:w="9638" w:type="dxa"/>
        <w:tblInd w:w="108" w:type="dxa"/>
        <w:tblLook w:val="04A0" w:firstRow="1" w:lastRow="0" w:firstColumn="1" w:lastColumn="0" w:noHBand="0" w:noVBand="1"/>
      </w:tblPr>
      <w:tblGrid>
        <w:gridCol w:w="3291"/>
        <w:gridCol w:w="1367"/>
        <w:gridCol w:w="1035"/>
        <w:gridCol w:w="744"/>
        <w:gridCol w:w="499"/>
        <w:gridCol w:w="854"/>
        <w:gridCol w:w="497"/>
        <w:gridCol w:w="446"/>
        <w:gridCol w:w="858"/>
        <w:gridCol w:w="47"/>
      </w:tblGrid>
      <w:tr w:rsidR="00FA18EA" w:rsidRPr="007600A7" w14:paraId="5FEA2DEE" w14:textId="77777777" w:rsidTr="00FA18EA">
        <w:trPr>
          <w:trHeight w:val="222"/>
        </w:trPr>
        <w:tc>
          <w:tcPr>
            <w:tcW w:w="6936" w:type="dxa"/>
            <w:gridSpan w:val="5"/>
            <w:tcBorders>
              <w:top w:val="single" w:sz="4" w:space="0" w:color="auto"/>
              <w:left w:val="nil"/>
              <w:bottom w:val="nil"/>
              <w:right w:val="nil"/>
            </w:tcBorders>
            <w:shd w:val="clear" w:color="auto" w:fill="auto"/>
            <w:noWrap/>
            <w:vAlign w:val="bottom"/>
            <w:hideMark/>
          </w:tcPr>
          <w:p w14:paraId="1E72E265" w14:textId="77777777" w:rsidR="00FA18EA" w:rsidRPr="007600A7" w:rsidRDefault="00FA18EA" w:rsidP="00FA18EA">
            <w:pPr>
              <w:outlineLvl w:val="0"/>
              <w:rPr>
                <w:rFonts w:eastAsia="Times New Roman" w:cstheme="minorHAnsi"/>
                <w:lang w:eastAsia="en-GB"/>
              </w:rPr>
            </w:pPr>
            <w:r w:rsidRPr="007600A7">
              <w:rPr>
                <w:rFonts w:eastAsia="Times New Roman" w:cstheme="minorHAnsi"/>
                <w:lang w:eastAsia="en-GB"/>
              </w:rPr>
              <w:t> </w:t>
            </w:r>
          </w:p>
        </w:tc>
        <w:tc>
          <w:tcPr>
            <w:tcW w:w="1351" w:type="dxa"/>
            <w:gridSpan w:val="2"/>
            <w:tcBorders>
              <w:top w:val="single" w:sz="4" w:space="0" w:color="auto"/>
              <w:left w:val="nil"/>
              <w:bottom w:val="nil"/>
              <w:right w:val="nil"/>
            </w:tcBorders>
            <w:shd w:val="clear" w:color="auto" w:fill="auto"/>
            <w:noWrap/>
            <w:vAlign w:val="bottom"/>
            <w:hideMark/>
          </w:tcPr>
          <w:p w14:paraId="3863EE98" w14:textId="77777777" w:rsidR="00FA18EA" w:rsidRPr="000C1F6F" w:rsidRDefault="00FA18EA" w:rsidP="00FA18EA">
            <w:pPr>
              <w:jc w:val="right"/>
              <w:outlineLvl w:val="0"/>
              <w:rPr>
                <w:rFonts w:eastAsia="Times New Roman" w:cstheme="minorHAnsi"/>
                <w:b/>
                <w:bCs/>
                <w:sz w:val="16"/>
                <w:szCs w:val="16"/>
                <w:lang w:eastAsia="en-GB"/>
              </w:rPr>
            </w:pPr>
            <w:r w:rsidRPr="000C1F6F">
              <w:rPr>
                <w:rFonts w:eastAsia="Times New Roman" w:cstheme="minorHAnsi"/>
                <w:b/>
                <w:bCs/>
                <w:sz w:val="16"/>
                <w:szCs w:val="16"/>
                <w:lang w:eastAsia="en-GB"/>
              </w:rPr>
              <w:t>Year ended</w:t>
            </w:r>
          </w:p>
        </w:tc>
        <w:tc>
          <w:tcPr>
            <w:tcW w:w="1351" w:type="dxa"/>
            <w:gridSpan w:val="3"/>
            <w:tcBorders>
              <w:top w:val="single" w:sz="4" w:space="0" w:color="auto"/>
              <w:left w:val="nil"/>
              <w:bottom w:val="nil"/>
              <w:right w:val="nil"/>
            </w:tcBorders>
            <w:shd w:val="clear" w:color="auto" w:fill="auto"/>
            <w:noWrap/>
            <w:vAlign w:val="bottom"/>
            <w:hideMark/>
          </w:tcPr>
          <w:p w14:paraId="6CC51602" w14:textId="77777777" w:rsidR="00FA18EA" w:rsidRPr="008B2DDA" w:rsidRDefault="00FA18EA" w:rsidP="00FA18EA">
            <w:pPr>
              <w:jc w:val="right"/>
              <w:outlineLvl w:val="0"/>
              <w:rPr>
                <w:rFonts w:eastAsia="Times New Roman" w:cstheme="minorHAnsi"/>
                <w:sz w:val="16"/>
                <w:szCs w:val="16"/>
                <w:lang w:eastAsia="en-GB"/>
              </w:rPr>
            </w:pPr>
            <w:r w:rsidRPr="008B2DDA">
              <w:rPr>
                <w:rFonts w:eastAsia="Times New Roman" w:cstheme="minorHAnsi"/>
                <w:sz w:val="16"/>
                <w:szCs w:val="16"/>
                <w:lang w:eastAsia="en-GB"/>
              </w:rPr>
              <w:t>Year ended</w:t>
            </w:r>
          </w:p>
        </w:tc>
      </w:tr>
      <w:tr w:rsidR="00FA18EA" w:rsidRPr="007600A7" w14:paraId="525BA946" w14:textId="77777777" w:rsidTr="00FA18EA">
        <w:trPr>
          <w:trHeight w:val="222"/>
        </w:trPr>
        <w:tc>
          <w:tcPr>
            <w:tcW w:w="6936" w:type="dxa"/>
            <w:gridSpan w:val="5"/>
            <w:tcBorders>
              <w:top w:val="nil"/>
              <w:left w:val="nil"/>
              <w:bottom w:val="nil"/>
              <w:right w:val="nil"/>
            </w:tcBorders>
            <w:shd w:val="clear" w:color="auto" w:fill="auto"/>
            <w:noWrap/>
            <w:vAlign w:val="bottom"/>
            <w:hideMark/>
          </w:tcPr>
          <w:p w14:paraId="35F0F02F" w14:textId="77777777" w:rsidR="00FA18EA" w:rsidRPr="008B2DDA" w:rsidRDefault="00FA18EA" w:rsidP="00FA18EA">
            <w:pPr>
              <w:outlineLvl w:val="0"/>
              <w:rPr>
                <w:rFonts w:eastAsia="Times New Roman" w:cstheme="minorHAnsi"/>
                <w:lang w:eastAsia="en-GB"/>
              </w:rPr>
            </w:pPr>
          </w:p>
        </w:tc>
        <w:tc>
          <w:tcPr>
            <w:tcW w:w="1351" w:type="dxa"/>
            <w:gridSpan w:val="2"/>
            <w:tcBorders>
              <w:top w:val="nil"/>
              <w:left w:val="nil"/>
              <w:bottom w:val="nil"/>
              <w:right w:val="nil"/>
            </w:tcBorders>
            <w:shd w:val="clear" w:color="auto" w:fill="auto"/>
            <w:noWrap/>
            <w:vAlign w:val="bottom"/>
            <w:hideMark/>
          </w:tcPr>
          <w:p w14:paraId="773B040D" w14:textId="77777777" w:rsidR="00FA18EA" w:rsidRPr="0091098D" w:rsidRDefault="00FA18EA" w:rsidP="00FA18EA">
            <w:pPr>
              <w:jc w:val="right"/>
              <w:outlineLvl w:val="0"/>
              <w:rPr>
                <w:rFonts w:eastAsia="Times New Roman" w:cstheme="minorHAnsi"/>
                <w:b/>
                <w:bCs/>
                <w:sz w:val="16"/>
                <w:szCs w:val="16"/>
                <w:lang w:eastAsia="en-GB"/>
              </w:rPr>
            </w:pPr>
            <w:r w:rsidRPr="000C5053">
              <w:rPr>
                <w:rFonts w:eastAsia="Times New Roman" w:cstheme="minorHAnsi"/>
                <w:b/>
                <w:bCs/>
                <w:sz w:val="16"/>
                <w:szCs w:val="16"/>
                <w:lang w:eastAsia="en-GB"/>
              </w:rPr>
              <w:t>31 March 2022</w:t>
            </w:r>
          </w:p>
        </w:tc>
        <w:tc>
          <w:tcPr>
            <w:tcW w:w="1351" w:type="dxa"/>
            <w:gridSpan w:val="3"/>
            <w:tcBorders>
              <w:top w:val="nil"/>
              <w:left w:val="nil"/>
              <w:bottom w:val="nil"/>
              <w:right w:val="nil"/>
            </w:tcBorders>
            <w:shd w:val="clear" w:color="auto" w:fill="auto"/>
            <w:noWrap/>
            <w:vAlign w:val="bottom"/>
            <w:hideMark/>
          </w:tcPr>
          <w:p w14:paraId="2E1763C8" w14:textId="77777777" w:rsidR="00FA18EA" w:rsidRPr="0075195E" w:rsidRDefault="00FA18EA" w:rsidP="00FA18EA">
            <w:pPr>
              <w:jc w:val="right"/>
              <w:outlineLvl w:val="0"/>
              <w:rPr>
                <w:rFonts w:eastAsia="Times New Roman" w:cstheme="minorHAnsi"/>
                <w:sz w:val="16"/>
                <w:szCs w:val="16"/>
                <w:lang w:eastAsia="en-GB"/>
              </w:rPr>
            </w:pPr>
            <w:r w:rsidRPr="0075195E">
              <w:rPr>
                <w:rFonts w:eastAsia="Times New Roman" w:cstheme="minorHAnsi"/>
                <w:sz w:val="16"/>
                <w:szCs w:val="16"/>
                <w:lang w:eastAsia="en-GB"/>
              </w:rPr>
              <w:t>31 March 2021</w:t>
            </w:r>
          </w:p>
        </w:tc>
      </w:tr>
      <w:tr w:rsidR="00FA18EA" w:rsidRPr="007600A7" w14:paraId="008C27B8" w14:textId="77777777" w:rsidTr="00FA18EA">
        <w:trPr>
          <w:trHeight w:val="222"/>
        </w:trPr>
        <w:tc>
          <w:tcPr>
            <w:tcW w:w="6936" w:type="dxa"/>
            <w:gridSpan w:val="5"/>
            <w:tcBorders>
              <w:top w:val="nil"/>
              <w:left w:val="nil"/>
              <w:bottom w:val="single" w:sz="4" w:space="0" w:color="auto"/>
              <w:right w:val="nil"/>
            </w:tcBorders>
            <w:shd w:val="clear" w:color="auto" w:fill="auto"/>
            <w:noWrap/>
            <w:vAlign w:val="bottom"/>
            <w:hideMark/>
          </w:tcPr>
          <w:p w14:paraId="2179D66C" w14:textId="77777777" w:rsidR="00FA18EA" w:rsidRPr="008B2DDA" w:rsidRDefault="00FA18EA" w:rsidP="00FA18EA">
            <w:pPr>
              <w:outlineLvl w:val="0"/>
              <w:rPr>
                <w:rFonts w:eastAsia="Times New Roman" w:cstheme="minorHAnsi"/>
                <w:lang w:eastAsia="en-GB"/>
              </w:rPr>
            </w:pPr>
            <w:r w:rsidRPr="008B2DDA">
              <w:rPr>
                <w:rFonts w:eastAsia="Times New Roman" w:cstheme="minorHAnsi"/>
                <w:lang w:eastAsia="en-GB"/>
              </w:rPr>
              <w:t> </w:t>
            </w:r>
          </w:p>
        </w:tc>
        <w:tc>
          <w:tcPr>
            <w:tcW w:w="1351" w:type="dxa"/>
            <w:gridSpan w:val="2"/>
            <w:tcBorders>
              <w:top w:val="nil"/>
              <w:left w:val="nil"/>
              <w:bottom w:val="single" w:sz="4" w:space="0" w:color="auto"/>
              <w:right w:val="nil"/>
            </w:tcBorders>
            <w:shd w:val="clear" w:color="auto" w:fill="auto"/>
            <w:noWrap/>
            <w:vAlign w:val="bottom"/>
            <w:hideMark/>
          </w:tcPr>
          <w:p w14:paraId="5A23A79A" w14:textId="77777777" w:rsidR="00FA18EA" w:rsidRPr="0091098D" w:rsidRDefault="00FA18EA" w:rsidP="00FA18EA">
            <w:pPr>
              <w:jc w:val="right"/>
              <w:outlineLvl w:val="0"/>
              <w:rPr>
                <w:rFonts w:eastAsia="Times New Roman" w:cstheme="minorHAnsi"/>
                <w:b/>
                <w:bCs/>
                <w:sz w:val="16"/>
                <w:szCs w:val="16"/>
                <w:lang w:eastAsia="en-GB"/>
              </w:rPr>
            </w:pPr>
            <w:r w:rsidRPr="000C5053">
              <w:rPr>
                <w:rFonts w:eastAsia="Times New Roman" w:cstheme="minorHAnsi"/>
                <w:b/>
                <w:bCs/>
                <w:sz w:val="16"/>
                <w:szCs w:val="16"/>
                <w:lang w:eastAsia="en-GB"/>
              </w:rPr>
              <w:t>£'000</w:t>
            </w:r>
          </w:p>
        </w:tc>
        <w:tc>
          <w:tcPr>
            <w:tcW w:w="1351" w:type="dxa"/>
            <w:gridSpan w:val="3"/>
            <w:tcBorders>
              <w:top w:val="nil"/>
              <w:left w:val="nil"/>
              <w:bottom w:val="single" w:sz="4" w:space="0" w:color="auto"/>
              <w:right w:val="nil"/>
            </w:tcBorders>
            <w:shd w:val="clear" w:color="auto" w:fill="auto"/>
            <w:noWrap/>
            <w:vAlign w:val="bottom"/>
            <w:hideMark/>
          </w:tcPr>
          <w:p w14:paraId="24E1ABE5" w14:textId="77777777" w:rsidR="00FA18EA" w:rsidRPr="0075195E" w:rsidRDefault="00FA18EA" w:rsidP="00FA18EA">
            <w:pPr>
              <w:jc w:val="right"/>
              <w:outlineLvl w:val="0"/>
              <w:rPr>
                <w:rFonts w:eastAsia="Times New Roman" w:cstheme="minorHAnsi"/>
                <w:sz w:val="16"/>
                <w:szCs w:val="16"/>
                <w:lang w:eastAsia="en-GB"/>
              </w:rPr>
            </w:pPr>
            <w:r w:rsidRPr="0075195E">
              <w:rPr>
                <w:rFonts w:eastAsia="Times New Roman" w:cstheme="minorHAnsi"/>
                <w:sz w:val="16"/>
                <w:szCs w:val="16"/>
                <w:lang w:eastAsia="en-GB"/>
              </w:rPr>
              <w:t>£'000</w:t>
            </w:r>
          </w:p>
        </w:tc>
      </w:tr>
      <w:tr w:rsidR="00FA18EA" w:rsidRPr="007600A7" w14:paraId="2F9DE46B" w14:textId="77777777" w:rsidTr="00FA18EA">
        <w:trPr>
          <w:cantSplit/>
        </w:trPr>
        <w:tc>
          <w:tcPr>
            <w:tcW w:w="0" w:type="auto"/>
            <w:gridSpan w:val="5"/>
            <w:tcBorders>
              <w:top w:val="nil"/>
              <w:left w:val="nil"/>
              <w:bottom w:val="nil"/>
              <w:right w:val="nil"/>
            </w:tcBorders>
            <w:shd w:val="clear" w:color="auto" w:fill="auto"/>
            <w:noWrap/>
            <w:vAlign w:val="bottom"/>
            <w:hideMark/>
          </w:tcPr>
          <w:p w14:paraId="1BDC61D0" w14:textId="77777777" w:rsidR="00FA18EA" w:rsidRPr="008B2DDA" w:rsidRDefault="00FA18EA" w:rsidP="00FA18EA">
            <w:pPr>
              <w:outlineLvl w:val="0"/>
              <w:rPr>
                <w:rFonts w:eastAsia="Times New Roman" w:cstheme="minorHAnsi"/>
                <w:b/>
                <w:bCs/>
                <w:sz w:val="18"/>
                <w:szCs w:val="18"/>
                <w:lang w:eastAsia="en-GB"/>
              </w:rPr>
            </w:pPr>
            <w:r w:rsidRPr="008B2DDA">
              <w:rPr>
                <w:rFonts w:eastAsia="Times New Roman" w:cstheme="minorHAnsi"/>
                <w:b/>
                <w:bCs/>
                <w:sz w:val="18"/>
                <w:szCs w:val="18"/>
                <w:lang w:eastAsia="en-GB"/>
              </w:rPr>
              <w:t>Directors' remuneration summary</w:t>
            </w:r>
          </w:p>
        </w:tc>
        <w:tc>
          <w:tcPr>
            <w:tcW w:w="1351" w:type="dxa"/>
            <w:gridSpan w:val="2"/>
            <w:tcBorders>
              <w:top w:val="nil"/>
              <w:left w:val="nil"/>
              <w:bottom w:val="nil"/>
              <w:right w:val="nil"/>
            </w:tcBorders>
            <w:shd w:val="clear" w:color="auto" w:fill="auto"/>
            <w:noWrap/>
            <w:vAlign w:val="bottom"/>
            <w:hideMark/>
          </w:tcPr>
          <w:p w14:paraId="70A1233B" w14:textId="77777777" w:rsidR="00FA18EA" w:rsidRPr="000C5053" w:rsidRDefault="00FA18EA" w:rsidP="00FA18EA">
            <w:pPr>
              <w:outlineLvl w:val="0"/>
              <w:rPr>
                <w:rFonts w:eastAsia="Times New Roman" w:cstheme="minorHAnsi"/>
                <w:b/>
                <w:bCs/>
                <w:sz w:val="18"/>
                <w:szCs w:val="18"/>
                <w:highlight w:val="yellow"/>
                <w:lang w:eastAsia="en-GB"/>
              </w:rPr>
            </w:pPr>
          </w:p>
        </w:tc>
        <w:tc>
          <w:tcPr>
            <w:tcW w:w="1351" w:type="dxa"/>
            <w:gridSpan w:val="3"/>
            <w:tcBorders>
              <w:top w:val="nil"/>
              <w:left w:val="nil"/>
              <w:bottom w:val="nil"/>
              <w:right w:val="nil"/>
            </w:tcBorders>
            <w:shd w:val="clear" w:color="auto" w:fill="auto"/>
            <w:noWrap/>
            <w:vAlign w:val="bottom"/>
            <w:hideMark/>
          </w:tcPr>
          <w:p w14:paraId="70D17C63" w14:textId="77777777" w:rsidR="00FA18EA" w:rsidRPr="0091098D" w:rsidRDefault="00FA18EA" w:rsidP="00FA18EA">
            <w:pPr>
              <w:outlineLvl w:val="0"/>
              <w:rPr>
                <w:rFonts w:eastAsia="Times New Roman" w:cstheme="minorHAnsi"/>
                <w:b/>
                <w:bCs/>
                <w:sz w:val="18"/>
                <w:szCs w:val="18"/>
                <w:lang w:eastAsia="en-GB"/>
              </w:rPr>
            </w:pPr>
          </w:p>
        </w:tc>
      </w:tr>
      <w:tr w:rsidR="00FA18EA" w:rsidRPr="007600A7" w14:paraId="333ECE14" w14:textId="77777777" w:rsidTr="00FA18EA">
        <w:trPr>
          <w:trHeight w:val="255"/>
        </w:trPr>
        <w:tc>
          <w:tcPr>
            <w:tcW w:w="6936" w:type="dxa"/>
            <w:gridSpan w:val="5"/>
            <w:tcBorders>
              <w:top w:val="nil"/>
              <w:left w:val="nil"/>
              <w:bottom w:val="nil"/>
              <w:right w:val="nil"/>
            </w:tcBorders>
            <w:shd w:val="clear" w:color="auto" w:fill="auto"/>
            <w:noWrap/>
            <w:vAlign w:val="bottom"/>
            <w:hideMark/>
          </w:tcPr>
          <w:p w14:paraId="5750997D" w14:textId="77777777" w:rsidR="00FA18EA" w:rsidRPr="008B2DDA" w:rsidRDefault="00FA18EA" w:rsidP="00FA18EA">
            <w:pPr>
              <w:outlineLvl w:val="0"/>
              <w:rPr>
                <w:rFonts w:eastAsia="Times New Roman" w:cstheme="minorHAnsi"/>
                <w:sz w:val="18"/>
                <w:szCs w:val="18"/>
                <w:lang w:eastAsia="en-GB"/>
              </w:rPr>
            </w:pPr>
            <w:r w:rsidRPr="008B2DDA">
              <w:rPr>
                <w:rFonts w:eastAsia="Times New Roman" w:cstheme="minorHAnsi"/>
                <w:sz w:val="18"/>
                <w:szCs w:val="18"/>
                <w:lang w:eastAsia="en-GB"/>
              </w:rPr>
              <w:t>Basic salaries</w:t>
            </w:r>
          </w:p>
        </w:tc>
        <w:tc>
          <w:tcPr>
            <w:tcW w:w="1351" w:type="dxa"/>
            <w:gridSpan w:val="2"/>
            <w:tcBorders>
              <w:top w:val="nil"/>
              <w:left w:val="nil"/>
              <w:bottom w:val="nil"/>
              <w:right w:val="nil"/>
            </w:tcBorders>
            <w:shd w:val="clear" w:color="auto" w:fill="auto"/>
            <w:noWrap/>
            <w:vAlign w:val="bottom"/>
            <w:hideMark/>
          </w:tcPr>
          <w:p w14:paraId="4A1D283A" w14:textId="77777777" w:rsidR="00FA18EA" w:rsidRPr="0091098D" w:rsidRDefault="00FA18EA" w:rsidP="00FA18EA">
            <w:pPr>
              <w:jc w:val="right"/>
              <w:outlineLvl w:val="0"/>
              <w:rPr>
                <w:rFonts w:eastAsia="Times New Roman" w:cstheme="minorHAnsi"/>
                <w:b/>
                <w:bCs/>
                <w:sz w:val="18"/>
                <w:szCs w:val="18"/>
                <w:lang w:eastAsia="en-GB"/>
              </w:rPr>
            </w:pPr>
            <w:r w:rsidRPr="000C5053">
              <w:rPr>
                <w:rFonts w:eastAsia="Times New Roman" w:cstheme="minorHAnsi"/>
                <w:b/>
                <w:bCs/>
                <w:sz w:val="18"/>
                <w:szCs w:val="18"/>
                <w:lang w:eastAsia="en-GB"/>
              </w:rPr>
              <w:t>161</w:t>
            </w:r>
          </w:p>
        </w:tc>
        <w:tc>
          <w:tcPr>
            <w:tcW w:w="1351" w:type="dxa"/>
            <w:gridSpan w:val="3"/>
            <w:tcBorders>
              <w:top w:val="nil"/>
              <w:left w:val="nil"/>
              <w:bottom w:val="nil"/>
              <w:right w:val="nil"/>
            </w:tcBorders>
            <w:shd w:val="clear" w:color="auto" w:fill="auto"/>
            <w:noWrap/>
            <w:vAlign w:val="bottom"/>
            <w:hideMark/>
          </w:tcPr>
          <w:p w14:paraId="5B9D0E6A" w14:textId="77777777" w:rsidR="00FA18EA" w:rsidRPr="0075195E" w:rsidRDefault="00FA18EA" w:rsidP="00FA18EA">
            <w:pPr>
              <w:jc w:val="right"/>
              <w:outlineLvl w:val="0"/>
              <w:rPr>
                <w:rFonts w:eastAsia="Times New Roman" w:cstheme="minorHAnsi"/>
                <w:sz w:val="18"/>
                <w:szCs w:val="18"/>
                <w:lang w:eastAsia="en-GB"/>
              </w:rPr>
            </w:pPr>
            <w:r w:rsidRPr="0075195E">
              <w:rPr>
                <w:rFonts w:eastAsia="Times New Roman" w:cstheme="minorHAnsi"/>
                <w:sz w:val="18"/>
                <w:szCs w:val="18"/>
                <w:lang w:eastAsia="en-GB"/>
              </w:rPr>
              <w:t>138</w:t>
            </w:r>
          </w:p>
        </w:tc>
      </w:tr>
      <w:tr w:rsidR="00FA18EA" w:rsidRPr="007600A7" w14:paraId="130FE454" w14:textId="77777777" w:rsidTr="00FA18EA">
        <w:trPr>
          <w:trHeight w:val="255"/>
        </w:trPr>
        <w:tc>
          <w:tcPr>
            <w:tcW w:w="6936" w:type="dxa"/>
            <w:gridSpan w:val="5"/>
            <w:tcBorders>
              <w:top w:val="nil"/>
              <w:left w:val="nil"/>
              <w:bottom w:val="nil"/>
              <w:right w:val="nil"/>
            </w:tcBorders>
            <w:shd w:val="clear" w:color="auto" w:fill="auto"/>
            <w:noWrap/>
            <w:vAlign w:val="bottom"/>
            <w:hideMark/>
          </w:tcPr>
          <w:p w14:paraId="0B749961" w14:textId="77777777" w:rsidR="00FA18EA" w:rsidRPr="008B2DDA" w:rsidRDefault="00FA18EA" w:rsidP="00FA18EA">
            <w:pPr>
              <w:outlineLvl w:val="0"/>
              <w:rPr>
                <w:rFonts w:eastAsia="Times New Roman" w:cstheme="minorHAnsi"/>
                <w:sz w:val="18"/>
                <w:szCs w:val="18"/>
                <w:lang w:eastAsia="en-GB"/>
              </w:rPr>
            </w:pPr>
            <w:r w:rsidRPr="008B2DDA">
              <w:rPr>
                <w:rFonts w:eastAsia="Times New Roman" w:cstheme="minorHAnsi"/>
                <w:sz w:val="18"/>
                <w:szCs w:val="18"/>
                <w:lang w:eastAsia="en-GB"/>
              </w:rPr>
              <w:t>Social security costs</w:t>
            </w:r>
          </w:p>
        </w:tc>
        <w:tc>
          <w:tcPr>
            <w:tcW w:w="1351" w:type="dxa"/>
            <w:gridSpan w:val="2"/>
            <w:tcBorders>
              <w:top w:val="nil"/>
              <w:left w:val="nil"/>
              <w:bottom w:val="nil"/>
              <w:right w:val="nil"/>
            </w:tcBorders>
            <w:shd w:val="clear" w:color="auto" w:fill="auto"/>
            <w:noWrap/>
            <w:vAlign w:val="bottom"/>
            <w:hideMark/>
          </w:tcPr>
          <w:p w14:paraId="132CD5FD" w14:textId="77777777" w:rsidR="00FA18EA" w:rsidRPr="0091098D" w:rsidRDefault="00FA18EA" w:rsidP="00FA18EA">
            <w:pPr>
              <w:jc w:val="right"/>
              <w:outlineLvl w:val="0"/>
              <w:rPr>
                <w:rFonts w:eastAsia="Times New Roman" w:cstheme="minorHAnsi"/>
                <w:b/>
                <w:bCs/>
                <w:sz w:val="18"/>
                <w:szCs w:val="18"/>
                <w:lang w:eastAsia="en-GB"/>
              </w:rPr>
            </w:pPr>
            <w:r w:rsidRPr="000C5053">
              <w:rPr>
                <w:rFonts w:eastAsia="Times New Roman" w:cstheme="minorHAnsi"/>
                <w:b/>
                <w:bCs/>
                <w:sz w:val="18"/>
                <w:szCs w:val="18"/>
                <w:lang w:eastAsia="en-GB"/>
              </w:rPr>
              <w:t>12</w:t>
            </w:r>
          </w:p>
        </w:tc>
        <w:tc>
          <w:tcPr>
            <w:tcW w:w="1351" w:type="dxa"/>
            <w:gridSpan w:val="3"/>
            <w:tcBorders>
              <w:top w:val="nil"/>
              <w:left w:val="nil"/>
              <w:bottom w:val="nil"/>
              <w:right w:val="nil"/>
            </w:tcBorders>
            <w:shd w:val="clear" w:color="auto" w:fill="auto"/>
            <w:noWrap/>
            <w:vAlign w:val="bottom"/>
            <w:hideMark/>
          </w:tcPr>
          <w:p w14:paraId="3A1A03C8" w14:textId="77777777" w:rsidR="00FA18EA" w:rsidRPr="0075195E" w:rsidRDefault="00FA18EA" w:rsidP="00FA18EA">
            <w:pPr>
              <w:jc w:val="right"/>
              <w:outlineLvl w:val="0"/>
              <w:rPr>
                <w:rFonts w:eastAsia="Times New Roman" w:cstheme="minorHAnsi"/>
                <w:sz w:val="18"/>
                <w:szCs w:val="18"/>
                <w:lang w:eastAsia="en-GB"/>
              </w:rPr>
            </w:pPr>
            <w:r w:rsidRPr="0075195E">
              <w:rPr>
                <w:rFonts w:eastAsia="Times New Roman" w:cstheme="minorHAnsi"/>
                <w:sz w:val="18"/>
                <w:szCs w:val="18"/>
                <w:lang w:eastAsia="en-GB"/>
              </w:rPr>
              <w:t>10</w:t>
            </w:r>
          </w:p>
        </w:tc>
      </w:tr>
      <w:tr w:rsidR="00FA18EA" w:rsidRPr="007600A7" w14:paraId="2549FBEC" w14:textId="77777777" w:rsidTr="00FA18EA">
        <w:trPr>
          <w:trHeight w:val="270"/>
        </w:trPr>
        <w:tc>
          <w:tcPr>
            <w:tcW w:w="6936" w:type="dxa"/>
            <w:gridSpan w:val="5"/>
            <w:tcBorders>
              <w:top w:val="single" w:sz="4" w:space="0" w:color="auto"/>
              <w:left w:val="nil"/>
              <w:bottom w:val="single" w:sz="8" w:space="0" w:color="auto"/>
              <w:right w:val="nil"/>
            </w:tcBorders>
            <w:shd w:val="clear" w:color="auto" w:fill="auto"/>
            <w:noWrap/>
            <w:vAlign w:val="bottom"/>
            <w:hideMark/>
          </w:tcPr>
          <w:p w14:paraId="63B727BB" w14:textId="77777777" w:rsidR="00FA18EA" w:rsidRPr="008B2DDA" w:rsidRDefault="00FA18EA" w:rsidP="00FA18EA">
            <w:pPr>
              <w:outlineLvl w:val="0"/>
              <w:rPr>
                <w:rFonts w:eastAsia="Times New Roman" w:cstheme="minorHAnsi"/>
                <w:sz w:val="18"/>
                <w:szCs w:val="18"/>
                <w:lang w:eastAsia="en-GB"/>
              </w:rPr>
            </w:pPr>
            <w:r w:rsidRPr="008B2DDA">
              <w:rPr>
                <w:rFonts w:eastAsia="Times New Roman" w:cstheme="minorHAnsi"/>
                <w:sz w:val="18"/>
                <w:szCs w:val="18"/>
                <w:lang w:eastAsia="en-GB"/>
              </w:rPr>
              <w:t> </w:t>
            </w:r>
          </w:p>
        </w:tc>
        <w:tc>
          <w:tcPr>
            <w:tcW w:w="1351" w:type="dxa"/>
            <w:gridSpan w:val="2"/>
            <w:tcBorders>
              <w:top w:val="single" w:sz="4" w:space="0" w:color="auto"/>
              <w:left w:val="nil"/>
              <w:bottom w:val="single" w:sz="8" w:space="0" w:color="auto"/>
              <w:right w:val="nil"/>
            </w:tcBorders>
            <w:shd w:val="clear" w:color="auto" w:fill="auto"/>
            <w:noWrap/>
            <w:vAlign w:val="bottom"/>
            <w:hideMark/>
          </w:tcPr>
          <w:p w14:paraId="047C1A23" w14:textId="77777777" w:rsidR="00FA18EA" w:rsidRPr="0091098D" w:rsidRDefault="00FA18EA" w:rsidP="00FA18EA">
            <w:pPr>
              <w:jc w:val="right"/>
              <w:outlineLvl w:val="0"/>
              <w:rPr>
                <w:rFonts w:eastAsia="Times New Roman" w:cstheme="minorHAnsi"/>
                <w:b/>
                <w:bCs/>
                <w:sz w:val="18"/>
                <w:szCs w:val="18"/>
                <w:lang w:eastAsia="en-GB"/>
              </w:rPr>
            </w:pPr>
            <w:r w:rsidRPr="000C5053">
              <w:rPr>
                <w:rFonts w:eastAsia="Times New Roman" w:cstheme="minorHAnsi"/>
                <w:b/>
                <w:bCs/>
                <w:sz w:val="18"/>
                <w:szCs w:val="18"/>
                <w:lang w:eastAsia="en-GB"/>
              </w:rPr>
              <w:t>173</w:t>
            </w:r>
          </w:p>
        </w:tc>
        <w:tc>
          <w:tcPr>
            <w:tcW w:w="1351" w:type="dxa"/>
            <w:gridSpan w:val="3"/>
            <w:tcBorders>
              <w:top w:val="single" w:sz="4" w:space="0" w:color="auto"/>
              <w:left w:val="nil"/>
              <w:bottom w:val="single" w:sz="8" w:space="0" w:color="auto"/>
              <w:right w:val="nil"/>
            </w:tcBorders>
            <w:shd w:val="clear" w:color="auto" w:fill="auto"/>
            <w:noWrap/>
            <w:vAlign w:val="bottom"/>
            <w:hideMark/>
          </w:tcPr>
          <w:p w14:paraId="28036517" w14:textId="77777777" w:rsidR="00FA18EA" w:rsidRPr="0075195E" w:rsidRDefault="00FA18EA" w:rsidP="00FA18EA">
            <w:pPr>
              <w:jc w:val="right"/>
              <w:outlineLvl w:val="0"/>
              <w:rPr>
                <w:rFonts w:eastAsia="Times New Roman" w:cstheme="minorHAnsi"/>
                <w:sz w:val="18"/>
                <w:szCs w:val="18"/>
                <w:lang w:eastAsia="en-GB"/>
              </w:rPr>
            </w:pPr>
            <w:r w:rsidRPr="0075195E">
              <w:rPr>
                <w:rFonts w:eastAsia="Times New Roman" w:cstheme="minorHAnsi"/>
                <w:sz w:val="18"/>
                <w:szCs w:val="18"/>
                <w:lang w:eastAsia="en-GB"/>
              </w:rPr>
              <w:t>148</w:t>
            </w:r>
          </w:p>
        </w:tc>
      </w:tr>
      <w:tr w:rsidR="00FA18EA" w:rsidRPr="007600A7" w14:paraId="552CD53F" w14:textId="77777777" w:rsidTr="00FA18EA">
        <w:trPr>
          <w:trHeight w:val="270"/>
        </w:trPr>
        <w:tc>
          <w:tcPr>
            <w:tcW w:w="6936" w:type="dxa"/>
            <w:gridSpan w:val="5"/>
            <w:tcBorders>
              <w:top w:val="single" w:sz="4" w:space="0" w:color="auto"/>
              <w:left w:val="nil"/>
              <w:bottom w:val="single" w:sz="8" w:space="0" w:color="auto"/>
              <w:right w:val="nil"/>
            </w:tcBorders>
            <w:shd w:val="clear" w:color="auto" w:fill="auto"/>
            <w:noWrap/>
            <w:vAlign w:val="bottom"/>
          </w:tcPr>
          <w:p w14:paraId="22525B09" w14:textId="77777777" w:rsidR="00FA18EA" w:rsidRPr="008B2DDA" w:rsidRDefault="00FA18EA" w:rsidP="00FA18EA">
            <w:pPr>
              <w:outlineLvl w:val="0"/>
              <w:rPr>
                <w:rFonts w:eastAsia="Times New Roman" w:cstheme="minorHAnsi"/>
                <w:sz w:val="18"/>
                <w:szCs w:val="18"/>
                <w:lang w:eastAsia="en-GB"/>
              </w:rPr>
            </w:pPr>
          </w:p>
        </w:tc>
        <w:tc>
          <w:tcPr>
            <w:tcW w:w="1351" w:type="dxa"/>
            <w:gridSpan w:val="2"/>
            <w:tcBorders>
              <w:top w:val="single" w:sz="4" w:space="0" w:color="auto"/>
              <w:left w:val="nil"/>
              <w:bottom w:val="single" w:sz="8" w:space="0" w:color="auto"/>
              <w:right w:val="nil"/>
            </w:tcBorders>
            <w:shd w:val="clear" w:color="auto" w:fill="auto"/>
            <w:noWrap/>
            <w:vAlign w:val="bottom"/>
          </w:tcPr>
          <w:p w14:paraId="4C7B3AFD" w14:textId="77777777" w:rsidR="00FA18EA" w:rsidRPr="000C5053" w:rsidRDefault="00FA18EA" w:rsidP="00FA18EA">
            <w:pPr>
              <w:jc w:val="right"/>
              <w:outlineLvl w:val="0"/>
              <w:rPr>
                <w:rFonts w:eastAsia="Times New Roman" w:cstheme="minorHAnsi"/>
                <w:b/>
                <w:bCs/>
                <w:sz w:val="18"/>
                <w:szCs w:val="18"/>
                <w:lang w:eastAsia="en-GB"/>
              </w:rPr>
            </w:pPr>
          </w:p>
        </w:tc>
        <w:tc>
          <w:tcPr>
            <w:tcW w:w="1351" w:type="dxa"/>
            <w:gridSpan w:val="3"/>
            <w:tcBorders>
              <w:top w:val="single" w:sz="4" w:space="0" w:color="auto"/>
              <w:left w:val="nil"/>
              <w:bottom w:val="single" w:sz="8" w:space="0" w:color="auto"/>
              <w:right w:val="nil"/>
            </w:tcBorders>
            <w:shd w:val="clear" w:color="auto" w:fill="auto"/>
            <w:noWrap/>
            <w:vAlign w:val="bottom"/>
          </w:tcPr>
          <w:p w14:paraId="2E92EA22" w14:textId="77777777" w:rsidR="00FA18EA" w:rsidRPr="0091098D" w:rsidRDefault="00FA18EA" w:rsidP="00FA18EA">
            <w:pPr>
              <w:jc w:val="right"/>
              <w:outlineLvl w:val="0"/>
              <w:rPr>
                <w:rFonts w:eastAsia="Times New Roman" w:cstheme="minorHAnsi"/>
                <w:sz w:val="18"/>
                <w:szCs w:val="18"/>
                <w:lang w:eastAsia="en-GB"/>
              </w:rPr>
            </w:pPr>
          </w:p>
        </w:tc>
      </w:tr>
      <w:tr w:rsidR="00FA18EA" w:rsidRPr="007600A7" w14:paraId="456BEE4E" w14:textId="77777777" w:rsidTr="00FA18EA">
        <w:trPr>
          <w:gridAfter w:val="1"/>
          <w:wAfter w:w="47" w:type="dxa"/>
          <w:trHeight w:val="330"/>
        </w:trPr>
        <w:tc>
          <w:tcPr>
            <w:tcW w:w="3291" w:type="dxa"/>
            <w:tcBorders>
              <w:top w:val="single" w:sz="4" w:space="0" w:color="auto"/>
              <w:left w:val="nil"/>
              <w:bottom w:val="nil"/>
              <w:right w:val="nil"/>
            </w:tcBorders>
            <w:shd w:val="clear" w:color="auto" w:fill="auto"/>
            <w:noWrap/>
            <w:vAlign w:val="bottom"/>
            <w:hideMark/>
          </w:tcPr>
          <w:p w14:paraId="33FDA2E3" w14:textId="77777777" w:rsidR="00FA18EA" w:rsidRPr="008B2DDA" w:rsidRDefault="00FA18EA" w:rsidP="00FA18EA">
            <w:pPr>
              <w:outlineLvl w:val="0"/>
              <w:rPr>
                <w:rFonts w:eastAsia="Times New Roman" w:cstheme="minorHAnsi"/>
                <w:sz w:val="16"/>
                <w:szCs w:val="16"/>
                <w:lang w:eastAsia="en-GB"/>
              </w:rPr>
            </w:pPr>
          </w:p>
        </w:tc>
        <w:tc>
          <w:tcPr>
            <w:tcW w:w="3146" w:type="dxa"/>
            <w:gridSpan w:val="3"/>
            <w:tcBorders>
              <w:top w:val="single" w:sz="4" w:space="0" w:color="auto"/>
              <w:left w:val="nil"/>
              <w:bottom w:val="single" w:sz="4" w:space="0" w:color="auto"/>
              <w:right w:val="nil"/>
            </w:tcBorders>
            <w:shd w:val="clear" w:color="auto" w:fill="auto"/>
            <w:noWrap/>
            <w:vAlign w:val="bottom"/>
            <w:hideMark/>
          </w:tcPr>
          <w:p w14:paraId="245E9F81" w14:textId="77777777" w:rsidR="00FA18EA" w:rsidRPr="0091098D" w:rsidRDefault="00FA18EA" w:rsidP="00FA18EA">
            <w:pPr>
              <w:jc w:val="center"/>
              <w:outlineLvl w:val="0"/>
              <w:rPr>
                <w:rFonts w:eastAsia="Times New Roman" w:cstheme="minorHAnsi"/>
                <w:b/>
                <w:bCs/>
                <w:sz w:val="16"/>
                <w:szCs w:val="16"/>
                <w:lang w:eastAsia="en-GB"/>
              </w:rPr>
            </w:pPr>
            <w:r w:rsidRPr="000C5053">
              <w:rPr>
                <w:rFonts w:eastAsia="Times New Roman" w:cstheme="minorHAnsi"/>
                <w:b/>
                <w:bCs/>
                <w:sz w:val="16"/>
                <w:szCs w:val="16"/>
                <w:lang w:eastAsia="en-GB"/>
              </w:rPr>
              <w:t xml:space="preserve"> Year ended 31 March 2022 </w:t>
            </w:r>
          </w:p>
        </w:tc>
        <w:tc>
          <w:tcPr>
            <w:tcW w:w="3154" w:type="dxa"/>
            <w:gridSpan w:val="5"/>
            <w:tcBorders>
              <w:top w:val="single" w:sz="4" w:space="0" w:color="auto"/>
              <w:left w:val="nil"/>
              <w:bottom w:val="single" w:sz="4" w:space="0" w:color="auto"/>
              <w:right w:val="nil"/>
            </w:tcBorders>
            <w:shd w:val="clear" w:color="auto" w:fill="auto"/>
            <w:noWrap/>
            <w:vAlign w:val="bottom"/>
            <w:hideMark/>
          </w:tcPr>
          <w:p w14:paraId="5D19E4D0" w14:textId="77777777" w:rsidR="00FA18EA" w:rsidRPr="0075195E" w:rsidRDefault="00FA18EA" w:rsidP="00FA18EA">
            <w:pPr>
              <w:jc w:val="center"/>
              <w:outlineLvl w:val="0"/>
              <w:rPr>
                <w:rFonts w:eastAsia="Times New Roman" w:cstheme="minorHAnsi"/>
                <w:sz w:val="16"/>
                <w:szCs w:val="16"/>
                <w:lang w:eastAsia="en-GB"/>
              </w:rPr>
            </w:pPr>
            <w:r w:rsidRPr="0075195E">
              <w:rPr>
                <w:rFonts w:eastAsia="Times New Roman" w:cstheme="minorHAnsi"/>
                <w:sz w:val="16"/>
                <w:szCs w:val="16"/>
                <w:lang w:eastAsia="en-GB"/>
              </w:rPr>
              <w:t xml:space="preserve"> Year ended 31 March 2021</w:t>
            </w:r>
          </w:p>
        </w:tc>
      </w:tr>
      <w:tr w:rsidR="00FA18EA" w:rsidRPr="007600A7" w14:paraId="1FA141B0" w14:textId="77777777" w:rsidTr="00FA18EA">
        <w:trPr>
          <w:gridAfter w:val="1"/>
          <w:wAfter w:w="47" w:type="dxa"/>
          <w:trHeight w:val="720"/>
        </w:trPr>
        <w:tc>
          <w:tcPr>
            <w:tcW w:w="3291" w:type="dxa"/>
            <w:tcBorders>
              <w:top w:val="nil"/>
              <w:left w:val="nil"/>
              <w:bottom w:val="nil"/>
              <w:right w:val="nil"/>
            </w:tcBorders>
            <w:shd w:val="clear" w:color="auto" w:fill="auto"/>
            <w:noWrap/>
            <w:vAlign w:val="bottom"/>
            <w:hideMark/>
          </w:tcPr>
          <w:p w14:paraId="58A21202" w14:textId="77777777" w:rsidR="00FA18EA" w:rsidRPr="008B2DDA" w:rsidRDefault="00FA18EA" w:rsidP="00FA18EA">
            <w:pPr>
              <w:outlineLvl w:val="0"/>
              <w:rPr>
                <w:rFonts w:eastAsia="Times New Roman" w:cstheme="minorHAnsi"/>
                <w:b/>
                <w:bCs/>
                <w:sz w:val="16"/>
                <w:szCs w:val="16"/>
                <w:lang w:eastAsia="en-GB"/>
              </w:rPr>
            </w:pPr>
          </w:p>
        </w:tc>
        <w:tc>
          <w:tcPr>
            <w:tcW w:w="1367" w:type="dxa"/>
            <w:tcBorders>
              <w:top w:val="nil"/>
              <w:left w:val="nil"/>
              <w:bottom w:val="nil"/>
              <w:right w:val="nil"/>
            </w:tcBorders>
            <w:shd w:val="clear" w:color="auto" w:fill="auto"/>
            <w:vAlign w:val="bottom"/>
            <w:hideMark/>
          </w:tcPr>
          <w:p w14:paraId="5C99B13D" w14:textId="77777777" w:rsidR="00FA18EA" w:rsidRPr="0091098D" w:rsidRDefault="00FA18EA" w:rsidP="00FA18EA">
            <w:pPr>
              <w:jc w:val="right"/>
              <w:outlineLvl w:val="0"/>
              <w:rPr>
                <w:rFonts w:eastAsia="Times New Roman" w:cstheme="minorHAnsi"/>
                <w:b/>
                <w:bCs/>
                <w:sz w:val="16"/>
                <w:szCs w:val="16"/>
                <w:lang w:eastAsia="en-GB"/>
              </w:rPr>
            </w:pPr>
            <w:r w:rsidRPr="000C5053">
              <w:rPr>
                <w:rFonts w:eastAsia="Times New Roman" w:cstheme="minorHAnsi"/>
                <w:b/>
                <w:bCs/>
                <w:sz w:val="16"/>
                <w:szCs w:val="16"/>
                <w:lang w:eastAsia="en-GB"/>
              </w:rPr>
              <w:t xml:space="preserve"> Emoluments </w:t>
            </w:r>
          </w:p>
        </w:tc>
        <w:tc>
          <w:tcPr>
            <w:tcW w:w="1035" w:type="dxa"/>
            <w:tcBorders>
              <w:top w:val="nil"/>
              <w:left w:val="nil"/>
              <w:bottom w:val="nil"/>
              <w:right w:val="nil"/>
            </w:tcBorders>
            <w:shd w:val="clear" w:color="auto" w:fill="auto"/>
            <w:vAlign w:val="bottom"/>
            <w:hideMark/>
          </w:tcPr>
          <w:p w14:paraId="0F315B30" w14:textId="77777777" w:rsidR="00FA18EA" w:rsidRPr="0075195E" w:rsidRDefault="00FA18EA" w:rsidP="00FA18EA">
            <w:pPr>
              <w:jc w:val="right"/>
              <w:outlineLvl w:val="0"/>
              <w:rPr>
                <w:rFonts w:eastAsia="Times New Roman" w:cstheme="minorHAnsi"/>
                <w:b/>
                <w:bCs/>
                <w:sz w:val="16"/>
                <w:szCs w:val="16"/>
                <w:lang w:eastAsia="en-GB"/>
              </w:rPr>
            </w:pPr>
            <w:r w:rsidRPr="0075195E">
              <w:rPr>
                <w:rFonts w:eastAsia="Times New Roman" w:cstheme="minorHAnsi"/>
                <w:b/>
                <w:bCs/>
                <w:sz w:val="16"/>
                <w:szCs w:val="16"/>
                <w:lang w:eastAsia="en-GB"/>
              </w:rPr>
              <w:t xml:space="preserve"> Social Security costs </w:t>
            </w:r>
          </w:p>
        </w:tc>
        <w:tc>
          <w:tcPr>
            <w:tcW w:w="744" w:type="dxa"/>
            <w:tcBorders>
              <w:top w:val="nil"/>
              <w:left w:val="nil"/>
              <w:bottom w:val="nil"/>
              <w:right w:val="nil"/>
            </w:tcBorders>
            <w:shd w:val="clear" w:color="auto" w:fill="auto"/>
            <w:vAlign w:val="bottom"/>
            <w:hideMark/>
          </w:tcPr>
          <w:p w14:paraId="7383F4BC" w14:textId="77777777" w:rsidR="00FA18EA" w:rsidRPr="00536A35" w:rsidRDefault="00FA18EA" w:rsidP="00FA18EA">
            <w:pPr>
              <w:jc w:val="right"/>
              <w:outlineLvl w:val="0"/>
              <w:rPr>
                <w:rFonts w:eastAsia="Times New Roman" w:cstheme="minorHAnsi"/>
                <w:b/>
                <w:bCs/>
                <w:sz w:val="16"/>
                <w:szCs w:val="16"/>
                <w:lang w:eastAsia="en-GB"/>
              </w:rPr>
            </w:pPr>
            <w:r w:rsidRPr="00536A35">
              <w:rPr>
                <w:rFonts w:eastAsia="Times New Roman" w:cstheme="minorHAnsi"/>
                <w:b/>
                <w:bCs/>
                <w:sz w:val="16"/>
                <w:szCs w:val="16"/>
                <w:lang w:eastAsia="en-GB"/>
              </w:rPr>
              <w:t xml:space="preserve"> Total </w:t>
            </w:r>
          </w:p>
        </w:tc>
        <w:tc>
          <w:tcPr>
            <w:tcW w:w="1353" w:type="dxa"/>
            <w:gridSpan w:val="2"/>
            <w:tcBorders>
              <w:top w:val="nil"/>
              <w:left w:val="nil"/>
              <w:bottom w:val="nil"/>
              <w:right w:val="nil"/>
            </w:tcBorders>
            <w:shd w:val="clear" w:color="auto" w:fill="auto"/>
            <w:vAlign w:val="bottom"/>
            <w:hideMark/>
          </w:tcPr>
          <w:p w14:paraId="2850C842" w14:textId="77777777" w:rsidR="00FA18EA" w:rsidRPr="00A02B31" w:rsidRDefault="00FA18EA" w:rsidP="00FA18EA">
            <w:pPr>
              <w:jc w:val="right"/>
              <w:outlineLvl w:val="0"/>
              <w:rPr>
                <w:rFonts w:eastAsia="Times New Roman" w:cstheme="minorHAnsi"/>
                <w:sz w:val="16"/>
                <w:szCs w:val="16"/>
                <w:lang w:eastAsia="en-GB"/>
              </w:rPr>
            </w:pPr>
            <w:r w:rsidRPr="00A02B31">
              <w:rPr>
                <w:rFonts w:eastAsia="Times New Roman" w:cstheme="minorHAnsi"/>
                <w:sz w:val="16"/>
                <w:szCs w:val="16"/>
                <w:lang w:eastAsia="en-GB"/>
              </w:rPr>
              <w:t xml:space="preserve"> Emoluments </w:t>
            </w:r>
          </w:p>
        </w:tc>
        <w:tc>
          <w:tcPr>
            <w:tcW w:w="943" w:type="dxa"/>
            <w:gridSpan w:val="2"/>
            <w:tcBorders>
              <w:top w:val="nil"/>
              <w:left w:val="nil"/>
              <w:bottom w:val="nil"/>
              <w:right w:val="nil"/>
            </w:tcBorders>
            <w:shd w:val="clear" w:color="auto" w:fill="auto"/>
            <w:vAlign w:val="bottom"/>
            <w:hideMark/>
          </w:tcPr>
          <w:p w14:paraId="3E1F5E79" w14:textId="77777777" w:rsidR="00FA18EA" w:rsidRPr="00A02B31" w:rsidRDefault="00FA18EA" w:rsidP="00FA18EA">
            <w:pPr>
              <w:jc w:val="right"/>
              <w:outlineLvl w:val="0"/>
              <w:rPr>
                <w:rFonts w:eastAsia="Times New Roman" w:cstheme="minorHAnsi"/>
                <w:sz w:val="16"/>
                <w:szCs w:val="16"/>
                <w:lang w:eastAsia="en-GB"/>
              </w:rPr>
            </w:pPr>
            <w:r w:rsidRPr="00A02B31">
              <w:rPr>
                <w:rFonts w:eastAsia="Times New Roman" w:cstheme="minorHAnsi"/>
                <w:sz w:val="16"/>
                <w:szCs w:val="16"/>
                <w:lang w:eastAsia="en-GB"/>
              </w:rPr>
              <w:t xml:space="preserve"> Social Security costs </w:t>
            </w:r>
          </w:p>
        </w:tc>
        <w:tc>
          <w:tcPr>
            <w:tcW w:w="858" w:type="dxa"/>
            <w:tcBorders>
              <w:top w:val="nil"/>
              <w:left w:val="nil"/>
              <w:bottom w:val="nil"/>
              <w:right w:val="nil"/>
            </w:tcBorders>
            <w:shd w:val="clear" w:color="auto" w:fill="auto"/>
            <w:vAlign w:val="bottom"/>
            <w:hideMark/>
          </w:tcPr>
          <w:p w14:paraId="54782145" w14:textId="77777777" w:rsidR="00FA18EA" w:rsidRPr="00A02B31" w:rsidRDefault="00FA18EA" w:rsidP="00FA18EA">
            <w:pPr>
              <w:jc w:val="right"/>
              <w:outlineLvl w:val="0"/>
              <w:rPr>
                <w:rFonts w:eastAsia="Times New Roman" w:cstheme="minorHAnsi"/>
                <w:sz w:val="16"/>
                <w:szCs w:val="16"/>
                <w:lang w:eastAsia="en-GB"/>
              </w:rPr>
            </w:pPr>
            <w:r w:rsidRPr="00A02B31">
              <w:rPr>
                <w:rFonts w:eastAsia="Times New Roman" w:cstheme="minorHAnsi"/>
                <w:sz w:val="16"/>
                <w:szCs w:val="16"/>
                <w:lang w:eastAsia="en-GB"/>
              </w:rPr>
              <w:t xml:space="preserve"> Total </w:t>
            </w:r>
          </w:p>
        </w:tc>
      </w:tr>
      <w:tr w:rsidR="00FA18EA" w:rsidRPr="007600A7" w14:paraId="01E5AE2A" w14:textId="77777777" w:rsidTr="00FA18EA">
        <w:trPr>
          <w:gridAfter w:val="1"/>
          <w:wAfter w:w="47" w:type="dxa"/>
          <w:trHeight w:val="222"/>
        </w:trPr>
        <w:tc>
          <w:tcPr>
            <w:tcW w:w="3291" w:type="dxa"/>
            <w:tcBorders>
              <w:top w:val="nil"/>
              <w:left w:val="nil"/>
              <w:bottom w:val="single" w:sz="4" w:space="0" w:color="auto"/>
              <w:right w:val="nil"/>
            </w:tcBorders>
            <w:shd w:val="clear" w:color="auto" w:fill="auto"/>
            <w:noWrap/>
            <w:vAlign w:val="bottom"/>
            <w:hideMark/>
          </w:tcPr>
          <w:p w14:paraId="0861CCD1" w14:textId="77777777" w:rsidR="00FA18EA" w:rsidRPr="008B2DDA" w:rsidRDefault="00FA18EA" w:rsidP="00FA18EA">
            <w:pPr>
              <w:outlineLvl w:val="0"/>
              <w:rPr>
                <w:rFonts w:eastAsia="Times New Roman" w:cstheme="minorHAnsi"/>
                <w:b/>
                <w:bCs/>
                <w:sz w:val="16"/>
                <w:szCs w:val="16"/>
                <w:lang w:eastAsia="en-GB"/>
              </w:rPr>
            </w:pPr>
            <w:r w:rsidRPr="008B2DDA">
              <w:rPr>
                <w:rFonts w:eastAsia="Times New Roman" w:cstheme="minorHAnsi"/>
                <w:b/>
                <w:bCs/>
                <w:sz w:val="16"/>
                <w:szCs w:val="16"/>
                <w:lang w:eastAsia="en-GB"/>
              </w:rPr>
              <w:t> </w:t>
            </w:r>
          </w:p>
        </w:tc>
        <w:tc>
          <w:tcPr>
            <w:tcW w:w="1367" w:type="dxa"/>
            <w:tcBorders>
              <w:top w:val="nil"/>
              <w:left w:val="nil"/>
              <w:bottom w:val="single" w:sz="4" w:space="0" w:color="auto"/>
              <w:right w:val="nil"/>
            </w:tcBorders>
            <w:shd w:val="clear" w:color="auto" w:fill="auto"/>
            <w:noWrap/>
            <w:vAlign w:val="bottom"/>
            <w:hideMark/>
          </w:tcPr>
          <w:p w14:paraId="2AFB132B" w14:textId="77777777" w:rsidR="00FA18EA" w:rsidRPr="0091098D" w:rsidRDefault="00FA18EA" w:rsidP="00FA18EA">
            <w:pPr>
              <w:jc w:val="right"/>
              <w:outlineLvl w:val="0"/>
              <w:rPr>
                <w:rFonts w:eastAsia="Times New Roman" w:cstheme="minorHAnsi"/>
                <w:b/>
                <w:bCs/>
                <w:sz w:val="16"/>
                <w:szCs w:val="16"/>
                <w:lang w:eastAsia="en-GB"/>
              </w:rPr>
            </w:pPr>
            <w:r w:rsidRPr="000C5053">
              <w:rPr>
                <w:rFonts w:eastAsia="Times New Roman" w:cstheme="minorHAnsi"/>
                <w:b/>
                <w:bCs/>
                <w:sz w:val="16"/>
                <w:szCs w:val="16"/>
                <w:lang w:eastAsia="en-GB"/>
              </w:rPr>
              <w:t xml:space="preserve"> £'000 </w:t>
            </w:r>
          </w:p>
        </w:tc>
        <w:tc>
          <w:tcPr>
            <w:tcW w:w="1035" w:type="dxa"/>
            <w:tcBorders>
              <w:top w:val="nil"/>
              <w:left w:val="nil"/>
              <w:bottom w:val="single" w:sz="4" w:space="0" w:color="auto"/>
              <w:right w:val="nil"/>
            </w:tcBorders>
            <w:shd w:val="clear" w:color="auto" w:fill="auto"/>
            <w:noWrap/>
            <w:vAlign w:val="bottom"/>
            <w:hideMark/>
          </w:tcPr>
          <w:p w14:paraId="7D1B16A9" w14:textId="77777777" w:rsidR="00FA18EA" w:rsidRPr="0075195E" w:rsidRDefault="00FA18EA" w:rsidP="00FA18EA">
            <w:pPr>
              <w:jc w:val="right"/>
              <w:outlineLvl w:val="0"/>
              <w:rPr>
                <w:rFonts w:eastAsia="Times New Roman" w:cstheme="minorHAnsi"/>
                <w:b/>
                <w:bCs/>
                <w:sz w:val="16"/>
                <w:szCs w:val="16"/>
                <w:lang w:eastAsia="en-GB"/>
              </w:rPr>
            </w:pPr>
            <w:r w:rsidRPr="0075195E">
              <w:rPr>
                <w:rFonts w:eastAsia="Times New Roman" w:cstheme="minorHAnsi"/>
                <w:b/>
                <w:bCs/>
                <w:sz w:val="16"/>
                <w:szCs w:val="16"/>
                <w:lang w:eastAsia="en-GB"/>
              </w:rPr>
              <w:t xml:space="preserve"> £'000 </w:t>
            </w:r>
          </w:p>
        </w:tc>
        <w:tc>
          <w:tcPr>
            <w:tcW w:w="744" w:type="dxa"/>
            <w:tcBorders>
              <w:top w:val="nil"/>
              <w:left w:val="nil"/>
              <w:bottom w:val="single" w:sz="4" w:space="0" w:color="auto"/>
              <w:right w:val="nil"/>
            </w:tcBorders>
            <w:shd w:val="clear" w:color="auto" w:fill="auto"/>
            <w:noWrap/>
            <w:vAlign w:val="bottom"/>
            <w:hideMark/>
          </w:tcPr>
          <w:p w14:paraId="13413A86" w14:textId="77777777" w:rsidR="00FA18EA" w:rsidRPr="00536A35" w:rsidRDefault="00FA18EA" w:rsidP="00FA18EA">
            <w:pPr>
              <w:jc w:val="right"/>
              <w:outlineLvl w:val="0"/>
              <w:rPr>
                <w:rFonts w:eastAsia="Times New Roman" w:cstheme="minorHAnsi"/>
                <w:b/>
                <w:bCs/>
                <w:sz w:val="16"/>
                <w:szCs w:val="16"/>
                <w:lang w:eastAsia="en-GB"/>
              </w:rPr>
            </w:pPr>
            <w:r w:rsidRPr="00536A35">
              <w:rPr>
                <w:rFonts w:eastAsia="Times New Roman" w:cstheme="minorHAnsi"/>
                <w:b/>
                <w:bCs/>
                <w:sz w:val="16"/>
                <w:szCs w:val="16"/>
                <w:lang w:eastAsia="en-GB"/>
              </w:rPr>
              <w:t xml:space="preserve"> £'000 </w:t>
            </w:r>
          </w:p>
        </w:tc>
        <w:tc>
          <w:tcPr>
            <w:tcW w:w="1353" w:type="dxa"/>
            <w:gridSpan w:val="2"/>
            <w:tcBorders>
              <w:top w:val="nil"/>
              <w:left w:val="nil"/>
              <w:bottom w:val="single" w:sz="4" w:space="0" w:color="auto"/>
              <w:right w:val="nil"/>
            </w:tcBorders>
            <w:shd w:val="clear" w:color="auto" w:fill="auto"/>
            <w:noWrap/>
            <w:vAlign w:val="bottom"/>
            <w:hideMark/>
          </w:tcPr>
          <w:p w14:paraId="486ED429" w14:textId="77777777" w:rsidR="00FA18EA" w:rsidRPr="00A02B31" w:rsidRDefault="00FA18EA" w:rsidP="00FA18EA">
            <w:pPr>
              <w:jc w:val="right"/>
              <w:outlineLvl w:val="0"/>
              <w:rPr>
                <w:rFonts w:eastAsia="Times New Roman" w:cstheme="minorHAnsi"/>
                <w:sz w:val="16"/>
                <w:szCs w:val="16"/>
                <w:lang w:eastAsia="en-GB"/>
              </w:rPr>
            </w:pPr>
            <w:r w:rsidRPr="00A02B31">
              <w:rPr>
                <w:rFonts w:eastAsia="Times New Roman" w:cstheme="minorHAnsi"/>
                <w:sz w:val="16"/>
                <w:szCs w:val="16"/>
                <w:lang w:eastAsia="en-GB"/>
              </w:rPr>
              <w:t xml:space="preserve"> £'000 </w:t>
            </w:r>
          </w:p>
        </w:tc>
        <w:tc>
          <w:tcPr>
            <w:tcW w:w="943" w:type="dxa"/>
            <w:gridSpan w:val="2"/>
            <w:tcBorders>
              <w:top w:val="nil"/>
              <w:left w:val="nil"/>
              <w:bottom w:val="single" w:sz="4" w:space="0" w:color="auto"/>
              <w:right w:val="nil"/>
            </w:tcBorders>
            <w:shd w:val="clear" w:color="auto" w:fill="auto"/>
            <w:noWrap/>
            <w:vAlign w:val="bottom"/>
            <w:hideMark/>
          </w:tcPr>
          <w:p w14:paraId="5ECE0C8C" w14:textId="77777777" w:rsidR="00FA18EA" w:rsidRPr="00A02B31" w:rsidRDefault="00FA18EA" w:rsidP="00FA18EA">
            <w:pPr>
              <w:jc w:val="right"/>
              <w:outlineLvl w:val="0"/>
              <w:rPr>
                <w:rFonts w:eastAsia="Times New Roman" w:cstheme="minorHAnsi"/>
                <w:sz w:val="16"/>
                <w:szCs w:val="16"/>
                <w:lang w:eastAsia="en-GB"/>
              </w:rPr>
            </w:pPr>
            <w:r w:rsidRPr="00A02B31">
              <w:rPr>
                <w:rFonts w:eastAsia="Times New Roman" w:cstheme="minorHAnsi"/>
                <w:sz w:val="16"/>
                <w:szCs w:val="16"/>
                <w:lang w:eastAsia="en-GB"/>
              </w:rPr>
              <w:t xml:space="preserve"> £'000 </w:t>
            </w:r>
          </w:p>
        </w:tc>
        <w:tc>
          <w:tcPr>
            <w:tcW w:w="858" w:type="dxa"/>
            <w:tcBorders>
              <w:top w:val="nil"/>
              <w:left w:val="nil"/>
              <w:bottom w:val="single" w:sz="4" w:space="0" w:color="auto"/>
              <w:right w:val="nil"/>
            </w:tcBorders>
            <w:shd w:val="clear" w:color="auto" w:fill="auto"/>
            <w:noWrap/>
            <w:vAlign w:val="bottom"/>
            <w:hideMark/>
          </w:tcPr>
          <w:p w14:paraId="21C44707" w14:textId="77777777" w:rsidR="00FA18EA" w:rsidRPr="00A02B31" w:rsidRDefault="00FA18EA" w:rsidP="00FA18EA">
            <w:pPr>
              <w:jc w:val="right"/>
              <w:outlineLvl w:val="0"/>
              <w:rPr>
                <w:rFonts w:eastAsia="Times New Roman" w:cstheme="minorHAnsi"/>
                <w:sz w:val="16"/>
                <w:szCs w:val="16"/>
                <w:lang w:eastAsia="en-GB"/>
              </w:rPr>
            </w:pPr>
            <w:r w:rsidRPr="00A02B31">
              <w:rPr>
                <w:rFonts w:eastAsia="Times New Roman" w:cstheme="minorHAnsi"/>
                <w:sz w:val="16"/>
                <w:szCs w:val="16"/>
                <w:lang w:eastAsia="en-GB"/>
              </w:rPr>
              <w:t xml:space="preserve"> £'000 </w:t>
            </w:r>
          </w:p>
        </w:tc>
      </w:tr>
      <w:tr w:rsidR="00FA18EA" w:rsidRPr="007600A7" w14:paraId="3143A608" w14:textId="77777777" w:rsidTr="00FA18EA">
        <w:trPr>
          <w:gridAfter w:val="1"/>
          <w:wAfter w:w="47" w:type="dxa"/>
          <w:trHeight w:val="255"/>
        </w:trPr>
        <w:tc>
          <w:tcPr>
            <w:tcW w:w="3291" w:type="dxa"/>
            <w:tcBorders>
              <w:top w:val="nil"/>
              <w:left w:val="nil"/>
              <w:bottom w:val="nil"/>
              <w:right w:val="nil"/>
            </w:tcBorders>
            <w:shd w:val="clear" w:color="auto" w:fill="auto"/>
            <w:noWrap/>
            <w:vAlign w:val="bottom"/>
            <w:hideMark/>
          </w:tcPr>
          <w:p w14:paraId="635733D5" w14:textId="77777777" w:rsidR="00FA18EA" w:rsidRPr="008B2DDA" w:rsidRDefault="00FA18EA" w:rsidP="00FA18EA">
            <w:pPr>
              <w:outlineLvl w:val="0"/>
              <w:rPr>
                <w:rFonts w:eastAsia="Times New Roman" w:cstheme="minorHAnsi"/>
                <w:b/>
                <w:bCs/>
                <w:sz w:val="18"/>
                <w:szCs w:val="18"/>
                <w:lang w:eastAsia="en-GB"/>
              </w:rPr>
            </w:pPr>
            <w:r w:rsidRPr="008B2DDA">
              <w:rPr>
                <w:rFonts w:eastAsia="Times New Roman" w:cstheme="minorHAnsi"/>
                <w:b/>
                <w:bCs/>
                <w:sz w:val="18"/>
                <w:szCs w:val="18"/>
                <w:lang w:eastAsia="en-GB"/>
              </w:rPr>
              <w:t>Analysis of Directors' remuneration</w:t>
            </w:r>
          </w:p>
        </w:tc>
        <w:tc>
          <w:tcPr>
            <w:tcW w:w="1367" w:type="dxa"/>
            <w:tcBorders>
              <w:top w:val="nil"/>
              <w:left w:val="nil"/>
              <w:bottom w:val="nil"/>
              <w:right w:val="nil"/>
            </w:tcBorders>
            <w:shd w:val="clear" w:color="auto" w:fill="auto"/>
            <w:noWrap/>
            <w:vAlign w:val="bottom"/>
            <w:hideMark/>
          </w:tcPr>
          <w:p w14:paraId="236C6386" w14:textId="77777777" w:rsidR="00FA18EA" w:rsidRPr="000C5053" w:rsidRDefault="00FA18EA" w:rsidP="00FA18EA">
            <w:pPr>
              <w:jc w:val="right"/>
              <w:outlineLvl w:val="0"/>
              <w:rPr>
                <w:rFonts w:eastAsia="Times New Roman" w:cstheme="minorHAnsi"/>
                <w:b/>
                <w:bCs/>
                <w:sz w:val="18"/>
                <w:szCs w:val="18"/>
                <w:lang w:eastAsia="en-GB"/>
              </w:rPr>
            </w:pPr>
          </w:p>
        </w:tc>
        <w:tc>
          <w:tcPr>
            <w:tcW w:w="1035" w:type="dxa"/>
            <w:tcBorders>
              <w:top w:val="nil"/>
              <w:left w:val="nil"/>
              <w:bottom w:val="nil"/>
              <w:right w:val="nil"/>
            </w:tcBorders>
            <w:shd w:val="clear" w:color="auto" w:fill="auto"/>
            <w:noWrap/>
            <w:vAlign w:val="bottom"/>
            <w:hideMark/>
          </w:tcPr>
          <w:p w14:paraId="1032E0CD" w14:textId="77777777" w:rsidR="00FA18EA" w:rsidRPr="0091098D" w:rsidRDefault="00FA18EA" w:rsidP="00FA18EA">
            <w:pPr>
              <w:jc w:val="right"/>
              <w:outlineLvl w:val="0"/>
              <w:rPr>
                <w:rFonts w:eastAsia="Times New Roman" w:cstheme="minorHAnsi"/>
                <w:b/>
                <w:bCs/>
                <w:sz w:val="18"/>
                <w:szCs w:val="18"/>
                <w:lang w:eastAsia="en-GB"/>
              </w:rPr>
            </w:pPr>
          </w:p>
        </w:tc>
        <w:tc>
          <w:tcPr>
            <w:tcW w:w="744" w:type="dxa"/>
            <w:tcBorders>
              <w:top w:val="nil"/>
              <w:left w:val="nil"/>
              <w:bottom w:val="nil"/>
              <w:right w:val="nil"/>
            </w:tcBorders>
            <w:shd w:val="clear" w:color="auto" w:fill="auto"/>
            <w:noWrap/>
            <w:vAlign w:val="bottom"/>
            <w:hideMark/>
          </w:tcPr>
          <w:p w14:paraId="0AE6D924" w14:textId="77777777" w:rsidR="00FA18EA" w:rsidRPr="0075195E" w:rsidRDefault="00FA18EA" w:rsidP="00FA18EA">
            <w:pPr>
              <w:jc w:val="right"/>
              <w:outlineLvl w:val="0"/>
              <w:rPr>
                <w:rFonts w:eastAsia="Times New Roman" w:cstheme="minorHAnsi"/>
                <w:b/>
                <w:bCs/>
                <w:sz w:val="18"/>
                <w:szCs w:val="18"/>
                <w:lang w:eastAsia="en-GB"/>
              </w:rPr>
            </w:pPr>
          </w:p>
        </w:tc>
        <w:tc>
          <w:tcPr>
            <w:tcW w:w="1353" w:type="dxa"/>
            <w:gridSpan w:val="2"/>
            <w:tcBorders>
              <w:top w:val="nil"/>
              <w:left w:val="nil"/>
              <w:bottom w:val="nil"/>
              <w:right w:val="nil"/>
            </w:tcBorders>
            <w:shd w:val="clear" w:color="auto" w:fill="auto"/>
            <w:noWrap/>
            <w:vAlign w:val="bottom"/>
            <w:hideMark/>
          </w:tcPr>
          <w:p w14:paraId="5524E430" w14:textId="77777777" w:rsidR="00FA18EA" w:rsidRPr="00536A35" w:rsidRDefault="00FA18EA" w:rsidP="00FA18EA">
            <w:pPr>
              <w:jc w:val="right"/>
              <w:outlineLvl w:val="0"/>
              <w:rPr>
                <w:rFonts w:eastAsia="Times New Roman" w:cstheme="minorHAnsi"/>
                <w:b/>
                <w:bCs/>
                <w:sz w:val="18"/>
                <w:szCs w:val="18"/>
                <w:lang w:eastAsia="en-GB"/>
              </w:rPr>
            </w:pPr>
          </w:p>
        </w:tc>
        <w:tc>
          <w:tcPr>
            <w:tcW w:w="943" w:type="dxa"/>
            <w:gridSpan w:val="2"/>
            <w:tcBorders>
              <w:top w:val="nil"/>
              <w:left w:val="nil"/>
              <w:bottom w:val="nil"/>
              <w:right w:val="nil"/>
            </w:tcBorders>
            <w:shd w:val="clear" w:color="auto" w:fill="auto"/>
            <w:noWrap/>
            <w:vAlign w:val="bottom"/>
            <w:hideMark/>
          </w:tcPr>
          <w:p w14:paraId="0352E26D" w14:textId="77777777" w:rsidR="00FA18EA" w:rsidRPr="00A02B31" w:rsidRDefault="00FA18EA" w:rsidP="00FA18EA">
            <w:pPr>
              <w:jc w:val="right"/>
              <w:outlineLvl w:val="0"/>
              <w:rPr>
                <w:rFonts w:eastAsia="Times New Roman" w:cstheme="minorHAnsi"/>
                <w:b/>
                <w:bCs/>
                <w:sz w:val="18"/>
                <w:szCs w:val="18"/>
                <w:lang w:eastAsia="en-GB"/>
              </w:rPr>
            </w:pPr>
          </w:p>
        </w:tc>
        <w:tc>
          <w:tcPr>
            <w:tcW w:w="858" w:type="dxa"/>
            <w:tcBorders>
              <w:top w:val="nil"/>
              <w:left w:val="nil"/>
              <w:bottom w:val="nil"/>
              <w:right w:val="nil"/>
            </w:tcBorders>
            <w:shd w:val="clear" w:color="auto" w:fill="auto"/>
            <w:noWrap/>
            <w:vAlign w:val="bottom"/>
            <w:hideMark/>
          </w:tcPr>
          <w:p w14:paraId="1DC53309" w14:textId="77777777" w:rsidR="00FA18EA" w:rsidRPr="00A02B31" w:rsidRDefault="00FA18EA" w:rsidP="00FA18EA">
            <w:pPr>
              <w:jc w:val="right"/>
              <w:outlineLvl w:val="0"/>
              <w:rPr>
                <w:rFonts w:eastAsia="Times New Roman" w:cstheme="minorHAnsi"/>
                <w:b/>
                <w:bCs/>
                <w:sz w:val="18"/>
                <w:szCs w:val="18"/>
                <w:lang w:eastAsia="en-GB"/>
              </w:rPr>
            </w:pPr>
          </w:p>
        </w:tc>
      </w:tr>
      <w:tr w:rsidR="00FA18EA" w:rsidRPr="007600A7" w14:paraId="2F95F4D9" w14:textId="77777777" w:rsidTr="00FA18EA">
        <w:trPr>
          <w:gridAfter w:val="1"/>
          <w:wAfter w:w="47" w:type="dxa"/>
          <w:trHeight w:val="255"/>
        </w:trPr>
        <w:tc>
          <w:tcPr>
            <w:tcW w:w="3291" w:type="dxa"/>
            <w:tcBorders>
              <w:top w:val="nil"/>
              <w:left w:val="nil"/>
              <w:bottom w:val="nil"/>
              <w:right w:val="nil"/>
            </w:tcBorders>
            <w:shd w:val="clear" w:color="auto" w:fill="auto"/>
            <w:noWrap/>
            <w:vAlign w:val="bottom"/>
            <w:hideMark/>
          </w:tcPr>
          <w:p w14:paraId="0B454F82" w14:textId="77777777" w:rsidR="00FA18EA" w:rsidRPr="008B2DDA" w:rsidRDefault="00FA18EA" w:rsidP="00FA18EA">
            <w:pPr>
              <w:outlineLvl w:val="0"/>
              <w:rPr>
                <w:rFonts w:eastAsia="Times New Roman" w:cstheme="minorHAnsi"/>
                <w:sz w:val="18"/>
                <w:szCs w:val="18"/>
                <w:lang w:eastAsia="en-GB"/>
              </w:rPr>
            </w:pPr>
            <w:r w:rsidRPr="008B2DDA">
              <w:rPr>
                <w:rFonts w:eastAsia="Times New Roman" w:cstheme="minorHAnsi"/>
                <w:sz w:val="18"/>
                <w:szCs w:val="18"/>
                <w:lang w:eastAsia="en-GB"/>
              </w:rPr>
              <w:t>C Berry (Resigned on 22 November 2021)</w:t>
            </w:r>
          </w:p>
        </w:tc>
        <w:tc>
          <w:tcPr>
            <w:tcW w:w="1367" w:type="dxa"/>
            <w:tcBorders>
              <w:top w:val="nil"/>
              <w:left w:val="nil"/>
              <w:bottom w:val="nil"/>
              <w:right w:val="nil"/>
            </w:tcBorders>
            <w:shd w:val="clear" w:color="auto" w:fill="auto"/>
            <w:noWrap/>
            <w:vAlign w:val="bottom"/>
            <w:hideMark/>
          </w:tcPr>
          <w:p w14:paraId="7D07F674" w14:textId="77777777" w:rsidR="00FA18EA" w:rsidRPr="0091098D" w:rsidRDefault="00FA18EA" w:rsidP="00FA18EA">
            <w:pPr>
              <w:jc w:val="right"/>
              <w:outlineLvl w:val="0"/>
              <w:rPr>
                <w:rFonts w:eastAsia="Times New Roman" w:cstheme="minorHAnsi"/>
                <w:b/>
                <w:bCs/>
                <w:color w:val="000000"/>
                <w:sz w:val="18"/>
                <w:szCs w:val="18"/>
                <w:lang w:eastAsia="en-GB"/>
              </w:rPr>
            </w:pPr>
            <w:r w:rsidRPr="000C5053">
              <w:rPr>
                <w:rFonts w:eastAsia="Times New Roman" w:cstheme="minorHAnsi"/>
                <w:b/>
                <w:bCs/>
                <w:sz w:val="18"/>
                <w:szCs w:val="18"/>
                <w:lang w:eastAsia="en-GB"/>
              </w:rPr>
              <w:t>25.9</w:t>
            </w:r>
          </w:p>
        </w:tc>
        <w:tc>
          <w:tcPr>
            <w:tcW w:w="1035" w:type="dxa"/>
            <w:tcBorders>
              <w:top w:val="nil"/>
              <w:left w:val="nil"/>
              <w:bottom w:val="nil"/>
              <w:right w:val="nil"/>
            </w:tcBorders>
            <w:shd w:val="clear" w:color="auto" w:fill="auto"/>
            <w:noWrap/>
            <w:vAlign w:val="bottom"/>
            <w:hideMark/>
          </w:tcPr>
          <w:p w14:paraId="3586C43D" w14:textId="77777777" w:rsidR="00FA18EA" w:rsidRPr="0075195E" w:rsidRDefault="00FA18EA" w:rsidP="00FA18EA">
            <w:pPr>
              <w:jc w:val="right"/>
              <w:outlineLvl w:val="0"/>
              <w:rPr>
                <w:rFonts w:eastAsia="Times New Roman" w:cstheme="minorHAnsi"/>
                <w:b/>
                <w:bCs/>
                <w:sz w:val="18"/>
                <w:szCs w:val="18"/>
                <w:lang w:eastAsia="en-GB"/>
              </w:rPr>
            </w:pPr>
            <w:r w:rsidRPr="0075195E">
              <w:rPr>
                <w:rFonts w:eastAsia="Times New Roman" w:cstheme="minorHAnsi"/>
                <w:b/>
                <w:bCs/>
                <w:sz w:val="18"/>
                <w:szCs w:val="18"/>
                <w:lang w:eastAsia="en-GB"/>
              </w:rPr>
              <w:t>-</w:t>
            </w:r>
          </w:p>
        </w:tc>
        <w:tc>
          <w:tcPr>
            <w:tcW w:w="744" w:type="dxa"/>
            <w:tcBorders>
              <w:top w:val="nil"/>
              <w:left w:val="nil"/>
              <w:bottom w:val="nil"/>
              <w:right w:val="nil"/>
            </w:tcBorders>
            <w:shd w:val="clear" w:color="auto" w:fill="auto"/>
            <w:noWrap/>
            <w:vAlign w:val="bottom"/>
            <w:hideMark/>
          </w:tcPr>
          <w:p w14:paraId="0E233AFE" w14:textId="77777777" w:rsidR="00FA18EA" w:rsidRPr="00536A35" w:rsidRDefault="00FA18EA" w:rsidP="00FA18EA">
            <w:pPr>
              <w:jc w:val="right"/>
              <w:outlineLvl w:val="0"/>
              <w:rPr>
                <w:rFonts w:eastAsia="Times New Roman" w:cstheme="minorHAnsi"/>
                <w:b/>
                <w:bCs/>
                <w:sz w:val="18"/>
                <w:szCs w:val="18"/>
                <w:lang w:eastAsia="en-GB"/>
              </w:rPr>
            </w:pPr>
            <w:r w:rsidRPr="00536A35">
              <w:rPr>
                <w:rFonts w:eastAsia="Times New Roman" w:cstheme="minorHAnsi"/>
                <w:b/>
                <w:bCs/>
                <w:sz w:val="18"/>
                <w:szCs w:val="18"/>
                <w:lang w:eastAsia="en-GB"/>
              </w:rPr>
              <w:t>25.9</w:t>
            </w:r>
          </w:p>
        </w:tc>
        <w:tc>
          <w:tcPr>
            <w:tcW w:w="1353" w:type="dxa"/>
            <w:gridSpan w:val="2"/>
            <w:tcBorders>
              <w:top w:val="nil"/>
              <w:left w:val="nil"/>
              <w:bottom w:val="nil"/>
              <w:right w:val="nil"/>
            </w:tcBorders>
            <w:shd w:val="clear" w:color="auto" w:fill="auto"/>
            <w:noWrap/>
            <w:vAlign w:val="bottom"/>
            <w:hideMark/>
          </w:tcPr>
          <w:p w14:paraId="789AEC26" w14:textId="77777777" w:rsidR="00FA18EA" w:rsidRPr="00A02B31" w:rsidRDefault="00FA18EA" w:rsidP="00FA18EA">
            <w:pPr>
              <w:jc w:val="right"/>
              <w:outlineLvl w:val="0"/>
              <w:rPr>
                <w:rFonts w:eastAsia="Times New Roman" w:cstheme="minorHAnsi"/>
                <w:color w:val="000000"/>
                <w:sz w:val="18"/>
                <w:szCs w:val="18"/>
                <w:lang w:eastAsia="en-GB"/>
              </w:rPr>
            </w:pPr>
            <w:r w:rsidRPr="00A02B31">
              <w:rPr>
                <w:rFonts w:eastAsia="Times New Roman" w:cstheme="minorHAnsi"/>
                <w:color w:val="000000"/>
                <w:sz w:val="18"/>
                <w:szCs w:val="18"/>
                <w:lang w:eastAsia="en-GB"/>
              </w:rPr>
              <w:t>27.5</w:t>
            </w:r>
          </w:p>
        </w:tc>
        <w:tc>
          <w:tcPr>
            <w:tcW w:w="943" w:type="dxa"/>
            <w:gridSpan w:val="2"/>
            <w:tcBorders>
              <w:top w:val="nil"/>
              <w:left w:val="nil"/>
              <w:bottom w:val="nil"/>
              <w:right w:val="nil"/>
            </w:tcBorders>
            <w:shd w:val="clear" w:color="auto" w:fill="auto"/>
            <w:noWrap/>
            <w:vAlign w:val="bottom"/>
            <w:hideMark/>
          </w:tcPr>
          <w:p w14:paraId="6A6271C0" w14:textId="77777777" w:rsidR="00FA18EA" w:rsidRPr="00A02B31" w:rsidRDefault="00FA18EA" w:rsidP="00FA18EA">
            <w:pPr>
              <w:jc w:val="right"/>
              <w:outlineLvl w:val="0"/>
              <w:rPr>
                <w:rFonts w:eastAsia="Times New Roman" w:cstheme="minorHAnsi"/>
                <w:sz w:val="18"/>
                <w:szCs w:val="18"/>
                <w:lang w:eastAsia="en-GB"/>
              </w:rPr>
            </w:pPr>
            <w:r w:rsidRPr="00A02B31">
              <w:rPr>
                <w:rFonts w:eastAsia="Times New Roman" w:cstheme="minorHAnsi"/>
                <w:sz w:val="18"/>
                <w:szCs w:val="18"/>
                <w:lang w:eastAsia="en-GB"/>
              </w:rPr>
              <w:t>-</w:t>
            </w:r>
          </w:p>
        </w:tc>
        <w:tc>
          <w:tcPr>
            <w:tcW w:w="858" w:type="dxa"/>
            <w:tcBorders>
              <w:top w:val="nil"/>
              <w:left w:val="nil"/>
              <w:bottom w:val="nil"/>
              <w:right w:val="nil"/>
            </w:tcBorders>
            <w:shd w:val="clear" w:color="auto" w:fill="auto"/>
            <w:noWrap/>
            <w:vAlign w:val="bottom"/>
            <w:hideMark/>
          </w:tcPr>
          <w:p w14:paraId="5DB2CE01" w14:textId="77777777" w:rsidR="00FA18EA" w:rsidRPr="00A02B31" w:rsidRDefault="00FA18EA" w:rsidP="00FA18EA">
            <w:pPr>
              <w:jc w:val="right"/>
              <w:outlineLvl w:val="0"/>
              <w:rPr>
                <w:rFonts w:eastAsia="Times New Roman" w:cstheme="minorHAnsi"/>
                <w:sz w:val="18"/>
                <w:szCs w:val="18"/>
                <w:lang w:eastAsia="en-GB"/>
              </w:rPr>
            </w:pPr>
            <w:r w:rsidRPr="00A02B31">
              <w:rPr>
                <w:rFonts w:eastAsia="Times New Roman" w:cstheme="minorHAnsi"/>
                <w:sz w:val="18"/>
                <w:szCs w:val="18"/>
                <w:lang w:eastAsia="en-GB"/>
              </w:rPr>
              <w:t>27.5</w:t>
            </w:r>
          </w:p>
        </w:tc>
      </w:tr>
      <w:tr w:rsidR="00FA18EA" w:rsidRPr="007600A7" w14:paraId="78873E41" w14:textId="77777777" w:rsidTr="00FA18EA">
        <w:trPr>
          <w:gridAfter w:val="1"/>
          <w:wAfter w:w="47" w:type="dxa"/>
          <w:trHeight w:val="255"/>
        </w:trPr>
        <w:tc>
          <w:tcPr>
            <w:tcW w:w="3291" w:type="dxa"/>
            <w:tcBorders>
              <w:top w:val="nil"/>
              <w:left w:val="nil"/>
              <w:bottom w:val="nil"/>
              <w:right w:val="nil"/>
            </w:tcBorders>
            <w:shd w:val="clear" w:color="auto" w:fill="auto"/>
            <w:noWrap/>
            <w:vAlign w:val="bottom"/>
            <w:hideMark/>
          </w:tcPr>
          <w:p w14:paraId="26DF05AC" w14:textId="77777777" w:rsidR="00FA18EA" w:rsidRPr="008B2DDA" w:rsidRDefault="00FA18EA" w:rsidP="00FA18EA">
            <w:pPr>
              <w:outlineLvl w:val="0"/>
              <w:rPr>
                <w:rFonts w:eastAsia="Times New Roman" w:cstheme="minorHAnsi"/>
                <w:sz w:val="18"/>
                <w:szCs w:val="18"/>
                <w:lang w:eastAsia="en-GB"/>
              </w:rPr>
            </w:pPr>
            <w:r w:rsidRPr="008B2DDA">
              <w:rPr>
                <w:rFonts w:eastAsia="Times New Roman" w:cstheme="minorHAnsi"/>
                <w:sz w:val="18"/>
                <w:szCs w:val="18"/>
                <w:lang w:eastAsia="en-GB"/>
              </w:rPr>
              <w:t>D Potter (Resigned on 11 June 2021)</w:t>
            </w:r>
          </w:p>
        </w:tc>
        <w:tc>
          <w:tcPr>
            <w:tcW w:w="1367" w:type="dxa"/>
            <w:tcBorders>
              <w:top w:val="nil"/>
              <w:left w:val="nil"/>
              <w:bottom w:val="nil"/>
              <w:right w:val="nil"/>
            </w:tcBorders>
            <w:shd w:val="clear" w:color="auto" w:fill="auto"/>
            <w:noWrap/>
            <w:vAlign w:val="bottom"/>
            <w:hideMark/>
          </w:tcPr>
          <w:p w14:paraId="54E94CFB" w14:textId="77777777" w:rsidR="00FA18EA" w:rsidRPr="0091098D" w:rsidRDefault="00FA18EA" w:rsidP="00FA18EA">
            <w:pPr>
              <w:jc w:val="right"/>
              <w:outlineLvl w:val="0"/>
              <w:rPr>
                <w:rFonts w:eastAsia="Times New Roman" w:cstheme="minorHAnsi"/>
                <w:b/>
                <w:bCs/>
                <w:color w:val="000000"/>
                <w:sz w:val="18"/>
                <w:szCs w:val="18"/>
                <w:lang w:eastAsia="en-GB"/>
              </w:rPr>
            </w:pPr>
            <w:r w:rsidRPr="000C5053">
              <w:rPr>
                <w:rFonts w:eastAsia="Times New Roman" w:cstheme="minorHAnsi"/>
                <w:b/>
                <w:bCs/>
                <w:sz w:val="18"/>
                <w:szCs w:val="18"/>
                <w:lang w:eastAsia="en-GB"/>
              </w:rPr>
              <w:t>24.4</w:t>
            </w:r>
          </w:p>
        </w:tc>
        <w:tc>
          <w:tcPr>
            <w:tcW w:w="1035" w:type="dxa"/>
            <w:tcBorders>
              <w:top w:val="nil"/>
              <w:left w:val="nil"/>
              <w:bottom w:val="nil"/>
              <w:right w:val="nil"/>
            </w:tcBorders>
            <w:shd w:val="clear" w:color="auto" w:fill="auto"/>
            <w:noWrap/>
            <w:vAlign w:val="bottom"/>
            <w:hideMark/>
          </w:tcPr>
          <w:p w14:paraId="153B2D8D" w14:textId="77777777" w:rsidR="00FA18EA" w:rsidRPr="0075195E" w:rsidRDefault="00FA18EA" w:rsidP="00FA18EA">
            <w:pPr>
              <w:jc w:val="right"/>
              <w:outlineLvl w:val="0"/>
              <w:rPr>
                <w:rFonts w:eastAsia="Times New Roman" w:cstheme="minorHAnsi"/>
                <w:b/>
                <w:bCs/>
                <w:sz w:val="18"/>
                <w:szCs w:val="18"/>
                <w:lang w:eastAsia="en-GB"/>
              </w:rPr>
            </w:pPr>
            <w:r w:rsidRPr="0075195E">
              <w:rPr>
                <w:rFonts w:eastAsia="Times New Roman" w:cstheme="minorHAnsi"/>
                <w:b/>
                <w:bCs/>
                <w:sz w:val="18"/>
                <w:szCs w:val="18"/>
                <w:lang w:eastAsia="en-GB"/>
              </w:rPr>
              <w:t>-</w:t>
            </w:r>
          </w:p>
        </w:tc>
        <w:tc>
          <w:tcPr>
            <w:tcW w:w="744" w:type="dxa"/>
            <w:tcBorders>
              <w:top w:val="nil"/>
              <w:left w:val="nil"/>
              <w:bottom w:val="nil"/>
              <w:right w:val="nil"/>
            </w:tcBorders>
            <w:shd w:val="clear" w:color="auto" w:fill="auto"/>
            <w:noWrap/>
            <w:vAlign w:val="bottom"/>
            <w:hideMark/>
          </w:tcPr>
          <w:p w14:paraId="1A4F3113" w14:textId="77777777" w:rsidR="00FA18EA" w:rsidRPr="00536A35" w:rsidRDefault="00FA18EA" w:rsidP="00FA18EA">
            <w:pPr>
              <w:jc w:val="right"/>
              <w:outlineLvl w:val="0"/>
              <w:rPr>
                <w:rFonts w:eastAsia="Times New Roman" w:cstheme="minorHAnsi"/>
                <w:b/>
                <w:bCs/>
                <w:sz w:val="18"/>
                <w:szCs w:val="18"/>
                <w:lang w:eastAsia="en-GB"/>
              </w:rPr>
            </w:pPr>
            <w:r w:rsidRPr="00536A35">
              <w:rPr>
                <w:rFonts w:eastAsia="Times New Roman" w:cstheme="minorHAnsi"/>
                <w:b/>
                <w:bCs/>
                <w:sz w:val="18"/>
                <w:szCs w:val="18"/>
                <w:lang w:eastAsia="en-GB"/>
              </w:rPr>
              <w:t>24.4</w:t>
            </w:r>
          </w:p>
        </w:tc>
        <w:tc>
          <w:tcPr>
            <w:tcW w:w="1353" w:type="dxa"/>
            <w:gridSpan w:val="2"/>
            <w:tcBorders>
              <w:top w:val="nil"/>
              <w:left w:val="nil"/>
              <w:bottom w:val="nil"/>
              <w:right w:val="nil"/>
            </w:tcBorders>
            <w:shd w:val="clear" w:color="auto" w:fill="auto"/>
            <w:noWrap/>
            <w:vAlign w:val="bottom"/>
            <w:hideMark/>
          </w:tcPr>
          <w:p w14:paraId="6B1A57E1" w14:textId="77777777" w:rsidR="00FA18EA" w:rsidRPr="00A02B31" w:rsidRDefault="00FA18EA" w:rsidP="00FA18EA">
            <w:pPr>
              <w:jc w:val="right"/>
              <w:outlineLvl w:val="0"/>
              <w:rPr>
                <w:rFonts w:eastAsia="Times New Roman" w:cstheme="minorHAnsi"/>
                <w:color w:val="000000"/>
                <w:sz w:val="18"/>
                <w:szCs w:val="18"/>
                <w:lang w:eastAsia="en-GB"/>
              </w:rPr>
            </w:pPr>
            <w:r w:rsidRPr="00A02B31">
              <w:rPr>
                <w:rFonts w:eastAsia="Times New Roman" w:cstheme="minorHAnsi"/>
                <w:color w:val="000000"/>
                <w:sz w:val="18"/>
                <w:szCs w:val="18"/>
                <w:lang w:eastAsia="en-GB"/>
              </w:rPr>
              <w:t>55.0</w:t>
            </w:r>
          </w:p>
        </w:tc>
        <w:tc>
          <w:tcPr>
            <w:tcW w:w="943" w:type="dxa"/>
            <w:gridSpan w:val="2"/>
            <w:tcBorders>
              <w:top w:val="nil"/>
              <w:left w:val="nil"/>
              <w:bottom w:val="nil"/>
              <w:right w:val="nil"/>
            </w:tcBorders>
            <w:shd w:val="clear" w:color="auto" w:fill="auto"/>
            <w:noWrap/>
            <w:vAlign w:val="bottom"/>
            <w:hideMark/>
          </w:tcPr>
          <w:p w14:paraId="6CAA327F" w14:textId="77777777" w:rsidR="00FA18EA" w:rsidRPr="00A02B31" w:rsidRDefault="00FA18EA" w:rsidP="00FA18EA">
            <w:pPr>
              <w:jc w:val="right"/>
              <w:outlineLvl w:val="0"/>
              <w:rPr>
                <w:rFonts w:eastAsia="Times New Roman" w:cstheme="minorHAnsi"/>
                <w:sz w:val="18"/>
                <w:szCs w:val="18"/>
                <w:lang w:eastAsia="en-GB"/>
              </w:rPr>
            </w:pPr>
            <w:r w:rsidRPr="00A02B31">
              <w:rPr>
                <w:rFonts w:eastAsia="Times New Roman" w:cstheme="minorHAnsi"/>
                <w:sz w:val="18"/>
                <w:szCs w:val="18"/>
                <w:lang w:eastAsia="en-GB"/>
              </w:rPr>
              <w:t>-</w:t>
            </w:r>
          </w:p>
        </w:tc>
        <w:tc>
          <w:tcPr>
            <w:tcW w:w="858" w:type="dxa"/>
            <w:tcBorders>
              <w:top w:val="nil"/>
              <w:left w:val="nil"/>
              <w:bottom w:val="nil"/>
              <w:right w:val="nil"/>
            </w:tcBorders>
            <w:shd w:val="clear" w:color="auto" w:fill="auto"/>
            <w:noWrap/>
            <w:vAlign w:val="bottom"/>
            <w:hideMark/>
          </w:tcPr>
          <w:p w14:paraId="5860115F" w14:textId="77777777" w:rsidR="00FA18EA" w:rsidRPr="00A02B31" w:rsidRDefault="00FA18EA" w:rsidP="00FA18EA">
            <w:pPr>
              <w:jc w:val="right"/>
              <w:outlineLvl w:val="0"/>
              <w:rPr>
                <w:rFonts w:eastAsia="Times New Roman" w:cstheme="minorHAnsi"/>
                <w:sz w:val="18"/>
                <w:szCs w:val="18"/>
                <w:lang w:eastAsia="en-GB"/>
              </w:rPr>
            </w:pPr>
            <w:r w:rsidRPr="00A02B31">
              <w:rPr>
                <w:rFonts w:eastAsia="Times New Roman" w:cstheme="minorHAnsi"/>
                <w:sz w:val="18"/>
                <w:szCs w:val="18"/>
                <w:lang w:eastAsia="en-GB"/>
              </w:rPr>
              <w:t>55.0</w:t>
            </w:r>
          </w:p>
        </w:tc>
      </w:tr>
      <w:tr w:rsidR="00FA18EA" w:rsidRPr="007600A7" w14:paraId="721CC910" w14:textId="77777777" w:rsidTr="00FA18EA">
        <w:trPr>
          <w:gridAfter w:val="1"/>
          <w:wAfter w:w="47" w:type="dxa"/>
          <w:trHeight w:val="255"/>
        </w:trPr>
        <w:tc>
          <w:tcPr>
            <w:tcW w:w="3291" w:type="dxa"/>
            <w:tcBorders>
              <w:top w:val="nil"/>
              <w:left w:val="nil"/>
              <w:bottom w:val="nil"/>
              <w:right w:val="nil"/>
            </w:tcBorders>
            <w:shd w:val="clear" w:color="auto" w:fill="auto"/>
            <w:noWrap/>
            <w:vAlign w:val="bottom"/>
            <w:hideMark/>
          </w:tcPr>
          <w:p w14:paraId="776C2E29" w14:textId="77777777" w:rsidR="00FA18EA" w:rsidRPr="008B2DDA" w:rsidRDefault="00FA18EA" w:rsidP="00FA18EA">
            <w:pPr>
              <w:outlineLvl w:val="0"/>
              <w:rPr>
                <w:rFonts w:eastAsia="Times New Roman" w:cstheme="minorHAnsi"/>
                <w:sz w:val="18"/>
                <w:szCs w:val="18"/>
                <w:lang w:eastAsia="en-GB"/>
              </w:rPr>
            </w:pPr>
            <w:r w:rsidRPr="008B2DDA">
              <w:rPr>
                <w:rFonts w:eastAsia="Times New Roman" w:cstheme="minorHAnsi"/>
                <w:sz w:val="18"/>
                <w:szCs w:val="18"/>
                <w:lang w:eastAsia="en-GB"/>
              </w:rPr>
              <w:t>H Sinclair (Resigned on 5 November 2021)</w:t>
            </w:r>
          </w:p>
        </w:tc>
        <w:tc>
          <w:tcPr>
            <w:tcW w:w="1367" w:type="dxa"/>
            <w:tcBorders>
              <w:top w:val="nil"/>
              <w:left w:val="nil"/>
              <w:bottom w:val="nil"/>
              <w:right w:val="nil"/>
            </w:tcBorders>
            <w:shd w:val="clear" w:color="auto" w:fill="auto"/>
            <w:noWrap/>
            <w:vAlign w:val="bottom"/>
            <w:hideMark/>
          </w:tcPr>
          <w:p w14:paraId="0C33C020" w14:textId="77777777" w:rsidR="00FA18EA" w:rsidRPr="0091098D" w:rsidRDefault="00FA18EA" w:rsidP="00FA18EA">
            <w:pPr>
              <w:jc w:val="right"/>
              <w:outlineLvl w:val="0"/>
              <w:rPr>
                <w:rFonts w:eastAsia="Times New Roman" w:cstheme="minorHAnsi"/>
                <w:b/>
                <w:bCs/>
                <w:color w:val="000000"/>
                <w:sz w:val="18"/>
                <w:szCs w:val="18"/>
                <w:lang w:eastAsia="en-GB"/>
              </w:rPr>
            </w:pPr>
            <w:r w:rsidRPr="000C5053">
              <w:rPr>
                <w:rFonts w:eastAsia="Times New Roman" w:cstheme="minorHAnsi"/>
                <w:b/>
                <w:bCs/>
                <w:sz w:val="18"/>
                <w:szCs w:val="18"/>
                <w:lang w:eastAsia="en-GB"/>
              </w:rPr>
              <w:t>41.3</w:t>
            </w:r>
          </w:p>
        </w:tc>
        <w:tc>
          <w:tcPr>
            <w:tcW w:w="1035" w:type="dxa"/>
            <w:tcBorders>
              <w:top w:val="nil"/>
              <w:left w:val="nil"/>
              <w:bottom w:val="nil"/>
              <w:right w:val="nil"/>
            </w:tcBorders>
            <w:shd w:val="clear" w:color="auto" w:fill="auto"/>
            <w:noWrap/>
            <w:vAlign w:val="bottom"/>
            <w:hideMark/>
          </w:tcPr>
          <w:p w14:paraId="385E4E63" w14:textId="77777777" w:rsidR="00FA18EA" w:rsidRPr="0075195E" w:rsidRDefault="00FA18EA" w:rsidP="00FA18EA">
            <w:pPr>
              <w:jc w:val="right"/>
              <w:outlineLvl w:val="0"/>
              <w:rPr>
                <w:rFonts w:eastAsia="Times New Roman" w:cstheme="minorHAnsi"/>
                <w:b/>
                <w:bCs/>
                <w:sz w:val="18"/>
                <w:szCs w:val="18"/>
                <w:lang w:eastAsia="en-GB"/>
              </w:rPr>
            </w:pPr>
            <w:r w:rsidRPr="0075195E">
              <w:rPr>
                <w:rFonts w:eastAsia="Times New Roman" w:cstheme="minorHAnsi"/>
                <w:b/>
                <w:bCs/>
                <w:sz w:val="18"/>
                <w:szCs w:val="18"/>
                <w:lang w:eastAsia="en-GB"/>
              </w:rPr>
              <w:t>-</w:t>
            </w:r>
          </w:p>
        </w:tc>
        <w:tc>
          <w:tcPr>
            <w:tcW w:w="744" w:type="dxa"/>
            <w:tcBorders>
              <w:top w:val="nil"/>
              <w:left w:val="nil"/>
              <w:bottom w:val="nil"/>
              <w:right w:val="nil"/>
            </w:tcBorders>
            <w:shd w:val="clear" w:color="auto" w:fill="auto"/>
            <w:noWrap/>
            <w:vAlign w:val="bottom"/>
            <w:hideMark/>
          </w:tcPr>
          <w:p w14:paraId="14F1FFBD" w14:textId="77777777" w:rsidR="00FA18EA" w:rsidRPr="00536A35" w:rsidRDefault="00FA18EA" w:rsidP="00FA18EA">
            <w:pPr>
              <w:jc w:val="right"/>
              <w:outlineLvl w:val="0"/>
              <w:rPr>
                <w:rFonts w:eastAsia="Times New Roman" w:cstheme="minorHAnsi"/>
                <w:b/>
                <w:bCs/>
                <w:sz w:val="18"/>
                <w:szCs w:val="18"/>
                <w:lang w:eastAsia="en-GB"/>
              </w:rPr>
            </w:pPr>
            <w:r w:rsidRPr="00536A35">
              <w:rPr>
                <w:rFonts w:eastAsia="Times New Roman" w:cstheme="minorHAnsi"/>
                <w:b/>
                <w:bCs/>
                <w:sz w:val="18"/>
                <w:szCs w:val="18"/>
                <w:lang w:eastAsia="en-GB"/>
              </w:rPr>
              <w:t>41.3</w:t>
            </w:r>
          </w:p>
        </w:tc>
        <w:tc>
          <w:tcPr>
            <w:tcW w:w="1353" w:type="dxa"/>
            <w:gridSpan w:val="2"/>
            <w:tcBorders>
              <w:top w:val="nil"/>
              <w:left w:val="nil"/>
              <w:bottom w:val="nil"/>
              <w:right w:val="nil"/>
            </w:tcBorders>
            <w:shd w:val="clear" w:color="auto" w:fill="auto"/>
            <w:noWrap/>
            <w:vAlign w:val="bottom"/>
            <w:hideMark/>
          </w:tcPr>
          <w:p w14:paraId="22ECABFC" w14:textId="77777777" w:rsidR="00FA18EA" w:rsidRPr="00A02B31" w:rsidRDefault="00FA18EA" w:rsidP="00FA18EA">
            <w:pPr>
              <w:jc w:val="right"/>
              <w:outlineLvl w:val="0"/>
              <w:rPr>
                <w:rFonts w:eastAsia="Times New Roman" w:cstheme="minorHAnsi"/>
                <w:color w:val="000000"/>
                <w:sz w:val="18"/>
                <w:szCs w:val="18"/>
                <w:lang w:eastAsia="en-GB"/>
              </w:rPr>
            </w:pPr>
            <w:r w:rsidRPr="00A02B31">
              <w:rPr>
                <w:rFonts w:eastAsia="Times New Roman" w:cstheme="minorHAnsi"/>
                <w:color w:val="000000"/>
                <w:sz w:val="18"/>
                <w:szCs w:val="18"/>
                <w:lang w:eastAsia="en-GB"/>
              </w:rPr>
              <w:t>27.5</w:t>
            </w:r>
          </w:p>
        </w:tc>
        <w:tc>
          <w:tcPr>
            <w:tcW w:w="943" w:type="dxa"/>
            <w:gridSpan w:val="2"/>
            <w:tcBorders>
              <w:top w:val="nil"/>
              <w:left w:val="nil"/>
              <w:bottom w:val="nil"/>
              <w:right w:val="nil"/>
            </w:tcBorders>
            <w:shd w:val="clear" w:color="auto" w:fill="auto"/>
            <w:noWrap/>
            <w:vAlign w:val="bottom"/>
            <w:hideMark/>
          </w:tcPr>
          <w:p w14:paraId="6C8EB078" w14:textId="77777777" w:rsidR="00FA18EA" w:rsidRPr="00A02B31" w:rsidRDefault="00FA18EA" w:rsidP="00FA18EA">
            <w:pPr>
              <w:jc w:val="right"/>
              <w:outlineLvl w:val="0"/>
              <w:rPr>
                <w:rFonts w:eastAsia="Times New Roman" w:cstheme="minorHAnsi"/>
                <w:sz w:val="18"/>
                <w:szCs w:val="18"/>
                <w:lang w:eastAsia="en-GB"/>
              </w:rPr>
            </w:pPr>
            <w:r w:rsidRPr="00A02B31">
              <w:rPr>
                <w:rFonts w:eastAsia="Times New Roman" w:cstheme="minorHAnsi"/>
                <w:sz w:val="18"/>
                <w:szCs w:val="18"/>
                <w:lang w:eastAsia="en-GB"/>
              </w:rPr>
              <w:t>-</w:t>
            </w:r>
          </w:p>
        </w:tc>
        <w:tc>
          <w:tcPr>
            <w:tcW w:w="858" w:type="dxa"/>
            <w:tcBorders>
              <w:top w:val="nil"/>
              <w:left w:val="nil"/>
              <w:bottom w:val="nil"/>
              <w:right w:val="nil"/>
            </w:tcBorders>
            <w:shd w:val="clear" w:color="auto" w:fill="auto"/>
            <w:noWrap/>
            <w:vAlign w:val="bottom"/>
            <w:hideMark/>
          </w:tcPr>
          <w:p w14:paraId="3914E833" w14:textId="77777777" w:rsidR="00FA18EA" w:rsidRPr="00A02B31" w:rsidRDefault="00FA18EA" w:rsidP="00FA18EA">
            <w:pPr>
              <w:jc w:val="right"/>
              <w:outlineLvl w:val="0"/>
              <w:rPr>
                <w:rFonts w:eastAsia="Times New Roman" w:cstheme="minorHAnsi"/>
                <w:sz w:val="18"/>
                <w:szCs w:val="18"/>
                <w:lang w:eastAsia="en-GB"/>
              </w:rPr>
            </w:pPr>
            <w:r w:rsidRPr="00A02B31">
              <w:rPr>
                <w:rFonts w:eastAsia="Times New Roman" w:cstheme="minorHAnsi"/>
                <w:sz w:val="18"/>
                <w:szCs w:val="18"/>
                <w:lang w:eastAsia="en-GB"/>
              </w:rPr>
              <w:t>27.5</w:t>
            </w:r>
          </w:p>
        </w:tc>
      </w:tr>
      <w:tr w:rsidR="00FA18EA" w:rsidRPr="007600A7" w14:paraId="356AA693" w14:textId="77777777" w:rsidTr="00FA18EA">
        <w:trPr>
          <w:gridAfter w:val="1"/>
          <w:wAfter w:w="47" w:type="dxa"/>
          <w:trHeight w:val="255"/>
        </w:trPr>
        <w:tc>
          <w:tcPr>
            <w:tcW w:w="3291" w:type="dxa"/>
            <w:tcBorders>
              <w:top w:val="nil"/>
              <w:left w:val="nil"/>
              <w:bottom w:val="nil"/>
              <w:right w:val="nil"/>
            </w:tcBorders>
            <w:shd w:val="clear" w:color="auto" w:fill="auto"/>
            <w:noWrap/>
            <w:vAlign w:val="bottom"/>
            <w:hideMark/>
          </w:tcPr>
          <w:p w14:paraId="555A512A" w14:textId="77777777" w:rsidR="00FA18EA" w:rsidRPr="008B2DDA" w:rsidRDefault="00FA18EA" w:rsidP="00FA18EA">
            <w:pPr>
              <w:outlineLvl w:val="0"/>
              <w:rPr>
                <w:rFonts w:eastAsia="Times New Roman" w:cstheme="minorHAnsi"/>
                <w:sz w:val="18"/>
                <w:szCs w:val="18"/>
                <w:lang w:eastAsia="en-GB"/>
              </w:rPr>
            </w:pPr>
            <w:r w:rsidRPr="008B2DDA">
              <w:rPr>
                <w:rFonts w:eastAsia="Times New Roman" w:cstheme="minorHAnsi"/>
                <w:sz w:val="18"/>
                <w:szCs w:val="18"/>
                <w:lang w:eastAsia="en-GB"/>
              </w:rPr>
              <w:t xml:space="preserve">K Lever </w:t>
            </w:r>
          </w:p>
        </w:tc>
        <w:tc>
          <w:tcPr>
            <w:tcW w:w="1367" w:type="dxa"/>
            <w:tcBorders>
              <w:top w:val="nil"/>
              <w:left w:val="nil"/>
              <w:bottom w:val="nil"/>
              <w:right w:val="nil"/>
            </w:tcBorders>
            <w:shd w:val="clear" w:color="auto" w:fill="auto"/>
            <w:noWrap/>
            <w:vAlign w:val="bottom"/>
            <w:hideMark/>
          </w:tcPr>
          <w:p w14:paraId="04E896E5" w14:textId="77777777" w:rsidR="00FA18EA" w:rsidRPr="0091098D" w:rsidRDefault="00FA18EA" w:rsidP="00FA18EA">
            <w:pPr>
              <w:jc w:val="right"/>
              <w:outlineLvl w:val="0"/>
              <w:rPr>
                <w:rFonts w:eastAsia="Times New Roman" w:cstheme="minorHAnsi"/>
                <w:b/>
                <w:bCs/>
                <w:color w:val="000000"/>
                <w:sz w:val="18"/>
                <w:szCs w:val="18"/>
                <w:lang w:eastAsia="en-GB"/>
              </w:rPr>
            </w:pPr>
            <w:r w:rsidRPr="000C5053">
              <w:rPr>
                <w:rFonts w:eastAsia="Times New Roman" w:cstheme="minorHAnsi"/>
                <w:b/>
                <w:bCs/>
                <w:sz w:val="18"/>
                <w:szCs w:val="18"/>
                <w:lang w:eastAsia="en-GB"/>
              </w:rPr>
              <w:t>27.5</w:t>
            </w:r>
          </w:p>
        </w:tc>
        <w:tc>
          <w:tcPr>
            <w:tcW w:w="1035" w:type="dxa"/>
            <w:tcBorders>
              <w:top w:val="nil"/>
              <w:left w:val="nil"/>
              <w:bottom w:val="nil"/>
              <w:right w:val="nil"/>
            </w:tcBorders>
            <w:shd w:val="clear" w:color="auto" w:fill="auto"/>
            <w:noWrap/>
            <w:vAlign w:val="bottom"/>
            <w:hideMark/>
          </w:tcPr>
          <w:p w14:paraId="69F1927A" w14:textId="77777777" w:rsidR="00FA18EA" w:rsidRPr="0075195E" w:rsidRDefault="00FA18EA" w:rsidP="00FA18EA">
            <w:pPr>
              <w:jc w:val="right"/>
              <w:outlineLvl w:val="0"/>
              <w:rPr>
                <w:rFonts w:eastAsia="Times New Roman" w:cstheme="minorHAnsi"/>
                <w:b/>
                <w:bCs/>
                <w:sz w:val="18"/>
                <w:szCs w:val="18"/>
                <w:lang w:eastAsia="en-GB"/>
              </w:rPr>
            </w:pPr>
            <w:r w:rsidRPr="0075195E">
              <w:rPr>
                <w:rFonts w:eastAsia="Times New Roman" w:cstheme="minorHAnsi"/>
                <w:b/>
                <w:bCs/>
                <w:sz w:val="18"/>
                <w:szCs w:val="18"/>
                <w:lang w:eastAsia="en-GB"/>
              </w:rPr>
              <w:t>-</w:t>
            </w:r>
          </w:p>
        </w:tc>
        <w:tc>
          <w:tcPr>
            <w:tcW w:w="744" w:type="dxa"/>
            <w:tcBorders>
              <w:top w:val="nil"/>
              <w:left w:val="nil"/>
              <w:bottom w:val="nil"/>
              <w:right w:val="nil"/>
            </w:tcBorders>
            <w:shd w:val="clear" w:color="auto" w:fill="auto"/>
            <w:noWrap/>
            <w:vAlign w:val="bottom"/>
            <w:hideMark/>
          </w:tcPr>
          <w:p w14:paraId="738D3081" w14:textId="77777777" w:rsidR="00FA18EA" w:rsidRPr="00536A35" w:rsidRDefault="00FA18EA" w:rsidP="00FA18EA">
            <w:pPr>
              <w:jc w:val="right"/>
              <w:outlineLvl w:val="0"/>
              <w:rPr>
                <w:rFonts w:eastAsia="Times New Roman" w:cstheme="minorHAnsi"/>
                <w:b/>
                <w:bCs/>
                <w:sz w:val="18"/>
                <w:szCs w:val="18"/>
                <w:lang w:eastAsia="en-GB"/>
              </w:rPr>
            </w:pPr>
            <w:r w:rsidRPr="00536A35">
              <w:rPr>
                <w:rFonts w:eastAsia="Times New Roman" w:cstheme="minorHAnsi"/>
                <w:b/>
                <w:bCs/>
                <w:sz w:val="18"/>
                <w:szCs w:val="18"/>
                <w:lang w:eastAsia="en-GB"/>
              </w:rPr>
              <w:t>27.5</w:t>
            </w:r>
          </w:p>
        </w:tc>
        <w:tc>
          <w:tcPr>
            <w:tcW w:w="1353" w:type="dxa"/>
            <w:gridSpan w:val="2"/>
            <w:tcBorders>
              <w:top w:val="nil"/>
              <w:left w:val="nil"/>
              <w:bottom w:val="nil"/>
              <w:right w:val="nil"/>
            </w:tcBorders>
            <w:shd w:val="clear" w:color="auto" w:fill="auto"/>
            <w:noWrap/>
            <w:vAlign w:val="bottom"/>
            <w:hideMark/>
          </w:tcPr>
          <w:p w14:paraId="0A8AAB12" w14:textId="77777777" w:rsidR="00FA18EA" w:rsidRPr="00A02B31" w:rsidRDefault="00FA18EA" w:rsidP="00FA18EA">
            <w:pPr>
              <w:jc w:val="right"/>
              <w:outlineLvl w:val="0"/>
              <w:rPr>
                <w:rFonts w:eastAsia="Times New Roman" w:cstheme="minorHAnsi"/>
                <w:color w:val="000000"/>
                <w:sz w:val="18"/>
                <w:szCs w:val="18"/>
                <w:lang w:eastAsia="en-GB"/>
              </w:rPr>
            </w:pPr>
            <w:r w:rsidRPr="00A02B31">
              <w:rPr>
                <w:rFonts w:eastAsia="Times New Roman" w:cstheme="minorHAnsi"/>
                <w:color w:val="000000"/>
                <w:sz w:val="18"/>
                <w:szCs w:val="18"/>
                <w:lang w:eastAsia="en-GB"/>
              </w:rPr>
              <w:t>27.5</w:t>
            </w:r>
          </w:p>
        </w:tc>
        <w:tc>
          <w:tcPr>
            <w:tcW w:w="943" w:type="dxa"/>
            <w:gridSpan w:val="2"/>
            <w:tcBorders>
              <w:top w:val="nil"/>
              <w:left w:val="nil"/>
              <w:bottom w:val="nil"/>
              <w:right w:val="nil"/>
            </w:tcBorders>
            <w:shd w:val="clear" w:color="auto" w:fill="auto"/>
            <w:noWrap/>
            <w:vAlign w:val="bottom"/>
            <w:hideMark/>
          </w:tcPr>
          <w:p w14:paraId="04D17BBA" w14:textId="77777777" w:rsidR="00FA18EA" w:rsidRPr="00A02B31" w:rsidRDefault="00FA18EA" w:rsidP="00FA18EA">
            <w:pPr>
              <w:jc w:val="right"/>
              <w:outlineLvl w:val="0"/>
              <w:rPr>
                <w:rFonts w:eastAsia="Times New Roman" w:cstheme="minorHAnsi"/>
                <w:sz w:val="18"/>
                <w:szCs w:val="18"/>
                <w:lang w:eastAsia="en-GB"/>
              </w:rPr>
            </w:pPr>
            <w:r w:rsidRPr="00A02B31">
              <w:rPr>
                <w:rFonts w:eastAsia="Times New Roman" w:cstheme="minorHAnsi"/>
                <w:sz w:val="18"/>
                <w:szCs w:val="18"/>
                <w:lang w:eastAsia="en-GB"/>
              </w:rPr>
              <w:t>-</w:t>
            </w:r>
          </w:p>
        </w:tc>
        <w:tc>
          <w:tcPr>
            <w:tcW w:w="858" w:type="dxa"/>
            <w:tcBorders>
              <w:top w:val="nil"/>
              <w:left w:val="nil"/>
              <w:bottom w:val="nil"/>
              <w:right w:val="nil"/>
            </w:tcBorders>
            <w:shd w:val="clear" w:color="auto" w:fill="auto"/>
            <w:noWrap/>
            <w:vAlign w:val="bottom"/>
            <w:hideMark/>
          </w:tcPr>
          <w:p w14:paraId="73844C29" w14:textId="77777777" w:rsidR="00FA18EA" w:rsidRPr="00A02B31" w:rsidRDefault="00FA18EA" w:rsidP="00FA18EA">
            <w:pPr>
              <w:jc w:val="right"/>
              <w:outlineLvl w:val="0"/>
              <w:rPr>
                <w:rFonts w:eastAsia="Times New Roman" w:cstheme="minorHAnsi"/>
                <w:sz w:val="18"/>
                <w:szCs w:val="18"/>
                <w:lang w:eastAsia="en-GB"/>
              </w:rPr>
            </w:pPr>
            <w:r w:rsidRPr="00A02B31">
              <w:rPr>
                <w:rFonts w:eastAsia="Times New Roman" w:cstheme="minorHAnsi"/>
                <w:sz w:val="18"/>
                <w:szCs w:val="18"/>
                <w:lang w:eastAsia="en-GB"/>
              </w:rPr>
              <w:t>27.5</w:t>
            </w:r>
          </w:p>
        </w:tc>
      </w:tr>
      <w:tr w:rsidR="00FA18EA" w:rsidRPr="007600A7" w14:paraId="62FED61E" w14:textId="77777777" w:rsidTr="00FA18EA">
        <w:trPr>
          <w:gridAfter w:val="1"/>
          <w:wAfter w:w="47" w:type="dxa"/>
          <w:trHeight w:val="255"/>
        </w:trPr>
        <w:tc>
          <w:tcPr>
            <w:tcW w:w="3291" w:type="dxa"/>
            <w:tcBorders>
              <w:top w:val="nil"/>
              <w:left w:val="nil"/>
              <w:bottom w:val="nil"/>
              <w:right w:val="nil"/>
            </w:tcBorders>
            <w:shd w:val="clear" w:color="auto" w:fill="auto"/>
            <w:noWrap/>
            <w:vAlign w:val="bottom"/>
          </w:tcPr>
          <w:p w14:paraId="57851B9C" w14:textId="77777777" w:rsidR="00FA18EA" w:rsidRPr="008B2DDA" w:rsidRDefault="00FA18EA" w:rsidP="00FA18EA">
            <w:pPr>
              <w:outlineLvl w:val="0"/>
              <w:rPr>
                <w:rFonts w:eastAsia="Times New Roman" w:cstheme="minorHAnsi"/>
                <w:sz w:val="18"/>
                <w:szCs w:val="18"/>
                <w:lang w:eastAsia="en-GB"/>
              </w:rPr>
            </w:pPr>
            <w:r w:rsidRPr="008B2DDA">
              <w:rPr>
                <w:rFonts w:eastAsia="Times New Roman" w:cstheme="minorHAnsi"/>
                <w:sz w:val="18"/>
                <w:szCs w:val="18"/>
                <w:lang w:eastAsia="en-GB"/>
              </w:rPr>
              <w:t>G Bird (Appointed 10 June 2021)</w:t>
            </w:r>
          </w:p>
        </w:tc>
        <w:tc>
          <w:tcPr>
            <w:tcW w:w="1367" w:type="dxa"/>
            <w:tcBorders>
              <w:top w:val="nil"/>
              <w:left w:val="nil"/>
              <w:bottom w:val="nil"/>
              <w:right w:val="nil"/>
            </w:tcBorders>
            <w:shd w:val="clear" w:color="auto" w:fill="auto"/>
            <w:noWrap/>
            <w:vAlign w:val="bottom"/>
          </w:tcPr>
          <w:p w14:paraId="28811115" w14:textId="77777777" w:rsidR="00FA18EA" w:rsidRPr="0091098D" w:rsidRDefault="00FA18EA" w:rsidP="00FA18EA">
            <w:pPr>
              <w:jc w:val="right"/>
              <w:outlineLvl w:val="0"/>
              <w:rPr>
                <w:rFonts w:eastAsia="Times New Roman" w:cstheme="minorHAnsi"/>
                <w:b/>
                <w:bCs/>
                <w:sz w:val="18"/>
                <w:szCs w:val="18"/>
                <w:lang w:eastAsia="en-GB"/>
              </w:rPr>
            </w:pPr>
            <w:r w:rsidRPr="000C5053">
              <w:rPr>
                <w:rFonts w:eastAsia="Times New Roman" w:cstheme="minorHAnsi"/>
                <w:b/>
                <w:bCs/>
                <w:sz w:val="18"/>
                <w:szCs w:val="18"/>
                <w:lang w:eastAsia="en-GB"/>
              </w:rPr>
              <w:t>22.2</w:t>
            </w:r>
          </w:p>
        </w:tc>
        <w:tc>
          <w:tcPr>
            <w:tcW w:w="1035" w:type="dxa"/>
            <w:tcBorders>
              <w:top w:val="nil"/>
              <w:left w:val="nil"/>
              <w:bottom w:val="nil"/>
              <w:right w:val="nil"/>
            </w:tcBorders>
            <w:shd w:val="clear" w:color="auto" w:fill="auto"/>
            <w:noWrap/>
            <w:vAlign w:val="bottom"/>
          </w:tcPr>
          <w:p w14:paraId="7A790B32" w14:textId="77777777" w:rsidR="00FA18EA" w:rsidRPr="0075195E" w:rsidRDefault="00FA18EA" w:rsidP="00FA18EA">
            <w:pPr>
              <w:jc w:val="right"/>
              <w:outlineLvl w:val="0"/>
              <w:rPr>
                <w:rFonts w:eastAsia="Times New Roman" w:cstheme="minorHAnsi"/>
                <w:b/>
                <w:bCs/>
                <w:sz w:val="18"/>
                <w:szCs w:val="18"/>
                <w:lang w:eastAsia="en-GB"/>
              </w:rPr>
            </w:pPr>
            <w:r w:rsidRPr="0075195E">
              <w:rPr>
                <w:rFonts w:eastAsia="Times New Roman" w:cstheme="minorHAnsi"/>
                <w:b/>
                <w:bCs/>
                <w:sz w:val="18"/>
                <w:szCs w:val="18"/>
                <w:lang w:eastAsia="en-GB"/>
              </w:rPr>
              <w:t>-</w:t>
            </w:r>
          </w:p>
        </w:tc>
        <w:tc>
          <w:tcPr>
            <w:tcW w:w="744" w:type="dxa"/>
            <w:tcBorders>
              <w:top w:val="nil"/>
              <w:left w:val="nil"/>
              <w:bottom w:val="nil"/>
              <w:right w:val="nil"/>
            </w:tcBorders>
            <w:shd w:val="clear" w:color="auto" w:fill="auto"/>
            <w:noWrap/>
            <w:vAlign w:val="bottom"/>
          </w:tcPr>
          <w:p w14:paraId="10AF82B1" w14:textId="77777777" w:rsidR="00FA18EA" w:rsidRPr="00536A35" w:rsidRDefault="00FA18EA" w:rsidP="00FA18EA">
            <w:pPr>
              <w:jc w:val="right"/>
              <w:outlineLvl w:val="0"/>
              <w:rPr>
                <w:rFonts w:eastAsia="Times New Roman" w:cstheme="minorHAnsi"/>
                <w:b/>
                <w:bCs/>
                <w:sz w:val="18"/>
                <w:szCs w:val="18"/>
                <w:lang w:eastAsia="en-GB"/>
              </w:rPr>
            </w:pPr>
            <w:r w:rsidRPr="00536A35">
              <w:rPr>
                <w:rFonts w:eastAsia="Times New Roman" w:cstheme="minorHAnsi"/>
                <w:b/>
                <w:bCs/>
                <w:sz w:val="18"/>
                <w:szCs w:val="18"/>
                <w:lang w:eastAsia="en-GB"/>
              </w:rPr>
              <w:t>22.2</w:t>
            </w:r>
          </w:p>
        </w:tc>
        <w:tc>
          <w:tcPr>
            <w:tcW w:w="1353" w:type="dxa"/>
            <w:gridSpan w:val="2"/>
            <w:tcBorders>
              <w:top w:val="nil"/>
              <w:left w:val="nil"/>
              <w:bottom w:val="nil"/>
              <w:right w:val="nil"/>
            </w:tcBorders>
            <w:shd w:val="clear" w:color="auto" w:fill="auto"/>
            <w:noWrap/>
            <w:vAlign w:val="bottom"/>
          </w:tcPr>
          <w:p w14:paraId="383567CA" w14:textId="77777777" w:rsidR="00FA18EA" w:rsidRPr="00A02B31" w:rsidRDefault="00FA18EA" w:rsidP="00FA18EA">
            <w:pPr>
              <w:jc w:val="right"/>
              <w:outlineLvl w:val="0"/>
              <w:rPr>
                <w:rFonts w:eastAsia="Times New Roman" w:cstheme="minorHAnsi"/>
                <w:color w:val="000000"/>
                <w:sz w:val="18"/>
                <w:szCs w:val="18"/>
                <w:lang w:eastAsia="en-GB"/>
              </w:rPr>
            </w:pPr>
            <w:r w:rsidRPr="00A02B31">
              <w:rPr>
                <w:rFonts w:eastAsia="Times New Roman" w:cstheme="minorHAnsi"/>
                <w:color w:val="000000"/>
                <w:sz w:val="18"/>
                <w:szCs w:val="18"/>
                <w:lang w:eastAsia="en-GB"/>
              </w:rPr>
              <w:t>-</w:t>
            </w:r>
          </w:p>
        </w:tc>
        <w:tc>
          <w:tcPr>
            <w:tcW w:w="943" w:type="dxa"/>
            <w:gridSpan w:val="2"/>
            <w:tcBorders>
              <w:top w:val="nil"/>
              <w:left w:val="nil"/>
              <w:bottom w:val="nil"/>
              <w:right w:val="nil"/>
            </w:tcBorders>
            <w:shd w:val="clear" w:color="auto" w:fill="auto"/>
            <w:noWrap/>
            <w:vAlign w:val="bottom"/>
          </w:tcPr>
          <w:p w14:paraId="73DB7FA7" w14:textId="77777777" w:rsidR="00FA18EA" w:rsidRPr="00A02B31" w:rsidRDefault="00FA18EA" w:rsidP="00FA18EA">
            <w:pPr>
              <w:jc w:val="right"/>
              <w:outlineLvl w:val="0"/>
              <w:rPr>
                <w:rFonts w:eastAsia="Times New Roman" w:cstheme="minorHAnsi"/>
                <w:sz w:val="18"/>
                <w:szCs w:val="18"/>
                <w:lang w:eastAsia="en-GB"/>
              </w:rPr>
            </w:pPr>
            <w:r w:rsidRPr="00A02B31">
              <w:rPr>
                <w:rFonts w:eastAsia="Times New Roman" w:cstheme="minorHAnsi"/>
                <w:sz w:val="18"/>
                <w:szCs w:val="18"/>
                <w:lang w:eastAsia="en-GB"/>
              </w:rPr>
              <w:t>-</w:t>
            </w:r>
          </w:p>
        </w:tc>
        <w:tc>
          <w:tcPr>
            <w:tcW w:w="858" w:type="dxa"/>
            <w:tcBorders>
              <w:top w:val="nil"/>
              <w:left w:val="nil"/>
              <w:bottom w:val="nil"/>
              <w:right w:val="nil"/>
            </w:tcBorders>
            <w:shd w:val="clear" w:color="auto" w:fill="auto"/>
            <w:noWrap/>
            <w:vAlign w:val="bottom"/>
          </w:tcPr>
          <w:p w14:paraId="46BD309D" w14:textId="77777777" w:rsidR="00FA18EA" w:rsidRPr="00A02B31" w:rsidRDefault="00FA18EA" w:rsidP="00FA18EA">
            <w:pPr>
              <w:jc w:val="right"/>
              <w:outlineLvl w:val="0"/>
              <w:rPr>
                <w:rFonts w:eastAsia="Times New Roman" w:cstheme="minorHAnsi"/>
                <w:sz w:val="18"/>
                <w:szCs w:val="18"/>
                <w:lang w:eastAsia="en-GB"/>
              </w:rPr>
            </w:pPr>
            <w:r w:rsidRPr="00A02B31">
              <w:rPr>
                <w:rFonts w:eastAsia="Times New Roman" w:cstheme="minorHAnsi"/>
                <w:sz w:val="18"/>
                <w:szCs w:val="18"/>
                <w:lang w:eastAsia="en-GB"/>
              </w:rPr>
              <w:t>-</w:t>
            </w:r>
          </w:p>
        </w:tc>
      </w:tr>
      <w:tr w:rsidR="00FA18EA" w:rsidRPr="007600A7" w14:paraId="17CFF726" w14:textId="77777777" w:rsidTr="00FA18EA">
        <w:trPr>
          <w:gridAfter w:val="1"/>
          <w:wAfter w:w="47" w:type="dxa"/>
          <w:trHeight w:val="255"/>
        </w:trPr>
        <w:tc>
          <w:tcPr>
            <w:tcW w:w="3291" w:type="dxa"/>
            <w:tcBorders>
              <w:top w:val="nil"/>
              <w:left w:val="nil"/>
              <w:bottom w:val="nil"/>
              <w:right w:val="nil"/>
            </w:tcBorders>
            <w:shd w:val="clear" w:color="auto" w:fill="auto"/>
            <w:noWrap/>
            <w:vAlign w:val="bottom"/>
          </w:tcPr>
          <w:p w14:paraId="656929FE" w14:textId="77777777" w:rsidR="00FA18EA" w:rsidRPr="008B2DDA" w:rsidRDefault="00FA18EA" w:rsidP="00FA18EA">
            <w:pPr>
              <w:outlineLvl w:val="0"/>
              <w:rPr>
                <w:rFonts w:eastAsia="Times New Roman" w:cstheme="minorHAnsi"/>
                <w:sz w:val="18"/>
                <w:szCs w:val="18"/>
                <w:lang w:eastAsia="en-GB"/>
              </w:rPr>
            </w:pPr>
            <w:r w:rsidRPr="008B2DDA">
              <w:rPr>
                <w:rFonts w:eastAsia="Times New Roman" w:cstheme="minorHAnsi"/>
                <w:sz w:val="18"/>
                <w:szCs w:val="18"/>
                <w:lang w:eastAsia="en-GB"/>
              </w:rPr>
              <w:t>S Pyper (Resigned on 31 March 2022)</w:t>
            </w:r>
          </w:p>
        </w:tc>
        <w:tc>
          <w:tcPr>
            <w:tcW w:w="1367" w:type="dxa"/>
            <w:tcBorders>
              <w:top w:val="nil"/>
              <w:left w:val="nil"/>
              <w:bottom w:val="nil"/>
              <w:right w:val="nil"/>
            </w:tcBorders>
            <w:shd w:val="clear" w:color="auto" w:fill="auto"/>
            <w:noWrap/>
            <w:vAlign w:val="bottom"/>
          </w:tcPr>
          <w:p w14:paraId="0E7CE119" w14:textId="77777777" w:rsidR="00FA18EA" w:rsidRPr="0091098D" w:rsidRDefault="00FA18EA" w:rsidP="00FA18EA">
            <w:pPr>
              <w:jc w:val="right"/>
              <w:outlineLvl w:val="0"/>
              <w:rPr>
                <w:rFonts w:eastAsia="Times New Roman" w:cstheme="minorHAnsi"/>
                <w:b/>
                <w:bCs/>
                <w:sz w:val="18"/>
                <w:szCs w:val="18"/>
                <w:lang w:eastAsia="en-GB"/>
              </w:rPr>
            </w:pPr>
            <w:r w:rsidRPr="000C5053">
              <w:rPr>
                <w:rFonts w:eastAsia="Times New Roman" w:cstheme="minorHAnsi"/>
                <w:b/>
                <w:bCs/>
                <w:sz w:val="18"/>
                <w:szCs w:val="18"/>
                <w:lang w:eastAsia="en-GB"/>
              </w:rPr>
              <w:t>11.4</w:t>
            </w:r>
          </w:p>
        </w:tc>
        <w:tc>
          <w:tcPr>
            <w:tcW w:w="1035" w:type="dxa"/>
            <w:tcBorders>
              <w:top w:val="nil"/>
              <w:left w:val="nil"/>
              <w:bottom w:val="nil"/>
              <w:right w:val="nil"/>
            </w:tcBorders>
            <w:shd w:val="clear" w:color="auto" w:fill="auto"/>
            <w:noWrap/>
            <w:vAlign w:val="bottom"/>
          </w:tcPr>
          <w:p w14:paraId="67D43E2B" w14:textId="77777777" w:rsidR="00FA18EA" w:rsidRPr="0075195E" w:rsidRDefault="00FA18EA" w:rsidP="00FA18EA">
            <w:pPr>
              <w:jc w:val="right"/>
              <w:outlineLvl w:val="0"/>
              <w:rPr>
                <w:rFonts w:eastAsia="Times New Roman" w:cstheme="minorHAnsi"/>
                <w:b/>
                <w:bCs/>
                <w:sz w:val="18"/>
                <w:szCs w:val="18"/>
                <w:lang w:eastAsia="en-GB"/>
              </w:rPr>
            </w:pPr>
            <w:r w:rsidRPr="0075195E">
              <w:rPr>
                <w:rFonts w:eastAsia="Times New Roman" w:cstheme="minorHAnsi"/>
                <w:b/>
                <w:bCs/>
                <w:sz w:val="18"/>
                <w:szCs w:val="18"/>
                <w:lang w:eastAsia="en-GB"/>
              </w:rPr>
              <w:t>-</w:t>
            </w:r>
          </w:p>
        </w:tc>
        <w:tc>
          <w:tcPr>
            <w:tcW w:w="744" w:type="dxa"/>
            <w:tcBorders>
              <w:top w:val="nil"/>
              <w:left w:val="nil"/>
              <w:bottom w:val="nil"/>
              <w:right w:val="nil"/>
            </w:tcBorders>
            <w:shd w:val="clear" w:color="auto" w:fill="auto"/>
            <w:noWrap/>
            <w:vAlign w:val="bottom"/>
          </w:tcPr>
          <w:p w14:paraId="5461D967" w14:textId="77777777" w:rsidR="00FA18EA" w:rsidRPr="00536A35" w:rsidRDefault="00FA18EA" w:rsidP="00FA18EA">
            <w:pPr>
              <w:jc w:val="right"/>
              <w:outlineLvl w:val="0"/>
              <w:rPr>
                <w:rFonts w:eastAsia="Times New Roman" w:cstheme="minorHAnsi"/>
                <w:b/>
                <w:bCs/>
                <w:sz w:val="18"/>
                <w:szCs w:val="18"/>
                <w:lang w:eastAsia="en-GB"/>
              </w:rPr>
            </w:pPr>
            <w:r w:rsidRPr="00536A35">
              <w:rPr>
                <w:rFonts w:eastAsia="Times New Roman" w:cstheme="minorHAnsi"/>
                <w:b/>
                <w:bCs/>
                <w:sz w:val="18"/>
                <w:szCs w:val="18"/>
                <w:lang w:eastAsia="en-GB"/>
              </w:rPr>
              <w:t>11.4</w:t>
            </w:r>
          </w:p>
        </w:tc>
        <w:tc>
          <w:tcPr>
            <w:tcW w:w="1353" w:type="dxa"/>
            <w:gridSpan w:val="2"/>
            <w:tcBorders>
              <w:top w:val="nil"/>
              <w:left w:val="nil"/>
              <w:bottom w:val="nil"/>
              <w:right w:val="nil"/>
            </w:tcBorders>
            <w:shd w:val="clear" w:color="auto" w:fill="auto"/>
            <w:noWrap/>
            <w:vAlign w:val="bottom"/>
          </w:tcPr>
          <w:p w14:paraId="48DE1FD5" w14:textId="77777777" w:rsidR="00FA18EA" w:rsidRPr="00A02B31" w:rsidRDefault="00FA18EA" w:rsidP="00FA18EA">
            <w:pPr>
              <w:jc w:val="right"/>
              <w:outlineLvl w:val="0"/>
              <w:rPr>
                <w:rFonts w:eastAsia="Times New Roman" w:cstheme="minorHAnsi"/>
                <w:color w:val="000000"/>
                <w:sz w:val="18"/>
                <w:szCs w:val="18"/>
                <w:lang w:eastAsia="en-GB"/>
              </w:rPr>
            </w:pPr>
            <w:r w:rsidRPr="00A02B31">
              <w:rPr>
                <w:rFonts w:eastAsia="Times New Roman" w:cstheme="minorHAnsi"/>
                <w:color w:val="000000"/>
                <w:sz w:val="18"/>
                <w:szCs w:val="18"/>
                <w:lang w:eastAsia="en-GB"/>
              </w:rPr>
              <w:t>-</w:t>
            </w:r>
          </w:p>
        </w:tc>
        <w:tc>
          <w:tcPr>
            <w:tcW w:w="943" w:type="dxa"/>
            <w:gridSpan w:val="2"/>
            <w:tcBorders>
              <w:top w:val="nil"/>
              <w:left w:val="nil"/>
              <w:bottom w:val="nil"/>
              <w:right w:val="nil"/>
            </w:tcBorders>
            <w:shd w:val="clear" w:color="auto" w:fill="auto"/>
            <w:noWrap/>
            <w:vAlign w:val="bottom"/>
          </w:tcPr>
          <w:p w14:paraId="0C77F8F0" w14:textId="77777777" w:rsidR="00FA18EA" w:rsidRPr="00A02B31" w:rsidRDefault="00FA18EA" w:rsidP="00FA18EA">
            <w:pPr>
              <w:jc w:val="right"/>
              <w:outlineLvl w:val="0"/>
              <w:rPr>
                <w:rFonts w:eastAsia="Times New Roman" w:cstheme="minorHAnsi"/>
                <w:sz w:val="18"/>
                <w:szCs w:val="18"/>
                <w:lang w:eastAsia="en-GB"/>
              </w:rPr>
            </w:pPr>
            <w:r w:rsidRPr="00A02B31">
              <w:rPr>
                <w:rFonts w:eastAsia="Times New Roman" w:cstheme="minorHAnsi"/>
                <w:sz w:val="18"/>
                <w:szCs w:val="18"/>
                <w:lang w:eastAsia="en-GB"/>
              </w:rPr>
              <w:t>-</w:t>
            </w:r>
          </w:p>
        </w:tc>
        <w:tc>
          <w:tcPr>
            <w:tcW w:w="858" w:type="dxa"/>
            <w:tcBorders>
              <w:top w:val="nil"/>
              <w:left w:val="nil"/>
              <w:bottom w:val="nil"/>
              <w:right w:val="nil"/>
            </w:tcBorders>
            <w:shd w:val="clear" w:color="auto" w:fill="auto"/>
            <w:noWrap/>
            <w:vAlign w:val="bottom"/>
          </w:tcPr>
          <w:p w14:paraId="7195B865" w14:textId="77777777" w:rsidR="00FA18EA" w:rsidRPr="00A02B31" w:rsidRDefault="00FA18EA" w:rsidP="00FA18EA">
            <w:pPr>
              <w:jc w:val="right"/>
              <w:outlineLvl w:val="0"/>
              <w:rPr>
                <w:rFonts w:eastAsia="Times New Roman" w:cstheme="minorHAnsi"/>
                <w:sz w:val="18"/>
                <w:szCs w:val="18"/>
                <w:lang w:eastAsia="en-GB"/>
              </w:rPr>
            </w:pPr>
            <w:r w:rsidRPr="00A02B31">
              <w:rPr>
                <w:rFonts w:eastAsia="Times New Roman" w:cstheme="minorHAnsi"/>
                <w:sz w:val="18"/>
                <w:szCs w:val="18"/>
                <w:lang w:eastAsia="en-GB"/>
              </w:rPr>
              <w:t>-</w:t>
            </w:r>
          </w:p>
        </w:tc>
      </w:tr>
      <w:tr w:rsidR="00FA18EA" w:rsidRPr="007600A7" w14:paraId="61109179" w14:textId="77777777" w:rsidTr="00FA18EA">
        <w:trPr>
          <w:gridAfter w:val="1"/>
          <w:wAfter w:w="47" w:type="dxa"/>
          <w:trHeight w:val="255"/>
        </w:trPr>
        <w:tc>
          <w:tcPr>
            <w:tcW w:w="3291" w:type="dxa"/>
            <w:tcBorders>
              <w:top w:val="nil"/>
              <w:left w:val="nil"/>
              <w:bottom w:val="nil"/>
              <w:right w:val="nil"/>
            </w:tcBorders>
            <w:shd w:val="clear" w:color="auto" w:fill="auto"/>
            <w:noWrap/>
            <w:vAlign w:val="bottom"/>
          </w:tcPr>
          <w:p w14:paraId="20493B68" w14:textId="77777777" w:rsidR="00FA18EA" w:rsidRPr="008B2DDA" w:rsidRDefault="00FA18EA" w:rsidP="00FA18EA">
            <w:pPr>
              <w:outlineLvl w:val="0"/>
              <w:rPr>
                <w:rFonts w:eastAsia="Times New Roman" w:cstheme="minorHAnsi"/>
                <w:sz w:val="18"/>
                <w:szCs w:val="18"/>
                <w:lang w:eastAsia="en-GB"/>
              </w:rPr>
            </w:pPr>
            <w:r w:rsidRPr="008B2DDA">
              <w:rPr>
                <w:rFonts w:eastAsia="Times New Roman" w:cstheme="minorHAnsi"/>
                <w:sz w:val="18"/>
                <w:szCs w:val="18"/>
                <w:lang w:eastAsia="en-GB"/>
              </w:rPr>
              <w:t>N Lamb (Appointed on 20 January 2022)</w:t>
            </w:r>
          </w:p>
        </w:tc>
        <w:tc>
          <w:tcPr>
            <w:tcW w:w="1367" w:type="dxa"/>
            <w:tcBorders>
              <w:top w:val="nil"/>
              <w:left w:val="nil"/>
              <w:bottom w:val="nil"/>
              <w:right w:val="nil"/>
            </w:tcBorders>
            <w:shd w:val="clear" w:color="auto" w:fill="auto"/>
            <w:noWrap/>
            <w:vAlign w:val="bottom"/>
          </w:tcPr>
          <w:p w14:paraId="3478CD03" w14:textId="77777777" w:rsidR="00FA18EA" w:rsidRPr="0091098D" w:rsidRDefault="00FA18EA" w:rsidP="00FA18EA">
            <w:pPr>
              <w:jc w:val="right"/>
              <w:outlineLvl w:val="0"/>
              <w:rPr>
                <w:rFonts w:eastAsia="Times New Roman" w:cstheme="minorHAnsi"/>
                <w:b/>
                <w:bCs/>
                <w:sz w:val="18"/>
                <w:szCs w:val="18"/>
                <w:lang w:eastAsia="en-GB"/>
              </w:rPr>
            </w:pPr>
            <w:r w:rsidRPr="000C5053">
              <w:rPr>
                <w:rFonts w:eastAsia="Times New Roman" w:cstheme="minorHAnsi"/>
                <w:b/>
                <w:bCs/>
                <w:sz w:val="18"/>
                <w:szCs w:val="18"/>
                <w:lang w:eastAsia="en-GB"/>
              </w:rPr>
              <w:t>8.3</w:t>
            </w:r>
          </w:p>
        </w:tc>
        <w:tc>
          <w:tcPr>
            <w:tcW w:w="1035" w:type="dxa"/>
            <w:tcBorders>
              <w:top w:val="nil"/>
              <w:left w:val="nil"/>
              <w:bottom w:val="nil"/>
              <w:right w:val="nil"/>
            </w:tcBorders>
            <w:shd w:val="clear" w:color="auto" w:fill="auto"/>
            <w:noWrap/>
            <w:vAlign w:val="bottom"/>
          </w:tcPr>
          <w:p w14:paraId="195DC9D4" w14:textId="77777777" w:rsidR="00FA18EA" w:rsidRPr="0075195E" w:rsidRDefault="00FA18EA" w:rsidP="00FA18EA">
            <w:pPr>
              <w:jc w:val="right"/>
              <w:outlineLvl w:val="0"/>
              <w:rPr>
                <w:rFonts w:eastAsia="Times New Roman" w:cstheme="minorHAnsi"/>
                <w:b/>
                <w:bCs/>
                <w:sz w:val="18"/>
                <w:szCs w:val="18"/>
                <w:lang w:eastAsia="en-GB"/>
              </w:rPr>
            </w:pPr>
            <w:r w:rsidRPr="0075195E">
              <w:rPr>
                <w:rFonts w:eastAsia="Times New Roman" w:cstheme="minorHAnsi"/>
                <w:b/>
                <w:bCs/>
                <w:sz w:val="18"/>
                <w:szCs w:val="18"/>
                <w:lang w:eastAsia="en-GB"/>
              </w:rPr>
              <w:t>-</w:t>
            </w:r>
          </w:p>
        </w:tc>
        <w:tc>
          <w:tcPr>
            <w:tcW w:w="744" w:type="dxa"/>
            <w:tcBorders>
              <w:top w:val="nil"/>
              <w:left w:val="nil"/>
              <w:bottom w:val="nil"/>
              <w:right w:val="nil"/>
            </w:tcBorders>
            <w:shd w:val="clear" w:color="auto" w:fill="auto"/>
            <w:noWrap/>
            <w:vAlign w:val="bottom"/>
          </w:tcPr>
          <w:p w14:paraId="3E148669" w14:textId="77777777" w:rsidR="00FA18EA" w:rsidRPr="00536A35" w:rsidRDefault="00FA18EA" w:rsidP="00FA18EA">
            <w:pPr>
              <w:jc w:val="right"/>
              <w:outlineLvl w:val="0"/>
              <w:rPr>
                <w:rFonts w:eastAsia="Times New Roman" w:cstheme="minorHAnsi"/>
                <w:b/>
                <w:bCs/>
                <w:sz w:val="18"/>
                <w:szCs w:val="18"/>
                <w:lang w:eastAsia="en-GB"/>
              </w:rPr>
            </w:pPr>
            <w:r w:rsidRPr="00536A35">
              <w:rPr>
                <w:rFonts w:eastAsia="Times New Roman" w:cstheme="minorHAnsi"/>
                <w:b/>
                <w:bCs/>
                <w:sz w:val="18"/>
                <w:szCs w:val="18"/>
                <w:lang w:eastAsia="en-GB"/>
              </w:rPr>
              <w:t>8.3</w:t>
            </w:r>
          </w:p>
        </w:tc>
        <w:tc>
          <w:tcPr>
            <w:tcW w:w="1353" w:type="dxa"/>
            <w:gridSpan w:val="2"/>
            <w:tcBorders>
              <w:top w:val="nil"/>
              <w:left w:val="nil"/>
              <w:bottom w:val="nil"/>
              <w:right w:val="nil"/>
            </w:tcBorders>
            <w:shd w:val="clear" w:color="auto" w:fill="auto"/>
            <w:noWrap/>
            <w:vAlign w:val="bottom"/>
          </w:tcPr>
          <w:p w14:paraId="34752D0E" w14:textId="77777777" w:rsidR="00FA18EA" w:rsidRPr="00A02B31" w:rsidRDefault="00FA18EA" w:rsidP="00FA18EA">
            <w:pPr>
              <w:jc w:val="right"/>
              <w:outlineLvl w:val="0"/>
              <w:rPr>
                <w:rFonts w:eastAsia="Times New Roman" w:cstheme="minorHAnsi"/>
                <w:color w:val="000000"/>
                <w:sz w:val="18"/>
                <w:szCs w:val="18"/>
                <w:lang w:eastAsia="en-GB"/>
              </w:rPr>
            </w:pPr>
            <w:r w:rsidRPr="00A02B31">
              <w:rPr>
                <w:rFonts w:eastAsia="Times New Roman" w:cstheme="minorHAnsi"/>
                <w:color w:val="000000"/>
                <w:sz w:val="18"/>
                <w:szCs w:val="18"/>
                <w:lang w:eastAsia="en-GB"/>
              </w:rPr>
              <w:t>-</w:t>
            </w:r>
          </w:p>
        </w:tc>
        <w:tc>
          <w:tcPr>
            <w:tcW w:w="943" w:type="dxa"/>
            <w:gridSpan w:val="2"/>
            <w:tcBorders>
              <w:top w:val="nil"/>
              <w:left w:val="nil"/>
              <w:bottom w:val="nil"/>
              <w:right w:val="nil"/>
            </w:tcBorders>
            <w:shd w:val="clear" w:color="auto" w:fill="auto"/>
            <w:noWrap/>
            <w:vAlign w:val="bottom"/>
          </w:tcPr>
          <w:p w14:paraId="0E4E53CC" w14:textId="77777777" w:rsidR="00FA18EA" w:rsidRPr="00A02B31" w:rsidRDefault="00FA18EA" w:rsidP="00FA18EA">
            <w:pPr>
              <w:jc w:val="right"/>
              <w:outlineLvl w:val="0"/>
              <w:rPr>
                <w:rFonts w:eastAsia="Times New Roman" w:cstheme="minorHAnsi"/>
                <w:sz w:val="18"/>
                <w:szCs w:val="18"/>
                <w:lang w:eastAsia="en-GB"/>
              </w:rPr>
            </w:pPr>
            <w:r w:rsidRPr="00A02B31">
              <w:rPr>
                <w:rFonts w:eastAsia="Times New Roman" w:cstheme="minorHAnsi"/>
                <w:sz w:val="18"/>
                <w:szCs w:val="18"/>
                <w:lang w:eastAsia="en-GB"/>
              </w:rPr>
              <w:t>-</w:t>
            </w:r>
          </w:p>
        </w:tc>
        <w:tc>
          <w:tcPr>
            <w:tcW w:w="858" w:type="dxa"/>
            <w:tcBorders>
              <w:top w:val="nil"/>
              <w:left w:val="nil"/>
              <w:bottom w:val="nil"/>
              <w:right w:val="nil"/>
            </w:tcBorders>
            <w:shd w:val="clear" w:color="auto" w:fill="auto"/>
            <w:noWrap/>
            <w:vAlign w:val="bottom"/>
          </w:tcPr>
          <w:p w14:paraId="6DF16730" w14:textId="77777777" w:rsidR="00FA18EA" w:rsidRPr="00A02B31" w:rsidRDefault="00FA18EA" w:rsidP="00FA18EA">
            <w:pPr>
              <w:jc w:val="right"/>
              <w:outlineLvl w:val="0"/>
              <w:rPr>
                <w:rFonts w:eastAsia="Times New Roman" w:cstheme="minorHAnsi"/>
                <w:sz w:val="18"/>
                <w:szCs w:val="18"/>
                <w:lang w:eastAsia="en-GB"/>
              </w:rPr>
            </w:pPr>
            <w:r w:rsidRPr="00A02B31">
              <w:rPr>
                <w:rFonts w:eastAsia="Times New Roman" w:cstheme="minorHAnsi"/>
                <w:sz w:val="18"/>
                <w:szCs w:val="18"/>
                <w:lang w:eastAsia="en-GB"/>
              </w:rPr>
              <w:t>-</w:t>
            </w:r>
          </w:p>
        </w:tc>
      </w:tr>
      <w:tr w:rsidR="00FA18EA" w:rsidRPr="007600A7" w14:paraId="25028B4C" w14:textId="77777777" w:rsidTr="00FA18EA">
        <w:trPr>
          <w:gridAfter w:val="1"/>
          <w:wAfter w:w="47" w:type="dxa"/>
          <w:trHeight w:val="255"/>
        </w:trPr>
        <w:tc>
          <w:tcPr>
            <w:tcW w:w="3291" w:type="dxa"/>
            <w:tcBorders>
              <w:top w:val="nil"/>
              <w:left w:val="nil"/>
              <w:bottom w:val="nil"/>
              <w:right w:val="nil"/>
            </w:tcBorders>
            <w:shd w:val="clear" w:color="auto" w:fill="auto"/>
            <w:noWrap/>
            <w:vAlign w:val="bottom"/>
            <w:hideMark/>
          </w:tcPr>
          <w:p w14:paraId="53A9C4AB" w14:textId="77777777" w:rsidR="00FA18EA" w:rsidRPr="008B2DDA" w:rsidRDefault="00FA18EA" w:rsidP="00FA18EA">
            <w:pPr>
              <w:outlineLvl w:val="0"/>
              <w:rPr>
                <w:rFonts w:eastAsia="Times New Roman" w:cstheme="minorHAnsi"/>
                <w:sz w:val="18"/>
                <w:szCs w:val="18"/>
                <w:lang w:eastAsia="en-GB"/>
              </w:rPr>
            </w:pPr>
            <w:r w:rsidRPr="008B2DDA">
              <w:rPr>
                <w:rFonts w:eastAsia="Times New Roman" w:cstheme="minorHAnsi"/>
                <w:sz w:val="18"/>
                <w:szCs w:val="18"/>
                <w:lang w:eastAsia="en-GB"/>
              </w:rPr>
              <w:t>Social security costs</w:t>
            </w:r>
          </w:p>
        </w:tc>
        <w:tc>
          <w:tcPr>
            <w:tcW w:w="1367" w:type="dxa"/>
            <w:tcBorders>
              <w:top w:val="nil"/>
              <w:left w:val="nil"/>
              <w:bottom w:val="nil"/>
              <w:right w:val="nil"/>
            </w:tcBorders>
            <w:shd w:val="clear" w:color="auto" w:fill="auto"/>
            <w:noWrap/>
            <w:vAlign w:val="bottom"/>
            <w:hideMark/>
          </w:tcPr>
          <w:p w14:paraId="32EABBAC" w14:textId="77777777" w:rsidR="00FA18EA" w:rsidRPr="0091098D" w:rsidRDefault="00FA18EA" w:rsidP="00FA18EA">
            <w:pPr>
              <w:jc w:val="right"/>
              <w:outlineLvl w:val="0"/>
              <w:rPr>
                <w:rFonts w:eastAsia="Times New Roman" w:cstheme="minorHAnsi"/>
                <w:b/>
                <w:bCs/>
                <w:sz w:val="18"/>
                <w:szCs w:val="18"/>
                <w:lang w:eastAsia="en-GB"/>
              </w:rPr>
            </w:pPr>
            <w:r w:rsidRPr="000C5053">
              <w:rPr>
                <w:rFonts w:eastAsia="Times New Roman" w:cstheme="minorHAnsi"/>
                <w:b/>
                <w:bCs/>
                <w:sz w:val="18"/>
                <w:szCs w:val="18"/>
                <w:lang w:eastAsia="en-GB"/>
              </w:rPr>
              <w:t>-</w:t>
            </w:r>
          </w:p>
        </w:tc>
        <w:tc>
          <w:tcPr>
            <w:tcW w:w="1035" w:type="dxa"/>
            <w:tcBorders>
              <w:top w:val="nil"/>
              <w:left w:val="nil"/>
              <w:bottom w:val="nil"/>
              <w:right w:val="nil"/>
            </w:tcBorders>
            <w:shd w:val="clear" w:color="auto" w:fill="auto"/>
            <w:noWrap/>
            <w:vAlign w:val="bottom"/>
            <w:hideMark/>
          </w:tcPr>
          <w:p w14:paraId="722E905F" w14:textId="77777777" w:rsidR="00FA18EA" w:rsidRPr="0075195E" w:rsidRDefault="00FA18EA" w:rsidP="00FA18EA">
            <w:pPr>
              <w:jc w:val="right"/>
              <w:outlineLvl w:val="0"/>
              <w:rPr>
                <w:rFonts w:eastAsia="Times New Roman" w:cstheme="minorHAnsi"/>
                <w:b/>
                <w:bCs/>
                <w:sz w:val="18"/>
                <w:szCs w:val="18"/>
                <w:lang w:eastAsia="en-GB"/>
              </w:rPr>
            </w:pPr>
            <w:r w:rsidRPr="0075195E">
              <w:rPr>
                <w:rFonts w:eastAsia="Times New Roman" w:cstheme="minorHAnsi"/>
                <w:b/>
                <w:bCs/>
                <w:sz w:val="18"/>
                <w:szCs w:val="18"/>
                <w:lang w:eastAsia="en-GB"/>
              </w:rPr>
              <w:t>12</w:t>
            </w:r>
          </w:p>
        </w:tc>
        <w:tc>
          <w:tcPr>
            <w:tcW w:w="744" w:type="dxa"/>
            <w:tcBorders>
              <w:top w:val="nil"/>
              <w:left w:val="nil"/>
              <w:bottom w:val="nil"/>
              <w:right w:val="nil"/>
            </w:tcBorders>
            <w:shd w:val="clear" w:color="auto" w:fill="auto"/>
            <w:noWrap/>
            <w:vAlign w:val="bottom"/>
            <w:hideMark/>
          </w:tcPr>
          <w:p w14:paraId="7F657303" w14:textId="77777777" w:rsidR="00FA18EA" w:rsidRPr="00536A35" w:rsidRDefault="00FA18EA" w:rsidP="00FA18EA">
            <w:pPr>
              <w:jc w:val="right"/>
              <w:outlineLvl w:val="0"/>
              <w:rPr>
                <w:rFonts w:eastAsia="Times New Roman" w:cstheme="minorHAnsi"/>
                <w:b/>
                <w:bCs/>
                <w:sz w:val="18"/>
                <w:szCs w:val="18"/>
                <w:lang w:eastAsia="en-GB"/>
              </w:rPr>
            </w:pPr>
            <w:r w:rsidRPr="00536A35">
              <w:rPr>
                <w:rFonts w:eastAsia="Times New Roman" w:cstheme="minorHAnsi"/>
                <w:b/>
                <w:bCs/>
                <w:sz w:val="18"/>
                <w:szCs w:val="18"/>
                <w:lang w:eastAsia="en-GB"/>
              </w:rPr>
              <w:t>12</w:t>
            </w:r>
          </w:p>
        </w:tc>
        <w:tc>
          <w:tcPr>
            <w:tcW w:w="1353" w:type="dxa"/>
            <w:gridSpan w:val="2"/>
            <w:tcBorders>
              <w:top w:val="nil"/>
              <w:left w:val="nil"/>
              <w:bottom w:val="nil"/>
              <w:right w:val="nil"/>
            </w:tcBorders>
            <w:shd w:val="clear" w:color="auto" w:fill="auto"/>
            <w:noWrap/>
            <w:vAlign w:val="bottom"/>
            <w:hideMark/>
          </w:tcPr>
          <w:p w14:paraId="71FA2682" w14:textId="77777777" w:rsidR="00FA18EA" w:rsidRPr="00A02B31" w:rsidRDefault="00FA18EA" w:rsidP="00FA18EA">
            <w:pPr>
              <w:jc w:val="right"/>
              <w:outlineLvl w:val="0"/>
              <w:rPr>
                <w:rFonts w:eastAsia="Times New Roman" w:cstheme="minorHAnsi"/>
                <w:sz w:val="18"/>
                <w:szCs w:val="18"/>
                <w:lang w:eastAsia="en-GB"/>
              </w:rPr>
            </w:pPr>
            <w:r w:rsidRPr="00A02B31">
              <w:rPr>
                <w:rFonts w:eastAsia="Times New Roman" w:cstheme="minorHAnsi"/>
                <w:sz w:val="18"/>
                <w:szCs w:val="18"/>
                <w:lang w:eastAsia="en-GB"/>
              </w:rPr>
              <w:t>-</w:t>
            </w:r>
          </w:p>
        </w:tc>
        <w:tc>
          <w:tcPr>
            <w:tcW w:w="943" w:type="dxa"/>
            <w:gridSpan w:val="2"/>
            <w:tcBorders>
              <w:top w:val="nil"/>
              <w:left w:val="nil"/>
              <w:bottom w:val="nil"/>
              <w:right w:val="nil"/>
            </w:tcBorders>
            <w:shd w:val="clear" w:color="auto" w:fill="auto"/>
            <w:noWrap/>
            <w:vAlign w:val="bottom"/>
            <w:hideMark/>
          </w:tcPr>
          <w:p w14:paraId="24A44323" w14:textId="77777777" w:rsidR="00FA18EA" w:rsidRPr="00A02B31" w:rsidRDefault="00FA18EA" w:rsidP="00FA18EA">
            <w:pPr>
              <w:jc w:val="right"/>
              <w:outlineLvl w:val="0"/>
              <w:rPr>
                <w:rFonts w:eastAsia="Times New Roman" w:cstheme="minorHAnsi"/>
                <w:sz w:val="18"/>
                <w:szCs w:val="18"/>
                <w:lang w:eastAsia="en-GB"/>
              </w:rPr>
            </w:pPr>
            <w:r w:rsidRPr="00A02B31">
              <w:rPr>
                <w:rFonts w:eastAsia="Times New Roman" w:cstheme="minorHAnsi"/>
                <w:sz w:val="18"/>
                <w:szCs w:val="18"/>
                <w:lang w:eastAsia="en-GB"/>
              </w:rPr>
              <w:t>10</w:t>
            </w:r>
          </w:p>
        </w:tc>
        <w:tc>
          <w:tcPr>
            <w:tcW w:w="858" w:type="dxa"/>
            <w:tcBorders>
              <w:top w:val="nil"/>
              <w:left w:val="nil"/>
              <w:bottom w:val="nil"/>
              <w:right w:val="nil"/>
            </w:tcBorders>
            <w:shd w:val="clear" w:color="auto" w:fill="auto"/>
            <w:noWrap/>
            <w:vAlign w:val="bottom"/>
            <w:hideMark/>
          </w:tcPr>
          <w:p w14:paraId="4CB05D92" w14:textId="77777777" w:rsidR="00FA18EA" w:rsidRPr="00A02B31" w:rsidRDefault="00FA18EA" w:rsidP="00FA18EA">
            <w:pPr>
              <w:jc w:val="right"/>
              <w:outlineLvl w:val="0"/>
              <w:rPr>
                <w:rFonts w:eastAsia="Times New Roman" w:cstheme="minorHAnsi"/>
                <w:sz w:val="18"/>
                <w:szCs w:val="18"/>
                <w:lang w:eastAsia="en-GB"/>
              </w:rPr>
            </w:pPr>
            <w:r w:rsidRPr="00A02B31">
              <w:rPr>
                <w:rFonts w:eastAsia="Times New Roman" w:cstheme="minorHAnsi"/>
                <w:sz w:val="18"/>
                <w:szCs w:val="18"/>
                <w:lang w:eastAsia="en-GB"/>
              </w:rPr>
              <w:t>10</w:t>
            </w:r>
          </w:p>
        </w:tc>
      </w:tr>
      <w:tr w:rsidR="00FA18EA" w:rsidRPr="007600A7" w14:paraId="4651D4CE" w14:textId="77777777" w:rsidTr="00FA18EA">
        <w:trPr>
          <w:gridAfter w:val="1"/>
          <w:wAfter w:w="47" w:type="dxa"/>
          <w:trHeight w:val="270"/>
        </w:trPr>
        <w:tc>
          <w:tcPr>
            <w:tcW w:w="3291" w:type="dxa"/>
            <w:tcBorders>
              <w:top w:val="single" w:sz="4" w:space="0" w:color="auto"/>
              <w:left w:val="nil"/>
              <w:bottom w:val="single" w:sz="8" w:space="0" w:color="auto"/>
              <w:right w:val="nil"/>
            </w:tcBorders>
            <w:shd w:val="clear" w:color="auto" w:fill="auto"/>
            <w:noWrap/>
            <w:vAlign w:val="bottom"/>
            <w:hideMark/>
          </w:tcPr>
          <w:p w14:paraId="6DA6B39B" w14:textId="77777777" w:rsidR="00FA18EA" w:rsidRPr="008B2DDA" w:rsidRDefault="00FA18EA" w:rsidP="00FA18EA">
            <w:pPr>
              <w:outlineLvl w:val="0"/>
              <w:rPr>
                <w:rFonts w:eastAsia="Times New Roman" w:cstheme="minorHAnsi"/>
                <w:sz w:val="18"/>
                <w:szCs w:val="18"/>
                <w:lang w:eastAsia="en-GB"/>
              </w:rPr>
            </w:pPr>
            <w:r w:rsidRPr="008B2DDA">
              <w:rPr>
                <w:rFonts w:eastAsia="Times New Roman" w:cstheme="minorHAnsi"/>
                <w:sz w:val="18"/>
                <w:szCs w:val="18"/>
                <w:lang w:eastAsia="en-GB"/>
              </w:rPr>
              <w:t> </w:t>
            </w:r>
          </w:p>
        </w:tc>
        <w:tc>
          <w:tcPr>
            <w:tcW w:w="1367" w:type="dxa"/>
            <w:tcBorders>
              <w:top w:val="single" w:sz="4" w:space="0" w:color="auto"/>
              <w:left w:val="nil"/>
              <w:bottom w:val="single" w:sz="8" w:space="0" w:color="auto"/>
              <w:right w:val="nil"/>
            </w:tcBorders>
            <w:shd w:val="clear" w:color="auto" w:fill="auto"/>
            <w:noWrap/>
            <w:vAlign w:val="bottom"/>
            <w:hideMark/>
          </w:tcPr>
          <w:p w14:paraId="2F4528B6" w14:textId="77777777" w:rsidR="00FA18EA" w:rsidRPr="0091098D" w:rsidRDefault="00FA18EA" w:rsidP="00FA18EA">
            <w:pPr>
              <w:jc w:val="right"/>
              <w:outlineLvl w:val="0"/>
              <w:rPr>
                <w:rFonts w:eastAsia="Times New Roman" w:cstheme="minorHAnsi"/>
                <w:b/>
                <w:bCs/>
                <w:sz w:val="18"/>
                <w:szCs w:val="18"/>
                <w:lang w:eastAsia="en-GB"/>
              </w:rPr>
            </w:pPr>
            <w:r w:rsidRPr="000C5053">
              <w:rPr>
                <w:rFonts w:eastAsia="Times New Roman" w:cstheme="minorHAnsi"/>
                <w:b/>
                <w:bCs/>
                <w:sz w:val="18"/>
                <w:szCs w:val="18"/>
                <w:lang w:eastAsia="en-GB"/>
              </w:rPr>
              <w:t>161.0</w:t>
            </w:r>
          </w:p>
        </w:tc>
        <w:tc>
          <w:tcPr>
            <w:tcW w:w="1035" w:type="dxa"/>
            <w:tcBorders>
              <w:top w:val="single" w:sz="4" w:space="0" w:color="auto"/>
              <w:left w:val="nil"/>
              <w:bottom w:val="single" w:sz="8" w:space="0" w:color="auto"/>
              <w:right w:val="nil"/>
            </w:tcBorders>
            <w:shd w:val="clear" w:color="auto" w:fill="auto"/>
            <w:noWrap/>
            <w:vAlign w:val="bottom"/>
            <w:hideMark/>
          </w:tcPr>
          <w:p w14:paraId="0B379B12" w14:textId="77777777" w:rsidR="00FA18EA" w:rsidRPr="0075195E" w:rsidRDefault="00FA18EA" w:rsidP="00FA18EA">
            <w:pPr>
              <w:jc w:val="right"/>
              <w:outlineLvl w:val="0"/>
              <w:rPr>
                <w:rFonts w:eastAsia="Times New Roman" w:cstheme="minorHAnsi"/>
                <w:b/>
                <w:bCs/>
                <w:sz w:val="18"/>
                <w:szCs w:val="18"/>
                <w:lang w:eastAsia="en-GB"/>
              </w:rPr>
            </w:pPr>
            <w:r w:rsidRPr="0075195E">
              <w:rPr>
                <w:rFonts w:eastAsia="Times New Roman" w:cstheme="minorHAnsi"/>
                <w:b/>
                <w:bCs/>
                <w:sz w:val="18"/>
                <w:szCs w:val="18"/>
                <w:lang w:eastAsia="en-GB"/>
              </w:rPr>
              <w:t>12</w:t>
            </w:r>
          </w:p>
        </w:tc>
        <w:tc>
          <w:tcPr>
            <w:tcW w:w="744" w:type="dxa"/>
            <w:tcBorders>
              <w:top w:val="single" w:sz="4" w:space="0" w:color="auto"/>
              <w:left w:val="nil"/>
              <w:bottom w:val="single" w:sz="8" w:space="0" w:color="auto"/>
              <w:right w:val="nil"/>
            </w:tcBorders>
            <w:shd w:val="clear" w:color="auto" w:fill="auto"/>
            <w:noWrap/>
            <w:vAlign w:val="bottom"/>
            <w:hideMark/>
          </w:tcPr>
          <w:p w14:paraId="6F44C9EB" w14:textId="77777777" w:rsidR="00FA18EA" w:rsidRPr="00536A35" w:rsidRDefault="00FA18EA" w:rsidP="00FA18EA">
            <w:pPr>
              <w:jc w:val="right"/>
              <w:outlineLvl w:val="0"/>
              <w:rPr>
                <w:rFonts w:eastAsia="Times New Roman" w:cstheme="minorHAnsi"/>
                <w:b/>
                <w:bCs/>
                <w:sz w:val="18"/>
                <w:szCs w:val="18"/>
                <w:lang w:eastAsia="en-GB"/>
              </w:rPr>
            </w:pPr>
            <w:r w:rsidRPr="00536A35">
              <w:rPr>
                <w:rFonts w:eastAsia="Times New Roman" w:cstheme="minorHAnsi"/>
                <w:b/>
                <w:bCs/>
                <w:sz w:val="18"/>
                <w:szCs w:val="18"/>
                <w:lang w:eastAsia="en-GB"/>
              </w:rPr>
              <w:t>173.0</w:t>
            </w:r>
          </w:p>
        </w:tc>
        <w:tc>
          <w:tcPr>
            <w:tcW w:w="1353" w:type="dxa"/>
            <w:gridSpan w:val="2"/>
            <w:tcBorders>
              <w:top w:val="single" w:sz="4" w:space="0" w:color="auto"/>
              <w:left w:val="nil"/>
              <w:bottom w:val="single" w:sz="8" w:space="0" w:color="auto"/>
              <w:right w:val="nil"/>
            </w:tcBorders>
            <w:shd w:val="clear" w:color="auto" w:fill="auto"/>
            <w:noWrap/>
            <w:vAlign w:val="bottom"/>
            <w:hideMark/>
          </w:tcPr>
          <w:p w14:paraId="3D03280B" w14:textId="77777777" w:rsidR="00FA18EA" w:rsidRPr="00A02B31" w:rsidRDefault="00FA18EA" w:rsidP="00FA18EA">
            <w:pPr>
              <w:jc w:val="right"/>
              <w:outlineLvl w:val="0"/>
              <w:rPr>
                <w:rFonts w:eastAsia="Times New Roman" w:cstheme="minorHAnsi"/>
                <w:sz w:val="18"/>
                <w:szCs w:val="18"/>
                <w:lang w:eastAsia="en-GB"/>
              </w:rPr>
            </w:pPr>
            <w:r w:rsidRPr="00A02B31">
              <w:rPr>
                <w:rFonts w:eastAsia="Times New Roman" w:cstheme="minorHAnsi"/>
                <w:sz w:val="18"/>
                <w:szCs w:val="18"/>
                <w:lang w:eastAsia="en-GB"/>
              </w:rPr>
              <w:t>137.5</w:t>
            </w:r>
          </w:p>
        </w:tc>
        <w:tc>
          <w:tcPr>
            <w:tcW w:w="943" w:type="dxa"/>
            <w:gridSpan w:val="2"/>
            <w:tcBorders>
              <w:top w:val="single" w:sz="4" w:space="0" w:color="auto"/>
              <w:left w:val="nil"/>
              <w:bottom w:val="single" w:sz="8" w:space="0" w:color="auto"/>
              <w:right w:val="nil"/>
            </w:tcBorders>
            <w:shd w:val="clear" w:color="auto" w:fill="auto"/>
            <w:noWrap/>
            <w:vAlign w:val="bottom"/>
            <w:hideMark/>
          </w:tcPr>
          <w:p w14:paraId="3D240896" w14:textId="77777777" w:rsidR="00FA18EA" w:rsidRPr="00A02B31" w:rsidRDefault="00FA18EA" w:rsidP="00FA18EA">
            <w:pPr>
              <w:jc w:val="right"/>
              <w:outlineLvl w:val="0"/>
              <w:rPr>
                <w:rFonts w:eastAsia="Times New Roman" w:cstheme="minorHAnsi"/>
                <w:sz w:val="18"/>
                <w:szCs w:val="18"/>
                <w:lang w:eastAsia="en-GB"/>
              </w:rPr>
            </w:pPr>
            <w:r w:rsidRPr="00A02B31">
              <w:rPr>
                <w:rFonts w:eastAsia="Times New Roman" w:cstheme="minorHAnsi"/>
                <w:sz w:val="18"/>
                <w:szCs w:val="18"/>
                <w:lang w:eastAsia="en-GB"/>
              </w:rPr>
              <w:t>10</w:t>
            </w:r>
          </w:p>
        </w:tc>
        <w:tc>
          <w:tcPr>
            <w:tcW w:w="858" w:type="dxa"/>
            <w:tcBorders>
              <w:top w:val="single" w:sz="4" w:space="0" w:color="auto"/>
              <w:left w:val="nil"/>
              <w:bottom w:val="single" w:sz="8" w:space="0" w:color="auto"/>
              <w:right w:val="nil"/>
            </w:tcBorders>
            <w:shd w:val="clear" w:color="auto" w:fill="auto"/>
            <w:noWrap/>
            <w:vAlign w:val="bottom"/>
            <w:hideMark/>
          </w:tcPr>
          <w:p w14:paraId="2A6A2D1F" w14:textId="77777777" w:rsidR="00FA18EA" w:rsidRPr="00A02B31" w:rsidRDefault="00FA18EA" w:rsidP="00FA18EA">
            <w:pPr>
              <w:jc w:val="right"/>
              <w:outlineLvl w:val="0"/>
              <w:rPr>
                <w:rFonts w:eastAsia="Times New Roman" w:cstheme="minorHAnsi"/>
                <w:sz w:val="18"/>
                <w:szCs w:val="18"/>
                <w:lang w:eastAsia="en-GB"/>
              </w:rPr>
            </w:pPr>
            <w:r w:rsidRPr="00A02B31">
              <w:rPr>
                <w:rFonts w:eastAsia="Times New Roman" w:cstheme="minorHAnsi"/>
                <w:sz w:val="18"/>
                <w:szCs w:val="18"/>
                <w:lang w:eastAsia="en-GB"/>
              </w:rPr>
              <w:t>147.5</w:t>
            </w:r>
          </w:p>
        </w:tc>
      </w:tr>
    </w:tbl>
    <w:p w14:paraId="4C5DB4CF" w14:textId="77777777" w:rsidR="00FA18EA" w:rsidRPr="008B2DDA" w:rsidRDefault="00FA18EA" w:rsidP="00FA18EA">
      <w:pPr>
        <w:autoSpaceDE w:val="0"/>
        <w:autoSpaceDN w:val="0"/>
        <w:adjustRightInd w:val="0"/>
        <w:jc w:val="both"/>
        <w:rPr>
          <w:rFonts w:cstheme="minorHAnsi"/>
          <w:color w:val="000000" w:themeColor="text1"/>
          <w:sz w:val="18"/>
          <w:szCs w:val="18"/>
        </w:rPr>
      </w:pPr>
    </w:p>
    <w:p w14:paraId="41EE3819" w14:textId="77777777" w:rsidR="00FA18EA" w:rsidRPr="0091098D" w:rsidRDefault="00FA18EA" w:rsidP="00FA18EA">
      <w:pPr>
        <w:autoSpaceDE w:val="0"/>
        <w:autoSpaceDN w:val="0"/>
        <w:adjustRightInd w:val="0"/>
        <w:jc w:val="both"/>
        <w:rPr>
          <w:rFonts w:cstheme="minorHAnsi"/>
          <w:color w:val="000000" w:themeColor="text1"/>
          <w:sz w:val="18"/>
          <w:szCs w:val="18"/>
        </w:rPr>
      </w:pPr>
      <w:r w:rsidRPr="000C5053">
        <w:rPr>
          <w:rFonts w:cstheme="minorHAnsi"/>
          <w:color w:val="000000" w:themeColor="text1"/>
          <w:sz w:val="18"/>
          <w:szCs w:val="18"/>
        </w:rPr>
        <w:t>The Company has no employees.</w:t>
      </w:r>
    </w:p>
    <w:p w14:paraId="6AEAFB2F" w14:textId="77777777" w:rsidR="00FA18EA" w:rsidRPr="0075195E" w:rsidRDefault="00FA18EA" w:rsidP="00FA18EA">
      <w:pPr>
        <w:autoSpaceDE w:val="0"/>
        <w:autoSpaceDN w:val="0"/>
        <w:adjustRightInd w:val="0"/>
        <w:jc w:val="both"/>
        <w:rPr>
          <w:rFonts w:cstheme="minorHAnsi"/>
          <w:color w:val="000000" w:themeColor="text1"/>
          <w:sz w:val="18"/>
          <w:szCs w:val="18"/>
        </w:rPr>
      </w:pPr>
    </w:p>
    <w:p w14:paraId="53B32DB0" w14:textId="77777777" w:rsidR="00FA18EA" w:rsidRPr="00536A35" w:rsidRDefault="00FA18EA" w:rsidP="00FA18EA">
      <w:pPr>
        <w:autoSpaceDE w:val="0"/>
        <w:autoSpaceDN w:val="0"/>
        <w:adjustRightInd w:val="0"/>
        <w:rPr>
          <w:rFonts w:cstheme="minorHAnsi"/>
          <w:b/>
          <w:color w:val="000000"/>
        </w:rPr>
      </w:pPr>
    </w:p>
    <w:p w14:paraId="1BEC9D45" w14:textId="77777777" w:rsidR="00FA18EA" w:rsidRPr="00A02B31" w:rsidRDefault="00FA18EA" w:rsidP="00FA18EA">
      <w:pPr>
        <w:pageBreakBefore/>
        <w:autoSpaceDE w:val="0"/>
        <w:autoSpaceDN w:val="0"/>
        <w:adjustRightInd w:val="0"/>
        <w:rPr>
          <w:rFonts w:cstheme="minorHAnsi"/>
          <w:b/>
          <w:color w:val="000000"/>
        </w:rPr>
      </w:pPr>
      <w:r w:rsidRPr="00536A35">
        <w:rPr>
          <w:rFonts w:cstheme="minorHAnsi"/>
          <w:b/>
          <w:color w:val="000000"/>
          <w:sz w:val="28"/>
        </w:rPr>
        <w:lastRenderedPageBreak/>
        <w:t>Notes to the Financial Statements (continued)</w:t>
      </w:r>
    </w:p>
    <w:p w14:paraId="5F5A1BDC" w14:textId="77777777" w:rsidR="00FA18EA" w:rsidRPr="00A02B31" w:rsidRDefault="00FA18EA" w:rsidP="00FA18EA">
      <w:pPr>
        <w:autoSpaceDE w:val="0"/>
        <w:autoSpaceDN w:val="0"/>
        <w:adjustRightInd w:val="0"/>
        <w:rPr>
          <w:rFonts w:cstheme="minorHAnsi"/>
          <w:b/>
          <w:color w:val="000000"/>
        </w:rPr>
      </w:pPr>
    </w:p>
    <w:p w14:paraId="1EEB9ED1" w14:textId="77777777" w:rsidR="00FA18EA" w:rsidRPr="00A02B31" w:rsidRDefault="00FA18EA" w:rsidP="00FA18EA">
      <w:pPr>
        <w:autoSpaceDE w:val="0"/>
        <w:autoSpaceDN w:val="0"/>
        <w:adjustRightInd w:val="0"/>
        <w:rPr>
          <w:rFonts w:cstheme="minorHAnsi"/>
          <w:b/>
          <w:color w:val="000000"/>
        </w:rPr>
      </w:pPr>
      <w:r w:rsidRPr="00A02B31">
        <w:rPr>
          <w:rFonts w:cstheme="minorHAnsi"/>
          <w:b/>
          <w:color w:val="000000"/>
        </w:rPr>
        <w:t>3 Information regarding Directors and employees (continued)</w:t>
      </w:r>
    </w:p>
    <w:p w14:paraId="50386DE0" w14:textId="77777777" w:rsidR="00FA18EA" w:rsidRPr="00A02B31" w:rsidRDefault="00FA18EA" w:rsidP="00FA18EA">
      <w:pPr>
        <w:autoSpaceDE w:val="0"/>
        <w:autoSpaceDN w:val="0"/>
        <w:adjustRightInd w:val="0"/>
        <w:jc w:val="both"/>
        <w:rPr>
          <w:rFonts w:cstheme="minorHAnsi"/>
          <w:color w:val="000000" w:themeColor="text1"/>
          <w:sz w:val="18"/>
          <w:szCs w:val="18"/>
        </w:rPr>
      </w:pPr>
    </w:p>
    <w:tbl>
      <w:tblPr>
        <w:tblW w:w="9638" w:type="dxa"/>
        <w:tblInd w:w="108" w:type="dxa"/>
        <w:tblLook w:val="04A0" w:firstRow="1" w:lastRow="0" w:firstColumn="1" w:lastColumn="0" w:noHBand="0" w:noVBand="1"/>
      </w:tblPr>
      <w:tblGrid>
        <w:gridCol w:w="6998"/>
        <w:gridCol w:w="1359"/>
        <w:gridCol w:w="1281"/>
      </w:tblGrid>
      <w:tr w:rsidR="00FA18EA" w:rsidRPr="007600A7" w14:paraId="74B631F6" w14:textId="77777777" w:rsidTr="00FA18EA">
        <w:trPr>
          <w:trHeight w:val="222"/>
        </w:trPr>
        <w:tc>
          <w:tcPr>
            <w:tcW w:w="6998" w:type="dxa"/>
            <w:tcBorders>
              <w:top w:val="single" w:sz="4" w:space="0" w:color="auto"/>
              <w:left w:val="nil"/>
              <w:bottom w:val="nil"/>
              <w:right w:val="nil"/>
            </w:tcBorders>
            <w:shd w:val="clear" w:color="auto" w:fill="auto"/>
            <w:noWrap/>
            <w:vAlign w:val="bottom"/>
            <w:hideMark/>
          </w:tcPr>
          <w:p w14:paraId="1FDBFBD3" w14:textId="77777777" w:rsidR="00FA18EA" w:rsidRPr="00A02B31" w:rsidRDefault="00FA18EA" w:rsidP="00FA18EA">
            <w:pPr>
              <w:outlineLvl w:val="0"/>
              <w:rPr>
                <w:rFonts w:eastAsia="Times New Roman" w:cstheme="minorHAnsi"/>
                <w:lang w:eastAsia="en-GB"/>
              </w:rPr>
            </w:pPr>
            <w:r w:rsidRPr="00A02B31">
              <w:rPr>
                <w:rFonts w:eastAsia="Times New Roman" w:cstheme="minorHAnsi"/>
                <w:lang w:eastAsia="en-GB"/>
              </w:rPr>
              <w:t> </w:t>
            </w:r>
          </w:p>
        </w:tc>
        <w:tc>
          <w:tcPr>
            <w:tcW w:w="1359" w:type="dxa"/>
            <w:tcBorders>
              <w:top w:val="single" w:sz="4" w:space="0" w:color="auto"/>
              <w:left w:val="nil"/>
              <w:bottom w:val="nil"/>
              <w:right w:val="nil"/>
            </w:tcBorders>
            <w:shd w:val="clear" w:color="auto" w:fill="auto"/>
            <w:noWrap/>
            <w:vAlign w:val="bottom"/>
            <w:hideMark/>
          </w:tcPr>
          <w:p w14:paraId="55589223" w14:textId="77777777" w:rsidR="00FA18EA" w:rsidRPr="00A02B31" w:rsidRDefault="00FA18EA" w:rsidP="00FA18EA">
            <w:pPr>
              <w:jc w:val="right"/>
              <w:outlineLvl w:val="0"/>
              <w:rPr>
                <w:rFonts w:eastAsia="Times New Roman" w:cstheme="minorHAnsi"/>
                <w:b/>
                <w:bCs/>
                <w:sz w:val="16"/>
                <w:szCs w:val="16"/>
                <w:lang w:eastAsia="en-GB"/>
              </w:rPr>
            </w:pPr>
            <w:r w:rsidRPr="00A02B31">
              <w:rPr>
                <w:rFonts w:eastAsia="Times New Roman" w:cstheme="minorHAnsi"/>
                <w:b/>
                <w:bCs/>
                <w:sz w:val="16"/>
                <w:szCs w:val="16"/>
                <w:lang w:eastAsia="en-GB"/>
              </w:rPr>
              <w:t>Year ended</w:t>
            </w:r>
          </w:p>
        </w:tc>
        <w:tc>
          <w:tcPr>
            <w:tcW w:w="1281" w:type="dxa"/>
            <w:tcBorders>
              <w:top w:val="single" w:sz="4" w:space="0" w:color="auto"/>
              <w:left w:val="nil"/>
              <w:bottom w:val="nil"/>
              <w:right w:val="nil"/>
            </w:tcBorders>
            <w:shd w:val="clear" w:color="auto" w:fill="auto"/>
            <w:noWrap/>
            <w:vAlign w:val="bottom"/>
            <w:hideMark/>
          </w:tcPr>
          <w:p w14:paraId="41EB234E" w14:textId="77777777" w:rsidR="00FA18EA" w:rsidRPr="00A02B31" w:rsidRDefault="00FA18EA" w:rsidP="00FA18EA">
            <w:pPr>
              <w:jc w:val="right"/>
              <w:outlineLvl w:val="0"/>
              <w:rPr>
                <w:rFonts w:eastAsia="Times New Roman" w:cstheme="minorHAnsi"/>
                <w:sz w:val="16"/>
                <w:szCs w:val="16"/>
                <w:lang w:eastAsia="en-GB"/>
              </w:rPr>
            </w:pPr>
            <w:r w:rsidRPr="00A02B31">
              <w:rPr>
                <w:rFonts w:eastAsia="Times New Roman" w:cstheme="minorHAnsi"/>
                <w:sz w:val="16"/>
                <w:szCs w:val="16"/>
                <w:lang w:eastAsia="en-GB"/>
              </w:rPr>
              <w:t>Year ended</w:t>
            </w:r>
          </w:p>
        </w:tc>
      </w:tr>
      <w:tr w:rsidR="00FA18EA" w:rsidRPr="007600A7" w14:paraId="5E34416B" w14:textId="77777777" w:rsidTr="00FA18EA">
        <w:trPr>
          <w:trHeight w:val="222"/>
        </w:trPr>
        <w:tc>
          <w:tcPr>
            <w:tcW w:w="6998" w:type="dxa"/>
            <w:tcBorders>
              <w:top w:val="nil"/>
              <w:left w:val="nil"/>
              <w:bottom w:val="nil"/>
              <w:right w:val="nil"/>
            </w:tcBorders>
            <w:shd w:val="clear" w:color="auto" w:fill="auto"/>
            <w:noWrap/>
            <w:vAlign w:val="bottom"/>
            <w:hideMark/>
          </w:tcPr>
          <w:p w14:paraId="0CA7A747" w14:textId="77777777" w:rsidR="00FA18EA" w:rsidRPr="008B2DDA" w:rsidRDefault="00FA18EA" w:rsidP="00FA18EA">
            <w:pPr>
              <w:outlineLvl w:val="0"/>
              <w:rPr>
                <w:rFonts w:eastAsia="Times New Roman" w:cstheme="minorHAnsi"/>
                <w:lang w:eastAsia="en-GB"/>
              </w:rPr>
            </w:pPr>
          </w:p>
        </w:tc>
        <w:tc>
          <w:tcPr>
            <w:tcW w:w="1359" w:type="dxa"/>
            <w:tcBorders>
              <w:top w:val="nil"/>
              <w:left w:val="nil"/>
              <w:bottom w:val="nil"/>
              <w:right w:val="nil"/>
            </w:tcBorders>
            <w:shd w:val="clear" w:color="auto" w:fill="auto"/>
            <w:noWrap/>
            <w:vAlign w:val="bottom"/>
            <w:hideMark/>
          </w:tcPr>
          <w:p w14:paraId="16C8FA7B" w14:textId="77777777" w:rsidR="00FA18EA" w:rsidRPr="0091098D" w:rsidRDefault="00FA18EA" w:rsidP="00FA18EA">
            <w:pPr>
              <w:jc w:val="right"/>
              <w:outlineLvl w:val="0"/>
              <w:rPr>
                <w:rFonts w:eastAsia="Times New Roman" w:cstheme="minorHAnsi"/>
                <w:b/>
                <w:bCs/>
                <w:sz w:val="16"/>
                <w:szCs w:val="16"/>
                <w:lang w:eastAsia="en-GB"/>
              </w:rPr>
            </w:pPr>
            <w:r w:rsidRPr="000C5053">
              <w:rPr>
                <w:rFonts w:eastAsia="Times New Roman" w:cstheme="minorHAnsi"/>
                <w:b/>
                <w:bCs/>
                <w:sz w:val="16"/>
                <w:szCs w:val="16"/>
                <w:lang w:eastAsia="en-GB"/>
              </w:rPr>
              <w:t>31 March 2022</w:t>
            </w:r>
          </w:p>
        </w:tc>
        <w:tc>
          <w:tcPr>
            <w:tcW w:w="1281" w:type="dxa"/>
            <w:tcBorders>
              <w:top w:val="nil"/>
              <w:left w:val="nil"/>
              <w:bottom w:val="nil"/>
              <w:right w:val="nil"/>
            </w:tcBorders>
            <w:shd w:val="clear" w:color="auto" w:fill="auto"/>
            <w:noWrap/>
            <w:vAlign w:val="bottom"/>
            <w:hideMark/>
          </w:tcPr>
          <w:p w14:paraId="373DF030" w14:textId="77777777" w:rsidR="00FA18EA" w:rsidRPr="0075195E" w:rsidRDefault="00FA18EA" w:rsidP="00FA18EA">
            <w:pPr>
              <w:jc w:val="right"/>
              <w:outlineLvl w:val="0"/>
              <w:rPr>
                <w:rFonts w:eastAsia="Times New Roman" w:cstheme="minorHAnsi"/>
                <w:sz w:val="16"/>
                <w:szCs w:val="16"/>
                <w:lang w:eastAsia="en-GB"/>
              </w:rPr>
            </w:pPr>
            <w:r w:rsidRPr="0075195E">
              <w:rPr>
                <w:rFonts w:eastAsia="Times New Roman" w:cstheme="minorHAnsi"/>
                <w:sz w:val="16"/>
                <w:szCs w:val="16"/>
                <w:lang w:eastAsia="en-GB"/>
              </w:rPr>
              <w:t>31 March 2021</w:t>
            </w:r>
          </w:p>
        </w:tc>
      </w:tr>
      <w:tr w:rsidR="00FA18EA" w:rsidRPr="007600A7" w14:paraId="60B740EB" w14:textId="77777777" w:rsidTr="00FA18EA">
        <w:trPr>
          <w:trHeight w:val="222"/>
        </w:trPr>
        <w:tc>
          <w:tcPr>
            <w:tcW w:w="6998" w:type="dxa"/>
            <w:tcBorders>
              <w:top w:val="nil"/>
              <w:left w:val="nil"/>
              <w:bottom w:val="single" w:sz="4" w:space="0" w:color="auto"/>
              <w:right w:val="nil"/>
            </w:tcBorders>
            <w:shd w:val="clear" w:color="auto" w:fill="auto"/>
            <w:noWrap/>
            <w:vAlign w:val="bottom"/>
            <w:hideMark/>
          </w:tcPr>
          <w:p w14:paraId="15BE99DD" w14:textId="77777777" w:rsidR="00FA18EA" w:rsidRPr="008B2DDA" w:rsidRDefault="00FA18EA" w:rsidP="00FA18EA">
            <w:pPr>
              <w:outlineLvl w:val="0"/>
              <w:rPr>
                <w:rFonts w:eastAsia="Times New Roman" w:cstheme="minorHAnsi"/>
                <w:lang w:eastAsia="en-GB"/>
              </w:rPr>
            </w:pPr>
            <w:r w:rsidRPr="008B2DDA">
              <w:rPr>
                <w:rFonts w:eastAsia="Times New Roman" w:cstheme="minorHAnsi"/>
                <w:lang w:eastAsia="en-GB"/>
              </w:rPr>
              <w:t> </w:t>
            </w:r>
          </w:p>
        </w:tc>
        <w:tc>
          <w:tcPr>
            <w:tcW w:w="1359" w:type="dxa"/>
            <w:tcBorders>
              <w:top w:val="nil"/>
              <w:left w:val="nil"/>
              <w:bottom w:val="single" w:sz="4" w:space="0" w:color="auto"/>
              <w:right w:val="nil"/>
            </w:tcBorders>
            <w:shd w:val="clear" w:color="auto" w:fill="auto"/>
            <w:noWrap/>
            <w:vAlign w:val="bottom"/>
            <w:hideMark/>
          </w:tcPr>
          <w:p w14:paraId="4C216DA7" w14:textId="77777777" w:rsidR="00FA18EA" w:rsidRPr="0091098D" w:rsidRDefault="00FA18EA" w:rsidP="00FA18EA">
            <w:pPr>
              <w:jc w:val="right"/>
              <w:outlineLvl w:val="0"/>
              <w:rPr>
                <w:rFonts w:eastAsia="Times New Roman" w:cstheme="minorHAnsi"/>
                <w:b/>
                <w:bCs/>
                <w:sz w:val="16"/>
                <w:szCs w:val="16"/>
                <w:lang w:eastAsia="en-GB"/>
              </w:rPr>
            </w:pPr>
            <w:r w:rsidRPr="000C5053">
              <w:rPr>
                <w:rFonts w:eastAsia="Times New Roman" w:cstheme="minorHAnsi"/>
                <w:b/>
                <w:bCs/>
                <w:sz w:val="16"/>
                <w:szCs w:val="16"/>
                <w:lang w:eastAsia="en-GB"/>
              </w:rPr>
              <w:t>No.</w:t>
            </w:r>
          </w:p>
        </w:tc>
        <w:tc>
          <w:tcPr>
            <w:tcW w:w="1281" w:type="dxa"/>
            <w:tcBorders>
              <w:top w:val="nil"/>
              <w:left w:val="nil"/>
              <w:bottom w:val="single" w:sz="4" w:space="0" w:color="auto"/>
              <w:right w:val="nil"/>
            </w:tcBorders>
            <w:shd w:val="clear" w:color="auto" w:fill="auto"/>
            <w:noWrap/>
            <w:vAlign w:val="bottom"/>
            <w:hideMark/>
          </w:tcPr>
          <w:p w14:paraId="39788C9D" w14:textId="77777777" w:rsidR="00FA18EA" w:rsidRPr="0075195E" w:rsidRDefault="00FA18EA" w:rsidP="00FA18EA">
            <w:pPr>
              <w:jc w:val="right"/>
              <w:outlineLvl w:val="0"/>
              <w:rPr>
                <w:rFonts w:eastAsia="Times New Roman" w:cstheme="minorHAnsi"/>
                <w:sz w:val="16"/>
                <w:szCs w:val="16"/>
                <w:lang w:eastAsia="en-GB"/>
              </w:rPr>
            </w:pPr>
            <w:r w:rsidRPr="0075195E">
              <w:rPr>
                <w:rFonts w:eastAsia="Times New Roman" w:cstheme="minorHAnsi"/>
                <w:sz w:val="16"/>
                <w:szCs w:val="16"/>
                <w:lang w:eastAsia="en-GB"/>
              </w:rPr>
              <w:t>No.</w:t>
            </w:r>
          </w:p>
        </w:tc>
      </w:tr>
      <w:tr w:rsidR="00FA18EA" w:rsidRPr="007600A7" w14:paraId="415B6F5F" w14:textId="77777777" w:rsidTr="00FA18EA">
        <w:trPr>
          <w:trHeight w:val="255"/>
        </w:trPr>
        <w:tc>
          <w:tcPr>
            <w:tcW w:w="6998" w:type="dxa"/>
            <w:tcBorders>
              <w:top w:val="nil"/>
              <w:left w:val="nil"/>
              <w:bottom w:val="nil"/>
              <w:right w:val="nil"/>
            </w:tcBorders>
            <w:shd w:val="clear" w:color="auto" w:fill="auto"/>
            <w:noWrap/>
            <w:vAlign w:val="bottom"/>
            <w:hideMark/>
          </w:tcPr>
          <w:p w14:paraId="71426810" w14:textId="77777777" w:rsidR="00FA18EA" w:rsidRPr="008B2DDA" w:rsidRDefault="00FA18EA" w:rsidP="00FA18EA">
            <w:pPr>
              <w:outlineLvl w:val="0"/>
              <w:rPr>
                <w:rFonts w:eastAsia="Times New Roman" w:cstheme="minorHAnsi"/>
                <w:b/>
                <w:bCs/>
                <w:sz w:val="18"/>
                <w:szCs w:val="18"/>
                <w:lang w:eastAsia="en-GB"/>
              </w:rPr>
            </w:pPr>
            <w:r w:rsidRPr="008B2DDA">
              <w:rPr>
                <w:rFonts w:eastAsia="Times New Roman" w:cstheme="minorHAnsi"/>
                <w:b/>
                <w:bCs/>
                <w:sz w:val="18"/>
                <w:szCs w:val="18"/>
                <w:lang w:eastAsia="en-GB"/>
              </w:rPr>
              <w:t>Directors</w:t>
            </w:r>
          </w:p>
        </w:tc>
        <w:tc>
          <w:tcPr>
            <w:tcW w:w="1359" w:type="dxa"/>
            <w:tcBorders>
              <w:top w:val="nil"/>
              <w:left w:val="nil"/>
              <w:bottom w:val="nil"/>
              <w:right w:val="nil"/>
            </w:tcBorders>
            <w:shd w:val="clear" w:color="auto" w:fill="auto"/>
            <w:noWrap/>
            <w:vAlign w:val="bottom"/>
            <w:hideMark/>
          </w:tcPr>
          <w:p w14:paraId="1B9F0ED9" w14:textId="77777777" w:rsidR="00FA18EA" w:rsidRPr="000C5053" w:rsidRDefault="00FA18EA" w:rsidP="00FA18EA">
            <w:pPr>
              <w:jc w:val="right"/>
              <w:outlineLvl w:val="0"/>
              <w:rPr>
                <w:rFonts w:eastAsia="Times New Roman" w:cstheme="minorHAnsi"/>
                <w:b/>
                <w:bCs/>
                <w:sz w:val="18"/>
                <w:szCs w:val="18"/>
                <w:highlight w:val="yellow"/>
                <w:lang w:eastAsia="en-GB"/>
              </w:rPr>
            </w:pPr>
          </w:p>
        </w:tc>
        <w:tc>
          <w:tcPr>
            <w:tcW w:w="1281" w:type="dxa"/>
            <w:tcBorders>
              <w:top w:val="nil"/>
              <w:left w:val="nil"/>
              <w:bottom w:val="nil"/>
              <w:right w:val="nil"/>
            </w:tcBorders>
            <w:shd w:val="clear" w:color="auto" w:fill="auto"/>
            <w:noWrap/>
            <w:vAlign w:val="bottom"/>
            <w:hideMark/>
          </w:tcPr>
          <w:p w14:paraId="40095700" w14:textId="77777777" w:rsidR="00FA18EA" w:rsidRPr="0091098D" w:rsidRDefault="00FA18EA" w:rsidP="00FA18EA">
            <w:pPr>
              <w:jc w:val="right"/>
              <w:outlineLvl w:val="0"/>
              <w:rPr>
                <w:rFonts w:eastAsia="Times New Roman" w:cstheme="minorHAnsi"/>
                <w:sz w:val="18"/>
                <w:szCs w:val="18"/>
                <w:lang w:eastAsia="en-GB"/>
              </w:rPr>
            </w:pPr>
          </w:p>
        </w:tc>
      </w:tr>
      <w:tr w:rsidR="00FA18EA" w:rsidRPr="007600A7" w14:paraId="1283C94B" w14:textId="77777777" w:rsidTr="00FA18EA">
        <w:trPr>
          <w:trHeight w:val="255"/>
        </w:trPr>
        <w:tc>
          <w:tcPr>
            <w:tcW w:w="6998" w:type="dxa"/>
            <w:tcBorders>
              <w:top w:val="nil"/>
              <w:left w:val="nil"/>
              <w:bottom w:val="nil"/>
              <w:right w:val="nil"/>
            </w:tcBorders>
            <w:shd w:val="clear" w:color="auto" w:fill="auto"/>
            <w:noWrap/>
            <w:vAlign w:val="bottom"/>
            <w:hideMark/>
          </w:tcPr>
          <w:p w14:paraId="6BCC5737" w14:textId="77777777" w:rsidR="00FA18EA" w:rsidRPr="008B2DDA" w:rsidRDefault="00FA18EA" w:rsidP="00FA18EA">
            <w:pPr>
              <w:outlineLvl w:val="0"/>
              <w:rPr>
                <w:rFonts w:eastAsia="Times New Roman" w:cstheme="minorHAnsi"/>
                <w:sz w:val="18"/>
                <w:szCs w:val="18"/>
                <w:lang w:eastAsia="en-GB"/>
              </w:rPr>
            </w:pPr>
            <w:r w:rsidRPr="008B2DDA">
              <w:rPr>
                <w:rFonts w:eastAsia="Times New Roman" w:cstheme="minorHAnsi"/>
                <w:sz w:val="18"/>
                <w:szCs w:val="18"/>
                <w:lang w:eastAsia="en-GB"/>
              </w:rPr>
              <w:t>Investment and related administration</w:t>
            </w:r>
          </w:p>
        </w:tc>
        <w:tc>
          <w:tcPr>
            <w:tcW w:w="1359" w:type="dxa"/>
            <w:tcBorders>
              <w:top w:val="nil"/>
              <w:left w:val="nil"/>
              <w:bottom w:val="nil"/>
              <w:right w:val="nil"/>
            </w:tcBorders>
            <w:shd w:val="clear" w:color="auto" w:fill="auto"/>
            <w:noWrap/>
            <w:vAlign w:val="bottom"/>
            <w:hideMark/>
          </w:tcPr>
          <w:p w14:paraId="193AD2AB" w14:textId="77777777" w:rsidR="00FA18EA" w:rsidRPr="0091098D" w:rsidRDefault="00FA18EA" w:rsidP="00FA18EA">
            <w:pPr>
              <w:jc w:val="right"/>
              <w:outlineLvl w:val="0"/>
              <w:rPr>
                <w:rFonts w:eastAsia="Times New Roman" w:cstheme="minorHAnsi"/>
                <w:b/>
                <w:bCs/>
                <w:sz w:val="18"/>
                <w:szCs w:val="18"/>
                <w:lang w:eastAsia="en-GB"/>
              </w:rPr>
            </w:pPr>
            <w:r w:rsidRPr="000C5053">
              <w:rPr>
                <w:rFonts w:eastAsia="Times New Roman" w:cstheme="minorHAnsi"/>
                <w:b/>
                <w:bCs/>
                <w:sz w:val="18"/>
                <w:szCs w:val="18"/>
                <w:lang w:eastAsia="en-GB"/>
              </w:rPr>
              <w:t xml:space="preserve">                   3 </w:t>
            </w:r>
          </w:p>
        </w:tc>
        <w:tc>
          <w:tcPr>
            <w:tcW w:w="1281" w:type="dxa"/>
            <w:tcBorders>
              <w:top w:val="nil"/>
              <w:left w:val="nil"/>
              <w:bottom w:val="nil"/>
              <w:right w:val="nil"/>
            </w:tcBorders>
            <w:shd w:val="clear" w:color="auto" w:fill="auto"/>
            <w:noWrap/>
            <w:vAlign w:val="bottom"/>
            <w:hideMark/>
          </w:tcPr>
          <w:p w14:paraId="00B09D00" w14:textId="77777777" w:rsidR="00FA18EA" w:rsidRPr="0075195E" w:rsidRDefault="00FA18EA" w:rsidP="00FA18EA">
            <w:pPr>
              <w:jc w:val="right"/>
              <w:outlineLvl w:val="0"/>
              <w:rPr>
                <w:rFonts w:eastAsia="Times New Roman" w:cstheme="minorHAnsi"/>
                <w:sz w:val="18"/>
                <w:szCs w:val="18"/>
                <w:lang w:eastAsia="en-GB"/>
              </w:rPr>
            </w:pPr>
            <w:r w:rsidRPr="0075195E">
              <w:rPr>
                <w:rFonts w:eastAsia="Times New Roman" w:cstheme="minorHAnsi"/>
                <w:sz w:val="18"/>
                <w:szCs w:val="18"/>
                <w:lang w:eastAsia="en-GB"/>
              </w:rPr>
              <w:t xml:space="preserve">                   4 </w:t>
            </w:r>
          </w:p>
        </w:tc>
      </w:tr>
      <w:tr w:rsidR="00FA18EA" w:rsidRPr="007600A7" w14:paraId="079D2EAF" w14:textId="77777777" w:rsidTr="00FA18EA">
        <w:trPr>
          <w:trHeight w:val="270"/>
        </w:trPr>
        <w:tc>
          <w:tcPr>
            <w:tcW w:w="6998" w:type="dxa"/>
            <w:tcBorders>
              <w:top w:val="single" w:sz="4" w:space="0" w:color="auto"/>
              <w:left w:val="nil"/>
              <w:bottom w:val="single" w:sz="8" w:space="0" w:color="auto"/>
              <w:right w:val="nil"/>
            </w:tcBorders>
            <w:shd w:val="clear" w:color="auto" w:fill="auto"/>
            <w:noWrap/>
            <w:vAlign w:val="bottom"/>
            <w:hideMark/>
          </w:tcPr>
          <w:p w14:paraId="64CDEFE0" w14:textId="77777777" w:rsidR="00FA18EA" w:rsidRPr="008B2DDA" w:rsidRDefault="00FA18EA" w:rsidP="00FA18EA">
            <w:pPr>
              <w:outlineLvl w:val="0"/>
              <w:rPr>
                <w:rFonts w:eastAsia="Times New Roman" w:cstheme="minorHAnsi"/>
                <w:sz w:val="18"/>
                <w:szCs w:val="18"/>
                <w:lang w:eastAsia="en-GB"/>
              </w:rPr>
            </w:pPr>
            <w:r w:rsidRPr="008B2DDA">
              <w:rPr>
                <w:rFonts w:eastAsia="Times New Roman" w:cstheme="minorHAnsi"/>
                <w:sz w:val="18"/>
                <w:szCs w:val="18"/>
                <w:lang w:eastAsia="en-GB"/>
              </w:rPr>
              <w:t> </w:t>
            </w:r>
          </w:p>
        </w:tc>
        <w:tc>
          <w:tcPr>
            <w:tcW w:w="1359" w:type="dxa"/>
            <w:tcBorders>
              <w:top w:val="single" w:sz="4" w:space="0" w:color="auto"/>
              <w:left w:val="nil"/>
              <w:bottom w:val="single" w:sz="8" w:space="0" w:color="auto"/>
              <w:right w:val="nil"/>
            </w:tcBorders>
            <w:shd w:val="clear" w:color="auto" w:fill="auto"/>
            <w:noWrap/>
            <w:vAlign w:val="bottom"/>
            <w:hideMark/>
          </w:tcPr>
          <w:p w14:paraId="4B786178" w14:textId="77777777" w:rsidR="00FA18EA" w:rsidRPr="0091098D" w:rsidRDefault="00FA18EA" w:rsidP="00FA18EA">
            <w:pPr>
              <w:jc w:val="right"/>
              <w:outlineLvl w:val="0"/>
              <w:rPr>
                <w:rFonts w:eastAsia="Times New Roman" w:cstheme="minorHAnsi"/>
                <w:b/>
                <w:bCs/>
                <w:sz w:val="18"/>
                <w:szCs w:val="18"/>
                <w:lang w:eastAsia="en-GB"/>
              </w:rPr>
            </w:pPr>
            <w:r w:rsidRPr="000C5053">
              <w:rPr>
                <w:rFonts w:eastAsia="Times New Roman" w:cstheme="minorHAnsi"/>
                <w:b/>
                <w:bCs/>
                <w:sz w:val="18"/>
                <w:szCs w:val="18"/>
                <w:lang w:eastAsia="en-GB"/>
              </w:rPr>
              <w:t xml:space="preserve">                     3 </w:t>
            </w:r>
          </w:p>
        </w:tc>
        <w:tc>
          <w:tcPr>
            <w:tcW w:w="1281" w:type="dxa"/>
            <w:tcBorders>
              <w:top w:val="single" w:sz="4" w:space="0" w:color="auto"/>
              <w:left w:val="nil"/>
              <w:bottom w:val="single" w:sz="8" w:space="0" w:color="auto"/>
              <w:right w:val="nil"/>
            </w:tcBorders>
            <w:shd w:val="clear" w:color="auto" w:fill="auto"/>
            <w:noWrap/>
            <w:vAlign w:val="bottom"/>
            <w:hideMark/>
          </w:tcPr>
          <w:p w14:paraId="644008C4" w14:textId="77777777" w:rsidR="00FA18EA" w:rsidRPr="0075195E" w:rsidRDefault="00FA18EA" w:rsidP="00FA18EA">
            <w:pPr>
              <w:jc w:val="right"/>
              <w:outlineLvl w:val="0"/>
              <w:rPr>
                <w:rFonts w:eastAsia="Times New Roman" w:cstheme="minorHAnsi"/>
                <w:sz w:val="18"/>
                <w:szCs w:val="18"/>
                <w:lang w:eastAsia="en-GB"/>
              </w:rPr>
            </w:pPr>
            <w:r w:rsidRPr="0075195E">
              <w:rPr>
                <w:rFonts w:eastAsia="Times New Roman" w:cstheme="minorHAnsi"/>
                <w:sz w:val="18"/>
                <w:szCs w:val="18"/>
                <w:lang w:eastAsia="en-GB"/>
              </w:rPr>
              <w:t xml:space="preserve">                   4 </w:t>
            </w:r>
          </w:p>
        </w:tc>
      </w:tr>
    </w:tbl>
    <w:p w14:paraId="34149D22" w14:textId="77777777" w:rsidR="00FA18EA" w:rsidRPr="008B2DDA" w:rsidRDefault="00FA18EA" w:rsidP="00FA18EA">
      <w:pPr>
        <w:autoSpaceDE w:val="0"/>
        <w:autoSpaceDN w:val="0"/>
        <w:adjustRightInd w:val="0"/>
        <w:rPr>
          <w:rFonts w:cstheme="minorHAnsi"/>
          <w:b/>
          <w:color w:val="000000"/>
        </w:rPr>
      </w:pPr>
    </w:p>
    <w:p w14:paraId="15DCE59D" w14:textId="77777777" w:rsidR="00FA18EA" w:rsidRPr="0091098D" w:rsidRDefault="00FA18EA" w:rsidP="00FA18EA">
      <w:pPr>
        <w:autoSpaceDE w:val="0"/>
        <w:autoSpaceDN w:val="0"/>
        <w:adjustRightInd w:val="0"/>
        <w:jc w:val="both"/>
        <w:rPr>
          <w:rFonts w:cstheme="minorHAnsi"/>
          <w:color w:val="000000"/>
          <w:sz w:val="18"/>
          <w:szCs w:val="18"/>
        </w:rPr>
      </w:pPr>
      <w:r w:rsidRPr="000C5053">
        <w:rPr>
          <w:rFonts w:cstheme="minorHAnsi"/>
          <w:color w:val="000000"/>
          <w:sz w:val="18"/>
          <w:szCs w:val="18"/>
        </w:rPr>
        <w:t xml:space="preserve">As at 31 March 2022, the Board comprises 1 Chairman and 2 Non-executive Directors (2021: 1 Chairman and 3 </w:t>
      </w:r>
      <w:r w:rsidRPr="0091098D">
        <w:rPr>
          <w:rFonts w:cstheme="minorHAnsi"/>
          <w:color w:val="000000"/>
          <w:sz w:val="18"/>
          <w:szCs w:val="18"/>
        </w:rPr>
        <w:t>Non-executive Directors).</w:t>
      </w:r>
    </w:p>
    <w:p w14:paraId="56617DB8" w14:textId="77777777" w:rsidR="00FA18EA" w:rsidRPr="0075195E" w:rsidRDefault="00FA18EA" w:rsidP="00FA18EA">
      <w:pPr>
        <w:autoSpaceDE w:val="0"/>
        <w:autoSpaceDN w:val="0"/>
        <w:adjustRightInd w:val="0"/>
        <w:rPr>
          <w:rFonts w:cstheme="minorHAnsi"/>
          <w:b/>
          <w:color w:val="000000"/>
        </w:rPr>
      </w:pPr>
    </w:p>
    <w:p w14:paraId="7520D2D5" w14:textId="77777777" w:rsidR="00FA18EA" w:rsidRPr="00A02B31" w:rsidRDefault="00FA18EA" w:rsidP="00FA18EA">
      <w:pPr>
        <w:autoSpaceDE w:val="0"/>
        <w:autoSpaceDN w:val="0"/>
        <w:adjustRightInd w:val="0"/>
        <w:jc w:val="both"/>
        <w:rPr>
          <w:rFonts w:cstheme="minorHAnsi"/>
          <w:color w:val="000000" w:themeColor="text1"/>
          <w:sz w:val="18"/>
          <w:szCs w:val="18"/>
        </w:rPr>
      </w:pPr>
      <w:r w:rsidRPr="00536A35">
        <w:rPr>
          <w:rFonts w:cstheme="minorHAnsi"/>
          <w:b/>
          <w:color w:val="000000"/>
        </w:rPr>
        <w:t>4 Other costs</w:t>
      </w:r>
    </w:p>
    <w:p w14:paraId="0745312A" w14:textId="77777777" w:rsidR="00FA18EA" w:rsidRPr="00A02B31" w:rsidRDefault="00FA18EA" w:rsidP="00FA18EA">
      <w:pPr>
        <w:autoSpaceDE w:val="0"/>
        <w:autoSpaceDN w:val="0"/>
        <w:adjustRightInd w:val="0"/>
        <w:jc w:val="both"/>
        <w:rPr>
          <w:rFonts w:cstheme="minorHAnsi"/>
          <w:color w:val="000000" w:themeColor="text1"/>
          <w:sz w:val="18"/>
          <w:szCs w:val="18"/>
        </w:rPr>
      </w:pPr>
    </w:p>
    <w:p w14:paraId="047BCE6F" w14:textId="77777777" w:rsidR="00FA18EA" w:rsidRPr="00A02B31" w:rsidRDefault="00FA18EA" w:rsidP="00FA18EA">
      <w:pPr>
        <w:autoSpaceDE w:val="0"/>
        <w:autoSpaceDN w:val="0"/>
        <w:adjustRightInd w:val="0"/>
        <w:jc w:val="both"/>
        <w:rPr>
          <w:rFonts w:cstheme="minorHAnsi"/>
          <w:color w:val="000000" w:themeColor="text1"/>
          <w:sz w:val="18"/>
          <w:szCs w:val="18"/>
        </w:rPr>
      </w:pPr>
      <w:r w:rsidRPr="00A02B31">
        <w:rPr>
          <w:rFonts w:cstheme="minorHAnsi"/>
          <w:color w:val="000000" w:themeColor="text1"/>
          <w:sz w:val="18"/>
          <w:szCs w:val="18"/>
        </w:rPr>
        <w:t>Profit for the year has been derived after taking the following items into account:</w:t>
      </w:r>
    </w:p>
    <w:p w14:paraId="1CAB3851" w14:textId="77777777" w:rsidR="00FA18EA" w:rsidRPr="00A02B31" w:rsidRDefault="00FA18EA" w:rsidP="00FA18EA">
      <w:pPr>
        <w:autoSpaceDE w:val="0"/>
        <w:autoSpaceDN w:val="0"/>
        <w:adjustRightInd w:val="0"/>
        <w:rPr>
          <w:rFonts w:cstheme="minorHAnsi"/>
          <w:color w:val="000000"/>
          <w:sz w:val="18"/>
          <w:szCs w:val="18"/>
        </w:rPr>
      </w:pPr>
    </w:p>
    <w:tbl>
      <w:tblPr>
        <w:tblW w:w="9966" w:type="dxa"/>
        <w:tblInd w:w="108" w:type="dxa"/>
        <w:tblLook w:val="04A0" w:firstRow="1" w:lastRow="0" w:firstColumn="1" w:lastColumn="0" w:noHBand="0" w:noVBand="1"/>
      </w:tblPr>
      <w:tblGrid>
        <w:gridCol w:w="6893"/>
        <w:gridCol w:w="1737"/>
        <w:gridCol w:w="1336"/>
      </w:tblGrid>
      <w:tr w:rsidR="00FA18EA" w:rsidRPr="007600A7" w14:paraId="51BF0AAF" w14:textId="77777777" w:rsidTr="00FA18EA">
        <w:trPr>
          <w:trHeight w:val="233"/>
        </w:trPr>
        <w:tc>
          <w:tcPr>
            <w:tcW w:w="6893" w:type="dxa"/>
            <w:tcBorders>
              <w:top w:val="single" w:sz="4" w:space="0" w:color="auto"/>
            </w:tcBorders>
            <w:shd w:val="clear" w:color="auto" w:fill="auto"/>
            <w:noWrap/>
            <w:vAlign w:val="bottom"/>
            <w:hideMark/>
          </w:tcPr>
          <w:p w14:paraId="6F9C338B" w14:textId="77777777" w:rsidR="00FA18EA" w:rsidRPr="00A02B31" w:rsidRDefault="00FA18EA" w:rsidP="00FA18EA">
            <w:pPr>
              <w:outlineLvl w:val="0"/>
              <w:rPr>
                <w:rFonts w:eastAsia="Times New Roman" w:cstheme="minorHAnsi"/>
                <w:lang w:eastAsia="en-GB"/>
              </w:rPr>
            </w:pPr>
            <w:r w:rsidRPr="00A02B31">
              <w:rPr>
                <w:rFonts w:eastAsia="Times New Roman" w:cstheme="minorHAnsi"/>
                <w:lang w:eastAsia="en-GB"/>
              </w:rPr>
              <w:t> </w:t>
            </w:r>
          </w:p>
        </w:tc>
        <w:tc>
          <w:tcPr>
            <w:tcW w:w="1737" w:type="dxa"/>
            <w:tcBorders>
              <w:top w:val="single" w:sz="4" w:space="0" w:color="auto"/>
            </w:tcBorders>
            <w:shd w:val="clear" w:color="auto" w:fill="auto"/>
            <w:noWrap/>
            <w:vAlign w:val="bottom"/>
            <w:hideMark/>
          </w:tcPr>
          <w:p w14:paraId="56725D92" w14:textId="77777777" w:rsidR="00FA18EA" w:rsidRPr="00A02B31" w:rsidRDefault="00FA18EA" w:rsidP="00FA18EA">
            <w:pPr>
              <w:jc w:val="right"/>
              <w:outlineLvl w:val="0"/>
              <w:rPr>
                <w:rFonts w:eastAsia="Times New Roman" w:cstheme="minorHAnsi"/>
                <w:b/>
                <w:bCs/>
                <w:sz w:val="16"/>
                <w:szCs w:val="16"/>
                <w:lang w:eastAsia="en-GB"/>
              </w:rPr>
            </w:pPr>
            <w:r w:rsidRPr="00A02B31">
              <w:rPr>
                <w:rFonts w:eastAsia="Times New Roman" w:cstheme="minorHAnsi"/>
                <w:b/>
                <w:bCs/>
                <w:sz w:val="16"/>
                <w:szCs w:val="16"/>
                <w:lang w:eastAsia="en-GB"/>
              </w:rPr>
              <w:t>Year ended</w:t>
            </w:r>
          </w:p>
        </w:tc>
        <w:tc>
          <w:tcPr>
            <w:tcW w:w="1336" w:type="dxa"/>
            <w:tcBorders>
              <w:top w:val="single" w:sz="4" w:space="0" w:color="auto"/>
            </w:tcBorders>
            <w:shd w:val="clear" w:color="auto" w:fill="auto"/>
            <w:noWrap/>
            <w:vAlign w:val="bottom"/>
            <w:hideMark/>
          </w:tcPr>
          <w:p w14:paraId="7C7C9076" w14:textId="77777777" w:rsidR="00FA18EA" w:rsidRPr="00A02B31" w:rsidRDefault="00FA18EA" w:rsidP="00FA18EA">
            <w:pPr>
              <w:jc w:val="right"/>
              <w:outlineLvl w:val="0"/>
              <w:rPr>
                <w:rFonts w:eastAsia="Times New Roman" w:cstheme="minorHAnsi"/>
                <w:sz w:val="16"/>
                <w:szCs w:val="16"/>
                <w:lang w:eastAsia="en-GB"/>
              </w:rPr>
            </w:pPr>
            <w:r w:rsidRPr="00A02B31">
              <w:rPr>
                <w:rFonts w:eastAsia="Times New Roman" w:cstheme="minorHAnsi"/>
                <w:sz w:val="16"/>
                <w:szCs w:val="16"/>
                <w:lang w:eastAsia="en-GB"/>
              </w:rPr>
              <w:t>Year ended</w:t>
            </w:r>
          </w:p>
        </w:tc>
      </w:tr>
      <w:tr w:rsidR="00FA18EA" w:rsidRPr="007600A7" w14:paraId="5B1DD111" w14:textId="77777777" w:rsidTr="00FA18EA">
        <w:trPr>
          <w:trHeight w:val="233"/>
        </w:trPr>
        <w:tc>
          <w:tcPr>
            <w:tcW w:w="6893" w:type="dxa"/>
            <w:shd w:val="clear" w:color="auto" w:fill="auto"/>
            <w:noWrap/>
            <w:vAlign w:val="bottom"/>
            <w:hideMark/>
          </w:tcPr>
          <w:p w14:paraId="2909B351" w14:textId="77777777" w:rsidR="00FA18EA" w:rsidRPr="008B2DDA" w:rsidRDefault="00FA18EA" w:rsidP="00FA18EA">
            <w:pPr>
              <w:outlineLvl w:val="0"/>
              <w:rPr>
                <w:rFonts w:eastAsia="Times New Roman" w:cstheme="minorHAnsi"/>
                <w:lang w:eastAsia="en-GB"/>
              </w:rPr>
            </w:pPr>
          </w:p>
        </w:tc>
        <w:tc>
          <w:tcPr>
            <w:tcW w:w="1737" w:type="dxa"/>
            <w:shd w:val="clear" w:color="auto" w:fill="auto"/>
            <w:noWrap/>
            <w:vAlign w:val="bottom"/>
            <w:hideMark/>
          </w:tcPr>
          <w:p w14:paraId="7430F8CC" w14:textId="77777777" w:rsidR="00FA18EA" w:rsidRPr="0091098D" w:rsidRDefault="00FA18EA" w:rsidP="00FA18EA">
            <w:pPr>
              <w:jc w:val="right"/>
              <w:outlineLvl w:val="0"/>
              <w:rPr>
                <w:rFonts w:eastAsia="Times New Roman" w:cstheme="minorHAnsi"/>
                <w:b/>
                <w:bCs/>
                <w:sz w:val="16"/>
                <w:szCs w:val="16"/>
                <w:lang w:eastAsia="en-GB"/>
              </w:rPr>
            </w:pPr>
            <w:r w:rsidRPr="000C5053">
              <w:rPr>
                <w:rFonts w:eastAsia="Times New Roman" w:cstheme="minorHAnsi"/>
                <w:b/>
                <w:bCs/>
                <w:sz w:val="16"/>
                <w:szCs w:val="16"/>
                <w:lang w:eastAsia="en-GB"/>
              </w:rPr>
              <w:t>31 March 2022</w:t>
            </w:r>
          </w:p>
        </w:tc>
        <w:tc>
          <w:tcPr>
            <w:tcW w:w="1336" w:type="dxa"/>
            <w:shd w:val="clear" w:color="auto" w:fill="auto"/>
            <w:noWrap/>
            <w:vAlign w:val="bottom"/>
            <w:hideMark/>
          </w:tcPr>
          <w:p w14:paraId="15C5AA2A" w14:textId="77777777" w:rsidR="00FA18EA" w:rsidRPr="0075195E" w:rsidRDefault="00FA18EA" w:rsidP="00FA18EA">
            <w:pPr>
              <w:jc w:val="right"/>
              <w:outlineLvl w:val="0"/>
              <w:rPr>
                <w:rFonts w:eastAsia="Times New Roman" w:cstheme="minorHAnsi"/>
                <w:sz w:val="16"/>
                <w:szCs w:val="16"/>
                <w:lang w:eastAsia="en-GB"/>
              </w:rPr>
            </w:pPr>
            <w:r w:rsidRPr="0075195E">
              <w:rPr>
                <w:rFonts w:eastAsia="Times New Roman" w:cstheme="minorHAnsi"/>
                <w:sz w:val="16"/>
                <w:szCs w:val="16"/>
                <w:lang w:eastAsia="en-GB"/>
              </w:rPr>
              <w:t>31 March 2021</w:t>
            </w:r>
          </w:p>
        </w:tc>
      </w:tr>
      <w:tr w:rsidR="00FA18EA" w:rsidRPr="007600A7" w14:paraId="36A1B2A0" w14:textId="77777777" w:rsidTr="00FA18EA">
        <w:trPr>
          <w:trHeight w:val="233"/>
        </w:trPr>
        <w:tc>
          <w:tcPr>
            <w:tcW w:w="6893" w:type="dxa"/>
            <w:tcBorders>
              <w:bottom w:val="single" w:sz="4" w:space="0" w:color="auto"/>
            </w:tcBorders>
            <w:shd w:val="clear" w:color="auto" w:fill="auto"/>
            <w:noWrap/>
            <w:vAlign w:val="bottom"/>
            <w:hideMark/>
          </w:tcPr>
          <w:p w14:paraId="21EA61C7" w14:textId="77777777" w:rsidR="00FA18EA" w:rsidRPr="008B2DDA" w:rsidRDefault="00FA18EA" w:rsidP="00FA18EA">
            <w:pPr>
              <w:outlineLvl w:val="0"/>
              <w:rPr>
                <w:rFonts w:eastAsia="Times New Roman" w:cstheme="minorHAnsi"/>
                <w:sz w:val="18"/>
                <w:lang w:eastAsia="en-GB"/>
              </w:rPr>
            </w:pPr>
            <w:r w:rsidRPr="008B2DDA">
              <w:rPr>
                <w:rFonts w:eastAsia="Times New Roman" w:cstheme="minorHAnsi"/>
                <w:sz w:val="18"/>
                <w:lang w:eastAsia="en-GB"/>
              </w:rPr>
              <w:t> </w:t>
            </w:r>
          </w:p>
        </w:tc>
        <w:tc>
          <w:tcPr>
            <w:tcW w:w="1737" w:type="dxa"/>
            <w:tcBorders>
              <w:bottom w:val="single" w:sz="4" w:space="0" w:color="auto"/>
            </w:tcBorders>
            <w:shd w:val="clear" w:color="auto" w:fill="auto"/>
            <w:noWrap/>
            <w:vAlign w:val="bottom"/>
            <w:hideMark/>
          </w:tcPr>
          <w:p w14:paraId="37B5D8A6" w14:textId="77777777" w:rsidR="00FA18EA" w:rsidRPr="0091098D" w:rsidRDefault="00FA18EA" w:rsidP="00FA18EA">
            <w:pPr>
              <w:jc w:val="right"/>
              <w:outlineLvl w:val="0"/>
              <w:rPr>
                <w:rFonts w:eastAsia="Times New Roman" w:cstheme="minorHAnsi"/>
                <w:b/>
                <w:bCs/>
                <w:sz w:val="16"/>
                <w:szCs w:val="16"/>
                <w:lang w:eastAsia="en-GB"/>
              </w:rPr>
            </w:pPr>
            <w:r w:rsidRPr="000C5053">
              <w:rPr>
                <w:rFonts w:eastAsia="Times New Roman" w:cstheme="minorHAnsi"/>
                <w:b/>
                <w:bCs/>
                <w:sz w:val="16"/>
                <w:szCs w:val="16"/>
                <w:lang w:eastAsia="en-GB"/>
              </w:rPr>
              <w:t>£'000</w:t>
            </w:r>
          </w:p>
        </w:tc>
        <w:tc>
          <w:tcPr>
            <w:tcW w:w="1336" w:type="dxa"/>
            <w:tcBorders>
              <w:bottom w:val="single" w:sz="4" w:space="0" w:color="auto"/>
            </w:tcBorders>
            <w:shd w:val="clear" w:color="auto" w:fill="auto"/>
            <w:noWrap/>
            <w:vAlign w:val="bottom"/>
            <w:hideMark/>
          </w:tcPr>
          <w:p w14:paraId="56452B79" w14:textId="77777777" w:rsidR="00FA18EA" w:rsidRPr="0075195E" w:rsidRDefault="00FA18EA" w:rsidP="00FA18EA">
            <w:pPr>
              <w:jc w:val="right"/>
              <w:outlineLvl w:val="0"/>
              <w:rPr>
                <w:rFonts w:eastAsia="Times New Roman" w:cstheme="minorHAnsi"/>
                <w:sz w:val="16"/>
                <w:szCs w:val="16"/>
                <w:lang w:eastAsia="en-GB"/>
              </w:rPr>
            </w:pPr>
            <w:r w:rsidRPr="0075195E">
              <w:rPr>
                <w:rFonts w:eastAsia="Times New Roman" w:cstheme="minorHAnsi"/>
                <w:sz w:val="16"/>
                <w:szCs w:val="16"/>
                <w:lang w:eastAsia="en-GB"/>
              </w:rPr>
              <w:t>£'000</w:t>
            </w:r>
          </w:p>
        </w:tc>
      </w:tr>
      <w:tr w:rsidR="00FA18EA" w:rsidRPr="007600A7" w14:paraId="5ADA2A88" w14:textId="77777777" w:rsidTr="00FA18EA">
        <w:trPr>
          <w:trHeight w:val="268"/>
        </w:trPr>
        <w:tc>
          <w:tcPr>
            <w:tcW w:w="6893" w:type="dxa"/>
            <w:tcBorders>
              <w:top w:val="single" w:sz="4" w:space="0" w:color="auto"/>
            </w:tcBorders>
            <w:shd w:val="clear" w:color="auto" w:fill="auto"/>
            <w:noWrap/>
            <w:vAlign w:val="bottom"/>
            <w:hideMark/>
          </w:tcPr>
          <w:p w14:paraId="744E6CA7" w14:textId="77777777" w:rsidR="00FA18EA" w:rsidRPr="008B2DDA" w:rsidRDefault="00FA18EA" w:rsidP="00FA18EA">
            <w:pPr>
              <w:outlineLvl w:val="0"/>
              <w:rPr>
                <w:rFonts w:eastAsia="Times New Roman" w:cstheme="minorHAnsi"/>
                <w:sz w:val="18"/>
                <w:szCs w:val="16"/>
                <w:lang w:eastAsia="en-GB"/>
              </w:rPr>
            </w:pPr>
            <w:r w:rsidRPr="008B2DDA">
              <w:rPr>
                <w:rFonts w:eastAsia="Times New Roman" w:cstheme="minorHAnsi"/>
                <w:sz w:val="18"/>
                <w:szCs w:val="16"/>
                <w:lang w:eastAsia="en-GB"/>
              </w:rPr>
              <w:t>Auditors remuneration</w:t>
            </w:r>
          </w:p>
        </w:tc>
        <w:tc>
          <w:tcPr>
            <w:tcW w:w="1737" w:type="dxa"/>
            <w:tcBorders>
              <w:top w:val="single" w:sz="4" w:space="0" w:color="auto"/>
            </w:tcBorders>
            <w:shd w:val="clear" w:color="auto" w:fill="auto"/>
            <w:noWrap/>
            <w:vAlign w:val="bottom"/>
            <w:hideMark/>
          </w:tcPr>
          <w:p w14:paraId="7FAB3C46" w14:textId="77777777" w:rsidR="00FA18EA" w:rsidRPr="000C5053" w:rsidRDefault="00FA18EA" w:rsidP="00FA18EA">
            <w:pPr>
              <w:outlineLvl w:val="0"/>
              <w:rPr>
                <w:rFonts w:eastAsia="Times New Roman" w:cstheme="minorHAnsi"/>
                <w:b/>
                <w:bCs/>
                <w:sz w:val="16"/>
                <w:szCs w:val="16"/>
                <w:lang w:eastAsia="en-GB"/>
              </w:rPr>
            </w:pPr>
          </w:p>
        </w:tc>
        <w:tc>
          <w:tcPr>
            <w:tcW w:w="1336" w:type="dxa"/>
            <w:tcBorders>
              <w:top w:val="single" w:sz="4" w:space="0" w:color="auto"/>
            </w:tcBorders>
            <w:shd w:val="clear" w:color="auto" w:fill="auto"/>
            <w:noWrap/>
            <w:vAlign w:val="bottom"/>
            <w:hideMark/>
          </w:tcPr>
          <w:p w14:paraId="67344223" w14:textId="77777777" w:rsidR="00FA18EA" w:rsidRPr="0091098D" w:rsidRDefault="00FA18EA" w:rsidP="00FA18EA">
            <w:pPr>
              <w:outlineLvl w:val="0"/>
              <w:rPr>
                <w:rFonts w:eastAsia="Times New Roman" w:cstheme="minorHAnsi"/>
                <w:sz w:val="16"/>
                <w:szCs w:val="16"/>
                <w:lang w:eastAsia="en-GB"/>
              </w:rPr>
            </w:pPr>
          </w:p>
        </w:tc>
      </w:tr>
      <w:tr w:rsidR="00FA18EA" w:rsidRPr="007600A7" w14:paraId="377D766B" w14:textId="77777777" w:rsidTr="00FA18EA">
        <w:trPr>
          <w:trHeight w:val="268"/>
        </w:trPr>
        <w:tc>
          <w:tcPr>
            <w:tcW w:w="6893" w:type="dxa"/>
            <w:shd w:val="clear" w:color="auto" w:fill="auto"/>
            <w:vAlign w:val="bottom"/>
            <w:hideMark/>
          </w:tcPr>
          <w:p w14:paraId="7E9E79DF" w14:textId="77777777" w:rsidR="00FA18EA" w:rsidRPr="008B2DDA" w:rsidRDefault="00FA18EA" w:rsidP="00FA18EA">
            <w:pPr>
              <w:outlineLvl w:val="0"/>
              <w:rPr>
                <w:rFonts w:eastAsia="Times New Roman" w:cstheme="minorHAnsi"/>
                <w:sz w:val="18"/>
                <w:szCs w:val="16"/>
                <w:lang w:eastAsia="en-GB"/>
              </w:rPr>
            </w:pPr>
            <w:r w:rsidRPr="008B2DDA">
              <w:rPr>
                <w:rFonts w:eastAsia="Times New Roman" w:cstheme="minorHAnsi"/>
                <w:sz w:val="18"/>
                <w:szCs w:val="16"/>
                <w:lang w:eastAsia="en-GB"/>
              </w:rPr>
              <w:t>Fees payable to the current auditor for the audit of the Company's annual financial</w:t>
            </w:r>
          </w:p>
          <w:p w14:paraId="20B65161" w14:textId="77777777" w:rsidR="00FA18EA" w:rsidRPr="0091098D" w:rsidRDefault="00FA18EA" w:rsidP="00FA18EA">
            <w:pPr>
              <w:outlineLvl w:val="0"/>
              <w:rPr>
                <w:rFonts w:eastAsia="Times New Roman" w:cstheme="minorHAnsi"/>
                <w:sz w:val="18"/>
                <w:szCs w:val="16"/>
                <w:lang w:eastAsia="en-GB"/>
              </w:rPr>
            </w:pPr>
            <w:r w:rsidRPr="000C5053">
              <w:rPr>
                <w:rFonts w:eastAsia="Times New Roman" w:cstheme="minorHAnsi"/>
                <w:sz w:val="18"/>
                <w:szCs w:val="16"/>
                <w:lang w:eastAsia="en-GB"/>
              </w:rPr>
              <w:t>statements</w:t>
            </w:r>
          </w:p>
        </w:tc>
        <w:tc>
          <w:tcPr>
            <w:tcW w:w="1737" w:type="dxa"/>
            <w:shd w:val="clear" w:color="auto" w:fill="FFFFFF" w:themeFill="background1"/>
            <w:noWrap/>
            <w:vAlign w:val="bottom"/>
            <w:hideMark/>
          </w:tcPr>
          <w:p w14:paraId="0D5CC956" w14:textId="77777777" w:rsidR="00FA18EA" w:rsidRPr="0075195E" w:rsidRDefault="00FA18EA" w:rsidP="00FA18EA">
            <w:pPr>
              <w:jc w:val="right"/>
              <w:outlineLvl w:val="0"/>
              <w:rPr>
                <w:rFonts w:eastAsia="Times New Roman" w:cstheme="minorHAnsi"/>
                <w:b/>
                <w:bCs/>
                <w:sz w:val="16"/>
                <w:szCs w:val="16"/>
                <w:lang w:eastAsia="en-GB"/>
              </w:rPr>
            </w:pPr>
            <w:r w:rsidRPr="0075195E">
              <w:rPr>
                <w:rFonts w:eastAsia="Times New Roman" w:cstheme="minorHAnsi"/>
                <w:b/>
                <w:bCs/>
                <w:sz w:val="16"/>
                <w:szCs w:val="16"/>
                <w:lang w:eastAsia="en-GB"/>
              </w:rPr>
              <w:t>40</w:t>
            </w:r>
          </w:p>
        </w:tc>
        <w:tc>
          <w:tcPr>
            <w:tcW w:w="1336" w:type="dxa"/>
            <w:shd w:val="clear" w:color="auto" w:fill="auto"/>
            <w:noWrap/>
            <w:vAlign w:val="bottom"/>
            <w:hideMark/>
          </w:tcPr>
          <w:p w14:paraId="3BA4AC94" w14:textId="77777777" w:rsidR="00FA18EA" w:rsidRPr="00A02B31" w:rsidRDefault="00FA18EA" w:rsidP="00FA18EA">
            <w:pPr>
              <w:jc w:val="right"/>
              <w:outlineLvl w:val="0"/>
              <w:rPr>
                <w:rFonts w:eastAsia="Times New Roman" w:cstheme="minorHAnsi"/>
                <w:sz w:val="16"/>
                <w:szCs w:val="16"/>
                <w:lang w:eastAsia="en-GB"/>
              </w:rPr>
            </w:pPr>
            <w:r w:rsidRPr="00536A35">
              <w:rPr>
                <w:rFonts w:eastAsia="Times New Roman" w:cstheme="minorHAnsi"/>
                <w:bCs/>
                <w:sz w:val="16"/>
                <w:szCs w:val="16"/>
                <w:lang w:eastAsia="en-GB"/>
              </w:rPr>
              <w:t>34</w:t>
            </w:r>
          </w:p>
        </w:tc>
      </w:tr>
      <w:tr w:rsidR="00FA18EA" w:rsidRPr="007600A7" w14:paraId="280C0C4D" w14:textId="77777777" w:rsidTr="00FA18EA">
        <w:trPr>
          <w:trHeight w:val="268"/>
        </w:trPr>
        <w:tc>
          <w:tcPr>
            <w:tcW w:w="6893" w:type="dxa"/>
            <w:shd w:val="clear" w:color="auto" w:fill="auto"/>
            <w:noWrap/>
            <w:vAlign w:val="bottom"/>
            <w:hideMark/>
          </w:tcPr>
          <w:p w14:paraId="6334B9BD" w14:textId="77777777" w:rsidR="00FA18EA" w:rsidRPr="008B2DDA" w:rsidRDefault="00FA18EA" w:rsidP="00FA18EA">
            <w:pPr>
              <w:outlineLvl w:val="0"/>
              <w:rPr>
                <w:rFonts w:eastAsia="Times New Roman" w:cstheme="minorHAnsi"/>
                <w:sz w:val="18"/>
                <w:szCs w:val="16"/>
                <w:lang w:eastAsia="en-GB"/>
              </w:rPr>
            </w:pPr>
            <w:r w:rsidRPr="008B2DDA">
              <w:rPr>
                <w:rFonts w:eastAsia="Times New Roman" w:cstheme="minorHAnsi"/>
                <w:sz w:val="18"/>
                <w:szCs w:val="16"/>
                <w:lang w:eastAsia="en-GB"/>
              </w:rPr>
              <w:t>Fees payable to the Company's current auditor and its associates for other services:</w:t>
            </w:r>
          </w:p>
        </w:tc>
        <w:tc>
          <w:tcPr>
            <w:tcW w:w="1737" w:type="dxa"/>
            <w:shd w:val="clear" w:color="auto" w:fill="FFFFFF" w:themeFill="background1"/>
            <w:noWrap/>
            <w:vAlign w:val="bottom"/>
            <w:hideMark/>
          </w:tcPr>
          <w:p w14:paraId="78C683D0" w14:textId="77777777" w:rsidR="00FA18EA" w:rsidRPr="000C5053" w:rsidRDefault="00FA18EA" w:rsidP="00FA18EA">
            <w:pPr>
              <w:outlineLvl w:val="0"/>
              <w:rPr>
                <w:rFonts w:eastAsia="Times New Roman" w:cstheme="minorHAnsi"/>
                <w:b/>
                <w:bCs/>
                <w:sz w:val="16"/>
                <w:szCs w:val="16"/>
                <w:lang w:eastAsia="en-GB"/>
              </w:rPr>
            </w:pPr>
          </w:p>
        </w:tc>
        <w:tc>
          <w:tcPr>
            <w:tcW w:w="1336" w:type="dxa"/>
            <w:shd w:val="clear" w:color="auto" w:fill="auto"/>
            <w:noWrap/>
            <w:vAlign w:val="bottom"/>
            <w:hideMark/>
          </w:tcPr>
          <w:p w14:paraId="72BBC1F0" w14:textId="77777777" w:rsidR="00FA18EA" w:rsidRPr="0091098D" w:rsidRDefault="00FA18EA" w:rsidP="00FA18EA">
            <w:pPr>
              <w:outlineLvl w:val="0"/>
              <w:rPr>
                <w:rFonts w:eastAsia="Times New Roman" w:cstheme="minorHAnsi"/>
                <w:sz w:val="16"/>
                <w:szCs w:val="16"/>
                <w:lang w:eastAsia="en-GB"/>
              </w:rPr>
            </w:pPr>
          </w:p>
        </w:tc>
      </w:tr>
      <w:tr w:rsidR="00FA18EA" w:rsidRPr="007600A7" w14:paraId="045C646F" w14:textId="77777777" w:rsidTr="00FA18EA">
        <w:trPr>
          <w:trHeight w:val="268"/>
        </w:trPr>
        <w:tc>
          <w:tcPr>
            <w:tcW w:w="0" w:type="auto"/>
            <w:shd w:val="clear" w:color="auto" w:fill="auto"/>
            <w:noWrap/>
            <w:vAlign w:val="bottom"/>
          </w:tcPr>
          <w:p w14:paraId="7140A00A" w14:textId="77777777" w:rsidR="00FA18EA" w:rsidRPr="008B2DDA" w:rsidRDefault="00FA18EA" w:rsidP="00FA18EA">
            <w:pPr>
              <w:outlineLvl w:val="0"/>
              <w:rPr>
                <w:rFonts w:eastAsia="Times New Roman" w:cstheme="minorHAnsi"/>
                <w:sz w:val="18"/>
                <w:szCs w:val="16"/>
                <w:lang w:eastAsia="en-GB"/>
              </w:rPr>
            </w:pPr>
            <w:r w:rsidRPr="008B2DDA">
              <w:rPr>
                <w:rFonts w:eastAsia="Times New Roman" w:cstheme="minorHAnsi"/>
                <w:sz w:val="18"/>
                <w:szCs w:val="16"/>
                <w:lang w:eastAsia="en-GB"/>
              </w:rPr>
              <w:t xml:space="preserve">    Fees for agreed upon procedures in relation to financial information</w:t>
            </w:r>
          </w:p>
        </w:tc>
        <w:tc>
          <w:tcPr>
            <w:tcW w:w="1737" w:type="dxa"/>
            <w:shd w:val="clear" w:color="auto" w:fill="FFFFFF" w:themeFill="background1"/>
            <w:noWrap/>
            <w:vAlign w:val="bottom"/>
          </w:tcPr>
          <w:p w14:paraId="57489711" w14:textId="77777777" w:rsidR="00FA18EA" w:rsidRPr="0091098D" w:rsidRDefault="00FA18EA" w:rsidP="00FA18EA">
            <w:pPr>
              <w:jc w:val="right"/>
              <w:outlineLvl w:val="0"/>
              <w:rPr>
                <w:rFonts w:eastAsia="Times New Roman" w:cstheme="minorHAnsi"/>
                <w:b/>
                <w:bCs/>
                <w:sz w:val="16"/>
                <w:szCs w:val="16"/>
                <w:lang w:eastAsia="en-GB"/>
              </w:rPr>
            </w:pPr>
            <w:r w:rsidRPr="000C5053">
              <w:rPr>
                <w:rFonts w:eastAsia="Times New Roman" w:cstheme="minorHAnsi"/>
                <w:b/>
                <w:bCs/>
                <w:sz w:val="16"/>
                <w:szCs w:val="16"/>
                <w:lang w:eastAsia="en-GB"/>
              </w:rPr>
              <w:t>10</w:t>
            </w:r>
          </w:p>
        </w:tc>
        <w:tc>
          <w:tcPr>
            <w:tcW w:w="1336" w:type="dxa"/>
            <w:shd w:val="clear" w:color="auto" w:fill="auto"/>
            <w:noWrap/>
            <w:vAlign w:val="bottom"/>
          </w:tcPr>
          <w:p w14:paraId="16D855B3" w14:textId="77777777" w:rsidR="00FA18EA" w:rsidRPr="0075195E" w:rsidRDefault="00FA18EA" w:rsidP="00FA18EA">
            <w:pPr>
              <w:jc w:val="right"/>
              <w:outlineLvl w:val="0"/>
              <w:rPr>
                <w:rFonts w:eastAsia="Times New Roman" w:cstheme="minorHAnsi"/>
                <w:bCs/>
                <w:sz w:val="16"/>
                <w:szCs w:val="16"/>
                <w:lang w:eastAsia="en-GB"/>
              </w:rPr>
            </w:pPr>
            <w:r w:rsidRPr="0075195E">
              <w:rPr>
                <w:rFonts w:eastAsia="Times New Roman" w:cstheme="minorHAnsi"/>
                <w:bCs/>
                <w:sz w:val="16"/>
                <w:szCs w:val="16"/>
                <w:lang w:eastAsia="en-GB"/>
              </w:rPr>
              <w:t>-</w:t>
            </w:r>
          </w:p>
        </w:tc>
      </w:tr>
      <w:tr w:rsidR="00FA18EA" w:rsidRPr="007600A7" w14:paraId="164737E3" w14:textId="77777777" w:rsidTr="00FA18EA">
        <w:trPr>
          <w:trHeight w:val="268"/>
        </w:trPr>
        <w:tc>
          <w:tcPr>
            <w:tcW w:w="0" w:type="auto"/>
            <w:shd w:val="clear" w:color="auto" w:fill="auto"/>
            <w:noWrap/>
            <w:vAlign w:val="bottom"/>
          </w:tcPr>
          <w:p w14:paraId="6785B6D6" w14:textId="77777777" w:rsidR="00FA18EA" w:rsidRPr="000C5053" w:rsidRDefault="00FA18EA" w:rsidP="00FA18EA">
            <w:pPr>
              <w:outlineLvl w:val="0"/>
              <w:rPr>
                <w:rFonts w:eastAsia="Times New Roman" w:cstheme="minorHAnsi"/>
                <w:sz w:val="18"/>
                <w:szCs w:val="16"/>
                <w:lang w:eastAsia="en-GB"/>
              </w:rPr>
            </w:pPr>
            <w:r w:rsidRPr="008B2DDA">
              <w:rPr>
                <w:rFonts w:eastAsia="Times New Roman" w:cstheme="minorHAnsi"/>
                <w:sz w:val="18"/>
                <w:szCs w:val="16"/>
                <w:lang w:eastAsia="en-GB"/>
              </w:rPr>
              <w:t xml:space="preserve">    Fees </w:t>
            </w:r>
            <w:r w:rsidRPr="008B2DDA">
              <w:rPr>
                <w:rFonts w:eastAsia="Times New Roman" w:cstheme="minorHAnsi"/>
                <w:sz w:val="18"/>
                <w:szCs w:val="18"/>
                <w:lang w:eastAsia="en-GB"/>
              </w:rPr>
              <w:t xml:space="preserve">for </w:t>
            </w:r>
            <w:r w:rsidRPr="008B2DDA">
              <w:rPr>
                <w:rFonts w:cstheme="minorHAnsi"/>
                <w:color w:val="000000"/>
                <w:sz w:val="18"/>
                <w:szCs w:val="18"/>
                <w:lang w:val="en-US"/>
              </w:rPr>
              <w:t>agreed upon procedures for performance fee</w:t>
            </w:r>
          </w:p>
        </w:tc>
        <w:tc>
          <w:tcPr>
            <w:tcW w:w="1737" w:type="dxa"/>
            <w:shd w:val="clear" w:color="auto" w:fill="FFFFFF" w:themeFill="background1"/>
            <w:noWrap/>
            <w:vAlign w:val="bottom"/>
          </w:tcPr>
          <w:p w14:paraId="0FC418A5" w14:textId="77777777" w:rsidR="00FA18EA" w:rsidRPr="0091098D" w:rsidRDefault="00FA18EA" w:rsidP="00FA18EA">
            <w:pPr>
              <w:jc w:val="right"/>
              <w:outlineLvl w:val="0"/>
              <w:rPr>
                <w:rFonts w:eastAsia="Times New Roman" w:cstheme="minorHAnsi"/>
                <w:b/>
                <w:bCs/>
                <w:sz w:val="16"/>
                <w:szCs w:val="16"/>
                <w:lang w:eastAsia="en-GB"/>
              </w:rPr>
            </w:pPr>
            <w:r w:rsidRPr="0091098D">
              <w:rPr>
                <w:rFonts w:eastAsia="Times New Roman" w:cstheme="minorHAnsi"/>
                <w:b/>
                <w:bCs/>
                <w:sz w:val="16"/>
                <w:szCs w:val="16"/>
                <w:lang w:eastAsia="en-GB"/>
              </w:rPr>
              <w:t>5</w:t>
            </w:r>
          </w:p>
        </w:tc>
        <w:tc>
          <w:tcPr>
            <w:tcW w:w="1336" w:type="dxa"/>
            <w:shd w:val="clear" w:color="auto" w:fill="auto"/>
            <w:noWrap/>
            <w:vAlign w:val="bottom"/>
          </w:tcPr>
          <w:p w14:paraId="70F230CE" w14:textId="77777777" w:rsidR="00FA18EA" w:rsidRPr="0075195E" w:rsidRDefault="00FA18EA" w:rsidP="00FA18EA">
            <w:pPr>
              <w:jc w:val="right"/>
              <w:outlineLvl w:val="0"/>
              <w:rPr>
                <w:rFonts w:eastAsia="Times New Roman" w:cstheme="minorHAnsi"/>
                <w:bCs/>
                <w:sz w:val="16"/>
                <w:szCs w:val="16"/>
                <w:lang w:eastAsia="en-GB"/>
              </w:rPr>
            </w:pPr>
            <w:r w:rsidRPr="0075195E">
              <w:rPr>
                <w:rFonts w:eastAsia="Times New Roman" w:cstheme="minorHAnsi"/>
                <w:bCs/>
                <w:sz w:val="16"/>
                <w:szCs w:val="16"/>
                <w:lang w:eastAsia="en-GB"/>
              </w:rPr>
              <w:t>-</w:t>
            </w:r>
          </w:p>
        </w:tc>
      </w:tr>
      <w:tr w:rsidR="00FA18EA" w:rsidRPr="007600A7" w14:paraId="5E0D873F" w14:textId="77777777" w:rsidTr="00FA18EA">
        <w:trPr>
          <w:trHeight w:val="268"/>
        </w:trPr>
        <w:tc>
          <w:tcPr>
            <w:tcW w:w="0" w:type="auto"/>
            <w:shd w:val="clear" w:color="auto" w:fill="auto"/>
            <w:noWrap/>
            <w:vAlign w:val="bottom"/>
          </w:tcPr>
          <w:p w14:paraId="4537CC6B" w14:textId="77777777" w:rsidR="00FA18EA" w:rsidRPr="008B2DDA" w:rsidRDefault="00FA18EA" w:rsidP="00FA18EA">
            <w:pPr>
              <w:outlineLvl w:val="0"/>
              <w:rPr>
                <w:rFonts w:eastAsia="Times New Roman" w:cstheme="minorHAnsi"/>
                <w:sz w:val="18"/>
                <w:szCs w:val="16"/>
                <w:lang w:eastAsia="en-GB"/>
              </w:rPr>
            </w:pPr>
            <w:r w:rsidRPr="008B2DDA">
              <w:rPr>
                <w:rFonts w:eastAsia="Times New Roman" w:cstheme="minorHAnsi"/>
                <w:sz w:val="18"/>
                <w:szCs w:val="16"/>
                <w:lang w:eastAsia="en-GB"/>
              </w:rPr>
              <w:t xml:space="preserve">    Fees paid for review of interim report</w:t>
            </w:r>
          </w:p>
        </w:tc>
        <w:tc>
          <w:tcPr>
            <w:tcW w:w="1737" w:type="dxa"/>
            <w:shd w:val="clear" w:color="auto" w:fill="FFFFFF" w:themeFill="background1"/>
            <w:noWrap/>
            <w:vAlign w:val="bottom"/>
          </w:tcPr>
          <w:p w14:paraId="08A9ED41" w14:textId="77777777" w:rsidR="00FA18EA" w:rsidRPr="0091098D" w:rsidRDefault="00FA18EA" w:rsidP="00FA18EA">
            <w:pPr>
              <w:jc w:val="right"/>
              <w:outlineLvl w:val="0"/>
              <w:rPr>
                <w:rFonts w:eastAsia="Times New Roman" w:cstheme="minorHAnsi"/>
                <w:b/>
                <w:bCs/>
                <w:sz w:val="16"/>
                <w:szCs w:val="16"/>
                <w:lang w:eastAsia="en-GB"/>
              </w:rPr>
            </w:pPr>
            <w:r w:rsidRPr="000C5053">
              <w:rPr>
                <w:rFonts w:eastAsia="Times New Roman" w:cstheme="minorHAnsi"/>
                <w:b/>
                <w:bCs/>
                <w:sz w:val="16"/>
                <w:szCs w:val="16"/>
                <w:lang w:eastAsia="en-GB"/>
              </w:rPr>
              <w:t>3</w:t>
            </w:r>
          </w:p>
        </w:tc>
        <w:tc>
          <w:tcPr>
            <w:tcW w:w="1336" w:type="dxa"/>
            <w:shd w:val="clear" w:color="auto" w:fill="auto"/>
            <w:noWrap/>
            <w:vAlign w:val="bottom"/>
          </w:tcPr>
          <w:p w14:paraId="79FF9BEB" w14:textId="77777777" w:rsidR="00FA18EA" w:rsidRPr="0075195E" w:rsidRDefault="00FA18EA" w:rsidP="00FA18EA">
            <w:pPr>
              <w:jc w:val="right"/>
              <w:outlineLvl w:val="0"/>
              <w:rPr>
                <w:rFonts w:eastAsia="Times New Roman" w:cstheme="minorHAnsi"/>
                <w:sz w:val="16"/>
                <w:szCs w:val="16"/>
                <w:lang w:eastAsia="en-GB"/>
              </w:rPr>
            </w:pPr>
            <w:r w:rsidRPr="0075195E">
              <w:rPr>
                <w:rFonts w:eastAsia="Times New Roman" w:cstheme="minorHAnsi"/>
                <w:bCs/>
                <w:sz w:val="16"/>
                <w:szCs w:val="16"/>
                <w:lang w:eastAsia="en-GB"/>
              </w:rPr>
              <w:t>-</w:t>
            </w:r>
          </w:p>
        </w:tc>
      </w:tr>
      <w:tr w:rsidR="00FA18EA" w:rsidRPr="007600A7" w14:paraId="7A0BE407" w14:textId="77777777" w:rsidTr="00FA18EA">
        <w:trPr>
          <w:trHeight w:val="268"/>
        </w:trPr>
        <w:tc>
          <w:tcPr>
            <w:tcW w:w="0" w:type="auto"/>
            <w:shd w:val="clear" w:color="auto" w:fill="auto"/>
            <w:noWrap/>
            <w:vAlign w:val="bottom"/>
          </w:tcPr>
          <w:p w14:paraId="480A65E9" w14:textId="77777777" w:rsidR="00FA18EA" w:rsidRPr="008B2DDA" w:rsidRDefault="00FA18EA" w:rsidP="00FA18EA">
            <w:pPr>
              <w:outlineLvl w:val="0"/>
              <w:rPr>
                <w:rFonts w:eastAsia="Times New Roman" w:cstheme="minorHAnsi"/>
                <w:sz w:val="18"/>
                <w:szCs w:val="16"/>
                <w:lang w:eastAsia="en-GB"/>
              </w:rPr>
            </w:pPr>
            <w:r w:rsidRPr="008B2DDA">
              <w:rPr>
                <w:rFonts w:eastAsia="Times New Roman" w:cstheme="minorHAnsi"/>
                <w:sz w:val="18"/>
                <w:szCs w:val="16"/>
                <w:lang w:eastAsia="en-GB"/>
              </w:rPr>
              <w:t xml:space="preserve">    Other services relating to taxation</w:t>
            </w:r>
          </w:p>
        </w:tc>
        <w:tc>
          <w:tcPr>
            <w:tcW w:w="1737" w:type="dxa"/>
            <w:shd w:val="clear" w:color="auto" w:fill="FFFFFF" w:themeFill="background1"/>
            <w:noWrap/>
            <w:vAlign w:val="bottom"/>
          </w:tcPr>
          <w:p w14:paraId="51F4764F" w14:textId="77777777" w:rsidR="00FA18EA" w:rsidRPr="0091098D" w:rsidRDefault="00FA18EA" w:rsidP="00FA18EA">
            <w:pPr>
              <w:jc w:val="right"/>
              <w:outlineLvl w:val="0"/>
              <w:rPr>
                <w:rFonts w:eastAsia="Times New Roman" w:cstheme="minorHAnsi"/>
                <w:b/>
                <w:bCs/>
                <w:sz w:val="16"/>
                <w:szCs w:val="16"/>
                <w:lang w:eastAsia="en-GB"/>
              </w:rPr>
            </w:pPr>
            <w:r w:rsidRPr="000C5053">
              <w:rPr>
                <w:rFonts w:eastAsia="Times New Roman" w:cstheme="minorHAnsi"/>
                <w:b/>
                <w:bCs/>
                <w:sz w:val="16"/>
                <w:szCs w:val="16"/>
                <w:lang w:eastAsia="en-GB"/>
              </w:rPr>
              <w:t>5</w:t>
            </w:r>
          </w:p>
        </w:tc>
        <w:tc>
          <w:tcPr>
            <w:tcW w:w="1336" w:type="dxa"/>
            <w:shd w:val="clear" w:color="auto" w:fill="auto"/>
            <w:noWrap/>
            <w:vAlign w:val="bottom"/>
          </w:tcPr>
          <w:p w14:paraId="2A6B864C" w14:textId="77777777" w:rsidR="00FA18EA" w:rsidRPr="0075195E" w:rsidRDefault="00FA18EA" w:rsidP="00FA18EA">
            <w:pPr>
              <w:jc w:val="right"/>
              <w:outlineLvl w:val="0"/>
              <w:rPr>
                <w:rFonts w:eastAsia="Times New Roman" w:cstheme="minorHAnsi"/>
                <w:sz w:val="16"/>
                <w:szCs w:val="16"/>
                <w:lang w:eastAsia="en-GB"/>
              </w:rPr>
            </w:pPr>
            <w:r w:rsidRPr="0075195E">
              <w:rPr>
                <w:rFonts w:eastAsia="Times New Roman" w:cstheme="minorHAnsi"/>
                <w:bCs/>
                <w:sz w:val="16"/>
                <w:szCs w:val="16"/>
                <w:lang w:eastAsia="en-GB"/>
              </w:rPr>
              <w:t>10</w:t>
            </w:r>
          </w:p>
        </w:tc>
      </w:tr>
      <w:tr w:rsidR="00FA18EA" w:rsidRPr="007600A7" w14:paraId="5DBDECF1" w14:textId="77777777" w:rsidTr="00FA18EA">
        <w:trPr>
          <w:trHeight w:val="268"/>
        </w:trPr>
        <w:tc>
          <w:tcPr>
            <w:tcW w:w="6893" w:type="dxa"/>
            <w:shd w:val="clear" w:color="auto" w:fill="auto"/>
            <w:noWrap/>
            <w:vAlign w:val="bottom"/>
          </w:tcPr>
          <w:p w14:paraId="3537D941" w14:textId="77777777" w:rsidR="00FA18EA" w:rsidRPr="008B2DDA" w:rsidRDefault="00FA18EA" w:rsidP="00FA18EA">
            <w:pPr>
              <w:outlineLvl w:val="0"/>
              <w:rPr>
                <w:rFonts w:eastAsia="Times New Roman" w:cstheme="minorHAnsi"/>
                <w:sz w:val="18"/>
                <w:szCs w:val="16"/>
                <w:lang w:eastAsia="en-GB"/>
              </w:rPr>
            </w:pPr>
            <w:r w:rsidRPr="008B2DDA">
              <w:rPr>
                <w:rFonts w:eastAsia="Times New Roman" w:cstheme="minorHAnsi"/>
                <w:sz w:val="18"/>
                <w:szCs w:val="16"/>
                <w:lang w:eastAsia="en-GB"/>
              </w:rPr>
              <w:t xml:space="preserve">    Under provision of tax fee </w:t>
            </w:r>
          </w:p>
        </w:tc>
        <w:tc>
          <w:tcPr>
            <w:tcW w:w="1737" w:type="dxa"/>
            <w:shd w:val="clear" w:color="auto" w:fill="FFFFFF" w:themeFill="background1"/>
            <w:noWrap/>
            <w:vAlign w:val="bottom"/>
          </w:tcPr>
          <w:p w14:paraId="3A965E11" w14:textId="77777777" w:rsidR="00FA18EA" w:rsidRPr="0091098D" w:rsidRDefault="00FA18EA" w:rsidP="00FA18EA">
            <w:pPr>
              <w:jc w:val="right"/>
              <w:outlineLvl w:val="0"/>
              <w:rPr>
                <w:rFonts w:eastAsia="Times New Roman" w:cstheme="minorHAnsi"/>
                <w:b/>
                <w:bCs/>
                <w:sz w:val="16"/>
                <w:szCs w:val="16"/>
                <w:lang w:eastAsia="en-GB"/>
              </w:rPr>
            </w:pPr>
            <w:r w:rsidRPr="000C5053">
              <w:rPr>
                <w:rFonts w:eastAsia="Times New Roman" w:cstheme="minorHAnsi"/>
                <w:b/>
                <w:bCs/>
                <w:sz w:val="16"/>
                <w:szCs w:val="16"/>
                <w:lang w:eastAsia="en-GB"/>
              </w:rPr>
              <w:t>3</w:t>
            </w:r>
          </w:p>
        </w:tc>
        <w:tc>
          <w:tcPr>
            <w:tcW w:w="1336" w:type="dxa"/>
            <w:shd w:val="clear" w:color="auto" w:fill="auto"/>
            <w:noWrap/>
            <w:vAlign w:val="bottom"/>
          </w:tcPr>
          <w:p w14:paraId="35A388A5" w14:textId="77777777" w:rsidR="00FA18EA" w:rsidRPr="0075195E" w:rsidRDefault="00FA18EA" w:rsidP="00FA18EA">
            <w:pPr>
              <w:jc w:val="right"/>
              <w:outlineLvl w:val="0"/>
              <w:rPr>
                <w:rFonts w:eastAsia="Times New Roman" w:cstheme="minorHAnsi"/>
                <w:bCs/>
                <w:sz w:val="16"/>
                <w:szCs w:val="16"/>
                <w:lang w:eastAsia="en-GB"/>
              </w:rPr>
            </w:pPr>
            <w:r w:rsidRPr="0075195E">
              <w:rPr>
                <w:rFonts w:eastAsia="Times New Roman" w:cstheme="minorHAnsi"/>
                <w:bCs/>
                <w:sz w:val="16"/>
                <w:szCs w:val="16"/>
                <w:lang w:eastAsia="en-GB"/>
              </w:rPr>
              <w:t>-</w:t>
            </w:r>
          </w:p>
        </w:tc>
      </w:tr>
      <w:tr w:rsidR="00FA18EA" w:rsidRPr="007600A7" w14:paraId="1555C1EC" w14:textId="77777777" w:rsidTr="00FA18EA">
        <w:trPr>
          <w:trHeight w:val="268"/>
        </w:trPr>
        <w:tc>
          <w:tcPr>
            <w:tcW w:w="6893" w:type="dxa"/>
            <w:shd w:val="clear" w:color="auto" w:fill="auto"/>
            <w:noWrap/>
            <w:vAlign w:val="bottom"/>
          </w:tcPr>
          <w:p w14:paraId="5A37D2EF" w14:textId="77777777" w:rsidR="00FA18EA" w:rsidRPr="008B2DDA" w:rsidRDefault="00FA18EA" w:rsidP="00FA18EA">
            <w:pPr>
              <w:outlineLvl w:val="0"/>
              <w:rPr>
                <w:rFonts w:eastAsia="Times New Roman" w:cstheme="minorHAnsi"/>
                <w:sz w:val="18"/>
                <w:szCs w:val="16"/>
                <w:lang w:eastAsia="en-GB"/>
              </w:rPr>
            </w:pPr>
            <w:r w:rsidRPr="008B2DDA">
              <w:rPr>
                <w:rFonts w:eastAsia="Times New Roman" w:cstheme="minorHAnsi"/>
                <w:sz w:val="18"/>
                <w:szCs w:val="16"/>
                <w:lang w:eastAsia="en-GB"/>
              </w:rPr>
              <w:t xml:space="preserve">    Recharge cost </w:t>
            </w:r>
          </w:p>
        </w:tc>
        <w:tc>
          <w:tcPr>
            <w:tcW w:w="1737" w:type="dxa"/>
            <w:shd w:val="clear" w:color="auto" w:fill="FFFFFF" w:themeFill="background1"/>
            <w:noWrap/>
            <w:vAlign w:val="bottom"/>
          </w:tcPr>
          <w:p w14:paraId="2AA3FE8E" w14:textId="77777777" w:rsidR="00FA18EA" w:rsidRPr="0091098D" w:rsidRDefault="00FA18EA" w:rsidP="00FA18EA">
            <w:pPr>
              <w:jc w:val="right"/>
              <w:outlineLvl w:val="0"/>
              <w:rPr>
                <w:rFonts w:eastAsia="Times New Roman" w:cstheme="minorHAnsi"/>
                <w:b/>
                <w:bCs/>
                <w:sz w:val="16"/>
                <w:szCs w:val="16"/>
                <w:lang w:eastAsia="en-GB"/>
              </w:rPr>
            </w:pPr>
            <w:r w:rsidRPr="000C5053">
              <w:rPr>
                <w:rFonts w:eastAsia="Times New Roman" w:cstheme="minorHAnsi"/>
                <w:b/>
                <w:bCs/>
                <w:sz w:val="16"/>
                <w:szCs w:val="16"/>
                <w:lang w:eastAsia="en-GB"/>
              </w:rPr>
              <w:t>1</w:t>
            </w:r>
          </w:p>
        </w:tc>
        <w:tc>
          <w:tcPr>
            <w:tcW w:w="1336" w:type="dxa"/>
            <w:shd w:val="clear" w:color="auto" w:fill="auto"/>
            <w:noWrap/>
            <w:vAlign w:val="bottom"/>
          </w:tcPr>
          <w:p w14:paraId="70695E5B" w14:textId="77777777" w:rsidR="00FA18EA" w:rsidRPr="0075195E" w:rsidRDefault="00FA18EA" w:rsidP="00FA18EA">
            <w:pPr>
              <w:jc w:val="right"/>
              <w:outlineLvl w:val="0"/>
              <w:rPr>
                <w:rFonts w:eastAsia="Times New Roman" w:cstheme="minorHAnsi"/>
                <w:bCs/>
                <w:sz w:val="16"/>
                <w:szCs w:val="16"/>
                <w:lang w:eastAsia="en-GB"/>
              </w:rPr>
            </w:pPr>
            <w:r w:rsidRPr="0075195E">
              <w:rPr>
                <w:rFonts w:eastAsia="Times New Roman" w:cstheme="minorHAnsi"/>
                <w:bCs/>
                <w:sz w:val="16"/>
                <w:szCs w:val="16"/>
                <w:lang w:eastAsia="en-GB"/>
              </w:rPr>
              <w:t>-</w:t>
            </w:r>
          </w:p>
        </w:tc>
      </w:tr>
      <w:tr w:rsidR="00FA18EA" w:rsidRPr="007600A7" w14:paraId="1AF17171" w14:textId="77777777" w:rsidTr="00FA18EA">
        <w:trPr>
          <w:trHeight w:val="268"/>
        </w:trPr>
        <w:tc>
          <w:tcPr>
            <w:tcW w:w="0" w:type="auto"/>
            <w:shd w:val="clear" w:color="auto" w:fill="auto"/>
            <w:noWrap/>
            <w:vAlign w:val="bottom"/>
            <w:hideMark/>
          </w:tcPr>
          <w:p w14:paraId="15FD2DC3" w14:textId="77777777" w:rsidR="00FA18EA" w:rsidRPr="008B2DDA" w:rsidRDefault="00FA18EA" w:rsidP="00FA18EA">
            <w:pPr>
              <w:outlineLvl w:val="0"/>
              <w:rPr>
                <w:rFonts w:eastAsia="Times New Roman" w:cstheme="minorHAnsi"/>
                <w:sz w:val="18"/>
                <w:szCs w:val="16"/>
                <w:lang w:eastAsia="en-GB"/>
              </w:rPr>
            </w:pPr>
          </w:p>
        </w:tc>
        <w:tc>
          <w:tcPr>
            <w:tcW w:w="1737" w:type="dxa"/>
            <w:shd w:val="clear" w:color="auto" w:fill="auto"/>
            <w:noWrap/>
            <w:vAlign w:val="bottom"/>
            <w:hideMark/>
          </w:tcPr>
          <w:p w14:paraId="2CD16011" w14:textId="77777777" w:rsidR="00FA18EA" w:rsidRPr="000C5053" w:rsidRDefault="00FA18EA" w:rsidP="00FA18EA">
            <w:pPr>
              <w:outlineLvl w:val="0"/>
              <w:rPr>
                <w:rFonts w:eastAsia="Times New Roman" w:cstheme="minorHAnsi"/>
                <w:b/>
                <w:bCs/>
                <w:sz w:val="16"/>
                <w:szCs w:val="16"/>
                <w:lang w:eastAsia="en-GB"/>
              </w:rPr>
            </w:pPr>
          </w:p>
        </w:tc>
        <w:tc>
          <w:tcPr>
            <w:tcW w:w="1336" w:type="dxa"/>
            <w:shd w:val="clear" w:color="auto" w:fill="auto"/>
            <w:noWrap/>
            <w:vAlign w:val="bottom"/>
            <w:hideMark/>
          </w:tcPr>
          <w:p w14:paraId="775F37ED" w14:textId="77777777" w:rsidR="00FA18EA" w:rsidRPr="0091098D" w:rsidRDefault="00FA18EA" w:rsidP="00FA18EA">
            <w:pPr>
              <w:outlineLvl w:val="0"/>
              <w:rPr>
                <w:rFonts w:eastAsia="Times New Roman" w:cstheme="minorHAnsi"/>
                <w:sz w:val="16"/>
                <w:szCs w:val="16"/>
                <w:lang w:eastAsia="en-GB"/>
              </w:rPr>
            </w:pPr>
          </w:p>
        </w:tc>
      </w:tr>
      <w:tr w:rsidR="00FA18EA" w:rsidRPr="007600A7" w14:paraId="4E3234B4" w14:textId="77777777" w:rsidTr="00FA18EA">
        <w:trPr>
          <w:trHeight w:val="268"/>
        </w:trPr>
        <w:tc>
          <w:tcPr>
            <w:tcW w:w="0" w:type="auto"/>
            <w:shd w:val="clear" w:color="auto" w:fill="auto"/>
            <w:noWrap/>
            <w:vAlign w:val="bottom"/>
            <w:hideMark/>
          </w:tcPr>
          <w:p w14:paraId="3B99B6B8" w14:textId="77777777" w:rsidR="00FA18EA" w:rsidRPr="008B2DDA" w:rsidRDefault="00FA18EA" w:rsidP="00FA18EA">
            <w:pPr>
              <w:outlineLvl w:val="0"/>
              <w:rPr>
                <w:rFonts w:eastAsia="Times New Roman" w:cstheme="minorHAnsi"/>
                <w:sz w:val="18"/>
                <w:szCs w:val="16"/>
                <w:lang w:eastAsia="en-GB"/>
              </w:rPr>
            </w:pPr>
            <w:r w:rsidRPr="008B2DDA">
              <w:rPr>
                <w:rFonts w:eastAsia="Times New Roman" w:cstheme="minorHAnsi"/>
                <w:sz w:val="18"/>
                <w:szCs w:val="16"/>
                <w:lang w:eastAsia="en-GB"/>
              </w:rPr>
              <w:t>Analysis of other costs:</w:t>
            </w:r>
          </w:p>
        </w:tc>
        <w:tc>
          <w:tcPr>
            <w:tcW w:w="1737" w:type="dxa"/>
            <w:shd w:val="clear" w:color="auto" w:fill="auto"/>
            <w:noWrap/>
            <w:vAlign w:val="bottom"/>
            <w:hideMark/>
          </w:tcPr>
          <w:p w14:paraId="1303934D" w14:textId="77777777" w:rsidR="00FA18EA" w:rsidRPr="000C5053" w:rsidRDefault="00FA18EA" w:rsidP="00FA18EA">
            <w:pPr>
              <w:outlineLvl w:val="0"/>
              <w:rPr>
                <w:rFonts w:eastAsia="Times New Roman" w:cstheme="minorHAnsi"/>
                <w:b/>
                <w:bCs/>
                <w:sz w:val="16"/>
                <w:szCs w:val="16"/>
                <w:lang w:eastAsia="en-GB"/>
              </w:rPr>
            </w:pPr>
          </w:p>
        </w:tc>
        <w:tc>
          <w:tcPr>
            <w:tcW w:w="1336" w:type="dxa"/>
            <w:shd w:val="clear" w:color="auto" w:fill="auto"/>
            <w:noWrap/>
            <w:vAlign w:val="bottom"/>
            <w:hideMark/>
          </w:tcPr>
          <w:p w14:paraId="0B36BE61" w14:textId="77777777" w:rsidR="00FA18EA" w:rsidRPr="0091098D" w:rsidRDefault="00FA18EA" w:rsidP="00FA18EA">
            <w:pPr>
              <w:outlineLvl w:val="0"/>
              <w:rPr>
                <w:rFonts w:eastAsia="Times New Roman" w:cstheme="minorHAnsi"/>
                <w:sz w:val="16"/>
                <w:szCs w:val="16"/>
                <w:lang w:eastAsia="en-GB"/>
              </w:rPr>
            </w:pPr>
          </w:p>
        </w:tc>
      </w:tr>
      <w:tr w:rsidR="00FA18EA" w:rsidRPr="007600A7" w14:paraId="331CD4D7" w14:textId="77777777" w:rsidTr="00FA18EA">
        <w:trPr>
          <w:trHeight w:val="268"/>
        </w:trPr>
        <w:tc>
          <w:tcPr>
            <w:tcW w:w="0" w:type="auto"/>
            <w:shd w:val="clear" w:color="auto" w:fill="auto"/>
            <w:noWrap/>
            <w:vAlign w:val="bottom"/>
            <w:hideMark/>
          </w:tcPr>
          <w:p w14:paraId="771CB055" w14:textId="77777777" w:rsidR="00FA18EA" w:rsidRPr="007600A7" w:rsidRDefault="00FA18EA" w:rsidP="00FA18EA">
            <w:pPr>
              <w:ind w:firstLineChars="100" w:firstLine="180"/>
              <w:outlineLvl w:val="0"/>
              <w:rPr>
                <w:rFonts w:eastAsia="Times New Roman" w:cstheme="minorHAnsi"/>
                <w:sz w:val="18"/>
                <w:szCs w:val="16"/>
                <w:lang w:eastAsia="en-GB"/>
              </w:rPr>
            </w:pPr>
            <w:r w:rsidRPr="008B2DDA">
              <w:rPr>
                <w:rFonts w:eastAsia="Times New Roman" w:cstheme="minorHAnsi"/>
                <w:sz w:val="18"/>
                <w:szCs w:val="16"/>
                <w:lang w:eastAsia="en-GB"/>
              </w:rPr>
              <w:t>Professional fees</w:t>
            </w:r>
            <w:r w:rsidRPr="007600A7">
              <w:rPr>
                <w:rFonts w:eastAsia="Times New Roman" w:cstheme="minorHAnsi"/>
                <w:sz w:val="18"/>
                <w:szCs w:val="16"/>
                <w:lang w:eastAsia="en-GB"/>
              </w:rPr>
              <w:t xml:space="preserve"> *</w:t>
            </w:r>
          </w:p>
        </w:tc>
        <w:tc>
          <w:tcPr>
            <w:tcW w:w="1737" w:type="dxa"/>
            <w:shd w:val="clear" w:color="auto" w:fill="auto"/>
            <w:noWrap/>
            <w:vAlign w:val="bottom"/>
            <w:hideMark/>
          </w:tcPr>
          <w:p w14:paraId="22A5B001" w14:textId="77777777" w:rsidR="00FA18EA" w:rsidRPr="000C1F6F" w:rsidRDefault="00FA18EA" w:rsidP="00FA18EA">
            <w:pPr>
              <w:jc w:val="right"/>
              <w:outlineLvl w:val="0"/>
              <w:rPr>
                <w:rFonts w:eastAsia="Times New Roman" w:cstheme="minorHAnsi"/>
                <w:b/>
                <w:bCs/>
                <w:sz w:val="16"/>
                <w:szCs w:val="16"/>
                <w:lang w:eastAsia="en-GB"/>
              </w:rPr>
            </w:pPr>
            <w:r w:rsidRPr="000C1F6F">
              <w:rPr>
                <w:rFonts w:eastAsia="Times New Roman" w:cstheme="minorHAnsi"/>
                <w:b/>
                <w:bCs/>
                <w:sz w:val="16"/>
                <w:szCs w:val="16"/>
                <w:lang w:eastAsia="en-GB"/>
              </w:rPr>
              <w:t>1,539</w:t>
            </w:r>
          </w:p>
        </w:tc>
        <w:tc>
          <w:tcPr>
            <w:tcW w:w="1336" w:type="dxa"/>
            <w:shd w:val="clear" w:color="auto" w:fill="auto"/>
            <w:noWrap/>
            <w:vAlign w:val="bottom"/>
            <w:hideMark/>
          </w:tcPr>
          <w:p w14:paraId="495DEB68" w14:textId="77777777" w:rsidR="00FA18EA" w:rsidRPr="008B2DDA" w:rsidRDefault="00FA18EA" w:rsidP="00FA18EA">
            <w:pPr>
              <w:jc w:val="right"/>
              <w:outlineLvl w:val="0"/>
              <w:rPr>
                <w:rFonts w:eastAsia="Times New Roman" w:cstheme="minorHAnsi"/>
                <w:sz w:val="16"/>
                <w:szCs w:val="16"/>
                <w:lang w:eastAsia="en-GB"/>
              </w:rPr>
            </w:pPr>
            <w:r w:rsidRPr="008B2DDA">
              <w:rPr>
                <w:rFonts w:eastAsia="Times New Roman" w:cstheme="minorHAnsi"/>
                <w:bCs/>
                <w:sz w:val="16"/>
                <w:szCs w:val="16"/>
                <w:lang w:eastAsia="en-GB"/>
              </w:rPr>
              <w:t>534</w:t>
            </w:r>
          </w:p>
        </w:tc>
      </w:tr>
      <w:tr w:rsidR="00FA18EA" w:rsidRPr="007600A7" w14:paraId="2380CB23" w14:textId="77777777" w:rsidTr="00FA18EA">
        <w:trPr>
          <w:trHeight w:val="268"/>
        </w:trPr>
        <w:tc>
          <w:tcPr>
            <w:tcW w:w="0" w:type="auto"/>
            <w:shd w:val="clear" w:color="auto" w:fill="auto"/>
            <w:noWrap/>
            <w:vAlign w:val="bottom"/>
            <w:hideMark/>
          </w:tcPr>
          <w:p w14:paraId="741E10B2" w14:textId="77777777" w:rsidR="00FA18EA" w:rsidRPr="008B2DDA" w:rsidRDefault="00FA18EA" w:rsidP="00FA18EA">
            <w:pPr>
              <w:ind w:firstLineChars="100" w:firstLine="180"/>
              <w:outlineLvl w:val="0"/>
              <w:rPr>
                <w:rFonts w:eastAsia="Times New Roman" w:cstheme="minorHAnsi"/>
                <w:sz w:val="18"/>
                <w:szCs w:val="16"/>
                <w:lang w:eastAsia="en-GB"/>
              </w:rPr>
            </w:pPr>
            <w:r w:rsidRPr="008B2DDA">
              <w:rPr>
                <w:rFonts w:eastAsia="Times New Roman" w:cstheme="minorHAnsi"/>
                <w:sz w:val="18"/>
                <w:szCs w:val="16"/>
                <w:lang w:eastAsia="en-GB"/>
              </w:rPr>
              <w:t xml:space="preserve">Management fee </w:t>
            </w:r>
          </w:p>
        </w:tc>
        <w:tc>
          <w:tcPr>
            <w:tcW w:w="1737" w:type="dxa"/>
            <w:shd w:val="clear" w:color="auto" w:fill="auto"/>
            <w:noWrap/>
            <w:vAlign w:val="bottom"/>
            <w:hideMark/>
          </w:tcPr>
          <w:p w14:paraId="40737FA4" w14:textId="77777777" w:rsidR="00FA18EA" w:rsidRPr="0091098D" w:rsidRDefault="00FA18EA" w:rsidP="00FA18EA">
            <w:pPr>
              <w:jc w:val="right"/>
              <w:outlineLvl w:val="0"/>
              <w:rPr>
                <w:rFonts w:eastAsia="Times New Roman" w:cstheme="minorHAnsi"/>
                <w:b/>
                <w:bCs/>
                <w:sz w:val="16"/>
                <w:szCs w:val="16"/>
                <w:lang w:eastAsia="en-GB"/>
              </w:rPr>
            </w:pPr>
            <w:r w:rsidRPr="000C5053">
              <w:rPr>
                <w:rFonts w:eastAsia="Times New Roman" w:cstheme="minorHAnsi"/>
                <w:b/>
                <w:bCs/>
                <w:sz w:val="16"/>
                <w:szCs w:val="16"/>
                <w:lang w:eastAsia="en-GB"/>
              </w:rPr>
              <w:t>593</w:t>
            </w:r>
          </w:p>
        </w:tc>
        <w:tc>
          <w:tcPr>
            <w:tcW w:w="1336" w:type="dxa"/>
            <w:shd w:val="clear" w:color="auto" w:fill="auto"/>
            <w:noWrap/>
            <w:vAlign w:val="bottom"/>
            <w:hideMark/>
          </w:tcPr>
          <w:p w14:paraId="29F47D89" w14:textId="77777777" w:rsidR="00FA18EA" w:rsidRPr="0075195E" w:rsidRDefault="00FA18EA" w:rsidP="00FA18EA">
            <w:pPr>
              <w:jc w:val="right"/>
              <w:outlineLvl w:val="0"/>
              <w:rPr>
                <w:rFonts w:eastAsia="Times New Roman" w:cstheme="minorHAnsi"/>
                <w:sz w:val="16"/>
                <w:szCs w:val="16"/>
                <w:lang w:eastAsia="en-GB"/>
              </w:rPr>
            </w:pPr>
            <w:r w:rsidRPr="0075195E">
              <w:rPr>
                <w:rFonts w:eastAsia="Times New Roman" w:cstheme="minorHAnsi"/>
                <w:bCs/>
                <w:sz w:val="16"/>
                <w:szCs w:val="16"/>
                <w:lang w:eastAsia="en-GB"/>
              </w:rPr>
              <w:t>832</w:t>
            </w:r>
          </w:p>
        </w:tc>
      </w:tr>
      <w:tr w:rsidR="00FA18EA" w:rsidRPr="007600A7" w14:paraId="5DE45FA3" w14:textId="77777777" w:rsidTr="00FA18EA">
        <w:trPr>
          <w:trHeight w:val="268"/>
        </w:trPr>
        <w:tc>
          <w:tcPr>
            <w:tcW w:w="0" w:type="auto"/>
            <w:shd w:val="clear" w:color="auto" w:fill="auto"/>
            <w:noWrap/>
            <w:vAlign w:val="bottom"/>
            <w:hideMark/>
          </w:tcPr>
          <w:p w14:paraId="1EFDB371" w14:textId="77777777" w:rsidR="00FA18EA" w:rsidRPr="007600A7" w:rsidRDefault="00FA18EA" w:rsidP="00FA18EA">
            <w:pPr>
              <w:ind w:firstLineChars="100" w:firstLine="180"/>
              <w:outlineLvl w:val="0"/>
              <w:rPr>
                <w:rFonts w:eastAsia="Times New Roman" w:cstheme="minorHAnsi"/>
                <w:sz w:val="18"/>
                <w:szCs w:val="16"/>
                <w:lang w:eastAsia="en-GB"/>
              </w:rPr>
            </w:pPr>
            <w:r w:rsidRPr="008B2DDA">
              <w:rPr>
                <w:rFonts w:eastAsia="Times New Roman" w:cstheme="minorHAnsi"/>
                <w:sz w:val="18"/>
                <w:szCs w:val="16"/>
                <w:lang w:eastAsia="en-GB"/>
              </w:rPr>
              <w:t>Other general</w:t>
            </w:r>
            <w:r w:rsidRPr="007600A7">
              <w:rPr>
                <w:rFonts w:eastAsia="Times New Roman" w:cstheme="minorHAnsi"/>
                <w:sz w:val="18"/>
                <w:szCs w:val="16"/>
                <w:lang w:eastAsia="en-GB"/>
              </w:rPr>
              <w:t xml:space="preserve"> expenses</w:t>
            </w:r>
          </w:p>
        </w:tc>
        <w:tc>
          <w:tcPr>
            <w:tcW w:w="1737" w:type="dxa"/>
            <w:shd w:val="clear" w:color="auto" w:fill="auto"/>
            <w:noWrap/>
            <w:vAlign w:val="bottom"/>
            <w:hideMark/>
          </w:tcPr>
          <w:p w14:paraId="05D9B299" w14:textId="77777777" w:rsidR="00FA18EA" w:rsidRPr="000C1F6F" w:rsidRDefault="00FA18EA" w:rsidP="00FA18EA">
            <w:pPr>
              <w:jc w:val="right"/>
              <w:outlineLvl w:val="0"/>
              <w:rPr>
                <w:rFonts w:eastAsia="Times New Roman" w:cstheme="minorHAnsi"/>
                <w:b/>
                <w:bCs/>
                <w:sz w:val="16"/>
                <w:szCs w:val="16"/>
                <w:lang w:eastAsia="en-GB"/>
              </w:rPr>
            </w:pPr>
            <w:r w:rsidRPr="000C1F6F">
              <w:rPr>
                <w:rFonts w:eastAsia="Times New Roman" w:cstheme="minorHAnsi"/>
                <w:b/>
                <w:bCs/>
                <w:sz w:val="16"/>
                <w:szCs w:val="16"/>
                <w:lang w:eastAsia="en-GB"/>
              </w:rPr>
              <w:t>103</w:t>
            </w:r>
          </w:p>
        </w:tc>
        <w:tc>
          <w:tcPr>
            <w:tcW w:w="1336" w:type="dxa"/>
            <w:shd w:val="clear" w:color="auto" w:fill="auto"/>
            <w:noWrap/>
            <w:vAlign w:val="bottom"/>
            <w:hideMark/>
          </w:tcPr>
          <w:p w14:paraId="0BA54212" w14:textId="77777777" w:rsidR="00FA18EA" w:rsidRPr="008B2DDA" w:rsidRDefault="00FA18EA" w:rsidP="00FA18EA">
            <w:pPr>
              <w:jc w:val="right"/>
              <w:outlineLvl w:val="0"/>
              <w:rPr>
                <w:rFonts w:eastAsia="Times New Roman" w:cstheme="minorHAnsi"/>
                <w:sz w:val="16"/>
                <w:szCs w:val="16"/>
                <w:lang w:eastAsia="en-GB"/>
              </w:rPr>
            </w:pPr>
            <w:r w:rsidRPr="008B2DDA">
              <w:rPr>
                <w:rFonts w:eastAsia="Times New Roman" w:cstheme="minorHAnsi"/>
                <w:bCs/>
                <w:sz w:val="16"/>
                <w:szCs w:val="16"/>
                <w:lang w:eastAsia="en-GB"/>
              </w:rPr>
              <w:t>129</w:t>
            </w:r>
          </w:p>
        </w:tc>
      </w:tr>
      <w:tr w:rsidR="00FA18EA" w:rsidRPr="007600A7" w14:paraId="6BC4191E" w14:textId="77777777" w:rsidTr="00FA18EA">
        <w:trPr>
          <w:trHeight w:val="284"/>
        </w:trPr>
        <w:tc>
          <w:tcPr>
            <w:tcW w:w="0" w:type="auto"/>
            <w:tcBorders>
              <w:top w:val="single" w:sz="4" w:space="0" w:color="auto"/>
              <w:bottom w:val="single" w:sz="4" w:space="0" w:color="auto"/>
            </w:tcBorders>
            <w:shd w:val="clear" w:color="auto" w:fill="auto"/>
            <w:noWrap/>
            <w:vAlign w:val="bottom"/>
            <w:hideMark/>
          </w:tcPr>
          <w:p w14:paraId="1D35EBC6" w14:textId="77777777" w:rsidR="00FA18EA" w:rsidRPr="008B2DDA" w:rsidRDefault="00FA18EA" w:rsidP="00FA18EA">
            <w:pPr>
              <w:outlineLvl w:val="0"/>
              <w:rPr>
                <w:rFonts w:eastAsia="Times New Roman" w:cstheme="minorHAnsi"/>
                <w:sz w:val="16"/>
                <w:szCs w:val="16"/>
                <w:lang w:eastAsia="en-GB"/>
              </w:rPr>
            </w:pPr>
            <w:r w:rsidRPr="008B2DDA">
              <w:rPr>
                <w:rFonts w:eastAsia="Times New Roman" w:cstheme="minorHAnsi"/>
                <w:sz w:val="16"/>
                <w:szCs w:val="16"/>
                <w:lang w:eastAsia="en-GB"/>
              </w:rPr>
              <w:t> </w:t>
            </w:r>
          </w:p>
        </w:tc>
        <w:tc>
          <w:tcPr>
            <w:tcW w:w="1737" w:type="dxa"/>
            <w:tcBorders>
              <w:top w:val="single" w:sz="4" w:space="0" w:color="auto"/>
              <w:bottom w:val="single" w:sz="4" w:space="0" w:color="auto"/>
            </w:tcBorders>
            <w:shd w:val="clear" w:color="auto" w:fill="auto"/>
            <w:noWrap/>
            <w:vAlign w:val="bottom"/>
            <w:hideMark/>
          </w:tcPr>
          <w:p w14:paraId="38A2D290" w14:textId="77777777" w:rsidR="00FA18EA" w:rsidRPr="0091098D" w:rsidRDefault="00FA18EA" w:rsidP="00FA18EA">
            <w:pPr>
              <w:jc w:val="right"/>
              <w:outlineLvl w:val="0"/>
              <w:rPr>
                <w:rFonts w:eastAsia="Times New Roman" w:cstheme="minorHAnsi"/>
                <w:b/>
                <w:bCs/>
                <w:sz w:val="16"/>
                <w:szCs w:val="16"/>
                <w:lang w:eastAsia="en-GB"/>
              </w:rPr>
            </w:pPr>
            <w:r w:rsidRPr="000C5053">
              <w:rPr>
                <w:rFonts w:eastAsia="Times New Roman" w:cstheme="minorHAnsi"/>
                <w:b/>
                <w:bCs/>
                <w:sz w:val="16"/>
                <w:szCs w:val="16"/>
                <w:lang w:eastAsia="en-GB"/>
              </w:rPr>
              <w:t>2,302</w:t>
            </w:r>
          </w:p>
        </w:tc>
        <w:tc>
          <w:tcPr>
            <w:tcW w:w="1336" w:type="dxa"/>
            <w:tcBorders>
              <w:top w:val="single" w:sz="4" w:space="0" w:color="auto"/>
              <w:bottom w:val="single" w:sz="4" w:space="0" w:color="auto"/>
            </w:tcBorders>
            <w:shd w:val="clear" w:color="auto" w:fill="auto"/>
            <w:noWrap/>
            <w:vAlign w:val="bottom"/>
            <w:hideMark/>
          </w:tcPr>
          <w:p w14:paraId="5974AAAA" w14:textId="77777777" w:rsidR="00FA18EA" w:rsidRPr="0075195E" w:rsidRDefault="00FA18EA" w:rsidP="00FA18EA">
            <w:pPr>
              <w:jc w:val="right"/>
              <w:outlineLvl w:val="0"/>
              <w:rPr>
                <w:rFonts w:eastAsia="Times New Roman" w:cstheme="minorHAnsi"/>
                <w:sz w:val="16"/>
                <w:szCs w:val="16"/>
                <w:lang w:eastAsia="en-GB"/>
              </w:rPr>
            </w:pPr>
            <w:r w:rsidRPr="0075195E">
              <w:rPr>
                <w:rFonts w:eastAsia="Times New Roman" w:cstheme="minorHAnsi"/>
                <w:sz w:val="16"/>
                <w:szCs w:val="16"/>
                <w:lang w:eastAsia="en-GB"/>
              </w:rPr>
              <w:t>1,539</w:t>
            </w:r>
          </w:p>
        </w:tc>
      </w:tr>
    </w:tbl>
    <w:p w14:paraId="5D047A2D" w14:textId="77777777" w:rsidR="00FA18EA" w:rsidRPr="008B2DDA" w:rsidRDefault="00FA18EA" w:rsidP="00FA18EA">
      <w:pPr>
        <w:autoSpaceDE w:val="0"/>
        <w:autoSpaceDN w:val="0"/>
        <w:adjustRightInd w:val="0"/>
        <w:jc w:val="both"/>
        <w:rPr>
          <w:rFonts w:cstheme="minorHAnsi"/>
          <w:color w:val="000000" w:themeColor="text1"/>
          <w:szCs w:val="18"/>
        </w:rPr>
      </w:pPr>
    </w:p>
    <w:p w14:paraId="0FCFE7F1" w14:textId="77777777" w:rsidR="00FA18EA" w:rsidRPr="0091098D" w:rsidRDefault="00FA18EA" w:rsidP="00FA18EA">
      <w:pPr>
        <w:autoSpaceDE w:val="0"/>
        <w:autoSpaceDN w:val="0"/>
        <w:adjustRightInd w:val="0"/>
        <w:jc w:val="both"/>
        <w:rPr>
          <w:rFonts w:cstheme="minorHAnsi"/>
          <w:color w:val="000000" w:themeColor="text1"/>
          <w:sz w:val="18"/>
          <w:szCs w:val="18"/>
        </w:rPr>
      </w:pPr>
      <w:r w:rsidRPr="000C5053">
        <w:rPr>
          <w:rFonts w:cstheme="minorHAnsi"/>
          <w:color w:val="000000" w:themeColor="text1"/>
          <w:sz w:val="18"/>
          <w:szCs w:val="18"/>
        </w:rPr>
        <w:t>* The company’s corporate activity during the year led to significant costs, with professional fees totalling £0.67m and legal fees totalling £0.37m.</w:t>
      </w:r>
    </w:p>
    <w:p w14:paraId="3601C8FD" w14:textId="77777777" w:rsidR="00FA18EA" w:rsidRPr="0075195E" w:rsidRDefault="00FA18EA" w:rsidP="00FA18EA">
      <w:pPr>
        <w:autoSpaceDE w:val="0"/>
        <w:autoSpaceDN w:val="0"/>
        <w:adjustRightInd w:val="0"/>
        <w:jc w:val="both"/>
        <w:rPr>
          <w:rFonts w:cstheme="minorHAnsi"/>
          <w:color w:val="000000" w:themeColor="text1"/>
          <w:szCs w:val="18"/>
        </w:rPr>
      </w:pPr>
    </w:p>
    <w:p w14:paraId="7D8873D7" w14:textId="77777777" w:rsidR="00FA18EA" w:rsidRPr="0075195E" w:rsidRDefault="00FA18EA" w:rsidP="00FA18EA">
      <w:pPr>
        <w:pageBreakBefore/>
        <w:autoSpaceDE w:val="0"/>
        <w:autoSpaceDN w:val="0"/>
        <w:adjustRightInd w:val="0"/>
        <w:rPr>
          <w:rFonts w:cstheme="minorHAnsi"/>
          <w:b/>
          <w:color w:val="000000"/>
        </w:rPr>
      </w:pPr>
      <w:r w:rsidRPr="0075195E">
        <w:rPr>
          <w:rFonts w:cstheme="minorHAnsi"/>
          <w:b/>
          <w:color w:val="000000"/>
          <w:sz w:val="28"/>
        </w:rPr>
        <w:lastRenderedPageBreak/>
        <w:t>Notes to the Financial Statements (continued)</w:t>
      </w:r>
    </w:p>
    <w:p w14:paraId="76D0E874" w14:textId="77777777" w:rsidR="00FA18EA" w:rsidRPr="00536A35" w:rsidRDefault="00FA18EA" w:rsidP="00FA18EA">
      <w:pPr>
        <w:autoSpaceDE w:val="0"/>
        <w:autoSpaceDN w:val="0"/>
        <w:adjustRightInd w:val="0"/>
        <w:rPr>
          <w:rFonts w:cstheme="minorHAnsi"/>
          <w:b/>
          <w:color w:val="000000"/>
          <w:sz w:val="18"/>
          <w:szCs w:val="16"/>
        </w:rPr>
      </w:pPr>
    </w:p>
    <w:p w14:paraId="477292F7" w14:textId="77777777" w:rsidR="00FA18EA" w:rsidRPr="00A02B31" w:rsidRDefault="00FA18EA" w:rsidP="00FA18EA">
      <w:pPr>
        <w:autoSpaceDE w:val="0"/>
        <w:autoSpaceDN w:val="0"/>
        <w:adjustRightInd w:val="0"/>
        <w:rPr>
          <w:rFonts w:cstheme="minorHAnsi"/>
          <w:color w:val="000000"/>
        </w:rPr>
      </w:pPr>
      <w:r w:rsidRPr="00A02B31">
        <w:rPr>
          <w:rFonts w:cstheme="minorHAnsi"/>
          <w:b/>
          <w:color w:val="000000"/>
        </w:rPr>
        <w:t>5 Taxation</w:t>
      </w:r>
    </w:p>
    <w:p w14:paraId="117CEC11" w14:textId="77777777" w:rsidR="00FA18EA" w:rsidRPr="007600A7" w:rsidRDefault="00FA18EA" w:rsidP="00FA18EA">
      <w:pPr>
        <w:autoSpaceDE w:val="0"/>
        <w:autoSpaceDN w:val="0"/>
        <w:adjustRightInd w:val="0"/>
        <w:rPr>
          <w:rFonts w:cstheme="minorHAnsi"/>
          <w:color w:val="000000"/>
          <w:sz w:val="18"/>
        </w:rPr>
      </w:pPr>
    </w:p>
    <w:tbl>
      <w:tblPr>
        <w:tblW w:w="9617" w:type="dxa"/>
        <w:tblInd w:w="108" w:type="dxa"/>
        <w:tblLook w:val="04A0" w:firstRow="1" w:lastRow="0" w:firstColumn="1" w:lastColumn="0" w:noHBand="0" w:noVBand="1"/>
      </w:tblPr>
      <w:tblGrid>
        <w:gridCol w:w="6987"/>
        <w:gridCol w:w="1354"/>
        <w:gridCol w:w="1276"/>
      </w:tblGrid>
      <w:tr w:rsidR="00FA18EA" w:rsidRPr="007600A7" w14:paraId="216BA080" w14:textId="77777777" w:rsidTr="00FA18EA">
        <w:trPr>
          <w:trHeight w:val="241"/>
        </w:trPr>
        <w:tc>
          <w:tcPr>
            <w:tcW w:w="6987" w:type="dxa"/>
            <w:tcBorders>
              <w:top w:val="single" w:sz="4" w:space="0" w:color="auto"/>
              <w:left w:val="nil"/>
              <w:bottom w:val="nil"/>
              <w:right w:val="nil"/>
            </w:tcBorders>
            <w:shd w:val="clear" w:color="auto" w:fill="auto"/>
            <w:noWrap/>
            <w:vAlign w:val="bottom"/>
            <w:hideMark/>
          </w:tcPr>
          <w:p w14:paraId="007915F5" w14:textId="77777777" w:rsidR="00FA18EA" w:rsidRPr="000C1F6F" w:rsidRDefault="00FA18EA" w:rsidP="00FA18EA">
            <w:pPr>
              <w:rPr>
                <w:rFonts w:eastAsia="Times New Roman" w:cstheme="minorHAnsi"/>
                <w:lang w:eastAsia="en-GB"/>
              </w:rPr>
            </w:pPr>
            <w:r w:rsidRPr="000C1F6F">
              <w:rPr>
                <w:rFonts w:eastAsia="Times New Roman" w:cstheme="minorHAnsi"/>
                <w:lang w:eastAsia="en-GB"/>
              </w:rPr>
              <w:t> </w:t>
            </w:r>
          </w:p>
        </w:tc>
        <w:tc>
          <w:tcPr>
            <w:tcW w:w="1354" w:type="dxa"/>
            <w:tcBorders>
              <w:top w:val="single" w:sz="4" w:space="0" w:color="auto"/>
              <w:left w:val="nil"/>
              <w:bottom w:val="nil"/>
              <w:right w:val="nil"/>
            </w:tcBorders>
            <w:shd w:val="clear" w:color="auto" w:fill="auto"/>
            <w:noWrap/>
            <w:vAlign w:val="bottom"/>
            <w:hideMark/>
          </w:tcPr>
          <w:p w14:paraId="404BF9F2" w14:textId="77777777" w:rsidR="00FA18EA" w:rsidRPr="008B2DDA" w:rsidRDefault="00FA18EA" w:rsidP="00FA18EA">
            <w:pPr>
              <w:jc w:val="right"/>
              <w:rPr>
                <w:rFonts w:eastAsia="Times New Roman" w:cstheme="minorHAnsi"/>
                <w:b/>
                <w:bCs/>
                <w:sz w:val="16"/>
                <w:szCs w:val="16"/>
                <w:lang w:eastAsia="en-GB"/>
              </w:rPr>
            </w:pPr>
            <w:r w:rsidRPr="008B2DDA">
              <w:rPr>
                <w:rFonts w:eastAsia="Times New Roman" w:cstheme="minorHAnsi"/>
                <w:b/>
                <w:bCs/>
                <w:sz w:val="16"/>
                <w:szCs w:val="16"/>
                <w:lang w:eastAsia="en-GB"/>
              </w:rPr>
              <w:t>Year ended</w:t>
            </w:r>
          </w:p>
        </w:tc>
        <w:tc>
          <w:tcPr>
            <w:tcW w:w="1276" w:type="dxa"/>
            <w:tcBorders>
              <w:top w:val="single" w:sz="4" w:space="0" w:color="auto"/>
              <w:left w:val="nil"/>
              <w:bottom w:val="nil"/>
              <w:right w:val="nil"/>
            </w:tcBorders>
            <w:shd w:val="clear" w:color="auto" w:fill="auto"/>
            <w:noWrap/>
            <w:vAlign w:val="bottom"/>
            <w:hideMark/>
          </w:tcPr>
          <w:p w14:paraId="3DC09D9F" w14:textId="77777777" w:rsidR="00FA18EA" w:rsidRPr="0091098D" w:rsidRDefault="00FA18EA" w:rsidP="00FA18EA">
            <w:pPr>
              <w:jc w:val="right"/>
              <w:rPr>
                <w:rFonts w:eastAsia="Times New Roman" w:cstheme="minorHAnsi"/>
                <w:sz w:val="16"/>
                <w:szCs w:val="16"/>
                <w:lang w:eastAsia="en-GB"/>
              </w:rPr>
            </w:pPr>
            <w:r w:rsidRPr="000C5053">
              <w:rPr>
                <w:rFonts w:eastAsia="Times New Roman" w:cstheme="minorHAnsi"/>
                <w:sz w:val="16"/>
                <w:szCs w:val="16"/>
                <w:lang w:eastAsia="en-GB"/>
              </w:rPr>
              <w:t>Year ended</w:t>
            </w:r>
          </w:p>
        </w:tc>
      </w:tr>
      <w:tr w:rsidR="00FA18EA" w:rsidRPr="007600A7" w14:paraId="2CA42A92" w14:textId="77777777" w:rsidTr="00FA18EA">
        <w:trPr>
          <w:trHeight w:val="241"/>
        </w:trPr>
        <w:tc>
          <w:tcPr>
            <w:tcW w:w="6987" w:type="dxa"/>
            <w:tcBorders>
              <w:top w:val="nil"/>
              <w:left w:val="nil"/>
              <w:bottom w:val="nil"/>
              <w:right w:val="nil"/>
            </w:tcBorders>
            <w:shd w:val="clear" w:color="auto" w:fill="auto"/>
            <w:noWrap/>
            <w:vAlign w:val="bottom"/>
            <w:hideMark/>
          </w:tcPr>
          <w:p w14:paraId="38F909C5" w14:textId="77777777" w:rsidR="00FA18EA" w:rsidRPr="008B2DDA" w:rsidRDefault="00FA18EA" w:rsidP="00FA18EA">
            <w:pPr>
              <w:outlineLvl w:val="0"/>
              <w:rPr>
                <w:rFonts w:eastAsia="Times New Roman" w:cstheme="minorHAnsi"/>
                <w:lang w:eastAsia="en-GB"/>
              </w:rPr>
            </w:pPr>
          </w:p>
        </w:tc>
        <w:tc>
          <w:tcPr>
            <w:tcW w:w="1354" w:type="dxa"/>
            <w:tcBorders>
              <w:top w:val="nil"/>
              <w:left w:val="nil"/>
              <w:bottom w:val="nil"/>
              <w:right w:val="nil"/>
            </w:tcBorders>
            <w:shd w:val="clear" w:color="auto" w:fill="auto"/>
            <w:noWrap/>
            <w:vAlign w:val="bottom"/>
            <w:hideMark/>
          </w:tcPr>
          <w:p w14:paraId="44F8980B" w14:textId="77777777" w:rsidR="00FA18EA" w:rsidRPr="0091098D" w:rsidRDefault="00FA18EA" w:rsidP="00FA18EA">
            <w:pPr>
              <w:jc w:val="right"/>
              <w:outlineLvl w:val="0"/>
              <w:rPr>
                <w:rFonts w:eastAsia="Times New Roman" w:cstheme="minorHAnsi"/>
                <w:b/>
                <w:bCs/>
                <w:sz w:val="16"/>
                <w:szCs w:val="16"/>
                <w:lang w:eastAsia="en-GB"/>
              </w:rPr>
            </w:pPr>
            <w:r w:rsidRPr="000C5053">
              <w:rPr>
                <w:rFonts w:eastAsia="Times New Roman" w:cstheme="minorHAnsi"/>
                <w:b/>
                <w:bCs/>
                <w:sz w:val="16"/>
                <w:szCs w:val="16"/>
                <w:lang w:eastAsia="en-GB"/>
              </w:rPr>
              <w:t>31 March 2022</w:t>
            </w:r>
          </w:p>
        </w:tc>
        <w:tc>
          <w:tcPr>
            <w:tcW w:w="1276" w:type="dxa"/>
            <w:tcBorders>
              <w:top w:val="nil"/>
              <w:left w:val="nil"/>
              <w:bottom w:val="nil"/>
              <w:right w:val="nil"/>
            </w:tcBorders>
            <w:shd w:val="clear" w:color="auto" w:fill="auto"/>
            <w:noWrap/>
            <w:vAlign w:val="bottom"/>
            <w:hideMark/>
          </w:tcPr>
          <w:p w14:paraId="0FEDB0CC" w14:textId="77777777" w:rsidR="00FA18EA" w:rsidRPr="0075195E" w:rsidRDefault="00FA18EA" w:rsidP="00FA18EA">
            <w:pPr>
              <w:jc w:val="right"/>
              <w:outlineLvl w:val="0"/>
              <w:rPr>
                <w:rFonts w:eastAsia="Times New Roman" w:cstheme="minorHAnsi"/>
                <w:sz w:val="16"/>
                <w:szCs w:val="16"/>
                <w:lang w:eastAsia="en-GB"/>
              </w:rPr>
            </w:pPr>
            <w:r w:rsidRPr="0075195E">
              <w:rPr>
                <w:rFonts w:eastAsia="Times New Roman" w:cstheme="minorHAnsi"/>
                <w:sz w:val="16"/>
                <w:szCs w:val="16"/>
                <w:lang w:eastAsia="en-GB"/>
              </w:rPr>
              <w:t>31 March 2021</w:t>
            </w:r>
          </w:p>
        </w:tc>
      </w:tr>
      <w:tr w:rsidR="00FA18EA" w:rsidRPr="007600A7" w14:paraId="6357BCEA" w14:textId="77777777" w:rsidTr="00FA18EA">
        <w:trPr>
          <w:trHeight w:val="241"/>
        </w:trPr>
        <w:tc>
          <w:tcPr>
            <w:tcW w:w="6987" w:type="dxa"/>
            <w:tcBorders>
              <w:top w:val="nil"/>
              <w:left w:val="nil"/>
              <w:bottom w:val="single" w:sz="4" w:space="0" w:color="auto"/>
              <w:right w:val="nil"/>
            </w:tcBorders>
            <w:shd w:val="clear" w:color="auto" w:fill="auto"/>
            <w:noWrap/>
            <w:vAlign w:val="bottom"/>
            <w:hideMark/>
          </w:tcPr>
          <w:p w14:paraId="3102002D" w14:textId="77777777" w:rsidR="00FA18EA" w:rsidRPr="008B2DDA" w:rsidRDefault="00FA18EA" w:rsidP="00FA18EA">
            <w:pPr>
              <w:outlineLvl w:val="0"/>
              <w:rPr>
                <w:rFonts w:eastAsia="Times New Roman" w:cstheme="minorHAnsi"/>
                <w:lang w:eastAsia="en-GB"/>
              </w:rPr>
            </w:pPr>
            <w:r w:rsidRPr="008B2DDA">
              <w:rPr>
                <w:rFonts w:eastAsia="Times New Roman" w:cstheme="minorHAnsi"/>
                <w:lang w:eastAsia="en-GB"/>
              </w:rPr>
              <w:t> </w:t>
            </w:r>
          </w:p>
        </w:tc>
        <w:tc>
          <w:tcPr>
            <w:tcW w:w="1354" w:type="dxa"/>
            <w:tcBorders>
              <w:top w:val="nil"/>
              <w:left w:val="nil"/>
              <w:bottom w:val="single" w:sz="4" w:space="0" w:color="auto"/>
              <w:right w:val="nil"/>
            </w:tcBorders>
            <w:shd w:val="clear" w:color="auto" w:fill="auto"/>
            <w:noWrap/>
            <w:vAlign w:val="bottom"/>
            <w:hideMark/>
          </w:tcPr>
          <w:p w14:paraId="34CD8FB9" w14:textId="77777777" w:rsidR="00FA18EA" w:rsidRPr="0091098D" w:rsidRDefault="00FA18EA" w:rsidP="00FA18EA">
            <w:pPr>
              <w:jc w:val="right"/>
              <w:outlineLvl w:val="0"/>
              <w:rPr>
                <w:rFonts w:eastAsia="Times New Roman" w:cstheme="minorHAnsi"/>
                <w:b/>
                <w:bCs/>
                <w:sz w:val="16"/>
                <w:szCs w:val="16"/>
                <w:lang w:eastAsia="en-GB"/>
              </w:rPr>
            </w:pPr>
            <w:r w:rsidRPr="000C5053">
              <w:rPr>
                <w:rFonts w:eastAsia="Times New Roman" w:cstheme="minorHAnsi"/>
                <w:b/>
                <w:bCs/>
                <w:sz w:val="16"/>
                <w:szCs w:val="16"/>
                <w:lang w:eastAsia="en-GB"/>
              </w:rPr>
              <w:t>£'000</w:t>
            </w:r>
          </w:p>
        </w:tc>
        <w:tc>
          <w:tcPr>
            <w:tcW w:w="1276" w:type="dxa"/>
            <w:tcBorders>
              <w:top w:val="nil"/>
              <w:left w:val="nil"/>
              <w:bottom w:val="single" w:sz="4" w:space="0" w:color="auto"/>
              <w:right w:val="nil"/>
            </w:tcBorders>
            <w:shd w:val="clear" w:color="auto" w:fill="auto"/>
            <w:noWrap/>
            <w:vAlign w:val="bottom"/>
            <w:hideMark/>
          </w:tcPr>
          <w:p w14:paraId="4D0F69B9" w14:textId="77777777" w:rsidR="00FA18EA" w:rsidRPr="0075195E" w:rsidRDefault="00FA18EA" w:rsidP="00FA18EA">
            <w:pPr>
              <w:jc w:val="right"/>
              <w:outlineLvl w:val="0"/>
              <w:rPr>
                <w:rFonts w:eastAsia="Times New Roman" w:cstheme="minorHAnsi"/>
                <w:sz w:val="16"/>
                <w:szCs w:val="16"/>
                <w:lang w:eastAsia="en-GB"/>
              </w:rPr>
            </w:pPr>
            <w:r w:rsidRPr="0075195E">
              <w:rPr>
                <w:rFonts w:eastAsia="Times New Roman" w:cstheme="minorHAnsi"/>
                <w:sz w:val="16"/>
                <w:szCs w:val="16"/>
                <w:lang w:eastAsia="en-GB"/>
              </w:rPr>
              <w:t>£'000</w:t>
            </w:r>
          </w:p>
        </w:tc>
      </w:tr>
      <w:tr w:rsidR="00FA18EA" w:rsidRPr="007600A7" w14:paraId="5C55137A" w14:textId="77777777" w:rsidTr="00FA18EA">
        <w:trPr>
          <w:trHeight w:val="277"/>
        </w:trPr>
        <w:tc>
          <w:tcPr>
            <w:tcW w:w="6987" w:type="dxa"/>
            <w:tcBorders>
              <w:top w:val="nil"/>
              <w:left w:val="nil"/>
              <w:right w:val="nil"/>
            </w:tcBorders>
            <w:shd w:val="clear" w:color="auto" w:fill="auto"/>
            <w:noWrap/>
            <w:vAlign w:val="bottom"/>
            <w:hideMark/>
          </w:tcPr>
          <w:p w14:paraId="37F74DA0" w14:textId="77777777" w:rsidR="00FA18EA" w:rsidRPr="008B2DDA" w:rsidRDefault="00FA18EA" w:rsidP="00FA18EA">
            <w:pPr>
              <w:outlineLvl w:val="0"/>
              <w:rPr>
                <w:rFonts w:eastAsia="Times New Roman" w:cstheme="minorHAnsi"/>
                <w:b/>
                <w:bCs/>
                <w:sz w:val="18"/>
                <w:szCs w:val="18"/>
                <w:lang w:eastAsia="en-GB"/>
              </w:rPr>
            </w:pPr>
            <w:r w:rsidRPr="008B2DDA">
              <w:rPr>
                <w:rFonts w:eastAsia="Times New Roman" w:cstheme="minorHAnsi"/>
                <w:b/>
                <w:bCs/>
                <w:sz w:val="18"/>
                <w:szCs w:val="18"/>
                <w:lang w:eastAsia="en-GB"/>
              </w:rPr>
              <w:t>UK corporation tax</w:t>
            </w:r>
          </w:p>
        </w:tc>
        <w:tc>
          <w:tcPr>
            <w:tcW w:w="1354" w:type="dxa"/>
            <w:tcBorders>
              <w:top w:val="nil"/>
              <w:left w:val="nil"/>
              <w:right w:val="nil"/>
            </w:tcBorders>
            <w:shd w:val="clear" w:color="auto" w:fill="auto"/>
            <w:noWrap/>
            <w:vAlign w:val="bottom"/>
            <w:hideMark/>
          </w:tcPr>
          <w:p w14:paraId="2569CD31" w14:textId="77777777" w:rsidR="00FA18EA" w:rsidRPr="000C5053" w:rsidRDefault="00FA18EA" w:rsidP="00FA18EA">
            <w:pPr>
              <w:outlineLvl w:val="0"/>
              <w:rPr>
                <w:rFonts w:eastAsia="Times New Roman" w:cstheme="minorHAnsi"/>
                <w:b/>
                <w:bCs/>
                <w:sz w:val="18"/>
                <w:szCs w:val="18"/>
                <w:lang w:eastAsia="en-GB"/>
              </w:rPr>
            </w:pPr>
          </w:p>
        </w:tc>
        <w:tc>
          <w:tcPr>
            <w:tcW w:w="1276" w:type="dxa"/>
            <w:tcBorders>
              <w:top w:val="nil"/>
              <w:left w:val="nil"/>
              <w:right w:val="nil"/>
            </w:tcBorders>
            <w:shd w:val="clear" w:color="auto" w:fill="auto"/>
            <w:noWrap/>
            <w:vAlign w:val="bottom"/>
            <w:hideMark/>
          </w:tcPr>
          <w:p w14:paraId="66F19103" w14:textId="77777777" w:rsidR="00FA18EA" w:rsidRPr="0091098D" w:rsidRDefault="00FA18EA" w:rsidP="00FA18EA">
            <w:pPr>
              <w:outlineLvl w:val="0"/>
              <w:rPr>
                <w:rFonts w:eastAsia="Times New Roman" w:cstheme="minorHAnsi"/>
                <w:sz w:val="18"/>
                <w:szCs w:val="18"/>
                <w:lang w:eastAsia="en-GB"/>
              </w:rPr>
            </w:pPr>
          </w:p>
        </w:tc>
      </w:tr>
      <w:tr w:rsidR="00FA18EA" w:rsidRPr="007600A7" w14:paraId="0B41FCD5" w14:textId="77777777" w:rsidTr="00FA18EA">
        <w:trPr>
          <w:trHeight w:val="277"/>
        </w:trPr>
        <w:tc>
          <w:tcPr>
            <w:tcW w:w="6987" w:type="dxa"/>
            <w:tcBorders>
              <w:top w:val="nil"/>
              <w:left w:val="nil"/>
              <w:bottom w:val="single" w:sz="4" w:space="0" w:color="auto"/>
              <w:right w:val="nil"/>
            </w:tcBorders>
            <w:shd w:val="clear" w:color="auto" w:fill="auto"/>
            <w:noWrap/>
            <w:vAlign w:val="bottom"/>
            <w:hideMark/>
          </w:tcPr>
          <w:p w14:paraId="46D92508" w14:textId="77777777" w:rsidR="00FA18EA" w:rsidRPr="008B2DDA" w:rsidRDefault="00FA18EA" w:rsidP="00FA18EA">
            <w:pPr>
              <w:outlineLvl w:val="0"/>
              <w:rPr>
                <w:rFonts w:eastAsia="Times New Roman" w:cstheme="minorHAnsi"/>
                <w:sz w:val="18"/>
                <w:szCs w:val="18"/>
                <w:lang w:eastAsia="en-GB"/>
              </w:rPr>
            </w:pPr>
            <w:r w:rsidRPr="008B2DDA">
              <w:rPr>
                <w:rFonts w:eastAsia="Times New Roman" w:cstheme="minorHAnsi"/>
                <w:sz w:val="18"/>
                <w:szCs w:val="18"/>
                <w:lang w:eastAsia="en-GB"/>
              </w:rPr>
              <w:t>Corporation tax liability at 19% (2021: 19%)</w:t>
            </w:r>
          </w:p>
        </w:tc>
        <w:tc>
          <w:tcPr>
            <w:tcW w:w="1354" w:type="dxa"/>
            <w:tcBorders>
              <w:top w:val="nil"/>
              <w:left w:val="nil"/>
              <w:bottom w:val="single" w:sz="4" w:space="0" w:color="auto"/>
              <w:right w:val="nil"/>
            </w:tcBorders>
            <w:shd w:val="clear" w:color="auto" w:fill="auto"/>
            <w:noWrap/>
            <w:vAlign w:val="bottom"/>
            <w:hideMark/>
          </w:tcPr>
          <w:p w14:paraId="136E8B76" w14:textId="6C639D89" w:rsidR="00FA18EA" w:rsidRPr="0091098D" w:rsidRDefault="00FA18EA" w:rsidP="007F3217">
            <w:pPr>
              <w:jc w:val="right"/>
              <w:outlineLvl w:val="0"/>
              <w:rPr>
                <w:rFonts w:eastAsia="Times New Roman" w:cstheme="minorHAnsi"/>
                <w:b/>
                <w:bCs/>
                <w:sz w:val="18"/>
                <w:szCs w:val="18"/>
                <w:lang w:eastAsia="en-GB"/>
              </w:rPr>
            </w:pPr>
            <w:r w:rsidRPr="000C5053">
              <w:rPr>
                <w:rFonts w:eastAsia="Times New Roman" w:cstheme="minorHAnsi"/>
                <w:b/>
                <w:bCs/>
                <w:sz w:val="18"/>
                <w:szCs w:val="18"/>
                <w:lang w:eastAsia="en-GB"/>
              </w:rPr>
              <w:t>1,58</w:t>
            </w:r>
            <w:r w:rsidR="007F3217">
              <w:rPr>
                <w:rFonts w:eastAsia="Times New Roman" w:cstheme="minorHAnsi"/>
                <w:b/>
                <w:bCs/>
                <w:sz w:val="18"/>
                <w:szCs w:val="18"/>
                <w:lang w:eastAsia="en-GB"/>
              </w:rPr>
              <w:t>0</w:t>
            </w:r>
          </w:p>
        </w:tc>
        <w:tc>
          <w:tcPr>
            <w:tcW w:w="1276" w:type="dxa"/>
            <w:tcBorders>
              <w:top w:val="nil"/>
              <w:left w:val="nil"/>
              <w:bottom w:val="single" w:sz="4" w:space="0" w:color="auto"/>
              <w:right w:val="nil"/>
            </w:tcBorders>
            <w:shd w:val="clear" w:color="auto" w:fill="auto"/>
            <w:noWrap/>
            <w:vAlign w:val="bottom"/>
            <w:hideMark/>
          </w:tcPr>
          <w:p w14:paraId="12E8E265" w14:textId="77777777" w:rsidR="00FA18EA" w:rsidRPr="0075195E" w:rsidRDefault="00FA18EA" w:rsidP="00FA18EA">
            <w:pPr>
              <w:jc w:val="right"/>
              <w:outlineLvl w:val="0"/>
              <w:rPr>
                <w:rFonts w:eastAsia="Times New Roman" w:cstheme="minorHAnsi"/>
                <w:sz w:val="18"/>
                <w:szCs w:val="18"/>
                <w:lang w:eastAsia="en-GB"/>
              </w:rPr>
            </w:pPr>
            <w:r w:rsidRPr="0075195E">
              <w:rPr>
                <w:rFonts w:eastAsia="Times New Roman" w:cstheme="minorHAnsi"/>
                <w:sz w:val="18"/>
                <w:szCs w:val="18"/>
                <w:lang w:eastAsia="en-GB"/>
              </w:rPr>
              <w:t>-</w:t>
            </w:r>
          </w:p>
        </w:tc>
      </w:tr>
      <w:tr w:rsidR="00FA18EA" w:rsidRPr="007600A7" w14:paraId="5BDE9BE7" w14:textId="77777777" w:rsidTr="00FA18EA">
        <w:trPr>
          <w:trHeight w:val="241"/>
        </w:trPr>
        <w:tc>
          <w:tcPr>
            <w:tcW w:w="6987" w:type="dxa"/>
            <w:tcBorders>
              <w:top w:val="nil"/>
              <w:left w:val="nil"/>
              <w:bottom w:val="nil"/>
              <w:right w:val="nil"/>
            </w:tcBorders>
            <w:shd w:val="clear" w:color="auto" w:fill="auto"/>
            <w:noWrap/>
            <w:vAlign w:val="bottom"/>
            <w:hideMark/>
          </w:tcPr>
          <w:p w14:paraId="7D8D3D6F" w14:textId="77777777" w:rsidR="00FA18EA" w:rsidRPr="008B2DDA" w:rsidRDefault="00FA18EA" w:rsidP="00FA18EA">
            <w:pPr>
              <w:outlineLvl w:val="0"/>
              <w:rPr>
                <w:rFonts w:eastAsia="Times New Roman" w:cstheme="minorHAnsi"/>
                <w:sz w:val="18"/>
                <w:szCs w:val="18"/>
                <w:lang w:eastAsia="en-GB"/>
              </w:rPr>
            </w:pPr>
          </w:p>
        </w:tc>
        <w:tc>
          <w:tcPr>
            <w:tcW w:w="1354" w:type="dxa"/>
            <w:tcBorders>
              <w:top w:val="nil"/>
              <w:left w:val="nil"/>
              <w:bottom w:val="nil"/>
              <w:right w:val="nil"/>
            </w:tcBorders>
            <w:shd w:val="clear" w:color="auto" w:fill="auto"/>
            <w:noWrap/>
            <w:vAlign w:val="bottom"/>
            <w:hideMark/>
          </w:tcPr>
          <w:p w14:paraId="2E7AC529" w14:textId="3872733D" w:rsidR="00FA18EA" w:rsidRPr="0091098D" w:rsidRDefault="00FA18EA" w:rsidP="00FA18EA">
            <w:pPr>
              <w:jc w:val="right"/>
              <w:outlineLvl w:val="0"/>
              <w:rPr>
                <w:rFonts w:eastAsia="Times New Roman" w:cstheme="minorHAnsi"/>
                <w:b/>
                <w:bCs/>
                <w:sz w:val="18"/>
                <w:szCs w:val="18"/>
                <w:lang w:eastAsia="en-GB"/>
              </w:rPr>
            </w:pPr>
            <w:r w:rsidRPr="000C5053">
              <w:rPr>
                <w:rFonts w:eastAsia="Times New Roman" w:cstheme="minorHAnsi"/>
                <w:b/>
                <w:bCs/>
                <w:sz w:val="18"/>
                <w:szCs w:val="18"/>
                <w:lang w:eastAsia="en-GB"/>
              </w:rPr>
              <w:t>1,580</w:t>
            </w:r>
          </w:p>
        </w:tc>
        <w:tc>
          <w:tcPr>
            <w:tcW w:w="1276" w:type="dxa"/>
            <w:tcBorders>
              <w:top w:val="nil"/>
              <w:left w:val="nil"/>
              <w:bottom w:val="nil"/>
              <w:right w:val="nil"/>
            </w:tcBorders>
            <w:shd w:val="clear" w:color="auto" w:fill="auto"/>
            <w:noWrap/>
            <w:vAlign w:val="bottom"/>
            <w:hideMark/>
          </w:tcPr>
          <w:p w14:paraId="36EA76DC" w14:textId="77777777" w:rsidR="00FA18EA" w:rsidRPr="0075195E" w:rsidRDefault="00FA18EA" w:rsidP="00FA18EA">
            <w:pPr>
              <w:jc w:val="right"/>
              <w:outlineLvl w:val="0"/>
              <w:rPr>
                <w:rFonts w:eastAsia="Times New Roman" w:cstheme="minorHAnsi"/>
                <w:sz w:val="18"/>
                <w:szCs w:val="18"/>
                <w:lang w:eastAsia="en-GB"/>
              </w:rPr>
            </w:pPr>
            <w:r w:rsidRPr="0075195E">
              <w:rPr>
                <w:rFonts w:eastAsia="Times New Roman" w:cstheme="minorHAnsi"/>
                <w:sz w:val="18"/>
                <w:szCs w:val="18"/>
                <w:lang w:eastAsia="en-GB"/>
              </w:rPr>
              <w:t>-</w:t>
            </w:r>
          </w:p>
        </w:tc>
      </w:tr>
      <w:tr w:rsidR="00FA18EA" w:rsidRPr="007600A7" w14:paraId="7F3A511C" w14:textId="77777777" w:rsidTr="00FA18EA">
        <w:trPr>
          <w:trHeight w:val="241"/>
        </w:trPr>
        <w:tc>
          <w:tcPr>
            <w:tcW w:w="6987" w:type="dxa"/>
            <w:tcBorders>
              <w:top w:val="nil"/>
              <w:left w:val="nil"/>
              <w:bottom w:val="nil"/>
              <w:right w:val="nil"/>
            </w:tcBorders>
            <w:shd w:val="clear" w:color="auto" w:fill="auto"/>
            <w:noWrap/>
            <w:vAlign w:val="bottom"/>
          </w:tcPr>
          <w:p w14:paraId="060FDFC9" w14:textId="77777777" w:rsidR="00FA18EA" w:rsidRPr="008B2DDA" w:rsidRDefault="00FA18EA" w:rsidP="00FA18EA">
            <w:pPr>
              <w:outlineLvl w:val="0"/>
              <w:rPr>
                <w:rFonts w:eastAsia="Times New Roman" w:cstheme="minorHAnsi"/>
                <w:sz w:val="18"/>
                <w:szCs w:val="18"/>
                <w:lang w:eastAsia="en-GB"/>
              </w:rPr>
            </w:pPr>
          </w:p>
        </w:tc>
        <w:tc>
          <w:tcPr>
            <w:tcW w:w="1354" w:type="dxa"/>
            <w:tcBorders>
              <w:top w:val="nil"/>
              <w:left w:val="nil"/>
              <w:bottom w:val="nil"/>
              <w:right w:val="nil"/>
            </w:tcBorders>
            <w:shd w:val="clear" w:color="auto" w:fill="auto"/>
            <w:noWrap/>
            <w:vAlign w:val="bottom"/>
          </w:tcPr>
          <w:p w14:paraId="2A08E6F5" w14:textId="77777777" w:rsidR="00FA18EA" w:rsidRPr="000C5053" w:rsidRDefault="00FA18EA" w:rsidP="00FA18EA">
            <w:pPr>
              <w:jc w:val="right"/>
              <w:outlineLvl w:val="0"/>
              <w:rPr>
                <w:rFonts w:eastAsia="Times New Roman" w:cstheme="minorHAnsi"/>
                <w:b/>
                <w:bCs/>
                <w:sz w:val="18"/>
                <w:szCs w:val="18"/>
                <w:lang w:eastAsia="en-GB"/>
              </w:rPr>
            </w:pPr>
          </w:p>
        </w:tc>
        <w:tc>
          <w:tcPr>
            <w:tcW w:w="1276" w:type="dxa"/>
            <w:tcBorders>
              <w:top w:val="nil"/>
              <w:left w:val="nil"/>
              <w:bottom w:val="nil"/>
              <w:right w:val="nil"/>
            </w:tcBorders>
            <w:shd w:val="clear" w:color="auto" w:fill="auto"/>
            <w:noWrap/>
            <w:vAlign w:val="bottom"/>
          </w:tcPr>
          <w:p w14:paraId="3290FCAD" w14:textId="77777777" w:rsidR="00FA18EA" w:rsidRPr="0091098D" w:rsidRDefault="00FA18EA" w:rsidP="00FA18EA">
            <w:pPr>
              <w:jc w:val="right"/>
              <w:outlineLvl w:val="0"/>
              <w:rPr>
                <w:rFonts w:eastAsia="Times New Roman" w:cstheme="minorHAnsi"/>
                <w:sz w:val="18"/>
                <w:szCs w:val="18"/>
                <w:lang w:eastAsia="en-GB"/>
              </w:rPr>
            </w:pPr>
          </w:p>
        </w:tc>
      </w:tr>
      <w:tr w:rsidR="00FA18EA" w:rsidRPr="007600A7" w14:paraId="074E3F67" w14:textId="77777777" w:rsidTr="00FA18EA">
        <w:trPr>
          <w:cantSplit/>
        </w:trPr>
        <w:tc>
          <w:tcPr>
            <w:tcW w:w="0" w:type="auto"/>
            <w:tcBorders>
              <w:top w:val="nil"/>
              <w:left w:val="nil"/>
              <w:bottom w:val="nil"/>
              <w:right w:val="nil"/>
            </w:tcBorders>
            <w:shd w:val="clear" w:color="auto" w:fill="auto"/>
            <w:noWrap/>
            <w:vAlign w:val="bottom"/>
            <w:hideMark/>
          </w:tcPr>
          <w:p w14:paraId="7B469E52" w14:textId="77777777" w:rsidR="00FA18EA" w:rsidRPr="008B2DDA" w:rsidRDefault="00FA18EA" w:rsidP="00FA18EA">
            <w:pPr>
              <w:outlineLvl w:val="0"/>
              <w:rPr>
                <w:rFonts w:eastAsia="Times New Roman" w:cstheme="minorHAnsi"/>
                <w:sz w:val="18"/>
                <w:szCs w:val="18"/>
                <w:lang w:eastAsia="en-GB"/>
              </w:rPr>
            </w:pPr>
            <w:r w:rsidRPr="008B2DDA">
              <w:rPr>
                <w:rFonts w:eastAsia="Times New Roman" w:cstheme="minorHAnsi"/>
                <w:sz w:val="18"/>
                <w:szCs w:val="18"/>
                <w:lang w:eastAsia="en-GB"/>
              </w:rPr>
              <w:t>Current tax</w:t>
            </w:r>
          </w:p>
        </w:tc>
        <w:tc>
          <w:tcPr>
            <w:tcW w:w="1354" w:type="dxa"/>
            <w:tcBorders>
              <w:top w:val="nil"/>
              <w:left w:val="nil"/>
              <w:bottom w:val="nil"/>
              <w:right w:val="nil"/>
            </w:tcBorders>
            <w:shd w:val="clear" w:color="auto" w:fill="auto"/>
            <w:noWrap/>
            <w:vAlign w:val="bottom"/>
            <w:hideMark/>
          </w:tcPr>
          <w:p w14:paraId="5F34B96E" w14:textId="53AC80BB" w:rsidR="00FA18EA" w:rsidRPr="0091098D" w:rsidRDefault="00FA18EA" w:rsidP="00FA18EA">
            <w:pPr>
              <w:jc w:val="right"/>
              <w:outlineLvl w:val="0"/>
              <w:rPr>
                <w:rFonts w:eastAsia="Times New Roman" w:cstheme="minorHAnsi"/>
                <w:b/>
                <w:bCs/>
                <w:sz w:val="18"/>
                <w:szCs w:val="18"/>
                <w:lang w:eastAsia="en-GB"/>
              </w:rPr>
            </w:pPr>
            <w:r w:rsidRPr="000C5053">
              <w:rPr>
                <w:rFonts w:eastAsia="Times New Roman" w:cstheme="minorHAnsi"/>
                <w:b/>
                <w:bCs/>
                <w:sz w:val="18"/>
                <w:szCs w:val="18"/>
                <w:lang w:eastAsia="en-GB"/>
              </w:rPr>
              <w:t>1,580</w:t>
            </w:r>
          </w:p>
        </w:tc>
        <w:tc>
          <w:tcPr>
            <w:tcW w:w="1276" w:type="dxa"/>
            <w:tcBorders>
              <w:top w:val="nil"/>
              <w:left w:val="nil"/>
              <w:bottom w:val="nil"/>
              <w:right w:val="nil"/>
            </w:tcBorders>
            <w:shd w:val="clear" w:color="auto" w:fill="auto"/>
            <w:noWrap/>
            <w:vAlign w:val="bottom"/>
            <w:hideMark/>
          </w:tcPr>
          <w:p w14:paraId="04BAA4BB" w14:textId="77777777" w:rsidR="00FA18EA" w:rsidRPr="0075195E" w:rsidRDefault="00FA18EA" w:rsidP="00FA18EA">
            <w:pPr>
              <w:jc w:val="right"/>
              <w:outlineLvl w:val="0"/>
              <w:rPr>
                <w:rFonts w:eastAsia="Times New Roman" w:cstheme="minorHAnsi"/>
                <w:sz w:val="18"/>
                <w:szCs w:val="18"/>
                <w:lang w:eastAsia="en-GB"/>
              </w:rPr>
            </w:pPr>
            <w:r w:rsidRPr="0075195E">
              <w:rPr>
                <w:rFonts w:eastAsia="Times New Roman" w:cstheme="minorHAnsi"/>
                <w:sz w:val="18"/>
                <w:szCs w:val="18"/>
                <w:lang w:eastAsia="en-GB"/>
              </w:rPr>
              <w:t>-</w:t>
            </w:r>
          </w:p>
        </w:tc>
      </w:tr>
      <w:tr w:rsidR="00FA18EA" w:rsidRPr="007600A7" w14:paraId="7A896E6A" w14:textId="77777777" w:rsidTr="00FA18EA">
        <w:trPr>
          <w:trHeight w:val="277"/>
        </w:trPr>
        <w:tc>
          <w:tcPr>
            <w:tcW w:w="0" w:type="auto"/>
            <w:tcBorders>
              <w:top w:val="nil"/>
              <w:left w:val="nil"/>
              <w:bottom w:val="nil"/>
              <w:right w:val="nil"/>
            </w:tcBorders>
            <w:shd w:val="clear" w:color="auto" w:fill="auto"/>
            <w:noWrap/>
            <w:vAlign w:val="bottom"/>
            <w:hideMark/>
          </w:tcPr>
          <w:p w14:paraId="5FE2FF00" w14:textId="77777777" w:rsidR="00FA18EA" w:rsidRPr="008B2DDA" w:rsidRDefault="00FA18EA" w:rsidP="00FA18EA">
            <w:pPr>
              <w:outlineLvl w:val="0"/>
              <w:rPr>
                <w:rFonts w:eastAsia="Times New Roman" w:cstheme="minorHAnsi"/>
                <w:sz w:val="18"/>
                <w:szCs w:val="18"/>
                <w:lang w:eastAsia="en-GB"/>
              </w:rPr>
            </w:pPr>
            <w:r w:rsidRPr="008B2DDA">
              <w:rPr>
                <w:rFonts w:eastAsia="Times New Roman" w:cstheme="minorHAnsi"/>
                <w:sz w:val="18"/>
                <w:szCs w:val="18"/>
                <w:lang w:eastAsia="en-GB"/>
              </w:rPr>
              <w:t>Deferred tax</w:t>
            </w:r>
          </w:p>
        </w:tc>
        <w:tc>
          <w:tcPr>
            <w:tcW w:w="1354" w:type="dxa"/>
            <w:tcBorders>
              <w:top w:val="nil"/>
              <w:left w:val="nil"/>
              <w:bottom w:val="nil"/>
              <w:right w:val="nil"/>
            </w:tcBorders>
            <w:shd w:val="clear" w:color="auto" w:fill="auto"/>
            <w:noWrap/>
            <w:vAlign w:val="bottom"/>
            <w:hideMark/>
          </w:tcPr>
          <w:p w14:paraId="225D7FC3" w14:textId="77777777" w:rsidR="00FA18EA" w:rsidRPr="0091098D" w:rsidRDefault="00FA18EA" w:rsidP="00FA18EA">
            <w:pPr>
              <w:jc w:val="right"/>
              <w:outlineLvl w:val="0"/>
              <w:rPr>
                <w:rFonts w:eastAsia="Times New Roman" w:cstheme="minorHAnsi"/>
                <w:b/>
                <w:bCs/>
                <w:sz w:val="18"/>
                <w:szCs w:val="18"/>
                <w:lang w:eastAsia="en-GB"/>
              </w:rPr>
            </w:pPr>
            <w:r w:rsidRPr="000C5053">
              <w:rPr>
                <w:rFonts w:eastAsia="Times New Roman" w:cstheme="minorHAnsi"/>
                <w:b/>
                <w:bCs/>
                <w:sz w:val="18"/>
                <w:szCs w:val="18"/>
                <w:lang w:eastAsia="en-GB"/>
              </w:rPr>
              <w:t>-</w:t>
            </w:r>
          </w:p>
        </w:tc>
        <w:tc>
          <w:tcPr>
            <w:tcW w:w="1276" w:type="dxa"/>
            <w:tcBorders>
              <w:top w:val="nil"/>
              <w:left w:val="nil"/>
              <w:bottom w:val="nil"/>
              <w:right w:val="nil"/>
            </w:tcBorders>
            <w:shd w:val="clear" w:color="auto" w:fill="auto"/>
            <w:noWrap/>
            <w:vAlign w:val="bottom"/>
            <w:hideMark/>
          </w:tcPr>
          <w:p w14:paraId="77FB30BB" w14:textId="77777777" w:rsidR="00FA18EA" w:rsidRPr="0075195E" w:rsidRDefault="00FA18EA" w:rsidP="00FA18EA">
            <w:pPr>
              <w:jc w:val="right"/>
              <w:outlineLvl w:val="0"/>
              <w:rPr>
                <w:rFonts w:eastAsia="Times New Roman" w:cstheme="minorHAnsi"/>
                <w:sz w:val="18"/>
                <w:szCs w:val="18"/>
                <w:lang w:eastAsia="en-GB"/>
              </w:rPr>
            </w:pPr>
            <w:r w:rsidRPr="0075195E">
              <w:rPr>
                <w:rFonts w:eastAsia="Times New Roman" w:cstheme="minorHAnsi"/>
                <w:sz w:val="18"/>
                <w:szCs w:val="18"/>
                <w:lang w:eastAsia="en-GB"/>
              </w:rPr>
              <w:t>-</w:t>
            </w:r>
          </w:p>
        </w:tc>
      </w:tr>
      <w:tr w:rsidR="00FA18EA" w:rsidRPr="007600A7" w14:paraId="5A85994E" w14:textId="77777777" w:rsidTr="00FA18EA">
        <w:trPr>
          <w:trHeight w:val="293"/>
        </w:trPr>
        <w:tc>
          <w:tcPr>
            <w:tcW w:w="0" w:type="auto"/>
            <w:tcBorders>
              <w:top w:val="single" w:sz="4" w:space="0" w:color="auto"/>
              <w:left w:val="nil"/>
              <w:bottom w:val="single" w:sz="8" w:space="0" w:color="auto"/>
              <w:right w:val="nil"/>
            </w:tcBorders>
            <w:shd w:val="clear" w:color="auto" w:fill="auto"/>
            <w:noWrap/>
            <w:vAlign w:val="bottom"/>
            <w:hideMark/>
          </w:tcPr>
          <w:p w14:paraId="055DDBB6" w14:textId="77777777" w:rsidR="00FA18EA" w:rsidRPr="008B2DDA" w:rsidRDefault="00FA18EA" w:rsidP="00FA18EA">
            <w:pPr>
              <w:outlineLvl w:val="0"/>
              <w:rPr>
                <w:rFonts w:eastAsia="Times New Roman" w:cstheme="minorHAnsi"/>
                <w:b/>
                <w:bCs/>
                <w:sz w:val="18"/>
                <w:szCs w:val="18"/>
                <w:lang w:eastAsia="en-GB"/>
              </w:rPr>
            </w:pPr>
            <w:r w:rsidRPr="008B2DDA">
              <w:rPr>
                <w:rFonts w:eastAsia="Times New Roman" w:cstheme="minorHAnsi"/>
                <w:b/>
                <w:bCs/>
                <w:sz w:val="18"/>
                <w:szCs w:val="18"/>
                <w:lang w:eastAsia="en-GB"/>
              </w:rPr>
              <w:t>Tax on profit from ordinary activities</w:t>
            </w:r>
          </w:p>
        </w:tc>
        <w:tc>
          <w:tcPr>
            <w:tcW w:w="1354" w:type="dxa"/>
            <w:tcBorders>
              <w:top w:val="single" w:sz="4" w:space="0" w:color="auto"/>
              <w:left w:val="nil"/>
              <w:bottom w:val="single" w:sz="8" w:space="0" w:color="auto"/>
              <w:right w:val="nil"/>
            </w:tcBorders>
            <w:shd w:val="clear" w:color="auto" w:fill="auto"/>
            <w:noWrap/>
            <w:vAlign w:val="bottom"/>
            <w:hideMark/>
          </w:tcPr>
          <w:p w14:paraId="7CC28AB0" w14:textId="1938C7A5" w:rsidR="00FA18EA" w:rsidRPr="0091098D" w:rsidRDefault="00FA18EA" w:rsidP="00FA18EA">
            <w:pPr>
              <w:jc w:val="right"/>
              <w:outlineLvl w:val="0"/>
              <w:rPr>
                <w:rFonts w:eastAsia="Times New Roman" w:cstheme="minorHAnsi"/>
                <w:b/>
                <w:bCs/>
                <w:sz w:val="18"/>
                <w:szCs w:val="18"/>
                <w:lang w:eastAsia="en-GB"/>
              </w:rPr>
            </w:pPr>
            <w:r w:rsidRPr="000C5053">
              <w:rPr>
                <w:rFonts w:eastAsia="Times New Roman" w:cstheme="minorHAnsi"/>
                <w:b/>
                <w:bCs/>
                <w:sz w:val="18"/>
                <w:szCs w:val="18"/>
                <w:lang w:eastAsia="en-GB"/>
              </w:rPr>
              <w:t>1,580</w:t>
            </w:r>
          </w:p>
        </w:tc>
        <w:tc>
          <w:tcPr>
            <w:tcW w:w="1276" w:type="dxa"/>
            <w:tcBorders>
              <w:top w:val="single" w:sz="4" w:space="0" w:color="auto"/>
              <w:left w:val="nil"/>
              <w:bottom w:val="single" w:sz="8" w:space="0" w:color="auto"/>
              <w:right w:val="nil"/>
            </w:tcBorders>
            <w:shd w:val="clear" w:color="auto" w:fill="auto"/>
            <w:noWrap/>
            <w:vAlign w:val="bottom"/>
            <w:hideMark/>
          </w:tcPr>
          <w:p w14:paraId="4E4F7D45" w14:textId="77777777" w:rsidR="00FA18EA" w:rsidRPr="0075195E" w:rsidRDefault="00FA18EA" w:rsidP="00FA18EA">
            <w:pPr>
              <w:jc w:val="right"/>
              <w:outlineLvl w:val="0"/>
              <w:rPr>
                <w:rFonts w:eastAsia="Times New Roman" w:cstheme="minorHAnsi"/>
                <w:sz w:val="18"/>
                <w:szCs w:val="18"/>
                <w:lang w:eastAsia="en-GB"/>
              </w:rPr>
            </w:pPr>
            <w:r w:rsidRPr="0075195E">
              <w:rPr>
                <w:rFonts w:eastAsia="Times New Roman" w:cstheme="minorHAnsi"/>
                <w:sz w:val="18"/>
                <w:szCs w:val="18"/>
                <w:lang w:eastAsia="en-GB"/>
              </w:rPr>
              <w:t>-</w:t>
            </w:r>
          </w:p>
        </w:tc>
      </w:tr>
    </w:tbl>
    <w:p w14:paraId="52572BFD" w14:textId="77777777" w:rsidR="00FA18EA" w:rsidRPr="008B2DDA" w:rsidRDefault="00FA18EA" w:rsidP="00FA18EA">
      <w:pPr>
        <w:autoSpaceDE w:val="0"/>
        <w:autoSpaceDN w:val="0"/>
        <w:adjustRightInd w:val="0"/>
        <w:rPr>
          <w:rFonts w:cstheme="minorHAnsi"/>
          <w:color w:val="000000"/>
          <w:sz w:val="18"/>
        </w:rPr>
      </w:pPr>
    </w:p>
    <w:p w14:paraId="753F5CE7" w14:textId="77777777" w:rsidR="00FA18EA" w:rsidRPr="0091098D" w:rsidRDefault="00FA18EA" w:rsidP="00FA18EA">
      <w:pPr>
        <w:autoSpaceDE w:val="0"/>
        <w:autoSpaceDN w:val="0"/>
        <w:adjustRightInd w:val="0"/>
        <w:rPr>
          <w:rFonts w:eastAsia="Times New Roman" w:cstheme="minorHAnsi"/>
          <w:b/>
          <w:bCs/>
          <w:sz w:val="18"/>
          <w:szCs w:val="18"/>
          <w:lang w:eastAsia="en-GB"/>
        </w:rPr>
      </w:pPr>
      <w:r w:rsidRPr="000C5053">
        <w:rPr>
          <w:rFonts w:eastAsia="Times New Roman" w:cstheme="minorHAnsi"/>
          <w:b/>
          <w:bCs/>
          <w:sz w:val="18"/>
          <w:szCs w:val="18"/>
          <w:lang w:eastAsia="en-GB"/>
        </w:rPr>
        <w:t>Factors affecting the tax charge for the current period</w:t>
      </w:r>
    </w:p>
    <w:p w14:paraId="1ADBFB83" w14:textId="77777777" w:rsidR="00FA18EA" w:rsidRPr="0075195E" w:rsidRDefault="00FA18EA" w:rsidP="00FA18EA">
      <w:pPr>
        <w:autoSpaceDE w:val="0"/>
        <w:autoSpaceDN w:val="0"/>
        <w:adjustRightInd w:val="0"/>
        <w:jc w:val="both"/>
        <w:rPr>
          <w:rFonts w:cstheme="minorHAnsi"/>
          <w:color w:val="000000" w:themeColor="text1"/>
          <w:sz w:val="18"/>
          <w:szCs w:val="18"/>
        </w:rPr>
      </w:pPr>
      <w:r w:rsidRPr="0075195E">
        <w:rPr>
          <w:rFonts w:cstheme="minorHAnsi"/>
          <w:color w:val="000000" w:themeColor="text1"/>
          <w:sz w:val="18"/>
          <w:szCs w:val="18"/>
        </w:rPr>
        <w:t>The tax assessed for the year is different than that resulting from applying the standard rate of corporation tax in the UK: 19% (2021: 19%).</w:t>
      </w:r>
    </w:p>
    <w:p w14:paraId="044C9228" w14:textId="77777777" w:rsidR="00FA18EA" w:rsidRPr="00536A35" w:rsidRDefault="00FA18EA" w:rsidP="00FA18EA">
      <w:pPr>
        <w:autoSpaceDE w:val="0"/>
        <w:autoSpaceDN w:val="0"/>
        <w:adjustRightInd w:val="0"/>
        <w:rPr>
          <w:rFonts w:cstheme="minorHAnsi"/>
          <w:b/>
          <w:color w:val="000000"/>
        </w:rPr>
      </w:pPr>
    </w:p>
    <w:p w14:paraId="088FB98A" w14:textId="77777777" w:rsidR="00FA18EA" w:rsidRPr="00A02B31" w:rsidRDefault="00FA18EA" w:rsidP="00FA18EA">
      <w:pPr>
        <w:autoSpaceDE w:val="0"/>
        <w:autoSpaceDN w:val="0"/>
        <w:adjustRightInd w:val="0"/>
        <w:rPr>
          <w:rFonts w:cstheme="minorHAnsi"/>
          <w:color w:val="000000"/>
        </w:rPr>
      </w:pPr>
      <w:r w:rsidRPr="00A02B31">
        <w:rPr>
          <w:rFonts w:cstheme="minorHAnsi"/>
          <w:color w:val="000000" w:themeColor="text1"/>
          <w:sz w:val="18"/>
          <w:szCs w:val="18"/>
        </w:rPr>
        <w:t>The differences are explained below:</w:t>
      </w:r>
    </w:p>
    <w:p w14:paraId="0CCD8EAB" w14:textId="77777777" w:rsidR="00FA18EA" w:rsidRPr="007600A7" w:rsidRDefault="00FA18EA" w:rsidP="00FA18EA">
      <w:pPr>
        <w:autoSpaceDE w:val="0"/>
        <w:autoSpaceDN w:val="0"/>
        <w:adjustRightInd w:val="0"/>
        <w:rPr>
          <w:rFonts w:cstheme="minorHAnsi"/>
          <w:color w:val="000000" w:themeColor="text1"/>
          <w:sz w:val="18"/>
          <w:szCs w:val="18"/>
        </w:rPr>
      </w:pPr>
    </w:p>
    <w:tbl>
      <w:tblPr>
        <w:tblW w:w="9638" w:type="dxa"/>
        <w:tblInd w:w="108" w:type="dxa"/>
        <w:tblLook w:val="04A0" w:firstRow="1" w:lastRow="0" w:firstColumn="1" w:lastColumn="0" w:noHBand="0" w:noVBand="1"/>
      </w:tblPr>
      <w:tblGrid>
        <w:gridCol w:w="6938"/>
        <w:gridCol w:w="1350"/>
        <w:gridCol w:w="1350"/>
      </w:tblGrid>
      <w:tr w:rsidR="00FA18EA" w:rsidRPr="007600A7" w14:paraId="4EABDB18" w14:textId="77777777" w:rsidTr="00FA18EA">
        <w:trPr>
          <w:trHeight w:val="222"/>
        </w:trPr>
        <w:tc>
          <w:tcPr>
            <w:tcW w:w="6938" w:type="dxa"/>
            <w:tcBorders>
              <w:top w:val="single" w:sz="4" w:space="0" w:color="auto"/>
              <w:left w:val="nil"/>
              <w:bottom w:val="nil"/>
              <w:right w:val="nil"/>
            </w:tcBorders>
            <w:shd w:val="clear" w:color="auto" w:fill="auto"/>
            <w:noWrap/>
            <w:vAlign w:val="bottom"/>
            <w:hideMark/>
          </w:tcPr>
          <w:p w14:paraId="44E6FE0D" w14:textId="77777777" w:rsidR="00FA18EA" w:rsidRPr="000C1F6F" w:rsidRDefault="00FA18EA" w:rsidP="00FA18EA">
            <w:pPr>
              <w:outlineLvl w:val="0"/>
              <w:rPr>
                <w:rFonts w:eastAsia="Times New Roman" w:cstheme="minorHAnsi"/>
                <w:lang w:eastAsia="en-GB"/>
              </w:rPr>
            </w:pPr>
            <w:r w:rsidRPr="000C1F6F">
              <w:rPr>
                <w:rFonts w:eastAsia="Times New Roman" w:cstheme="minorHAnsi"/>
                <w:lang w:eastAsia="en-GB"/>
              </w:rPr>
              <w:t> </w:t>
            </w:r>
          </w:p>
        </w:tc>
        <w:tc>
          <w:tcPr>
            <w:tcW w:w="1350" w:type="dxa"/>
            <w:tcBorders>
              <w:top w:val="single" w:sz="4" w:space="0" w:color="auto"/>
              <w:left w:val="nil"/>
              <w:bottom w:val="nil"/>
              <w:right w:val="nil"/>
            </w:tcBorders>
            <w:shd w:val="clear" w:color="auto" w:fill="auto"/>
            <w:noWrap/>
            <w:vAlign w:val="bottom"/>
            <w:hideMark/>
          </w:tcPr>
          <w:p w14:paraId="6CAD20F2" w14:textId="77777777" w:rsidR="00FA18EA" w:rsidRPr="008B2DDA" w:rsidRDefault="00FA18EA" w:rsidP="00FA18EA">
            <w:pPr>
              <w:jc w:val="right"/>
              <w:outlineLvl w:val="0"/>
              <w:rPr>
                <w:rFonts w:eastAsia="Times New Roman" w:cstheme="minorHAnsi"/>
                <w:b/>
                <w:bCs/>
                <w:sz w:val="16"/>
                <w:szCs w:val="16"/>
                <w:lang w:eastAsia="en-GB"/>
              </w:rPr>
            </w:pPr>
            <w:r w:rsidRPr="008B2DDA">
              <w:rPr>
                <w:rFonts w:eastAsia="Times New Roman" w:cstheme="minorHAnsi"/>
                <w:b/>
                <w:bCs/>
                <w:sz w:val="16"/>
                <w:szCs w:val="16"/>
                <w:lang w:eastAsia="en-GB"/>
              </w:rPr>
              <w:t>Year ended</w:t>
            </w:r>
          </w:p>
        </w:tc>
        <w:tc>
          <w:tcPr>
            <w:tcW w:w="1350" w:type="dxa"/>
            <w:tcBorders>
              <w:top w:val="single" w:sz="4" w:space="0" w:color="auto"/>
              <w:left w:val="nil"/>
              <w:bottom w:val="nil"/>
              <w:right w:val="nil"/>
            </w:tcBorders>
            <w:shd w:val="clear" w:color="auto" w:fill="auto"/>
            <w:noWrap/>
            <w:vAlign w:val="bottom"/>
            <w:hideMark/>
          </w:tcPr>
          <w:p w14:paraId="48D5D727" w14:textId="77777777" w:rsidR="00FA18EA" w:rsidRPr="0091098D" w:rsidRDefault="00FA18EA" w:rsidP="00FA18EA">
            <w:pPr>
              <w:jc w:val="right"/>
              <w:outlineLvl w:val="0"/>
              <w:rPr>
                <w:rFonts w:eastAsia="Times New Roman" w:cstheme="minorHAnsi"/>
                <w:sz w:val="16"/>
                <w:szCs w:val="16"/>
                <w:lang w:eastAsia="en-GB"/>
              </w:rPr>
            </w:pPr>
            <w:r w:rsidRPr="000C5053">
              <w:rPr>
                <w:rFonts w:eastAsia="Times New Roman" w:cstheme="minorHAnsi"/>
                <w:sz w:val="16"/>
                <w:szCs w:val="16"/>
                <w:lang w:eastAsia="en-GB"/>
              </w:rPr>
              <w:t>Year ended</w:t>
            </w:r>
          </w:p>
        </w:tc>
      </w:tr>
      <w:tr w:rsidR="00FA18EA" w:rsidRPr="007600A7" w14:paraId="2970A4B4" w14:textId="77777777" w:rsidTr="00FA18EA">
        <w:trPr>
          <w:trHeight w:val="222"/>
        </w:trPr>
        <w:tc>
          <w:tcPr>
            <w:tcW w:w="6938" w:type="dxa"/>
            <w:tcBorders>
              <w:top w:val="nil"/>
              <w:left w:val="nil"/>
              <w:bottom w:val="nil"/>
              <w:right w:val="nil"/>
            </w:tcBorders>
            <w:shd w:val="clear" w:color="auto" w:fill="auto"/>
            <w:noWrap/>
            <w:vAlign w:val="bottom"/>
            <w:hideMark/>
          </w:tcPr>
          <w:p w14:paraId="3200FF16" w14:textId="77777777" w:rsidR="00FA18EA" w:rsidRPr="008B2DDA" w:rsidRDefault="00FA18EA" w:rsidP="00FA18EA">
            <w:pPr>
              <w:outlineLvl w:val="0"/>
              <w:rPr>
                <w:rFonts w:eastAsia="Times New Roman" w:cstheme="minorHAnsi"/>
                <w:lang w:eastAsia="en-GB"/>
              </w:rPr>
            </w:pPr>
          </w:p>
        </w:tc>
        <w:tc>
          <w:tcPr>
            <w:tcW w:w="1350" w:type="dxa"/>
            <w:tcBorders>
              <w:top w:val="nil"/>
              <w:left w:val="nil"/>
              <w:bottom w:val="nil"/>
              <w:right w:val="nil"/>
            </w:tcBorders>
            <w:shd w:val="clear" w:color="auto" w:fill="auto"/>
            <w:noWrap/>
            <w:vAlign w:val="bottom"/>
            <w:hideMark/>
          </w:tcPr>
          <w:p w14:paraId="6B46C0E3" w14:textId="77777777" w:rsidR="00FA18EA" w:rsidRPr="0091098D" w:rsidRDefault="00FA18EA" w:rsidP="00FA18EA">
            <w:pPr>
              <w:jc w:val="right"/>
              <w:outlineLvl w:val="0"/>
              <w:rPr>
                <w:rFonts w:eastAsia="Times New Roman" w:cstheme="minorHAnsi"/>
                <w:b/>
                <w:bCs/>
                <w:sz w:val="16"/>
                <w:szCs w:val="16"/>
                <w:lang w:eastAsia="en-GB"/>
              </w:rPr>
            </w:pPr>
            <w:r w:rsidRPr="000C5053">
              <w:rPr>
                <w:rFonts w:eastAsia="Times New Roman" w:cstheme="minorHAnsi"/>
                <w:b/>
                <w:bCs/>
                <w:sz w:val="16"/>
                <w:szCs w:val="16"/>
                <w:lang w:eastAsia="en-GB"/>
              </w:rPr>
              <w:t>31 March 2022</w:t>
            </w:r>
          </w:p>
        </w:tc>
        <w:tc>
          <w:tcPr>
            <w:tcW w:w="1350" w:type="dxa"/>
            <w:tcBorders>
              <w:top w:val="nil"/>
              <w:left w:val="nil"/>
              <w:bottom w:val="nil"/>
              <w:right w:val="nil"/>
            </w:tcBorders>
            <w:shd w:val="clear" w:color="auto" w:fill="auto"/>
            <w:noWrap/>
            <w:vAlign w:val="bottom"/>
            <w:hideMark/>
          </w:tcPr>
          <w:p w14:paraId="1462B2C3" w14:textId="77777777" w:rsidR="00FA18EA" w:rsidRPr="0075195E" w:rsidRDefault="00FA18EA" w:rsidP="00FA18EA">
            <w:pPr>
              <w:jc w:val="right"/>
              <w:outlineLvl w:val="0"/>
              <w:rPr>
                <w:rFonts w:eastAsia="Times New Roman" w:cstheme="minorHAnsi"/>
                <w:sz w:val="16"/>
                <w:szCs w:val="16"/>
                <w:lang w:eastAsia="en-GB"/>
              </w:rPr>
            </w:pPr>
            <w:r w:rsidRPr="0075195E">
              <w:rPr>
                <w:rFonts w:eastAsia="Times New Roman" w:cstheme="minorHAnsi"/>
                <w:sz w:val="16"/>
                <w:szCs w:val="16"/>
                <w:lang w:eastAsia="en-GB"/>
              </w:rPr>
              <w:t>31 March 2021</w:t>
            </w:r>
          </w:p>
        </w:tc>
      </w:tr>
      <w:tr w:rsidR="00FA18EA" w:rsidRPr="007600A7" w14:paraId="44FB24AD" w14:textId="77777777" w:rsidTr="00FA18EA">
        <w:trPr>
          <w:trHeight w:val="222"/>
        </w:trPr>
        <w:tc>
          <w:tcPr>
            <w:tcW w:w="6938" w:type="dxa"/>
            <w:tcBorders>
              <w:top w:val="nil"/>
              <w:left w:val="nil"/>
              <w:bottom w:val="single" w:sz="4" w:space="0" w:color="auto"/>
              <w:right w:val="nil"/>
            </w:tcBorders>
            <w:shd w:val="clear" w:color="auto" w:fill="auto"/>
            <w:noWrap/>
            <w:vAlign w:val="bottom"/>
            <w:hideMark/>
          </w:tcPr>
          <w:p w14:paraId="616B5A44" w14:textId="77777777" w:rsidR="00FA18EA" w:rsidRPr="008B2DDA" w:rsidRDefault="00FA18EA" w:rsidP="00FA18EA">
            <w:pPr>
              <w:outlineLvl w:val="0"/>
              <w:rPr>
                <w:rFonts w:eastAsia="Times New Roman" w:cstheme="minorHAnsi"/>
                <w:lang w:eastAsia="en-GB"/>
              </w:rPr>
            </w:pPr>
            <w:r w:rsidRPr="008B2DDA">
              <w:rPr>
                <w:rFonts w:eastAsia="Times New Roman" w:cstheme="minorHAnsi"/>
                <w:lang w:eastAsia="en-GB"/>
              </w:rPr>
              <w:t> </w:t>
            </w:r>
          </w:p>
        </w:tc>
        <w:tc>
          <w:tcPr>
            <w:tcW w:w="1350" w:type="dxa"/>
            <w:tcBorders>
              <w:top w:val="nil"/>
              <w:left w:val="nil"/>
              <w:bottom w:val="single" w:sz="4" w:space="0" w:color="auto"/>
              <w:right w:val="nil"/>
            </w:tcBorders>
            <w:shd w:val="clear" w:color="auto" w:fill="auto"/>
            <w:noWrap/>
            <w:vAlign w:val="bottom"/>
            <w:hideMark/>
          </w:tcPr>
          <w:p w14:paraId="6E72CA7A" w14:textId="77777777" w:rsidR="00FA18EA" w:rsidRPr="0091098D" w:rsidRDefault="00FA18EA" w:rsidP="00FA18EA">
            <w:pPr>
              <w:jc w:val="right"/>
              <w:outlineLvl w:val="0"/>
              <w:rPr>
                <w:rFonts w:eastAsia="Times New Roman" w:cstheme="minorHAnsi"/>
                <w:b/>
                <w:bCs/>
                <w:sz w:val="16"/>
                <w:szCs w:val="16"/>
                <w:lang w:eastAsia="en-GB"/>
              </w:rPr>
            </w:pPr>
            <w:r w:rsidRPr="000C5053">
              <w:rPr>
                <w:rFonts w:eastAsia="Times New Roman" w:cstheme="minorHAnsi"/>
                <w:b/>
                <w:bCs/>
                <w:sz w:val="16"/>
                <w:szCs w:val="16"/>
                <w:lang w:eastAsia="en-GB"/>
              </w:rPr>
              <w:t>£'000</w:t>
            </w:r>
          </w:p>
        </w:tc>
        <w:tc>
          <w:tcPr>
            <w:tcW w:w="1350" w:type="dxa"/>
            <w:tcBorders>
              <w:top w:val="nil"/>
              <w:left w:val="nil"/>
              <w:bottom w:val="single" w:sz="4" w:space="0" w:color="auto"/>
              <w:right w:val="nil"/>
            </w:tcBorders>
            <w:shd w:val="clear" w:color="auto" w:fill="auto"/>
            <w:noWrap/>
            <w:vAlign w:val="bottom"/>
            <w:hideMark/>
          </w:tcPr>
          <w:p w14:paraId="44CE9A1D" w14:textId="77777777" w:rsidR="00FA18EA" w:rsidRPr="0075195E" w:rsidRDefault="00FA18EA" w:rsidP="00FA18EA">
            <w:pPr>
              <w:jc w:val="right"/>
              <w:outlineLvl w:val="0"/>
              <w:rPr>
                <w:rFonts w:eastAsia="Times New Roman" w:cstheme="minorHAnsi"/>
                <w:sz w:val="16"/>
                <w:szCs w:val="16"/>
                <w:lang w:eastAsia="en-GB"/>
              </w:rPr>
            </w:pPr>
            <w:r w:rsidRPr="0075195E">
              <w:rPr>
                <w:rFonts w:eastAsia="Times New Roman" w:cstheme="minorHAnsi"/>
                <w:sz w:val="16"/>
                <w:szCs w:val="16"/>
                <w:lang w:eastAsia="en-GB"/>
              </w:rPr>
              <w:t>£'000</w:t>
            </w:r>
          </w:p>
        </w:tc>
      </w:tr>
      <w:tr w:rsidR="00FA18EA" w:rsidRPr="007600A7" w14:paraId="5385DE6B" w14:textId="77777777" w:rsidTr="00FA18EA">
        <w:trPr>
          <w:trHeight w:val="255"/>
        </w:trPr>
        <w:tc>
          <w:tcPr>
            <w:tcW w:w="6938" w:type="dxa"/>
            <w:tcBorders>
              <w:top w:val="nil"/>
              <w:left w:val="nil"/>
              <w:bottom w:val="nil"/>
              <w:right w:val="nil"/>
            </w:tcBorders>
            <w:shd w:val="clear" w:color="auto" w:fill="auto"/>
            <w:noWrap/>
            <w:vAlign w:val="bottom"/>
            <w:hideMark/>
          </w:tcPr>
          <w:p w14:paraId="71BAC807" w14:textId="77777777" w:rsidR="00FA18EA" w:rsidRPr="008B2DDA" w:rsidRDefault="00FA18EA" w:rsidP="00FA18EA">
            <w:pPr>
              <w:outlineLvl w:val="0"/>
              <w:rPr>
                <w:rFonts w:eastAsia="Times New Roman" w:cstheme="minorHAnsi"/>
                <w:b/>
                <w:bCs/>
                <w:sz w:val="18"/>
                <w:szCs w:val="18"/>
                <w:lang w:eastAsia="en-GB"/>
              </w:rPr>
            </w:pPr>
            <w:r w:rsidRPr="008B2DDA">
              <w:rPr>
                <w:rFonts w:eastAsia="Times New Roman" w:cstheme="minorHAnsi"/>
                <w:b/>
                <w:bCs/>
                <w:sz w:val="18"/>
                <w:szCs w:val="18"/>
                <w:lang w:eastAsia="en-GB"/>
              </w:rPr>
              <w:t>Current tax reconciliation</w:t>
            </w:r>
          </w:p>
        </w:tc>
        <w:tc>
          <w:tcPr>
            <w:tcW w:w="1350" w:type="dxa"/>
            <w:tcBorders>
              <w:top w:val="nil"/>
              <w:left w:val="nil"/>
              <w:bottom w:val="nil"/>
              <w:right w:val="nil"/>
            </w:tcBorders>
            <w:shd w:val="clear" w:color="auto" w:fill="auto"/>
            <w:noWrap/>
            <w:vAlign w:val="bottom"/>
            <w:hideMark/>
          </w:tcPr>
          <w:p w14:paraId="2598A3D0" w14:textId="77777777" w:rsidR="00FA18EA" w:rsidRPr="000C5053" w:rsidRDefault="00FA18EA" w:rsidP="00FA18EA">
            <w:pPr>
              <w:outlineLvl w:val="0"/>
              <w:rPr>
                <w:rFonts w:eastAsia="Times New Roman" w:cstheme="minorHAnsi"/>
                <w:b/>
                <w:bCs/>
                <w:sz w:val="18"/>
                <w:szCs w:val="18"/>
                <w:lang w:eastAsia="en-GB"/>
              </w:rPr>
            </w:pPr>
          </w:p>
        </w:tc>
        <w:tc>
          <w:tcPr>
            <w:tcW w:w="1350" w:type="dxa"/>
            <w:tcBorders>
              <w:top w:val="nil"/>
              <w:left w:val="nil"/>
              <w:bottom w:val="nil"/>
              <w:right w:val="nil"/>
            </w:tcBorders>
            <w:shd w:val="clear" w:color="auto" w:fill="auto"/>
            <w:noWrap/>
            <w:vAlign w:val="bottom"/>
            <w:hideMark/>
          </w:tcPr>
          <w:p w14:paraId="6BD1325C" w14:textId="77777777" w:rsidR="00FA18EA" w:rsidRPr="0091098D" w:rsidRDefault="00FA18EA" w:rsidP="00FA18EA">
            <w:pPr>
              <w:outlineLvl w:val="0"/>
              <w:rPr>
                <w:rFonts w:eastAsia="Times New Roman" w:cstheme="minorHAnsi"/>
                <w:b/>
                <w:sz w:val="18"/>
                <w:szCs w:val="18"/>
                <w:lang w:eastAsia="en-GB"/>
              </w:rPr>
            </w:pPr>
          </w:p>
        </w:tc>
      </w:tr>
      <w:tr w:rsidR="00FA18EA" w:rsidRPr="007600A7" w14:paraId="25E77EE6" w14:textId="77777777" w:rsidTr="00FA18EA">
        <w:trPr>
          <w:trHeight w:val="255"/>
        </w:trPr>
        <w:tc>
          <w:tcPr>
            <w:tcW w:w="6938" w:type="dxa"/>
            <w:tcBorders>
              <w:top w:val="nil"/>
              <w:left w:val="nil"/>
              <w:bottom w:val="single" w:sz="4" w:space="0" w:color="auto"/>
              <w:right w:val="nil"/>
            </w:tcBorders>
            <w:shd w:val="clear" w:color="auto" w:fill="auto"/>
            <w:noWrap/>
            <w:vAlign w:val="bottom"/>
            <w:hideMark/>
          </w:tcPr>
          <w:p w14:paraId="51B29765" w14:textId="77777777" w:rsidR="00FA18EA" w:rsidRPr="008B2DDA" w:rsidRDefault="00FA18EA" w:rsidP="00FA18EA">
            <w:pPr>
              <w:outlineLvl w:val="0"/>
              <w:rPr>
                <w:rFonts w:eastAsia="Times New Roman" w:cstheme="minorHAnsi"/>
                <w:sz w:val="18"/>
                <w:szCs w:val="18"/>
                <w:lang w:eastAsia="en-GB"/>
              </w:rPr>
            </w:pPr>
            <w:r w:rsidRPr="008B2DDA">
              <w:rPr>
                <w:rFonts w:eastAsia="Times New Roman" w:cstheme="minorHAnsi"/>
                <w:sz w:val="18"/>
                <w:szCs w:val="18"/>
                <w:lang w:eastAsia="en-GB"/>
              </w:rPr>
              <w:t>Profit before taxation</w:t>
            </w:r>
          </w:p>
        </w:tc>
        <w:tc>
          <w:tcPr>
            <w:tcW w:w="1350" w:type="dxa"/>
            <w:tcBorders>
              <w:top w:val="nil"/>
              <w:left w:val="nil"/>
              <w:bottom w:val="single" w:sz="4" w:space="0" w:color="auto"/>
              <w:right w:val="nil"/>
            </w:tcBorders>
            <w:shd w:val="clear" w:color="auto" w:fill="auto"/>
            <w:noWrap/>
            <w:vAlign w:val="bottom"/>
          </w:tcPr>
          <w:p w14:paraId="4B66E671" w14:textId="77777777" w:rsidR="00FA18EA" w:rsidRPr="0091098D" w:rsidRDefault="00FA18EA" w:rsidP="00FA18EA">
            <w:pPr>
              <w:jc w:val="right"/>
              <w:outlineLvl w:val="0"/>
              <w:rPr>
                <w:rFonts w:eastAsia="Times New Roman" w:cstheme="minorHAnsi"/>
                <w:b/>
                <w:bCs/>
                <w:sz w:val="18"/>
                <w:szCs w:val="18"/>
                <w:lang w:eastAsia="en-GB"/>
              </w:rPr>
            </w:pPr>
            <w:r w:rsidRPr="000C5053">
              <w:rPr>
                <w:rFonts w:eastAsia="Times New Roman" w:cstheme="minorHAnsi"/>
                <w:b/>
                <w:bCs/>
                <w:sz w:val="18"/>
                <w:szCs w:val="18"/>
                <w:lang w:eastAsia="en-GB"/>
              </w:rPr>
              <w:t>15,423</w:t>
            </w:r>
          </w:p>
        </w:tc>
        <w:tc>
          <w:tcPr>
            <w:tcW w:w="1350" w:type="dxa"/>
            <w:tcBorders>
              <w:top w:val="nil"/>
              <w:left w:val="nil"/>
              <w:bottom w:val="single" w:sz="4" w:space="0" w:color="auto"/>
              <w:right w:val="nil"/>
            </w:tcBorders>
            <w:shd w:val="clear" w:color="auto" w:fill="auto"/>
            <w:noWrap/>
            <w:vAlign w:val="bottom"/>
          </w:tcPr>
          <w:p w14:paraId="45A35458" w14:textId="77777777" w:rsidR="00FA18EA" w:rsidRPr="0075195E" w:rsidRDefault="00FA18EA" w:rsidP="00FA18EA">
            <w:pPr>
              <w:jc w:val="right"/>
              <w:outlineLvl w:val="0"/>
              <w:rPr>
                <w:rFonts w:eastAsia="Times New Roman" w:cstheme="minorHAnsi"/>
                <w:bCs/>
                <w:sz w:val="18"/>
                <w:szCs w:val="18"/>
                <w:lang w:eastAsia="en-GB"/>
              </w:rPr>
            </w:pPr>
            <w:r w:rsidRPr="0075195E">
              <w:rPr>
                <w:rFonts w:eastAsia="Times New Roman" w:cstheme="minorHAnsi"/>
                <w:bCs/>
                <w:sz w:val="18"/>
                <w:szCs w:val="18"/>
                <w:lang w:eastAsia="en-GB"/>
              </w:rPr>
              <w:t>16,612</w:t>
            </w:r>
          </w:p>
        </w:tc>
      </w:tr>
      <w:tr w:rsidR="00FA18EA" w:rsidRPr="007600A7" w14:paraId="1EC5F344" w14:textId="77777777" w:rsidTr="00FA18EA">
        <w:trPr>
          <w:cantSplit/>
        </w:trPr>
        <w:tc>
          <w:tcPr>
            <w:tcW w:w="6938" w:type="dxa"/>
            <w:tcBorders>
              <w:top w:val="nil"/>
              <w:left w:val="nil"/>
              <w:bottom w:val="nil"/>
              <w:right w:val="nil"/>
            </w:tcBorders>
            <w:shd w:val="clear" w:color="auto" w:fill="auto"/>
            <w:noWrap/>
            <w:vAlign w:val="bottom"/>
            <w:hideMark/>
          </w:tcPr>
          <w:p w14:paraId="3CFC099B" w14:textId="77777777" w:rsidR="00FA18EA" w:rsidRPr="008B2DDA" w:rsidRDefault="00FA18EA" w:rsidP="00FA18EA">
            <w:pPr>
              <w:outlineLvl w:val="0"/>
              <w:rPr>
                <w:rFonts w:eastAsia="Times New Roman" w:cstheme="minorHAnsi"/>
                <w:color w:val="000000"/>
                <w:sz w:val="18"/>
                <w:szCs w:val="18"/>
                <w:lang w:eastAsia="en-GB"/>
              </w:rPr>
            </w:pPr>
            <w:r w:rsidRPr="008B2DDA">
              <w:rPr>
                <w:rFonts w:eastAsia="Times New Roman" w:cstheme="minorHAnsi"/>
                <w:color w:val="000000"/>
                <w:sz w:val="18"/>
                <w:szCs w:val="18"/>
                <w:lang w:eastAsia="en-GB"/>
              </w:rPr>
              <w:t>Current tax charge at 19% (2021: 19%)</w:t>
            </w:r>
          </w:p>
        </w:tc>
        <w:tc>
          <w:tcPr>
            <w:tcW w:w="0" w:type="auto"/>
            <w:tcBorders>
              <w:top w:val="nil"/>
              <w:left w:val="nil"/>
              <w:bottom w:val="nil"/>
              <w:right w:val="nil"/>
            </w:tcBorders>
            <w:shd w:val="clear" w:color="auto" w:fill="auto"/>
            <w:noWrap/>
            <w:vAlign w:val="bottom"/>
          </w:tcPr>
          <w:p w14:paraId="2C096729" w14:textId="77777777" w:rsidR="00FA18EA" w:rsidRPr="0091098D" w:rsidRDefault="00FA18EA" w:rsidP="00FA18EA">
            <w:pPr>
              <w:jc w:val="right"/>
              <w:outlineLvl w:val="0"/>
              <w:rPr>
                <w:rFonts w:eastAsia="Times New Roman" w:cstheme="minorHAnsi"/>
                <w:b/>
                <w:bCs/>
                <w:sz w:val="18"/>
                <w:szCs w:val="18"/>
                <w:lang w:eastAsia="en-GB"/>
              </w:rPr>
            </w:pPr>
            <w:r w:rsidRPr="000C5053">
              <w:rPr>
                <w:rFonts w:eastAsia="Times New Roman" w:cstheme="minorHAnsi"/>
                <w:b/>
                <w:bCs/>
                <w:sz w:val="18"/>
                <w:szCs w:val="18"/>
                <w:lang w:eastAsia="en-GB"/>
              </w:rPr>
              <w:t>2,930</w:t>
            </w:r>
          </w:p>
        </w:tc>
        <w:tc>
          <w:tcPr>
            <w:tcW w:w="1350" w:type="dxa"/>
            <w:tcBorders>
              <w:top w:val="nil"/>
              <w:left w:val="nil"/>
              <w:bottom w:val="nil"/>
              <w:right w:val="nil"/>
            </w:tcBorders>
            <w:shd w:val="clear" w:color="auto" w:fill="auto"/>
            <w:noWrap/>
            <w:vAlign w:val="bottom"/>
          </w:tcPr>
          <w:p w14:paraId="7FC7604A" w14:textId="77777777" w:rsidR="00FA18EA" w:rsidRPr="0075195E" w:rsidRDefault="00FA18EA" w:rsidP="00FA18EA">
            <w:pPr>
              <w:jc w:val="right"/>
              <w:outlineLvl w:val="0"/>
              <w:rPr>
                <w:rFonts w:eastAsia="Times New Roman" w:cstheme="minorHAnsi"/>
                <w:bCs/>
                <w:sz w:val="18"/>
                <w:szCs w:val="18"/>
                <w:lang w:eastAsia="en-GB"/>
              </w:rPr>
            </w:pPr>
            <w:r w:rsidRPr="0075195E">
              <w:rPr>
                <w:rFonts w:eastAsia="Times New Roman" w:cstheme="minorHAnsi"/>
                <w:bCs/>
                <w:sz w:val="18"/>
                <w:szCs w:val="18"/>
                <w:lang w:eastAsia="en-GB"/>
              </w:rPr>
              <w:t>3,156</w:t>
            </w:r>
          </w:p>
        </w:tc>
      </w:tr>
      <w:tr w:rsidR="00FA18EA" w:rsidRPr="007600A7" w14:paraId="1211F9EB" w14:textId="77777777" w:rsidTr="00FA18EA">
        <w:trPr>
          <w:trHeight w:val="255"/>
        </w:trPr>
        <w:tc>
          <w:tcPr>
            <w:tcW w:w="6938" w:type="dxa"/>
            <w:tcBorders>
              <w:top w:val="nil"/>
              <w:left w:val="nil"/>
              <w:bottom w:val="nil"/>
              <w:right w:val="nil"/>
            </w:tcBorders>
            <w:shd w:val="clear" w:color="auto" w:fill="auto"/>
            <w:noWrap/>
            <w:vAlign w:val="bottom"/>
            <w:hideMark/>
          </w:tcPr>
          <w:p w14:paraId="2B123F43" w14:textId="77777777" w:rsidR="00FA18EA" w:rsidRPr="008B2DDA" w:rsidRDefault="00FA18EA" w:rsidP="00FA18EA">
            <w:pPr>
              <w:outlineLvl w:val="0"/>
              <w:rPr>
                <w:rFonts w:eastAsia="Times New Roman" w:cstheme="minorHAnsi"/>
                <w:sz w:val="18"/>
                <w:szCs w:val="18"/>
                <w:lang w:eastAsia="en-GB"/>
              </w:rPr>
            </w:pPr>
          </w:p>
        </w:tc>
        <w:tc>
          <w:tcPr>
            <w:tcW w:w="0" w:type="auto"/>
            <w:tcBorders>
              <w:top w:val="nil"/>
              <w:left w:val="nil"/>
              <w:bottom w:val="nil"/>
              <w:right w:val="nil"/>
            </w:tcBorders>
            <w:shd w:val="clear" w:color="auto" w:fill="auto"/>
            <w:noWrap/>
            <w:vAlign w:val="bottom"/>
          </w:tcPr>
          <w:p w14:paraId="7611B2B8" w14:textId="77777777" w:rsidR="00FA18EA" w:rsidRPr="000C5053" w:rsidRDefault="00FA18EA" w:rsidP="00FA18EA">
            <w:pPr>
              <w:outlineLvl w:val="0"/>
              <w:rPr>
                <w:rFonts w:eastAsia="Times New Roman" w:cstheme="minorHAnsi"/>
                <w:b/>
                <w:bCs/>
                <w:sz w:val="18"/>
                <w:szCs w:val="18"/>
                <w:lang w:eastAsia="en-GB"/>
              </w:rPr>
            </w:pPr>
          </w:p>
        </w:tc>
        <w:tc>
          <w:tcPr>
            <w:tcW w:w="1350" w:type="dxa"/>
            <w:tcBorders>
              <w:top w:val="nil"/>
              <w:left w:val="nil"/>
              <w:bottom w:val="nil"/>
              <w:right w:val="nil"/>
            </w:tcBorders>
            <w:shd w:val="clear" w:color="auto" w:fill="auto"/>
            <w:noWrap/>
            <w:vAlign w:val="bottom"/>
          </w:tcPr>
          <w:p w14:paraId="200244B1" w14:textId="77777777" w:rsidR="00FA18EA" w:rsidRPr="0091098D" w:rsidRDefault="00FA18EA" w:rsidP="00FA18EA">
            <w:pPr>
              <w:outlineLvl w:val="0"/>
              <w:rPr>
                <w:rFonts w:eastAsia="Times New Roman" w:cstheme="minorHAnsi"/>
                <w:bCs/>
                <w:sz w:val="18"/>
                <w:szCs w:val="18"/>
                <w:lang w:eastAsia="en-GB"/>
              </w:rPr>
            </w:pPr>
          </w:p>
        </w:tc>
      </w:tr>
      <w:tr w:rsidR="00FA18EA" w:rsidRPr="007600A7" w14:paraId="0DCAC8F1" w14:textId="77777777" w:rsidTr="00FA18EA">
        <w:trPr>
          <w:trHeight w:val="255"/>
        </w:trPr>
        <w:tc>
          <w:tcPr>
            <w:tcW w:w="6938" w:type="dxa"/>
            <w:tcBorders>
              <w:top w:val="nil"/>
              <w:left w:val="nil"/>
              <w:bottom w:val="nil"/>
              <w:right w:val="nil"/>
            </w:tcBorders>
            <w:shd w:val="clear" w:color="auto" w:fill="auto"/>
            <w:noWrap/>
            <w:vAlign w:val="bottom"/>
            <w:hideMark/>
          </w:tcPr>
          <w:p w14:paraId="56AD6803" w14:textId="77777777" w:rsidR="00FA18EA" w:rsidRPr="008B2DDA" w:rsidRDefault="00FA18EA" w:rsidP="00FA18EA">
            <w:pPr>
              <w:outlineLvl w:val="0"/>
              <w:rPr>
                <w:rFonts w:eastAsia="Times New Roman" w:cstheme="minorHAnsi"/>
                <w:sz w:val="18"/>
                <w:szCs w:val="18"/>
                <w:lang w:eastAsia="en-GB"/>
              </w:rPr>
            </w:pPr>
            <w:r w:rsidRPr="008B2DDA">
              <w:rPr>
                <w:rFonts w:eastAsia="Times New Roman" w:cstheme="minorHAnsi"/>
                <w:sz w:val="18"/>
                <w:szCs w:val="18"/>
                <w:lang w:eastAsia="en-GB"/>
              </w:rPr>
              <w:t>Effects of:</w:t>
            </w:r>
          </w:p>
        </w:tc>
        <w:tc>
          <w:tcPr>
            <w:tcW w:w="0" w:type="auto"/>
            <w:tcBorders>
              <w:top w:val="nil"/>
              <w:left w:val="nil"/>
              <w:bottom w:val="nil"/>
              <w:right w:val="nil"/>
            </w:tcBorders>
            <w:shd w:val="clear" w:color="auto" w:fill="auto"/>
            <w:noWrap/>
            <w:vAlign w:val="bottom"/>
          </w:tcPr>
          <w:p w14:paraId="557C2B68" w14:textId="77777777" w:rsidR="00FA18EA" w:rsidRPr="000C5053" w:rsidRDefault="00FA18EA" w:rsidP="00FA18EA">
            <w:pPr>
              <w:outlineLvl w:val="0"/>
              <w:rPr>
                <w:rFonts w:eastAsia="Times New Roman" w:cstheme="minorHAnsi"/>
                <w:b/>
                <w:bCs/>
                <w:sz w:val="18"/>
                <w:szCs w:val="18"/>
                <w:lang w:eastAsia="en-GB"/>
              </w:rPr>
            </w:pPr>
          </w:p>
        </w:tc>
        <w:tc>
          <w:tcPr>
            <w:tcW w:w="1350" w:type="dxa"/>
            <w:tcBorders>
              <w:top w:val="nil"/>
              <w:left w:val="nil"/>
              <w:bottom w:val="nil"/>
              <w:right w:val="nil"/>
            </w:tcBorders>
            <w:shd w:val="clear" w:color="auto" w:fill="auto"/>
            <w:noWrap/>
            <w:vAlign w:val="bottom"/>
          </w:tcPr>
          <w:p w14:paraId="179A1956" w14:textId="77777777" w:rsidR="00FA18EA" w:rsidRPr="0091098D" w:rsidRDefault="00FA18EA" w:rsidP="00FA18EA">
            <w:pPr>
              <w:outlineLvl w:val="0"/>
              <w:rPr>
                <w:rFonts w:eastAsia="Times New Roman" w:cstheme="minorHAnsi"/>
                <w:bCs/>
                <w:sz w:val="18"/>
                <w:szCs w:val="18"/>
                <w:lang w:eastAsia="en-GB"/>
              </w:rPr>
            </w:pPr>
          </w:p>
        </w:tc>
      </w:tr>
      <w:tr w:rsidR="00FA18EA" w:rsidRPr="007600A7" w14:paraId="19E9A1D4" w14:textId="77777777" w:rsidTr="00FA18EA">
        <w:trPr>
          <w:trHeight w:val="255"/>
        </w:trPr>
        <w:tc>
          <w:tcPr>
            <w:tcW w:w="6938" w:type="dxa"/>
            <w:tcBorders>
              <w:top w:val="nil"/>
              <w:left w:val="nil"/>
              <w:bottom w:val="nil"/>
              <w:right w:val="nil"/>
            </w:tcBorders>
            <w:shd w:val="clear" w:color="auto" w:fill="auto"/>
            <w:noWrap/>
            <w:vAlign w:val="bottom"/>
            <w:hideMark/>
          </w:tcPr>
          <w:p w14:paraId="378B9114" w14:textId="77777777" w:rsidR="00FA18EA" w:rsidRPr="008B2DDA" w:rsidRDefault="00FA18EA" w:rsidP="00FA18EA">
            <w:pPr>
              <w:outlineLvl w:val="0"/>
              <w:rPr>
                <w:rFonts w:eastAsia="Times New Roman" w:cstheme="minorHAnsi"/>
                <w:sz w:val="18"/>
                <w:szCs w:val="18"/>
                <w:lang w:eastAsia="en-GB"/>
              </w:rPr>
            </w:pPr>
            <w:r w:rsidRPr="008B2DDA">
              <w:rPr>
                <w:rFonts w:eastAsia="Times New Roman" w:cstheme="minorHAnsi"/>
                <w:sz w:val="18"/>
                <w:szCs w:val="18"/>
                <w:lang w:eastAsia="en-GB"/>
              </w:rPr>
              <w:t>Non-taxable income</w:t>
            </w:r>
          </w:p>
        </w:tc>
        <w:tc>
          <w:tcPr>
            <w:tcW w:w="0" w:type="auto"/>
            <w:tcBorders>
              <w:top w:val="nil"/>
              <w:left w:val="nil"/>
              <w:bottom w:val="nil"/>
              <w:right w:val="nil"/>
            </w:tcBorders>
            <w:shd w:val="clear" w:color="auto" w:fill="auto"/>
            <w:noWrap/>
            <w:vAlign w:val="bottom"/>
          </w:tcPr>
          <w:p w14:paraId="004989B5" w14:textId="77777777" w:rsidR="00FA18EA" w:rsidRPr="0091098D" w:rsidRDefault="00FA18EA" w:rsidP="00FA18EA">
            <w:pPr>
              <w:jc w:val="right"/>
              <w:outlineLvl w:val="0"/>
              <w:rPr>
                <w:rFonts w:eastAsia="Times New Roman" w:cstheme="minorHAnsi"/>
                <w:b/>
                <w:bCs/>
                <w:sz w:val="18"/>
                <w:szCs w:val="18"/>
                <w:lang w:eastAsia="en-GB"/>
              </w:rPr>
            </w:pPr>
            <w:r w:rsidRPr="000C5053">
              <w:rPr>
                <w:rFonts w:eastAsia="Times New Roman" w:cstheme="minorHAnsi"/>
                <w:b/>
                <w:bCs/>
                <w:sz w:val="18"/>
                <w:szCs w:val="18"/>
                <w:lang w:eastAsia="en-GB"/>
              </w:rPr>
              <w:t>(553)</w:t>
            </w:r>
          </w:p>
        </w:tc>
        <w:tc>
          <w:tcPr>
            <w:tcW w:w="1350" w:type="dxa"/>
            <w:tcBorders>
              <w:top w:val="nil"/>
              <w:left w:val="nil"/>
              <w:bottom w:val="nil"/>
              <w:right w:val="nil"/>
            </w:tcBorders>
            <w:shd w:val="clear" w:color="auto" w:fill="auto"/>
            <w:noWrap/>
            <w:vAlign w:val="bottom"/>
          </w:tcPr>
          <w:p w14:paraId="20348546" w14:textId="77777777" w:rsidR="00FA18EA" w:rsidRPr="0075195E" w:rsidRDefault="00FA18EA" w:rsidP="00FA18EA">
            <w:pPr>
              <w:jc w:val="right"/>
              <w:outlineLvl w:val="0"/>
              <w:rPr>
                <w:rFonts w:eastAsia="Times New Roman" w:cstheme="minorHAnsi"/>
                <w:bCs/>
                <w:sz w:val="18"/>
                <w:szCs w:val="18"/>
                <w:lang w:eastAsia="en-GB"/>
              </w:rPr>
            </w:pPr>
            <w:r w:rsidRPr="0075195E">
              <w:rPr>
                <w:rFonts w:eastAsia="Times New Roman" w:cstheme="minorHAnsi"/>
                <w:bCs/>
                <w:sz w:val="18"/>
                <w:szCs w:val="18"/>
                <w:lang w:eastAsia="en-GB"/>
              </w:rPr>
              <w:t>(3,396)</w:t>
            </w:r>
          </w:p>
        </w:tc>
      </w:tr>
      <w:tr w:rsidR="00FA18EA" w:rsidRPr="007600A7" w14:paraId="2D1E3F3B" w14:textId="77777777" w:rsidTr="00FA18EA">
        <w:trPr>
          <w:trHeight w:val="255"/>
        </w:trPr>
        <w:tc>
          <w:tcPr>
            <w:tcW w:w="6938" w:type="dxa"/>
            <w:tcBorders>
              <w:top w:val="nil"/>
              <w:left w:val="nil"/>
              <w:bottom w:val="nil"/>
              <w:right w:val="nil"/>
            </w:tcBorders>
            <w:shd w:val="clear" w:color="auto" w:fill="auto"/>
            <w:noWrap/>
            <w:vAlign w:val="bottom"/>
          </w:tcPr>
          <w:p w14:paraId="32F20A3F" w14:textId="77777777" w:rsidR="00FA18EA" w:rsidRPr="008B2DDA" w:rsidRDefault="00FA18EA" w:rsidP="00FA18EA">
            <w:pPr>
              <w:outlineLvl w:val="0"/>
              <w:rPr>
                <w:rFonts w:eastAsia="Times New Roman" w:cstheme="minorHAnsi"/>
                <w:sz w:val="18"/>
                <w:szCs w:val="18"/>
                <w:lang w:eastAsia="en-GB"/>
              </w:rPr>
            </w:pPr>
            <w:r w:rsidRPr="008B2DDA">
              <w:rPr>
                <w:rFonts w:eastAsia="Times New Roman" w:cstheme="minorHAnsi"/>
                <w:sz w:val="18"/>
                <w:szCs w:val="18"/>
                <w:lang w:eastAsia="en-GB"/>
              </w:rPr>
              <w:t>Non-deductible expenditure</w:t>
            </w:r>
          </w:p>
        </w:tc>
        <w:tc>
          <w:tcPr>
            <w:tcW w:w="0" w:type="auto"/>
            <w:tcBorders>
              <w:top w:val="nil"/>
              <w:left w:val="nil"/>
              <w:bottom w:val="nil"/>
              <w:right w:val="nil"/>
            </w:tcBorders>
            <w:shd w:val="clear" w:color="auto" w:fill="auto"/>
            <w:noWrap/>
            <w:vAlign w:val="bottom"/>
          </w:tcPr>
          <w:p w14:paraId="0A7FF0A0" w14:textId="77777777" w:rsidR="00FA18EA" w:rsidRPr="0091098D" w:rsidRDefault="00FA18EA" w:rsidP="00FA18EA">
            <w:pPr>
              <w:jc w:val="right"/>
              <w:outlineLvl w:val="0"/>
              <w:rPr>
                <w:rFonts w:eastAsia="Times New Roman" w:cstheme="minorHAnsi"/>
                <w:b/>
                <w:bCs/>
                <w:sz w:val="18"/>
                <w:szCs w:val="18"/>
                <w:lang w:eastAsia="en-GB"/>
              </w:rPr>
            </w:pPr>
            <w:r w:rsidRPr="000C5053">
              <w:rPr>
                <w:rFonts w:eastAsia="Times New Roman" w:cstheme="minorHAnsi"/>
                <w:b/>
                <w:bCs/>
                <w:sz w:val="18"/>
                <w:szCs w:val="18"/>
                <w:lang w:eastAsia="en-GB"/>
              </w:rPr>
              <w:t>21</w:t>
            </w:r>
          </w:p>
        </w:tc>
        <w:tc>
          <w:tcPr>
            <w:tcW w:w="1350" w:type="dxa"/>
            <w:tcBorders>
              <w:top w:val="nil"/>
              <w:left w:val="nil"/>
              <w:bottom w:val="nil"/>
              <w:right w:val="nil"/>
            </w:tcBorders>
            <w:shd w:val="clear" w:color="auto" w:fill="auto"/>
            <w:noWrap/>
            <w:vAlign w:val="bottom"/>
          </w:tcPr>
          <w:p w14:paraId="693EE684" w14:textId="77777777" w:rsidR="00FA18EA" w:rsidRPr="0075195E" w:rsidRDefault="00FA18EA" w:rsidP="00FA18EA">
            <w:pPr>
              <w:jc w:val="right"/>
              <w:outlineLvl w:val="0"/>
              <w:rPr>
                <w:rFonts w:eastAsia="Times New Roman" w:cstheme="minorHAnsi"/>
                <w:bCs/>
                <w:sz w:val="18"/>
                <w:szCs w:val="18"/>
                <w:lang w:eastAsia="en-GB"/>
              </w:rPr>
            </w:pPr>
            <w:r w:rsidRPr="0075195E">
              <w:rPr>
                <w:rFonts w:eastAsia="Times New Roman" w:cstheme="minorHAnsi"/>
                <w:bCs/>
                <w:sz w:val="18"/>
                <w:szCs w:val="18"/>
                <w:lang w:eastAsia="en-GB"/>
              </w:rPr>
              <w:t>-</w:t>
            </w:r>
          </w:p>
        </w:tc>
      </w:tr>
      <w:tr w:rsidR="00FA18EA" w:rsidRPr="007600A7" w14:paraId="57842E50" w14:textId="77777777" w:rsidTr="00FA18EA">
        <w:trPr>
          <w:trHeight w:val="255"/>
        </w:trPr>
        <w:tc>
          <w:tcPr>
            <w:tcW w:w="6938" w:type="dxa"/>
            <w:tcBorders>
              <w:top w:val="nil"/>
              <w:left w:val="nil"/>
              <w:bottom w:val="nil"/>
              <w:right w:val="nil"/>
            </w:tcBorders>
            <w:shd w:val="clear" w:color="auto" w:fill="auto"/>
            <w:noWrap/>
            <w:vAlign w:val="bottom"/>
          </w:tcPr>
          <w:p w14:paraId="7C6C75C6" w14:textId="77777777" w:rsidR="00FA18EA" w:rsidRPr="008B2DDA" w:rsidRDefault="00FA18EA" w:rsidP="00FA18EA">
            <w:pPr>
              <w:outlineLvl w:val="0"/>
              <w:rPr>
                <w:rFonts w:eastAsia="Times New Roman" w:cstheme="minorHAnsi"/>
                <w:sz w:val="18"/>
                <w:szCs w:val="18"/>
                <w:lang w:eastAsia="en-GB"/>
              </w:rPr>
            </w:pPr>
            <w:r w:rsidRPr="008B2DDA">
              <w:rPr>
                <w:rFonts w:eastAsia="Times New Roman" w:cstheme="minorHAnsi"/>
                <w:sz w:val="18"/>
                <w:szCs w:val="18"/>
                <w:lang w:eastAsia="en-GB"/>
              </w:rPr>
              <w:t>Chargeable gains</w:t>
            </w:r>
          </w:p>
        </w:tc>
        <w:tc>
          <w:tcPr>
            <w:tcW w:w="0" w:type="auto"/>
            <w:tcBorders>
              <w:top w:val="nil"/>
              <w:left w:val="nil"/>
              <w:bottom w:val="nil"/>
              <w:right w:val="nil"/>
            </w:tcBorders>
            <w:shd w:val="clear" w:color="auto" w:fill="auto"/>
            <w:noWrap/>
            <w:vAlign w:val="bottom"/>
          </w:tcPr>
          <w:p w14:paraId="67EF27BC" w14:textId="77777777" w:rsidR="00FA18EA" w:rsidRPr="0091098D" w:rsidRDefault="00FA18EA" w:rsidP="00FA18EA">
            <w:pPr>
              <w:jc w:val="right"/>
              <w:outlineLvl w:val="0"/>
              <w:rPr>
                <w:rFonts w:eastAsia="Times New Roman" w:cstheme="minorHAnsi"/>
                <w:b/>
                <w:bCs/>
                <w:sz w:val="18"/>
                <w:szCs w:val="18"/>
                <w:lang w:eastAsia="en-GB"/>
              </w:rPr>
            </w:pPr>
            <w:r w:rsidRPr="000C5053">
              <w:rPr>
                <w:rFonts w:eastAsia="Times New Roman" w:cstheme="minorHAnsi"/>
                <w:b/>
                <w:bCs/>
                <w:sz w:val="18"/>
                <w:szCs w:val="18"/>
                <w:lang w:eastAsia="en-GB"/>
              </w:rPr>
              <w:t>(27)</w:t>
            </w:r>
          </w:p>
        </w:tc>
        <w:tc>
          <w:tcPr>
            <w:tcW w:w="1350" w:type="dxa"/>
            <w:tcBorders>
              <w:top w:val="nil"/>
              <w:left w:val="nil"/>
              <w:bottom w:val="nil"/>
              <w:right w:val="nil"/>
            </w:tcBorders>
            <w:shd w:val="clear" w:color="auto" w:fill="auto"/>
            <w:noWrap/>
            <w:vAlign w:val="bottom"/>
          </w:tcPr>
          <w:p w14:paraId="5CD44C69" w14:textId="77777777" w:rsidR="00FA18EA" w:rsidRPr="0075195E" w:rsidRDefault="00FA18EA" w:rsidP="00FA18EA">
            <w:pPr>
              <w:jc w:val="right"/>
              <w:outlineLvl w:val="0"/>
              <w:rPr>
                <w:rFonts w:eastAsia="Times New Roman" w:cstheme="minorHAnsi"/>
                <w:bCs/>
                <w:sz w:val="18"/>
                <w:szCs w:val="18"/>
                <w:lang w:eastAsia="en-GB"/>
              </w:rPr>
            </w:pPr>
            <w:r w:rsidRPr="0075195E">
              <w:rPr>
                <w:rFonts w:eastAsia="Times New Roman" w:cstheme="minorHAnsi"/>
                <w:bCs/>
                <w:sz w:val="18"/>
                <w:szCs w:val="18"/>
                <w:lang w:eastAsia="en-GB"/>
              </w:rPr>
              <w:t>-</w:t>
            </w:r>
          </w:p>
        </w:tc>
      </w:tr>
      <w:tr w:rsidR="00FA18EA" w:rsidRPr="007600A7" w14:paraId="5C14485A" w14:textId="77777777" w:rsidTr="00FA18EA">
        <w:trPr>
          <w:trHeight w:val="255"/>
        </w:trPr>
        <w:tc>
          <w:tcPr>
            <w:tcW w:w="6938" w:type="dxa"/>
            <w:tcBorders>
              <w:top w:val="nil"/>
              <w:left w:val="nil"/>
              <w:bottom w:val="nil"/>
              <w:right w:val="nil"/>
            </w:tcBorders>
            <w:shd w:val="clear" w:color="auto" w:fill="auto"/>
            <w:noWrap/>
            <w:vAlign w:val="bottom"/>
            <w:hideMark/>
          </w:tcPr>
          <w:p w14:paraId="04F1888F" w14:textId="77777777" w:rsidR="00FA18EA" w:rsidRPr="008B2DDA" w:rsidRDefault="00FA18EA" w:rsidP="00FA18EA">
            <w:pPr>
              <w:outlineLvl w:val="0"/>
              <w:rPr>
                <w:rFonts w:eastAsia="Times New Roman" w:cstheme="minorHAnsi"/>
                <w:sz w:val="18"/>
                <w:szCs w:val="18"/>
                <w:lang w:eastAsia="en-GB"/>
              </w:rPr>
            </w:pPr>
            <w:r w:rsidRPr="008B2DDA">
              <w:rPr>
                <w:rFonts w:eastAsia="Times New Roman" w:cstheme="minorHAnsi"/>
                <w:sz w:val="18"/>
                <w:szCs w:val="18"/>
                <w:lang w:eastAsia="en-GB"/>
              </w:rPr>
              <w:t>Deferred tax not recognised</w:t>
            </w:r>
          </w:p>
        </w:tc>
        <w:tc>
          <w:tcPr>
            <w:tcW w:w="0" w:type="auto"/>
            <w:tcBorders>
              <w:top w:val="nil"/>
              <w:left w:val="nil"/>
              <w:bottom w:val="nil"/>
              <w:right w:val="nil"/>
            </w:tcBorders>
            <w:shd w:val="clear" w:color="auto" w:fill="auto"/>
            <w:noWrap/>
            <w:vAlign w:val="bottom"/>
          </w:tcPr>
          <w:p w14:paraId="41109317" w14:textId="77777777" w:rsidR="00FA18EA" w:rsidRPr="0091098D" w:rsidRDefault="00FA18EA" w:rsidP="00FA18EA">
            <w:pPr>
              <w:jc w:val="right"/>
              <w:outlineLvl w:val="0"/>
              <w:rPr>
                <w:rFonts w:eastAsia="Times New Roman" w:cstheme="minorHAnsi"/>
                <w:b/>
                <w:bCs/>
                <w:sz w:val="18"/>
                <w:szCs w:val="18"/>
                <w:lang w:eastAsia="en-GB"/>
              </w:rPr>
            </w:pPr>
            <w:r w:rsidRPr="000C5053">
              <w:rPr>
                <w:rFonts w:eastAsia="Times New Roman" w:cstheme="minorHAnsi"/>
                <w:b/>
                <w:bCs/>
                <w:sz w:val="18"/>
                <w:szCs w:val="18"/>
                <w:lang w:eastAsia="en-GB"/>
              </w:rPr>
              <w:t>(791)</w:t>
            </w:r>
          </w:p>
        </w:tc>
        <w:tc>
          <w:tcPr>
            <w:tcW w:w="1350" w:type="dxa"/>
            <w:tcBorders>
              <w:top w:val="nil"/>
              <w:left w:val="nil"/>
              <w:bottom w:val="nil"/>
              <w:right w:val="nil"/>
            </w:tcBorders>
            <w:shd w:val="clear" w:color="auto" w:fill="auto"/>
            <w:noWrap/>
            <w:vAlign w:val="bottom"/>
          </w:tcPr>
          <w:p w14:paraId="33E7BB96" w14:textId="77777777" w:rsidR="00FA18EA" w:rsidRPr="0075195E" w:rsidRDefault="00FA18EA" w:rsidP="00FA18EA">
            <w:pPr>
              <w:jc w:val="right"/>
              <w:outlineLvl w:val="0"/>
              <w:rPr>
                <w:rFonts w:eastAsia="Times New Roman" w:cstheme="minorHAnsi"/>
                <w:bCs/>
                <w:sz w:val="18"/>
                <w:szCs w:val="18"/>
                <w:lang w:eastAsia="en-GB"/>
              </w:rPr>
            </w:pPr>
            <w:r w:rsidRPr="0075195E">
              <w:rPr>
                <w:rFonts w:eastAsia="Times New Roman" w:cstheme="minorHAnsi"/>
                <w:bCs/>
                <w:sz w:val="18"/>
                <w:szCs w:val="18"/>
                <w:lang w:eastAsia="en-GB"/>
              </w:rPr>
              <w:t>240</w:t>
            </w:r>
          </w:p>
        </w:tc>
      </w:tr>
      <w:tr w:rsidR="00FA18EA" w:rsidRPr="007600A7" w14:paraId="3D2ED7D1" w14:textId="77777777" w:rsidTr="00FA18EA">
        <w:trPr>
          <w:trHeight w:val="270"/>
        </w:trPr>
        <w:tc>
          <w:tcPr>
            <w:tcW w:w="6938" w:type="dxa"/>
            <w:tcBorders>
              <w:top w:val="single" w:sz="4" w:space="0" w:color="auto"/>
              <w:left w:val="nil"/>
              <w:bottom w:val="single" w:sz="8" w:space="0" w:color="auto"/>
              <w:right w:val="nil"/>
            </w:tcBorders>
            <w:shd w:val="clear" w:color="auto" w:fill="auto"/>
            <w:noWrap/>
            <w:vAlign w:val="bottom"/>
            <w:hideMark/>
          </w:tcPr>
          <w:p w14:paraId="11287CE4" w14:textId="77777777" w:rsidR="00FA18EA" w:rsidRPr="008B2DDA" w:rsidRDefault="00FA18EA" w:rsidP="00FA18EA">
            <w:pPr>
              <w:outlineLvl w:val="0"/>
              <w:rPr>
                <w:rFonts w:eastAsia="Times New Roman" w:cstheme="minorHAnsi"/>
                <w:b/>
                <w:bCs/>
                <w:sz w:val="18"/>
                <w:szCs w:val="18"/>
                <w:lang w:eastAsia="en-GB"/>
              </w:rPr>
            </w:pPr>
            <w:r w:rsidRPr="008B2DDA">
              <w:rPr>
                <w:rFonts w:eastAsia="Times New Roman" w:cstheme="minorHAnsi"/>
                <w:b/>
                <w:bCs/>
                <w:sz w:val="18"/>
                <w:szCs w:val="18"/>
                <w:lang w:eastAsia="en-GB"/>
              </w:rPr>
              <w:t>Tax on profit on ordinary activities</w:t>
            </w:r>
          </w:p>
        </w:tc>
        <w:tc>
          <w:tcPr>
            <w:tcW w:w="0" w:type="auto"/>
            <w:tcBorders>
              <w:top w:val="single" w:sz="4" w:space="0" w:color="auto"/>
              <w:left w:val="nil"/>
              <w:bottom w:val="single" w:sz="8" w:space="0" w:color="auto"/>
              <w:right w:val="nil"/>
            </w:tcBorders>
            <w:shd w:val="clear" w:color="auto" w:fill="auto"/>
            <w:noWrap/>
            <w:vAlign w:val="bottom"/>
          </w:tcPr>
          <w:p w14:paraId="594BE249" w14:textId="38DB419A" w:rsidR="00FA18EA" w:rsidRPr="0091098D" w:rsidRDefault="00FA18EA" w:rsidP="00FA18EA">
            <w:pPr>
              <w:jc w:val="right"/>
              <w:outlineLvl w:val="0"/>
              <w:rPr>
                <w:rFonts w:eastAsia="Times New Roman" w:cstheme="minorHAnsi"/>
                <w:b/>
                <w:bCs/>
                <w:sz w:val="18"/>
                <w:szCs w:val="18"/>
                <w:lang w:eastAsia="en-GB"/>
              </w:rPr>
            </w:pPr>
            <w:r w:rsidRPr="000C5053">
              <w:rPr>
                <w:rFonts w:eastAsia="Times New Roman" w:cstheme="minorHAnsi"/>
                <w:b/>
                <w:bCs/>
                <w:sz w:val="18"/>
                <w:szCs w:val="18"/>
                <w:lang w:eastAsia="en-GB"/>
              </w:rPr>
              <w:t>1,580</w:t>
            </w:r>
          </w:p>
        </w:tc>
        <w:tc>
          <w:tcPr>
            <w:tcW w:w="1350" w:type="dxa"/>
            <w:tcBorders>
              <w:top w:val="single" w:sz="4" w:space="0" w:color="auto"/>
              <w:left w:val="nil"/>
              <w:bottom w:val="single" w:sz="8" w:space="0" w:color="auto"/>
              <w:right w:val="nil"/>
            </w:tcBorders>
            <w:shd w:val="clear" w:color="auto" w:fill="auto"/>
            <w:noWrap/>
            <w:vAlign w:val="bottom"/>
          </w:tcPr>
          <w:p w14:paraId="4F34F1D8" w14:textId="77777777" w:rsidR="00FA18EA" w:rsidRPr="0075195E" w:rsidRDefault="00FA18EA" w:rsidP="00FA18EA">
            <w:pPr>
              <w:jc w:val="right"/>
              <w:outlineLvl w:val="0"/>
              <w:rPr>
                <w:rFonts w:eastAsia="Times New Roman" w:cstheme="minorHAnsi"/>
                <w:sz w:val="18"/>
                <w:szCs w:val="18"/>
                <w:lang w:eastAsia="en-GB"/>
              </w:rPr>
            </w:pPr>
            <w:r w:rsidRPr="0075195E">
              <w:rPr>
                <w:rFonts w:eastAsia="Times New Roman" w:cstheme="minorHAnsi"/>
                <w:sz w:val="18"/>
                <w:szCs w:val="18"/>
                <w:lang w:eastAsia="en-GB"/>
              </w:rPr>
              <w:t>-</w:t>
            </w:r>
          </w:p>
        </w:tc>
      </w:tr>
    </w:tbl>
    <w:p w14:paraId="491A396D" w14:textId="77777777" w:rsidR="00FA18EA" w:rsidRPr="008B2DDA" w:rsidRDefault="00FA18EA" w:rsidP="00FA18EA">
      <w:pPr>
        <w:autoSpaceDE w:val="0"/>
        <w:autoSpaceDN w:val="0"/>
        <w:adjustRightInd w:val="0"/>
        <w:rPr>
          <w:rFonts w:cstheme="minorHAnsi"/>
          <w:b/>
          <w:color w:val="000000"/>
          <w:sz w:val="18"/>
          <w:szCs w:val="16"/>
        </w:rPr>
      </w:pPr>
    </w:p>
    <w:p w14:paraId="0E19F5E6" w14:textId="77777777" w:rsidR="00FA18EA" w:rsidRPr="008B2DDA" w:rsidRDefault="00FA18EA" w:rsidP="00A02B31">
      <w:pPr>
        <w:autoSpaceDE w:val="0"/>
        <w:autoSpaceDN w:val="0"/>
        <w:adjustRightInd w:val="0"/>
        <w:jc w:val="both"/>
        <w:rPr>
          <w:rFonts w:cstheme="minorHAnsi"/>
          <w:b/>
          <w:color w:val="000000"/>
          <w:sz w:val="18"/>
          <w:szCs w:val="16"/>
        </w:rPr>
      </w:pPr>
      <w:r w:rsidRPr="008B2DDA">
        <w:rPr>
          <w:rFonts w:cstheme="minorHAnsi"/>
          <w:b/>
          <w:color w:val="000000"/>
          <w:sz w:val="18"/>
          <w:szCs w:val="16"/>
        </w:rPr>
        <w:t>Deferred tax</w:t>
      </w:r>
    </w:p>
    <w:p w14:paraId="14FB303B" w14:textId="06FCCC88" w:rsidR="00FA18EA" w:rsidRPr="007600A7" w:rsidRDefault="00FA18EA" w:rsidP="00A02B31">
      <w:pPr>
        <w:autoSpaceDE w:val="0"/>
        <w:autoSpaceDN w:val="0"/>
        <w:adjustRightInd w:val="0"/>
        <w:jc w:val="both"/>
        <w:rPr>
          <w:rFonts w:cstheme="minorHAnsi"/>
          <w:color w:val="000000" w:themeColor="text1"/>
          <w:sz w:val="18"/>
          <w:szCs w:val="18"/>
        </w:rPr>
      </w:pPr>
      <w:r w:rsidRPr="000C5053">
        <w:rPr>
          <w:rFonts w:cstheme="minorHAnsi"/>
          <w:color w:val="000000" w:themeColor="text1"/>
          <w:sz w:val="18"/>
          <w:szCs w:val="18"/>
        </w:rPr>
        <w:t xml:space="preserve">There remains an unrecognised deferred tax asset in respect of tax losses and other temporary differences. The unrecognised deferred tax asset is £34 million (2021: £29 million) for the Company. The increase in the balance for unrecognised deferred tax is </w:t>
      </w:r>
      <w:r w:rsidRPr="0091098D">
        <w:rPr>
          <w:rFonts w:cstheme="minorHAnsi"/>
          <w:color w:val="000000" w:themeColor="text1"/>
          <w:sz w:val="18"/>
          <w:szCs w:val="18"/>
        </w:rPr>
        <w:t xml:space="preserve">due to </w:t>
      </w:r>
      <w:r w:rsidRPr="00A02B31">
        <w:rPr>
          <w:rFonts w:cstheme="minorHAnsi"/>
          <w:sz w:val="18"/>
          <w:szCs w:val="18"/>
        </w:rPr>
        <w:t>the</w:t>
      </w:r>
      <w:r w:rsidR="00F5369C" w:rsidRPr="00A02B31">
        <w:rPr>
          <w:rFonts w:cstheme="minorHAnsi"/>
          <w:sz w:val="18"/>
          <w:szCs w:val="18"/>
        </w:rPr>
        <w:t xml:space="preserve"> </w:t>
      </w:r>
      <w:r w:rsidRPr="00A02B31">
        <w:rPr>
          <w:rFonts w:cstheme="minorHAnsi"/>
          <w:sz w:val="18"/>
          <w:szCs w:val="18"/>
        </w:rPr>
        <w:t>rate of corporation tax being raised to 25% with effect from 1 April 2023</w:t>
      </w:r>
      <w:r w:rsidRPr="007600A7">
        <w:rPr>
          <w:rFonts w:cstheme="minorHAnsi"/>
          <w:color w:val="000000" w:themeColor="text1"/>
          <w:sz w:val="18"/>
          <w:szCs w:val="18"/>
        </w:rPr>
        <w:t>. The assessed loss on which no deferred tax has been recognised amounts to £136 million (2021: £152 million).</w:t>
      </w:r>
    </w:p>
    <w:p w14:paraId="2B3F1ED3" w14:textId="490BBC08" w:rsidR="00052748" w:rsidRPr="000C1F6F" w:rsidRDefault="00052748" w:rsidP="00A02B31">
      <w:pPr>
        <w:autoSpaceDE w:val="0"/>
        <w:autoSpaceDN w:val="0"/>
        <w:adjustRightInd w:val="0"/>
        <w:jc w:val="both"/>
        <w:rPr>
          <w:rFonts w:cstheme="minorHAnsi"/>
          <w:color w:val="000000" w:themeColor="text1"/>
          <w:sz w:val="18"/>
          <w:szCs w:val="18"/>
        </w:rPr>
      </w:pPr>
    </w:p>
    <w:p w14:paraId="6239488F" w14:textId="645E18E1" w:rsidR="00052748" w:rsidRPr="00A02B31" w:rsidRDefault="00052748" w:rsidP="00A02B31">
      <w:pPr>
        <w:autoSpaceDE w:val="0"/>
        <w:autoSpaceDN w:val="0"/>
        <w:adjustRightInd w:val="0"/>
        <w:jc w:val="both"/>
        <w:rPr>
          <w:rFonts w:cstheme="minorHAnsi"/>
          <w:sz w:val="18"/>
          <w:szCs w:val="18"/>
        </w:rPr>
      </w:pPr>
      <w:r w:rsidRPr="00A02B31">
        <w:rPr>
          <w:rFonts w:cstheme="minorHAnsi"/>
          <w:sz w:val="18"/>
          <w:szCs w:val="18"/>
        </w:rPr>
        <w:t>An estimated deferred tax liability on the unrealised gains in the portfolio at year end is de-minimus (approximately £29k) and has therefore not been recognised as a liability due to the likelihood that brought forward losses in the future will offset this amount.</w:t>
      </w:r>
    </w:p>
    <w:p w14:paraId="554047B3" w14:textId="77777777" w:rsidR="00FA18EA" w:rsidRPr="008B2DDA" w:rsidRDefault="00FA18EA" w:rsidP="00FA18EA">
      <w:pPr>
        <w:autoSpaceDE w:val="0"/>
        <w:autoSpaceDN w:val="0"/>
        <w:adjustRightInd w:val="0"/>
        <w:jc w:val="both"/>
        <w:rPr>
          <w:rFonts w:cstheme="minorHAnsi"/>
          <w:color w:val="000000" w:themeColor="text1"/>
          <w:sz w:val="18"/>
          <w:szCs w:val="18"/>
        </w:rPr>
      </w:pPr>
    </w:p>
    <w:p w14:paraId="1E0B7F49" w14:textId="77777777" w:rsidR="00FA18EA" w:rsidRPr="0091098D" w:rsidRDefault="00FA18EA" w:rsidP="00FA18EA">
      <w:pPr>
        <w:autoSpaceDE w:val="0"/>
        <w:autoSpaceDN w:val="0"/>
        <w:adjustRightInd w:val="0"/>
        <w:jc w:val="both"/>
        <w:rPr>
          <w:rFonts w:cstheme="minorHAnsi"/>
          <w:color w:val="000000" w:themeColor="text1"/>
          <w:sz w:val="18"/>
          <w:szCs w:val="18"/>
        </w:rPr>
      </w:pPr>
      <w:r w:rsidRPr="000C5053">
        <w:rPr>
          <w:rFonts w:cstheme="minorHAnsi"/>
          <w:color w:val="000000" w:themeColor="text1"/>
          <w:sz w:val="18"/>
          <w:szCs w:val="18"/>
        </w:rPr>
        <w:t>The movement in the year is taken to the statement of comprehensive income.</w:t>
      </w:r>
    </w:p>
    <w:p w14:paraId="3A1EE485" w14:textId="77777777" w:rsidR="00FA18EA" w:rsidRPr="0075195E" w:rsidRDefault="00FA18EA" w:rsidP="00FA18EA">
      <w:pPr>
        <w:autoSpaceDE w:val="0"/>
        <w:autoSpaceDN w:val="0"/>
        <w:adjustRightInd w:val="0"/>
        <w:jc w:val="both"/>
        <w:rPr>
          <w:rFonts w:cstheme="minorHAnsi"/>
          <w:color w:val="000000" w:themeColor="text1"/>
          <w:sz w:val="18"/>
          <w:szCs w:val="18"/>
          <w:highlight w:val="yellow"/>
        </w:rPr>
      </w:pPr>
    </w:p>
    <w:p w14:paraId="4E31835B" w14:textId="77777777" w:rsidR="00FA18EA" w:rsidRPr="00536A35" w:rsidRDefault="00FA18EA" w:rsidP="00FA18EA">
      <w:pPr>
        <w:autoSpaceDE w:val="0"/>
        <w:autoSpaceDN w:val="0"/>
        <w:adjustRightInd w:val="0"/>
        <w:jc w:val="both"/>
        <w:rPr>
          <w:rFonts w:cstheme="minorHAnsi"/>
          <w:color w:val="000000" w:themeColor="text1"/>
          <w:sz w:val="18"/>
          <w:szCs w:val="18"/>
        </w:rPr>
      </w:pPr>
    </w:p>
    <w:p w14:paraId="5C890702" w14:textId="77777777" w:rsidR="00FA18EA" w:rsidRPr="00A02B31" w:rsidRDefault="00FA18EA" w:rsidP="00FA18EA">
      <w:pPr>
        <w:pageBreakBefore/>
        <w:autoSpaceDE w:val="0"/>
        <w:autoSpaceDN w:val="0"/>
        <w:adjustRightInd w:val="0"/>
        <w:rPr>
          <w:rFonts w:cstheme="minorHAnsi"/>
          <w:b/>
          <w:color w:val="000000"/>
        </w:rPr>
      </w:pPr>
      <w:r w:rsidRPr="00536A35">
        <w:rPr>
          <w:rFonts w:cstheme="minorHAnsi"/>
          <w:b/>
          <w:color w:val="000000"/>
          <w:sz w:val="28"/>
        </w:rPr>
        <w:lastRenderedPageBreak/>
        <w:t>Notes to the Fi</w:t>
      </w:r>
      <w:r w:rsidRPr="00A02B31">
        <w:rPr>
          <w:rFonts w:cstheme="minorHAnsi"/>
          <w:b/>
          <w:color w:val="000000"/>
          <w:sz w:val="28"/>
        </w:rPr>
        <w:t>nancial Statements (continued)</w:t>
      </w:r>
    </w:p>
    <w:p w14:paraId="0FDEC679" w14:textId="77777777" w:rsidR="00FA18EA" w:rsidRPr="00A02B31" w:rsidRDefault="00FA18EA" w:rsidP="00FA18EA">
      <w:pPr>
        <w:autoSpaceDE w:val="0"/>
        <w:autoSpaceDN w:val="0"/>
        <w:adjustRightInd w:val="0"/>
        <w:jc w:val="both"/>
        <w:rPr>
          <w:rFonts w:cstheme="minorHAnsi"/>
          <w:color w:val="000000" w:themeColor="text1"/>
          <w:sz w:val="18"/>
          <w:szCs w:val="18"/>
        </w:rPr>
      </w:pPr>
    </w:p>
    <w:p w14:paraId="7070D543" w14:textId="77777777" w:rsidR="00FA18EA" w:rsidRPr="00A02B31" w:rsidRDefault="00FA18EA" w:rsidP="00FA18EA">
      <w:pPr>
        <w:autoSpaceDE w:val="0"/>
        <w:autoSpaceDN w:val="0"/>
        <w:adjustRightInd w:val="0"/>
        <w:rPr>
          <w:rFonts w:cstheme="minorHAnsi"/>
          <w:b/>
          <w:color w:val="000000"/>
        </w:rPr>
      </w:pPr>
      <w:r w:rsidRPr="00A02B31">
        <w:rPr>
          <w:rFonts w:cstheme="minorHAnsi"/>
          <w:b/>
          <w:color w:val="000000"/>
        </w:rPr>
        <w:t>6 Earnings per share</w:t>
      </w:r>
    </w:p>
    <w:p w14:paraId="33B26C38" w14:textId="77777777" w:rsidR="00FA18EA" w:rsidRPr="00A02B31" w:rsidRDefault="00FA18EA" w:rsidP="00FA18EA">
      <w:pPr>
        <w:autoSpaceDE w:val="0"/>
        <w:autoSpaceDN w:val="0"/>
        <w:adjustRightInd w:val="0"/>
        <w:rPr>
          <w:rFonts w:cstheme="minorHAnsi"/>
          <w:color w:val="000000"/>
          <w:sz w:val="18"/>
        </w:rPr>
      </w:pPr>
    </w:p>
    <w:p w14:paraId="5EEE6401" w14:textId="77777777" w:rsidR="00FA18EA" w:rsidRPr="00A02B31" w:rsidRDefault="00FA18EA" w:rsidP="00FA18EA">
      <w:pPr>
        <w:autoSpaceDE w:val="0"/>
        <w:autoSpaceDN w:val="0"/>
        <w:adjustRightInd w:val="0"/>
        <w:jc w:val="both"/>
        <w:rPr>
          <w:rFonts w:cstheme="minorHAnsi"/>
          <w:color w:val="000000" w:themeColor="text1"/>
          <w:sz w:val="18"/>
          <w:szCs w:val="18"/>
        </w:rPr>
      </w:pPr>
      <w:r w:rsidRPr="00A02B31">
        <w:rPr>
          <w:rFonts w:cstheme="minorHAnsi"/>
          <w:color w:val="000000" w:themeColor="text1"/>
          <w:sz w:val="18"/>
          <w:szCs w:val="18"/>
        </w:rPr>
        <w:t xml:space="preserve">Basic earnings per share is calculated by dividing the profit/loss attributable to ordinary shareholders by the weighted average number of Ordinary Shares during the year. Diluted earnings per share is calculated by dividing the profit/loss attributable to shareholders by the adjusted weighted average number of Ordinary Shares in issue. </w:t>
      </w:r>
    </w:p>
    <w:p w14:paraId="7A7F5506" w14:textId="77777777" w:rsidR="00FA18EA" w:rsidRPr="00A02B31" w:rsidRDefault="00FA18EA" w:rsidP="00FA18EA">
      <w:pPr>
        <w:autoSpaceDE w:val="0"/>
        <w:autoSpaceDN w:val="0"/>
        <w:adjustRightInd w:val="0"/>
        <w:rPr>
          <w:rFonts w:cstheme="minorHAnsi"/>
          <w:b/>
          <w:color w:val="000000"/>
          <w:sz w:val="18"/>
        </w:rPr>
      </w:pPr>
    </w:p>
    <w:tbl>
      <w:tblPr>
        <w:tblW w:w="9638" w:type="dxa"/>
        <w:tblInd w:w="108" w:type="dxa"/>
        <w:tblLook w:val="04A0" w:firstRow="1" w:lastRow="0" w:firstColumn="1" w:lastColumn="0" w:noHBand="0" w:noVBand="1"/>
      </w:tblPr>
      <w:tblGrid>
        <w:gridCol w:w="6998"/>
        <w:gridCol w:w="1359"/>
        <w:gridCol w:w="1281"/>
      </w:tblGrid>
      <w:tr w:rsidR="00FA18EA" w:rsidRPr="007600A7" w14:paraId="14D8BB1B" w14:textId="77777777" w:rsidTr="00FA18EA">
        <w:trPr>
          <w:trHeight w:val="222"/>
        </w:trPr>
        <w:tc>
          <w:tcPr>
            <w:tcW w:w="6998" w:type="dxa"/>
            <w:tcBorders>
              <w:top w:val="single" w:sz="4" w:space="0" w:color="auto"/>
              <w:left w:val="nil"/>
              <w:bottom w:val="nil"/>
              <w:right w:val="nil"/>
            </w:tcBorders>
            <w:shd w:val="clear" w:color="auto" w:fill="auto"/>
            <w:noWrap/>
            <w:vAlign w:val="bottom"/>
            <w:hideMark/>
          </w:tcPr>
          <w:p w14:paraId="01EDBF25" w14:textId="77777777" w:rsidR="00FA18EA" w:rsidRPr="00A02B31" w:rsidRDefault="00FA18EA" w:rsidP="00FA18EA">
            <w:pPr>
              <w:outlineLvl w:val="0"/>
              <w:rPr>
                <w:rFonts w:eastAsia="Times New Roman" w:cstheme="minorHAnsi"/>
                <w:lang w:eastAsia="en-GB"/>
              </w:rPr>
            </w:pPr>
            <w:r w:rsidRPr="00A02B31">
              <w:rPr>
                <w:rFonts w:eastAsia="Times New Roman" w:cstheme="minorHAnsi"/>
                <w:lang w:eastAsia="en-GB"/>
              </w:rPr>
              <w:t> </w:t>
            </w:r>
          </w:p>
        </w:tc>
        <w:tc>
          <w:tcPr>
            <w:tcW w:w="1359" w:type="dxa"/>
            <w:tcBorders>
              <w:top w:val="single" w:sz="4" w:space="0" w:color="auto"/>
              <w:left w:val="nil"/>
              <w:bottom w:val="nil"/>
              <w:right w:val="nil"/>
            </w:tcBorders>
            <w:shd w:val="clear" w:color="auto" w:fill="auto"/>
            <w:noWrap/>
            <w:vAlign w:val="bottom"/>
            <w:hideMark/>
          </w:tcPr>
          <w:p w14:paraId="18CA9A94" w14:textId="77777777" w:rsidR="00FA18EA" w:rsidRPr="00A02B31" w:rsidRDefault="00FA18EA" w:rsidP="00FA18EA">
            <w:pPr>
              <w:jc w:val="right"/>
              <w:outlineLvl w:val="0"/>
              <w:rPr>
                <w:rFonts w:eastAsia="Times New Roman" w:cstheme="minorHAnsi"/>
                <w:b/>
                <w:bCs/>
                <w:sz w:val="16"/>
                <w:szCs w:val="16"/>
                <w:lang w:eastAsia="en-GB"/>
              </w:rPr>
            </w:pPr>
            <w:r w:rsidRPr="00A02B31">
              <w:rPr>
                <w:rFonts w:eastAsia="Times New Roman" w:cstheme="minorHAnsi"/>
                <w:b/>
                <w:bCs/>
                <w:sz w:val="16"/>
                <w:szCs w:val="16"/>
                <w:lang w:eastAsia="en-GB"/>
              </w:rPr>
              <w:t>Year ended</w:t>
            </w:r>
          </w:p>
        </w:tc>
        <w:tc>
          <w:tcPr>
            <w:tcW w:w="1281" w:type="dxa"/>
            <w:tcBorders>
              <w:top w:val="single" w:sz="4" w:space="0" w:color="auto"/>
              <w:left w:val="nil"/>
              <w:bottom w:val="nil"/>
              <w:right w:val="nil"/>
            </w:tcBorders>
            <w:shd w:val="clear" w:color="auto" w:fill="auto"/>
            <w:noWrap/>
            <w:vAlign w:val="bottom"/>
            <w:hideMark/>
          </w:tcPr>
          <w:p w14:paraId="2F98D2B8" w14:textId="77777777" w:rsidR="00FA18EA" w:rsidRPr="00A02B31" w:rsidRDefault="00FA18EA" w:rsidP="00FA18EA">
            <w:pPr>
              <w:jc w:val="right"/>
              <w:outlineLvl w:val="0"/>
              <w:rPr>
                <w:rFonts w:eastAsia="Times New Roman" w:cstheme="minorHAnsi"/>
                <w:sz w:val="16"/>
                <w:szCs w:val="16"/>
                <w:lang w:eastAsia="en-GB"/>
              </w:rPr>
            </w:pPr>
            <w:r w:rsidRPr="00A02B31">
              <w:rPr>
                <w:rFonts w:eastAsia="Times New Roman" w:cstheme="minorHAnsi"/>
                <w:sz w:val="16"/>
                <w:szCs w:val="16"/>
                <w:lang w:eastAsia="en-GB"/>
              </w:rPr>
              <w:t>Year ended</w:t>
            </w:r>
          </w:p>
        </w:tc>
      </w:tr>
      <w:tr w:rsidR="00FA18EA" w:rsidRPr="007600A7" w14:paraId="73337F56" w14:textId="77777777" w:rsidTr="00FA18EA">
        <w:trPr>
          <w:trHeight w:val="222"/>
        </w:trPr>
        <w:tc>
          <w:tcPr>
            <w:tcW w:w="6998" w:type="dxa"/>
            <w:tcBorders>
              <w:top w:val="nil"/>
              <w:left w:val="nil"/>
              <w:bottom w:val="nil"/>
              <w:right w:val="nil"/>
            </w:tcBorders>
            <w:shd w:val="clear" w:color="auto" w:fill="auto"/>
            <w:noWrap/>
            <w:vAlign w:val="bottom"/>
            <w:hideMark/>
          </w:tcPr>
          <w:p w14:paraId="598EC19D" w14:textId="77777777" w:rsidR="00FA18EA" w:rsidRPr="008B2DDA" w:rsidRDefault="00FA18EA" w:rsidP="00FA18EA">
            <w:pPr>
              <w:outlineLvl w:val="0"/>
              <w:rPr>
                <w:rFonts w:eastAsia="Times New Roman" w:cstheme="minorHAnsi"/>
                <w:lang w:eastAsia="en-GB"/>
              </w:rPr>
            </w:pPr>
          </w:p>
        </w:tc>
        <w:tc>
          <w:tcPr>
            <w:tcW w:w="1359" w:type="dxa"/>
            <w:tcBorders>
              <w:top w:val="nil"/>
              <w:left w:val="nil"/>
              <w:bottom w:val="nil"/>
              <w:right w:val="nil"/>
            </w:tcBorders>
            <w:shd w:val="clear" w:color="auto" w:fill="auto"/>
            <w:noWrap/>
            <w:vAlign w:val="bottom"/>
            <w:hideMark/>
          </w:tcPr>
          <w:p w14:paraId="54A696D3" w14:textId="77777777" w:rsidR="00FA18EA" w:rsidRPr="0091098D" w:rsidRDefault="00FA18EA" w:rsidP="00FA18EA">
            <w:pPr>
              <w:jc w:val="right"/>
              <w:outlineLvl w:val="0"/>
              <w:rPr>
                <w:rFonts w:eastAsia="Times New Roman" w:cstheme="minorHAnsi"/>
                <w:b/>
                <w:bCs/>
                <w:sz w:val="16"/>
                <w:szCs w:val="16"/>
                <w:lang w:eastAsia="en-GB"/>
              </w:rPr>
            </w:pPr>
            <w:r w:rsidRPr="000C5053">
              <w:rPr>
                <w:rFonts w:eastAsia="Times New Roman" w:cstheme="minorHAnsi"/>
                <w:b/>
                <w:bCs/>
                <w:sz w:val="16"/>
                <w:szCs w:val="16"/>
                <w:lang w:eastAsia="en-GB"/>
              </w:rPr>
              <w:t>31 March 2022</w:t>
            </w:r>
          </w:p>
        </w:tc>
        <w:tc>
          <w:tcPr>
            <w:tcW w:w="1281" w:type="dxa"/>
            <w:tcBorders>
              <w:top w:val="nil"/>
              <w:left w:val="nil"/>
              <w:bottom w:val="nil"/>
              <w:right w:val="nil"/>
            </w:tcBorders>
            <w:shd w:val="clear" w:color="auto" w:fill="auto"/>
            <w:noWrap/>
            <w:vAlign w:val="bottom"/>
            <w:hideMark/>
          </w:tcPr>
          <w:p w14:paraId="15F500FC" w14:textId="77777777" w:rsidR="00FA18EA" w:rsidRPr="0075195E" w:rsidRDefault="00FA18EA" w:rsidP="00FA18EA">
            <w:pPr>
              <w:jc w:val="right"/>
              <w:outlineLvl w:val="0"/>
              <w:rPr>
                <w:rFonts w:eastAsia="Times New Roman" w:cstheme="minorHAnsi"/>
                <w:sz w:val="16"/>
                <w:szCs w:val="16"/>
                <w:lang w:eastAsia="en-GB"/>
              </w:rPr>
            </w:pPr>
            <w:r w:rsidRPr="0075195E">
              <w:rPr>
                <w:rFonts w:eastAsia="Times New Roman" w:cstheme="minorHAnsi"/>
                <w:sz w:val="16"/>
                <w:szCs w:val="16"/>
                <w:lang w:eastAsia="en-GB"/>
              </w:rPr>
              <w:t>31 March 2021</w:t>
            </w:r>
          </w:p>
        </w:tc>
      </w:tr>
      <w:tr w:rsidR="00FA18EA" w:rsidRPr="007600A7" w14:paraId="23FFB073" w14:textId="77777777" w:rsidTr="00FA18EA">
        <w:trPr>
          <w:trHeight w:val="222"/>
        </w:trPr>
        <w:tc>
          <w:tcPr>
            <w:tcW w:w="6998" w:type="dxa"/>
            <w:tcBorders>
              <w:top w:val="nil"/>
              <w:left w:val="nil"/>
              <w:bottom w:val="single" w:sz="4" w:space="0" w:color="auto"/>
              <w:right w:val="nil"/>
            </w:tcBorders>
            <w:shd w:val="clear" w:color="auto" w:fill="auto"/>
            <w:noWrap/>
            <w:vAlign w:val="bottom"/>
            <w:hideMark/>
          </w:tcPr>
          <w:p w14:paraId="19A90480" w14:textId="77777777" w:rsidR="00FA18EA" w:rsidRPr="008B2DDA" w:rsidRDefault="00FA18EA" w:rsidP="00FA18EA">
            <w:pPr>
              <w:outlineLvl w:val="0"/>
              <w:rPr>
                <w:rFonts w:eastAsia="Times New Roman" w:cstheme="minorHAnsi"/>
                <w:lang w:eastAsia="en-GB"/>
              </w:rPr>
            </w:pPr>
            <w:r w:rsidRPr="008B2DDA">
              <w:rPr>
                <w:rFonts w:eastAsia="Times New Roman" w:cstheme="minorHAnsi"/>
                <w:lang w:eastAsia="en-GB"/>
              </w:rPr>
              <w:t> </w:t>
            </w:r>
          </w:p>
        </w:tc>
        <w:tc>
          <w:tcPr>
            <w:tcW w:w="1359" w:type="dxa"/>
            <w:tcBorders>
              <w:top w:val="nil"/>
              <w:left w:val="nil"/>
              <w:bottom w:val="single" w:sz="4" w:space="0" w:color="auto"/>
              <w:right w:val="nil"/>
            </w:tcBorders>
            <w:shd w:val="clear" w:color="auto" w:fill="auto"/>
            <w:noWrap/>
            <w:vAlign w:val="bottom"/>
            <w:hideMark/>
          </w:tcPr>
          <w:p w14:paraId="041E5887" w14:textId="77777777" w:rsidR="00FA18EA" w:rsidRPr="0091098D" w:rsidRDefault="00FA18EA" w:rsidP="00FA18EA">
            <w:pPr>
              <w:jc w:val="right"/>
              <w:outlineLvl w:val="0"/>
              <w:rPr>
                <w:rFonts w:eastAsia="Times New Roman" w:cstheme="minorHAnsi"/>
                <w:b/>
                <w:bCs/>
                <w:sz w:val="16"/>
                <w:szCs w:val="16"/>
                <w:lang w:eastAsia="en-GB"/>
              </w:rPr>
            </w:pPr>
            <w:r w:rsidRPr="000C5053">
              <w:rPr>
                <w:rFonts w:eastAsia="Times New Roman" w:cstheme="minorHAnsi"/>
                <w:b/>
                <w:bCs/>
                <w:sz w:val="16"/>
                <w:szCs w:val="16"/>
                <w:lang w:eastAsia="en-GB"/>
              </w:rPr>
              <w:t>£'000</w:t>
            </w:r>
          </w:p>
        </w:tc>
        <w:tc>
          <w:tcPr>
            <w:tcW w:w="1281" w:type="dxa"/>
            <w:tcBorders>
              <w:top w:val="nil"/>
              <w:left w:val="nil"/>
              <w:bottom w:val="single" w:sz="4" w:space="0" w:color="auto"/>
              <w:right w:val="nil"/>
            </w:tcBorders>
            <w:shd w:val="clear" w:color="auto" w:fill="auto"/>
            <w:noWrap/>
            <w:vAlign w:val="bottom"/>
            <w:hideMark/>
          </w:tcPr>
          <w:p w14:paraId="1B36E519" w14:textId="77777777" w:rsidR="00FA18EA" w:rsidRPr="0075195E" w:rsidRDefault="00FA18EA" w:rsidP="00FA18EA">
            <w:pPr>
              <w:jc w:val="right"/>
              <w:outlineLvl w:val="0"/>
              <w:rPr>
                <w:rFonts w:eastAsia="Times New Roman" w:cstheme="minorHAnsi"/>
                <w:sz w:val="16"/>
                <w:szCs w:val="16"/>
                <w:lang w:eastAsia="en-GB"/>
              </w:rPr>
            </w:pPr>
            <w:r w:rsidRPr="0075195E">
              <w:rPr>
                <w:rFonts w:eastAsia="Times New Roman" w:cstheme="minorHAnsi"/>
                <w:sz w:val="16"/>
                <w:szCs w:val="16"/>
                <w:lang w:eastAsia="en-GB"/>
              </w:rPr>
              <w:t>£'000</w:t>
            </w:r>
          </w:p>
        </w:tc>
      </w:tr>
      <w:tr w:rsidR="00FA18EA" w:rsidRPr="007600A7" w14:paraId="744812E9" w14:textId="77777777" w:rsidTr="00FA18EA">
        <w:trPr>
          <w:trHeight w:val="255"/>
        </w:trPr>
        <w:tc>
          <w:tcPr>
            <w:tcW w:w="6998" w:type="dxa"/>
            <w:tcBorders>
              <w:top w:val="nil"/>
              <w:left w:val="nil"/>
              <w:bottom w:val="nil"/>
              <w:right w:val="nil"/>
            </w:tcBorders>
            <w:shd w:val="clear" w:color="auto" w:fill="auto"/>
            <w:noWrap/>
            <w:vAlign w:val="bottom"/>
            <w:hideMark/>
          </w:tcPr>
          <w:p w14:paraId="2320E061" w14:textId="77777777" w:rsidR="00FA18EA" w:rsidRPr="008B2DDA" w:rsidRDefault="00FA18EA" w:rsidP="00FA18EA">
            <w:pPr>
              <w:outlineLvl w:val="0"/>
              <w:rPr>
                <w:rFonts w:eastAsia="Times New Roman" w:cstheme="minorHAnsi"/>
                <w:b/>
                <w:bCs/>
                <w:sz w:val="18"/>
                <w:szCs w:val="18"/>
                <w:lang w:eastAsia="en-GB"/>
              </w:rPr>
            </w:pPr>
            <w:r w:rsidRPr="008B2DDA">
              <w:rPr>
                <w:rFonts w:eastAsia="Times New Roman" w:cstheme="minorHAnsi"/>
                <w:b/>
                <w:bCs/>
                <w:sz w:val="18"/>
                <w:szCs w:val="18"/>
                <w:lang w:eastAsia="en-GB"/>
              </w:rPr>
              <w:t xml:space="preserve">Earnings </w:t>
            </w:r>
          </w:p>
        </w:tc>
        <w:tc>
          <w:tcPr>
            <w:tcW w:w="1359" w:type="dxa"/>
            <w:tcBorders>
              <w:top w:val="nil"/>
              <w:left w:val="nil"/>
              <w:bottom w:val="nil"/>
              <w:right w:val="nil"/>
            </w:tcBorders>
            <w:shd w:val="clear" w:color="auto" w:fill="auto"/>
            <w:noWrap/>
            <w:vAlign w:val="bottom"/>
            <w:hideMark/>
          </w:tcPr>
          <w:p w14:paraId="3F4CB058" w14:textId="77777777" w:rsidR="00FA18EA" w:rsidRPr="000C5053" w:rsidRDefault="00FA18EA" w:rsidP="00FA18EA">
            <w:pPr>
              <w:outlineLvl w:val="0"/>
              <w:rPr>
                <w:rFonts w:eastAsia="Times New Roman" w:cstheme="minorHAnsi"/>
                <w:sz w:val="18"/>
                <w:szCs w:val="18"/>
                <w:lang w:eastAsia="en-GB"/>
              </w:rPr>
            </w:pPr>
          </w:p>
        </w:tc>
        <w:tc>
          <w:tcPr>
            <w:tcW w:w="1281" w:type="dxa"/>
            <w:tcBorders>
              <w:top w:val="nil"/>
              <w:left w:val="nil"/>
              <w:bottom w:val="nil"/>
              <w:right w:val="nil"/>
            </w:tcBorders>
            <w:shd w:val="clear" w:color="auto" w:fill="auto"/>
            <w:noWrap/>
            <w:vAlign w:val="bottom"/>
            <w:hideMark/>
          </w:tcPr>
          <w:p w14:paraId="7C160844" w14:textId="77777777" w:rsidR="00FA18EA" w:rsidRPr="0091098D" w:rsidRDefault="00FA18EA" w:rsidP="00FA18EA">
            <w:pPr>
              <w:outlineLvl w:val="0"/>
              <w:rPr>
                <w:rFonts w:eastAsia="Times New Roman" w:cstheme="minorHAnsi"/>
                <w:sz w:val="18"/>
                <w:szCs w:val="18"/>
                <w:lang w:eastAsia="en-GB"/>
              </w:rPr>
            </w:pPr>
          </w:p>
        </w:tc>
      </w:tr>
      <w:tr w:rsidR="00FA18EA" w:rsidRPr="007600A7" w14:paraId="418568AE" w14:textId="77777777" w:rsidTr="00FA18EA">
        <w:trPr>
          <w:trHeight w:val="270"/>
        </w:trPr>
        <w:tc>
          <w:tcPr>
            <w:tcW w:w="6998" w:type="dxa"/>
            <w:tcBorders>
              <w:top w:val="single" w:sz="4" w:space="0" w:color="auto"/>
              <w:left w:val="nil"/>
              <w:bottom w:val="single" w:sz="8" w:space="0" w:color="auto"/>
              <w:right w:val="nil"/>
            </w:tcBorders>
            <w:shd w:val="clear" w:color="auto" w:fill="auto"/>
            <w:noWrap/>
            <w:vAlign w:val="bottom"/>
            <w:hideMark/>
          </w:tcPr>
          <w:p w14:paraId="0C0A5861" w14:textId="77777777" w:rsidR="00FA18EA" w:rsidRPr="008B2DDA" w:rsidRDefault="00FA18EA" w:rsidP="00FA18EA">
            <w:pPr>
              <w:outlineLvl w:val="0"/>
              <w:rPr>
                <w:rFonts w:eastAsia="Times New Roman" w:cstheme="minorHAnsi"/>
                <w:sz w:val="18"/>
                <w:szCs w:val="18"/>
                <w:lang w:eastAsia="en-GB"/>
              </w:rPr>
            </w:pPr>
            <w:r w:rsidRPr="008B2DDA">
              <w:rPr>
                <w:rFonts w:eastAsia="Times New Roman" w:cstheme="minorHAnsi"/>
                <w:sz w:val="18"/>
                <w:szCs w:val="18"/>
                <w:lang w:eastAsia="en-GB"/>
              </w:rPr>
              <w:t>Profit for the year</w:t>
            </w:r>
          </w:p>
        </w:tc>
        <w:tc>
          <w:tcPr>
            <w:tcW w:w="1359" w:type="dxa"/>
            <w:tcBorders>
              <w:top w:val="single" w:sz="4" w:space="0" w:color="auto"/>
              <w:left w:val="nil"/>
              <w:bottom w:val="single" w:sz="8" w:space="0" w:color="auto"/>
              <w:right w:val="nil"/>
            </w:tcBorders>
            <w:shd w:val="clear" w:color="auto" w:fill="auto"/>
            <w:noWrap/>
            <w:vAlign w:val="bottom"/>
            <w:hideMark/>
          </w:tcPr>
          <w:p w14:paraId="03ED2BBA" w14:textId="77777777" w:rsidR="00FA18EA" w:rsidRPr="0091098D" w:rsidRDefault="00FA18EA" w:rsidP="00FA18EA">
            <w:pPr>
              <w:jc w:val="right"/>
              <w:outlineLvl w:val="0"/>
              <w:rPr>
                <w:rFonts w:eastAsia="Times New Roman" w:cstheme="minorHAnsi"/>
                <w:b/>
                <w:bCs/>
                <w:sz w:val="18"/>
                <w:szCs w:val="18"/>
                <w:lang w:eastAsia="en-GB"/>
              </w:rPr>
            </w:pPr>
            <w:r w:rsidRPr="000C5053">
              <w:rPr>
                <w:rFonts w:eastAsia="Times New Roman" w:cstheme="minorHAnsi"/>
                <w:b/>
                <w:bCs/>
                <w:sz w:val="18"/>
                <w:szCs w:val="18"/>
                <w:lang w:eastAsia="en-GB"/>
              </w:rPr>
              <w:t>13,843</w:t>
            </w:r>
          </w:p>
        </w:tc>
        <w:tc>
          <w:tcPr>
            <w:tcW w:w="1281" w:type="dxa"/>
            <w:tcBorders>
              <w:top w:val="single" w:sz="4" w:space="0" w:color="auto"/>
              <w:left w:val="nil"/>
              <w:bottom w:val="single" w:sz="8" w:space="0" w:color="auto"/>
              <w:right w:val="nil"/>
            </w:tcBorders>
            <w:shd w:val="clear" w:color="auto" w:fill="auto"/>
            <w:noWrap/>
            <w:vAlign w:val="bottom"/>
            <w:hideMark/>
          </w:tcPr>
          <w:p w14:paraId="3CB331AC" w14:textId="77777777" w:rsidR="00FA18EA" w:rsidRPr="0075195E" w:rsidRDefault="00FA18EA" w:rsidP="00FA18EA">
            <w:pPr>
              <w:jc w:val="right"/>
              <w:outlineLvl w:val="0"/>
              <w:rPr>
                <w:rFonts w:eastAsia="Times New Roman" w:cstheme="minorHAnsi"/>
                <w:sz w:val="18"/>
                <w:szCs w:val="18"/>
                <w:lang w:eastAsia="en-GB"/>
              </w:rPr>
            </w:pPr>
            <w:r w:rsidRPr="0075195E">
              <w:rPr>
                <w:rFonts w:eastAsia="Times New Roman" w:cstheme="minorHAnsi"/>
                <w:bCs/>
                <w:sz w:val="18"/>
                <w:szCs w:val="18"/>
                <w:lang w:eastAsia="en-GB"/>
              </w:rPr>
              <w:t>16,612</w:t>
            </w:r>
          </w:p>
        </w:tc>
      </w:tr>
      <w:tr w:rsidR="00FA18EA" w:rsidRPr="007600A7" w14:paraId="4E2ACB95" w14:textId="77777777" w:rsidTr="00FA18EA">
        <w:trPr>
          <w:trHeight w:val="126"/>
        </w:trPr>
        <w:tc>
          <w:tcPr>
            <w:tcW w:w="6998" w:type="dxa"/>
            <w:tcBorders>
              <w:top w:val="nil"/>
              <w:left w:val="nil"/>
              <w:bottom w:val="nil"/>
              <w:right w:val="nil"/>
            </w:tcBorders>
            <w:shd w:val="clear" w:color="auto" w:fill="auto"/>
            <w:noWrap/>
            <w:vAlign w:val="bottom"/>
            <w:hideMark/>
          </w:tcPr>
          <w:p w14:paraId="360DA2D8" w14:textId="77777777" w:rsidR="00FA18EA" w:rsidRPr="008B2DDA" w:rsidRDefault="00FA18EA" w:rsidP="00FA18EA">
            <w:pPr>
              <w:outlineLvl w:val="0"/>
              <w:rPr>
                <w:rFonts w:eastAsia="Times New Roman" w:cstheme="minorHAnsi"/>
                <w:sz w:val="18"/>
                <w:szCs w:val="18"/>
                <w:lang w:eastAsia="en-GB"/>
              </w:rPr>
            </w:pPr>
          </w:p>
        </w:tc>
        <w:tc>
          <w:tcPr>
            <w:tcW w:w="1359" w:type="dxa"/>
            <w:tcBorders>
              <w:top w:val="nil"/>
              <w:left w:val="nil"/>
              <w:bottom w:val="nil"/>
              <w:right w:val="nil"/>
            </w:tcBorders>
            <w:shd w:val="clear" w:color="auto" w:fill="auto"/>
            <w:noWrap/>
            <w:vAlign w:val="bottom"/>
            <w:hideMark/>
          </w:tcPr>
          <w:p w14:paraId="442D04D2" w14:textId="77777777" w:rsidR="00FA18EA" w:rsidRPr="000C5053" w:rsidRDefault="00FA18EA" w:rsidP="00FA18EA">
            <w:pPr>
              <w:jc w:val="right"/>
              <w:outlineLvl w:val="0"/>
              <w:rPr>
                <w:rFonts w:eastAsia="Times New Roman" w:cstheme="minorHAnsi"/>
                <w:b/>
                <w:bCs/>
                <w:sz w:val="18"/>
                <w:szCs w:val="18"/>
                <w:lang w:eastAsia="en-GB"/>
              </w:rPr>
            </w:pPr>
          </w:p>
        </w:tc>
        <w:tc>
          <w:tcPr>
            <w:tcW w:w="1281" w:type="dxa"/>
            <w:tcBorders>
              <w:top w:val="nil"/>
              <w:left w:val="nil"/>
              <w:bottom w:val="nil"/>
              <w:right w:val="nil"/>
            </w:tcBorders>
            <w:shd w:val="clear" w:color="auto" w:fill="auto"/>
            <w:noWrap/>
            <w:vAlign w:val="bottom"/>
            <w:hideMark/>
          </w:tcPr>
          <w:p w14:paraId="0E1EC9A7" w14:textId="77777777" w:rsidR="00FA18EA" w:rsidRPr="0091098D" w:rsidRDefault="00FA18EA" w:rsidP="00FA18EA">
            <w:pPr>
              <w:jc w:val="right"/>
              <w:outlineLvl w:val="0"/>
              <w:rPr>
                <w:rFonts w:eastAsia="Times New Roman" w:cstheme="minorHAnsi"/>
                <w:sz w:val="18"/>
                <w:szCs w:val="18"/>
                <w:lang w:eastAsia="en-GB"/>
              </w:rPr>
            </w:pPr>
          </w:p>
        </w:tc>
      </w:tr>
      <w:tr w:rsidR="00FA18EA" w:rsidRPr="007600A7" w14:paraId="5F8DE628" w14:textId="77777777" w:rsidTr="00FA18EA">
        <w:trPr>
          <w:trHeight w:val="255"/>
        </w:trPr>
        <w:tc>
          <w:tcPr>
            <w:tcW w:w="6998" w:type="dxa"/>
            <w:tcBorders>
              <w:top w:val="nil"/>
              <w:left w:val="nil"/>
              <w:bottom w:val="nil"/>
              <w:right w:val="nil"/>
            </w:tcBorders>
            <w:shd w:val="clear" w:color="auto" w:fill="auto"/>
            <w:noWrap/>
            <w:vAlign w:val="bottom"/>
            <w:hideMark/>
          </w:tcPr>
          <w:p w14:paraId="5AD0EAA5" w14:textId="77777777" w:rsidR="00FA18EA" w:rsidRPr="008B2DDA" w:rsidRDefault="00FA18EA" w:rsidP="00FA18EA">
            <w:pPr>
              <w:outlineLvl w:val="0"/>
              <w:rPr>
                <w:rFonts w:eastAsia="Times New Roman" w:cstheme="minorHAnsi"/>
                <w:b/>
                <w:bCs/>
                <w:sz w:val="18"/>
                <w:szCs w:val="18"/>
                <w:lang w:eastAsia="en-GB"/>
              </w:rPr>
            </w:pPr>
            <w:r w:rsidRPr="008B2DDA">
              <w:rPr>
                <w:rFonts w:eastAsia="Times New Roman" w:cstheme="minorHAnsi"/>
                <w:b/>
                <w:bCs/>
                <w:sz w:val="18"/>
                <w:szCs w:val="18"/>
                <w:lang w:eastAsia="en-GB"/>
              </w:rPr>
              <w:t>Number of shares ('000)</w:t>
            </w:r>
          </w:p>
        </w:tc>
        <w:tc>
          <w:tcPr>
            <w:tcW w:w="1359" w:type="dxa"/>
            <w:tcBorders>
              <w:top w:val="nil"/>
              <w:left w:val="nil"/>
              <w:bottom w:val="nil"/>
              <w:right w:val="nil"/>
            </w:tcBorders>
            <w:shd w:val="clear" w:color="auto" w:fill="auto"/>
            <w:noWrap/>
            <w:vAlign w:val="bottom"/>
            <w:hideMark/>
          </w:tcPr>
          <w:p w14:paraId="1BC69BC7" w14:textId="77777777" w:rsidR="00FA18EA" w:rsidRPr="000C5053" w:rsidRDefault="00FA18EA" w:rsidP="00FA18EA">
            <w:pPr>
              <w:jc w:val="right"/>
              <w:outlineLvl w:val="0"/>
              <w:rPr>
                <w:rFonts w:eastAsia="Times New Roman" w:cstheme="minorHAnsi"/>
                <w:b/>
                <w:bCs/>
                <w:sz w:val="18"/>
                <w:szCs w:val="18"/>
                <w:lang w:eastAsia="en-GB"/>
              </w:rPr>
            </w:pPr>
          </w:p>
        </w:tc>
        <w:tc>
          <w:tcPr>
            <w:tcW w:w="1281" w:type="dxa"/>
            <w:tcBorders>
              <w:top w:val="nil"/>
              <w:left w:val="nil"/>
              <w:bottom w:val="nil"/>
              <w:right w:val="nil"/>
            </w:tcBorders>
            <w:shd w:val="clear" w:color="auto" w:fill="auto"/>
            <w:noWrap/>
            <w:vAlign w:val="bottom"/>
            <w:hideMark/>
          </w:tcPr>
          <w:p w14:paraId="2D52E0FC" w14:textId="77777777" w:rsidR="00FA18EA" w:rsidRPr="0091098D" w:rsidRDefault="00FA18EA" w:rsidP="00FA18EA">
            <w:pPr>
              <w:jc w:val="right"/>
              <w:outlineLvl w:val="0"/>
              <w:rPr>
                <w:rFonts w:eastAsia="Times New Roman" w:cstheme="minorHAnsi"/>
                <w:sz w:val="18"/>
                <w:szCs w:val="18"/>
                <w:lang w:eastAsia="en-GB"/>
              </w:rPr>
            </w:pPr>
          </w:p>
        </w:tc>
      </w:tr>
      <w:tr w:rsidR="00FA18EA" w:rsidRPr="007600A7" w14:paraId="634E3522" w14:textId="77777777" w:rsidTr="00FA18EA">
        <w:trPr>
          <w:trHeight w:val="213"/>
        </w:trPr>
        <w:tc>
          <w:tcPr>
            <w:tcW w:w="6998" w:type="dxa"/>
            <w:tcBorders>
              <w:top w:val="single" w:sz="4" w:space="0" w:color="auto"/>
              <w:left w:val="nil"/>
              <w:bottom w:val="single" w:sz="8" w:space="0" w:color="auto"/>
              <w:right w:val="nil"/>
            </w:tcBorders>
            <w:shd w:val="clear" w:color="auto" w:fill="auto"/>
            <w:noWrap/>
            <w:vAlign w:val="bottom"/>
            <w:hideMark/>
          </w:tcPr>
          <w:p w14:paraId="61C378BA" w14:textId="77777777" w:rsidR="00FA18EA" w:rsidRPr="008B2DDA" w:rsidRDefault="00FA18EA" w:rsidP="00FA18EA">
            <w:pPr>
              <w:outlineLvl w:val="0"/>
              <w:rPr>
                <w:rFonts w:eastAsia="Times New Roman" w:cstheme="minorHAnsi"/>
                <w:sz w:val="18"/>
                <w:szCs w:val="18"/>
                <w:lang w:eastAsia="en-GB"/>
              </w:rPr>
            </w:pPr>
            <w:r w:rsidRPr="008B2DDA">
              <w:rPr>
                <w:rFonts w:eastAsia="Times New Roman" w:cstheme="minorHAnsi"/>
                <w:sz w:val="18"/>
                <w:szCs w:val="18"/>
                <w:lang w:eastAsia="en-GB"/>
              </w:rPr>
              <w:t>Weighted average number of ordinary shares in issue for basic EPS</w:t>
            </w:r>
          </w:p>
        </w:tc>
        <w:tc>
          <w:tcPr>
            <w:tcW w:w="1359" w:type="dxa"/>
            <w:tcBorders>
              <w:top w:val="single" w:sz="4" w:space="0" w:color="auto"/>
              <w:left w:val="nil"/>
              <w:bottom w:val="single" w:sz="8" w:space="0" w:color="auto"/>
              <w:right w:val="nil"/>
            </w:tcBorders>
            <w:shd w:val="clear" w:color="auto" w:fill="auto"/>
            <w:noWrap/>
            <w:vAlign w:val="bottom"/>
            <w:hideMark/>
          </w:tcPr>
          <w:p w14:paraId="22FB5C80" w14:textId="77777777" w:rsidR="00FA18EA" w:rsidRPr="0091098D" w:rsidRDefault="00FA18EA" w:rsidP="00FA18EA">
            <w:pPr>
              <w:jc w:val="right"/>
              <w:outlineLvl w:val="0"/>
              <w:rPr>
                <w:rFonts w:eastAsia="Times New Roman" w:cstheme="minorHAnsi"/>
                <w:b/>
                <w:bCs/>
                <w:color w:val="000000"/>
                <w:sz w:val="18"/>
                <w:szCs w:val="18"/>
                <w:lang w:eastAsia="en-GB"/>
              </w:rPr>
            </w:pPr>
            <w:r w:rsidRPr="000C5053">
              <w:rPr>
                <w:rFonts w:eastAsia="Times New Roman" w:cstheme="minorHAnsi"/>
                <w:b/>
                <w:bCs/>
                <w:color w:val="000000"/>
                <w:sz w:val="18"/>
                <w:szCs w:val="18"/>
                <w:lang w:eastAsia="en-GB"/>
              </w:rPr>
              <w:t xml:space="preserve">                  3,229</w:t>
            </w:r>
          </w:p>
        </w:tc>
        <w:tc>
          <w:tcPr>
            <w:tcW w:w="1281" w:type="dxa"/>
            <w:tcBorders>
              <w:top w:val="single" w:sz="4" w:space="0" w:color="auto"/>
              <w:left w:val="nil"/>
              <w:bottom w:val="single" w:sz="8" w:space="0" w:color="auto"/>
              <w:right w:val="nil"/>
            </w:tcBorders>
            <w:shd w:val="clear" w:color="auto" w:fill="auto"/>
            <w:noWrap/>
            <w:vAlign w:val="bottom"/>
            <w:hideMark/>
          </w:tcPr>
          <w:p w14:paraId="201867AE" w14:textId="77777777" w:rsidR="00FA18EA" w:rsidRPr="0075195E" w:rsidRDefault="00FA18EA" w:rsidP="00FA18EA">
            <w:pPr>
              <w:jc w:val="right"/>
              <w:outlineLvl w:val="0"/>
              <w:rPr>
                <w:rFonts w:eastAsia="Times New Roman" w:cstheme="minorHAnsi"/>
                <w:color w:val="000000"/>
                <w:sz w:val="18"/>
                <w:szCs w:val="18"/>
                <w:lang w:eastAsia="en-GB"/>
              </w:rPr>
            </w:pPr>
            <w:r w:rsidRPr="0075195E">
              <w:rPr>
                <w:rFonts w:eastAsia="Times New Roman" w:cstheme="minorHAnsi"/>
                <w:bCs/>
                <w:color w:val="000000"/>
                <w:sz w:val="18"/>
                <w:szCs w:val="18"/>
                <w:lang w:eastAsia="en-GB"/>
              </w:rPr>
              <w:t xml:space="preserve">                  3,481</w:t>
            </w:r>
          </w:p>
        </w:tc>
      </w:tr>
      <w:tr w:rsidR="00FA18EA" w:rsidRPr="007600A7" w14:paraId="680F625B" w14:textId="77777777" w:rsidTr="00FA18EA">
        <w:trPr>
          <w:trHeight w:val="421"/>
        </w:trPr>
        <w:tc>
          <w:tcPr>
            <w:tcW w:w="6998" w:type="dxa"/>
            <w:tcBorders>
              <w:top w:val="nil"/>
              <w:left w:val="nil"/>
              <w:bottom w:val="single" w:sz="8" w:space="0" w:color="auto"/>
              <w:right w:val="nil"/>
            </w:tcBorders>
            <w:shd w:val="clear" w:color="auto" w:fill="auto"/>
            <w:noWrap/>
            <w:vAlign w:val="bottom"/>
            <w:hideMark/>
          </w:tcPr>
          <w:p w14:paraId="4A5938A9" w14:textId="77777777" w:rsidR="00FA18EA" w:rsidRPr="008B2DDA" w:rsidRDefault="00FA18EA" w:rsidP="00FA18EA">
            <w:pPr>
              <w:outlineLvl w:val="0"/>
              <w:rPr>
                <w:rFonts w:eastAsia="Times New Roman" w:cstheme="minorHAnsi"/>
                <w:sz w:val="18"/>
                <w:szCs w:val="18"/>
                <w:lang w:eastAsia="en-GB"/>
              </w:rPr>
            </w:pPr>
            <w:r w:rsidRPr="008B2DDA">
              <w:rPr>
                <w:rFonts w:eastAsia="Times New Roman" w:cstheme="minorHAnsi"/>
                <w:sz w:val="18"/>
                <w:szCs w:val="18"/>
                <w:lang w:eastAsia="en-GB"/>
              </w:rPr>
              <w:t>Weighted average number of ordinary shares in issue for diluted EPS</w:t>
            </w:r>
          </w:p>
        </w:tc>
        <w:tc>
          <w:tcPr>
            <w:tcW w:w="1359" w:type="dxa"/>
            <w:tcBorders>
              <w:top w:val="nil"/>
              <w:left w:val="nil"/>
              <w:bottom w:val="single" w:sz="8" w:space="0" w:color="auto"/>
              <w:right w:val="nil"/>
            </w:tcBorders>
            <w:shd w:val="clear" w:color="auto" w:fill="auto"/>
            <w:noWrap/>
            <w:vAlign w:val="bottom"/>
            <w:hideMark/>
          </w:tcPr>
          <w:p w14:paraId="5BDF8708" w14:textId="77777777" w:rsidR="00FA18EA" w:rsidRPr="0091098D" w:rsidRDefault="00FA18EA" w:rsidP="00FA18EA">
            <w:pPr>
              <w:jc w:val="right"/>
              <w:outlineLvl w:val="0"/>
              <w:rPr>
                <w:rFonts w:eastAsia="Times New Roman" w:cstheme="minorHAnsi"/>
                <w:b/>
                <w:bCs/>
                <w:color w:val="000000"/>
                <w:sz w:val="18"/>
                <w:szCs w:val="18"/>
                <w:lang w:eastAsia="en-GB"/>
              </w:rPr>
            </w:pPr>
            <w:r w:rsidRPr="000C5053">
              <w:rPr>
                <w:rFonts w:eastAsia="Times New Roman" w:cstheme="minorHAnsi"/>
                <w:b/>
                <w:bCs/>
                <w:color w:val="000000"/>
                <w:sz w:val="18"/>
                <w:szCs w:val="18"/>
                <w:lang w:eastAsia="en-GB"/>
              </w:rPr>
              <w:t xml:space="preserve">                 3,229 </w:t>
            </w:r>
          </w:p>
        </w:tc>
        <w:tc>
          <w:tcPr>
            <w:tcW w:w="1281" w:type="dxa"/>
            <w:tcBorders>
              <w:top w:val="nil"/>
              <w:left w:val="nil"/>
              <w:bottom w:val="single" w:sz="8" w:space="0" w:color="auto"/>
              <w:right w:val="nil"/>
            </w:tcBorders>
            <w:shd w:val="clear" w:color="auto" w:fill="auto"/>
            <w:noWrap/>
            <w:vAlign w:val="bottom"/>
            <w:hideMark/>
          </w:tcPr>
          <w:p w14:paraId="294C1D5E" w14:textId="77777777" w:rsidR="00FA18EA" w:rsidRPr="00A02B31" w:rsidRDefault="00FA18EA" w:rsidP="00FA18EA">
            <w:pPr>
              <w:jc w:val="right"/>
              <w:outlineLvl w:val="0"/>
              <w:rPr>
                <w:rFonts w:eastAsia="Times New Roman" w:cstheme="minorHAnsi"/>
                <w:color w:val="000000"/>
                <w:sz w:val="18"/>
                <w:szCs w:val="18"/>
                <w:lang w:eastAsia="en-GB"/>
              </w:rPr>
            </w:pPr>
            <w:r w:rsidRPr="0075195E">
              <w:rPr>
                <w:rFonts w:eastAsia="Times New Roman" w:cstheme="minorHAnsi"/>
                <w:bCs/>
                <w:color w:val="000000"/>
                <w:sz w:val="18"/>
                <w:szCs w:val="18"/>
                <w:lang w:eastAsia="en-GB"/>
              </w:rPr>
              <w:t xml:space="preserve">                 </w:t>
            </w:r>
            <w:r w:rsidRPr="00536A35">
              <w:rPr>
                <w:rFonts w:eastAsia="Times New Roman" w:cstheme="minorHAnsi"/>
                <w:bCs/>
                <w:color w:val="000000"/>
                <w:sz w:val="18"/>
                <w:szCs w:val="18"/>
                <w:lang w:eastAsia="en-GB"/>
              </w:rPr>
              <w:t xml:space="preserve">3,481 </w:t>
            </w:r>
          </w:p>
        </w:tc>
      </w:tr>
      <w:tr w:rsidR="00FA18EA" w:rsidRPr="007600A7" w14:paraId="5305CED0" w14:textId="77777777" w:rsidTr="00FA18EA">
        <w:trPr>
          <w:trHeight w:val="181"/>
        </w:trPr>
        <w:tc>
          <w:tcPr>
            <w:tcW w:w="6998" w:type="dxa"/>
            <w:tcBorders>
              <w:top w:val="nil"/>
              <w:left w:val="nil"/>
              <w:bottom w:val="single" w:sz="8" w:space="0" w:color="auto"/>
              <w:right w:val="nil"/>
            </w:tcBorders>
            <w:shd w:val="clear" w:color="auto" w:fill="auto"/>
            <w:noWrap/>
            <w:vAlign w:val="bottom"/>
          </w:tcPr>
          <w:p w14:paraId="313D3AA4" w14:textId="77777777" w:rsidR="00FA18EA" w:rsidRPr="008B2DDA" w:rsidRDefault="00FA18EA" w:rsidP="00FA18EA">
            <w:pPr>
              <w:outlineLvl w:val="0"/>
              <w:rPr>
                <w:rFonts w:eastAsia="Times New Roman" w:cstheme="minorHAnsi"/>
                <w:sz w:val="18"/>
                <w:szCs w:val="18"/>
                <w:lang w:eastAsia="en-GB"/>
              </w:rPr>
            </w:pPr>
          </w:p>
        </w:tc>
        <w:tc>
          <w:tcPr>
            <w:tcW w:w="1359" w:type="dxa"/>
            <w:tcBorders>
              <w:top w:val="nil"/>
              <w:left w:val="nil"/>
              <w:bottom w:val="single" w:sz="8" w:space="0" w:color="auto"/>
              <w:right w:val="nil"/>
            </w:tcBorders>
            <w:shd w:val="clear" w:color="auto" w:fill="auto"/>
            <w:noWrap/>
            <w:vAlign w:val="bottom"/>
          </w:tcPr>
          <w:p w14:paraId="14FF698B" w14:textId="77777777" w:rsidR="00FA18EA" w:rsidRPr="000C5053" w:rsidRDefault="00FA18EA" w:rsidP="00FA18EA">
            <w:pPr>
              <w:jc w:val="right"/>
              <w:outlineLvl w:val="0"/>
              <w:rPr>
                <w:rFonts w:eastAsia="Times New Roman" w:cstheme="minorHAnsi"/>
                <w:b/>
                <w:bCs/>
                <w:color w:val="000000"/>
                <w:sz w:val="18"/>
                <w:szCs w:val="18"/>
                <w:lang w:eastAsia="en-GB"/>
              </w:rPr>
            </w:pPr>
          </w:p>
        </w:tc>
        <w:tc>
          <w:tcPr>
            <w:tcW w:w="1281" w:type="dxa"/>
            <w:tcBorders>
              <w:top w:val="nil"/>
              <w:left w:val="nil"/>
              <w:bottom w:val="single" w:sz="8" w:space="0" w:color="auto"/>
              <w:right w:val="nil"/>
            </w:tcBorders>
            <w:shd w:val="clear" w:color="auto" w:fill="auto"/>
            <w:noWrap/>
            <w:vAlign w:val="bottom"/>
          </w:tcPr>
          <w:p w14:paraId="2580A34F" w14:textId="77777777" w:rsidR="00FA18EA" w:rsidRPr="0091098D" w:rsidRDefault="00FA18EA" w:rsidP="00FA18EA">
            <w:pPr>
              <w:jc w:val="right"/>
              <w:outlineLvl w:val="0"/>
              <w:rPr>
                <w:rFonts w:eastAsia="Times New Roman" w:cstheme="minorHAnsi"/>
                <w:color w:val="000000"/>
                <w:sz w:val="18"/>
                <w:szCs w:val="18"/>
                <w:lang w:eastAsia="en-GB"/>
              </w:rPr>
            </w:pPr>
          </w:p>
        </w:tc>
      </w:tr>
      <w:tr w:rsidR="00FA18EA" w:rsidRPr="007600A7" w14:paraId="63393C97" w14:textId="77777777" w:rsidTr="00FA18EA">
        <w:trPr>
          <w:trHeight w:val="145"/>
        </w:trPr>
        <w:tc>
          <w:tcPr>
            <w:tcW w:w="6998" w:type="dxa"/>
            <w:tcBorders>
              <w:top w:val="nil"/>
              <w:left w:val="nil"/>
              <w:bottom w:val="nil"/>
              <w:right w:val="nil"/>
            </w:tcBorders>
            <w:shd w:val="clear" w:color="auto" w:fill="auto"/>
            <w:noWrap/>
            <w:vAlign w:val="bottom"/>
          </w:tcPr>
          <w:p w14:paraId="20DBD57C" w14:textId="77777777" w:rsidR="00FA18EA" w:rsidRPr="008B2DDA" w:rsidRDefault="00FA18EA" w:rsidP="00FA18EA">
            <w:pPr>
              <w:outlineLvl w:val="0"/>
              <w:rPr>
                <w:rFonts w:eastAsia="Times New Roman" w:cstheme="minorHAnsi"/>
                <w:sz w:val="18"/>
                <w:szCs w:val="18"/>
                <w:lang w:eastAsia="en-GB"/>
              </w:rPr>
            </w:pPr>
          </w:p>
        </w:tc>
        <w:tc>
          <w:tcPr>
            <w:tcW w:w="1359" w:type="dxa"/>
            <w:tcBorders>
              <w:top w:val="nil"/>
              <w:left w:val="nil"/>
              <w:bottom w:val="nil"/>
              <w:right w:val="nil"/>
            </w:tcBorders>
            <w:shd w:val="clear" w:color="auto" w:fill="auto"/>
            <w:noWrap/>
            <w:vAlign w:val="bottom"/>
            <w:hideMark/>
          </w:tcPr>
          <w:p w14:paraId="2C99BA4F" w14:textId="77777777" w:rsidR="00FA18EA" w:rsidRPr="000C5053" w:rsidRDefault="00FA18EA" w:rsidP="00FA18EA">
            <w:pPr>
              <w:jc w:val="right"/>
              <w:outlineLvl w:val="0"/>
              <w:rPr>
                <w:rFonts w:eastAsia="Times New Roman" w:cstheme="minorHAnsi"/>
                <w:b/>
                <w:bCs/>
                <w:color w:val="FF0000"/>
                <w:sz w:val="18"/>
                <w:szCs w:val="18"/>
                <w:lang w:eastAsia="en-GB"/>
              </w:rPr>
            </w:pPr>
          </w:p>
        </w:tc>
        <w:tc>
          <w:tcPr>
            <w:tcW w:w="1281" w:type="dxa"/>
            <w:tcBorders>
              <w:top w:val="nil"/>
              <w:left w:val="nil"/>
              <w:bottom w:val="nil"/>
              <w:right w:val="nil"/>
            </w:tcBorders>
            <w:shd w:val="clear" w:color="auto" w:fill="auto"/>
            <w:noWrap/>
            <w:vAlign w:val="bottom"/>
            <w:hideMark/>
          </w:tcPr>
          <w:p w14:paraId="208D2E63" w14:textId="77777777" w:rsidR="00FA18EA" w:rsidRPr="0091098D" w:rsidRDefault="00FA18EA" w:rsidP="00FA18EA">
            <w:pPr>
              <w:jc w:val="right"/>
              <w:outlineLvl w:val="0"/>
              <w:rPr>
                <w:rFonts w:eastAsia="Times New Roman" w:cstheme="minorHAnsi"/>
                <w:color w:val="FF0000"/>
                <w:sz w:val="18"/>
                <w:szCs w:val="18"/>
                <w:lang w:eastAsia="en-GB"/>
              </w:rPr>
            </w:pPr>
          </w:p>
        </w:tc>
      </w:tr>
      <w:tr w:rsidR="00FA18EA" w:rsidRPr="007600A7" w14:paraId="6D5798ED" w14:textId="77777777" w:rsidTr="00FA18EA">
        <w:tc>
          <w:tcPr>
            <w:tcW w:w="0" w:type="auto"/>
            <w:tcBorders>
              <w:top w:val="nil"/>
              <w:left w:val="nil"/>
              <w:bottom w:val="nil"/>
              <w:right w:val="nil"/>
            </w:tcBorders>
            <w:shd w:val="clear" w:color="auto" w:fill="auto"/>
            <w:noWrap/>
            <w:vAlign w:val="bottom"/>
            <w:hideMark/>
          </w:tcPr>
          <w:p w14:paraId="25D668A4" w14:textId="77777777" w:rsidR="00FA18EA" w:rsidRPr="008B2DDA" w:rsidRDefault="00FA18EA" w:rsidP="00FA18EA">
            <w:pPr>
              <w:outlineLvl w:val="0"/>
              <w:rPr>
                <w:rFonts w:eastAsia="Times New Roman" w:cstheme="minorHAnsi"/>
                <w:b/>
                <w:bCs/>
                <w:sz w:val="18"/>
                <w:szCs w:val="18"/>
                <w:lang w:eastAsia="en-GB"/>
              </w:rPr>
            </w:pPr>
            <w:r w:rsidRPr="008B2DDA">
              <w:rPr>
                <w:rFonts w:eastAsia="Times New Roman" w:cstheme="minorHAnsi"/>
                <w:b/>
                <w:bCs/>
                <w:sz w:val="18"/>
                <w:szCs w:val="18"/>
                <w:lang w:eastAsia="en-GB"/>
              </w:rPr>
              <w:t>Earnings per share</w:t>
            </w:r>
          </w:p>
        </w:tc>
        <w:tc>
          <w:tcPr>
            <w:tcW w:w="1359" w:type="dxa"/>
            <w:tcBorders>
              <w:top w:val="nil"/>
              <w:left w:val="nil"/>
              <w:bottom w:val="nil"/>
              <w:right w:val="nil"/>
            </w:tcBorders>
            <w:shd w:val="clear" w:color="auto" w:fill="auto"/>
            <w:noWrap/>
            <w:vAlign w:val="bottom"/>
            <w:hideMark/>
          </w:tcPr>
          <w:p w14:paraId="2D7911C1" w14:textId="77777777" w:rsidR="00FA18EA" w:rsidRPr="000C5053" w:rsidRDefault="00FA18EA" w:rsidP="00FA18EA">
            <w:pPr>
              <w:jc w:val="right"/>
              <w:outlineLvl w:val="0"/>
              <w:rPr>
                <w:rFonts w:eastAsia="Times New Roman" w:cstheme="minorHAnsi"/>
                <w:b/>
                <w:bCs/>
                <w:sz w:val="18"/>
                <w:szCs w:val="18"/>
                <w:lang w:eastAsia="en-GB"/>
              </w:rPr>
            </w:pPr>
          </w:p>
        </w:tc>
        <w:tc>
          <w:tcPr>
            <w:tcW w:w="1281" w:type="dxa"/>
            <w:tcBorders>
              <w:top w:val="nil"/>
              <w:left w:val="nil"/>
              <w:bottom w:val="nil"/>
              <w:right w:val="nil"/>
            </w:tcBorders>
            <w:shd w:val="clear" w:color="auto" w:fill="auto"/>
            <w:noWrap/>
            <w:vAlign w:val="bottom"/>
            <w:hideMark/>
          </w:tcPr>
          <w:p w14:paraId="18AAD91B" w14:textId="77777777" w:rsidR="00FA18EA" w:rsidRPr="0091098D" w:rsidRDefault="00FA18EA" w:rsidP="00FA18EA">
            <w:pPr>
              <w:jc w:val="right"/>
              <w:outlineLvl w:val="0"/>
              <w:rPr>
                <w:rFonts w:eastAsia="Times New Roman" w:cstheme="minorHAnsi"/>
                <w:sz w:val="18"/>
                <w:szCs w:val="18"/>
                <w:lang w:eastAsia="en-GB"/>
              </w:rPr>
            </w:pPr>
          </w:p>
        </w:tc>
      </w:tr>
      <w:tr w:rsidR="00FA18EA" w:rsidRPr="007600A7" w14:paraId="4211E62C" w14:textId="77777777" w:rsidTr="00FA18EA">
        <w:trPr>
          <w:trHeight w:val="270"/>
        </w:trPr>
        <w:tc>
          <w:tcPr>
            <w:tcW w:w="0" w:type="auto"/>
            <w:tcBorders>
              <w:top w:val="single" w:sz="4" w:space="0" w:color="auto"/>
              <w:left w:val="nil"/>
              <w:bottom w:val="single" w:sz="8" w:space="0" w:color="auto"/>
              <w:right w:val="nil"/>
            </w:tcBorders>
            <w:shd w:val="clear" w:color="auto" w:fill="auto"/>
            <w:noWrap/>
            <w:vAlign w:val="bottom"/>
            <w:hideMark/>
          </w:tcPr>
          <w:p w14:paraId="5492BE2C" w14:textId="77777777" w:rsidR="00FA18EA" w:rsidRPr="008B2DDA" w:rsidRDefault="00FA18EA" w:rsidP="00FA18EA">
            <w:pPr>
              <w:outlineLvl w:val="0"/>
              <w:rPr>
                <w:rFonts w:eastAsia="Times New Roman" w:cstheme="minorHAnsi"/>
                <w:sz w:val="18"/>
                <w:szCs w:val="18"/>
                <w:lang w:eastAsia="en-GB"/>
              </w:rPr>
            </w:pPr>
            <w:r w:rsidRPr="008B2DDA">
              <w:rPr>
                <w:rFonts w:eastAsia="Times New Roman" w:cstheme="minorHAnsi"/>
                <w:sz w:val="18"/>
                <w:szCs w:val="18"/>
                <w:lang w:eastAsia="en-GB"/>
              </w:rPr>
              <w:t>Basic EPS</w:t>
            </w:r>
          </w:p>
        </w:tc>
        <w:tc>
          <w:tcPr>
            <w:tcW w:w="1359" w:type="dxa"/>
            <w:tcBorders>
              <w:top w:val="single" w:sz="4" w:space="0" w:color="auto"/>
              <w:left w:val="nil"/>
              <w:bottom w:val="single" w:sz="8" w:space="0" w:color="auto"/>
              <w:right w:val="nil"/>
            </w:tcBorders>
            <w:shd w:val="clear" w:color="auto" w:fill="auto"/>
            <w:noWrap/>
            <w:vAlign w:val="bottom"/>
            <w:hideMark/>
          </w:tcPr>
          <w:p w14:paraId="1C96846A" w14:textId="77777777" w:rsidR="00FA18EA" w:rsidRPr="0091098D" w:rsidRDefault="00FA18EA" w:rsidP="00FA18EA">
            <w:pPr>
              <w:jc w:val="right"/>
              <w:outlineLvl w:val="0"/>
              <w:rPr>
                <w:rFonts w:eastAsia="Times New Roman" w:cstheme="minorHAnsi"/>
                <w:b/>
                <w:bCs/>
                <w:sz w:val="18"/>
                <w:szCs w:val="18"/>
                <w:lang w:eastAsia="en-GB"/>
              </w:rPr>
            </w:pPr>
            <w:r w:rsidRPr="000C5053">
              <w:rPr>
                <w:rFonts w:eastAsia="Times New Roman" w:cstheme="minorHAnsi"/>
                <w:b/>
                <w:bCs/>
                <w:sz w:val="18"/>
                <w:szCs w:val="18"/>
                <w:lang w:eastAsia="en-GB"/>
              </w:rPr>
              <w:t>428.76p</w:t>
            </w:r>
          </w:p>
        </w:tc>
        <w:tc>
          <w:tcPr>
            <w:tcW w:w="1281" w:type="dxa"/>
            <w:tcBorders>
              <w:top w:val="single" w:sz="4" w:space="0" w:color="auto"/>
              <w:left w:val="nil"/>
              <w:bottom w:val="single" w:sz="8" w:space="0" w:color="auto"/>
              <w:right w:val="nil"/>
            </w:tcBorders>
            <w:shd w:val="clear" w:color="auto" w:fill="auto"/>
            <w:noWrap/>
            <w:vAlign w:val="bottom"/>
            <w:hideMark/>
          </w:tcPr>
          <w:p w14:paraId="55629599" w14:textId="77777777" w:rsidR="00FA18EA" w:rsidRPr="0075195E" w:rsidRDefault="00FA18EA" w:rsidP="00FA18EA">
            <w:pPr>
              <w:jc w:val="right"/>
              <w:outlineLvl w:val="0"/>
              <w:rPr>
                <w:rFonts w:eastAsia="Times New Roman" w:cstheme="minorHAnsi"/>
                <w:sz w:val="18"/>
                <w:szCs w:val="18"/>
                <w:lang w:eastAsia="en-GB"/>
              </w:rPr>
            </w:pPr>
            <w:r w:rsidRPr="0075195E">
              <w:rPr>
                <w:rFonts w:eastAsia="Times New Roman" w:cstheme="minorHAnsi"/>
                <w:bCs/>
                <w:sz w:val="18"/>
                <w:szCs w:val="18"/>
                <w:lang w:eastAsia="en-GB"/>
              </w:rPr>
              <w:t>477.24p</w:t>
            </w:r>
          </w:p>
        </w:tc>
      </w:tr>
      <w:tr w:rsidR="00FA18EA" w:rsidRPr="007600A7" w14:paraId="621D45CC" w14:textId="77777777" w:rsidTr="00FA18EA">
        <w:trPr>
          <w:trHeight w:val="270"/>
        </w:trPr>
        <w:tc>
          <w:tcPr>
            <w:tcW w:w="0" w:type="auto"/>
            <w:tcBorders>
              <w:top w:val="nil"/>
              <w:left w:val="nil"/>
              <w:bottom w:val="single" w:sz="8" w:space="0" w:color="auto"/>
              <w:right w:val="nil"/>
            </w:tcBorders>
            <w:shd w:val="clear" w:color="auto" w:fill="auto"/>
            <w:noWrap/>
            <w:vAlign w:val="bottom"/>
            <w:hideMark/>
          </w:tcPr>
          <w:p w14:paraId="43B80CC9" w14:textId="77777777" w:rsidR="00FA18EA" w:rsidRPr="008B2DDA" w:rsidRDefault="00FA18EA" w:rsidP="00FA18EA">
            <w:pPr>
              <w:outlineLvl w:val="0"/>
              <w:rPr>
                <w:rFonts w:eastAsia="Times New Roman" w:cstheme="minorHAnsi"/>
                <w:sz w:val="18"/>
                <w:szCs w:val="18"/>
                <w:lang w:eastAsia="en-GB"/>
              </w:rPr>
            </w:pPr>
            <w:r w:rsidRPr="008B2DDA">
              <w:rPr>
                <w:rFonts w:eastAsia="Times New Roman" w:cstheme="minorHAnsi"/>
                <w:sz w:val="18"/>
                <w:szCs w:val="18"/>
                <w:lang w:eastAsia="en-GB"/>
              </w:rPr>
              <w:t>Diluted EPS</w:t>
            </w:r>
          </w:p>
        </w:tc>
        <w:tc>
          <w:tcPr>
            <w:tcW w:w="1359" w:type="dxa"/>
            <w:tcBorders>
              <w:top w:val="nil"/>
              <w:left w:val="nil"/>
              <w:bottom w:val="single" w:sz="8" w:space="0" w:color="auto"/>
              <w:right w:val="nil"/>
            </w:tcBorders>
            <w:shd w:val="clear" w:color="auto" w:fill="auto"/>
            <w:noWrap/>
            <w:vAlign w:val="bottom"/>
            <w:hideMark/>
          </w:tcPr>
          <w:p w14:paraId="06CF5CF4" w14:textId="77777777" w:rsidR="00FA18EA" w:rsidRPr="0091098D" w:rsidRDefault="00FA18EA" w:rsidP="00FA18EA">
            <w:pPr>
              <w:jc w:val="right"/>
              <w:outlineLvl w:val="0"/>
              <w:rPr>
                <w:rFonts w:eastAsia="Times New Roman" w:cstheme="minorHAnsi"/>
                <w:b/>
                <w:bCs/>
                <w:sz w:val="18"/>
                <w:szCs w:val="18"/>
                <w:lang w:eastAsia="en-GB"/>
              </w:rPr>
            </w:pPr>
            <w:r w:rsidRPr="000C5053">
              <w:rPr>
                <w:rFonts w:eastAsia="Times New Roman" w:cstheme="minorHAnsi"/>
                <w:b/>
                <w:bCs/>
                <w:sz w:val="18"/>
                <w:szCs w:val="18"/>
                <w:lang w:eastAsia="en-GB"/>
              </w:rPr>
              <w:t>428.76p</w:t>
            </w:r>
          </w:p>
        </w:tc>
        <w:tc>
          <w:tcPr>
            <w:tcW w:w="1281" w:type="dxa"/>
            <w:tcBorders>
              <w:top w:val="nil"/>
              <w:left w:val="nil"/>
              <w:bottom w:val="single" w:sz="8" w:space="0" w:color="auto"/>
              <w:right w:val="nil"/>
            </w:tcBorders>
            <w:shd w:val="clear" w:color="auto" w:fill="auto"/>
            <w:noWrap/>
            <w:vAlign w:val="bottom"/>
            <w:hideMark/>
          </w:tcPr>
          <w:p w14:paraId="5C2DBFA0" w14:textId="77777777" w:rsidR="00FA18EA" w:rsidRPr="0075195E" w:rsidRDefault="00FA18EA" w:rsidP="00FA18EA">
            <w:pPr>
              <w:jc w:val="right"/>
              <w:outlineLvl w:val="0"/>
              <w:rPr>
                <w:rFonts w:eastAsia="Times New Roman" w:cstheme="minorHAnsi"/>
                <w:sz w:val="18"/>
                <w:szCs w:val="18"/>
                <w:lang w:eastAsia="en-GB"/>
              </w:rPr>
            </w:pPr>
            <w:r w:rsidRPr="0075195E">
              <w:rPr>
                <w:rFonts w:eastAsia="Times New Roman" w:cstheme="minorHAnsi"/>
                <w:bCs/>
                <w:sz w:val="18"/>
                <w:szCs w:val="18"/>
                <w:lang w:eastAsia="en-GB"/>
              </w:rPr>
              <w:t>477.24p</w:t>
            </w:r>
          </w:p>
        </w:tc>
      </w:tr>
    </w:tbl>
    <w:p w14:paraId="180B99CC" w14:textId="77777777" w:rsidR="00FA18EA" w:rsidRPr="008B2DDA" w:rsidRDefault="00FA18EA" w:rsidP="00FA18EA">
      <w:pPr>
        <w:autoSpaceDE w:val="0"/>
        <w:autoSpaceDN w:val="0"/>
        <w:adjustRightInd w:val="0"/>
        <w:jc w:val="both"/>
        <w:rPr>
          <w:rFonts w:cstheme="minorHAnsi"/>
          <w:color w:val="000000" w:themeColor="text1"/>
          <w:sz w:val="18"/>
          <w:szCs w:val="18"/>
        </w:rPr>
      </w:pPr>
    </w:p>
    <w:p w14:paraId="1017F629" w14:textId="77777777" w:rsidR="00FA18EA" w:rsidRPr="0091098D" w:rsidRDefault="00FA18EA" w:rsidP="00FA18EA">
      <w:pPr>
        <w:autoSpaceDE w:val="0"/>
        <w:autoSpaceDN w:val="0"/>
        <w:adjustRightInd w:val="0"/>
        <w:jc w:val="both"/>
        <w:rPr>
          <w:rFonts w:cstheme="minorHAnsi"/>
          <w:color w:val="000000" w:themeColor="text1"/>
          <w:sz w:val="18"/>
          <w:szCs w:val="18"/>
        </w:rPr>
      </w:pPr>
      <w:r w:rsidRPr="000C5053">
        <w:rPr>
          <w:rFonts w:cstheme="minorHAnsi"/>
          <w:color w:val="000000" w:themeColor="text1"/>
          <w:sz w:val="18"/>
          <w:szCs w:val="18"/>
        </w:rPr>
        <w:t xml:space="preserve">As at 31 March 2022, the total number of shares in issue was 2,541,046 (2021: 3,480,884). During the year, the Company cancelled nil Treasury </w:t>
      </w:r>
      <w:r w:rsidRPr="0091098D">
        <w:rPr>
          <w:rFonts w:cstheme="minorHAnsi"/>
          <w:color w:val="000000" w:themeColor="text1"/>
          <w:sz w:val="18"/>
          <w:szCs w:val="18"/>
        </w:rPr>
        <w:t>shares (2021: nil).  A Tender Offer was made during the year and 939,838 shares were bought back by the Company (2021: nil). There are no share options outstanding at the end of the year.</w:t>
      </w:r>
    </w:p>
    <w:p w14:paraId="024B4E94" w14:textId="77777777" w:rsidR="00FA18EA" w:rsidRPr="0075195E" w:rsidRDefault="00FA18EA" w:rsidP="00FA18EA">
      <w:pPr>
        <w:autoSpaceDE w:val="0"/>
        <w:autoSpaceDN w:val="0"/>
        <w:adjustRightInd w:val="0"/>
        <w:rPr>
          <w:rFonts w:cstheme="minorHAnsi"/>
          <w:b/>
          <w:color w:val="000000"/>
        </w:rPr>
      </w:pPr>
    </w:p>
    <w:p w14:paraId="1E12226A" w14:textId="77777777" w:rsidR="00FA18EA" w:rsidRPr="00536A35" w:rsidRDefault="00FA18EA" w:rsidP="00FA18EA">
      <w:pPr>
        <w:autoSpaceDE w:val="0"/>
        <w:autoSpaceDN w:val="0"/>
        <w:adjustRightInd w:val="0"/>
        <w:rPr>
          <w:rFonts w:cstheme="minorHAnsi"/>
          <w:b/>
          <w:color w:val="000000"/>
        </w:rPr>
      </w:pPr>
      <w:r w:rsidRPr="00536A35">
        <w:rPr>
          <w:rFonts w:cstheme="minorHAnsi"/>
          <w:b/>
          <w:color w:val="000000"/>
        </w:rPr>
        <w:t>7 Dividends</w:t>
      </w:r>
    </w:p>
    <w:p w14:paraId="38BEFB27" w14:textId="77777777" w:rsidR="00FA18EA" w:rsidRPr="00A02B31" w:rsidRDefault="00FA18EA" w:rsidP="00FA18EA">
      <w:pPr>
        <w:autoSpaceDE w:val="0"/>
        <w:autoSpaceDN w:val="0"/>
        <w:adjustRightInd w:val="0"/>
        <w:rPr>
          <w:rFonts w:cstheme="minorHAnsi"/>
          <w:color w:val="000000"/>
          <w:sz w:val="18"/>
        </w:rPr>
      </w:pPr>
    </w:p>
    <w:p w14:paraId="11B5CBF5" w14:textId="4E708790" w:rsidR="00FA18EA" w:rsidRPr="00A02B31" w:rsidRDefault="00FA18EA" w:rsidP="00FA18EA">
      <w:pPr>
        <w:autoSpaceDE w:val="0"/>
        <w:autoSpaceDN w:val="0"/>
        <w:adjustRightInd w:val="0"/>
        <w:rPr>
          <w:rFonts w:cstheme="minorHAnsi"/>
          <w:color w:val="000000"/>
          <w:sz w:val="18"/>
        </w:rPr>
      </w:pPr>
      <w:r w:rsidRPr="00A02B31">
        <w:rPr>
          <w:rFonts w:cstheme="minorHAnsi"/>
          <w:color w:val="000000"/>
          <w:sz w:val="18"/>
        </w:rPr>
        <w:t>The Company paid £534,664 in dividends to shareholders in the year ended 31 March 2022 (2021: £866,740).</w:t>
      </w:r>
      <w:r w:rsidRPr="00A02B31">
        <w:rPr>
          <w:rFonts w:cstheme="minorHAnsi"/>
        </w:rPr>
        <w:t xml:space="preserve"> </w:t>
      </w:r>
      <w:r w:rsidRPr="00A02B31">
        <w:rPr>
          <w:rFonts w:cstheme="minorHAnsi"/>
          <w:color w:val="000000"/>
          <w:sz w:val="18"/>
        </w:rPr>
        <w:t>Unclaimed historic dividends amounting to £63,834 w</w:t>
      </w:r>
      <w:r w:rsidR="007F3217">
        <w:rPr>
          <w:rFonts w:cstheme="minorHAnsi"/>
          <w:color w:val="000000"/>
          <w:sz w:val="18"/>
        </w:rPr>
        <w:t>ere</w:t>
      </w:r>
      <w:r w:rsidRPr="00A02B31">
        <w:rPr>
          <w:rFonts w:cstheme="minorHAnsi"/>
          <w:color w:val="000000"/>
          <w:sz w:val="18"/>
        </w:rPr>
        <w:t xml:space="preserve"> reclassified to revenue reserve during the year (2021: nil).</w:t>
      </w:r>
    </w:p>
    <w:p w14:paraId="065E1FBE" w14:textId="77777777" w:rsidR="00FA18EA" w:rsidRPr="00A02B31" w:rsidRDefault="00FA18EA" w:rsidP="00FA18EA">
      <w:pPr>
        <w:autoSpaceDE w:val="0"/>
        <w:autoSpaceDN w:val="0"/>
        <w:adjustRightInd w:val="0"/>
        <w:rPr>
          <w:rFonts w:cstheme="minorHAnsi"/>
          <w:color w:val="000000"/>
          <w:sz w:val="18"/>
        </w:rPr>
      </w:pPr>
      <w:r w:rsidRPr="00A02B31">
        <w:rPr>
          <w:rFonts w:cstheme="minorHAnsi"/>
          <w:color w:val="000000"/>
          <w:sz w:val="18"/>
        </w:rPr>
        <w:br/>
      </w:r>
      <w:r w:rsidRPr="00A02B31">
        <w:rPr>
          <w:rFonts w:cstheme="minorHAnsi"/>
          <w:b/>
          <w:color w:val="000000"/>
        </w:rPr>
        <w:t>8 Investments at fair value through profit or loss</w:t>
      </w:r>
    </w:p>
    <w:p w14:paraId="63F4762A" w14:textId="77777777" w:rsidR="00FA18EA" w:rsidRPr="00A02B31" w:rsidRDefault="00FA18EA" w:rsidP="00FA18EA">
      <w:pPr>
        <w:autoSpaceDE w:val="0"/>
        <w:autoSpaceDN w:val="0"/>
        <w:adjustRightInd w:val="0"/>
        <w:rPr>
          <w:rFonts w:cstheme="minorHAnsi"/>
          <w:b/>
          <w:color w:val="000000"/>
        </w:rPr>
      </w:pPr>
    </w:p>
    <w:tbl>
      <w:tblPr>
        <w:tblW w:w="9843" w:type="dxa"/>
        <w:tblInd w:w="108" w:type="dxa"/>
        <w:tblLayout w:type="fixed"/>
        <w:tblLook w:val="04A0" w:firstRow="1" w:lastRow="0" w:firstColumn="1" w:lastColumn="0" w:noHBand="0" w:noVBand="1"/>
      </w:tblPr>
      <w:tblGrid>
        <w:gridCol w:w="1907"/>
        <w:gridCol w:w="434"/>
        <w:gridCol w:w="1218"/>
        <w:gridCol w:w="986"/>
        <w:gridCol w:w="846"/>
        <w:gridCol w:w="1127"/>
        <w:gridCol w:w="1127"/>
        <w:gridCol w:w="986"/>
        <w:gridCol w:w="1212"/>
      </w:tblGrid>
      <w:tr w:rsidR="00FA18EA" w:rsidRPr="007600A7" w14:paraId="4100B97E" w14:textId="77777777" w:rsidTr="00FA18EA">
        <w:trPr>
          <w:trHeight w:val="222"/>
        </w:trPr>
        <w:tc>
          <w:tcPr>
            <w:tcW w:w="1907" w:type="dxa"/>
            <w:tcBorders>
              <w:top w:val="single" w:sz="4" w:space="0" w:color="auto"/>
              <w:left w:val="nil"/>
              <w:bottom w:val="nil"/>
              <w:right w:val="nil"/>
            </w:tcBorders>
            <w:shd w:val="clear" w:color="auto" w:fill="auto"/>
            <w:noWrap/>
            <w:vAlign w:val="bottom"/>
            <w:hideMark/>
          </w:tcPr>
          <w:p w14:paraId="346627AA" w14:textId="77777777" w:rsidR="00FA18EA" w:rsidRPr="00A02B31" w:rsidRDefault="00FA18EA" w:rsidP="00FA18EA">
            <w:pPr>
              <w:rPr>
                <w:rFonts w:eastAsia="Times New Roman" w:cstheme="minorHAnsi"/>
                <w:sz w:val="16"/>
                <w:szCs w:val="16"/>
                <w:lang w:eastAsia="en-GB"/>
              </w:rPr>
            </w:pPr>
            <w:r w:rsidRPr="00A02B31">
              <w:rPr>
                <w:rFonts w:eastAsia="Times New Roman" w:cstheme="minorHAnsi"/>
                <w:sz w:val="16"/>
                <w:szCs w:val="16"/>
                <w:lang w:eastAsia="en-GB"/>
              </w:rPr>
              <w:t> </w:t>
            </w:r>
          </w:p>
        </w:tc>
        <w:tc>
          <w:tcPr>
            <w:tcW w:w="434" w:type="dxa"/>
            <w:tcBorders>
              <w:top w:val="single" w:sz="4" w:space="0" w:color="auto"/>
              <w:left w:val="nil"/>
              <w:bottom w:val="nil"/>
              <w:right w:val="nil"/>
            </w:tcBorders>
            <w:shd w:val="clear" w:color="auto" w:fill="auto"/>
            <w:noWrap/>
            <w:vAlign w:val="bottom"/>
            <w:hideMark/>
          </w:tcPr>
          <w:p w14:paraId="4E0C68A4" w14:textId="77777777" w:rsidR="00FA18EA" w:rsidRPr="00A02B31" w:rsidRDefault="00FA18EA" w:rsidP="00FA18EA">
            <w:pPr>
              <w:rPr>
                <w:rFonts w:eastAsia="Times New Roman" w:cstheme="minorHAnsi"/>
                <w:sz w:val="16"/>
                <w:szCs w:val="16"/>
                <w:lang w:eastAsia="en-GB"/>
              </w:rPr>
            </w:pPr>
            <w:r w:rsidRPr="00A02B31">
              <w:rPr>
                <w:rFonts w:eastAsia="Times New Roman" w:cstheme="minorHAnsi"/>
                <w:sz w:val="16"/>
                <w:szCs w:val="16"/>
                <w:lang w:eastAsia="en-GB"/>
              </w:rPr>
              <w:t> </w:t>
            </w:r>
          </w:p>
        </w:tc>
        <w:tc>
          <w:tcPr>
            <w:tcW w:w="1218" w:type="dxa"/>
            <w:tcBorders>
              <w:top w:val="single" w:sz="4" w:space="0" w:color="auto"/>
              <w:left w:val="nil"/>
              <w:bottom w:val="nil"/>
              <w:right w:val="nil"/>
            </w:tcBorders>
            <w:shd w:val="clear" w:color="auto" w:fill="auto"/>
            <w:vAlign w:val="bottom"/>
            <w:hideMark/>
          </w:tcPr>
          <w:p w14:paraId="4D174B25" w14:textId="77777777" w:rsidR="00FA18EA" w:rsidRPr="00A02B31" w:rsidRDefault="00FA18EA" w:rsidP="00FA18EA">
            <w:pPr>
              <w:jc w:val="right"/>
              <w:rPr>
                <w:rFonts w:eastAsia="Times New Roman" w:cstheme="minorHAnsi"/>
                <w:sz w:val="16"/>
                <w:szCs w:val="16"/>
                <w:lang w:eastAsia="en-GB"/>
              </w:rPr>
            </w:pPr>
          </w:p>
        </w:tc>
        <w:tc>
          <w:tcPr>
            <w:tcW w:w="5072" w:type="dxa"/>
            <w:gridSpan w:val="5"/>
            <w:tcBorders>
              <w:top w:val="single" w:sz="4" w:space="0" w:color="auto"/>
              <w:left w:val="nil"/>
              <w:bottom w:val="single" w:sz="4" w:space="0" w:color="auto"/>
              <w:right w:val="nil"/>
            </w:tcBorders>
            <w:vAlign w:val="center"/>
          </w:tcPr>
          <w:p w14:paraId="11AAB60B" w14:textId="77777777" w:rsidR="00FA18EA" w:rsidRPr="00A02B31" w:rsidRDefault="00FA18EA" w:rsidP="00FA18EA">
            <w:pPr>
              <w:jc w:val="center"/>
              <w:rPr>
                <w:rFonts w:eastAsia="Times New Roman" w:cstheme="minorHAnsi"/>
                <w:b/>
                <w:bCs/>
                <w:sz w:val="16"/>
                <w:szCs w:val="16"/>
                <w:lang w:eastAsia="en-GB"/>
              </w:rPr>
            </w:pPr>
            <w:r w:rsidRPr="00A02B31">
              <w:rPr>
                <w:rFonts w:eastAsia="Times New Roman" w:cstheme="minorHAnsi"/>
                <w:b/>
                <w:bCs/>
                <w:sz w:val="16"/>
                <w:szCs w:val="16"/>
                <w:lang w:eastAsia="en-GB"/>
              </w:rPr>
              <w:t>Year ended 31 March 2022</w:t>
            </w:r>
          </w:p>
        </w:tc>
        <w:tc>
          <w:tcPr>
            <w:tcW w:w="1212" w:type="dxa"/>
            <w:tcBorders>
              <w:top w:val="single" w:sz="4" w:space="0" w:color="auto"/>
              <w:left w:val="nil"/>
              <w:bottom w:val="nil"/>
              <w:right w:val="nil"/>
            </w:tcBorders>
            <w:shd w:val="clear" w:color="auto" w:fill="auto"/>
            <w:vAlign w:val="bottom"/>
            <w:hideMark/>
          </w:tcPr>
          <w:p w14:paraId="5D16712D" w14:textId="77777777" w:rsidR="00FA18EA" w:rsidRPr="00A02B31" w:rsidRDefault="00FA18EA" w:rsidP="00FA18EA">
            <w:pPr>
              <w:jc w:val="right"/>
              <w:rPr>
                <w:rFonts w:eastAsia="Times New Roman" w:cstheme="minorHAnsi"/>
                <w:b/>
                <w:bCs/>
                <w:sz w:val="16"/>
                <w:szCs w:val="16"/>
                <w:lang w:eastAsia="en-GB"/>
              </w:rPr>
            </w:pPr>
          </w:p>
        </w:tc>
      </w:tr>
      <w:tr w:rsidR="00FA18EA" w:rsidRPr="007600A7" w14:paraId="7CAF8BA4" w14:textId="77777777" w:rsidTr="00FA18EA">
        <w:trPr>
          <w:trHeight w:val="80"/>
        </w:trPr>
        <w:tc>
          <w:tcPr>
            <w:tcW w:w="1907" w:type="dxa"/>
            <w:shd w:val="clear" w:color="auto" w:fill="auto"/>
            <w:noWrap/>
            <w:vAlign w:val="bottom"/>
            <w:hideMark/>
          </w:tcPr>
          <w:p w14:paraId="53D8F110" w14:textId="77777777" w:rsidR="00FA18EA" w:rsidRPr="008B2DDA" w:rsidRDefault="00FA18EA" w:rsidP="00FA18EA">
            <w:pPr>
              <w:rPr>
                <w:rFonts w:eastAsia="Times New Roman" w:cstheme="minorHAnsi"/>
                <w:sz w:val="16"/>
                <w:szCs w:val="16"/>
                <w:lang w:eastAsia="en-GB"/>
              </w:rPr>
            </w:pPr>
          </w:p>
        </w:tc>
        <w:tc>
          <w:tcPr>
            <w:tcW w:w="434" w:type="dxa"/>
            <w:shd w:val="clear" w:color="auto" w:fill="auto"/>
            <w:noWrap/>
            <w:vAlign w:val="bottom"/>
            <w:hideMark/>
          </w:tcPr>
          <w:p w14:paraId="44A4C7EE" w14:textId="77777777" w:rsidR="00FA18EA" w:rsidRPr="000C5053" w:rsidRDefault="00FA18EA" w:rsidP="00FA18EA">
            <w:pPr>
              <w:rPr>
                <w:rFonts w:eastAsia="Times New Roman" w:cstheme="minorHAnsi"/>
                <w:sz w:val="16"/>
                <w:szCs w:val="16"/>
                <w:lang w:eastAsia="en-GB"/>
              </w:rPr>
            </w:pPr>
          </w:p>
        </w:tc>
        <w:tc>
          <w:tcPr>
            <w:tcW w:w="1218" w:type="dxa"/>
            <w:shd w:val="clear" w:color="auto" w:fill="auto"/>
            <w:vAlign w:val="bottom"/>
            <w:hideMark/>
          </w:tcPr>
          <w:p w14:paraId="0096DC7E" w14:textId="77777777" w:rsidR="00FA18EA" w:rsidRPr="0091098D" w:rsidRDefault="00FA18EA" w:rsidP="00FA18EA">
            <w:pPr>
              <w:jc w:val="right"/>
              <w:rPr>
                <w:rFonts w:eastAsia="Times New Roman" w:cstheme="minorHAnsi"/>
                <w:sz w:val="16"/>
                <w:szCs w:val="16"/>
                <w:lang w:eastAsia="en-GB"/>
              </w:rPr>
            </w:pPr>
          </w:p>
        </w:tc>
        <w:tc>
          <w:tcPr>
            <w:tcW w:w="986" w:type="dxa"/>
            <w:shd w:val="clear" w:color="auto" w:fill="auto"/>
            <w:vAlign w:val="bottom"/>
          </w:tcPr>
          <w:p w14:paraId="369577E2" w14:textId="77777777" w:rsidR="00FA18EA" w:rsidRPr="0075195E" w:rsidRDefault="00FA18EA" w:rsidP="00FA18EA">
            <w:pPr>
              <w:jc w:val="right"/>
              <w:rPr>
                <w:rFonts w:eastAsia="Times New Roman" w:cstheme="minorHAnsi"/>
                <w:b/>
                <w:bCs/>
                <w:sz w:val="16"/>
                <w:szCs w:val="16"/>
                <w:lang w:eastAsia="en-GB"/>
              </w:rPr>
            </w:pPr>
          </w:p>
        </w:tc>
        <w:tc>
          <w:tcPr>
            <w:tcW w:w="846" w:type="dxa"/>
            <w:shd w:val="clear" w:color="auto" w:fill="auto"/>
            <w:vAlign w:val="bottom"/>
            <w:hideMark/>
          </w:tcPr>
          <w:p w14:paraId="1F24F617" w14:textId="77777777" w:rsidR="00FA18EA" w:rsidRPr="00536A35" w:rsidRDefault="00FA18EA" w:rsidP="00FA18EA">
            <w:pPr>
              <w:jc w:val="right"/>
              <w:rPr>
                <w:rFonts w:eastAsia="Times New Roman" w:cstheme="minorHAnsi"/>
                <w:b/>
                <w:bCs/>
                <w:sz w:val="16"/>
                <w:szCs w:val="16"/>
                <w:lang w:eastAsia="en-GB"/>
              </w:rPr>
            </w:pPr>
          </w:p>
        </w:tc>
        <w:tc>
          <w:tcPr>
            <w:tcW w:w="1127" w:type="dxa"/>
            <w:vAlign w:val="bottom"/>
          </w:tcPr>
          <w:p w14:paraId="68019F41" w14:textId="77777777" w:rsidR="00FA18EA" w:rsidRPr="00A02B31" w:rsidRDefault="00FA18EA" w:rsidP="00FA18EA">
            <w:pPr>
              <w:jc w:val="right"/>
              <w:rPr>
                <w:rFonts w:eastAsia="Times New Roman" w:cstheme="minorHAnsi"/>
                <w:b/>
                <w:bCs/>
                <w:sz w:val="16"/>
                <w:szCs w:val="16"/>
                <w:lang w:eastAsia="en-GB"/>
              </w:rPr>
            </w:pPr>
          </w:p>
        </w:tc>
        <w:tc>
          <w:tcPr>
            <w:tcW w:w="1127" w:type="dxa"/>
            <w:shd w:val="clear" w:color="auto" w:fill="auto"/>
            <w:vAlign w:val="bottom"/>
            <w:hideMark/>
          </w:tcPr>
          <w:p w14:paraId="214764B8" w14:textId="77777777" w:rsidR="00FA18EA" w:rsidRPr="00A02B31" w:rsidRDefault="00FA18EA" w:rsidP="00FA18EA">
            <w:pPr>
              <w:jc w:val="right"/>
              <w:rPr>
                <w:rFonts w:eastAsia="Times New Roman" w:cstheme="minorHAnsi"/>
                <w:b/>
                <w:bCs/>
                <w:sz w:val="16"/>
                <w:szCs w:val="16"/>
                <w:lang w:eastAsia="en-GB"/>
              </w:rPr>
            </w:pPr>
          </w:p>
        </w:tc>
        <w:tc>
          <w:tcPr>
            <w:tcW w:w="986" w:type="dxa"/>
          </w:tcPr>
          <w:p w14:paraId="4AEFB418" w14:textId="77777777" w:rsidR="00FA18EA" w:rsidRPr="00A02B31" w:rsidRDefault="00FA18EA" w:rsidP="00FA18EA">
            <w:pPr>
              <w:jc w:val="right"/>
              <w:rPr>
                <w:rFonts w:eastAsia="Times New Roman" w:cstheme="minorHAnsi"/>
                <w:b/>
                <w:bCs/>
                <w:sz w:val="16"/>
                <w:szCs w:val="16"/>
                <w:lang w:eastAsia="en-GB"/>
              </w:rPr>
            </w:pPr>
            <w:r w:rsidRPr="00A02B31">
              <w:rPr>
                <w:rFonts w:eastAsia="Times New Roman" w:cstheme="minorHAnsi"/>
                <w:b/>
                <w:bCs/>
                <w:sz w:val="16"/>
                <w:szCs w:val="16"/>
                <w:lang w:eastAsia="en-GB"/>
              </w:rPr>
              <w:t>Transfer</w:t>
            </w:r>
          </w:p>
        </w:tc>
        <w:tc>
          <w:tcPr>
            <w:tcW w:w="1212" w:type="dxa"/>
            <w:shd w:val="clear" w:color="auto" w:fill="auto"/>
            <w:vAlign w:val="bottom"/>
            <w:hideMark/>
          </w:tcPr>
          <w:p w14:paraId="68DCE0F8" w14:textId="77777777" w:rsidR="00FA18EA" w:rsidRPr="00A02B31" w:rsidRDefault="00FA18EA" w:rsidP="00FA18EA">
            <w:pPr>
              <w:jc w:val="right"/>
              <w:rPr>
                <w:rFonts w:eastAsia="Times New Roman" w:cstheme="minorHAnsi"/>
                <w:b/>
                <w:bCs/>
                <w:sz w:val="16"/>
                <w:szCs w:val="16"/>
                <w:lang w:eastAsia="en-GB"/>
              </w:rPr>
            </w:pPr>
          </w:p>
        </w:tc>
      </w:tr>
      <w:tr w:rsidR="00FA18EA" w:rsidRPr="007600A7" w14:paraId="1EB5170B" w14:textId="77777777" w:rsidTr="00FA18EA">
        <w:trPr>
          <w:trHeight w:val="101"/>
        </w:trPr>
        <w:tc>
          <w:tcPr>
            <w:tcW w:w="1907" w:type="dxa"/>
            <w:shd w:val="clear" w:color="auto" w:fill="auto"/>
            <w:noWrap/>
            <w:vAlign w:val="bottom"/>
          </w:tcPr>
          <w:p w14:paraId="758D14F3" w14:textId="77777777" w:rsidR="00FA18EA" w:rsidRPr="008B2DDA" w:rsidRDefault="00FA18EA" w:rsidP="00FA18EA">
            <w:pPr>
              <w:rPr>
                <w:rFonts w:eastAsia="Times New Roman" w:cstheme="minorHAnsi"/>
                <w:sz w:val="16"/>
                <w:szCs w:val="16"/>
                <w:lang w:eastAsia="en-GB"/>
              </w:rPr>
            </w:pPr>
          </w:p>
        </w:tc>
        <w:tc>
          <w:tcPr>
            <w:tcW w:w="434" w:type="dxa"/>
            <w:shd w:val="clear" w:color="auto" w:fill="auto"/>
            <w:noWrap/>
            <w:vAlign w:val="bottom"/>
          </w:tcPr>
          <w:p w14:paraId="4069B094" w14:textId="77777777" w:rsidR="00FA18EA" w:rsidRPr="000C5053" w:rsidRDefault="00FA18EA" w:rsidP="00FA18EA">
            <w:pPr>
              <w:rPr>
                <w:rFonts w:eastAsia="Times New Roman" w:cstheme="minorHAnsi"/>
                <w:sz w:val="16"/>
                <w:szCs w:val="16"/>
                <w:lang w:eastAsia="en-GB"/>
              </w:rPr>
            </w:pPr>
          </w:p>
        </w:tc>
        <w:tc>
          <w:tcPr>
            <w:tcW w:w="1218" w:type="dxa"/>
            <w:shd w:val="clear" w:color="auto" w:fill="auto"/>
            <w:vAlign w:val="bottom"/>
          </w:tcPr>
          <w:p w14:paraId="31A7F2CF" w14:textId="77777777" w:rsidR="00FA18EA" w:rsidRPr="0091098D" w:rsidRDefault="00FA18EA" w:rsidP="00FA18EA">
            <w:pPr>
              <w:jc w:val="right"/>
              <w:rPr>
                <w:rFonts w:eastAsia="Times New Roman" w:cstheme="minorHAnsi"/>
                <w:sz w:val="16"/>
                <w:szCs w:val="16"/>
                <w:lang w:eastAsia="en-GB"/>
              </w:rPr>
            </w:pPr>
            <w:r w:rsidRPr="0091098D">
              <w:rPr>
                <w:rFonts w:eastAsia="Times New Roman" w:cstheme="minorHAnsi"/>
                <w:sz w:val="16"/>
                <w:szCs w:val="16"/>
                <w:lang w:eastAsia="en-GB"/>
              </w:rPr>
              <w:t>Value at</w:t>
            </w:r>
            <w:r w:rsidRPr="0091098D">
              <w:rPr>
                <w:rFonts w:eastAsia="Times New Roman" w:cstheme="minorHAnsi"/>
                <w:sz w:val="16"/>
                <w:szCs w:val="16"/>
                <w:lang w:eastAsia="en-GB"/>
              </w:rPr>
              <w:br/>
              <w:t>1 April 2021</w:t>
            </w:r>
          </w:p>
        </w:tc>
        <w:tc>
          <w:tcPr>
            <w:tcW w:w="986" w:type="dxa"/>
            <w:shd w:val="clear" w:color="auto" w:fill="auto"/>
            <w:vAlign w:val="bottom"/>
          </w:tcPr>
          <w:p w14:paraId="131ACF43" w14:textId="77777777" w:rsidR="00FA18EA" w:rsidRPr="0075195E" w:rsidRDefault="00FA18EA" w:rsidP="00FA18EA">
            <w:pPr>
              <w:jc w:val="right"/>
              <w:rPr>
                <w:rFonts w:eastAsia="Times New Roman" w:cstheme="minorHAnsi"/>
                <w:b/>
                <w:bCs/>
                <w:sz w:val="16"/>
                <w:szCs w:val="16"/>
                <w:lang w:eastAsia="en-GB"/>
              </w:rPr>
            </w:pPr>
            <w:r w:rsidRPr="0075195E">
              <w:rPr>
                <w:rFonts w:eastAsia="Times New Roman" w:cstheme="minorHAnsi"/>
                <w:b/>
                <w:bCs/>
                <w:sz w:val="16"/>
                <w:szCs w:val="16"/>
                <w:lang w:eastAsia="en-GB"/>
              </w:rPr>
              <w:t>Additions</w:t>
            </w:r>
          </w:p>
        </w:tc>
        <w:tc>
          <w:tcPr>
            <w:tcW w:w="846" w:type="dxa"/>
            <w:shd w:val="clear" w:color="auto" w:fill="auto"/>
            <w:vAlign w:val="bottom"/>
          </w:tcPr>
          <w:p w14:paraId="068DEB93" w14:textId="77777777" w:rsidR="00FA18EA" w:rsidRPr="00536A35" w:rsidRDefault="00FA18EA" w:rsidP="00FA18EA">
            <w:pPr>
              <w:jc w:val="right"/>
              <w:rPr>
                <w:rFonts w:eastAsia="Times New Roman" w:cstheme="minorHAnsi"/>
                <w:b/>
                <w:bCs/>
                <w:sz w:val="16"/>
                <w:szCs w:val="16"/>
                <w:lang w:eastAsia="en-GB"/>
              </w:rPr>
            </w:pPr>
            <w:r w:rsidRPr="00536A35">
              <w:rPr>
                <w:rFonts w:eastAsia="Times New Roman" w:cstheme="minorHAnsi"/>
                <w:b/>
                <w:bCs/>
                <w:sz w:val="16"/>
                <w:szCs w:val="16"/>
                <w:lang w:eastAsia="en-GB"/>
              </w:rPr>
              <w:t>Disposal proceeds</w:t>
            </w:r>
          </w:p>
        </w:tc>
        <w:tc>
          <w:tcPr>
            <w:tcW w:w="1127" w:type="dxa"/>
            <w:vAlign w:val="bottom"/>
          </w:tcPr>
          <w:p w14:paraId="0D931CA7" w14:textId="77777777" w:rsidR="00FA18EA" w:rsidRPr="00A02B31" w:rsidRDefault="00FA18EA" w:rsidP="00FA18EA">
            <w:pPr>
              <w:jc w:val="right"/>
              <w:rPr>
                <w:rFonts w:eastAsia="Times New Roman" w:cstheme="minorHAnsi"/>
                <w:b/>
                <w:bCs/>
                <w:sz w:val="16"/>
                <w:szCs w:val="16"/>
                <w:lang w:eastAsia="en-GB"/>
              </w:rPr>
            </w:pPr>
            <w:r w:rsidRPr="00A02B31">
              <w:rPr>
                <w:rFonts w:eastAsia="Times New Roman" w:cstheme="minorHAnsi"/>
                <w:b/>
                <w:bCs/>
                <w:sz w:val="16"/>
                <w:szCs w:val="16"/>
                <w:lang w:eastAsia="en-GB"/>
              </w:rPr>
              <w:t>Gain on disposals</w:t>
            </w:r>
          </w:p>
        </w:tc>
        <w:tc>
          <w:tcPr>
            <w:tcW w:w="1127" w:type="dxa"/>
            <w:shd w:val="clear" w:color="auto" w:fill="auto"/>
            <w:vAlign w:val="bottom"/>
          </w:tcPr>
          <w:p w14:paraId="5FBEF9A0" w14:textId="77777777" w:rsidR="00FA18EA" w:rsidRPr="00A02B31" w:rsidRDefault="00FA18EA" w:rsidP="00FA18EA">
            <w:pPr>
              <w:jc w:val="right"/>
              <w:rPr>
                <w:rFonts w:eastAsia="Times New Roman" w:cstheme="minorHAnsi"/>
                <w:b/>
                <w:bCs/>
                <w:sz w:val="16"/>
                <w:szCs w:val="16"/>
                <w:lang w:eastAsia="en-GB"/>
              </w:rPr>
            </w:pPr>
            <w:r w:rsidRPr="00A02B31">
              <w:rPr>
                <w:rFonts w:eastAsia="Times New Roman" w:cstheme="minorHAnsi"/>
                <w:b/>
                <w:bCs/>
                <w:sz w:val="16"/>
                <w:szCs w:val="16"/>
                <w:lang w:eastAsia="en-GB"/>
              </w:rPr>
              <w:t>Revaluation</w:t>
            </w:r>
          </w:p>
        </w:tc>
        <w:tc>
          <w:tcPr>
            <w:tcW w:w="986" w:type="dxa"/>
          </w:tcPr>
          <w:p w14:paraId="3C7B497D" w14:textId="77777777" w:rsidR="00FA18EA" w:rsidRPr="00A02B31" w:rsidRDefault="00FA18EA" w:rsidP="00FA18EA">
            <w:pPr>
              <w:jc w:val="right"/>
              <w:rPr>
                <w:rFonts w:eastAsia="Times New Roman" w:cstheme="minorHAnsi"/>
                <w:b/>
                <w:bCs/>
                <w:sz w:val="16"/>
                <w:szCs w:val="16"/>
                <w:lang w:eastAsia="en-GB"/>
              </w:rPr>
            </w:pPr>
            <w:r w:rsidRPr="00A02B31">
              <w:rPr>
                <w:rFonts w:eastAsia="Times New Roman" w:cstheme="minorHAnsi"/>
                <w:b/>
                <w:bCs/>
                <w:sz w:val="16"/>
                <w:szCs w:val="16"/>
                <w:lang w:eastAsia="en-GB"/>
              </w:rPr>
              <w:t>between levels</w:t>
            </w:r>
          </w:p>
        </w:tc>
        <w:tc>
          <w:tcPr>
            <w:tcW w:w="1212" w:type="dxa"/>
            <w:shd w:val="clear" w:color="auto" w:fill="auto"/>
            <w:vAlign w:val="bottom"/>
          </w:tcPr>
          <w:p w14:paraId="60BF1C7F" w14:textId="77777777" w:rsidR="00FA18EA" w:rsidRPr="00A02B31" w:rsidRDefault="00FA18EA" w:rsidP="00FA18EA">
            <w:pPr>
              <w:jc w:val="right"/>
              <w:rPr>
                <w:rFonts w:eastAsia="Times New Roman" w:cstheme="minorHAnsi"/>
                <w:b/>
                <w:bCs/>
                <w:sz w:val="16"/>
                <w:szCs w:val="16"/>
                <w:lang w:eastAsia="en-GB"/>
              </w:rPr>
            </w:pPr>
            <w:r w:rsidRPr="00A02B31">
              <w:rPr>
                <w:rFonts w:eastAsia="Times New Roman" w:cstheme="minorHAnsi"/>
                <w:b/>
                <w:bCs/>
                <w:sz w:val="16"/>
                <w:szCs w:val="16"/>
                <w:lang w:eastAsia="en-GB"/>
              </w:rPr>
              <w:t>Value at</w:t>
            </w:r>
            <w:r w:rsidRPr="00A02B31">
              <w:rPr>
                <w:rFonts w:eastAsia="Times New Roman" w:cstheme="minorHAnsi"/>
                <w:b/>
                <w:bCs/>
                <w:sz w:val="16"/>
                <w:szCs w:val="16"/>
                <w:lang w:eastAsia="en-GB"/>
              </w:rPr>
              <w:br/>
              <w:t>31 March 2022</w:t>
            </w:r>
          </w:p>
        </w:tc>
      </w:tr>
      <w:tr w:rsidR="00FA18EA" w:rsidRPr="007600A7" w14:paraId="4FBE706A" w14:textId="77777777" w:rsidTr="00FA18EA">
        <w:trPr>
          <w:trHeight w:val="222"/>
        </w:trPr>
        <w:tc>
          <w:tcPr>
            <w:tcW w:w="1907" w:type="dxa"/>
            <w:tcBorders>
              <w:left w:val="nil"/>
              <w:bottom w:val="single" w:sz="4" w:space="0" w:color="auto"/>
              <w:right w:val="nil"/>
            </w:tcBorders>
            <w:shd w:val="clear" w:color="auto" w:fill="auto"/>
            <w:noWrap/>
            <w:vAlign w:val="bottom"/>
            <w:hideMark/>
          </w:tcPr>
          <w:p w14:paraId="2441D1D9" w14:textId="77777777" w:rsidR="00FA18EA" w:rsidRPr="008B2DDA" w:rsidRDefault="00FA18EA" w:rsidP="00FA18EA">
            <w:pPr>
              <w:rPr>
                <w:rFonts w:eastAsia="Times New Roman" w:cstheme="minorHAnsi"/>
                <w:sz w:val="16"/>
                <w:szCs w:val="16"/>
                <w:lang w:eastAsia="en-GB"/>
              </w:rPr>
            </w:pPr>
          </w:p>
        </w:tc>
        <w:tc>
          <w:tcPr>
            <w:tcW w:w="434" w:type="dxa"/>
            <w:tcBorders>
              <w:left w:val="nil"/>
              <w:bottom w:val="single" w:sz="4" w:space="0" w:color="auto"/>
              <w:right w:val="nil"/>
            </w:tcBorders>
            <w:shd w:val="clear" w:color="auto" w:fill="auto"/>
            <w:vAlign w:val="bottom"/>
            <w:hideMark/>
          </w:tcPr>
          <w:p w14:paraId="0C1C24F0" w14:textId="77777777" w:rsidR="00FA18EA" w:rsidRPr="0091098D" w:rsidRDefault="00FA18EA" w:rsidP="00FA18EA">
            <w:pPr>
              <w:rPr>
                <w:rFonts w:eastAsia="Times New Roman" w:cstheme="minorHAnsi"/>
                <w:sz w:val="16"/>
                <w:szCs w:val="16"/>
                <w:lang w:eastAsia="en-GB"/>
              </w:rPr>
            </w:pPr>
            <w:r w:rsidRPr="000C5053">
              <w:rPr>
                <w:rFonts w:eastAsia="Times New Roman" w:cstheme="minorHAnsi"/>
                <w:sz w:val="16"/>
                <w:szCs w:val="16"/>
                <w:lang w:eastAsia="en-GB"/>
              </w:rPr>
              <w:t> </w:t>
            </w:r>
          </w:p>
        </w:tc>
        <w:tc>
          <w:tcPr>
            <w:tcW w:w="1218" w:type="dxa"/>
            <w:tcBorders>
              <w:left w:val="nil"/>
              <w:bottom w:val="single" w:sz="4" w:space="0" w:color="auto"/>
              <w:right w:val="nil"/>
            </w:tcBorders>
            <w:shd w:val="clear" w:color="auto" w:fill="auto"/>
            <w:noWrap/>
            <w:vAlign w:val="bottom"/>
            <w:hideMark/>
          </w:tcPr>
          <w:p w14:paraId="2EC1BA05" w14:textId="77777777" w:rsidR="00FA18EA" w:rsidRPr="0075195E" w:rsidRDefault="00FA18EA" w:rsidP="00FA18EA">
            <w:pPr>
              <w:jc w:val="right"/>
              <w:rPr>
                <w:rFonts w:eastAsia="Times New Roman" w:cstheme="minorHAnsi"/>
                <w:sz w:val="16"/>
                <w:szCs w:val="16"/>
                <w:lang w:eastAsia="en-GB"/>
              </w:rPr>
            </w:pPr>
            <w:r w:rsidRPr="0075195E">
              <w:rPr>
                <w:rFonts w:eastAsia="Times New Roman" w:cstheme="minorHAnsi"/>
                <w:sz w:val="16"/>
                <w:szCs w:val="16"/>
                <w:lang w:eastAsia="en-GB"/>
              </w:rPr>
              <w:t>£'000</w:t>
            </w:r>
          </w:p>
        </w:tc>
        <w:tc>
          <w:tcPr>
            <w:tcW w:w="986" w:type="dxa"/>
            <w:tcBorders>
              <w:left w:val="nil"/>
              <w:bottom w:val="single" w:sz="4" w:space="0" w:color="auto"/>
              <w:right w:val="nil"/>
            </w:tcBorders>
            <w:shd w:val="clear" w:color="auto" w:fill="auto"/>
            <w:noWrap/>
            <w:vAlign w:val="bottom"/>
            <w:hideMark/>
          </w:tcPr>
          <w:p w14:paraId="590A1972" w14:textId="77777777" w:rsidR="00FA18EA" w:rsidRPr="00536A35" w:rsidRDefault="00FA18EA" w:rsidP="00FA18EA">
            <w:pPr>
              <w:jc w:val="right"/>
              <w:rPr>
                <w:rFonts w:eastAsia="Times New Roman" w:cstheme="minorHAnsi"/>
                <w:b/>
                <w:bCs/>
                <w:sz w:val="16"/>
                <w:szCs w:val="16"/>
                <w:lang w:eastAsia="en-GB"/>
              </w:rPr>
            </w:pPr>
            <w:r w:rsidRPr="00536A35">
              <w:rPr>
                <w:rFonts w:eastAsia="Times New Roman" w:cstheme="minorHAnsi"/>
                <w:b/>
                <w:bCs/>
                <w:sz w:val="16"/>
                <w:szCs w:val="16"/>
                <w:lang w:eastAsia="en-GB"/>
              </w:rPr>
              <w:t>£'000</w:t>
            </w:r>
          </w:p>
        </w:tc>
        <w:tc>
          <w:tcPr>
            <w:tcW w:w="846" w:type="dxa"/>
            <w:tcBorders>
              <w:left w:val="nil"/>
              <w:bottom w:val="single" w:sz="4" w:space="0" w:color="auto"/>
              <w:right w:val="nil"/>
            </w:tcBorders>
            <w:shd w:val="clear" w:color="auto" w:fill="auto"/>
            <w:noWrap/>
            <w:vAlign w:val="bottom"/>
            <w:hideMark/>
          </w:tcPr>
          <w:p w14:paraId="737F1D20" w14:textId="77777777" w:rsidR="00FA18EA" w:rsidRPr="00A02B31" w:rsidRDefault="00FA18EA" w:rsidP="00FA18EA">
            <w:pPr>
              <w:jc w:val="right"/>
              <w:rPr>
                <w:rFonts w:eastAsia="Times New Roman" w:cstheme="minorHAnsi"/>
                <w:b/>
                <w:bCs/>
                <w:sz w:val="16"/>
                <w:szCs w:val="16"/>
                <w:lang w:eastAsia="en-GB"/>
              </w:rPr>
            </w:pPr>
            <w:r w:rsidRPr="00A02B31">
              <w:rPr>
                <w:rFonts w:eastAsia="Times New Roman" w:cstheme="minorHAnsi"/>
                <w:b/>
                <w:bCs/>
                <w:sz w:val="16"/>
                <w:szCs w:val="16"/>
                <w:lang w:eastAsia="en-GB"/>
              </w:rPr>
              <w:t>£'000</w:t>
            </w:r>
          </w:p>
        </w:tc>
        <w:tc>
          <w:tcPr>
            <w:tcW w:w="1127" w:type="dxa"/>
            <w:tcBorders>
              <w:left w:val="nil"/>
              <w:bottom w:val="single" w:sz="4" w:space="0" w:color="auto"/>
              <w:right w:val="nil"/>
            </w:tcBorders>
            <w:vAlign w:val="bottom"/>
          </w:tcPr>
          <w:p w14:paraId="6E8D5859" w14:textId="77777777" w:rsidR="00FA18EA" w:rsidRPr="00A02B31" w:rsidRDefault="00FA18EA" w:rsidP="00FA18EA">
            <w:pPr>
              <w:jc w:val="right"/>
              <w:rPr>
                <w:rFonts w:eastAsia="Times New Roman" w:cstheme="minorHAnsi"/>
                <w:b/>
                <w:bCs/>
                <w:sz w:val="16"/>
                <w:szCs w:val="16"/>
                <w:lang w:eastAsia="en-GB"/>
              </w:rPr>
            </w:pPr>
            <w:r w:rsidRPr="00A02B31">
              <w:rPr>
                <w:rFonts w:eastAsia="Times New Roman" w:cstheme="minorHAnsi"/>
                <w:b/>
                <w:bCs/>
                <w:sz w:val="16"/>
                <w:szCs w:val="16"/>
                <w:lang w:eastAsia="en-GB"/>
              </w:rPr>
              <w:t>£'000</w:t>
            </w:r>
          </w:p>
        </w:tc>
        <w:tc>
          <w:tcPr>
            <w:tcW w:w="1127" w:type="dxa"/>
            <w:tcBorders>
              <w:left w:val="nil"/>
              <w:bottom w:val="single" w:sz="4" w:space="0" w:color="auto"/>
              <w:right w:val="nil"/>
            </w:tcBorders>
            <w:shd w:val="clear" w:color="auto" w:fill="auto"/>
            <w:noWrap/>
            <w:vAlign w:val="bottom"/>
            <w:hideMark/>
          </w:tcPr>
          <w:p w14:paraId="3F8334C2" w14:textId="77777777" w:rsidR="00FA18EA" w:rsidRPr="00A02B31" w:rsidRDefault="00FA18EA" w:rsidP="00FA18EA">
            <w:pPr>
              <w:jc w:val="right"/>
              <w:rPr>
                <w:rFonts w:eastAsia="Times New Roman" w:cstheme="minorHAnsi"/>
                <w:b/>
                <w:bCs/>
                <w:sz w:val="16"/>
                <w:szCs w:val="16"/>
                <w:lang w:eastAsia="en-GB"/>
              </w:rPr>
            </w:pPr>
            <w:r w:rsidRPr="00A02B31">
              <w:rPr>
                <w:rFonts w:eastAsia="Times New Roman" w:cstheme="minorHAnsi"/>
                <w:b/>
                <w:bCs/>
                <w:sz w:val="16"/>
                <w:szCs w:val="16"/>
                <w:lang w:eastAsia="en-GB"/>
              </w:rPr>
              <w:t>£'000</w:t>
            </w:r>
          </w:p>
        </w:tc>
        <w:tc>
          <w:tcPr>
            <w:tcW w:w="986" w:type="dxa"/>
            <w:tcBorders>
              <w:left w:val="nil"/>
              <w:bottom w:val="single" w:sz="4" w:space="0" w:color="auto"/>
              <w:right w:val="nil"/>
            </w:tcBorders>
            <w:vAlign w:val="bottom"/>
          </w:tcPr>
          <w:p w14:paraId="278BDC02" w14:textId="77777777" w:rsidR="00FA18EA" w:rsidRPr="00A02B31" w:rsidRDefault="00FA18EA" w:rsidP="00FA18EA">
            <w:pPr>
              <w:jc w:val="right"/>
              <w:rPr>
                <w:rFonts w:eastAsia="Times New Roman" w:cstheme="minorHAnsi"/>
                <w:b/>
                <w:bCs/>
                <w:sz w:val="16"/>
                <w:szCs w:val="16"/>
                <w:lang w:eastAsia="en-GB"/>
              </w:rPr>
            </w:pPr>
            <w:r w:rsidRPr="00A02B31">
              <w:rPr>
                <w:rFonts w:eastAsia="Times New Roman" w:cstheme="minorHAnsi"/>
                <w:b/>
                <w:bCs/>
                <w:sz w:val="16"/>
                <w:szCs w:val="16"/>
                <w:lang w:eastAsia="en-GB"/>
              </w:rPr>
              <w:t>£'000</w:t>
            </w:r>
          </w:p>
        </w:tc>
        <w:tc>
          <w:tcPr>
            <w:tcW w:w="1212" w:type="dxa"/>
            <w:tcBorders>
              <w:left w:val="nil"/>
              <w:bottom w:val="single" w:sz="4" w:space="0" w:color="auto"/>
              <w:right w:val="nil"/>
            </w:tcBorders>
            <w:shd w:val="clear" w:color="auto" w:fill="auto"/>
            <w:noWrap/>
            <w:vAlign w:val="bottom"/>
            <w:hideMark/>
          </w:tcPr>
          <w:p w14:paraId="3B83F0EC" w14:textId="77777777" w:rsidR="00FA18EA" w:rsidRPr="00A02B31" w:rsidRDefault="00FA18EA" w:rsidP="00FA18EA">
            <w:pPr>
              <w:jc w:val="right"/>
              <w:rPr>
                <w:rFonts w:eastAsia="Times New Roman" w:cstheme="minorHAnsi"/>
                <w:b/>
                <w:bCs/>
                <w:sz w:val="16"/>
                <w:szCs w:val="16"/>
                <w:lang w:eastAsia="en-GB"/>
              </w:rPr>
            </w:pPr>
            <w:r w:rsidRPr="00A02B31">
              <w:rPr>
                <w:rFonts w:eastAsia="Times New Roman" w:cstheme="minorHAnsi"/>
                <w:b/>
                <w:bCs/>
                <w:sz w:val="16"/>
                <w:szCs w:val="16"/>
                <w:lang w:eastAsia="en-GB"/>
              </w:rPr>
              <w:t>£'000</w:t>
            </w:r>
          </w:p>
        </w:tc>
      </w:tr>
      <w:tr w:rsidR="00FA18EA" w:rsidRPr="007600A7" w14:paraId="26E4CCBC" w14:textId="77777777" w:rsidTr="00FA18EA">
        <w:trPr>
          <w:trHeight w:val="255"/>
        </w:trPr>
        <w:tc>
          <w:tcPr>
            <w:tcW w:w="2341" w:type="dxa"/>
            <w:gridSpan w:val="2"/>
            <w:tcBorders>
              <w:top w:val="single" w:sz="4" w:space="0" w:color="auto"/>
            </w:tcBorders>
            <w:shd w:val="clear" w:color="auto" w:fill="auto"/>
            <w:noWrap/>
            <w:vAlign w:val="bottom"/>
            <w:hideMark/>
          </w:tcPr>
          <w:p w14:paraId="57EB74D0" w14:textId="77777777" w:rsidR="00FA18EA" w:rsidRPr="008B2DDA" w:rsidRDefault="00FA18EA" w:rsidP="00FA18EA">
            <w:pPr>
              <w:rPr>
                <w:rFonts w:eastAsia="Times New Roman" w:cstheme="minorHAnsi"/>
                <w:sz w:val="16"/>
                <w:szCs w:val="16"/>
                <w:lang w:eastAsia="en-GB"/>
              </w:rPr>
            </w:pPr>
            <w:r w:rsidRPr="008B2DDA">
              <w:rPr>
                <w:rFonts w:eastAsia="Times New Roman" w:cstheme="minorHAnsi"/>
                <w:sz w:val="16"/>
                <w:szCs w:val="16"/>
                <w:lang w:eastAsia="en-GB"/>
              </w:rPr>
              <w:t>Investments in quoted companies (Level 1)</w:t>
            </w:r>
          </w:p>
        </w:tc>
        <w:tc>
          <w:tcPr>
            <w:tcW w:w="1218" w:type="dxa"/>
            <w:tcBorders>
              <w:top w:val="single" w:sz="4" w:space="0" w:color="auto"/>
            </w:tcBorders>
            <w:shd w:val="clear" w:color="auto" w:fill="auto"/>
            <w:noWrap/>
            <w:vAlign w:val="bottom"/>
            <w:hideMark/>
          </w:tcPr>
          <w:p w14:paraId="7EED3563" w14:textId="77777777" w:rsidR="00FA18EA" w:rsidRPr="0091098D" w:rsidRDefault="00FA18EA" w:rsidP="00FA18EA">
            <w:pPr>
              <w:tabs>
                <w:tab w:val="left" w:pos="-97"/>
              </w:tabs>
              <w:ind w:left="-97"/>
              <w:jc w:val="right"/>
              <w:rPr>
                <w:rFonts w:eastAsia="Times New Roman" w:cstheme="minorHAnsi"/>
                <w:sz w:val="16"/>
                <w:szCs w:val="16"/>
                <w:lang w:eastAsia="en-GB"/>
              </w:rPr>
            </w:pPr>
            <w:r w:rsidRPr="000C5053">
              <w:rPr>
                <w:rFonts w:eastAsia="Times New Roman" w:cstheme="minorHAnsi"/>
                <w:sz w:val="16"/>
                <w:szCs w:val="16"/>
                <w:lang w:eastAsia="en-GB"/>
              </w:rPr>
              <w:t>47,565</w:t>
            </w:r>
          </w:p>
        </w:tc>
        <w:tc>
          <w:tcPr>
            <w:tcW w:w="986" w:type="dxa"/>
            <w:tcBorders>
              <w:top w:val="single" w:sz="4" w:space="0" w:color="auto"/>
            </w:tcBorders>
            <w:shd w:val="clear" w:color="auto" w:fill="auto"/>
            <w:noWrap/>
            <w:vAlign w:val="bottom"/>
          </w:tcPr>
          <w:p w14:paraId="6D261165" w14:textId="77777777" w:rsidR="00FA18EA" w:rsidRPr="0075195E" w:rsidRDefault="00FA18EA" w:rsidP="00FA18EA">
            <w:pPr>
              <w:jc w:val="right"/>
              <w:rPr>
                <w:rFonts w:eastAsia="Times New Roman" w:cstheme="minorHAnsi"/>
                <w:sz w:val="16"/>
                <w:szCs w:val="16"/>
                <w:lang w:eastAsia="en-GB"/>
              </w:rPr>
            </w:pPr>
            <w:r w:rsidRPr="0075195E">
              <w:rPr>
                <w:rFonts w:eastAsia="Times New Roman" w:cstheme="minorHAnsi"/>
                <w:sz w:val="16"/>
                <w:szCs w:val="16"/>
                <w:lang w:eastAsia="en-GB"/>
              </w:rPr>
              <w:t>596</w:t>
            </w:r>
          </w:p>
        </w:tc>
        <w:tc>
          <w:tcPr>
            <w:tcW w:w="846" w:type="dxa"/>
            <w:tcBorders>
              <w:top w:val="single" w:sz="4" w:space="0" w:color="auto"/>
            </w:tcBorders>
            <w:shd w:val="clear" w:color="auto" w:fill="auto"/>
            <w:noWrap/>
            <w:vAlign w:val="bottom"/>
          </w:tcPr>
          <w:p w14:paraId="68764866" w14:textId="77777777" w:rsidR="00FA18EA" w:rsidRPr="00536A35" w:rsidRDefault="00FA18EA" w:rsidP="00FA18EA">
            <w:pPr>
              <w:jc w:val="right"/>
              <w:rPr>
                <w:rFonts w:eastAsia="Times New Roman" w:cstheme="minorHAnsi"/>
                <w:sz w:val="16"/>
                <w:szCs w:val="16"/>
                <w:lang w:eastAsia="en-GB"/>
              </w:rPr>
            </w:pPr>
            <w:r w:rsidRPr="00536A35">
              <w:rPr>
                <w:rFonts w:eastAsia="Times New Roman" w:cstheme="minorHAnsi"/>
                <w:sz w:val="16"/>
                <w:szCs w:val="16"/>
                <w:lang w:eastAsia="en-GB"/>
              </w:rPr>
              <w:t>(41,173)</w:t>
            </w:r>
          </w:p>
        </w:tc>
        <w:tc>
          <w:tcPr>
            <w:tcW w:w="1127" w:type="dxa"/>
            <w:tcBorders>
              <w:top w:val="single" w:sz="4" w:space="0" w:color="auto"/>
            </w:tcBorders>
            <w:vAlign w:val="bottom"/>
          </w:tcPr>
          <w:p w14:paraId="1CC462E0" w14:textId="77777777" w:rsidR="00FA18EA" w:rsidRPr="00A02B31" w:rsidRDefault="00FA18EA" w:rsidP="00FA18EA">
            <w:pPr>
              <w:jc w:val="right"/>
              <w:rPr>
                <w:rFonts w:eastAsia="Times New Roman" w:cstheme="minorHAnsi"/>
                <w:sz w:val="16"/>
                <w:szCs w:val="16"/>
                <w:lang w:eastAsia="en-GB"/>
              </w:rPr>
            </w:pPr>
            <w:r w:rsidRPr="00A02B31">
              <w:rPr>
                <w:rFonts w:eastAsia="Times New Roman" w:cstheme="minorHAnsi"/>
                <w:sz w:val="16"/>
                <w:szCs w:val="16"/>
                <w:lang w:eastAsia="en-GB"/>
              </w:rPr>
              <w:t>15,667</w:t>
            </w:r>
          </w:p>
        </w:tc>
        <w:tc>
          <w:tcPr>
            <w:tcW w:w="1127" w:type="dxa"/>
            <w:tcBorders>
              <w:top w:val="single" w:sz="4" w:space="0" w:color="auto"/>
            </w:tcBorders>
            <w:shd w:val="clear" w:color="auto" w:fill="auto"/>
            <w:noWrap/>
            <w:vAlign w:val="bottom"/>
          </w:tcPr>
          <w:p w14:paraId="3511DB7B" w14:textId="77777777" w:rsidR="00FA18EA" w:rsidRPr="00A02B31" w:rsidRDefault="00FA18EA" w:rsidP="00FA18EA">
            <w:pPr>
              <w:jc w:val="right"/>
              <w:rPr>
                <w:rFonts w:eastAsia="Times New Roman" w:cstheme="minorHAnsi"/>
                <w:sz w:val="16"/>
                <w:szCs w:val="16"/>
                <w:lang w:eastAsia="en-GB"/>
              </w:rPr>
            </w:pPr>
            <w:r w:rsidRPr="00A02B31">
              <w:rPr>
                <w:rFonts w:eastAsia="Times New Roman" w:cstheme="minorHAnsi"/>
                <w:sz w:val="16"/>
                <w:szCs w:val="16"/>
                <w:lang w:eastAsia="en-GB"/>
              </w:rPr>
              <w:t>4,298</w:t>
            </w:r>
          </w:p>
        </w:tc>
        <w:tc>
          <w:tcPr>
            <w:tcW w:w="986" w:type="dxa"/>
            <w:tcBorders>
              <w:top w:val="single" w:sz="4" w:space="0" w:color="auto"/>
            </w:tcBorders>
            <w:vAlign w:val="bottom"/>
          </w:tcPr>
          <w:p w14:paraId="091DC8B1" w14:textId="77777777" w:rsidR="00FA18EA" w:rsidRPr="00A02B31" w:rsidRDefault="00FA18EA" w:rsidP="00FA18EA">
            <w:pPr>
              <w:jc w:val="right"/>
              <w:rPr>
                <w:rFonts w:eastAsia="Times New Roman" w:cstheme="minorHAnsi"/>
                <w:sz w:val="16"/>
                <w:szCs w:val="16"/>
                <w:lang w:eastAsia="en-GB"/>
              </w:rPr>
            </w:pPr>
            <w:r w:rsidRPr="00A02B31">
              <w:rPr>
                <w:rFonts w:eastAsia="Times New Roman" w:cstheme="minorHAnsi"/>
                <w:sz w:val="16"/>
                <w:szCs w:val="16"/>
                <w:lang w:eastAsia="en-GB"/>
              </w:rPr>
              <w:t>1,739</w:t>
            </w:r>
          </w:p>
        </w:tc>
        <w:tc>
          <w:tcPr>
            <w:tcW w:w="1212" w:type="dxa"/>
            <w:tcBorders>
              <w:top w:val="single" w:sz="4" w:space="0" w:color="auto"/>
            </w:tcBorders>
            <w:shd w:val="clear" w:color="auto" w:fill="auto"/>
            <w:noWrap/>
            <w:vAlign w:val="bottom"/>
            <w:hideMark/>
          </w:tcPr>
          <w:p w14:paraId="56A8DAF5" w14:textId="77777777" w:rsidR="00FA18EA" w:rsidRPr="00A02B31" w:rsidRDefault="00FA18EA" w:rsidP="00FA18EA">
            <w:pPr>
              <w:jc w:val="right"/>
              <w:rPr>
                <w:rFonts w:eastAsia="Times New Roman" w:cstheme="minorHAnsi"/>
                <w:b/>
                <w:bCs/>
                <w:sz w:val="16"/>
                <w:szCs w:val="16"/>
                <w:lang w:eastAsia="en-GB"/>
              </w:rPr>
            </w:pPr>
            <w:r w:rsidRPr="00A02B31">
              <w:rPr>
                <w:rFonts w:eastAsia="Times New Roman" w:cstheme="minorHAnsi"/>
                <w:b/>
                <w:bCs/>
                <w:sz w:val="16"/>
                <w:szCs w:val="16"/>
                <w:lang w:eastAsia="en-GB"/>
              </w:rPr>
              <w:t>28,692</w:t>
            </w:r>
          </w:p>
        </w:tc>
      </w:tr>
      <w:tr w:rsidR="00FA18EA" w:rsidRPr="007600A7" w14:paraId="046590CB" w14:textId="77777777" w:rsidTr="00FA18EA">
        <w:trPr>
          <w:trHeight w:val="255"/>
        </w:trPr>
        <w:tc>
          <w:tcPr>
            <w:tcW w:w="2341" w:type="dxa"/>
            <w:gridSpan w:val="2"/>
            <w:tcBorders>
              <w:bottom w:val="single" w:sz="4" w:space="0" w:color="auto"/>
            </w:tcBorders>
            <w:shd w:val="clear" w:color="auto" w:fill="auto"/>
            <w:noWrap/>
            <w:vAlign w:val="bottom"/>
            <w:hideMark/>
          </w:tcPr>
          <w:p w14:paraId="328F1912" w14:textId="77777777" w:rsidR="00FA18EA" w:rsidRPr="008B2DDA" w:rsidRDefault="00FA18EA" w:rsidP="00FA18EA">
            <w:pPr>
              <w:rPr>
                <w:rFonts w:eastAsia="Times New Roman" w:cstheme="minorHAnsi"/>
                <w:sz w:val="16"/>
                <w:szCs w:val="16"/>
                <w:lang w:eastAsia="en-GB"/>
              </w:rPr>
            </w:pPr>
            <w:r w:rsidRPr="008B2DDA">
              <w:rPr>
                <w:rFonts w:eastAsia="Times New Roman" w:cstheme="minorHAnsi"/>
                <w:sz w:val="16"/>
                <w:szCs w:val="16"/>
                <w:lang w:eastAsia="en-GB"/>
              </w:rPr>
              <w:t>Other unquoted investments (Level 3)</w:t>
            </w:r>
          </w:p>
        </w:tc>
        <w:tc>
          <w:tcPr>
            <w:tcW w:w="1218" w:type="dxa"/>
            <w:tcBorders>
              <w:bottom w:val="single" w:sz="4" w:space="0" w:color="auto"/>
            </w:tcBorders>
            <w:shd w:val="clear" w:color="auto" w:fill="auto"/>
            <w:noWrap/>
            <w:vAlign w:val="bottom"/>
            <w:hideMark/>
          </w:tcPr>
          <w:p w14:paraId="36C19A09" w14:textId="77777777" w:rsidR="00FA18EA" w:rsidRPr="0091098D" w:rsidRDefault="00FA18EA" w:rsidP="00FA18EA">
            <w:pPr>
              <w:jc w:val="right"/>
              <w:rPr>
                <w:rFonts w:eastAsia="Times New Roman" w:cstheme="minorHAnsi"/>
                <w:sz w:val="16"/>
                <w:szCs w:val="16"/>
                <w:lang w:eastAsia="en-GB"/>
              </w:rPr>
            </w:pPr>
            <w:r w:rsidRPr="000C5053">
              <w:rPr>
                <w:rFonts w:eastAsia="Times New Roman" w:cstheme="minorHAnsi"/>
                <w:bCs/>
                <w:sz w:val="16"/>
                <w:szCs w:val="16"/>
                <w:lang w:eastAsia="en-GB"/>
              </w:rPr>
              <w:t>6,323</w:t>
            </w:r>
          </w:p>
        </w:tc>
        <w:tc>
          <w:tcPr>
            <w:tcW w:w="986" w:type="dxa"/>
            <w:tcBorders>
              <w:bottom w:val="single" w:sz="4" w:space="0" w:color="auto"/>
            </w:tcBorders>
            <w:shd w:val="clear" w:color="auto" w:fill="auto"/>
            <w:noWrap/>
            <w:vAlign w:val="bottom"/>
            <w:hideMark/>
          </w:tcPr>
          <w:p w14:paraId="3C3F2496" w14:textId="77777777" w:rsidR="00FA18EA" w:rsidRPr="0075195E" w:rsidRDefault="00FA18EA" w:rsidP="00FA18EA">
            <w:pPr>
              <w:jc w:val="right"/>
              <w:rPr>
                <w:rFonts w:eastAsia="Times New Roman" w:cstheme="minorHAnsi"/>
                <w:sz w:val="16"/>
                <w:szCs w:val="16"/>
                <w:lang w:eastAsia="en-GB"/>
              </w:rPr>
            </w:pPr>
            <w:r w:rsidRPr="0075195E">
              <w:rPr>
                <w:rFonts w:eastAsia="Times New Roman" w:cstheme="minorHAnsi"/>
                <w:sz w:val="16"/>
                <w:szCs w:val="16"/>
                <w:lang w:eastAsia="en-GB"/>
              </w:rPr>
              <w:t>1,079</w:t>
            </w:r>
          </w:p>
        </w:tc>
        <w:tc>
          <w:tcPr>
            <w:tcW w:w="846" w:type="dxa"/>
            <w:tcBorders>
              <w:bottom w:val="single" w:sz="4" w:space="0" w:color="auto"/>
            </w:tcBorders>
            <w:shd w:val="clear" w:color="auto" w:fill="auto"/>
            <w:noWrap/>
            <w:vAlign w:val="bottom"/>
            <w:hideMark/>
          </w:tcPr>
          <w:p w14:paraId="5D6B55BF" w14:textId="77777777" w:rsidR="00FA18EA" w:rsidRPr="00536A35" w:rsidRDefault="00FA18EA" w:rsidP="00FA18EA">
            <w:pPr>
              <w:jc w:val="right"/>
              <w:rPr>
                <w:rFonts w:eastAsia="Times New Roman" w:cstheme="minorHAnsi"/>
                <w:sz w:val="16"/>
                <w:szCs w:val="16"/>
                <w:lang w:eastAsia="en-GB"/>
              </w:rPr>
            </w:pPr>
            <w:r w:rsidRPr="00536A35">
              <w:rPr>
                <w:rFonts w:eastAsia="Times New Roman" w:cstheme="minorHAnsi"/>
                <w:sz w:val="16"/>
                <w:szCs w:val="16"/>
                <w:lang w:eastAsia="en-GB"/>
              </w:rPr>
              <w:t>(2,788)</w:t>
            </w:r>
          </w:p>
        </w:tc>
        <w:tc>
          <w:tcPr>
            <w:tcW w:w="1127" w:type="dxa"/>
            <w:tcBorders>
              <w:bottom w:val="single" w:sz="4" w:space="0" w:color="auto"/>
            </w:tcBorders>
            <w:vAlign w:val="bottom"/>
          </w:tcPr>
          <w:p w14:paraId="79C5769F" w14:textId="77777777" w:rsidR="00FA18EA" w:rsidRPr="00A02B31" w:rsidRDefault="00FA18EA" w:rsidP="00FA18EA">
            <w:pPr>
              <w:jc w:val="right"/>
              <w:rPr>
                <w:rFonts w:eastAsia="Times New Roman" w:cstheme="minorHAnsi"/>
                <w:sz w:val="16"/>
                <w:szCs w:val="16"/>
                <w:lang w:eastAsia="en-GB"/>
              </w:rPr>
            </w:pPr>
            <w:r w:rsidRPr="00A02B31">
              <w:rPr>
                <w:rFonts w:eastAsia="Times New Roman" w:cstheme="minorHAnsi"/>
                <w:sz w:val="16"/>
                <w:szCs w:val="16"/>
                <w:lang w:eastAsia="en-GB"/>
              </w:rPr>
              <w:t>-</w:t>
            </w:r>
          </w:p>
        </w:tc>
        <w:tc>
          <w:tcPr>
            <w:tcW w:w="1127" w:type="dxa"/>
            <w:tcBorders>
              <w:bottom w:val="single" w:sz="4" w:space="0" w:color="auto"/>
            </w:tcBorders>
            <w:shd w:val="clear" w:color="auto" w:fill="auto"/>
            <w:noWrap/>
            <w:vAlign w:val="bottom"/>
            <w:hideMark/>
          </w:tcPr>
          <w:p w14:paraId="2764A3BB" w14:textId="77777777" w:rsidR="00FA18EA" w:rsidRPr="00A02B31" w:rsidRDefault="00FA18EA" w:rsidP="00FA18EA">
            <w:pPr>
              <w:jc w:val="right"/>
              <w:rPr>
                <w:rFonts w:eastAsia="Times New Roman" w:cstheme="minorHAnsi"/>
                <w:sz w:val="16"/>
                <w:szCs w:val="16"/>
                <w:lang w:eastAsia="en-GB"/>
              </w:rPr>
            </w:pPr>
            <w:r w:rsidRPr="00A02B31">
              <w:rPr>
                <w:rFonts w:eastAsia="Times New Roman" w:cstheme="minorHAnsi"/>
                <w:sz w:val="16"/>
                <w:szCs w:val="16"/>
                <w:lang w:eastAsia="en-GB"/>
              </w:rPr>
              <w:t>42</w:t>
            </w:r>
          </w:p>
        </w:tc>
        <w:tc>
          <w:tcPr>
            <w:tcW w:w="986" w:type="dxa"/>
            <w:tcBorders>
              <w:bottom w:val="single" w:sz="4" w:space="0" w:color="auto"/>
            </w:tcBorders>
            <w:vAlign w:val="bottom"/>
          </w:tcPr>
          <w:p w14:paraId="5AE9FB0C" w14:textId="77777777" w:rsidR="00FA18EA" w:rsidRPr="00A02B31" w:rsidRDefault="00FA18EA" w:rsidP="00FA18EA">
            <w:pPr>
              <w:jc w:val="right"/>
              <w:rPr>
                <w:rFonts w:eastAsia="Times New Roman" w:cstheme="minorHAnsi"/>
                <w:sz w:val="16"/>
                <w:szCs w:val="16"/>
                <w:lang w:eastAsia="en-GB"/>
              </w:rPr>
            </w:pPr>
            <w:r w:rsidRPr="00A02B31">
              <w:rPr>
                <w:rFonts w:eastAsia="Times New Roman" w:cstheme="minorHAnsi"/>
                <w:sz w:val="16"/>
                <w:szCs w:val="16"/>
                <w:lang w:eastAsia="en-GB"/>
              </w:rPr>
              <w:t>(1,739)</w:t>
            </w:r>
          </w:p>
        </w:tc>
        <w:tc>
          <w:tcPr>
            <w:tcW w:w="1212" w:type="dxa"/>
            <w:tcBorders>
              <w:bottom w:val="single" w:sz="4" w:space="0" w:color="auto"/>
            </w:tcBorders>
            <w:shd w:val="clear" w:color="auto" w:fill="auto"/>
            <w:noWrap/>
            <w:vAlign w:val="bottom"/>
            <w:hideMark/>
          </w:tcPr>
          <w:p w14:paraId="5D50EB73" w14:textId="77777777" w:rsidR="00FA18EA" w:rsidRPr="00A02B31" w:rsidRDefault="00FA18EA" w:rsidP="00FA18EA">
            <w:pPr>
              <w:jc w:val="right"/>
              <w:rPr>
                <w:rFonts w:eastAsia="Times New Roman" w:cstheme="minorHAnsi"/>
                <w:b/>
                <w:bCs/>
                <w:sz w:val="16"/>
                <w:szCs w:val="16"/>
                <w:lang w:eastAsia="en-GB"/>
              </w:rPr>
            </w:pPr>
            <w:r w:rsidRPr="00A02B31">
              <w:rPr>
                <w:rFonts w:eastAsia="Times New Roman" w:cstheme="minorHAnsi"/>
                <w:b/>
                <w:bCs/>
                <w:sz w:val="16"/>
                <w:szCs w:val="16"/>
                <w:lang w:eastAsia="en-GB"/>
              </w:rPr>
              <w:t>2,917</w:t>
            </w:r>
          </w:p>
        </w:tc>
      </w:tr>
      <w:tr w:rsidR="00FA18EA" w:rsidRPr="007600A7" w14:paraId="699D08FB" w14:textId="77777777" w:rsidTr="00FA18EA">
        <w:trPr>
          <w:trHeight w:val="159"/>
        </w:trPr>
        <w:tc>
          <w:tcPr>
            <w:tcW w:w="2341" w:type="dxa"/>
            <w:gridSpan w:val="2"/>
            <w:tcBorders>
              <w:top w:val="single" w:sz="4" w:space="0" w:color="auto"/>
              <w:bottom w:val="single" w:sz="4" w:space="0" w:color="auto"/>
            </w:tcBorders>
            <w:shd w:val="clear" w:color="auto" w:fill="auto"/>
            <w:vAlign w:val="bottom"/>
            <w:hideMark/>
          </w:tcPr>
          <w:p w14:paraId="47707272" w14:textId="77777777" w:rsidR="00FA18EA" w:rsidRPr="008B2DDA" w:rsidRDefault="00FA18EA" w:rsidP="00FA18EA">
            <w:pPr>
              <w:rPr>
                <w:rFonts w:eastAsia="Times New Roman" w:cstheme="minorHAnsi"/>
                <w:b/>
                <w:bCs/>
                <w:sz w:val="16"/>
                <w:szCs w:val="16"/>
                <w:lang w:eastAsia="en-GB"/>
              </w:rPr>
            </w:pPr>
            <w:r w:rsidRPr="008B2DDA">
              <w:rPr>
                <w:rFonts w:eastAsia="Times New Roman" w:cstheme="minorHAnsi"/>
                <w:b/>
                <w:bCs/>
                <w:sz w:val="16"/>
                <w:szCs w:val="16"/>
                <w:lang w:eastAsia="en-GB"/>
              </w:rPr>
              <w:t>Total investments at fair value through profit or loss</w:t>
            </w:r>
          </w:p>
        </w:tc>
        <w:tc>
          <w:tcPr>
            <w:tcW w:w="1218" w:type="dxa"/>
            <w:tcBorders>
              <w:top w:val="single" w:sz="4" w:space="0" w:color="auto"/>
              <w:bottom w:val="single" w:sz="4" w:space="0" w:color="auto"/>
            </w:tcBorders>
            <w:shd w:val="clear" w:color="auto" w:fill="auto"/>
            <w:noWrap/>
            <w:vAlign w:val="bottom"/>
            <w:hideMark/>
          </w:tcPr>
          <w:p w14:paraId="3FE349D1" w14:textId="77777777" w:rsidR="00FA18EA" w:rsidRPr="0091098D" w:rsidRDefault="00FA18EA" w:rsidP="00FA18EA">
            <w:pPr>
              <w:jc w:val="right"/>
              <w:rPr>
                <w:rFonts w:eastAsia="Times New Roman" w:cstheme="minorHAnsi"/>
                <w:sz w:val="16"/>
                <w:szCs w:val="16"/>
                <w:lang w:eastAsia="en-GB"/>
              </w:rPr>
            </w:pPr>
            <w:r w:rsidRPr="000C5053">
              <w:rPr>
                <w:rFonts w:eastAsia="Times New Roman" w:cstheme="minorHAnsi"/>
                <w:sz w:val="16"/>
                <w:szCs w:val="16"/>
                <w:lang w:eastAsia="en-GB"/>
              </w:rPr>
              <w:t>53,888</w:t>
            </w:r>
          </w:p>
        </w:tc>
        <w:tc>
          <w:tcPr>
            <w:tcW w:w="986" w:type="dxa"/>
            <w:tcBorders>
              <w:top w:val="single" w:sz="4" w:space="0" w:color="auto"/>
              <w:bottom w:val="single" w:sz="4" w:space="0" w:color="auto"/>
            </w:tcBorders>
            <w:shd w:val="clear" w:color="auto" w:fill="auto"/>
            <w:noWrap/>
            <w:vAlign w:val="bottom"/>
            <w:hideMark/>
          </w:tcPr>
          <w:p w14:paraId="0D93BEEE" w14:textId="77777777" w:rsidR="00FA18EA" w:rsidRPr="0075195E" w:rsidRDefault="00FA18EA" w:rsidP="00FA18EA">
            <w:pPr>
              <w:jc w:val="right"/>
              <w:rPr>
                <w:rFonts w:eastAsia="Times New Roman" w:cstheme="minorHAnsi"/>
                <w:b/>
                <w:bCs/>
                <w:sz w:val="16"/>
                <w:szCs w:val="16"/>
                <w:lang w:eastAsia="en-GB"/>
              </w:rPr>
            </w:pPr>
            <w:r w:rsidRPr="0075195E">
              <w:rPr>
                <w:rFonts w:eastAsia="Times New Roman" w:cstheme="minorHAnsi"/>
                <w:b/>
                <w:bCs/>
                <w:sz w:val="16"/>
                <w:szCs w:val="16"/>
                <w:lang w:eastAsia="en-GB"/>
              </w:rPr>
              <w:t>1,675</w:t>
            </w:r>
          </w:p>
        </w:tc>
        <w:tc>
          <w:tcPr>
            <w:tcW w:w="846" w:type="dxa"/>
            <w:tcBorders>
              <w:top w:val="single" w:sz="4" w:space="0" w:color="auto"/>
              <w:bottom w:val="single" w:sz="4" w:space="0" w:color="auto"/>
            </w:tcBorders>
            <w:shd w:val="clear" w:color="auto" w:fill="auto"/>
            <w:noWrap/>
            <w:vAlign w:val="bottom"/>
            <w:hideMark/>
          </w:tcPr>
          <w:p w14:paraId="7810686E" w14:textId="77777777" w:rsidR="00FA18EA" w:rsidRPr="00536A35" w:rsidRDefault="00FA18EA" w:rsidP="00FA18EA">
            <w:pPr>
              <w:jc w:val="right"/>
              <w:rPr>
                <w:rFonts w:eastAsia="Times New Roman" w:cstheme="minorHAnsi"/>
                <w:b/>
                <w:bCs/>
                <w:sz w:val="16"/>
                <w:szCs w:val="16"/>
                <w:lang w:eastAsia="en-GB"/>
              </w:rPr>
            </w:pPr>
            <w:r w:rsidRPr="00536A35">
              <w:rPr>
                <w:rFonts w:eastAsia="Times New Roman" w:cstheme="minorHAnsi"/>
                <w:b/>
                <w:bCs/>
                <w:sz w:val="16"/>
                <w:szCs w:val="16"/>
                <w:lang w:eastAsia="en-GB"/>
              </w:rPr>
              <w:t>(43,961)</w:t>
            </w:r>
          </w:p>
        </w:tc>
        <w:tc>
          <w:tcPr>
            <w:tcW w:w="1127" w:type="dxa"/>
            <w:tcBorders>
              <w:top w:val="single" w:sz="4" w:space="0" w:color="auto"/>
              <w:bottom w:val="single" w:sz="4" w:space="0" w:color="auto"/>
            </w:tcBorders>
            <w:vAlign w:val="bottom"/>
          </w:tcPr>
          <w:p w14:paraId="2883381A" w14:textId="77777777" w:rsidR="00FA18EA" w:rsidRPr="00A02B31" w:rsidRDefault="00FA18EA" w:rsidP="00FA18EA">
            <w:pPr>
              <w:jc w:val="right"/>
              <w:rPr>
                <w:rFonts w:eastAsia="Times New Roman" w:cstheme="minorHAnsi"/>
                <w:b/>
                <w:bCs/>
                <w:sz w:val="16"/>
                <w:szCs w:val="16"/>
                <w:lang w:eastAsia="en-GB"/>
              </w:rPr>
            </w:pPr>
            <w:r w:rsidRPr="00A02B31">
              <w:rPr>
                <w:rFonts w:eastAsia="Times New Roman" w:cstheme="minorHAnsi"/>
                <w:b/>
                <w:bCs/>
                <w:sz w:val="16"/>
                <w:szCs w:val="16"/>
                <w:lang w:eastAsia="en-GB"/>
              </w:rPr>
              <w:t>15,667</w:t>
            </w:r>
          </w:p>
        </w:tc>
        <w:tc>
          <w:tcPr>
            <w:tcW w:w="1127" w:type="dxa"/>
            <w:tcBorders>
              <w:top w:val="single" w:sz="4" w:space="0" w:color="auto"/>
              <w:bottom w:val="single" w:sz="4" w:space="0" w:color="auto"/>
            </w:tcBorders>
            <w:vAlign w:val="bottom"/>
          </w:tcPr>
          <w:p w14:paraId="4D0C05E7" w14:textId="77777777" w:rsidR="00FA18EA" w:rsidRPr="00A02B31" w:rsidRDefault="00FA18EA" w:rsidP="00FA18EA">
            <w:pPr>
              <w:jc w:val="right"/>
              <w:rPr>
                <w:rFonts w:eastAsia="Times New Roman" w:cstheme="minorHAnsi"/>
                <w:b/>
                <w:bCs/>
                <w:sz w:val="16"/>
                <w:szCs w:val="16"/>
                <w:lang w:eastAsia="en-GB"/>
              </w:rPr>
            </w:pPr>
            <w:r w:rsidRPr="00A02B31">
              <w:rPr>
                <w:rFonts w:eastAsia="Times New Roman" w:cstheme="minorHAnsi"/>
                <w:b/>
                <w:bCs/>
                <w:sz w:val="16"/>
                <w:szCs w:val="16"/>
                <w:lang w:eastAsia="en-GB"/>
              </w:rPr>
              <w:t>4,340</w:t>
            </w:r>
          </w:p>
        </w:tc>
        <w:tc>
          <w:tcPr>
            <w:tcW w:w="986" w:type="dxa"/>
            <w:tcBorders>
              <w:top w:val="single" w:sz="4" w:space="0" w:color="auto"/>
              <w:bottom w:val="single" w:sz="4" w:space="0" w:color="auto"/>
            </w:tcBorders>
            <w:shd w:val="clear" w:color="auto" w:fill="auto"/>
            <w:noWrap/>
            <w:vAlign w:val="bottom"/>
            <w:hideMark/>
          </w:tcPr>
          <w:p w14:paraId="614B3B31" w14:textId="77777777" w:rsidR="00FA18EA" w:rsidRPr="00A02B31" w:rsidRDefault="00FA18EA" w:rsidP="00FA18EA">
            <w:pPr>
              <w:jc w:val="right"/>
              <w:rPr>
                <w:rFonts w:eastAsia="Times New Roman" w:cstheme="minorHAnsi"/>
                <w:b/>
                <w:bCs/>
                <w:sz w:val="16"/>
                <w:szCs w:val="16"/>
                <w:lang w:eastAsia="en-GB"/>
              </w:rPr>
            </w:pPr>
            <w:r w:rsidRPr="00A02B31">
              <w:rPr>
                <w:rFonts w:eastAsia="Times New Roman" w:cstheme="minorHAnsi"/>
                <w:b/>
                <w:bCs/>
                <w:sz w:val="16"/>
                <w:szCs w:val="16"/>
                <w:lang w:eastAsia="en-GB"/>
              </w:rPr>
              <w:t>-</w:t>
            </w:r>
          </w:p>
        </w:tc>
        <w:tc>
          <w:tcPr>
            <w:tcW w:w="1212" w:type="dxa"/>
            <w:tcBorders>
              <w:top w:val="single" w:sz="4" w:space="0" w:color="auto"/>
              <w:bottom w:val="single" w:sz="4" w:space="0" w:color="auto"/>
            </w:tcBorders>
            <w:shd w:val="clear" w:color="auto" w:fill="auto"/>
            <w:noWrap/>
            <w:vAlign w:val="bottom"/>
            <w:hideMark/>
          </w:tcPr>
          <w:p w14:paraId="1E2AC38F" w14:textId="77777777" w:rsidR="00FA18EA" w:rsidRPr="00A02B31" w:rsidRDefault="00FA18EA" w:rsidP="00FA18EA">
            <w:pPr>
              <w:ind w:left="-216" w:firstLine="142"/>
              <w:jc w:val="right"/>
              <w:rPr>
                <w:rFonts w:eastAsia="Times New Roman" w:cstheme="minorHAnsi"/>
                <w:b/>
                <w:bCs/>
                <w:sz w:val="16"/>
                <w:szCs w:val="16"/>
                <w:lang w:eastAsia="en-GB"/>
              </w:rPr>
            </w:pPr>
            <w:r w:rsidRPr="00A02B31">
              <w:rPr>
                <w:rFonts w:eastAsia="Times New Roman" w:cstheme="minorHAnsi"/>
                <w:b/>
                <w:bCs/>
                <w:sz w:val="16"/>
                <w:szCs w:val="16"/>
                <w:lang w:eastAsia="en-GB"/>
              </w:rPr>
              <w:t>31,609</w:t>
            </w:r>
          </w:p>
        </w:tc>
      </w:tr>
    </w:tbl>
    <w:p w14:paraId="486E82B0" w14:textId="77777777" w:rsidR="00FA18EA" w:rsidRPr="008B2DDA" w:rsidRDefault="00FA18EA" w:rsidP="00FA18EA">
      <w:pPr>
        <w:autoSpaceDE w:val="0"/>
        <w:autoSpaceDN w:val="0"/>
        <w:adjustRightInd w:val="0"/>
        <w:rPr>
          <w:rFonts w:cstheme="minorHAnsi"/>
          <w:b/>
          <w:color w:val="000000"/>
        </w:rPr>
      </w:pPr>
    </w:p>
    <w:tbl>
      <w:tblPr>
        <w:tblW w:w="9815" w:type="dxa"/>
        <w:tblInd w:w="108" w:type="dxa"/>
        <w:tblLayout w:type="fixed"/>
        <w:tblLook w:val="04A0" w:firstRow="1" w:lastRow="0" w:firstColumn="1" w:lastColumn="0" w:noHBand="0" w:noVBand="1"/>
      </w:tblPr>
      <w:tblGrid>
        <w:gridCol w:w="1851"/>
        <w:gridCol w:w="438"/>
        <w:gridCol w:w="1289"/>
        <w:gridCol w:w="967"/>
        <w:gridCol w:w="832"/>
        <w:gridCol w:w="1102"/>
        <w:gridCol w:w="1102"/>
        <w:gridCol w:w="971"/>
        <w:gridCol w:w="1263"/>
      </w:tblGrid>
      <w:tr w:rsidR="00FA18EA" w:rsidRPr="007600A7" w14:paraId="6C827980" w14:textId="77777777" w:rsidTr="00FA18EA">
        <w:trPr>
          <w:trHeight w:val="238"/>
        </w:trPr>
        <w:tc>
          <w:tcPr>
            <w:tcW w:w="1851" w:type="dxa"/>
            <w:tcBorders>
              <w:top w:val="single" w:sz="4" w:space="0" w:color="auto"/>
              <w:left w:val="nil"/>
              <w:bottom w:val="nil"/>
              <w:right w:val="nil"/>
            </w:tcBorders>
            <w:shd w:val="clear" w:color="auto" w:fill="auto"/>
            <w:noWrap/>
            <w:vAlign w:val="bottom"/>
            <w:hideMark/>
          </w:tcPr>
          <w:p w14:paraId="52987D4B" w14:textId="77777777" w:rsidR="00FA18EA" w:rsidRPr="0091098D" w:rsidRDefault="00FA18EA" w:rsidP="00FA18EA">
            <w:pPr>
              <w:rPr>
                <w:rFonts w:eastAsia="Times New Roman" w:cstheme="minorHAnsi"/>
                <w:sz w:val="16"/>
                <w:szCs w:val="16"/>
                <w:lang w:eastAsia="en-GB"/>
              </w:rPr>
            </w:pPr>
            <w:r w:rsidRPr="000C5053">
              <w:rPr>
                <w:rFonts w:eastAsia="Times New Roman" w:cstheme="minorHAnsi"/>
                <w:sz w:val="16"/>
                <w:szCs w:val="16"/>
                <w:lang w:eastAsia="en-GB"/>
              </w:rPr>
              <w:t> </w:t>
            </w:r>
          </w:p>
        </w:tc>
        <w:tc>
          <w:tcPr>
            <w:tcW w:w="438" w:type="dxa"/>
            <w:tcBorders>
              <w:top w:val="single" w:sz="4" w:space="0" w:color="auto"/>
              <w:left w:val="nil"/>
              <w:bottom w:val="nil"/>
              <w:right w:val="nil"/>
            </w:tcBorders>
            <w:shd w:val="clear" w:color="auto" w:fill="auto"/>
            <w:noWrap/>
            <w:vAlign w:val="bottom"/>
            <w:hideMark/>
          </w:tcPr>
          <w:p w14:paraId="3F0B7A8A" w14:textId="77777777" w:rsidR="00FA18EA" w:rsidRPr="0075195E" w:rsidRDefault="00FA18EA" w:rsidP="00FA18EA">
            <w:pPr>
              <w:rPr>
                <w:rFonts w:eastAsia="Times New Roman" w:cstheme="minorHAnsi"/>
                <w:sz w:val="16"/>
                <w:szCs w:val="16"/>
                <w:lang w:eastAsia="en-GB"/>
              </w:rPr>
            </w:pPr>
            <w:r w:rsidRPr="0075195E">
              <w:rPr>
                <w:rFonts w:eastAsia="Times New Roman" w:cstheme="minorHAnsi"/>
                <w:sz w:val="16"/>
                <w:szCs w:val="16"/>
                <w:lang w:eastAsia="en-GB"/>
              </w:rPr>
              <w:t> </w:t>
            </w:r>
          </w:p>
        </w:tc>
        <w:tc>
          <w:tcPr>
            <w:tcW w:w="1289" w:type="dxa"/>
            <w:tcBorders>
              <w:top w:val="single" w:sz="4" w:space="0" w:color="auto"/>
              <w:left w:val="nil"/>
              <w:bottom w:val="nil"/>
              <w:right w:val="nil"/>
            </w:tcBorders>
            <w:shd w:val="clear" w:color="auto" w:fill="auto"/>
            <w:vAlign w:val="bottom"/>
            <w:hideMark/>
          </w:tcPr>
          <w:p w14:paraId="3668E73C" w14:textId="77777777" w:rsidR="00FA18EA" w:rsidRPr="00536A35" w:rsidRDefault="00FA18EA" w:rsidP="00FA18EA">
            <w:pPr>
              <w:jc w:val="right"/>
              <w:rPr>
                <w:rFonts w:eastAsia="Times New Roman" w:cstheme="minorHAnsi"/>
                <w:sz w:val="16"/>
                <w:szCs w:val="16"/>
                <w:lang w:eastAsia="en-GB"/>
              </w:rPr>
            </w:pPr>
          </w:p>
        </w:tc>
        <w:tc>
          <w:tcPr>
            <w:tcW w:w="4974" w:type="dxa"/>
            <w:gridSpan w:val="5"/>
            <w:tcBorders>
              <w:top w:val="single" w:sz="4" w:space="0" w:color="auto"/>
              <w:left w:val="nil"/>
              <w:bottom w:val="single" w:sz="4" w:space="0" w:color="auto"/>
              <w:right w:val="nil"/>
            </w:tcBorders>
            <w:vAlign w:val="center"/>
          </w:tcPr>
          <w:p w14:paraId="717BC03C" w14:textId="77777777" w:rsidR="00FA18EA" w:rsidRPr="00A02B31" w:rsidRDefault="00FA18EA" w:rsidP="00FA18EA">
            <w:pPr>
              <w:jc w:val="center"/>
              <w:rPr>
                <w:rFonts w:eastAsia="Times New Roman" w:cstheme="minorHAnsi"/>
                <w:b/>
                <w:bCs/>
                <w:sz w:val="16"/>
                <w:szCs w:val="16"/>
                <w:lang w:eastAsia="en-GB"/>
              </w:rPr>
            </w:pPr>
            <w:r w:rsidRPr="00A02B31">
              <w:rPr>
                <w:rFonts w:eastAsia="Times New Roman" w:cstheme="minorHAnsi"/>
                <w:b/>
                <w:bCs/>
                <w:sz w:val="16"/>
                <w:szCs w:val="16"/>
                <w:lang w:eastAsia="en-GB"/>
              </w:rPr>
              <w:t>Year ended 31 March 2021</w:t>
            </w:r>
          </w:p>
        </w:tc>
        <w:tc>
          <w:tcPr>
            <w:tcW w:w="1263" w:type="dxa"/>
            <w:tcBorders>
              <w:top w:val="single" w:sz="4" w:space="0" w:color="auto"/>
              <w:left w:val="nil"/>
              <w:bottom w:val="nil"/>
              <w:right w:val="nil"/>
            </w:tcBorders>
            <w:shd w:val="clear" w:color="auto" w:fill="auto"/>
            <w:vAlign w:val="bottom"/>
            <w:hideMark/>
          </w:tcPr>
          <w:p w14:paraId="338ABD07" w14:textId="77777777" w:rsidR="00FA18EA" w:rsidRPr="00A02B31" w:rsidRDefault="00FA18EA" w:rsidP="00FA18EA">
            <w:pPr>
              <w:jc w:val="right"/>
              <w:rPr>
                <w:rFonts w:eastAsia="Times New Roman" w:cstheme="minorHAnsi"/>
                <w:b/>
                <w:bCs/>
                <w:sz w:val="16"/>
                <w:szCs w:val="16"/>
                <w:lang w:eastAsia="en-GB"/>
              </w:rPr>
            </w:pPr>
          </w:p>
        </w:tc>
      </w:tr>
      <w:tr w:rsidR="00FA18EA" w:rsidRPr="007600A7" w14:paraId="3F08A8BE" w14:textId="77777777" w:rsidTr="00FA18EA">
        <w:trPr>
          <w:trHeight w:val="107"/>
        </w:trPr>
        <w:tc>
          <w:tcPr>
            <w:tcW w:w="1851" w:type="dxa"/>
            <w:shd w:val="clear" w:color="auto" w:fill="auto"/>
            <w:noWrap/>
            <w:vAlign w:val="bottom"/>
          </w:tcPr>
          <w:p w14:paraId="647C1A09" w14:textId="77777777" w:rsidR="00FA18EA" w:rsidRPr="008B2DDA" w:rsidRDefault="00FA18EA" w:rsidP="00FA18EA">
            <w:pPr>
              <w:rPr>
                <w:rFonts w:eastAsia="Times New Roman" w:cstheme="minorHAnsi"/>
                <w:sz w:val="16"/>
                <w:szCs w:val="16"/>
                <w:lang w:eastAsia="en-GB"/>
              </w:rPr>
            </w:pPr>
          </w:p>
        </w:tc>
        <w:tc>
          <w:tcPr>
            <w:tcW w:w="438" w:type="dxa"/>
            <w:shd w:val="clear" w:color="auto" w:fill="auto"/>
            <w:noWrap/>
            <w:vAlign w:val="bottom"/>
          </w:tcPr>
          <w:p w14:paraId="07FFB2E6" w14:textId="77777777" w:rsidR="00FA18EA" w:rsidRPr="000C5053" w:rsidRDefault="00FA18EA" w:rsidP="00FA18EA">
            <w:pPr>
              <w:rPr>
                <w:rFonts w:eastAsia="Times New Roman" w:cstheme="minorHAnsi"/>
                <w:sz w:val="16"/>
                <w:szCs w:val="16"/>
                <w:lang w:eastAsia="en-GB"/>
              </w:rPr>
            </w:pPr>
          </w:p>
        </w:tc>
        <w:tc>
          <w:tcPr>
            <w:tcW w:w="1289" w:type="dxa"/>
            <w:shd w:val="clear" w:color="auto" w:fill="auto"/>
            <w:vAlign w:val="bottom"/>
          </w:tcPr>
          <w:p w14:paraId="777EDD0B" w14:textId="77777777" w:rsidR="00FA18EA" w:rsidRPr="0091098D" w:rsidRDefault="00FA18EA" w:rsidP="00FA18EA">
            <w:pPr>
              <w:jc w:val="right"/>
              <w:rPr>
                <w:rFonts w:eastAsia="Times New Roman" w:cstheme="minorHAnsi"/>
                <w:sz w:val="16"/>
                <w:szCs w:val="16"/>
                <w:lang w:eastAsia="en-GB"/>
              </w:rPr>
            </w:pPr>
            <w:r w:rsidRPr="0091098D">
              <w:rPr>
                <w:rFonts w:eastAsia="Times New Roman" w:cstheme="minorHAnsi"/>
                <w:sz w:val="16"/>
                <w:szCs w:val="16"/>
                <w:lang w:eastAsia="en-GB"/>
              </w:rPr>
              <w:t>Value at</w:t>
            </w:r>
            <w:r w:rsidRPr="0091098D">
              <w:rPr>
                <w:rFonts w:eastAsia="Times New Roman" w:cstheme="minorHAnsi"/>
                <w:sz w:val="16"/>
                <w:szCs w:val="16"/>
                <w:lang w:eastAsia="en-GB"/>
              </w:rPr>
              <w:br/>
              <w:t>1 April 2020</w:t>
            </w:r>
          </w:p>
        </w:tc>
        <w:tc>
          <w:tcPr>
            <w:tcW w:w="967" w:type="dxa"/>
            <w:shd w:val="clear" w:color="auto" w:fill="auto"/>
            <w:vAlign w:val="bottom"/>
          </w:tcPr>
          <w:p w14:paraId="58F2F7BD" w14:textId="77777777" w:rsidR="00FA18EA" w:rsidRPr="0075195E" w:rsidRDefault="00FA18EA" w:rsidP="00FA18EA">
            <w:pPr>
              <w:jc w:val="right"/>
              <w:rPr>
                <w:rFonts w:eastAsia="Times New Roman" w:cstheme="minorHAnsi"/>
                <w:sz w:val="16"/>
                <w:szCs w:val="16"/>
                <w:lang w:eastAsia="en-GB"/>
              </w:rPr>
            </w:pPr>
            <w:r w:rsidRPr="0075195E">
              <w:rPr>
                <w:rFonts w:eastAsia="Times New Roman" w:cstheme="minorHAnsi"/>
                <w:sz w:val="16"/>
                <w:szCs w:val="16"/>
                <w:lang w:eastAsia="en-GB"/>
              </w:rPr>
              <w:t>Additions</w:t>
            </w:r>
          </w:p>
        </w:tc>
        <w:tc>
          <w:tcPr>
            <w:tcW w:w="832" w:type="dxa"/>
            <w:shd w:val="clear" w:color="auto" w:fill="auto"/>
            <w:vAlign w:val="bottom"/>
          </w:tcPr>
          <w:p w14:paraId="7C16FA87" w14:textId="77777777" w:rsidR="00FA18EA" w:rsidRPr="00536A35" w:rsidRDefault="00FA18EA" w:rsidP="00FA18EA">
            <w:pPr>
              <w:jc w:val="right"/>
              <w:rPr>
                <w:rFonts w:eastAsia="Times New Roman" w:cstheme="minorHAnsi"/>
                <w:sz w:val="16"/>
                <w:szCs w:val="16"/>
                <w:lang w:eastAsia="en-GB"/>
              </w:rPr>
            </w:pPr>
            <w:r w:rsidRPr="00536A35">
              <w:rPr>
                <w:rFonts w:eastAsia="Times New Roman" w:cstheme="minorHAnsi"/>
                <w:sz w:val="16"/>
                <w:szCs w:val="16"/>
                <w:lang w:eastAsia="en-GB"/>
              </w:rPr>
              <w:t>Disposal proceeds</w:t>
            </w:r>
          </w:p>
        </w:tc>
        <w:tc>
          <w:tcPr>
            <w:tcW w:w="1102" w:type="dxa"/>
            <w:vAlign w:val="bottom"/>
          </w:tcPr>
          <w:p w14:paraId="18960A53" w14:textId="77777777" w:rsidR="00FA18EA" w:rsidRPr="00A02B31" w:rsidRDefault="00FA18EA" w:rsidP="00FA18EA">
            <w:pPr>
              <w:jc w:val="right"/>
              <w:rPr>
                <w:rFonts w:eastAsia="Times New Roman" w:cstheme="minorHAnsi"/>
                <w:sz w:val="16"/>
                <w:szCs w:val="16"/>
                <w:lang w:eastAsia="en-GB"/>
              </w:rPr>
            </w:pPr>
            <w:r w:rsidRPr="00A02B31">
              <w:rPr>
                <w:rFonts w:eastAsia="Times New Roman" w:cstheme="minorHAnsi"/>
                <w:sz w:val="16"/>
                <w:szCs w:val="16"/>
                <w:lang w:eastAsia="en-GB"/>
              </w:rPr>
              <w:t>Gain on disposals</w:t>
            </w:r>
          </w:p>
        </w:tc>
        <w:tc>
          <w:tcPr>
            <w:tcW w:w="1102" w:type="dxa"/>
            <w:shd w:val="clear" w:color="auto" w:fill="auto"/>
            <w:vAlign w:val="bottom"/>
          </w:tcPr>
          <w:p w14:paraId="4F16E09A" w14:textId="77777777" w:rsidR="00FA18EA" w:rsidRPr="00A02B31" w:rsidRDefault="00FA18EA" w:rsidP="00FA18EA">
            <w:pPr>
              <w:jc w:val="right"/>
              <w:rPr>
                <w:rFonts w:eastAsia="Times New Roman" w:cstheme="minorHAnsi"/>
                <w:sz w:val="16"/>
                <w:szCs w:val="16"/>
                <w:lang w:eastAsia="en-GB"/>
              </w:rPr>
            </w:pPr>
            <w:r w:rsidRPr="00A02B31">
              <w:rPr>
                <w:rFonts w:eastAsia="Times New Roman" w:cstheme="minorHAnsi"/>
                <w:sz w:val="16"/>
                <w:szCs w:val="16"/>
                <w:lang w:eastAsia="en-GB"/>
              </w:rPr>
              <w:t>Revaluation</w:t>
            </w:r>
          </w:p>
        </w:tc>
        <w:tc>
          <w:tcPr>
            <w:tcW w:w="971" w:type="dxa"/>
          </w:tcPr>
          <w:p w14:paraId="3BB3549A" w14:textId="77777777" w:rsidR="00FA18EA" w:rsidRPr="00A02B31" w:rsidRDefault="00FA18EA" w:rsidP="00FA18EA">
            <w:pPr>
              <w:jc w:val="right"/>
              <w:rPr>
                <w:rFonts w:eastAsia="Times New Roman" w:cstheme="minorHAnsi"/>
                <w:sz w:val="16"/>
                <w:szCs w:val="16"/>
                <w:lang w:eastAsia="en-GB"/>
              </w:rPr>
            </w:pPr>
            <w:r w:rsidRPr="00A02B31">
              <w:rPr>
                <w:rFonts w:eastAsia="Times New Roman" w:cstheme="minorHAnsi"/>
                <w:sz w:val="16"/>
                <w:szCs w:val="16"/>
                <w:lang w:eastAsia="en-GB"/>
              </w:rPr>
              <w:t>Transfer between levels</w:t>
            </w:r>
          </w:p>
        </w:tc>
        <w:tc>
          <w:tcPr>
            <w:tcW w:w="1263" w:type="dxa"/>
            <w:shd w:val="clear" w:color="auto" w:fill="auto"/>
            <w:vAlign w:val="bottom"/>
          </w:tcPr>
          <w:p w14:paraId="69C17DEC" w14:textId="77777777" w:rsidR="00FA18EA" w:rsidRPr="00A02B31" w:rsidRDefault="00FA18EA" w:rsidP="00FA18EA">
            <w:pPr>
              <w:jc w:val="right"/>
              <w:rPr>
                <w:rFonts w:eastAsia="Times New Roman" w:cstheme="minorHAnsi"/>
                <w:sz w:val="16"/>
                <w:szCs w:val="16"/>
                <w:lang w:eastAsia="en-GB"/>
              </w:rPr>
            </w:pPr>
            <w:r w:rsidRPr="00A02B31">
              <w:rPr>
                <w:rFonts w:eastAsia="Times New Roman" w:cstheme="minorHAnsi"/>
                <w:sz w:val="16"/>
                <w:szCs w:val="16"/>
                <w:lang w:eastAsia="en-GB"/>
              </w:rPr>
              <w:t>Value at</w:t>
            </w:r>
            <w:r w:rsidRPr="00A02B31">
              <w:rPr>
                <w:rFonts w:eastAsia="Times New Roman" w:cstheme="minorHAnsi"/>
                <w:sz w:val="16"/>
                <w:szCs w:val="16"/>
                <w:lang w:eastAsia="en-GB"/>
              </w:rPr>
              <w:br/>
              <w:t>31 March 2021</w:t>
            </w:r>
          </w:p>
        </w:tc>
      </w:tr>
      <w:tr w:rsidR="00FA18EA" w:rsidRPr="007600A7" w14:paraId="04BD95CE" w14:textId="77777777" w:rsidTr="00FA18EA">
        <w:trPr>
          <w:trHeight w:val="238"/>
        </w:trPr>
        <w:tc>
          <w:tcPr>
            <w:tcW w:w="1851" w:type="dxa"/>
            <w:tcBorders>
              <w:left w:val="nil"/>
              <w:bottom w:val="single" w:sz="4" w:space="0" w:color="auto"/>
              <w:right w:val="nil"/>
            </w:tcBorders>
            <w:shd w:val="clear" w:color="auto" w:fill="auto"/>
            <w:noWrap/>
            <w:vAlign w:val="bottom"/>
            <w:hideMark/>
          </w:tcPr>
          <w:p w14:paraId="4A3E4AFA" w14:textId="77777777" w:rsidR="00FA18EA" w:rsidRPr="008B2DDA" w:rsidRDefault="00FA18EA" w:rsidP="00FA18EA">
            <w:pPr>
              <w:rPr>
                <w:rFonts w:eastAsia="Times New Roman" w:cstheme="minorHAnsi"/>
                <w:sz w:val="16"/>
                <w:szCs w:val="16"/>
                <w:lang w:eastAsia="en-GB"/>
              </w:rPr>
            </w:pPr>
          </w:p>
        </w:tc>
        <w:tc>
          <w:tcPr>
            <w:tcW w:w="438" w:type="dxa"/>
            <w:tcBorders>
              <w:left w:val="nil"/>
              <w:bottom w:val="single" w:sz="4" w:space="0" w:color="auto"/>
              <w:right w:val="nil"/>
            </w:tcBorders>
            <w:shd w:val="clear" w:color="auto" w:fill="auto"/>
            <w:vAlign w:val="bottom"/>
            <w:hideMark/>
          </w:tcPr>
          <w:p w14:paraId="52CF3D60" w14:textId="77777777" w:rsidR="00FA18EA" w:rsidRPr="0091098D" w:rsidRDefault="00FA18EA" w:rsidP="00FA18EA">
            <w:pPr>
              <w:rPr>
                <w:rFonts w:eastAsia="Times New Roman" w:cstheme="minorHAnsi"/>
                <w:sz w:val="16"/>
                <w:szCs w:val="16"/>
                <w:lang w:eastAsia="en-GB"/>
              </w:rPr>
            </w:pPr>
            <w:r w:rsidRPr="000C5053">
              <w:rPr>
                <w:rFonts w:eastAsia="Times New Roman" w:cstheme="minorHAnsi"/>
                <w:sz w:val="16"/>
                <w:szCs w:val="16"/>
                <w:lang w:eastAsia="en-GB"/>
              </w:rPr>
              <w:t> </w:t>
            </w:r>
          </w:p>
        </w:tc>
        <w:tc>
          <w:tcPr>
            <w:tcW w:w="1289" w:type="dxa"/>
            <w:tcBorders>
              <w:left w:val="nil"/>
              <w:bottom w:val="single" w:sz="4" w:space="0" w:color="auto"/>
              <w:right w:val="nil"/>
            </w:tcBorders>
            <w:shd w:val="clear" w:color="auto" w:fill="auto"/>
            <w:noWrap/>
            <w:vAlign w:val="bottom"/>
            <w:hideMark/>
          </w:tcPr>
          <w:p w14:paraId="73725C92" w14:textId="77777777" w:rsidR="00FA18EA" w:rsidRPr="0075195E" w:rsidRDefault="00FA18EA" w:rsidP="00FA18EA">
            <w:pPr>
              <w:jc w:val="right"/>
              <w:rPr>
                <w:rFonts w:eastAsia="Times New Roman" w:cstheme="minorHAnsi"/>
                <w:sz w:val="16"/>
                <w:szCs w:val="16"/>
                <w:lang w:eastAsia="en-GB"/>
              </w:rPr>
            </w:pPr>
            <w:r w:rsidRPr="0075195E">
              <w:rPr>
                <w:rFonts w:eastAsia="Times New Roman" w:cstheme="minorHAnsi"/>
                <w:sz w:val="16"/>
                <w:szCs w:val="16"/>
                <w:lang w:eastAsia="en-GB"/>
              </w:rPr>
              <w:t>£'000</w:t>
            </w:r>
          </w:p>
        </w:tc>
        <w:tc>
          <w:tcPr>
            <w:tcW w:w="967" w:type="dxa"/>
            <w:tcBorders>
              <w:left w:val="nil"/>
              <w:bottom w:val="single" w:sz="4" w:space="0" w:color="auto"/>
              <w:right w:val="nil"/>
            </w:tcBorders>
            <w:shd w:val="clear" w:color="auto" w:fill="auto"/>
            <w:noWrap/>
            <w:vAlign w:val="bottom"/>
            <w:hideMark/>
          </w:tcPr>
          <w:p w14:paraId="05563EEF" w14:textId="77777777" w:rsidR="00FA18EA" w:rsidRPr="00536A35" w:rsidRDefault="00FA18EA" w:rsidP="00FA18EA">
            <w:pPr>
              <w:jc w:val="right"/>
              <w:rPr>
                <w:rFonts w:eastAsia="Times New Roman" w:cstheme="minorHAnsi"/>
                <w:sz w:val="16"/>
                <w:szCs w:val="16"/>
                <w:lang w:eastAsia="en-GB"/>
              </w:rPr>
            </w:pPr>
            <w:r w:rsidRPr="00536A35">
              <w:rPr>
                <w:rFonts w:eastAsia="Times New Roman" w:cstheme="minorHAnsi"/>
                <w:sz w:val="16"/>
                <w:szCs w:val="16"/>
                <w:lang w:eastAsia="en-GB"/>
              </w:rPr>
              <w:t>£'000</w:t>
            </w:r>
          </w:p>
        </w:tc>
        <w:tc>
          <w:tcPr>
            <w:tcW w:w="832" w:type="dxa"/>
            <w:tcBorders>
              <w:left w:val="nil"/>
              <w:bottom w:val="single" w:sz="4" w:space="0" w:color="auto"/>
              <w:right w:val="nil"/>
            </w:tcBorders>
            <w:shd w:val="clear" w:color="auto" w:fill="auto"/>
            <w:noWrap/>
            <w:vAlign w:val="bottom"/>
            <w:hideMark/>
          </w:tcPr>
          <w:p w14:paraId="58B90DE5" w14:textId="77777777" w:rsidR="00FA18EA" w:rsidRPr="00A02B31" w:rsidRDefault="00FA18EA" w:rsidP="00FA18EA">
            <w:pPr>
              <w:jc w:val="right"/>
              <w:rPr>
                <w:rFonts w:eastAsia="Times New Roman" w:cstheme="minorHAnsi"/>
                <w:sz w:val="16"/>
                <w:szCs w:val="16"/>
                <w:lang w:eastAsia="en-GB"/>
              </w:rPr>
            </w:pPr>
            <w:r w:rsidRPr="00A02B31">
              <w:rPr>
                <w:rFonts w:eastAsia="Times New Roman" w:cstheme="minorHAnsi"/>
                <w:sz w:val="16"/>
                <w:szCs w:val="16"/>
                <w:lang w:eastAsia="en-GB"/>
              </w:rPr>
              <w:t>£'000</w:t>
            </w:r>
          </w:p>
        </w:tc>
        <w:tc>
          <w:tcPr>
            <w:tcW w:w="1102" w:type="dxa"/>
            <w:tcBorders>
              <w:left w:val="nil"/>
              <w:bottom w:val="single" w:sz="4" w:space="0" w:color="auto"/>
              <w:right w:val="nil"/>
            </w:tcBorders>
            <w:vAlign w:val="bottom"/>
          </w:tcPr>
          <w:p w14:paraId="4E56F770" w14:textId="77777777" w:rsidR="00FA18EA" w:rsidRPr="00A02B31" w:rsidRDefault="00FA18EA" w:rsidP="00FA18EA">
            <w:pPr>
              <w:jc w:val="right"/>
              <w:rPr>
                <w:rFonts w:eastAsia="Times New Roman" w:cstheme="minorHAnsi"/>
                <w:sz w:val="16"/>
                <w:szCs w:val="16"/>
                <w:lang w:eastAsia="en-GB"/>
              </w:rPr>
            </w:pPr>
            <w:r w:rsidRPr="00A02B31">
              <w:rPr>
                <w:rFonts w:eastAsia="Times New Roman" w:cstheme="minorHAnsi"/>
                <w:sz w:val="16"/>
                <w:szCs w:val="16"/>
                <w:lang w:eastAsia="en-GB"/>
              </w:rPr>
              <w:t>£'000</w:t>
            </w:r>
          </w:p>
        </w:tc>
        <w:tc>
          <w:tcPr>
            <w:tcW w:w="1102" w:type="dxa"/>
            <w:tcBorders>
              <w:left w:val="nil"/>
              <w:bottom w:val="single" w:sz="4" w:space="0" w:color="auto"/>
              <w:right w:val="nil"/>
            </w:tcBorders>
            <w:shd w:val="clear" w:color="auto" w:fill="auto"/>
            <w:noWrap/>
            <w:vAlign w:val="bottom"/>
            <w:hideMark/>
          </w:tcPr>
          <w:p w14:paraId="795F5714" w14:textId="77777777" w:rsidR="00FA18EA" w:rsidRPr="00A02B31" w:rsidRDefault="00FA18EA" w:rsidP="00FA18EA">
            <w:pPr>
              <w:jc w:val="right"/>
              <w:rPr>
                <w:rFonts w:eastAsia="Times New Roman" w:cstheme="minorHAnsi"/>
                <w:sz w:val="16"/>
                <w:szCs w:val="16"/>
                <w:lang w:eastAsia="en-GB"/>
              </w:rPr>
            </w:pPr>
            <w:r w:rsidRPr="00A02B31">
              <w:rPr>
                <w:rFonts w:eastAsia="Times New Roman" w:cstheme="minorHAnsi"/>
                <w:sz w:val="16"/>
                <w:szCs w:val="16"/>
                <w:lang w:eastAsia="en-GB"/>
              </w:rPr>
              <w:t>£'000</w:t>
            </w:r>
          </w:p>
        </w:tc>
        <w:tc>
          <w:tcPr>
            <w:tcW w:w="971" w:type="dxa"/>
            <w:tcBorders>
              <w:left w:val="nil"/>
              <w:bottom w:val="single" w:sz="4" w:space="0" w:color="auto"/>
              <w:right w:val="nil"/>
            </w:tcBorders>
            <w:vAlign w:val="bottom"/>
          </w:tcPr>
          <w:p w14:paraId="599CA0D6" w14:textId="77777777" w:rsidR="00FA18EA" w:rsidRPr="00A02B31" w:rsidRDefault="00FA18EA" w:rsidP="00FA18EA">
            <w:pPr>
              <w:jc w:val="right"/>
              <w:rPr>
                <w:rFonts w:eastAsia="Times New Roman" w:cstheme="minorHAnsi"/>
                <w:sz w:val="16"/>
                <w:szCs w:val="16"/>
                <w:lang w:eastAsia="en-GB"/>
              </w:rPr>
            </w:pPr>
            <w:r w:rsidRPr="00A02B31">
              <w:rPr>
                <w:rFonts w:eastAsia="Times New Roman" w:cstheme="minorHAnsi"/>
                <w:sz w:val="16"/>
                <w:szCs w:val="16"/>
                <w:lang w:eastAsia="en-GB"/>
              </w:rPr>
              <w:t>£'000</w:t>
            </w:r>
          </w:p>
        </w:tc>
        <w:tc>
          <w:tcPr>
            <w:tcW w:w="1263" w:type="dxa"/>
            <w:tcBorders>
              <w:left w:val="nil"/>
              <w:bottom w:val="single" w:sz="4" w:space="0" w:color="auto"/>
              <w:right w:val="nil"/>
            </w:tcBorders>
            <w:shd w:val="clear" w:color="auto" w:fill="auto"/>
            <w:noWrap/>
            <w:vAlign w:val="bottom"/>
            <w:hideMark/>
          </w:tcPr>
          <w:p w14:paraId="68D31445" w14:textId="77777777" w:rsidR="00FA18EA" w:rsidRPr="00A02B31" w:rsidRDefault="00FA18EA" w:rsidP="00FA18EA">
            <w:pPr>
              <w:jc w:val="right"/>
              <w:rPr>
                <w:rFonts w:eastAsia="Times New Roman" w:cstheme="minorHAnsi"/>
                <w:sz w:val="16"/>
                <w:szCs w:val="16"/>
                <w:lang w:eastAsia="en-GB"/>
              </w:rPr>
            </w:pPr>
            <w:r w:rsidRPr="00A02B31">
              <w:rPr>
                <w:rFonts w:eastAsia="Times New Roman" w:cstheme="minorHAnsi"/>
                <w:sz w:val="16"/>
                <w:szCs w:val="16"/>
                <w:lang w:eastAsia="en-GB"/>
              </w:rPr>
              <w:t>£'000</w:t>
            </w:r>
          </w:p>
        </w:tc>
      </w:tr>
      <w:tr w:rsidR="00FA18EA" w:rsidRPr="007600A7" w14:paraId="55EDCEA9" w14:textId="77777777" w:rsidTr="00FA18EA">
        <w:trPr>
          <w:trHeight w:val="274"/>
        </w:trPr>
        <w:tc>
          <w:tcPr>
            <w:tcW w:w="2289" w:type="dxa"/>
            <w:gridSpan w:val="2"/>
            <w:tcBorders>
              <w:top w:val="single" w:sz="4" w:space="0" w:color="auto"/>
            </w:tcBorders>
            <w:shd w:val="clear" w:color="auto" w:fill="auto"/>
            <w:noWrap/>
            <w:vAlign w:val="bottom"/>
            <w:hideMark/>
          </w:tcPr>
          <w:p w14:paraId="7828A12D" w14:textId="77777777" w:rsidR="00FA18EA" w:rsidRPr="008B2DDA" w:rsidRDefault="00FA18EA" w:rsidP="00FA18EA">
            <w:pPr>
              <w:rPr>
                <w:rFonts w:eastAsia="Times New Roman" w:cstheme="minorHAnsi"/>
                <w:sz w:val="16"/>
                <w:szCs w:val="16"/>
                <w:lang w:eastAsia="en-GB"/>
              </w:rPr>
            </w:pPr>
            <w:r w:rsidRPr="008B2DDA">
              <w:rPr>
                <w:rFonts w:eastAsia="Times New Roman" w:cstheme="minorHAnsi"/>
                <w:sz w:val="16"/>
                <w:szCs w:val="16"/>
                <w:lang w:eastAsia="en-GB"/>
              </w:rPr>
              <w:t>Investments in quoted companies (Level 1)</w:t>
            </w:r>
          </w:p>
        </w:tc>
        <w:tc>
          <w:tcPr>
            <w:tcW w:w="1289" w:type="dxa"/>
            <w:tcBorders>
              <w:top w:val="single" w:sz="4" w:space="0" w:color="auto"/>
            </w:tcBorders>
            <w:shd w:val="clear" w:color="auto" w:fill="auto"/>
            <w:noWrap/>
            <w:vAlign w:val="bottom"/>
            <w:hideMark/>
          </w:tcPr>
          <w:p w14:paraId="49BC3508" w14:textId="77777777" w:rsidR="00FA18EA" w:rsidRPr="0091098D" w:rsidRDefault="00FA18EA" w:rsidP="00FA18EA">
            <w:pPr>
              <w:tabs>
                <w:tab w:val="left" w:pos="-97"/>
              </w:tabs>
              <w:ind w:left="-97"/>
              <w:jc w:val="right"/>
              <w:rPr>
                <w:rFonts w:eastAsia="Times New Roman" w:cstheme="minorHAnsi"/>
                <w:sz w:val="16"/>
                <w:szCs w:val="16"/>
                <w:lang w:eastAsia="en-GB"/>
              </w:rPr>
            </w:pPr>
            <w:r w:rsidRPr="000C5053">
              <w:rPr>
                <w:rFonts w:eastAsia="Times New Roman" w:cstheme="minorHAnsi"/>
                <w:bCs/>
                <w:sz w:val="16"/>
                <w:szCs w:val="16"/>
                <w:lang w:eastAsia="en-GB"/>
              </w:rPr>
              <w:t>23,558</w:t>
            </w:r>
          </w:p>
        </w:tc>
        <w:tc>
          <w:tcPr>
            <w:tcW w:w="967" w:type="dxa"/>
            <w:tcBorders>
              <w:top w:val="single" w:sz="4" w:space="0" w:color="auto"/>
            </w:tcBorders>
            <w:shd w:val="clear" w:color="auto" w:fill="auto"/>
            <w:noWrap/>
            <w:vAlign w:val="bottom"/>
            <w:hideMark/>
          </w:tcPr>
          <w:p w14:paraId="544B4D25" w14:textId="77777777" w:rsidR="00FA18EA" w:rsidRPr="0075195E" w:rsidRDefault="00FA18EA" w:rsidP="00FA18EA">
            <w:pPr>
              <w:jc w:val="right"/>
              <w:rPr>
                <w:rFonts w:eastAsia="Times New Roman" w:cstheme="minorHAnsi"/>
                <w:sz w:val="16"/>
                <w:szCs w:val="16"/>
                <w:lang w:eastAsia="en-GB"/>
              </w:rPr>
            </w:pPr>
            <w:r w:rsidRPr="0075195E">
              <w:rPr>
                <w:rFonts w:eastAsia="Times New Roman" w:cstheme="minorHAnsi"/>
                <w:sz w:val="16"/>
                <w:szCs w:val="16"/>
                <w:lang w:eastAsia="en-GB"/>
              </w:rPr>
              <w:t>13,680</w:t>
            </w:r>
          </w:p>
        </w:tc>
        <w:tc>
          <w:tcPr>
            <w:tcW w:w="832" w:type="dxa"/>
            <w:tcBorders>
              <w:top w:val="single" w:sz="4" w:space="0" w:color="auto"/>
            </w:tcBorders>
            <w:shd w:val="clear" w:color="auto" w:fill="auto"/>
            <w:noWrap/>
            <w:vAlign w:val="bottom"/>
            <w:hideMark/>
          </w:tcPr>
          <w:p w14:paraId="67DB6B17" w14:textId="77777777" w:rsidR="00FA18EA" w:rsidRPr="00536A35" w:rsidRDefault="00FA18EA" w:rsidP="00FA18EA">
            <w:pPr>
              <w:jc w:val="right"/>
              <w:rPr>
                <w:rFonts w:eastAsia="Times New Roman" w:cstheme="minorHAnsi"/>
                <w:sz w:val="16"/>
                <w:szCs w:val="16"/>
                <w:lang w:eastAsia="en-GB"/>
              </w:rPr>
            </w:pPr>
            <w:r w:rsidRPr="00536A35">
              <w:rPr>
                <w:rFonts w:eastAsia="Times New Roman" w:cstheme="minorHAnsi"/>
                <w:sz w:val="16"/>
                <w:szCs w:val="16"/>
                <w:lang w:eastAsia="en-GB"/>
              </w:rPr>
              <w:t>(8,246)</w:t>
            </w:r>
          </w:p>
        </w:tc>
        <w:tc>
          <w:tcPr>
            <w:tcW w:w="1102" w:type="dxa"/>
            <w:tcBorders>
              <w:top w:val="single" w:sz="4" w:space="0" w:color="auto"/>
            </w:tcBorders>
            <w:vAlign w:val="bottom"/>
          </w:tcPr>
          <w:p w14:paraId="67A84BB6" w14:textId="77777777" w:rsidR="00FA18EA" w:rsidRPr="00A02B31" w:rsidRDefault="00FA18EA" w:rsidP="00FA18EA">
            <w:pPr>
              <w:jc w:val="right"/>
              <w:rPr>
                <w:rFonts w:eastAsia="Times New Roman" w:cstheme="minorHAnsi"/>
                <w:sz w:val="16"/>
                <w:szCs w:val="16"/>
                <w:lang w:eastAsia="en-GB"/>
              </w:rPr>
            </w:pPr>
            <w:r w:rsidRPr="00A02B31">
              <w:rPr>
                <w:rFonts w:eastAsia="Times New Roman" w:cstheme="minorHAnsi"/>
                <w:sz w:val="16"/>
                <w:szCs w:val="16"/>
                <w:lang w:eastAsia="en-GB"/>
              </w:rPr>
              <w:t>1,165</w:t>
            </w:r>
          </w:p>
        </w:tc>
        <w:tc>
          <w:tcPr>
            <w:tcW w:w="1102" w:type="dxa"/>
            <w:tcBorders>
              <w:top w:val="single" w:sz="4" w:space="0" w:color="auto"/>
            </w:tcBorders>
            <w:shd w:val="clear" w:color="auto" w:fill="auto"/>
            <w:noWrap/>
            <w:vAlign w:val="bottom"/>
            <w:hideMark/>
          </w:tcPr>
          <w:p w14:paraId="3E6D76B5" w14:textId="77777777" w:rsidR="00FA18EA" w:rsidRPr="00A02B31" w:rsidRDefault="00FA18EA" w:rsidP="00FA18EA">
            <w:pPr>
              <w:jc w:val="right"/>
              <w:rPr>
                <w:rFonts w:eastAsia="Times New Roman" w:cstheme="minorHAnsi"/>
                <w:sz w:val="16"/>
                <w:szCs w:val="16"/>
                <w:lang w:eastAsia="en-GB"/>
              </w:rPr>
            </w:pPr>
            <w:r w:rsidRPr="00A02B31">
              <w:rPr>
                <w:rFonts w:eastAsia="Times New Roman" w:cstheme="minorHAnsi"/>
                <w:sz w:val="16"/>
                <w:szCs w:val="16"/>
                <w:lang w:eastAsia="en-GB"/>
              </w:rPr>
              <w:t>17,408</w:t>
            </w:r>
          </w:p>
        </w:tc>
        <w:tc>
          <w:tcPr>
            <w:tcW w:w="971" w:type="dxa"/>
            <w:tcBorders>
              <w:top w:val="single" w:sz="4" w:space="0" w:color="auto"/>
            </w:tcBorders>
            <w:vAlign w:val="bottom"/>
          </w:tcPr>
          <w:p w14:paraId="086FE5AF" w14:textId="77777777" w:rsidR="00FA18EA" w:rsidRPr="00A02B31" w:rsidRDefault="00FA18EA" w:rsidP="00FA18EA">
            <w:pPr>
              <w:jc w:val="right"/>
              <w:rPr>
                <w:rFonts w:eastAsia="Times New Roman" w:cstheme="minorHAnsi"/>
                <w:sz w:val="16"/>
                <w:szCs w:val="16"/>
                <w:lang w:eastAsia="en-GB"/>
              </w:rPr>
            </w:pPr>
            <w:r w:rsidRPr="00A02B31">
              <w:rPr>
                <w:rFonts w:eastAsia="Times New Roman" w:cstheme="minorHAnsi"/>
                <w:sz w:val="16"/>
                <w:szCs w:val="16"/>
                <w:lang w:eastAsia="en-GB"/>
              </w:rPr>
              <w:t>-</w:t>
            </w:r>
          </w:p>
        </w:tc>
        <w:tc>
          <w:tcPr>
            <w:tcW w:w="1263" w:type="dxa"/>
            <w:tcBorders>
              <w:top w:val="single" w:sz="4" w:space="0" w:color="auto"/>
            </w:tcBorders>
            <w:shd w:val="clear" w:color="auto" w:fill="auto"/>
            <w:noWrap/>
            <w:vAlign w:val="bottom"/>
            <w:hideMark/>
          </w:tcPr>
          <w:p w14:paraId="47CB1B94" w14:textId="77777777" w:rsidR="00FA18EA" w:rsidRPr="00A02B31" w:rsidRDefault="00FA18EA" w:rsidP="00FA18EA">
            <w:pPr>
              <w:jc w:val="right"/>
              <w:rPr>
                <w:rFonts w:eastAsia="Times New Roman" w:cstheme="minorHAnsi"/>
                <w:sz w:val="16"/>
                <w:szCs w:val="16"/>
                <w:lang w:eastAsia="en-GB"/>
              </w:rPr>
            </w:pPr>
            <w:r w:rsidRPr="00A02B31">
              <w:rPr>
                <w:rFonts w:eastAsia="Times New Roman" w:cstheme="minorHAnsi"/>
                <w:b/>
                <w:bCs/>
                <w:sz w:val="16"/>
                <w:szCs w:val="16"/>
                <w:lang w:eastAsia="en-GB"/>
              </w:rPr>
              <w:t>47,565</w:t>
            </w:r>
          </w:p>
        </w:tc>
      </w:tr>
      <w:tr w:rsidR="00FA18EA" w:rsidRPr="007600A7" w14:paraId="31927BF8" w14:textId="77777777" w:rsidTr="00FA18EA">
        <w:trPr>
          <w:trHeight w:val="274"/>
        </w:trPr>
        <w:tc>
          <w:tcPr>
            <w:tcW w:w="2289" w:type="dxa"/>
            <w:gridSpan w:val="2"/>
            <w:tcBorders>
              <w:bottom w:val="single" w:sz="4" w:space="0" w:color="auto"/>
            </w:tcBorders>
            <w:shd w:val="clear" w:color="auto" w:fill="auto"/>
            <w:noWrap/>
            <w:vAlign w:val="bottom"/>
            <w:hideMark/>
          </w:tcPr>
          <w:p w14:paraId="1F1E17B1" w14:textId="77777777" w:rsidR="00FA18EA" w:rsidRPr="000C5053" w:rsidRDefault="00FA18EA" w:rsidP="00FA18EA">
            <w:pPr>
              <w:rPr>
                <w:rFonts w:eastAsia="Times New Roman" w:cstheme="minorHAnsi"/>
                <w:sz w:val="16"/>
                <w:szCs w:val="16"/>
                <w:lang w:eastAsia="en-GB"/>
              </w:rPr>
            </w:pPr>
            <w:r w:rsidRPr="008B2DDA">
              <w:rPr>
                <w:rFonts w:eastAsia="Times New Roman" w:cstheme="minorHAnsi"/>
                <w:sz w:val="16"/>
                <w:szCs w:val="16"/>
                <w:lang w:eastAsia="en-GB"/>
              </w:rPr>
              <w:t>Other unquoted investments (Level 3)</w:t>
            </w:r>
          </w:p>
        </w:tc>
        <w:tc>
          <w:tcPr>
            <w:tcW w:w="1289" w:type="dxa"/>
            <w:tcBorders>
              <w:bottom w:val="single" w:sz="4" w:space="0" w:color="auto"/>
            </w:tcBorders>
            <w:shd w:val="clear" w:color="auto" w:fill="auto"/>
            <w:noWrap/>
            <w:vAlign w:val="bottom"/>
            <w:hideMark/>
          </w:tcPr>
          <w:p w14:paraId="607FA329" w14:textId="77777777" w:rsidR="00FA18EA" w:rsidRPr="0091098D" w:rsidRDefault="00FA18EA" w:rsidP="00FA18EA">
            <w:pPr>
              <w:jc w:val="right"/>
              <w:rPr>
                <w:rFonts w:eastAsia="Times New Roman" w:cstheme="minorHAnsi"/>
                <w:sz w:val="16"/>
                <w:szCs w:val="16"/>
                <w:lang w:eastAsia="en-GB"/>
              </w:rPr>
            </w:pPr>
            <w:r w:rsidRPr="0091098D">
              <w:rPr>
                <w:rFonts w:eastAsia="Times New Roman" w:cstheme="minorHAnsi"/>
                <w:bCs/>
                <w:sz w:val="16"/>
                <w:szCs w:val="16"/>
                <w:lang w:eastAsia="en-GB"/>
              </w:rPr>
              <w:t>6,402</w:t>
            </w:r>
          </w:p>
        </w:tc>
        <w:tc>
          <w:tcPr>
            <w:tcW w:w="967" w:type="dxa"/>
            <w:tcBorders>
              <w:bottom w:val="single" w:sz="4" w:space="0" w:color="auto"/>
            </w:tcBorders>
            <w:shd w:val="clear" w:color="auto" w:fill="auto"/>
            <w:noWrap/>
            <w:vAlign w:val="bottom"/>
            <w:hideMark/>
          </w:tcPr>
          <w:p w14:paraId="1BA34F23" w14:textId="77777777" w:rsidR="00FA18EA" w:rsidRPr="0075195E" w:rsidRDefault="00FA18EA" w:rsidP="00FA18EA">
            <w:pPr>
              <w:jc w:val="right"/>
              <w:rPr>
                <w:rFonts w:eastAsia="Times New Roman" w:cstheme="minorHAnsi"/>
                <w:sz w:val="16"/>
                <w:szCs w:val="16"/>
                <w:lang w:eastAsia="en-GB"/>
              </w:rPr>
            </w:pPr>
            <w:r w:rsidRPr="0075195E">
              <w:rPr>
                <w:rFonts w:eastAsia="Times New Roman" w:cstheme="minorHAnsi"/>
                <w:sz w:val="16"/>
                <w:szCs w:val="16"/>
                <w:lang w:eastAsia="en-GB"/>
              </w:rPr>
              <w:t>1,545</w:t>
            </w:r>
          </w:p>
        </w:tc>
        <w:tc>
          <w:tcPr>
            <w:tcW w:w="832" w:type="dxa"/>
            <w:tcBorders>
              <w:bottom w:val="single" w:sz="4" w:space="0" w:color="auto"/>
            </w:tcBorders>
            <w:shd w:val="clear" w:color="auto" w:fill="auto"/>
            <w:noWrap/>
            <w:vAlign w:val="bottom"/>
            <w:hideMark/>
          </w:tcPr>
          <w:p w14:paraId="631FB320" w14:textId="77777777" w:rsidR="00FA18EA" w:rsidRPr="00536A35" w:rsidRDefault="00FA18EA" w:rsidP="00FA18EA">
            <w:pPr>
              <w:jc w:val="right"/>
              <w:rPr>
                <w:rFonts w:eastAsia="Times New Roman" w:cstheme="minorHAnsi"/>
                <w:sz w:val="16"/>
                <w:szCs w:val="16"/>
                <w:lang w:eastAsia="en-GB"/>
              </w:rPr>
            </w:pPr>
            <w:r w:rsidRPr="00536A35">
              <w:rPr>
                <w:rFonts w:eastAsia="Times New Roman" w:cstheme="minorHAnsi"/>
                <w:sz w:val="16"/>
                <w:szCs w:val="16"/>
                <w:lang w:eastAsia="en-GB"/>
              </w:rPr>
              <w:t>(2,888)</w:t>
            </w:r>
          </w:p>
        </w:tc>
        <w:tc>
          <w:tcPr>
            <w:tcW w:w="1102" w:type="dxa"/>
            <w:tcBorders>
              <w:bottom w:val="single" w:sz="4" w:space="0" w:color="auto"/>
            </w:tcBorders>
            <w:vAlign w:val="bottom"/>
          </w:tcPr>
          <w:p w14:paraId="5227C26B" w14:textId="77777777" w:rsidR="00FA18EA" w:rsidRPr="00A02B31" w:rsidRDefault="00FA18EA" w:rsidP="00FA18EA">
            <w:pPr>
              <w:jc w:val="right"/>
              <w:rPr>
                <w:rFonts w:eastAsia="Times New Roman" w:cstheme="minorHAnsi"/>
                <w:sz w:val="16"/>
                <w:szCs w:val="16"/>
                <w:lang w:eastAsia="en-GB"/>
              </w:rPr>
            </w:pPr>
            <w:r w:rsidRPr="00A02B31">
              <w:rPr>
                <w:rFonts w:eastAsia="Times New Roman" w:cstheme="minorHAnsi"/>
                <w:sz w:val="16"/>
                <w:szCs w:val="16"/>
                <w:lang w:eastAsia="en-GB"/>
              </w:rPr>
              <w:t>796</w:t>
            </w:r>
          </w:p>
        </w:tc>
        <w:tc>
          <w:tcPr>
            <w:tcW w:w="1102" w:type="dxa"/>
            <w:tcBorders>
              <w:bottom w:val="single" w:sz="4" w:space="0" w:color="auto"/>
            </w:tcBorders>
            <w:shd w:val="clear" w:color="auto" w:fill="auto"/>
            <w:noWrap/>
            <w:vAlign w:val="bottom"/>
            <w:hideMark/>
          </w:tcPr>
          <w:p w14:paraId="5A5A5D02" w14:textId="77777777" w:rsidR="00FA18EA" w:rsidRPr="00A02B31" w:rsidRDefault="00FA18EA" w:rsidP="00FA18EA">
            <w:pPr>
              <w:jc w:val="right"/>
              <w:rPr>
                <w:rFonts w:eastAsia="Times New Roman" w:cstheme="minorHAnsi"/>
                <w:sz w:val="16"/>
                <w:szCs w:val="16"/>
                <w:lang w:eastAsia="en-GB"/>
              </w:rPr>
            </w:pPr>
            <w:r w:rsidRPr="00A02B31">
              <w:rPr>
                <w:rFonts w:eastAsia="Times New Roman" w:cstheme="minorHAnsi"/>
                <w:sz w:val="16"/>
                <w:szCs w:val="16"/>
                <w:lang w:eastAsia="en-GB"/>
              </w:rPr>
              <w:t>468</w:t>
            </w:r>
          </w:p>
        </w:tc>
        <w:tc>
          <w:tcPr>
            <w:tcW w:w="971" w:type="dxa"/>
            <w:tcBorders>
              <w:bottom w:val="single" w:sz="4" w:space="0" w:color="auto"/>
            </w:tcBorders>
            <w:vAlign w:val="bottom"/>
          </w:tcPr>
          <w:p w14:paraId="57AF0345" w14:textId="77777777" w:rsidR="00FA18EA" w:rsidRPr="00A02B31" w:rsidRDefault="00FA18EA" w:rsidP="00FA18EA">
            <w:pPr>
              <w:jc w:val="right"/>
              <w:rPr>
                <w:rFonts w:eastAsia="Times New Roman" w:cstheme="minorHAnsi"/>
                <w:sz w:val="16"/>
                <w:szCs w:val="16"/>
                <w:lang w:eastAsia="en-GB"/>
              </w:rPr>
            </w:pPr>
            <w:r w:rsidRPr="00A02B31">
              <w:rPr>
                <w:rFonts w:eastAsia="Times New Roman" w:cstheme="minorHAnsi"/>
                <w:sz w:val="16"/>
                <w:szCs w:val="16"/>
                <w:lang w:eastAsia="en-GB"/>
              </w:rPr>
              <w:t>-</w:t>
            </w:r>
          </w:p>
        </w:tc>
        <w:tc>
          <w:tcPr>
            <w:tcW w:w="1263" w:type="dxa"/>
            <w:tcBorders>
              <w:bottom w:val="single" w:sz="4" w:space="0" w:color="auto"/>
            </w:tcBorders>
            <w:shd w:val="clear" w:color="auto" w:fill="auto"/>
            <w:noWrap/>
            <w:vAlign w:val="bottom"/>
            <w:hideMark/>
          </w:tcPr>
          <w:p w14:paraId="701D5D55" w14:textId="77777777" w:rsidR="00FA18EA" w:rsidRPr="00A02B31" w:rsidRDefault="00FA18EA" w:rsidP="00FA18EA">
            <w:pPr>
              <w:jc w:val="right"/>
              <w:rPr>
                <w:rFonts w:eastAsia="Times New Roman" w:cstheme="minorHAnsi"/>
                <w:sz w:val="16"/>
                <w:szCs w:val="16"/>
                <w:lang w:eastAsia="en-GB"/>
              </w:rPr>
            </w:pPr>
            <w:r w:rsidRPr="00A02B31">
              <w:rPr>
                <w:rFonts w:eastAsia="Times New Roman" w:cstheme="minorHAnsi"/>
                <w:b/>
                <w:bCs/>
                <w:sz w:val="16"/>
                <w:szCs w:val="16"/>
                <w:lang w:eastAsia="en-GB"/>
              </w:rPr>
              <w:t>6,323</w:t>
            </w:r>
          </w:p>
        </w:tc>
      </w:tr>
      <w:tr w:rsidR="00FA18EA" w:rsidRPr="007600A7" w14:paraId="790470BF" w14:textId="77777777" w:rsidTr="00FA18EA">
        <w:trPr>
          <w:trHeight w:val="403"/>
        </w:trPr>
        <w:tc>
          <w:tcPr>
            <w:tcW w:w="2289" w:type="dxa"/>
            <w:gridSpan w:val="2"/>
            <w:tcBorders>
              <w:top w:val="single" w:sz="4" w:space="0" w:color="auto"/>
              <w:bottom w:val="single" w:sz="4" w:space="0" w:color="auto"/>
            </w:tcBorders>
            <w:shd w:val="clear" w:color="auto" w:fill="auto"/>
            <w:vAlign w:val="bottom"/>
            <w:hideMark/>
          </w:tcPr>
          <w:p w14:paraId="5BAA96C2" w14:textId="77777777" w:rsidR="00FA18EA" w:rsidRPr="008B2DDA" w:rsidRDefault="00FA18EA" w:rsidP="00FA18EA">
            <w:pPr>
              <w:rPr>
                <w:rFonts w:eastAsia="Times New Roman" w:cstheme="minorHAnsi"/>
                <w:b/>
                <w:bCs/>
                <w:sz w:val="16"/>
                <w:szCs w:val="16"/>
                <w:lang w:eastAsia="en-GB"/>
              </w:rPr>
            </w:pPr>
            <w:r w:rsidRPr="008B2DDA">
              <w:rPr>
                <w:rFonts w:eastAsia="Times New Roman" w:cstheme="minorHAnsi"/>
                <w:b/>
                <w:bCs/>
                <w:sz w:val="16"/>
                <w:szCs w:val="16"/>
                <w:lang w:eastAsia="en-GB"/>
              </w:rPr>
              <w:t>Total investments at fair value through profit or loss</w:t>
            </w:r>
          </w:p>
        </w:tc>
        <w:tc>
          <w:tcPr>
            <w:tcW w:w="1289" w:type="dxa"/>
            <w:tcBorders>
              <w:top w:val="single" w:sz="4" w:space="0" w:color="auto"/>
              <w:bottom w:val="single" w:sz="4" w:space="0" w:color="auto"/>
            </w:tcBorders>
            <w:shd w:val="clear" w:color="auto" w:fill="auto"/>
            <w:noWrap/>
            <w:vAlign w:val="bottom"/>
            <w:hideMark/>
          </w:tcPr>
          <w:p w14:paraId="3A667D20" w14:textId="77777777" w:rsidR="00FA18EA" w:rsidRPr="0091098D" w:rsidRDefault="00FA18EA" w:rsidP="00FA18EA">
            <w:pPr>
              <w:jc w:val="right"/>
              <w:rPr>
                <w:rFonts w:eastAsia="Times New Roman" w:cstheme="minorHAnsi"/>
                <w:sz w:val="16"/>
                <w:szCs w:val="16"/>
                <w:lang w:eastAsia="en-GB"/>
              </w:rPr>
            </w:pPr>
            <w:r w:rsidRPr="000C5053">
              <w:rPr>
                <w:rFonts w:eastAsia="Times New Roman" w:cstheme="minorHAnsi"/>
                <w:sz w:val="16"/>
                <w:szCs w:val="16"/>
                <w:lang w:eastAsia="en-GB"/>
              </w:rPr>
              <w:t>29,960</w:t>
            </w:r>
          </w:p>
        </w:tc>
        <w:tc>
          <w:tcPr>
            <w:tcW w:w="967" w:type="dxa"/>
            <w:tcBorders>
              <w:top w:val="single" w:sz="4" w:space="0" w:color="auto"/>
              <w:bottom w:val="single" w:sz="4" w:space="0" w:color="auto"/>
            </w:tcBorders>
            <w:shd w:val="clear" w:color="auto" w:fill="auto"/>
            <w:noWrap/>
            <w:vAlign w:val="bottom"/>
            <w:hideMark/>
          </w:tcPr>
          <w:p w14:paraId="08DAF6A4" w14:textId="77777777" w:rsidR="00FA18EA" w:rsidRPr="0075195E" w:rsidRDefault="00FA18EA" w:rsidP="00FA18EA">
            <w:pPr>
              <w:jc w:val="right"/>
              <w:rPr>
                <w:rFonts w:eastAsia="Times New Roman" w:cstheme="minorHAnsi"/>
                <w:sz w:val="16"/>
                <w:szCs w:val="16"/>
                <w:lang w:eastAsia="en-GB"/>
              </w:rPr>
            </w:pPr>
            <w:r w:rsidRPr="0075195E">
              <w:rPr>
                <w:rFonts w:eastAsia="Times New Roman" w:cstheme="minorHAnsi"/>
                <w:b/>
                <w:bCs/>
                <w:sz w:val="16"/>
                <w:szCs w:val="16"/>
                <w:lang w:eastAsia="en-GB"/>
              </w:rPr>
              <w:t>15,225</w:t>
            </w:r>
          </w:p>
        </w:tc>
        <w:tc>
          <w:tcPr>
            <w:tcW w:w="832" w:type="dxa"/>
            <w:tcBorders>
              <w:top w:val="single" w:sz="4" w:space="0" w:color="auto"/>
              <w:bottom w:val="single" w:sz="4" w:space="0" w:color="auto"/>
            </w:tcBorders>
            <w:shd w:val="clear" w:color="auto" w:fill="auto"/>
            <w:noWrap/>
            <w:vAlign w:val="bottom"/>
            <w:hideMark/>
          </w:tcPr>
          <w:p w14:paraId="5334A607" w14:textId="77777777" w:rsidR="00FA18EA" w:rsidRPr="00A02B31" w:rsidRDefault="00FA18EA" w:rsidP="00FA18EA">
            <w:pPr>
              <w:jc w:val="right"/>
              <w:rPr>
                <w:rFonts w:eastAsia="Times New Roman" w:cstheme="minorHAnsi"/>
                <w:sz w:val="16"/>
                <w:szCs w:val="16"/>
                <w:lang w:eastAsia="en-GB"/>
              </w:rPr>
            </w:pPr>
            <w:r w:rsidRPr="00536A35">
              <w:rPr>
                <w:rFonts w:eastAsia="Times New Roman" w:cstheme="minorHAnsi"/>
                <w:b/>
                <w:bCs/>
                <w:sz w:val="16"/>
                <w:szCs w:val="16"/>
                <w:lang w:eastAsia="en-GB"/>
              </w:rPr>
              <w:t>(11,134)</w:t>
            </w:r>
          </w:p>
        </w:tc>
        <w:tc>
          <w:tcPr>
            <w:tcW w:w="1102" w:type="dxa"/>
            <w:tcBorders>
              <w:top w:val="single" w:sz="4" w:space="0" w:color="auto"/>
              <w:bottom w:val="single" w:sz="4" w:space="0" w:color="auto"/>
            </w:tcBorders>
            <w:vAlign w:val="bottom"/>
          </w:tcPr>
          <w:p w14:paraId="25D23A14" w14:textId="77777777" w:rsidR="00FA18EA" w:rsidRPr="00A02B31" w:rsidRDefault="00FA18EA" w:rsidP="00FA18EA">
            <w:pPr>
              <w:jc w:val="right"/>
              <w:rPr>
                <w:rFonts w:eastAsia="Times New Roman" w:cstheme="minorHAnsi"/>
                <w:sz w:val="16"/>
                <w:szCs w:val="16"/>
                <w:lang w:eastAsia="en-GB"/>
              </w:rPr>
            </w:pPr>
            <w:r w:rsidRPr="00A02B31">
              <w:rPr>
                <w:rFonts w:eastAsia="Times New Roman" w:cstheme="minorHAnsi"/>
                <w:b/>
                <w:bCs/>
                <w:sz w:val="16"/>
                <w:szCs w:val="16"/>
                <w:lang w:eastAsia="en-GB"/>
              </w:rPr>
              <w:t>1,961</w:t>
            </w:r>
          </w:p>
        </w:tc>
        <w:tc>
          <w:tcPr>
            <w:tcW w:w="1102" w:type="dxa"/>
            <w:tcBorders>
              <w:top w:val="single" w:sz="4" w:space="0" w:color="auto"/>
              <w:bottom w:val="single" w:sz="4" w:space="0" w:color="auto"/>
            </w:tcBorders>
            <w:vAlign w:val="bottom"/>
          </w:tcPr>
          <w:p w14:paraId="0D0ADB73" w14:textId="77777777" w:rsidR="00FA18EA" w:rsidRPr="00A02B31" w:rsidRDefault="00FA18EA" w:rsidP="00FA18EA">
            <w:pPr>
              <w:jc w:val="right"/>
              <w:rPr>
                <w:rFonts w:eastAsia="Times New Roman" w:cstheme="minorHAnsi"/>
                <w:sz w:val="16"/>
                <w:szCs w:val="16"/>
                <w:lang w:eastAsia="en-GB"/>
              </w:rPr>
            </w:pPr>
            <w:r w:rsidRPr="00A02B31">
              <w:rPr>
                <w:rFonts w:eastAsia="Times New Roman" w:cstheme="minorHAnsi"/>
                <w:b/>
                <w:bCs/>
                <w:sz w:val="16"/>
                <w:szCs w:val="16"/>
                <w:lang w:eastAsia="en-GB"/>
              </w:rPr>
              <w:t>17,876</w:t>
            </w:r>
          </w:p>
        </w:tc>
        <w:tc>
          <w:tcPr>
            <w:tcW w:w="971" w:type="dxa"/>
            <w:tcBorders>
              <w:top w:val="single" w:sz="4" w:space="0" w:color="auto"/>
              <w:bottom w:val="single" w:sz="4" w:space="0" w:color="auto"/>
            </w:tcBorders>
            <w:shd w:val="clear" w:color="auto" w:fill="auto"/>
            <w:noWrap/>
            <w:vAlign w:val="bottom"/>
            <w:hideMark/>
          </w:tcPr>
          <w:p w14:paraId="74917782" w14:textId="77777777" w:rsidR="00FA18EA" w:rsidRPr="00A02B31" w:rsidRDefault="00FA18EA" w:rsidP="00FA18EA">
            <w:pPr>
              <w:jc w:val="right"/>
              <w:rPr>
                <w:rFonts w:eastAsia="Times New Roman" w:cstheme="minorHAnsi"/>
                <w:sz w:val="16"/>
                <w:szCs w:val="16"/>
                <w:lang w:eastAsia="en-GB"/>
              </w:rPr>
            </w:pPr>
            <w:r w:rsidRPr="00A02B31">
              <w:rPr>
                <w:rFonts w:eastAsia="Times New Roman" w:cstheme="minorHAnsi"/>
                <w:b/>
                <w:bCs/>
                <w:sz w:val="16"/>
                <w:szCs w:val="16"/>
                <w:lang w:eastAsia="en-GB"/>
              </w:rPr>
              <w:t>-</w:t>
            </w:r>
          </w:p>
        </w:tc>
        <w:tc>
          <w:tcPr>
            <w:tcW w:w="1263" w:type="dxa"/>
            <w:tcBorders>
              <w:top w:val="single" w:sz="4" w:space="0" w:color="auto"/>
              <w:bottom w:val="single" w:sz="4" w:space="0" w:color="auto"/>
            </w:tcBorders>
            <w:shd w:val="clear" w:color="auto" w:fill="auto"/>
            <w:noWrap/>
            <w:vAlign w:val="bottom"/>
            <w:hideMark/>
          </w:tcPr>
          <w:p w14:paraId="0BA2A0EE" w14:textId="77777777" w:rsidR="00FA18EA" w:rsidRPr="00A02B31" w:rsidRDefault="00FA18EA" w:rsidP="00FA18EA">
            <w:pPr>
              <w:ind w:left="-216" w:firstLine="142"/>
              <w:jc w:val="right"/>
              <w:rPr>
                <w:rFonts w:eastAsia="Times New Roman" w:cstheme="minorHAnsi"/>
                <w:sz w:val="16"/>
                <w:szCs w:val="16"/>
                <w:lang w:eastAsia="en-GB"/>
              </w:rPr>
            </w:pPr>
            <w:r w:rsidRPr="00A02B31">
              <w:rPr>
                <w:rFonts w:eastAsia="Times New Roman" w:cstheme="minorHAnsi"/>
                <w:b/>
                <w:bCs/>
                <w:sz w:val="16"/>
                <w:szCs w:val="16"/>
                <w:lang w:eastAsia="en-GB"/>
              </w:rPr>
              <w:t>53,888</w:t>
            </w:r>
          </w:p>
        </w:tc>
      </w:tr>
    </w:tbl>
    <w:p w14:paraId="3A66489F" w14:textId="77777777" w:rsidR="00FA18EA" w:rsidRPr="008B2DDA" w:rsidRDefault="00FA18EA" w:rsidP="00FA18EA">
      <w:pPr>
        <w:autoSpaceDE w:val="0"/>
        <w:autoSpaceDN w:val="0"/>
        <w:adjustRightInd w:val="0"/>
        <w:jc w:val="both"/>
        <w:rPr>
          <w:rFonts w:cstheme="minorHAnsi"/>
          <w:color w:val="000000" w:themeColor="text1"/>
          <w:sz w:val="18"/>
          <w:szCs w:val="18"/>
        </w:rPr>
      </w:pPr>
    </w:p>
    <w:p w14:paraId="00FCD1B5" w14:textId="77777777" w:rsidR="00FA18EA" w:rsidRPr="008B2DDA" w:rsidRDefault="00FA18EA" w:rsidP="00FA18EA">
      <w:pPr>
        <w:pageBreakBefore/>
        <w:autoSpaceDE w:val="0"/>
        <w:autoSpaceDN w:val="0"/>
        <w:adjustRightInd w:val="0"/>
        <w:rPr>
          <w:rFonts w:cstheme="minorHAnsi"/>
          <w:b/>
          <w:color w:val="000000"/>
        </w:rPr>
      </w:pPr>
      <w:r w:rsidRPr="008B2DDA">
        <w:rPr>
          <w:rFonts w:cstheme="minorHAnsi"/>
          <w:b/>
          <w:color w:val="000000"/>
          <w:sz w:val="28"/>
        </w:rPr>
        <w:lastRenderedPageBreak/>
        <w:t>Notes to the Financial Statements (continued)</w:t>
      </w:r>
    </w:p>
    <w:p w14:paraId="7E05CD57" w14:textId="77777777" w:rsidR="00FA18EA" w:rsidRPr="000C5053" w:rsidRDefault="00FA18EA" w:rsidP="00FA18EA">
      <w:pPr>
        <w:autoSpaceDE w:val="0"/>
        <w:autoSpaceDN w:val="0"/>
        <w:adjustRightInd w:val="0"/>
        <w:rPr>
          <w:rFonts w:cstheme="minorHAnsi"/>
          <w:color w:val="000000"/>
          <w:sz w:val="18"/>
        </w:rPr>
      </w:pPr>
    </w:p>
    <w:p w14:paraId="3FA3727A" w14:textId="77777777" w:rsidR="00FA18EA" w:rsidRPr="0091098D" w:rsidRDefault="00FA18EA" w:rsidP="00FA18EA">
      <w:pPr>
        <w:autoSpaceDE w:val="0"/>
        <w:autoSpaceDN w:val="0"/>
        <w:adjustRightInd w:val="0"/>
        <w:rPr>
          <w:rFonts w:cstheme="minorHAnsi"/>
          <w:b/>
          <w:color w:val="000000"/>
        </w:rPr>
      </w:pPr>
      <w:r w:rsidRPr="0091098D">
        <w:rPr>
          <w:rFonts w:cstheme="minorHAnsi"/>
          <w:b/>
          <w:color w:val="000000"/>
        </w:rPr>
        <w:t>8 Investments at fair value through profit or loss (continued)</w:t>
      </w:r>
    </w:p>
    <w:p w14:paraId="7C6B78AD" w14:textId="77777777" w:rsidR="00FA18EA" w:rsidRPr="0075195E" w:rsidRDefault="00FA18EA" w:rsidP="00FA18EA">
      <w:pPr>
        <w:autoSpaceDE w:val="0"/>
        <w:autoSpaceDN w:val="0"/>
        <w:adjustRightInd w:val="0"/>
        <w:ind w:left="720" w:hanging="720"/>
        <w:rPr>
          <w:rFonts w:cstheme="minorHAnsi"/>
          <w:color w:val="000000"/>
          <w:sz w:val="18"/>
          <w:szCs w:val="18"/>
        </w:rPr>
      </w:pPr>
    </w:p>
    <w:p w14:paraId="42017431" w14:textId="4E0D7840" w:rsidR="00FA18EA" w:rsidRPr="00A02B31" w:rsidRDefault="00FA18EA" w:rsidP="00FA18EA">
      <w:pPr>
        <w:autoSpaceDE w:val="0"/>
        <w:autoSpaceDN w:val="0"/>
        <w:adjustRightInd w:val="0"/>
        <w:jc w:val="both"/>
        <w:rPr>
          <w:rFonts w:cstheme="minorHAnsi"/>
          <w:color w:val="000000"/>
          <w:sz w:val="18"/>
          <w:szCs w:val="16"/>
        </w:rPr>
      </w:pPr>
      <w:r w:rsidRPr="00536A35">
        <w:rPr>
          <w:rFonts w:cstheme="minorHAnsi"/>
          <w:color w:val="000000"/>
          <w:sz w:val="18"/>
          <w:szCs w:val="16"/>
        </w:rPr>
        <w:t>For the year e</w:t>
      </w:r>
      <w:r w:rsidRPr="00A02B31">
        <w:rPr>
          <w:rFonts w:cstheme="minorHAnsi"/>
          <w:color w:val="000000"/>
          <w:sz w:val="18"/>
          <w:szCs w:val="16"/>
        </w:rPr>
        <w:t>nded 31 March 202</w:t>
      </w:r>
      <w:r w:rsidR="007F3217">
        <w:rPr>
          <w:rFonts w:cstheme="minorHAnsi"/>
          <w:color w:val="000000"/>
          <w:sz w:val="18"/>
          <w:szCs w:val="16"/>
        </w:rPr>
        <w:t>2</w:t>
      </w:r>
      <w:r w:rsidRPr="00A02B31">
        <w:rPr>
          <w:rFonts w:cstheme="minorHAnsi"/>
          <w:color w:val="000000"/>
          <w:sz w:val="18"/>
          <w:szCs w:val="16"/>
        </w:rPr>
        <w:t xml:space="preserve">, there was a transfer from Level 3 to Level 1 of £389,886 Northbridge loan notes converted to equity shares and National World amounting to </w:t>
      </w:r>
      <w:r w:rsidRPr="00A02B31">
        <w:rPr>
          <w:rFonts w:eastAsia="Times New Roman" w:cstheme="minorHAnsi"/>
          <w:sz w:val="18"/>
          <w:szCs w:val="18"/>
          <w:lang w:eastAsia="en-SG"/>
        </w:rPr>
        <w:t>£1,348,931 converted to equity shares as a result of its admission to AIM</w:t>
      </w:r>
      <w:r w:rsidRPr="00A02B31">
        <w:rPr>
          <w:rFonts w:cstheme="minorHAnsi"/>
          <w:color w:val="000000"/>
          <w:sz w:val="18"/>
          <w:szCs w:val="16"/>
        </w:rPr>
        <w:t>. For the year ended 31 March 2021, there were no transfers of the investments between the fair value hierarchy levels.</w:t>
      </w:r>
    </w:p>
    <w:p w14:paraId="4CD352A4" w14:textId="77777777" w:rsidR="00FA18EA" w:rsidRPr="00A02B31" w:rsidRDefault="00FA18EA" w:rsidP="00FA18EA">
      <w:pPr>
        <w:autoSpaceDE w:val="0"/>
        <w:autoSpaceDN w:val="0"/>
        <w:adjustRightInd w:val="0"/>
        <w:jc w:val="both"/>
        <w:rPr>
          <w:rFonts w:cstheme="minorHAnsi"/>
          <w:color w:val="000000" w:themeColor="text1"/>
          <w:sz w:val="18"/>
          <w:szCs w:val="18"/>
        </w:rPr>
      </w:pPr>
    </w:p>
    <w:p w14:paraId="62164B6C" w14:textId="77777777" w:rsidR="00FA18EA" w:rsidRPr="00A02B31" w:rsidRDefault="00FA18EA" w:rsidP="00FA18EA">
      <w:pPr>
        <w:autoSpaceDE w:val="0"/>
        <w:autoSpaceDN w:val="0"/>
        <w:adjustRightInd w:val="0"/>
        <w:jc w:val="both"/>
        <w:rPr>
          <w:rFonts w:cstheme="minorHAnsi"/>
          <w:color w:val="000000" w:themeColor="text1"/>
          <w:sz w:val="18"/>
          <w:szCs w:val="18"/>
        </w:rPr>
      </w:pPr>
      <w:r w:rsidRPr="00A02B31">
        <w:rPr>
          <w:rFonts w:cstheme="minorHAnsi"/>
          <w:color w:val="000000" w:themeColor="text1"/>
          <w:sz w:val="18"/>
          <w:szCs w:val="18"/>
        </w:rPr>
        <w:t>The revaluations and gains on disposal above are included in the statement of comprehensive income as gains on investments.</w:t>
      </w:r>
    </w:p>
    <w:p w14:paraId="0C585304" w14:textId="77777777" w:rsidR="00FA18EA" w:rsidRPr="00A02B31" w:rsidRDefault="00FA18EA" w:rsidP="00FA18EA">
      <w:pPr>
        <w:autoSpaceDE w:val="0"/>
        <w:autoSpaceDN w:val="0"/>
        <w:adjustRightInd w:val="0"/>
        <w:jc w:val="both"/>
        <w:rPr>
          <w:rFonts w:cstheme="minorHAnsi"/>
          <w:color w:val="000000" w:themeColor="text1"/>
          <w:sz w:val="18"/>
          <w:szCs w:val="18"/>
        </w:rPr>
      </w:pPr>
    </w:p>
    <w:tbl>
      <w:tblPr>
        <w:tblW w:w="9638" w:type="dxa"/>
        <w:tblInd w:w="108" w:type="dxa"/>
        <w:tblLook w:val="04A0" w:firstRow="1" w:lastRow="0" w:firstColumn="1" w:lastColumn="0" w:noHBand="0" w:noVBand="1"/>
      </w:tblPr>
      <w:tblGrid>
        <w:gridCol w:w="6998"/>
        <w:gridCol w:w="1359"/>
        <w:gridCol w:w="1281"/>
      </w:tblGrid>
      <w:tr w:rsidR="00FA18EA" w:rsidRPr="007600A7" w14:paraId="55019F15" w14:textId="77777777" w:rsidTr="00FA18EA">
        <w:trPr>
          <w:trHeight w:val="222"/>
        </w:trPr>
        <w:tc>
          <w:tcPr>
            <w:tcW w:w="6998" w:type="dxa"/>
            <w:tcBorders>
              <w:top w:val="single" w:sz="4" w:space="0" w:color="auto"/>
              <w:left w:val="nil"/>
              <w:bottom w:val="nil"/>
              <w:right w:val="nil"/>
            </w:tcBorders>
            <w:shd w:val="clear" w:color="auto" w:fill="auto"/>
            <w:noWrap/>
            <w:vAlign w:val="bottom"/>
            <w:hideMark/>
          </w:tcPr>
          <w:p w14:paraId="33757FB2" w14:textId="77777777" w:rsidR="00FA18EA" w:rsidRPr="00A02B31" w:rsidRDefault="00FA18EA" w:rsidP="00FA18EA">
            <w:pPr>
              <w:rPr>
                <w:rFonts w:eastAsia="Times New Roman" w:cstheme="minorHAnsi"/>
                <w:lang w:eastAsia="en-GB"/>
              </w:rPr>
            </w:pPr>
            <w:r w:rsidRPr="00A02B31">
              <w:rPr>
                <w:rFonts w:eastAsia="Times New Roman" w:cstheme="minorHAnsi"/>
                <w:lang w:eastAsia="en-GB"/>
              </w:rPr>
              <w:t> </w:t>
            </w:r>
          </w:p>
        </w:tc>
        <w:tc>
          <w:tcPr>
            <w:tcW w:w="1359" w:type="dxa"/>
            <w:tcBorders>
              <w:top w:val="single" w:sz="4" w:space="0" w:color="auto"/>
              <w:left w:val="nil"/>
              <w:bottom w:val="nil"/>
              <w:right w:val="nil"/>
            </w:tcBorders>
            <w:shd w:val="clear" w:color="auto" w:fill="auto"/>
            <w:noWrap/>
            <w:vAlign w:val="bottom"/>
            <w:hideMark/>
          </w:tcPr>
          <w:p w14:paraId="3DB08ED4" w14:textId="77777777" w:rsidR="00FA18EA" w:rsidRPr="00A02B31" w:rsidRDefault="00FA18EA" w:rsidP="00FA18EA">
            <w:pPr>
              <w:jc w:val="right"/>
              <w:rPr>
                <w:rFonts w:eastAsia="Times New Roman" w:cstheme="minorHAnsi"/>
                <w:b/>
                <w:bCs/>
                <w:sz w:val="16"/>
                <w:szCs w:val="16"/>
                <w:lang w:eastAsia="en-GB"/>
              </w:rPr>
            </w:pPr>
            <w:r w:rsidRPr="00A02B31">
              <w:rPr>
                <w:rFonts w:eastAsia="Times New Roman" w:cstheme="minorHAnsi"/>
                <w:b/>
                <w:bCs/>
                <w:sz w:val="16"/>
                <w:szCs w:val="16"/>
                <w:lang w:eastAsia="en-GB"/>
              </w:rPr>
              <w:t>Value at</w:t>
            </w:r>
          </w:p>
        </w:tc>
        <w:tc>
          <w:tcPr>
            <w:tcW w:w="1281" w:type="dxa"/>
            <w:tcBorders>
              <w:top w:val="single" w:sz="4" w:space="0" w:color="auto"/>
              <w:left w:val="nil"/>
              <w:bottom w:val="nil"/>
              <w:right w:val="nil"/>
            </w:tcBorders>
            <w:shd w:val="clear" w:color="auto" w:fill="auto"/>
            <w:noWrap/>
            <w:vAlign w:val="bottom"/>
            <w:hideMark/>
          </w:tcPr>
          <w:p w14:paraId="39643993" w14:textId="77777777" w:rsidR="00FA18EA" w:rsidRPr="00A02B31" w:rsidRDefault="00FA18EA" w:rsidP="00FA18EA">
            <w:pPr>
              <w:jc w:val="right"/>
              <w:rPr>
                <w:rFonts w:eastAsia="Times New Roman" w:cstheme="minorHAnsi"/>
                <w:sz w:val="16"/>
                <w:szCs w:val="16"/>
                <w:lang w:eastAsia="en-GB"/>
              </w:rPr>
            </w:pPr>
            <w:r w:rsidRPr="00A02B31">
              <w:rPr>
                <w:rFonts w:eastAsia="Times New Roman" w:cstheme="minorHAnsi"/>
                <w:sz w:val="16"/>
                <w:szCs w:val="16"/>
                <w:lang w:eastAsia="en-GB"/>
              </w:rPr>
              <w:t>Value at</w:t>
            </w:r>
          </w:p>
        </w:tc>
      </w:tr>
      <w:tr w:rsidR="00FA18EA" w:rsidRPr="007600A7" w14:paraId="6EF62EDB" w14:textId="77777777" w:rsidTr="00FA18EA">
        <w:trPr>
          <w:trHeight w:val="222"/>
        </w:trPr>
        <w:tc>
          <w:tcPr>
            <w:tcW w:w="6998" w:type="dxa"/>
            <w:tcBorders>
              <w:top w:val="nil"/>
              <w:left w:val="nil"/>
              <w:bottom w:val="nil"/>
              <w:right w:val="nil"/>
            </w:tcBorders>
            <w:shd w:val="clear" w:color="auto" w:fill="auto"/>
            <w:noWrap/>
            <w:vAlign w:val="bottom"/>
            <w:hideMark/>
          </w:tcPr>
          <w:p w14:paraId="3A40CAEF" w14:textId="77777777" w:rsidR="00FA18EA" w:rsidRPr="008B2DDA" w:rsidRDefault="00FA18EA" w:rsidP="00FA18EA">
            <w:pPr>
              <w:rPr>
                <w:rFonts w:eastAsia="Times New Roman" w:cstheme="minorHAnsi"/>
                <w:lang w:eastAsia="en-GB"/>
              </w:rPr>
            </w:pPr>
          </w:p>
        </w:tc>
        <w:tc>
          <w:tcPr>
            <w:tcW w:w="1359" w:type="dxa"/>
            <w:tcBorders>
              <w:top w:val="nil"/>
              <w:left w:val="nil"/>
              <w:bottom w:val="nil"/>
              <w:right w:val="nil"/>
            </w:tcBorders>
            <w:shd w:val="clear" w:color="auto" w:fill="auto"/>
            <w:noWrap/>
            <w:vAlign w:val="bottom"/>
            <w:hideMark/>
          </w:tcPr>
          <w:p w14:paraId="62B618A6" w14:textId="77777777" w:rsidR="00FA18EA" w:rsidRPr="0091098D" w:rsidRDefault="00FA18EA" w:rsidP="00FA18EA">
            <w:pPr>
              <w:jc w:val="right"/>
              <w:rPr>
                <w:rFonts w:eastAsia="Times New Roman" w:cstheme="minorHAnsi"/>
                <w:b/>
                <w:bCs/>
                <w:sz w:val="16"/>
                <w:szCs w:val="16"/>
                <w:lang w:eastAsia="en-GB"/>
              </w:rPr>
            </w:pPr>
            <w:r w:rsidRPr="000C5053">
              <w:rPr>
                <w:rFonts w:eastAsia="Times New Roman" w:cstheme="minorHAnsi"/>
                <w:b/>
                <w:bCs/>
                <w:sz w:val="16"/>
                <w:szCs w:val="16"/>
                <w:lang w:eastAsia="en-GB"/>
              </w:rPr>
              <w:t>31 March 2022</w:t>
            </w:r>
          </w:p>
        </w:tc>
        <w:tc>
          <w:tcPr>
            <w:tcW w:w="1281" w:type="dxa"/>
            <w:tcBorders>
              <w:top w:val="nil"/>
              <w:left w:val="nil"/>
              <w:bottom w:val="nil"/>
              <w:right w:val="nil"/>
            </w:tcBorders>
            <w:shd w:val="clear" w:color="auto" w:fill="auto"/>
            <w:noWrap/>
            <w:vAlign w:val="bottom"/>
            <w:hideMark/>
          </w:tcPr>
          <w:p w14:paraId="7EDC92BC" w14:textId="77777777" w:rsidR="00FA18EA" w:rsidRPr="0075195E" w:rsidRDefault="00FA18EA" w:rsidP="00FA18EA">
            <w:pPr>
              <w:jc w:val="right"/>
              <w:rPr>
                <w:rFonts w:eastAsia="Times New Roman" w:cstheme="minorHAnsi"/>
                <w:sz w:val="16"/>
                <w:szCs w:val="16"/>
                <w:lang w:eastAsia="en-GB"/>
              </w:rPr>
            </w:pPr>
            <w:r w:rsidRPr="0075195E">
              <w:rPr>
                <w:rFonts w:eastAsia="Times New Roman" w:cstheme="minorHAnsi"/>
                <w:sz w:val="16"/>
                <w:szCs w:val="16"/>
                <w:lang w:eastAsia="en-GB"/>
              </w:rPr>
              <w:t>31 March 2021</w:t>
            </w:r>
          </w:p>
        </w:tc>
      </w:tr>
      <w:tr w:rsidR="00FA18EA" w:rsidRPr="007600A7" w14:paraId="24C4179A" w14:textId="77777777" w:rsidTr="00FA18EA">
        <w:tc>
          <w:tcPr>
            <w:tcW w:w="0" w:type="auto"/>
            <w:tcBorders>
              <w:top w:val="nil"/>
              <w:left w:val="nil"/>
              <w:bottom w:val="single" w:sz="4" w:space="0" w:color="auto"/>
              <w:right w:val="nil"/>
            </w:tcBorders>
            <w:shd w:val="clear" w:color="auto" w:fill="auto"/>
            <w:noWrap/>
            <w:vAlign w:val="bottom"/>
            <w:hideMark/>
          </w:tcPr>
          <w:p w14:paraId="75706B6F" w14:textId="77777777" w:rsidR="00FA18EA" w:rsidRPr="008B2DDA" w:rsidRDefault="00FA18EA" w:rsidP="00FA18EA">
            <w:pPr>
              <w:rPr>
                <w:rFonts w:eastAsia="Times New Roman" w:cstheme="minorHAnsi"/>
                <w:lang w:eastAsia="en-GB"/>
              </w:rPr>
            </w:pPr>
            <w:r w:rsidRPr="008B2DDA">
              <w:rPr>
                <w:rFonts w:eastAsia="Times New Roman" w:cstheme="minorHAnsi"/>
                <w:lang w:eastAsia="en-GB"/>
              </w:rPr>
              <w:t> </w:t>
            </w:r>
          </w:p>
        </w:tc>
        <w:tc>
          <w:tcPr>
            <w:tcW w:w="1359" w:type="dxa"/>
            <w:tcBorders>
              <w:top w:val="nil"/>
              <w:left w:val="nil"/>
              <w:bottom w:val="single" w:sz="4" w:space="0" w:color="auto"/>
              <w:right w:val="nil"/>
            </w:tcBorders>
            <w:shd w:val="clear" w:color="auto" w:fill="auto"/>
            <w:noWrap/>
            <w:vAlign w:val="bottom"/>
            <w:hideMark/>
          </w:tcPr>
          <w:p w14:paraId="74D68678" w14:textId="77777777" w:rsidR="00FA18EA" w:rsidRPr="0091098D" w:rsidRDefault="00FA18EA" w:rsidP="00FA18EA">
            <w:pPr>
              <w:jc w:val="right"/>
              <w:rPr>
                <w:rFonts w:eastAsia="Times New Roman" w:cstheme="minorHAnsi"/>
                <w:b/>
                <w:bCs/>
                <w:sz w:val="16"/>
                <w:szCs w:val="16"/>
                <w:lang w:eastAsia="en-GB"/>
              </w:rPr>
            </w:pPr>
            <w:r w:rsidRPr="000C5053">
              <w:rPr>
                <w:rFonts w:eastAsia="Times New Roman" w:cstheme="minorHAnsi"/>
                <w:b/>
                <w:bCs/>
                <w:sz w:val="16"/>
                <w:szCs w:val="16"/>
                <w:lang w:eastAsia="en-GB"/>
              </w:rPr>
              <w:t>£’000</w:t>
            </w:r>
          </w:p>
        </w:tc>
        <w:tc>
          <w:tcPr>
            <w:tcW w:w="1281" w:type="dxa"/>
            <w:tcBorders>
              <w:top w:val="nil"/>
              <w:left w:val="nil"/>
              <w:bottom w:val="single" w:sz="4" w:space="0" w:color="auto"/>
              <w:right w:val="nil"/>
            </w:tcBorders>
            <w:shd w:val="clear" w:color="auto" w:fill="auto"/>
            <w:noWrap/>
            <w:vAlign w:val="bottom"/>
            <w:hideMark/>
          </w:tcPr>
          <w:p w14:paraId="64F1A141" w14:textId="77777777" w:rsidR="00FA18EA" w:rsidRPr="0075195E" w:rsidRDefault="00FA18EA" w:rsidP="00FA18EA">
            <w:pPr>
              <w:jc w:val="right"/>
              <w:rPr>
                <w:rFonts w:eastAsia="Times New Roman" w:cstheme="minorHAnsi"/>
                <w:sz w:val="16"/>
                <w:szCs w:val="16"/>
                <w:lang w:eastAsia="en-GB"/>
              </w:rPr>
            </w:pPr>
            <w:r w:rsidRPr="0075195E">
              <w:rPr>
                <w:rFonts w:eastAsia="Times New Roman" w:cstheme="minorHAnsi"/>
                <w:sz w:val="16"/>
                <w:szCs w:val="16"/>
                <w:lang w:eastAsia="en-GB"/>
              </w:rPr>
              <w:t>£</w:t>
            </w:r>
            <w:r w:rsidRPr="0075195E">
              <w:rPr>
                <w:rFonts w:eastAsia="Times New Roman" w:cstheme="minorHAnsi"/>
                <w:b/>
                <w:bCs/>
                <w:sz w:val="16"/>
                <w:szCs w:val="16"/>
                <w:lang w:eastAsia="en-GB"/>
              </w:rPr>
              <w:t>’</w:t>
            </w:r>
            <w:r w:rsidRPr="0075195E">
              <w:rPr>
                <w:rFonts w:eastAsia="Times New Roman" w:cstheme="minorHAnsi"/>
                <w:sz w:val="16"/>
                <w:szCs w:val="16"/>
                <w:lang w:eastAsia="en-GB"/>
              </w:rPr>
              <w:t>000</w:t>
            </w:r>
          </w:p>
        </w:tc>
      </w:tr>
      <w:tr w:rsidR="00FA18EA" w:rsidRPr="007600A7" w14:paraId="478702E6" w14:textId="77777777" w:rsidTr="00FA18EA">
        <w:trPr>
          <w:trHeight w:val="222"/>
        </w:trPr>
        <w:tc>
          <w:tcPr>
            <w:tcW w:w="0" w:type="auto"/>
            <w:tcBorders>
              <w:top w:val="nil"/>
              <w:left w:val="nil"/>
              <w:bottom w:val="nil"/>
              <w:right w:val="nil"/>
            </w:tcBorders>
            <w:shd w:val="clear" w:color="auto" w:fill="auto"/>
            <w:noWrap/>
            <w:vAlign w:val="bottom"/>
            <w:hideMark/>
          </w:tcPr>
          <w:p w14:paraId="11CA3262" w14:textId="77777777" w:rsidR="00FA18EA" w:rsidRPr="008B2DDA" w:rsidRDefault="00FA18EA" w:rsidP="00FA18EA">
            <w:pPr>
              <w:rPr>
                <w:rFonts w:eastAsia="Times New Roman" w:cstheme="minorHAnsi"/>
                <w:lang w:eastAsia="en-GB"/>
              </w:rPr>
            </w:pPr>
          </w:p>
        </w:tc>
        <w:tc>
          <w:tcPr>
            <w:tcW w:w="1359" w:type="dxa"/>
            <w:tcBorders>
              <w:top w:val="nil"/>
              <w:left w:val="nil"/>
              <w:bottom w:val="nil"/>
              <w:right w:val="nil"/>
            </w:tcBorders>
            <w:shd w:val="clear" w:color="auto" w:fill="auto"/>
            <w:noWrap/>
            <w:vAlign w:val="bottom"/>
            <w:hideMark/>
          </w:tcPr>
          <w:p w14:paraId="14FB9F5D" w14:textId="77777777" w:rsidR="00FA18EA" w:rsidRPr="000C5053" w:rsidRDefault="00FA18EA" w:rsidP="00FA18EA">
            <w:pPr>
              <w:jc w:val="right"/>
              <w:rPr>
                <w:rFonts w:eastAsia="Times New Roman" w:cstheme="minorHAnsi"/>
                <w:b/>
                <w:bCs/>
                <w:sz w:val="16"/>
                <w:szCs w:val="16"/>
                <w:lang w:eastAsia="en-GB"/>
              </w:rPr>
            </w:pPr>
          </w:p>
        </w:tc>
        <w:tc>
          <w:tcPr>
            <w:tcW w:w="1281" w:type="dxa"/>
            <w:tcBorders>
              <w:top w:val="nil"/>
              <w:left w:val="nil"/>
              <w:bottom w:val="nil"/>
              <w:right w:val="nil"/>
            </w:tcBorders>
            <w:shd w:val="clear" w:color="auto" w:fill="auto"/>
            <w:noWrap/>
            <w:vAlign w:val="bottom"/>
            <w:hideMark/>
          </w:tcPr>
          <w:p w14:paraId="141D6A63" w14:textId="77777777" w:rsidR="00FA18EA" w:rsidRPr="0091098D" w:rsidRDefault="00FA18EA" w:rsidP="00FA18EA">
            <w:pPr>
              <w:jc w:val="right"/>
              <w:rPr>
                <w:rFonts w:eastAsia="Times New Roman" w:cstheme="minorHAnsi"/>
                <w:sz w:val="16"/>
                <w:szCs w:val="16"/>
                <w:lang w:eastAsia="en-GB"/>
              </w:rPr>
            </w:pPr>
          </w:p>
        </w:tc>
      </w:tr>
      <w:tr w:rsidR="00FA18EA" w:rsidRPr="007600A7" w14:paraId="262F34E3" w14:textId="77777777" w:rsidTr="00FA18EA">
        <w:trPr>
          <w:trHeight w:val="255"/>
        </w:trPr>
        <w:tc>
          <w:tcPr>
            <w:tcW w:w="0" w:type="auto"/>
            <w:tcBorders>
              <w:top w:val="nil"/>
              <w:left w:val="nil"/>
              <w:bottom w:val="nil"/>
              <w:right w:val="nil"/>
            </w:tcBorders>
            <w:shd w:val="clear" w:color="auto" w:fill="auto"/>
            <w:noWrap/>
            <w:vAlign w:val="bottom"/>
            <w:hideMark/>
          </w:tcPr>
          <w:p w14:paraId="21870E78" w14:textId="77777777" w:rsidR="00FA18EA" w:rsidRPr="008B2DDA" w:rsidRDefault="00FA18EA" w:rsidP="00FA18EA">
            <w:pPr>
              <w:rPr>
                <w:rFonts w:eastAsia="Times New Roman" w:cstheme="minorHAnsi"/>
                <w:sz w:val="18"/>
                <w:szCs w:val="18"/>
                <w:lang w:eastAsia="en-GB"/>
              </w:rPr>
            </w:pPr>
            <w:r w:rsidRPr="008B2DDA">
              <w:rPr>
                <w:rFonts w:eastAsia="Times New Roman" w:cstheme="minorHAnsi"/>
                <w:sz w:val="18"/>
                <w:szCs w:val="18"/>
                <w:lang w:eastAsia="en-GB"/>
              </w:rPr>
              <w:t>Opening valuation</w:t>
            </w:r>
          </w:p>
        </w:tc>
        <w:tc>
          <w:tcPr>
            <w:tcW w:w="1359" w:type="dxa"/>
            <w:tcBorders>
              <w:top w:val="nil"/>
              <w:left w:val="nil"/>
              <w:bottom w:val="nil"/>
              <w:right w:val="nil"/>
            </w:tcBorders>
            <w:shd w:val="clear" w:color="auto" w:fill="auto"/>
            <w:noWrap/>
            <w:vAlign w:val="bottom"/>
            <w:hideMark/>
          </w:tcPr>
          <w:p w14:paraId="5542CE0F" w14:textId="77777777" w:rsidR="00FA18EA" w:rsidRPr="0091098D" w:rsidRDefault="00FA18EA" w:rsidP="00FA18EA">
            <w:pPr>
              <w:jc w:val="right"/>
              <w:rPr>
                <w:rFonts w:eastAsia="Times New Roman" w:cstheme="minorHAnsi"/>
                <w:b/>
                <w:bCs/>
                <w:sz w:val="18"/>
                <w:szCs w:val="18"/>
                <w:lang w:eastAsia="en-GB"/>
              </w:rPr>
            </w:pPr>
            <w:r w:rsidRPr="000C5053">
              <w:rPr>
                <w:rFonts w:eastAsia="Times New Roman" w:cstheme="minorHAnsi"/>
                <w:b/>
                <w:bCs/>
                <w:sz w:val="18"/>
                <w:szCs w:val="18"/>
                <w:lang w:eastAsia="en-GB"/>
              </w:rPr>
              <w:t>53,888</w:t>
            </w:r>
          </w:p>
        </w:tc>
        <w:tc>
          <w:tcPr>
            <w:tcW w:w="1281" w:type="dxa"/>
            <w:tcBorders>
              <w:top w:val="nil"/>
              <w:left w:val="nil"/>
              <w:bottom w:val="nil"/>
              <w:right w:val="nil"/>
            </w:tcBorders>
            <w:shd w:val="clear" w:color="auto" w:fill="auto"/>
            <w:noWrap/>
            <w:vAlign w:val="bottom"/>
            <w:hideMark/>
          </w:tcPr>
          <w:p w14:paraId="7EE805B0" w14:textId="77777777" w:rsidR="00FA18EA" w:rsidRPr="0075195E" w:rsidRDefault="00FA18EA" w:rsidP="00FA18EA">
            <w:pPr>
              <w:jc w:val="right"/>
              <w:rPr>
                <w:rFonts w:eastAsia="Times New Roman" w:cstheme="minorHAnsi"/>
                <w:sz w:val="18"/>
                <w:szCs w:val="18"/>
                <w:lang w:eastAsia="en-GB"/>
              </w:rPr>
            </w:pPr>
            <w:r w:rsidRPr="0075195E">
              <w:rPr>
                <w:rFonts w:eastAsia="Times New Roman" w:cstheme="minorHAnsi"/>
                <w:bCs/>
                <w:sz w:val="18"/>
                <w:szCs w:val="18"/>
                <w:lang w:eastAsia="en-GB"/>
              </w:rPr>
              <w:t>29,960</w:t>
            </w:r>
          </w:p>
        </w:tc>
      </w:tr>
      <w:tr w:rsidR="00FA18EA" w:rsidRPr="007600A7" w14:paraId="2ED749BE" w14:textId="77777777" w:rsidTr="00FA18EA">
        <w:trPr>
          <w:trHeight w:val="255"/>
        </w:trPr>
        <w:tc>
          <w:tcPr>
            <w:tcW w:w="0" w:type="auto"/>
            <w:tcBorders>
              <w:top w:val="nil"/>
              <w:left w:val="nil"/>
              <w:bottom w:val="nil"/>
              <w:right w:val="nil"/>
            </w:tcBorders>
            <w:shd w:val="clear" w:color="auto" w:fill="auto"/>
            <w:noWrap/>
            <w:vAlign w:val="bottom"/>
            <w:hideMark/>
          </w:tcPr>
          <w:p w14:paraId="7C0CBD5B" w14:textId="77777777" w:rsidR="00FA18EA" w:rsidRPr="008B2DDA" w:rsidRDefault="00FA18EA" w:rsidP="00FA18EA">
            <w:pPr>
              <w:rPr>
                <w:rFonts w:eastAsia="Times New Roman" w:cstheme="minorHAnsi"/>
                <w:sz w:val="18"/>
                <w:szCs w:val="18"/>
                <w:lang w:eastAsia="en-GB"/>
              </w:rPr>
            </w:pPr>
            <w:r w:rsidRPr="008B2DDA">
              <w:rPr>
                <w:rFonts w:eastAsia="Times New Roman" w:cstheme="minorHAnsi"/>
                <w:sz w:val="18"/>
                <w:szCs w:val="18"/>
                <w:lang w:eastAsia="en-GB"/>
              </w:rPr>
              <w:t xml:space="preserve">Acquisitions </w:t>
            </w:r>
          </w:p>
        </w:tc>
        <w:tc>
          <w:tcPr>
            <w:tcW w:w="1359" w:type="dxa"/>
            <w:tcBorders>
              <w:top w:val="nil"/>
              <w:left w:val="nil"/>
              <w:bottom w:val="nil"/>
              <w:right w:val="nil"/>
            </w:tcBorders>
            <w:shd w:val="clear" w:color="auto" w:fill="auto"/>
            <w:noWrap/>
            <w:vAlign w:val="bottom"/>
            <w:hideMark/>
          </w:tcPr>
          <w:p w14:paraId="0FC9448C" w14:textId="77777777" w:rsidR="00FA18EA" w:rsidRPr="0091098D" w:rsidRDefault="00FA18EA" w:rsidP="00FA18EA">
            <w:pPr>
              <w:jc w:val="right"/>
              <w:rPr>
                <w:rFonts w:eastAsia="Times New Roman" w:cstheme="minorHAnsi"/>
                <w:b/>
                <w:bCs/>
                <w:sz w:val="18"/>
                <w:szCs w:val="18"/>
                <w:lang w:eastAsia="en-GB"/>
              </w:rPr>
            </w:pPr>
            <w:r w:rsidRPr="000C5053">
              <w:rPr>
                <w:rFonts w:eastAsia="Times New Roman" w:cstheme="minorHAnsi"/>
                <w:b/>
                <w:bCs/>
                <w:sz w:val="18"/>
                <w:szCs w:val="18"/>
                <w:lang w:eastAsia="en-GB"/>
              </w:rPr>
              <w:t>1,675</w:t>
            </w:r>
          </w:p>
        </w:tc>
        <w:tc>
          <w:tcPr>
            <w:tcW w:w="1281" w:type="dxa"/>
            <w:tcBorders>
              <w:top w:val="nil"/>
              <w:left w:val="nil"/>
              <w:bottom w:val="nil"/>
              <w:right w:val="nil"/>
            </w:tcBorders>
            <w:shd w:val="clear" w:color="auto" w:fill="auto"/>
            <w:noWrap/>
            <w:vAlign w:val="bottom"/>
            <w:hideMark/>
          </w:tcPr>
          <w:p w14:paraId="37576555" w14:textId="77777777" w:rsidR="00FA18EA" w:rsidRPr="0075195E" w:rsidRDefault="00FA18EA" w:rsidP="00FA18EA">
            <w:pPr>
              <w:jc w:val="right"/>
              <w:rPr>
                <w:rFonts w:eastAsia="Times New Roman" w:cstheme="minorHAnsi"/>
                <w:sz w:val="18"/>
                <w:szCs w:val="18"/>
                <w:lang w:eastAsia="en-GB"/>
              </w:rPr>
            </w:pPr>
            <w:r w:rsidRPr="0075195E">
              <w:rPr>
                <w:rFonts w:eastAsia="Times New Roman" w:cstheme="minorHAnsi"/>
                <w:bCs/>
                <w:sz w:val="18"/>
                <w:szCs w:val="18"/>
                <w:lang w:eastAsia="en-GB"/>
              </w:rPr>
              <w:t>15,225</w:t>
            </w:r>
          </w:p>
        </w:tc>
      </w:tr>
      <w:tr w:rsidR="00FA18EA" w:rsidRPr="007600A7" w14:paraId="41E79AE1" w14:textId="77777777" w:rsidTr="00FA18EA">
        <w:trPr>
          <w:trHeight w:val="255"/>
        </w:trPr>
        <w:tc>
          <w:tcPr>
            <w:tcW w:w="0" w:type="auto"/>
            <w:tcBorders>
              <w:top w:val="nil"/>
              <w:left w:val="nil"/>
              <w:bottom w:val="nil"/>
              <w:right w:val="nil"/>
            </w:tcBorders>
            <w:shd w:val="clear" w:color="auto" w:fill="auto"/>
            <w:noWrap/>
            <w:vAlign w:val="bottom"/>
            <w:hideMark/>
          </w:tcPr>
          <w:p w14:paraId="1434CC07" w14:textId="77777777" w:rsidR="00FA18EA" w:rsidRPr="008B2DDA" w:rsidRDefault="00FA18EA" w:rsidP="00FA18EA">
            <w:pPr>
              <w:rPr>
                <w:rFonts w:eastAsia="Times New Roman" w:cstheme="minorHAnsi"/>
                <w:sz w:val="18"/>
                <w:szCs w:val="18"/>
                <w:lang w:eastAsia="en-GB"/>
              </w:rPr>
            </w:pPr>
            <w:r w:rsidRPr="008B2DDA">
              <w:rPr>
                <w:rFonts w:eastAsia="Times New Roman" w:cstheme="minorHAnsi"/>
                <w:sz w:val="18"/>
                <w:szCs w:val="18"/>
                <w:lang w:eastAsia="en-GB"/>
              </w:rPr>
              <w:t>Unrealised and realised gains on investment</w:t>
            </w:r>
          </w:p>
        </w:tc>
        <w:tc>
          <w:tcPr>
            <w:tcW w:w="1359" w:type="dxa"/>
            <w:tcBorders>
              <w:top w:val="nil"/>
              <w:left w:val="nil"/>
              <w:bottom w:val="nil"/>
              <w:right w:val="nil"/>
            </w:tcBorders>
            <w:shd w:val="clear" w:color="auto" w:fill="auto"/>
            <w:noWrap/>
            <w:vAlign w:val="bottom"/>
            <w:hideMark/>
          </w:tcPr>
          <w:p w14:paraId="4883DF64" w14:textId="77777777" w:rsidR="00FA18EA" w:rsidRPr="0091098D" w:rsidRDefault="00FA18EA" w:rsidP="00FA18EA">
            <w:pPr>
              <w:jc w:val="right"/>
              <w:rPr>
                <w:rFonts w:eastAsia="Times New Roman" w:cstheme="minorHAnsi"/>
                <w:b/>
                <w:bCs/>
                <w:sz w:val="18"/>
                <w:szCs w:val="18"/>
                <w:lang w:eastAsia="en-GB"/>
              </w:rPr>
            </w:pPr>
            <w:r w:rsidRPr="000C5053">
              <w:rPr>
                <w:rFonts w:eastAsia="Times New Roman" w:cstheme="minorHAnsi"/>
                <w:b/>
                <w:bCs/>
                <w:sz w:val="18"/>
                <w:szCs w:val="18"/>
                <w:lang w:eastAsia="en-GB"/>
              </w:rPr>
              <w:t>20,007</w:t>
            </w:r>
          </w:p>
        </w:tc>
        <w:tc>
          <w:tcPr>
            <w:tcW w:w="1281" w:type="dxa"/>
            <w:tcBorders>
              <w:top w:val="nil"/>
              <w:left w:val="nil"/>
              <w:bottom w:val="nil"/>
              <w:right w:val="nil"/>
            </w:tcBorders>
            <w:shd w:val="clear" w:color="auto" w:fill="auto"/>
            <w:noWrap/>
            <w:vAlign w:val="bottom"/>
            <w:hideMark/>
          </w:tcPr>
          <w:p w14:paraId="061DD7AC" w14:textId="77777777" w:rsidR="00FA18EA" w:rsidRPr="0075195E" w:rsidRDefault="00FA18EA" w:rsidP="00FA18EA">
            <w:pPr>
              <w:jc w:val="right"/>
              <w:rPr>
                <w:rFonts w:eastAsia="Times New Roman" w:cstheme="minorHAnsi"/>
                <w:sz w:val="18"/>
                <w:szCs w:val="18"/>
                <w:lang w:eastAsia="en-GB"/>
              </w:rPr>
            </w:pPr>
            <w:r w:rsidRPr="0075195E">
              <w:rPr>
                <w:rFonts w:eastAsia="Times New Roman" w:cstheme="minorHAnsi"/>
                <w:bCs/>
                <w:sz w:val="18"/>
                <w:szCs w:val="18"/>
                <w:lang w:eastAsia="en-GB"/>
              </w:rPr>
              <w:t>19,837</w:t>
            </w:r>
          </w:p>
        </w:tc>
      </w:tr>
      <w:tr w:rsidR="00FA18EA" w:rsidRPr="007600A7" w14:paraId="50B65BAF" w14:textId="77777777" w:rsidTr="00FA18EA">
        <w:trPr>
          <w:trHeight w:val="255"/>
        </w:trPr>
        <w:tc>
          <w:tcPr>
            <w:tcW w:w="0" w:type="auto"/>
            <w:tcBorders>
              <w:top w:val="nil"/>
              <w:left w:val="nil"/>
              <w:bottom w:val="nil"/>
              <w:right w:val="nil"/>
            </w:tcBorders>
            <w:shd w:val="clear" w:color="auto" w:fill="auto"/>
            <w:noWrap/>
            <w:vAlign w:val="bottom"/>
            <w:hideMark/>
          </w:tcPr>
          <w:p w14:paraId="6D2D88D2" w14:textId="77777777" w:rsidR="00FA18EA" w:rsidRPr="008B2DDA" w:rsidRDefault="00FA18EA" w:rsidP="00FA18EA">
            <w:pPr>
              <w:rPr>
                <w:rFonts w:eastAsia="Times New Roman" w:cstheme="minorHAnsi"/>
                <w:sz w:val="18"/>
                <w:szCs w:val="18"/>
                <w:lang w:eastAsia="en-GB"/>
              </w:rPr>
            </w:pPr>
            <w:r w:rsidRPr="008B2DDA">
              <w:rPr>
                <w:rFonts w:eastAsia="Times New Roman" w:cstheme="minorHAnsi"/>
                <w:sz w:val="18"/>
                <w:szCs w:val="18"/>
                <w:lang w:eastAsia="en-GB"/>
              </w:rPr>
              <w:t>Disposals</w:t>
            </w:r>
          </w:p>
        </w:tc>
        <w:tc>
          <w:tcPr>
            <w:tcW w:w="1359" w:type="dxa"/>
            <w:tcBorders>
              <w:top w:val="nil"/>
              <w:left w:val="nil"/>
              <w:bottom w:val="nil"/>
              <w:right w:val="nil"/>
            </w:tcBorders>
            <w:shd w:val="clear" w:color="auto" w:fill="auto"/>
            <w:noWrap/>
            <w:vAlign w:val="bottom"/>
            <w:hideMark/>
          </w:tcPr>
          <w:p w14:paraId="06E6CD63" w14:textId="77777777" w:rsidR="00FA18EA" w:rsidRPr="0091098D" w:rsidRDefault="00FA18EA" w:rsidP="00FA18EA">
            <w:pPr>
              <w:jc w:val="right"/>
              <w:rPr>
                <w:rFonts w:eastAsia="Times New Roman" w:cstheme="minorHAnsi"/>
                <w:b/>
                <w:bCs/>
                <w:sz w:val="18"/>
                <w:szCs w:val="18"/>
                <w:lang w:eastAsia="en-GB"/>
              </w:rPr>
            </w:pPr>
            <w:r w:rsidRPr="000C5053">
              <w:rPr>
                <w:rFonts w:eastAsia="Times New Roman" w:cstheme="minorHAnsi"/>
                <w:b/>
                <w:bCs/>
                <w:sz w:val="18"/>
                <w:szCs w:val="18"/>
                <w:lang w:eastAsia="en-GB"/>
              </w:rPr>
              <w:t>(43,961)</w:t>
            </w:r>
          </w:p>
        </w:tc>
        <w:tc>
          <w:tcPr>
            <w:tcW w:w="1281" w:type="dxa"/>
            <w:tcBorders>
              <w:top w:val="nil"/>
              <w:left w:val="nil"/>
              <w:bottom w:val="nil"/>
              <w:right w:val="nil"/>
            </w:tcBorders>
            <w:shd w:val="clear" w:color="auto" w:fill="auto"/>
            <w:noWrap/>
            <w:vAlign w:val="bottom"/>
            <w:hideMark/>
          </w:tcPr>
          <w:p w14:paraId="5F62146C" w14:textId="77777777" w:rsidR="00FA18EA" w:rsidRPr="0075195E" w:rsidRDefault="00FA18EA" w:rsidP="00FA18EA">
            <w:pPr>
              <w:jc w:val="right"/>
              <w:rPr>
                <w:rFonts w:eastAsia="Times New Roman" w:cstheme="minorHAnsi"/>
                <w:sz w:val="18"/>
                <w:szCs w:val="18"/>
                <w:lang w:eastAsia="en-GB"/>
              </w:rPr>
            </w:pPr>
            <w:r w:rsidRPr="0075195E">
              <w:rPr>
                <w:rFonts w:eastAsia="Times New Roman" w:cstheme="minorHAnsi"/>
                <w:bCs/>
                <w:sz w:val="18"/>
                <w:szCs w:val="18"/>
                <w:lang w:eastAsia="en-GB"/>
              </w:rPr>
              <w:t>(11,134)</w:t>
            </w:r>
          </w:p>
        </w:tc>
      </w:tr>
      <w:tr w:rsidR="00FA18EA" w:rsidRPr="007600A7" w14:paraId="5E8FED2A" w14:textId="77777777" w:rsidTr="00FA18EA">
        <w:trPr>
          <w:trHeight w:val="270"/>
        </w:trPr>
        <w:tc>
          <w:tcPr>
            <w:tcW w:w="0" w:type="auto"/>
            <w:tcBorders>
              <w:top w:val="single" w:sz="4" w:space="0" w:color="auto"/>
              <w:left w:val="nil"/>
              <w:bottom w:val="single" w:sz="8" w:space="0" w:color="auto"/>
              <w:right w:val="nil"/>
            </w:tcBorders>
            <w:shd w:val="clear" w:color="auto" w:fill="auto"/>
            <w:noWrap/>
            <w:vAlign w:val="bottom"/>
            <w:hideMark/>
          </w:tcPr>
          <w:p w14:paraId="7EE82A5A" w14:textId="77777777" w:rsidR="00FA18EA" w:rsidRPr="008B2DDA" w:rsidRDefault="00FA18EA" w:rsidP="00FA18EA">
            <w:pPr>
              <w:rPr>
                <w:rFonts w:eastAsia="Times New Roman" w:cstheme="minorHAnsi"/>
                <w:b/>
                <w:bCs/>
                <w:sz w:val="18"/>
                <w:szCs w:val="18"/>
                <w:lang w:eastAsia="en-GB"/>
              </w:rPr>
            </w:pPr>
            <w:r w:rsidRPr="008B2DDA">
              <w:rPr>
                <w:rFonts w:eastAsia="Times New Roman" w:cstheme="minorHAnsi"/>
                <w:b/>
                <w:bCs/>
                <w:sz w:val="18"/>
                <w:szCs w:val="18"/>
                <w:lang w:eastAsia="en-GB"/>
              </w:rPr>
              <w:t>Closing valuation</w:t>
            </w:r>
          </w:p>
        </w:tc>
        <w:tc>
          <w:tcPr>
            <w:tcW w:w="1359" w:type="dxa"/>
            <w:tcBorders>
              <w:top w:val="single" w:sz="4" w:space="0" w:color="auto"/>
              <w:left w:val="nil"/>
              <w:bottom w:val="single" w:sz="8" w:space="0" w:color="auto"/>
              <w:right w:val="nil"/>
            </w:tcBorders>
            <w:shd w:val="clear" w:color="auto" w:fill="auto"/>
            <w:noWrap/>
            <w:vAlign w:val="bottom"/>
            <w:hideMark/>
          </w:tcPr>
          <w:p w14:paraId="2BADC079" w14:textId="77777777" w:rsidR="00FA18EA" w:rsidRPr="0091098D" w:rsidRDefault="00FA18EA" w:rsidP="00FA18EA">
            <w:pPr>
              <w:jc w:val="right"/>
              <w:rPr>
                <w:rFonts w:eastAsia="Times New Roman" w:cstheme="minorHAnsi"/>
                <w:b/>
                <w:bCs/>
                <w:sz w:val="18"/>
                <w:szCs w:val="18"/>
                <w:lang w:eastAsia="en-GB"/>
              </w:rPr>
            </w:pPr>
            <w:r w:rsidRPr="000C5053">
              <w:rPr>
                <w:rFonts w:eastAsia="Times New Roman" w:cstheme="minorHAnsi"/>
                <w:b/>
                <w:bCs/>
                <w:sz w:val="18"/>
                <w:szCs w:val="18"/>
                <w:lang w:eastAsia="en-GB"/>
              </w:rPr>
              <w:t xml:space="preserve">31,609            </w:t>
            </w:r>
          </w:p>
        </w:tc>
        <w:tc>
          <w:tcPr>
            <w:tcW w:w="1281" w:type="dxa"/>
            <w:tcBorders>
              <w:top w:val="single" w:sz="4" w:space="0" w:color="auto"/>
              <w:left w:val="nil"/>
              <w:bottom w:val="single" w:sz="8" w:space="0" w:color="auto"/>
              <w:right w:val="nil"/>
            </w:tcBorders>
            <w:shd w:val="clear" w:color="auto" w:fill="auto"/>
            <w:noWrap/>
            <w:vAlign w:val="bottom"/>
            <w:hideMark/>
          </w:tcPr>
          <w:p w14:paraId="43BDAC83" w14:textId="77777777" w:rsidR="00FA18EA" w:rsidRPr="0075195E" w:rsidRDefault="00FA18EA" w:rsidP="00FA18EA">
            <w:pPr>
              <w:jc w:val="right"/>
              <w:rPr>
                <w:rFonts w:eastAsia="Times New Roman" w:cstheme="minorHAnsi"/>
                <w:sz w:val="18"/>
                <w:szCs w:val="18"/>
                <w:lang w:eastAsia="en-GB"/>
              </w:rPr>
            </w:pPr>
            <w:r w:rsidRPr="0075195E">
              <w:rPr>
                <w:rFonts w:eastAsia="Times New Roman" w:cstheme="minorHAnsi"/>
                <w:bCs/>
                <w:sz w:val="18"/>
                <w:szCs w:val="18"/>
                <w:lang w:eastAsia="en-GB"/>
              </w:rPr>
              <w:t xml:space="preserve">53,888            </w:t>
            </w:r>
          </w:p>
        </w:tc>
      </w:tr>
    </w:tbl>
    <w:p w14:paraId="528A3A5A" w14:textId="77777777" w:rsidR="00FA18EA" w:rsidRPr="008B2DDA" w:rsidRDefault="00FA18EA" w:rsidP="00FA18EA">
      <w:pPr>
        <w:autoSpaceDE w:val="0"/>
        <w:autoSpaceDN w:val="0"/>
        <w:adjustRightInd w:val="0"/>
        <w:jc w:val="both"/>
        <w:rPr>
          <w:rFonts w:cstheme="minorHAnsi"/>
          <w:color w:val="000000" w:themeColor="text1"/>
          <w:sz w:val="18"/>
          <w:szCs w:val="18"/>
        </w:rPr>
      </w:pPr>
    </w:p>
    <w:p w14:paraId="1BED5D39" w14:textId="77777777" w:rsidR="00FA18EA" w:rsidRPr="0091098D" w:rsidRDefault="00FA18EA" w:rsidP="00FA18EA">
      <w:pPr>
        <w:autoSpaceDE w:val="0"/>
        <w:autoSpaceDN w:val="0"/>
        <w:adjustRightInd w:val="0"/>
        <w:jc w:val="both"/>
        <w:rPr>
          <w:rFonts w:cstheme="minorHAnsi"/>
          <w:color w:val="000000"/>
          <w:sz w:val="18"/>
          <w:szCs w:val="18"/>
        </w:rPr>
      </w:pPr>
      <w:r w:rsidRPr="000C5053">
        <w:rPr>
          <w:rFonts w:cstheme="minorHAnsi"/>
          <w:color w:val="000000"/>
          <w:sz w:val="18"/>
          <w:szCs w:val="18"/>
        </w:rPr>
        <w:t>The following table analyses investment carried at fair value at the end of the year, by the level in the fair value hierarchy into which the fair value measurement is categorised. The different levels are defined as</w:t>
      </w:r>
      <w:r w:rsidRPr="0091098D">
        <w:rPr>
          <w:rFonts w:cstheme="minorHAnsi"/>
          <w:color w:val="000000"/>
          <w:sz w:val="18"/>
          <w:szCs w:val="18"/>
        </w:rPr>
        <w:t xml:space="preserve"> follows:</w:t>
      </w:r>
    </w:p>
    <w:p w14:paraId="7C1E14F7" w14:textId="77777777" w:rsidR="00FA18EA" w:rsidRPr="0075195E" w:rsidRDefault="00FA18EA" w:rsidP="00FA18EA">
      <w:pPr>
        <w:autoSpaceDE w:val="0"/>
        <w:autoSpaceDN w:val="0"/>
        <w:adjustRightInd w:val="0"/>
        <w:jc w:val="both"/>
        <w:rPr>
          <w:rFonts w:cstheme="minorHAnsi"/>
          <w:color w:val="000000"/>
          <w:sz w:val="18"/>
          <w:szCs w:val="18"/>
        </w:rPr>
      </w:pPr>
    </w:p>
    <w:p w14:paraId="29174FF4" w14:textId="77777777" w:rsidR="00FA18EA" w:rsidRPr="00A02B31" w:rsidRDefault="00FA18EA" w:rsidP="00FA18EA">
      <w:pPr>
        <w:autoSpaceDE w:val="0"/>
        <w:autoSpaceDN w:val="0"/>
        <w:adjustRightInd w:val="0"/>
        <w:jc w:val="both"/>
        <w:rPr>
          <w:rFonts w:cstheme="minorHAnsi"/>
          <w:color w:val="000000"/>
          <w:sz w:val="18"/>
          <w:szCs w:val="18"/>
        </w:rPr>
      </w:pPr>
      <w:r w:rsidRPr="00536A35">
        <w:rPr>
          <w:rFonts w:cstheme="minorHAnsi"/>
          <w:color w:val="000000"/>
          <w:sz w:val="18"/>
          <w:szCs w:val="18"/>
        </w:rPr>
        <w:t xml:space="preserve">(i) </w:t>
      </w:r>
      <w:r w:rsidRPr="00536A35">
        <w:rPr>
          <w:rFonts w:cstheme="minorHAnsi"/>
          <w:color w:val="000000"/>
          <w:sz w:val="18"/>
          <w:szCs w:val="18"/>
        </w:rPr>
        <w:tab/>
        <w:t xml:space="preserve">level one measurements are at quoted </w:t>
      </w:r>
      <w:r w:rsidRPr="00A02B31">
        <w:rPr>
          <w:rFonts w:cstheme="minorHAnsi"/>
          <w:color w:val="000000"/>
          <w:sz w:val="18"/>
          <w:szCs w:val="18"/>
        </w:rPr>
        <w:t>prices (unadjusted) in active markets for identical assets or liabilities;</w:t>
      </w:r>
    </w:p>
    <w:p w14:paraId="7E62FFCE" w14:textId="77777777" w:rsidR="00FA18EA" w:rsidRPr="00A02B31" w:rsidRDefault="00FA18EA" w:rsidP="00FA18EA">
      <w:pPr>
        <w:autoSpaceDE w:val="0"/>
        <w:autoSpaceDN w:val="0"/>
        <w:adjustRightInd w:val="0"/>
        <w:ind w:left="720" w:hanging="720"/>
        <w:jc w:val="both"/>
        <w:rPr>
          <w:rFonts w:cstheme="minorHAnsi"/>
          <w:color w:val="000000"/>
          <w:sz w:val="18"/>
          <w:szCs w:val="18"/>
        </w:rPr>
      </w:pPr>
    </w:p>
    <w:p w14:paraId="36FC7C92" w14:textId="77777777" w:rsidR="00FA18EA" w:rsidRPr="00A02B31" w:rsidRDefault="00FA18EA" w:rsidP="00FA18EA">
      <w:pPr>
        <w:autoSpaceDE w:val="0"/>
        <w:autoSpaceDN w:val="0"/>
        <w:adjustRightInd w:val="0"/>
        <w:ind w:left="720" w:hanging="720"/>
        <w:jc w:val="both"/>
        <w:rPr>
          <w:rFonts w:cstheme="minorHAnsi"/>
          <w:color w:val="000000"/>
          <w:sz w:val="18"/>
          <w:szCs w:val="18"/>
        </w:rPr>
      </w:pPr>
      <w:r w:rsidRPr="00A02B31">
        <w:rPr>
          <w:rFonts w:cstheme="minorHAnsi"/>
          <w:color w:val="000000"/>
          <w:sz w:val="18"/>
          <w:szCs w:val="18"/>
        </w:rPr>
        <w:t xml:space="preserve">(ii) </w:t>
      </w:r>
      <w:r w:rsidRPr="00A02B31">
        <w:rPr>
          <w:rFonts w:cstheme="minorHAnsi"/>
          <w:color w:val="000000"/>
          <w:sz w:val="18"/>
          <w:szCs w:val="18"/>
        </w:rPr>
        <w:tab/>
        <w:t>level two measurements are valuations techniques with all material inputs observable for the asset or liability, either directly (that is, as prices) or indirectly (that is, derived from prices); and</w:t>
      </w:r>
    </w:p>
    <w:p w14:paraId="0F43B4E6" w14:textId="77777777" w:rsidR="00FA18EA" w:rsidRPr="00A02B31" w:rsidRDefault="00FA18EA" w:rsidP="00FA18EA">
      <w:pPr>
        <w:autoSpaceDE w:val="0"/>
        <w:autoSpaceDN w:val="0"/>
        <w:adjustRightInd w:val="0"/>
        <w:ind w:left="720" w:hanging="720"/>
        <w:jc w:val="both"/>
        <w:rPr>
          <w:rFonts w:cstheme="minorHAnsi"/>
          <w:color w:val="000000"/>
          <w:sz w:val="18"/>
          <w:szCs w:val="18"/>
        </w:rPr>
      </w:pPr>
    </w:p>
    <w:p w14:paraId="337F9673" w14:textId="77777777" w:rsidR="00FA18EA" w:rsidRPr="00A02B31" w:rsidRDefault="00FA18EA" w:rsidP="00FA18EA">
      <w:pPr>
        <w:autoSpaceDE w:val="0"/>
        <w:autoSpaceDN w:val="0"/>
        <w:adjustRightInd w:val="0"/>
        <w:ind w:left="720" w:hanging="720"/>
        <w:jc w:val="both"/>
        <w:rPr>
          <w:rFonts w:cstheme="minorHAnsi"/>
          <w:color w:val="000000"/>
          <w:sz w:val="18"/>
          <w:szCs w:val="18"/>
        </w:rPr>
      </w:pPr>
      <w:r w:rsidRPr="00A02B31">
        <w:rPr>
          <w:rFonts w:cstheme="minorHAnsi"/>
          <w:color w:val="000000"/>
          <w:sz w:val="18"/>
          <w:szCs w:val="18"/>
        </w:rPr>
        <w:t xml:space="preserve">(iii) </w:t>
      </w:r>
      <w:r w:rsidRPr="00A02B31">
        <w:rPr>
          <w:rFonts w:cstheme="minorHAnsi"/>
          <w:color w:val="000000"/>
          <w:sz w:val="18"/>
          <w:szCs w:val="18"/>
        </w:rPr>
        <w:tab/>
        <w:t>level three measurements are valuations not based on solely observable market data (that is, the measurement requires significant unobservable inputs).</w:t>
      </w:r>
    </w:p>
    <w:p w14:paraId="40BB8AC6" w14:textId="77777777" w:rsidR="00FA18EA" w:rsidRPr="00A02B31" w:rsidRDefault="00FA18EA" w:rsidP="00FA18EA">
      <w:pPr>
        <w:autoSpaceDE w:val="0"/>
        <w:autoSpaceDN w:val="0"/>
        <w:adjustRightInd w:val="0"/>
        <w:ind w:left="720" w:hanging="720"/>
        <w:rPr>
          <w:rFonts w:cstheme="minorHAnsi"/>
          <w:color w:val="000000"/>
          <w:sz w:val="18"/>
          <w:szCs w:val="18"/>
        </w:rPr>
      </w:pPr>
    </w:p>
    <w:p w14:paraId="75C7B554" w14:textId="77777777" w:rsidR="00FA18EA" w:rsidRPr="00A02B31" w:rsidRDefault="00FA18EA" w:rsidP="00FA18EA">
      <w:pPr>
        <w:autoSpaceDE w:val="0"/>
        <w:autoSpaceDN w:val="0"/>
        <w:adjustRightInd w:val="0"/>
        <w:ind w:left="720" w:hanging="720"/>
        <w:rPr>
          <w:rFonts w:cstheme="minorHAnsi"/>
          <w:color w:val="000000"/>
          <w:sz w:val="18"/>
          <w:szCs w:val="18"/>
        </w:rPr>
      </w:pPr>
      <w:r w:rsidRPr="00A02B31">
        <w:rPr>
          <w:rFonts w:cstheme="minorHAnsi"/>
          <w:color w:val="000000"/>
          <w:sz w:val="18"/>
          <w:szCs w:val="18"/>
        </w:rPr>
        <w:t>The fair values of the Company’s investments is summarised as follows:</w:t>
      </w:r>
    </w:p>
    <w:tbl>
      <w:tblPr>
        <w:tblW w:w="9674" w:type="dxa"/>
        <w:tblInd w:w="108" w:type="dxa"/>
        <w:tblLook w:val="04A0" w:firstRow="1" w:lastRow="0" w:firstColumn="1" w:lastColumn="0" w:noHBand="0" w:noVBand="1"/>
      </w:tblPr>
      <w:tblGrid>
        <w:gridCol w:w="6972"/>
        <w:gridCol w:w="1284"/>
        <w:gridCol w:w="1418"/>
      </w:tblGrid>
      <w:tr w:rsidR="00FA18EA" w:rsidRPr="007600A7" w14:paraId="767BFF04" w14:textId="77777777" w:rsidTr="00FA18EA">
        <w:trPr>
          <w:trHeight w:val="222"/>
        </w:trPr>
        <w:tc>
          <w:tcPr>
            <w:tcW w:w="6972" w:type="dxa"/>
            <w:tcBorders>
              <w:top w:val="nil"/>
              <w:left w:val="nil"/>
              <w:bottom w:val="nil"/>
              <w:right w:val="nil"/>
            </w:tcBorders>
            <w:shd w:val="clear" w:color="auto" w:fill="auto"/>
            <w:noWrap/>
            <w:vAlign w:val="bottom"/>
          </w:tcPr>
          <w:p w14:paraId="09844AD5" w14:textId="77777777" w:rsidR="00FA18EA" w:rsidRPr="00A02B31" w:rsidRDefault="00FA18EA" w:rsidP="00FA18EA">
            <w:pPr>
              <w:rPr>
                <w:rFonts w:eastAsia="Times New Roman" w:cstheme="minorHAnsi"/>
                <w:lang w:eastAsia="en-GB"/>
              </w:rPr>
            </w:pPr>
          </w:p>
        </w:tc>
        <w:tc>
          <w:tcPr>
            <w:tcW w:w="2702" w:type="dxa"/>
            <w:gridSpan w:val="2"/>
            <w:tcBorders>
              <w:top w:val="nil"/>
              <w:left w:val="nil"/>
              <w:bottom w:val="single" w:sz="4" w:space="0" w:color="auto"/>
              <w:right w:val="nil"/>
            </w:tcBorders>
            <w:shd w:val="clear" w:color="auto" w:fill="auto"/>
            <w:noWrap/>
            <w:vAlign w:val="bottom"/>
          </w:tcPr>
          <w:p w14:paraId="333795D6" w14:textId="77777777" w:rsidR="00FA18EA" w:rsidRPr="00A02B31" w:rsidRDefault="00FA18EA" w:rsidP="00FA18EA">
            <w:pPr>
              <w:jc w:val="center"/>
              <w:rPr>
                <w:rFonts w:eastAsia="Times New Roman" w:cstheme="minorHAnsi"/>
                <w:b/>
                <w:sz w:val="16"/>
                <w:szCs w:val="16"/>
                <w:lang w:eastAsia="en-GB"/>
              </w:rPr>
            </w:pPr>
            <w:r w:rsidRPr="00A02B31">
              <w:rPr>
                <w:rFonts w:eastAsia="Times New Roman" w:cstheme="minorHAnsi"/>
                <w:b/>
                <w:sz w:val="16"/>
                <w:szCs w:val="16"/>
                <w:lang w:eastAsia="en-GB"/>
              </w:rPr>
              <w:t xml:space="preserve">                31 March</w:t>
            </w:r>
          </w:p>
        </w:tc>
      </w:tr>
      <w:tr w:rsidR="00FA18EA" w:rsidRPr="007600A7" w14:paraId="5858AB72" w14:textId="77777777" w:rsidTr="00FA18EA">
        <w:trPr>
          <w:trHeight w:val="222"/>
        </w:trPr>
        <w:tc>
          <w:tcPr>
            <w:tcW w:w="6972" w:type="dxa"/>
            <w:tcBorders>
              <w:top w:val="nil"/>
              <w:left w:val="nil"/>
              <w:bottom w:val="nil"/>
              <w:right w:val="nil"/>
            </w:tcBorders>
            <w:shd w:val="clear" w:color="auto" w:fill="auto"/>
            <w:noWrap/>
            <w:vAlign w:val="bottom"/>
            <w:hideMark/>
          </w:tcPr>
          <w:p w14:paraId="0DF33936" w14:textId="77777777" w:rsidR="00FA18EA" w:rsidRPr="008B2DDA" w:rsidRDefault="00FA18EA" w:rsidP="00FA18EA">
            <w:pPr>
              <w:rPr>
                <w:rFonts w:eastAsia="Times New Roman" w:cstheme="minorHAnsi"/>
                <w:lang w:eastAsia="en-GB"/>
              </w:rPr>
            </w:pPr>
          </w:p>
        </w:tc>
        <w:tc>
          <w:tcPr>
            <w:tcW w:w="1284" w:type="dxa"/>
            <w:tcBorders>
              <w:top w:val="single" w:sz="4" w:space="0" w:color="auto"/>
              <w:left w:val="nil"/>
              <w:bottom w:val="nil"/>
              <w:right w:val="nil"/>
            </w:tcBorders>
            <w:shd w:val="clear" w:color="auto" w:fill="auto"/>
            <w:noWrap/>
            <w:vAlign w:val="bottom"/>
            <w:hideMark/>
          </w:tcPr>
          <w:p w14:paraId="46E690BA" w14:textId="77777777" w:rsidR="00FA18EA" w:rsidRPr="0091098D" w:rsidRDefault="00FA18EA" w:rsidP="00FA18EA">
            <w:pPr>
              <w:jc w:val="right"/>
              <w:rPr>
                <w:rFonts w:eastAsia="Times New Roman" w:cstheme="minorHAnsi"/>
                <w:b/>
                <w:bCs/>
                <w:sz w:val="16"/>
                <w:szCs w:val="16"/>
                <w:lang w:eastAsia="en-GB"/>
              </w:rPr>
            </w:pPr>
            <w:r w:rsidRPr="000C5053">
              <w:rPr>
                <w:rFonts w:eastAsia="Times New Roman" w:cstheme="minorHAnsi"/>
                <w:b/>
                <w:bCs/>
                <w:sz w:val="16"/>
                <w:szCs w:val="16"/>
                <w:lang w:eastAsia="en-GB"/>
              </w:rPr>
              <w:t>2022</w:t>
            </w:r>
          </w:p>
        </w:tc>
        <w:tc>
          <w:tcPr>
            <w:tcW w:w="1418" w:type="dxa"/>
            <w:tcBorders>
              <w:top w:val="single" w:sz="4" w:space="0" w:color="auto"/>
              <w:left w:val="nil"/>
              <w:bottom w:val="nil"/>
              <w:right w:val="nil"/>
            </w:tcBorders>
            <w:shd w:val="clear" w:color="auto" w:fill="auto"/>
            <w:noWrap/>
            <w:vAlign w:val="bottom"/>
            <w:hideMark/>
          </w:tcPr>
          <w:p w14:paraId="164B0DAF" w14:textId="77777777" w:rsidR="00FA18EA" w:rsidRPr="0075195E" w:rsidRDefault="00FA18EA" w:rsidP="00FA18EA">
            <w:pPr>
              <w:jc w:val="right"/>
              <w:rPr>
                <w:rFonts w:eastAsia="Times New Roman" w:cstheme="minorHAnsi"/>
                <w:sz w:val="16"/>
                <w:szCs w:val="16"/>
                <w:lang w:eastAsia="en-GB"/>
              </w:rPr>
            </w:pPr>
            <w:r w:rsidRPr="0075195E">
              <w:rPr>
                <w:rFonts w:eastAsia="Times New Roman" w:cstheme="minorHAnsi"/>
                <w:sz w:val="16"/>
                <w:szCs w:val="16"/>
                <w:lang w:eastAsia="en-GB"/>
              </w:rPr>
              <w:t>2021</w:t>
            </w:r>
          </w:p>
        </w:tc>
      </w:tr>
      <w:tr w:rsidR="00FA18EA" w:rsidRPr="007600A7" w14:paraId="48DFACE1" w14:textId="77777777" w:rsidTr="00FA18EA">
        <w:trPr>
          <w:trHeight w:val="222"/>
        </w:trPr>
        <w:tc>
          <w:tcPr>
            <w:tcW w:w="6972" w:type="dxa"/>
            <w:tcBorders>
              <w:top w:val="nil"/>
              <w:left w:val="nil"/>
              <w:bottom w:val="single" w:sz="4" w:space="0" w:color="auto"/>
              <w:right w:val="nil"/>
            </w:tcBorders>
            <w:shd w:val="clear" w:color="auto" w:fill="auto"/>
            <w:noWrap/>
            <w:vAlign w:val="bottom"/>
            <w:hideMark/>
          </w:tcPr>
          <w:p w14:paraId="5CB60915" w14:textId="77777777" w:rsidR="00FA18EA" w:rsidRPr="008B2DDA" w:rsidRDefault="00FA18EA" w:rsidP="00FA18EA">
            <w:pPr>
              <w:rPr>
                <w:rFonts w:eastAsia="Times New Roman" w:cstheme="minorHAnsi"/>
                <w:lang w:eastAsia="en-GB"/>
              </w:rPr>
            </w:pPr>
            <w:r w:rsidRPr="008B2DDA">
              <w:rPr>
                <w:rFonts w:eastAsia="Times New Roman" w:cstheme="minorHAnsi"/>
                <w:lang w:eastAsia="en-GB"/>
              </w:rPr>
              <w:t> </w:t>
            </w:r>
          </w:p>
        </w:tc>
        <w:tc>
          <w:tcPr>
            <w:tcW w:w="1284" w:type="dxa"/>
            <w:tcBorders>
              <w:top w:val="nil"/>
              <w:left w:val="nil"/>
              <w:bottom w:val="single" w:sz="4" w:space="0" w:color="auto"/>
              <w:right w:val="nil"/>
            </w:tcBorders>
            <w:shd w:val="clear" w:color="auto" w:fill="auto"/>
            <w:noWrap/>
            <w:vAlign w:val="bottom"/>
            <w:hideMark/>
          </w:tcPr>
          <w:p w14:paraId="4E874E35" w14:textId="77777777" w:rsidR="00FA18EA" w:rsidRPr="0091098D" w:rsidRDefault="00FA18EA" w:rsidP="00FA18EA">
            <w:pPr>
              <w:jc w:val="right"/>
              <w:rPr>
                <w:rFonts w:eastAsia="Times New Roman" w:cstheme="minorHAnsi"/>
                <w:b/>
                <w:bCs/>
                <w:sz w:val="16"/>
                <w:szCs w:val="16"/>
                <w:lang w:eastAsia="en-GB"/>
              </w:rPr>
            </w:pPr>
            <w:r w:rsidRPr="000C5053">
              <w:rPr>
                <w:rFonts w:eastAsia="Times New Roman" w:cstheme="minorHAnsi"/>
                <w:b/>
                <w:bCs/>
                <w:sz w:val="16"/>
                <w:szCs w:val="16"/>
                <w:lang w:eastAsia="en-GB"/>
              </w:rPr>
              <w:t>£’000</w:t>
            </w:r>
          </w:p>
        </w:tc>
        <w:tc>
          <w:tcPr>
            <w:tcW w:w="1418" w:type="dxa"/>
            <w:tcBorders>
              <w:top w:val="nil"/>
              <w:left w:val="nil"/>
              <w:bottom w:val="single" w:sz="4" w:space="0" w:color="auto"/>
              <w:right w:val="nil"/>
            </w:tcBorders>
            <w:shd w:val="clear" w:color="auto" w:fill="auto"/>
            <w:noWrap/>
            <w:vAlign w:val="bottom"/>
            <w:hideMark/>
          </w:tcPr>
          <w:p w14:paraId="37D03074" w14:textId="77777777" w:rsidR="00FA18EA" w:rsidRPr="0075195E" w:rsidRDefault="00FA18EA" w:rsidP="00FA18EA">
            <w:pPr>
              <w:jc w:val="right"/>
              <w:rPr>
                <w:rFonts w:eastAsia="Times New Roman" w:cstheme="minorHAnsi"/>
                <w:sz w:val="16"/>
                <w:szCs w:val="16"/>
                <w:lang w:eastAsia="en-GB"/>
              </w:rPr>
            </w:pPr>
            <w:r w:rsidRPr="0075195E">
              <w:rPr>
                <w:rFonts w:eastAsia="Times New Roman" w:cstheme="minorHAnsi"/>
                <w:sz w:val="16"/>
                <w:szCs w:val="16"/>
                <w:lang w:eastAsia="en-GB"/>
              </w:rPr>
              <w:t>£</w:t>
            </w:r>
            <w:r w:rsidRPr="0075195E">
              <w:rPr>
                <w:rFonts w:eastAsia="Times New Roman" w:cstheme="minorHAnsi"/>
                <w:b/>
                <w:bCs/>
                <w:sz w:val="16"/>
                <w:szCs w:val="16"/>
                <w:lang w:eastAsia="en-GB"/>
              </w:rPr>
              <w:t>’</w:t>
            </w:r>
            <w:r w:rsidRPr="0075195E">
              <w:rPr>
                <w:rFonts w:eastAsia="Times New Roman" w:cstheme="minorHAnsi"/>
                <w:sz w:val="16"/>
                <w:szCs w:val="16"/>
                <w:lang w:eastAsia="en-GB"/>
              </w:rPr>
              <w:t>000</w:t>
            </w:r>
          </w:p>
        </w:tc>
      </w:tr>
      <w:tr w:rsidR="00FA18EA" w:rsidRPr="007600A7" w14:paraId="718BCC0B" w14:textId="77777777" w:rsidTr="00FA18EA">
        <w:tc>
          <w:tcPr>
            <w:tcW w:w="0" w:type="auto"/>
            <w:tcBorders>
              <w:top w:val="nil"/>
              <w:left w:val="nil"/>
              <w:bottom w:val="nil"/>
              <w:right w:val="nil"/>
            </w:tcBorders>
            <w:shd w:val="clear" w:color="auto" w:fill="auto"/>
            <w:noWrap/>
            <w:vAlign w:val="bottom"/>
            <w:hideMark/>
          </w:tcPr>
          <w:p w14:paraId="47F80C4E" w14:textId="77777777" w:rsidR="00FA18EA" w:rsidRPr="008B2DDA" w:rsidRDefault="00FA18EA" w:rsidP="00FA18EA">
            <w:pPr>
              <w:rPr>
                <w:rFonts w:eastAsia="Times New Roman" w:cstheme="minorHAnsi"/>
                <w:sz w:val="18"/>
                <w:szCs w:val="18"/>
                <w:lang w:eastAsia="en-GB"/>
              </w:rPr>
            </w:pPr>
            <w:r w:rsidRPr="008B2DDA">
              <w:rPr>
                <w:rFonts w:eastAsia="Times New Roman" w:cstheme="minorHAnsi"/>
                <w:sz w:val="18"/>
                <w:szCs w:val="18"/>
                <w:lang w:eastAsia="en-GB"/>
              </w:rPr>
              <w:t>Level 1</w:t>
            </w:r>
          </w:p>
        </w:tc>
        <w:tc>
          <w:tcPr>
            <w:tcW w:w="1284" w:type="dxa"/>
            <w:tcBorders>
              <w:top w:val="nil"/>
              <w:left w:val="nil"/>
              <w:bottom w:val="nil"/>
              <w:right w:val="nil"/>
            </w:tcBorders>
            <w:shd w:val="clear" w:color="auto" w:fill="auto"/>
            <w:noWrap/>
            <w:vAlign w:val="bottom"/>
            <w:hideMark/>
          </w:tcPr>
          <w:p w14:paraId="11FCDAA4" w14:textId="77777777" w:rsidR="00FA18EA" w:rsidRPr="0091098D" w:rsidRDefault="00FA18EA" w:rsidP="00FA18EA">
            <w:pPr>
              <w:jc w:val="right"/>
              <w:rPr>
                <w:rFonts w:eastAsia="Times New Roman" w:cstheme="minorHAnsi"/>
                <w:b/>
                <w:bCs/>
                <w:sz w:val="18"/>
                <w:szCs w:val="18"/>
                <w:lang w:eastAsia="en-GB"/>
              </w:rPr>
            </w:pPr>
            <w:r w:rsidRPr="000C5053">
              <w:rPr>
                <w:rFonts w:eastAsia="Times New Roman" w:cstheme="minorHAnsi"/>
                <w:b/>
                <w:bCs/>
                <w:sz w:val="18"/>
                <w:szCs w:val="18"/>
                <w:lang w:eastAsia="en-GB"/>
              </w:rPr>
              <w:t xml:space="preserve">28,692 </w:t>
            </w:r>
          </w:p>
        </w:tc>
        <w:tc>
          <w:tcPr>
            <w:tcW w:w="1418" w:type="dxa"/>
            <w:tcBorders>
              <w:top w:val="nil"/>
              <w:left w:val="nil"/>
              <w:bottom w:val="nil"/>
              <w:right w:val="nil"/>
            </w:tcBorders>
            <w:shd w:val="clear" w:color="auto" w:fill="auto"/>
            <w:noWrap/>
            <w:vAlign w:val="bottom"/>
            <w:hideMark/>
          </w:tcPr>
          <w:p w14:paraId="2C5C71F0" w14:textId="77777777" w:rsidR="00FA18EA" w:rsidRPr="0075195E" w:rsidRDefault="00FA18EA" w:rsidP="00FA18EA">
            <w:pPr>
              <w:jc w:val="right"/>
              <w:rPr>
                <w:rFonts w:eastAsia="Times New Roman" w:cstheme="minorHAnsi"/>
                <w:sz w:val="18"/>
                <w:szCs w:val="18"/>
                <w:lang w:eastAsia="en-GB"/>
              </w:rPr>
            </w:pPr>
            <w:r w:rsidRPr="0075195E">
              <w:rPr>
                <w:rFonts w:eastAsia="Times New Roman" w:cstheme="minorHAnsi"/>
                <w:sz w:val="18"/>
                <w:szCs w:val="18"/>
                <w:lang w:eastAsia="en-GB"/>
              </w:rPr>
              <w:t xml:space="preserve">           47,565 </w:t>
            </w:r>
          </w:p>
        </w:tc>
      </w:tr>
      <w:tr w:rsidR="00FA18EA" w:rsidRPr="007600A7" w14:paraId="2BFC4EA3" w14:textId="77777777" w:rsidTr="00FA18EA">
        <w:tc>
          <w:tcPr>
            <w:tcW w:w="0" w:type="auto"/>
            <w:tcBorders>
              <w:top w:val="nil"/>
              <w:left w:val="nil"/>
              <w:bottom w:val="nil"/>
              <w:right w:val="nil"/>
            </w:tcBorders>
            <w:shd w:val="clear" w:color="auto" w:fill="auto"/>
            <w:noWrap/>
            <w:vAlign w:val="bottom"/>
            <w:hideMark/>
          </w:tcPr>
          <w:p w14:paraId="1B1FA341" w14:textId="77777777" w:rsidR="00FA18EA" w:rsidRPr="008B2DDA" w:rsidRDefault="00FA18EA" w:rsidP="00FA18EA">
            <w:pPr>
              <w:rPr>
                <w:rFonts w:eastAsia="Times New Roman" w:cstheme="minorHAnsi"/>
                <w:sz w:val="18"/>
                <w:szCs w:val="18"/>
                <w:lang w:eastAsia="en-GB"/>
              </w:rPr>
            </w:pPr>
            <w:r w:rsidRPr="008B2DDA">
              <w:rPr>
                <w:rFonts w:eastAsia="Times New Roman" w:cstheme="minorHAnsi"/>
                <w:sz w:val="18"/>
                <w:szCs w:val="18"/>
                <w:lang w:eastAsia="en-GB"/>
              </w:rPr>
              <w:t>Level 2</w:t>
            </w:r>
          </w:p>
        </w:tc>
        <w:tc>
          <w:tcPr>
            <w:tcW w:w="1284" w:type="dxa"/>
            <w:tcBorders>
              <w:top w:val="nil"/>
              <w:left w:val="nil"/>
              <w:bottom w:val="nil"/>
              <w:right w:val="nil"/>
            </w:tcBorders>
            <w:shd w:val="clear" w:color="auto" w:fill="auto"/>
            <w:noWrap/>
            <w:vAlign w:val="bottom"/>
            <w:hideMark/>
          </w:tcPr>
          <w:p w14:paraId="27C6C5C3" w14:textId="77777777" w:rsidR="00FA18EA" w:rsidRPr="0091098D" w:rsidRDefault="00FA18EA" w:rsidP="00FA18EA">
            <w:pPr>
              <w:jc w:val="right"/>
              <w:rPr>
                <w:rFonts w:eastAsia="Times New Roman" w:cstheme="minorHAnsi"/>
                <w:b/>
                <w:bCs/>
                <w:sz w:val="18"/>
                <w:szCs w:val="18"/>
                <w:lang w:eastAsia="en-GB"/>
              </w:rPr>
            </w:pPr>
            <w:r w:rsidRPr="000C5053">
              <w:rPr>
                <w:rFonts w:eastAsia="Times New Roman" w:cstheme="minorHAnsi"/>
                <w:b/>
                <w:bCs/>
                <w:sz w:val="18"/>
                <w:szCs w:val="18"/>
                <w:lang w:eastAsia="en-GB"/>
              </w:rPr>
              <w:t>-</w:t>
            </w:r>
          </w:p>
        </w:tc>
        <w:tc>
          <w:tcPr>
            <w:tcW w:w="1418" w:type="dxa"/>
            <w:tcBorders>
              <w:top w:val="nil"/>
              <w:left w:val="nil"/>
              <w:bottom w:val="nil"/>
              <w:right w:val="nil"/>
            </w:tcBorders>
            <w:shd w:val="clear" w:color="auto" w:fill="auto"/>
            <w:noWrap/>
            <w:vAlign w:val="bottom"/>
            <w:hideMark/>
          </w:tcPr>
          <w:p w14:paraId="0F9D98D1" w14:textId="77777777" w:rsidR="00FA18EA" w:rsidRPr="0075195E" w:rsidRDefault="00FA18EA" w:rsidP="00FA18EA">
            <w:pPr>
              <w:jc w:val="right"/>
              <w:rPr>
                <w:rFonts w:eastAsia="Times New Roman" w:cstheme="minorHAnsi"/>
                <w:sz w:val="18"/>
                <w:szCs w:val="18"/>
                <w:lang w:eastAsia="en-GB"/>
              </w:rPr>
            </w:pPr>
            <w:r w:rsidRPr="0075195E">
              <w:rPr>
                <w:rFonts w:eastAsia="Times New Roman" w:cstheme="minorHAnsi"/>
                <w:sz w:val="18"/>
                <w:szCs w:val="18"/>
                <w:lang w:eastAsia="en-GB"/>
              </w:rPr>
              <w:t>-</w:t>
            </w:r>
          </w:p>
        </w:tc>
      </w:tr>
      <w:tr w:rsidR="00FA18EA" w:rsidRPr="007600A7" w14:paraId="02D85FD0" w14:textId="77777777" w:rsidTr="00FA18EA">
        <w:trPr>
          <w:trHeight w:val="255"/>
        </w:trPr>
        <w:tc>
          <w:tcPr>
            <w:tcW w:w="0" w:type="auto"/>
            <w:tcBorders>
              <w:top w:val="nil"/>
              <w:left w:val="nil"/>
              <w:bottom w:val="nil"/>
              <w:right w:val="nil"/>
            </w:tcBorders>
            <w:shd w:val="clear" w:color="auto" w:fill="auto"/>
            <w:noWrap/>
            <w:vAlign w:val="bottom"/>
            <w:hideMark/>
          </w:tcPr>
          <w:p w14:paraId="09618C59" w14:textId="77777777" w:rsidR="00FA18EA" w:rsidRPr="008B2DDA" w:rsidRDefault="00FA18EA" w:rsidP="00FA18EA">
            <w:pPr>
              <w:rPr>
                <w:rFonts w:eastAsia="Times New Roman" w:cstheme="minorHAnsi"/>
                <w:sz w:val="18"/>
                <w:szCs w:val="18"/>
                <w:lang w:eastAsia="en-GB"/>
              </w:rPr>
            </w:pPr>
            <w:r w:rsidRPr="008B2DDA">
              <w:rPr>
                <w:rFonts w:eastAsia="Times New Roman" w:cstheme="minorHAnsi"/>
                <w:sz w:val="18"/>
                <w:szCs w:val="18"/>
                <w:lang w:eastAsia="en-GB"/>
              </w:rPr>
              <w:t>Level 3</w:t>
            </w:r>
          </w:p>
        </w:tc>
        <w:tc>
          <w:tcPr>
            <w:tcW w:w="1284" w:type="dxa"/>
            <w:tcBorders>
              <w:top w:val="nil"/>
              <w:left w:val="nil"/>
              <w:bottom w:val="nil"/>
              <w:right w:val="nil"/>
            </w:tcBorders>
            <w:shd w:val="clear" w:color="auto" w:fill="auto"/>
            <w:noWrap/>
            <w:vAlign w:val="bottom"/>
            <w:hideMark/>
          </w:tcPr>
          <w:p w14:paraId="7E51F098" w14:textId="77777777" w:rsidR="00FA18EA" w:rsidRPr="0091098D" w:rsidRDefault="00FA18EA" w:rsidP="00FA18EA">
            <w:pPr>
              <w:jc w:val="right"/>
              <w:rPr>
                <w:rFonts w:eastAsia="Times New Roman" w:cstheme="minorHAnsi"/>
                <w:b/>
                <w:bCs/>
                <w:sz w:val="18"/>
                <w:szCs w:val="18"/>
                <w:lang w:eastAsia="en-GB"/>
              </w:rPr>
            </w:pPr>
            <w:r w:rsidRPr="000C5053">
              <w:rPr>
                <w:rFonts w:eastAsia="Times New Roman" w:cstheme="minorHAnsi"/>
                <w:b/>
                <w:bCs/>
                <w:sz w:val="18"/>
                <w:szCs w:val="18"/>
                <w:lang w:eastAsia="en-GB"/>
              </w:rPr>
              <w:t>2,917</w:t>
            </w:r>
          </w:p>
        </w:tc>
        <w:tc>
          <w:tcPr>
            <w:tcW w:w="1418" w:type="dxa"/>
            <w:tcBorders>
              <w:top w:val="nil"/>
              <w:left w:val="nil"/>
              <w:bottom w:val="nil"/>
              <w:right w:val="nil"/>
            </w:tcBorders>
            <w:shd w:val="clear" w:color="auto" w:fill="auto"/>
            <w:noWrap/>
            <w:vAlign w:val="bottom"/>
            <w:hideMark/>
          </w:tcPr>
          <w:p w14:paraId="2887F540" w14:textId="77777777" w:rsidR="00FA18EA" w:rsidRPr="0075195E" w:rsidRDefault="00FA18EA" w:rsidP="00FA18EA">
            <w:pPr>
              <w:jc w:val="right"/>
              <w:rPr>
                <w:rFonts w:eastAsia="Times New Roman" w:cstheme="minorHAnsi"/>
                <w:sz w:val="18"/>
                <w:szCs w:val="18"/>
                <w:lang w:eastAsia="en-GB"/>
              </w:rPr>
            </w:pPr>
            <w:r w:rsidRPr="0075195E">
              <w:rPr>
                <w:rFonts w:eastAsia="Times New Roman" w:cstheme="minorHAnsi"/>
                <w:sz w:val="18"/>
                <w:szCs w:val="18"/>
                <w:lang w:eastAsia="en-GB"/>
              </w:rPr>
              <w:t>6,323</w:t>
            </w:r>
          </w:p>
        </w:tc>
      </w:tr>
      <w:tr w:rsidR="00FA18EA" w:rsidRPr="007600A7" w14:paraId="3175E6BD" w14:textId="77777777" w:rsidTr="00FA18EA">
        <w:trPr>
          <w:trHeight w:val="270"/>
        </w:trPr>
        <w:tc>
          <w:tcPr>
            <w:tcW w:w="0" w:type="auto"/>
            <w:tcBorders>
              <w:top w:val="single" w:sz="4" w:space="0" w:color="auto"/>
              <w:left w:val="nil"/>
              <w:bottom w:val="single" w:sz="8" w:space="0" w:color="auto"/>
              <w:right w:val="nil"/>
            </w:tcBorders>
            <w:shd w:val="clear" w:color="auto" w:fill="auto"/>
            <w:noWrap/>
            <w:vAlign w:val="bottom"/>
            <w:hideMark/>
          </w:tcPr>
          <w:p w14:paraId="41E04D95" w14:textId="77777777" w:rsidR="00FA18EA" w:rsidRPr="008B2DDA" w:rsidRDefault="00FA18EA" w:rsidP="00FA18EA">
            <w:pPr>
              <w:rPr>
                <w:rFonts w:eastAsia="Times New Roman" w:cstheme="minorHAnsi"/>
                <w:b/>
                <w:bCs/>
                <w:sz w:val="18"/>
                <w:szCs w:val="18"/>
                <w:lang w:eastAsia="en-GB"/>
              </w:rPr>
            </w:pPr>
          </w:p>
        </w:tc>
        <w:tc>
          <w:tcPr>
            <w:tcW w:w="1284" w:type="dxa"/>
            <w:tcBorders>
              <w:top w:val="single" w:sz="4" w:space="0" w:color="auto"/>
              <w:left w:val="nil"/>
              <w:bottom w:val="single" w:sz="8" w:space="0" w:color="auto"/>
              <w:right w:val="nil"/>
            </w:tcBorders>
            <w:shd w:val="clear" w:color="auto" w:fill="auto"/>
            <w:noWrap/>
            <w:vAlign w:val="bottom"/>
            <w:hideMark/>
          </w:tcPr>
          <w:p w14:paraId="550D2E9D" w14:textId="77777777" w:rsidR="00FA18EA" w:rsidRPr="0091098D" w:rsidRDefault="00FA18EA" w:rsidP="00FA18EA">
            <w:pPr>
              <w:jc w:val="right"/>
              <w:rPr>
                <w:rFonts w:eastAsia="Times New Roman" w:cstheme="minorHAnsi"/>
                <w:b/>
                <w:bCs/>
                <w:sz w:val="18"/>
                <w:szCs w:val="18"/>
                <w:lang w:eastAsia="en-GB"/>
              </w:rPr>
            </w:pPr>
            <w:r w:rsidRPr="000C5053">
              <w:rPr>
                <w:rFonts w:eastAsia="Times New Roman" w:cstheme="minorHAnsi"/>
                <w:b/>
                <w:bCs/>
                <w:sz w:val="18"/>
                <w:szCs w:val="18"/>
                <w:lang w:eastAsia="en-GB"/>
              </w:rPr>
              <w:t>31,609</w:t>
            </w:r>
          </w:p>
        </w:tc>
        <w:tc>
          <w:tcPr>
            <w:tcW w:w="1418" w:type="dxa"/>
            <w:tcBorders>
              <w:top w:val="single" w:sz="4" w:space="0" w:color="auto"/>
              <w:left w:val="nil"/>
              <w:bottom w:val="single" w:sz="8" w:space="0" w:color="auto"/>
              <w:right w:val="nil"/>
            </w:tcBorders>
            <w:shd w:val="clear" w:color="auto" w:fill="auto"/>
            <w:noWrap/>
            <w:vAlign w:val="bottom"/>
            <w:hideMark/>
          </w:tcPr>
          <w:p w14:paraId="75C21393" w14:textId="77777777" w:rsidR="00FA18EA" w:rsidRPr="0075195E" w:rsidRDefault="00FA18EA" w:rsidP="00FA18EA">
            <w:pPr>
              <w:jc w:val="right"/>
              <w:rPr>
                <w:rFonts w:eastAsia="Times New Roman" w:cstheme="minorHAnsi"/>
                <w:sz w:val="18"/>
                <w:szCs w:val="18"/>
                <w:lang w:eastAsia="en-GB"/>
              </w:rPr>
            </w:pPr>
            <w:r w:rsidRPr="0075195E">
              <w:rPr>
                <w:rFonts w:eastAsia="Times New Roman" w:cstheme="minorHAnsi"/>
                <w:sz w:val="18"/>
                <w:szCs w:val="18"/>
                <w:lang w:eastAsia="en-GB"/>
              </w:rPr>
              <w:t xml:space="preserve">            53,888 </w:t>
            </w:r>
          </w:p>
        </w:tc>
      </w:tr>
    </w:tbl>
    <w:p w14:paraId="1321AFB6" w14:textId="77777777" w:rsidR="00FA18EA" w:rsidRPr="008B2DDA" w:rsidRDefault="00FA18EA" w:rsidP="00FA18EA">
      <w:pPr>
        <w:autoSpaceDE w:val="0"/>
        <w:autoSpaceDN w:val="0"/>
        <w:adjustRightInd w:val="0"/>
        <w:rPr>
          <w:rFonts w:cstheme="minorHAnsi"/>
          <w:b/>
          <w:color w:val="000000"/>
          <w:sz w:val="18"/>
          <w:szCs w:val="16"/>
        </w:rPr>
      </w:pPr>
    </w:p>
    <w:p w14:paraId="0E5EA4CC" w14:textId="77777777" w:rsidR="00FA18EA" w:rsidRPr="0091098D" w:rsidRDefault="00FA18EA" w:rsidP="00FA18EA">
      <w:pPr>
        <w:autoSpaceDE w:val="0"/>
        <w:autoSpaceDN w:val="0"/>
        <w:adjustRightInd w:val="0"/>
        <w:rPr>
          <w:rFonts w:cstheme="minorHAnsi"/>
          <w:b/>
          <w:color w:val="000000"/>
          <w:sz w:val="18"/>
          <w:szCs w:val="16"/>
        </w:rPr>
      </w:pPr>
      <w:r w:rsidRPr="000C5053">
        <w:rPr>
          <w:rFonts w:cstheme="minorHAnsi"/>
          <w:b/>
          <w:color w:val="000000"/>
          <w:sz w:val="18"/>
          <w:szCs w:val="16"/>
        </w:rPr>
        <w:t xml:space="preserve">Fair values of financial assets and financial </w:t>
      </w:r>
      <w:r w:rsidRPr="0091098D">
        <w:rPr>
          <w:rFonts w:cstheme="minorHAnsi"/>
          <w:b/>
          <w:color w:val="000000"/>
          <w:sz w:val="18"/>
          <w:szCs w:val="16"/>
        </w:rPr>
        <w:t>liabilities</w:t>
      </w:r>
    </w:p>
    <w:p w14:paraId="5FE4EB1E" w14:textId="77777777" w:rsidR="00FA18EA" w:rsidRPr="0075195E" w:rsidRDefault="00FA18EA" w:rsidP="00FA18EA">
      <w:pPr>
        <w:autoSpaceDE w:val="0"/>
        <w:autoSpaceDN w:val="0"/>
        <w:adjustRightInd w:val="0"/>
        <w:jc w:val="both"/>
        <w:rPr>
          <w:rFonts w:cstheme="minorHAnsi"/>
          <w:color w:val="000000" w:themeColor="text1"/>
          <w:sz w:val="18"/>
          <w:szCs w:val="18"/>
        </w:rPr>
      </w:pPr>
      <w:r w:rsidRPr="0075195E">
        <w:rPr>
          <w:rFonts w:cstheme="minorHAnsi"/>
          <w:color w:val="000000" w:themeColor="text1"/>
          <w:sz w:val="18"/>
          <w:szCs w:val="18"/>
        </w:rPr>
        <w:t>Financial assets and liabilities are carried in the statement of financial position at either their fair value (investments), or the statement of financial position amount is a reasonable approximation of the fair value (dividends receivable, accrued income, accruals, and cash at bank).</w:t>
      </w:r>
    </w:p>
    <w:p w14:paraId="6C1CC2E6" w14:textId="77777777" w:rsidR="00FA18EA" w:rsidRPr="00536A35" w:rsidRDefault="00FA18EA" w:rsidP="00FA18EA">
      <w:pPr>
        <w:autoSpaceDE w:val="0"/>
        <w:autoSpaceDN w:val="0"/>
        <w:adjustRightInd w:val="0"/>
        <w:jc w:val="both"/>
        <w:rPr>
          <w:rFonts w:cstheme="minorHAnsi"/>
          <w:color w:val="000000" w:themeColor="text1"/>
          <w:sz w:val="14"/>
          <w:szCs w:val="14"/>
        </w:rPr>
      </w:pPr>
    </w:p>
    <w:p w14:paraId="266DEC10" w14:textId="77777777" w:rsidR="00FA18EA" w:rsidRPr="00A02B31" w:rsidRDefault="00FA18EA" w:rsidP="00FA18EA">
      <w:pPr>
        <w:autoSpaceDE w:val="0"/>
        <w:autoSpaceDN w:val="0"/>
        <w:adjustRightInd w:val="0"/>
        <w:jc w:val="both"/>
        <w:rPr>
          <w:rFonts w:cstheme="minorHAnsi"/>
          <w:sz w:val="18"/>
          <w:szCs w:val="18"/>
        </w:rPr>
      </w:pPr>
      <w:r w:rsidRPr="00A02B31">
        <w:rPr>
          <w:rFonts w:cstheme="minorHAnsi"/>
          <w:sz w:val="18"/>
          <w:szCs w:val="18"/>
        </w:rPr>
        <w:t xml:space="preserve">As at 31 March 2022 and 31 March 2021, all investments, except for the investments in the table below, fall into the category 'Level 1' under IFRS 7 fair value hierarchy.  </w:t>
      </w:r>
    </w:p>
    <w:p w14:paraId="6205FB0D" w14:textId="77777777" w:rsidR="00FA18EA" w:rsidRPr="00A02B31" w:rsidRDefault="00FA18EA" w:rsidP="00FA18EA">
      <w:pPr>
        <w:autoSpaceDE w:val="0"/>
        <w:autoSpaceDN w:val="0"/>
        <w:adjustRightInd w:val="0"/>
        <w:jc w:val="both"/>
        <w:rPr>
          <w:rFonts w:cstheme="minorHAnsi"/>
          <w:color w:val="000000" w:themeColor="text1"/>
          <w:sz w:val="18"/>
          <w:szCs w:val="18"/>
        </w:rPr>
      </w:pPr>
    </w:p>
    <w:p w14:paraId="1A7D0861" w14:textId="77777777" w:rsidR="00FA18EA" w:rsidRPr="00A02B31" w:rsidRDefault="00FA18EA" w:rsidP="00FA18EA">
      <w:pPr>
        <w:autoSpaceDE w:val="0"/>
        <w:autoSpaceDN w:val="0"/>
        <w:adjustRightInd w:val="0"/>
        <w:jc w:val="both"/>
        <w:rPr>
          <w:rFonts w:cstheme="minorHAnsi"/>
          <w:color w:val="000000" w:themeColor="text1"/>
          <w:sz w:val="18"/>
          <w:szCs w:val="18"/>
        </w:rPr>
      </w:pPr>
      <w:r w:rsidRPr="00A02B31">
        <w:rPr>
          <w:rFonts w:cstheme="minorHAnsi"/>
          <w:color w:val="000000" w:themeColor="text1"/>
          <w:sz w:val="18"/>
          <w:szCs w:val="18"/>
        </w:rPr>
        <w:t>A summary of the level 3 investments are as follows:</w:t>
      </w:r>
    </w:p>
    <w:tbl>
      <w:tblPr>
        <w:tblW w:w="9793" w:type="dxa"/>
        <w:tblInd w:w="108" w:type="dxa"/>
        <w:tblLook w:val="04A0" w:firstRow="1" w:lastRow="0" w:firstColumn="1" w:lastColumn="0" w:noHBand="0" w:noVBand="1"/>
      </w:tblPr>
      <w:tblGrid>
        <w:gridCol w:w="2694"/>
        <w:gridCol w:w="2976"/>
        <w:gridCol w:w="709"/>
        <w:gridCol w:w="2693"/>
        <w:gridCol w:w="721"/>
      </w:tblGrid>
      <w:tr w:rsidR="00FA18EA" w:rsidRPr="007600A7" w14:paraId="31047B5C" w14:textId="77777777" w:rsidTr="00FA18EA">
        <w:trPr>
          <w:trHeight w:val="222"/>
        </w:trPr>
        <w:tc>
          <w:tcPr>
            <w:tcW w:w="2694" w:type="dxa"/>
            <w:tcBorders>
              <w:top w:val="single" w:sz="4" w:space="0" w:color="auto"/>
              <w:left w:val="nil"/>
              <w:bottom w:val="nil"/>
              <w:right w:val="nil"/>
            </w:tcBorders>
            <w:shd w:val="clear" w:color="auto" w:fill="auto"/>
            <w:noWrap/>
            <w:vAlign w:val="bottom"/>
            <w:hideMark/>
          </w:tcPr>
          <w:p w14:paraId="49B71EDF" w14:textId="77777777" w:rsidR="00FA18EA" w:rsidRPr="00A02B31" w:rsidRDefault="00FA18EA" w:rsidP="00FA18EA">
            <w:pPr>
              <w:outlineLvl w:val="0"/>
              <w:rPr>
                <w:rFonts w:eastAsia="Times New Roman" w:cstheme="minorHAnsi"/>
                <w:lang w:eastAsia="en-GB"/>
              </w:rPr>
            </w:pPr>
            <w:r w:rsidRPr="00A02B31">
              <w:rPr>
                <w:rFonts w:eastAsia="Times New Roman" w:cstheme="minorHAnsi"/>
                <w:lang w:eastAsia="en-GB"/>
              </w:rPr>
              <w:t> </w:t>
            </w:r>
          </w:p>
        </w:tc>
        <w:tc>
          <w:tcPr>
            <w:tcW w:w="3685" w:type="dxa"/>
            <w:gridSpan w:val="2"/>
            <w:tcBorders>
              <w:top w:val="single" w:sz="4" w:space="0" w:color="auto"/>
              <w:left w:val="nil"/>
              <w:right w:val="nil"/>
            </w:tcBorders>
            <w:shd w:val="clear" w:color="auto" w:fill="auto"/>
            <w:vAlign w:val="bottom"/>
            <w:hideMark/>
          </w:tcPr>
          <w:p w14:paraId="11281C3E" w14:textId="77777777" w:rsidR="00FA18EA" w:rsidRPr="00A02B31" w:rsidRDefault="00FA18EA" w:rsidP="00FA18EA">
            <w:pPr>
              <w:jc w:val="center"/>
              <w:outlineLvl w:val="0"/>
              <w:rPr>
                <w:rFonts w:eastAsia="Times New Roman" w:cstheme="minorHAnsi"/>
                <w:b/>
                <w:bCs/>
                <w:sz w:val="16"/>
                <w:szCs w:val="16"/>
                <w:lang w:eastAsia="en-GB"/>
              </w:rPr>
            </w:pPr>
            <w:r w:rsidRPr="00A02B31">
              <w:rPr>
                <w:rFonts w:eastAsia="Times New Roman" w:cstheme="minorHAnsi"/>
                <w:b/>
                <w:bCs/>
                <w:sz w:val="16"/>
                <w:szCs w:val="16"/>
                <w:lang w:eastAsia="en-GB"/>
              </w:rPr>
              <w:t>31 March 2022</w:t>
            </w:r>
          </w:p>
        </w:tc>
        <w:tc>
          <w:tcPr>
            <w:tcW w:w="3414" w:type="dxa"/>
            <w:gridSpan w:val="2"/>
            <w:tcBorders>
              <w:top w:val="single" w:sz="4" w:space="0" w:color="auto"/>
              <w:left w:val="nil"/>
              <w:bottom w:val="single" w:sz="4" w:space="0" w:color="auto"/>
              <w:right w:val="nil"/>
            </w:tcBorders>
            <w:shd w:val="clear" w:color="auto" w:fill="auto"/>
            <w:vAlign w:val="bottom"/>
            <w:hideMark/>
          </w:tcPr>
          <w:p w14:paraId="4AD03816" w14:textId="77777777" w:rsidR="00FA18EA" w:rsidRPr="00A02B31" w:rsidRDefault="00FA18EA" w:rsidP="00FA18EA">
            <w:pPr>
              <w:jc w:val="center"/>
              <w:outlineLvl w:val="0"/>
              <w:rPr>
                <w:rFonts w:eastAsia="Times New Roman" w:cstheme="minorHAnsi"/>
                <w:sz w:val="16"/>
                <w:szCs w:val="16"/>
                <w:lang w:eastAsia="en-GB"/>
              </w:rPr>
            </w:pPr>
            <w:r w:rsidRPr="00A02B31">
              <w:rPr>
                <w:rFonts w:eastAsia="Times New Roman" w:cstheme="minorHAnsi"/>
                <w:sz w:val="16"/>
                <w:szCs w:val="16"/>
                <w:lang w:eastAsia="en-GB"/>
              </w:rPr>
              <w:t xml:space="preserve"> 31 March 2021</w:t>
            </w:r>
          </w:p>
        </w:tc>
      </w:tr>
      <w:tr w:rsidR="00FA18EA" w:rsidRPr="007600A7" w14:paraId="47C306D7" w14:textId="77777777" w:rsidTr="00FA18EA">
        <w:trPr>
          <w:trHeight w:val="222"/>
        </w:trPr>
        <w:tc>
          <w:tcPr>
            <w:tcW w:w="2694" w:type="dxa"/>
            <w:tcBorders>
              <w:top w:val="nil"/>
              <w:left w:val="nil"/>
              <w:right w:val="nil"/>
            </w:tcBorders>
            <w:shd w:val="clear" w:color="auto" w:fill="auto"/>
            <w:noWrap/>
            <w:vAlign w:val="bottom"/>
            <w:hideMark/>
          </w:tcPr>
          <w:p w14:paraId="13FD4A52" w14:textId="77777777" w:rsidR="00FA18EA" w:rsidRPr="008B2DDA" w:rsidRDefault="00FA18EA" w:rsidP="00FA18EA">
            <w:pPr>
              <w:outlineLvl w:val="0"/>
              <w:rPr>
                <w:rFonts w:eastAsia="Times New Roman" w:cstheme="minorHAnsi"/>
                <w:lang w:eastAsia="en-GB"/>
              </w:rPr>
            </w:pPr>
          </w:p>
        </w:tc>
        <w:tc>
          <w:tcPr>
            <w:tcW w:w="2976" w:type="dxa"/>
            <w:tcBorders>
              <w:top w:val="nil"/>
              <w:left w:val="nil"/>
              <w:bottom w:val="single" w:sz="4" w:space="0" w:color="auto"/>
              <w:right w:val="nil"/>
            </w:tcBorders>
            <w:shd w:val="clear" w:color="auto" w:fill="auto"/>
            <w:noWrap/>
            <w:vAlign w:val="bottom"/>
            <w:hideMark/>
          </w:tcPr>
          <w:p w14:paraId="7718F3B8" w14:textId="77777777" w:rsidR="00FA18EA" w:rsidRPr="0091098D" w:rsidRDefault="00FA18EA" w:rsidP="00FA18EA">
            <w:pPr>
              <w:outlineLvl w:val="0"/>
              <w:rPr>
                <w:rFonts w:eastAsia="Times New Roman" w:cstheme="minorHAnsi"/>
                <w:b/>
                <w:bCs/>
                <w:sz w:val="16"/>
                <w:szCs w:val="16"/>
                <w:lang w:eastAsia="en-GB"/>
              </w:rPr>
            </w:pPr>
            <w:r w:rsidRPr="000C5053">
              <w:rPr>
                <w:rFonts w:eastAsia="Times New Roman" w:cstheme="minorHAnsi"/>
                <w:b/>
                <w:bCs/>
                <w:sz w:val="16"/>
                <w:szCs w:val="16"/>
                <w:lang w:eastAsia="en-GB"/>
              </w:rPr>
              <w:t>Material investments included</w:t>
            </w:r>
          </w:p>
        </w:tc>
        <w:tc>
          <w:tcPr>
            <w:tcW w:w="709" w:type="dxa"/>
            <w:tcBorders>
              <w:top w:val="nil"/>
              <w:left w:val="nil"/>
              <w:bottom w:val="single" w:sz="4" w:space="0" w:color="auto"/>
              <w:right w:val="nil"/>
            </w:tcBorders>
            <w:shd w:val="clear" w:color="auto" w:fill="auto"/>
            <w:vAlign w:val="bottom"/>
            <w:hideMark/>
          </w:tcPr>
          <w:p w14:paraId="134AC212" w14:textId="77777777" w:rsidR="00FA18EA" w:rsidRPr="0075195E" w:rsidRDefault="00FA18EA" w:rsidP="00FA18EA">
            <w:pPr>
              <w:jc w:val="right"/>
              <w:outlineLvl w:val="0"/>
              <w:rPr>
                <w:rFonts w:eastAsia="Times New Roman" w:cstheme="minorHAnsi"/>
                <w:b/>
                <w:bCs/>
                <w:sz w:val="16"/>
                <w:szCs w:val="16"/>
                <w:lang w:eastAsia="en-GB"/>
              </w:rPr>
            </w:pPr>
            <w:r w:rsidRPr="0075195E">
              <w:rPr>
                <w:rFonts w:eastAsia="Times New Roman" w:cstheme="minorHAnsi"/>
                <w:b/>
                <w:bCs/>
                <w:sz w:val="16"/>
                <w:szCs w:val="16"/>
                <w:lang w:eastAsia="en-GB"/>
              </w:rPr>
              <w:t>£'000s</w:t>
            </w:r>
          </w:p>
        </w:tc>
        <w:tc>
          <w:tcPr>
            <w:tcW w:w="2693" w:type="dxa"/>
            <w:tcBorders>
              <w:top w:val="nil"/>
              <w:left w:val="nil"/>
              <w:bottom w:val="nil"/>
              <w:right w:val="nil"/>
            </w:tcBorders>
            <w:shd w:val="clear" w:color="auto" w:fill="auto"/>
            <w:noWrap/>
            <w:vAlign w:val="bottom"/>
            <w:hideMark/>
          </w:tcPr>
          <w:p w14:paraId="3603F97E" w14:textId="77777777" w:rsidR="00FA18EA" w:rsidRPr="00536A35" w:rsidRDefault="00FA18EA" w:rsidP="00FA18EA">
            <w:pPr>
              <w:outlineLvl w:val="0"/>
              <w:rPr>
                <w:rFonts w:eastAsia="Times New Roman" w:cstheme="minorHAnsi"/>
                <w:sz w:val="16"/>
                <w:szCs w:val="16"/>
                <w:lang w:eastAsia="en-GB"/>
              </w:rPr>
            </w:pPr>
            <w:r w:rsidRPr="00536A35">
              <w:rPr>
                <w:rFonts w:eastAsia="Times New Roman" w:cstheme="minorHAnsi"/>
                <w:sz w:val="16"/>
                <w:szCs w:val="16"/>
                <w:lang w:eastAsia="en-GB"/>
              </w:rPr>
              <w:t>Material investments included</w:t>
            </w:r>
          </w:p>
        </w:tc>
        <w:tc>
          <w:tcPr>
            <w:tcW w:w="721" w:type="dxa"/>
            <w:tcBorders>
              <w:top w:val="single" w:sz="4" w:space="0" w:color="auto"/>
              <w:left w:val="nil"/>
              <w:bottom w:val="single" w:sz="4" w:space="0" w:color="auto"/>
              <w:right w:val="nil"/>
            </w:tcBorders>
            <w:shd w:val="clear" w:color="auto" w:fill="auto"/>
            <w:vAlign w:val="bottom"/>
            <w:hideMark/>
          </w:tcPr>
          <w:p w14:paraId="51871F27" w14:textId="77777777" w:rsidR="00FA18EA" w:rsidRPr="00A02B31" w:rsidRDefault="00FA18EA" w:rsidP="00FA18EA">
            <w:pPr>
              <w:jc w:val="right"/>
              <w:outlineLvl w:val="0"/>
              <w:rPr>
                <w:rFonts w:eastAsia="Times New Roman" w:cstheme="minorHAnsi"/>
                <w:sz w:val="16"/>
                <w:szCs w:val="16"/>
                <w:lang w:eastAsia="en-GB"/>
              </w:rPr>
            </w:pPr>
            <w:r w:rsidRPr="00A02B31">
              <w:rPr>
                <w:rFonts w:eastAsia="Times New Roman" w:cstheme="minorHAnsi"/>
                <w:sz w:val="16"/>
                <w:szCs w:val="16"/>
                <w:lang w:eastAsia="en-GB"/>
              </w:rPr>
              <w:t>£'000s</w:t>
            </w:r>
          </w:p>
        </w:tc>
      </w:tr>
      <w:tr w:rsidR="00FA18EA" w:rsidRPr="007600A7" w14:paraId="40D00DFC" w14:textId="77777777" w:rsidTr="00FA18EA">
        <w:trPr>
          <w:trHeight w:val="255"/>
        </w:trPr>
        <w:tc>
          <w:tcPr>
            <w:tcW w:w="2694" w:type="dxa"/>
            <w:shd w:val="clear" w:color="auto" w:fill="auto"/>
            <w:noWrap/>
            <w:vAlign w:val="bottom"/>
            <w:hideMark/>
          </w:tcPr>
          <w:p w14:paraId="1FEA409F" w14:textId="77777777" w:rsidR="00FA18EA" w:rsidRPr="008B2DDA" w:rsidRDefault="00FA18EA" w:rsidP="00FA18EA">
            <w:pPr>
              <w:outlineLvl w:val="0"/>
              <w:rPr>
                <w:rFonts w:eastAsia="Times New Roman" w:cstheme="minorHAnsi"/>
                <w:sz w:val="18"/>
                <w:szCs w:val="18"/>
                <w:lang w:eastAsia="en-GB"/>
              </w:rPr>
            </w:pPr>
            <w:r w:rsidRPr="008B2DDA">
              <w:rPr>
                <w:rFonts w:eastAsia="Times New Roman" w:cstheme="minorHAnsi"/>
                <w:sz w:val="18"/>
                <w:szCs w:val="18"/>
                <w:lang w:eastAsia="en-GB"/>
              </w:rPr>
              <w:t>Fair value</w:t>
            </w:r>
          </w:p>
        </w:tc>
        <w:tc>
          <w:tcPr>
            <w:tcW w:w="2976" w:type="dxa"/>
            <w:tcBorders>
              <w:top w:val="single" w:sz="4" w:space="0" w:color="auto"/>
            </w:tcBorders>
            <w:shd w:val="clear" w:color="auto" w:fill="auto"/>
            <w:noWrap/>
            <w:vAlign w:val="bottom"/>
            <w:hideMark/>
          </w:tcPr>
          <w:p w14:paraId="78BDD76B" w14:textId="77777777" w:rsidR="00FA18EA" w:rsidRPr="0091098D" w:rsidRDefault="00FA18EA" w:rsidP="00FA18EA">
            <w:pPr>
              <w:outlineLvl w:val="0"/>
              <w:rPr>
                <w:rFonts w:eastAsia="Times New Roman" w:cstheme="minorHAnsi"/>
                <w:b/>
                <w:bCs/>
                <w:sz w:val="18"/>
                <w:szCs w:val="18"/>
                <w:lang w:eastAsia="en-GB"/>
              </w:rPr>
            </w:pPr>
            <w:r w:rsidRPr="000C5053">
              <w:rPr>
                <w:rFonts w:eastAsia="Times New Roman" w:cstheme="minorHAnsi"/>
                <w:b/>
                <w:bCs/>
                <w:sz w:val="18"/>
                <w:szCs w:val="18"/>
                <w:lang w:eastAsia="en-GB"/>
              </w:rPr>
              <w:t>The Lakes Distillery Company</w:t>
            </w:r>
          </w:p>
        </w:tc>
        <w:tc>
          <w:tcPr>
            <w:tcW w:w="709" w:type="dxa"/>
            <w:tcBorders>
              <w:top w:val="single" w:sz="4" w:space="0" w:color="auto"/>
            </w:tcBorders>
            <w:shd w:val="clear" w:color="auto" w:fill="auto"/>
            <w:noWrap/>
            <w:vAlign w:val="bottom"/>
          </w:tcPr>
          <w:p w14:paraId="25FE24E6" w14:textId="77777777" w:rsidR="00FA18EA" w:rsidRPr="0075195E" w:rsidRDefault="00FA18EA" w:rsidP="00FA18EA">
            <w:pPr>
              <w:jc w:val="right"/>
              <w:outlineLvl w:val="0"/>
              <w:rPr>
                <w:rFonts w:eastAsia="Times New Roman" w:cstheme="minorHAnsi"/>
                <w:b/>
                <w:bCs/>
                <w:sz w:val="18"/>
                <w:szCs w:val="18"/>
                <w:lang w:eastAsia="en-GB"/>
              </w:rPr>
            </w:pPr>
            <w:r w:rsidRPr="0075195E">
              <w:rPr>
                <w:rFonts w:eastAsia="Times New Roman" w:cstheme="minorHAnsi"/>
                <w:b/>
                <w:bCs/>
                <w:sz w:val="18"/>
                <w:szCs w:val="18"/>
                <w:lang w:eastAsia="en-GB"/>
              </w:rPr>
              <w:t>2,917</w:t>
            </w:r>
          </w:p>
        </w:tc>
        <w:tc>
          <w:tcPr>
            <w:tcW w:w="2693" w:type="dxa"/>
            <w:tcBorders>
              <w:top w:val="single" w:sz="4" w:space="0" w:color="auto"/>
              <w:left w:val="nil"/>
              <w:right w:val="nil"/>
            </w:tcBorders>
            <w:shd w:val="clear" w:color="auto" w:fill="auto"/>
            <w:noWrap/>
            <w:vAlign w:val="bottom"/>
          </w:tcPr>
          <w:p w14:paraId="21DA5D4E" w14:textId="77777777" w:rsidR="00FA18EA" w:rsidRPr="00A02B31" w:rsidRDefault="00FA18EA" w:rsidP="00FA18EA">
            <w:pPr>
              <w:outlineLvl w:val="0"/>
              <w:rPr>
                <w:rFonts w:eastAsia="Times New Roman" w:cstheme="minorHAnsi"/>
                <w:sz w:val="18"/>
                <w:szCs w:val="18"/>
                <w:lang w:eastAsia="en-GB"/>
              </w:rPr>
            </w:pPr>
            <w:r w:rsidRPr="00536A35">
              <w:rPr>
                <w:rFonts w:eastAsia="Times New Roman" w:cstheme="minorHAnsi"/>
                <w:bCs/>
                <w:sz w:val="18"/>
                <w:szCs w:val="18"/>
                <w:lang w:eastAsia="en-GB"/>
              </w:rPr>
              <w:t>The Lakes Distillery Company</w:t>
            </w:r>
          </w:p>
        </w:tc>
        <w:tc>
          <w:tcPr>
            <w:tcW w:w="721" w:type="dxa"/>
            <w:tcBorders>
              <w:top w:val="nil"/>
              <w:left w:val="nil"/>
              <w:right w:val="nil"/>
            </w:tcBorders>
            <w:shd w:val="clear" w:color="auto" w:fill="auto"/>
            <w:noWrap/>
            <w:vAlign w:val="bottom"/>
          </w:tcPr>
          <w:p w14:paraId="513A3354" w14:textId="77777777" w:rsidR="00FA18EA" w:rsidRPr="00A02B31" w:rsidRDefault="00FA18EA" w:rsidP="00FA18EA">
            <w:pPr>
              <w:jc w:val="right"/>
              <w:outlineLvl w:val="0"/>
              <w:rPr>
                <w:rFonts w:eastAsia="Times New Roman" w:cstheme="minorHAnsi"/>
                <w:sz w:val="18"/>
                <w:szCs w:val="18"/>
                <w:lang w:eastAsia="en-GB"/>
              </w:rPr>
            </w:pPr>
            <w:r w:rsidRPr="00A02B31">
              <w:rPr>
                <w:rFonts w:eastAsia="Times New Roman" w:cstheme="minorHAnsi"/>
                <w:bCs/>
                <w:sz w:val="18"/>
                <w:szCs w:val="18"/>
                <w:lang w:eastAsia="en-GB"/>
              </w:rPr>
              <w:t xml:space="preserve">         2,693</w:t>
            </w:r>
          </w:p>
        </w:tc>
      </w:tr>
      <w:tr w:rsidR="00FA18EA" w:rsidRPr="007600A7" w14:paraId="31DDCEC8" w14:textId="77777777" w:rsidTr="00FA18EA">
        <w:trPr>
          <w:trHeight w:val="255"/>
        </w:trPr>
        <w:tc>
          <w:tcPr>
            <w:tcW w:w="2694" w:type="dxa"/>
            <w:shd w:val="clear" w:color="auto" w:fill="auto"/>
            <w:noWrap/>
            <w:vAlign w:val="bottom"/>
          </w:tcPr>
          <w:p w14:paraId="08B548AD" w14:textId="77777777" w:rsidR="00FA18EA" w:rsidRPr="008B2DDA" w:rsidRDefault="00FA18EA" w:rsidP="00FA18EA">
            <w:pPr>
              <w:outlineLvl w:val="0"/>
              <w:rPr>
                <w:rFonts w:eastAsia="Times New Roman" w:cstheme="minorHAnsi"/>
                <w:sz w:val="18"/>
                <w:szCs w:val="18"/>
                <w:lang w:eastAsia="en-GB"/>
              </w:rPr>
            </w:pPr>
          </w:p>
        </w:tc>
        <w:tc>
          <w:tcPr>
            <w:tcW w:w="2976" w:type="dxa"/>
            <w:shd w:val="clear" w:color="auto" w:fill="auto"/>
            <w:noWrap/>
            <w:vAlign w:val="bottom"/>
          </w:tcPr>
          <w:p w14:paraId="2DB1DD4E" w14:textId="77777777" w:rsidR="00FA18EA" w:rsidRPr="000C5053" w:rsidRDefault="00FA18EA" w:rsidP="00FA18EA">
            <w:pPr>
              <w:outlineLvl w:val="0"/>
              <w:rPr>
                <w:rFonts w:eastAsia="Times New Roman" w:cstheme="minorHAnsi"/>
                <w:b/>
                <w:bCs/>
                <w:sz w:val="18"/>
                <w:szCs w:val="18"/>
                <w:highlight w:val="yellow"/>
                <w:lang w:eastAsia="en-GB"/>
              </w:rPr>
            </w:pPr>
          </w:p>
        </w:tc>
        <w:tc>
          <w:tcPr>
            <w:tcW w:w="709" w:type="dxa"/>
            <w:shd w:val="clear" w:color="auto" w:fill="auto"/>
            <w:noWrap/>
            <w:vAlign w:val="bottom"/>
          </w:tcPr>
          <w:p w14:paraId="1B83C59E" w14:textId="77777777" w:rsidR="00FA18EA" w:rsidRPr="0091098D" w:rsidRDefault="00FA18EA" w:rsidP="00FA18EA">
            <w:pPr>
              <w:jc w:val="right"/>
              <w:outlineLvl w:val="0"/>
              <w:rPr>
                <w:rFonts w:eastAsia="Times New Roman" w:cstheme="minorHAnsi"/>
                <w:b/>
                <w:bCs/>
                <w:sz w:val="18"/>
                <w:szCs w:val="18"/>
                <w:highlight w:val="yellow"/>
                <w:lang w:eastAsia="en-GB"/>
              </w:rPr>
            </w:pPr>
          </w:p>
        </w:tc>
        <w:tc>
          <w:tcPr>
            <w:tcW w:w="2693" w:type="dxa"/>
            <w:tcBorders>
              <w:left w:val="nil"/>
              <w:right w:val="nil"/>
            </w:tcBorders>
            <w:shd w:val="clear" w:color="auto" w:fill="auto"/>
            <w:noWrap/>
            <w:vAlign w:val="bottom"/>
          </w:tcPr>
          <w:p w14:paraId="2940EE6E" w14:textId="77777777" w:rsidR="00FA18EA" w:rsidRPr="0075195E" w:rsidRDefault="00FA18EA" w:rsidP="00FA18EA">
            <w:pPr>
              <w:outlineLvl w:val="0"/>
              <w:rPr>
                <w:rFonts w:eastAsia="Times New Roman" w:cstheme="minorHAnsi"/>
                <w:sz w:val="18"/>
                <w:szCs w:val="18"/>
                <w:lang w:eastAsia="en-GB"/>
              </w:rPr>
            </w:pPr>
            <w:r w:rsidRPr="0075195E">
              <w:rPr>
                <w:rFonts w:eastAsia="Times New Roman" w:cstheme="minorHAnsi"/>
                <w:bCs/>
                <w:sz w:val="18"/>
                <w:szCs w:val="18"/>
                <w:lang w:eastAsia="en-GB"/>
              </w:rPr>
              <w:t>Northbridge Industrial Services plc convertible bonds</w:t>
            </w:r>
          </w:p>
        </w:tc>
        <w:tc>
          <w:tcPr>
            <w:tcW w:w="721" w:type="dxa"/>
            <w:tcBorders>
              <w:left w:val="nil"/>
              <w:right w:val="nil"/>
            </w:tcBorders>
            <w:shd w:val="clear" w:color="auto" w:fill="auto"/>
            <w:noWrap/>
            <w:vAlign w:val="bottom"/>
          </w:tcPr>
          <w:p w14:paraId="3B07B5FF" w14:textId="77777777" w:rsidR="00FA18EA" w:rsidRPr="00A02B31" w:rsidRDefault="00FA18EA" w:rsidP="00FA18EA">
            <w:pPr>
              <w:jc w:val="right"/>
              <w:outlineLvl w:val="0"/>
              <w:rPr>
                <w:rFonts w:eastAsia="Times New Roman" w:cstheme="minorHAnsi"/>
                <w:sz w:val="18"/>
                <w:szCs w:val="18"/>
                <w:lang w:eastAsia="en-GB"/>
              </w:rPr>
            </w:pPr>
            <w:r w:rsidRPr="00536A35">
              <w:rPr>
                <w:rFonts w:eastAsia="Times New Roman" w:cstheme="minorHAnsi"/>
                <w:bCs/>
                <w:sz w:val="18"/>
                <w:szCs w:val="18"/>
                <w:lang w:eastAsia="en-GB"/>
              </w:rPr>
              <w:t xml:space="preserve">         2,430</w:t>
            </w:r>
          </w:p>
        </w:tc>
      </w:tr>
      <w:tr w:rsidR="00FA18EA" w:rsidRPr="007600A7" w14:paraId="0226979A" w14:textId="77777777" w:rsidTr="00FA18EA">
        <w:trPr>
          <w:trHeight w:val="255"/>
        </w:trPr>
        <w:tc>
          <w:tcPr>
            <w:tcW w:w="2694" w:type="dxa"/>
            <w:tcBorders>
              <w:left w:val="nil"/>
              <w:bottom w:val="single" w:sz="4" w:space="0" w:color="auto"/>
              <w:right w:val="nil"/>
            </w:tcBorders>
            <w:shd w:val="clear" w:color="auto" w:fill="auto"/>
            <w:noWrap/>
            <w:vAlign w:val="bottom"/>
          </w:tcPr>
          <w:p w14:paraId="25528BA6" w14:textId="77777777" w:rsidR="00FA18EA" w:rsidRPr="008B2DDA" w:rsidRDefault="00FA18EA" w:rsidP="00FA18EA">
            <w:pPr>
              <w:outlineLvl w:val="0"/>
              <w:rPr>
                <w:rFonts w:eastAsia="Times New Roman" w:cstheme="minorHAnsi"/>
                <w:sz w:val="18"/>
                <w:szCs w:val="18"/>
                <w:lang w:eastAsia="en-GB"/>
              </w:rPr>
            </w:pPr>
          </w:p>
        </w:tc>
        <w:tc>
          <w:tcPr>
            <w:tcW w:w="2976" w:type="dxa"/>
            <w:tcBorders>
              <w:left w:val="nil"/>
              <w:bottom w:val="single" w:sz="4" w:space="0" w:color="auto"/>
              <w:right w:val="nil"/>
            </w:tcBorders>
            <w:shd w:val="clear" w:color="auto" w:fill="auto"/>
            <w:noWrap/>
            <w:vAlign w:val="bottom"/>
          </w:tcPr>
          <w:p w14:paraId="6AC43399" w14:textId="77777777" w:rsidR="00FA18EA" w:rsidRPr="000C5053" w:rsidRDefault="00FA18EA" w:rsidP="00FA18EA">
            <w:pPr>
              <w:outlineLvl w:val="0"/>
              <w:rPr>
                <w:rFonts w:eastAsia="Times New Roman" w:cstheme="minorHAnsi"/>
                <w:b/>
                <w:bCs/>
                <w:sz w:val="18"/>
                <w:szCs w:val="18"/>
                <w:highlight w:val="yellow"/>
                <w:lang w:eastAsia="en-GB"/>
              </w:rPr>
            </w:pPr>
          </w:p>
        </w:tc>
        <w:tc>
          <w:tcPr>
            <w:tcW w:w="709" w:type="dxa"/>
            <w:tcBorders>
              <w:left w:val="nil"/>
              <w:bottom w:val="single" w:sz="4" w:space="0" w:color="auto"/>
              <w:right w:val="nil"/>
            </w:tcBorders>
            <w:shd w:val="clear" w:color="auto" w:fill="auto"/>
            <w:noWrap/>
            <w:vAlign w:val="bottom"/>
          </w:tcPr>
          <w:p w14:paraId="03FC5BB0" w14:textId="77777777" w:rsidR="00FA18EA" w:rsidRPr="0091098D" w:rsidRDefault="00FA18EA" w:rsidP="00FA18EA">
            <w:pPr>
              <w:jc w:val="right"/>
              <w:outlineLvl w:val="0"/>
              <w:rPr>
                <w:rFonts w:eastAsia="Times New Roman" w:cstheme="minorHAnsi"/>
                <w:b/>
                <w:bCs/>
                <w:sz w:val="18"/>
                <w:szCs w:val="18"/>
                <w:highlight w:val="yellow"/>
                <w:lang w:eastAsia="en-GB"/>
              </w:rPr>
            </w:pPr>
          </w:p>
        </w:tc>
        <w:tc>
          <w:tcPr>
            <w:tcW w:w="2693" w:type="dxa"/>
            <w:tcBorders>
              <w:left w:val="nil"/>
              <w:bottom w:val="single" w:sz="4" w:space="0" w:color="auto"/>
              <w:right w:val="nil"/>
            </w:tcBorders>
            <w:shd w:val="clear" w:color="auto" w:fill="auto"/>
            <w:noWrap/>
            <w:vAlign w:val="bottom"/>
          </w:tcPr>
          <w:p w14:paraId="03562005" w14:textId="77777777" w:rsidR="00FA18EA" w:rsidRPr="0075195E" w:rsidRDefault="00FA18EA" w:rsidP="00FA18EA">
            <w:pPr>
              <w:outlineLvl w:val="0"/>
              <w:rPr>
                <w:rFonts w:eastAsia="Times New Roman" w:cstheme="minorHAnsi"/>
                <w:sz w:val="18"/>
                <w:szCs w:val="18"/>
                <w:lang w:eastAsia="en-GB"/>
              </w:rPr>
            </w:pPr>
            <w:r w:rsidRPr="0075195E">
              <w:rPr>
                <w:rFonts w:eastAsia="Times New Roman" w:cstheme="minorHAnsi"/>
                <w:bCs/>
                <w:sz w:val="18"/>
                <w:szCs w:val="18"/>
                <w:lang w:eastAsia="en-GB"/>
              </w:rPr>
              <w:t>National World PLC</w:t>
            </w:r>
          </w:p>
        </w:tc>
        <w:tc>
          <w:tcPr>
            <w:tcW w:w="721" w:type="dxa"/>
            <w:tcBorders>
              <w:left w:val="nil"/>
              <w:bottom w:val="single" w:sz="4" w:space="0" w:color="auto"/>
              <w:right w:val="nil"/>
            </w:tcBorders>
            <w:shd w:val="clear" w:color="auto" w:fill="auto"/>
            <w:noWrap/>
            <w:vAlign w:val="bottom"/>
          </w:tcPr>
          <w:p w14:paraId="1A171252" w14:textId="77777777" w:rsidR="00FA18EA" w:rsidRPr="00A02B31" w:rsidRDefault="00FA18EA" w:rsidP="00FA18EA">
            <w:pPr>
              <w:jc w:val="right"/>
              <w:outlineLvl w:val="0"/>
              <w:rPr>
                <w:rFonts w:eastAsia="Times New Roman" w:cstheme="minorHAnsi"/>
                <w:sz w:val="18"/>
                <w:szCs w:val="18"/>
                <w:lang w:eastAsia="en-GB"/>
              </w:rPr>
            </w:pPr>
            <w:r w:rsidRPr="00536A35">
              <w:rPr>
                <w:rFonts w:eastAsia="Times New Roman" w:cstheme="minorHAnsi"/>
                <w:bCs/>
                <w:sz w:val="18"/>
                <w:szCs w:val="18"/>
                <w:lang w:eastAsia="en-GB"/>
              </w:rPr>
              <w:t>1,200</w:t>
            </w:r>
          </w:p>
        </w:tc>
      </w:tr>
      <w:tr w:rsidR="00FA18EA" w:rsidRPr="007600A7" w14:paraId="6A014DE1" w14:textId="77777777" w:rsidTr="00FA18EA">
        <w:trPr>
          <w:trHeight w:val="480"/>
        </w:trPr>
        <w:tc>
          <w:tcPr>
            <w:tcW w:w="2694" w:type="dxa"/>
            <w:tcBorders>
              <w:top w:val="single" w:sz="4" w:space="0" w:color="auto"/>
              <w:bottom w:val="single" w:sz="4" w:space="0" w:color="auto"/>
            </w:tcBorders>
            <w:shd w:val="clear" w:color="auto" w:fill="auto"/>
            <w:vAlign w:val="bottom"/>
            <w:hideMark/>
          </w:tcPr>
          <w:p w14:paraId="1D92B12F" w14:textId="77777777" w:rsidR="00FA18EA" w:rsidRPr="008B2DDA" w:rsidRDefault="00FA18EA" w:rsidP="00FA18EA">
            <w:pPr>
              <w:outlineLvl w:val="0"/>
              <w:rPr>
                <w:rFonts w:eastAsia="Times New Roman" w:cstheme="minorHAnsi"/>
                <w:sz w:val="18"/>
                <w:szCs w:val="18"/>
                <w:lang w:eastAsia="en-GB"/>
              </w:rPr>
            </w:pPr>
            <w:r w:rsidRPr="008B2DDA">
              <w:rPr>
                <w:rFonts w:eastAsia="Times New Roman" w:cstheme="minorHAnsi"/>
                <w:sz w:val="18"/>
                <w:szCs w:val="18"/>
                <w:lang w:eastAsia="en-GB"/>
              </w:rPr>
              <w:t>Contracted sales proceeds in post balance sheet period</w:t>
            </w:r>
          </w:p>
        </w:tc>
        <w:tc>
          <w:tcPr>
            <w:tcW w:w="2976" w:type="dxa"/>
            <w:tcBorders>
              <w:top w:val="single" w:sz="4" w:space="0" w:color="auto"/>
              <w:bottom w:val="single" w:sz="4" w:space="0" w:color="auto"/>
            </w:tcBorders>
            <w:shd w:val="clear" w:color="auto" w:fill="auto"/>
            <w:noWrap/>
            <w:vAlign w:val="bottom"/>
            <w:hideMark/>
          </w:tcPr>
          <w:p w14:paraId="1FA4216F" w14:textId="77777777" w:rsidR="00FA18EA" w:rsidRPr="0091098D" w:rsidRDefault="00FA18EA" w:rsidP="00FA18EA">
            <w:pPr>
              <w:outlineLvl w:val="0"/>
              <w:rPr>
                <w:rFonts w:eastAsia="Times New Roman" w:cstheme="minorHAnsi"/>
                <w:b/>
                <w:bCs/>
                <w:sz w:val="18"/>
                <w:szCs w:val="18"/>
                <w:lang w:eastAsia="en-GB"/>
              </w:rPr>
            </w:pPr>
            <w:r w:rsidRPr="000C5053">
              <w:rPr>
                <w:rFonts w:eastAsia="Times New Roman" w:cstheme="minorHAnsi"/>
                <w:b/>
                <w:bCs/>
                <w:sz w:val="18"/>
                <w:szCs w:val="18"/>
                <w:lang w:eastAsia="en-GB"/>
              </w:rPr>
              <w:t>None</w:t>
            </w:r>
          </w:p>
        </w:tc>
        <w:tc>
          <w:tcPr>
            <w:tcW w:w="709" w:type="dxa"/>
            <w:tcBorders>
              <w:top w:val="single" w:sz="4" w:space="0" w:color="auto"/>
              <w:bottom w:val="single" w:sz="4" w:space="0" w:color="auto"/>
            </w:tcBorders>
            <w:shd w:val="clear" w:color="auto" w:fill="auto"/>
            <w:noWrap/>
            <w:vAlign w:val="bottom"/>
            <w:hideMark/>
          </w:tcPr>
          <w:p w14:paraId="76A36322" w14:textId="77777777" w:rsidR="00FA18EA" w:rsidRPr="0075195E" w:rsidRDefault="00FA18EA" w:rsidP="00FA18EA">
            <w:pPr>
              <w:jc w:val="right"/>
              <w:outlineLvl w:val="0"/>
              <w:rPr>
                <w:rFonts w:eastAsia="Times New Roman" w:cstheme="minorHAnsi"/>
                <w:b/>
                <w:bCs/>
                <w:sz w:val="18"/>
                <w:szCs w:val="18"/>
                <w:lang w:eastAsia="en-GB"/>
              </w:rPr>
            </w:pPr>
            <w:r w:rsidRPr="0075195E">
              <w:rPr>
                <w:rFonts w:eastAsia="Times New Roman" w:cstheme="minorHAnsi"/>
                <w:b/>
                <w:bCs/>
                <w:sz w:val="18"/>
                <w:szCs w:val="18"/>
                <w:lang w:eastAsia="en-GB"/>
              </w:rPr>
              <w:t xml:space="preserve">         -</w:t>
            </w:r>
          </w:p>
        </w:tc>
        <w:tc>
          <w:tcPr>
            <w:tcW w:w="2693" w:type="dxa"/>
            <w:tcBorders>
              <w:top w:val="single" w:sz="4" w:space="0" w:color="auto"/>
              <w:bottom w:val="single" w:sz="4" w:space="0" w:color="auto"/>
            </w:tcBorders>
            <w:shd w:val="clear" w:color="auto" w:fill="auto"/>
            <w:vAlign w:val="bottom"/>
            <w:hideMark/>
          </w:tcPr>
          <w:p w14:paraId="751EF7F3" w14:textId="77777777" w:rsidR="00FA18EA" w:rsidRPr="00536A35" w:rsidRDefault="00FA18EA" w:rsidP="00FA18EA">
            <w:pPr>
              <w:outlineLvl w:val="0"/>
              <w:rPr>
                <w:rFonts w:eastAsia="Times New Roman" w:cstheme="minorHAnsi"/>
                <w:sz w:val="18"/>
                <w:szCs w:val="18"/>
                <w:lang w:eastAsia="en-GB"/>
              </w:rPr>
            </w:pPr>
            <w:r w:rsidRPr="00536A35">
              <w:rPr>
                <w:rFonts w:eastAsia="Times New Roman" w:cstheme="minorHAnsi"/>
                <w:sz w:val="18"/>
                <w:szCs w:val="18"/>
                <w:lang w:eastAsia="en-GB"/>
              </w:rPr>
              <w:t>None</w:t>
            </w:r>
          </w:p>
        </w:tc>
        <w:tc>
          <w:tcPr>
            <w:tcW w:w="721" w:type="dxa"/>
            <w:tcBorders>
              <w:top w:val="single" w:sz="4" w:space="0" w:color="auto"/>
              <w:bottom w:val="single" w:sz="4" w:space="0" w:color="auto"/>
            </w:tcBorders>
            <w:shd w:val="clear" w:color="auto" w:fill="auto"/>
            <w:noWrap/>
            <w:vAlign w:val="bottom"/>
            <w:hideMark/>
          </w:tcPr>
          <w:p w14:paraId="401B14FF" w14:textId="77777777" w:rsidR="00FA18EA" w:rsidRPr="00A02B31" w:rsidRDefault="00FA18EA" w:rsidP="00FA18EA">
            <w:pPr>
              <w:jc w:val="right"/>
              <w:outlineLvl w:val="0"/>
              <w:rPr>
                <w:rFonts w:eastAsia="Times New Roman" w:cstheme="minorHAnsi"/>
                <w:sz w:val="18"/>
                <w:szCs w:val="18"/>
                <w:lang w:eastAsia="en-GB"/>
              </w:rPr>
            </w:pPr>
            <w:r w:rsidRPr="00A02B31">
              <w:rPr>
                <w:rFonts w:eastAsia="Times New Roman" w:cstheme="minorHAnsi"/>
                <w:sz w:val="18"/>
                <w:szCs w:val="18"/>
                <w:lang w:eastAsia="en-GB"/>
              </w:rPr>
              <w:t xml:space="preserve">         - </w:t>
            </w:r>
          </w:p>
        </w:tc>
      </w:tr>
      <w:tr w:rsidR="00FA18EA" w:rsidRPr="007600A7" w14:paraId="66D75A91" w14:textId="77777777" w:rsidTr="00FA18EA">
        <w:trPr>
          <w:trHeight w:val="270"/>
        </w:trPr>
        <w:tc>
          <w:tcPr>
            <w:tcW w:w="2694" w:type="dxa"/>
            <w:tcBorders>
              <w:top w:val="single" w:sz="4" w:space="0" w:color="auto"/>
              <w:left w:val="nil"/>
              <w:bottom w:val="single" w:sz="8" w:space="0" w:color="auto"/>
              <w:right w:val="nil"/>
            </w:tcBorders>
            <w:shd w:val="clear" w:color="auto" w:fill="auto"/>
            <w:noWrap/>
            <w:vAlign w:val="bottom"/>
            <w:hideMark/>
          </w:tcPr>
          <w:p w14:paraId="4F15A95F" w14:textId="77777777" w:rsidR="00FA18EA" w:rsidRPr="008B2DDA" w:rsidRDefault="00FA18EA" w:rsidP="00FA18EA">
            <w:pPr>
              <w:outlineLvl w:val="0"/>
              <w:rPr>
                <w:rFonts w:eastAsia="Times New Roman" w:cstheme="minorHAnsi"/>
                <w:sz w:val="18"/>
                <w:szCs w:val="18"/>
                <w:lang w:eastAsia="en-GB"/>
              </w:rPr>
            </w:pPr>
            <w:r w:rsidRPr="008B2DDA">
              <w:rPr>
                <w:rFonts w:eastAsia="Times New Roman" w:cstheme="minorHAnsi"/>
                <w:sz w:val="18"/>
                <w:szCs w:val="18"/>
                <w:lang w:eastAsia="en-GB"/>
              </w:rPr>
              <w:t> </w:t>
            </w:r>
          </w:p>
        </w:tc>
        <w:tc>
          <w:tcPr>
            <w:tcW w:w="2976" w:type="dxa"/>
            <w:tcBorders>
              <w:top w:val="single" w:sz="4" w:space="0" w:color="auto"/>
              <w:left w:val="nil"/>
              <w:bottom w:val="single" w:sz="8" w:space="0" w:color="auto"/>
              <w:right w:val="nil"/>
            </w:tcBorders>
            <w:shd w:val="clear" w:color="auto" w:fill="auto"/>
            <w:noWrap/>
            <w:vAlign w:val="bottom"/>
            <w:hideMark/>
          </w:tcPr>
          <w:p w14:paraId="0D0F8C4A" w14:textId="77777777" w:rsidR="00FA18EA" w:rsidRPr="0091098D" w:rsidRDefault="00FA18EA" w:rsidP="00FA18EA">
            <w:pPr>
              <w:outlineLvl w:val="0"/>
              <w:rPr>
                <w:rFonts w:eastAsia="Times New Roman" w:cstheme="minorHAnsi"/>
                <w:b/>
                <w:bCs/>
                <w:sz w:val="18"/>
                <w:szCs w:val="18"/>
                <w:lang w:eastAsia="en-GB"/>
              </w:rPr>
            </w:pPr>
            <w:r w:rsidRPr="000C5053">
              <w:rPr>
                <w:rFonts w:eastAsia="Times New Roman" w:cstheme="minorHAnsi"/>
                <w:b/>
                <w:bCs/>
                <w:sz w:val="18"/>
                <w:szCs w:val="18"/>
                <w:lang w:eastAsia="en-GB"/>
              </w:rPr>
              <w:t> </w:t>
            </w:r>
          </w:p>
        </w:tc>
        <w:tc>
          <w:tcPr>
            <w:tcW w:w="709" w:type="dxa"/>
            <w:tcBorders>
              <w:top w:val="single" w:sz="4" w:space="0" w:color="auto"/>
              <w:left w:val="nil"/>
              <w:bottom w:val="single" w:sz="8" w:space="0" w:color="auto"/>
              <w:right w:val="nil"/>
            </w:tcBorders>
            <w:shd w:val="clear" w:color="auto" w:fill="auto"/>
            <w:noWrap/>
            <w:vAlign w:val="bottom"/>
            <w:hideMark/>
          </w:tcPr>
          <w:p w14:paraId="2885A024" w14:textId="77777777" w:rsidR="00FA18EA" w:rsidRPr="0075195E" w:rsidRDefault="00FA18EA" w:rsidP="00FA18EA">
            <w:pPr>
              <w:jc w:val="right"/>
              <w:outlineLvl w:val="0"/>
              <w:rPr>
                <w:rFonts w:eastAsia="Times New Roman" w:cstheme="minorHAnsi"/>
                <w:b/>
                <w:bCs/>
                <w:sz w:val="18"/>
                <w:szCs w:val="18"/>
                <w:lang w:eastAsia="en-GB"/>
              </w:rPr>
            </w:pPr>
            <w:r w:rsidRPr="0075195E">
              <w:rPr>
                <w:rFonts w:eastAsia="Times New Roman" w:cstheme="minorHAnsi"/>
                <w:b/>
                <w:bCs/>
                <w:sz w:val="18"/>
                <w:szCs w:val="18"/>
                <w:lang w:eastAsia="en-GB"/>
              </w:rPr>
              <w:t xml:space="preserve">2,917   </w:t>
            </w:r>
          </w:p>
        </w:tc>
        <w:tc>
          <w:tcPr>
            <w:tcW w:w="2693" w:type="dxa"/>
            <w:tcBorders>
              <w:top w:val="single" w:sz="4" w:space="0" w:color="auto"/>
              <w:left w:val="nil"/>
              <w:bottom w:val="single" w:sz="8" w:space="0" w:color="auto"/>
              <w:right w:val="nil"/>
            </w:tcBorders>
            <w:shd w:val="clear" w:color="auto" w:fill="auto"/>
            <w:noWrap/>
            <w:vAlign w:val="bottom"/>
            <w:hideMark/>
          </w:tcPr>
          <w:p w14:paraId="295D53D4" w14:textId="77777777" w:rsidR="00FA18EA" w:rsidRPr="00536A35" w:rsidRDefault="00FA18EA" w:rsidP="00FA18EA">
            <w:pPr>
              <w:outlineLvl w:val="0"/>
              <w:rPr>
                <w:rFonts w:eastAsia="Times New Roman" w:cstheme="minorHAnsi"/>
                <w:sz w:val="18"/>
                <w:szCs w:val="18"/>
                <w:lang w:eastAsia="en-GB"/>
              </w:rPr>
            </w:pPr>
            <w:r w:rsidRPr="00536A35">
              <w:rPr>
                <w:rFonts w:eastAsia="Times New Roman" w:cstheme="minorHAnsi"/>
                <w:sz w:val="18"/>
                <w:szCs w:val="18"/>
                <w:lang w:eastAsia="en-GB"/>
              </w:rPr>
              <w:t> </w:t>
            </w:r>
          </w:p>
        </w:tc>
        <w:tc>
          <w:tcPr>
            <w:tcW w:w="721" w:type="dxa"/>
            <w:tcBorders>
              <w:top w:val="single" w:sz="4" w:space="0" w:color="auto"/>
              <w:left w:val="nil"/>
              <w:bottom w:val="single" w:sz="8" w:space="0" w:color="auto"/>
              <w:right w:val="nil"/>
            </w:tcBorders>
            <w:shd w:val="clear" w:color="auto" w:fill="auto"/>
            <w:noWrap/>
            <w:vAlign w:val="bottom"/>
            <w:hideMark/>
          </w:tcPr>
          <w:p w14:paraId="7C65C22E" w14:textId="77777777" w:rsidR="00FA18EA" w:rsidRPr="00A02B31" w:rsidRDefault="00FA18EA" w:rsidP="00FA18EA">
            <w:pPr>
              <w:jc w:val="right"/>
              <w:outlineLvl w:val="0"/>
              <w:rPr>
                <w:rFonts w:eastAsia="Times New Roman" w:cstheme="minorHAnsi"/>
                <w:sz w:val="18"/>
                <w:szCs w:val="18"/>
                <w:lang w:eastAsia="en-GB"/>
              </w:rPr>
            </w:pPr>
            <w:r w:rsidRPr="00A02B31">
              <w:rPr>
                <w:rFonts w:eastAsia="Times New Roman" w:cstheme="minorHAnsi"/>
                <w:sz w:val="18"/>
                <w:szCs w:val="18"/>
                <w:lang w:eastAsia="en-GB"/>
              </w:rPr>
              <w:t xml:space="preserve">6,323   </w:t>
            </w:r>
          </w:p>
        </w:tc>
      </w:tr>
    </w:tbl>
    <w:p w14:paraId="6EBA5041" w14:textId="77777777" w:rsidR="00FA18EA" w:rsidRPr="008B2DDA" w:rsidRDefault="00FA18EA" w:rsidP="00FA18EA">
      <w:pPr>
        <w:pageBreakBefore/>
        <w:autoSpaceDE w:val="0"/>
        <w:autoSpaceDN w:val="0"/>
        <w:adjustRightInd w:val="0"/>
        <w:rPr>
          <w:rFonts w:cstheme="minorHAnsi"/>
          <w:b/>
          <w:color w:val="000000"/>
        </w:rPr>
      </w:pPr>
      <w:r w:rsidRPr="008B2DDA">
        <w:rPr>
          <w:rFonts w:cstheme="minorHAnsi"/>
          <w:b/>
          <w:color w:val="000000"/>
          <w:sz w:val="28"/>
        </w:rPr>
        <w:lastRenderedPageBreak/>
        <w:t>Notes to the Financial Statements (continued)</w:t>
      </w:r>
    </w:p>
    <w:p w14:paraId="7CA5B6CF" w14:textId="77777777" w:rsidR="00FA18EA" w:rsidRPr="000C5053" w:rsidRDefault="00FA18EA" w:rsidP="00FA18EA">
      <w:pPr>
        <w:autoSpaceDE w:val="0"/>
        <w:autoSpaceDN w:val="0"/>
        <w:adjustRightInd w:val="0"/>
        <w:rPr>
          <w:rFonts w:cstheme="minorHAnsi"/>
          <w:color w:val="000000"/>
          <w:sz w:val="18"/>
        </w:rPr>
      </w:pPr>
    </w:p>
    <w:p w14:paraId="7C63244C" w14:textId="77777777" w:rsidR="00FA18EA" w:rsidRPr="0091098D" w:rsidRDefault="00FA18EA" w:rsidP="00FA18EA">
      <w:pPr>
        <w:autoSpaceDE w:val="0"/>
        <w:autoSpaceDN w:val="0"/>
        <w:adjustRightInd w:val="0"/>
        <w:rPr>
          <w:rFonts w:cstheme="minorHAnsi"/>
          <w:b/>
          <w:color w:val="000000"/>
        </w:rPr>
      </w:pPr>
      <w:r w:rsidRPr="0091098D">
        <w:rPr>
          <w:rFonts w:cstheme="minorHAnsi"/>
          <w:b/>
          <w:color w:val="000000"/>
        </w:rPr>
        <w:t>8 Investments at fair value through profit or loss (continued)</w:t>
      </w:r>
    </w:p>
    <w:p w14:paraId="0274769E" w14:textId="77777777" w:rsidR="00FA18EA" w:rsidRPr="0075195E" w:rsidRDefault="00FA18EA" w:rsidP="00FA18EA">
      <w:pPr>
        <w:autoSpaceDE w:val="0"/>
        <w:autoSpaceDN w:val="0"/>
        <w:adjustRightInd w:val="0"/>
        <w:rPr>
          <w:rFonts w:cstheme="minorHAnsi"/>
          <w:b/>
          <w:color w:val="000000"/>
          <w:sz w:val="18"/>
          <w:szCs w:val="16"/>
        </w:rPr>
      </w:pPr>
    </w:p>
    <w:p w14:paraId="48F73A61" w14:textId="77777777" w:rsidR="00FA18EA" w:rsidRPr="00A02B31" w:rsidRDefault="00FA18EA" w:rsidP="00FA18EA">
      <w:pPr>
        <w:autoSpaceDE w:val="0"/>
        <w:autoSpaceDN w:val="0"/>
        <w:adjustRightInd w:val="0"/>
        <w:rPr>
          <w:rFonts w:cstheme="minorHAnsi"/>
          <w:b/>
          <w:color w:val="000000"/>
          <w:sz w:val="18"/>
          <w:szCs w:val="16"/>
        </w:rPr>
      </w:pPr>
      <w:r w:rsidRPr="00536A35">
        <w:rPr>
          <w:rFonts w:cstheme="minorHAnsi"/>
          <w:b/>
          <w:color w:val="000000"/>
          <w:sz w:val="18"/>
          <w:szCs w:val="16"/>
        </w:rPr>
        <w:t>Fair values of financial</w:t>
      </w:r>
      <w:r w:rsidRPr="00A02B31">
        <w:rPr>
          <w:rFonts w:cstheme="minorHAnsi"/>
          <w:b/>
          <w:color w:val="000000"/>
          <w:sz w:val="18"/>
          <w:szCs w:val="16"/>
        </w:rPr>
        <w:t xml:space="preserve"> assets and financial liabilities (continued)</w:t>
      </w:r>
    </w:p>
    <w:p w14:paraId="4F8770CF" w14:textId="77777777" w:rsidR="00FA18EA" w:rsidRPr="00A02B31" w:rsidRDefault="00FA18EA" w:rsidP="00FA18EA">
      <w:pPr>
        <w:autoSpaceDE w:val="0"/>
        <w:autoSpaceDN w:val="0"/>
        <w:adjustRightInd w:val="0"/>
        <w:rPr>
          <w:rFonts w:cstheme="minorHAnsi"/>
          <w:b/>
          <w:color w:val="000000"/>
          <w:sz w:val="18"/>
          <w:szCs w:val="16"/>
        </w:rPr>
      </w:pPr>
    </w:p>
    <w:p w14:paraId="19FF9051" w14:textId="77777777" w:rsidR="00FA18EA" w:rsidRPr="00A02B31" w:rsidRDefault="00FA18EA" w:rsidP="00FA18EA">
      <w:pPr>
        <w:autoSpaceDE w:val="0"/>
        <w:autoSpaceDN w:val="0"/>
        <w:adjustRightInd w:val="0"/>
        <w:jc w:val="both"/>
        <w:rPr>
          <w:rFonts w:cstheme="minorHAnsi"/>
          <w:sz w:val="18"/>
          <w:szCs w:val="18"/>
        </w:rPr>
      </w:pPr>
      <w:r w:rsidRPr="00A02B31">
        <w:rPr>
          <w:rFonts w:cstheme="minorHAnsi"/>
          <w:sz w:val="18"/>
          <w:szCs w:val="18"/>
        </w:rPr>
        <w:t>Valuation policy: Every six months, the investment manager within Harwood Capital LLP is asked to revalue the investments that he looks after and submit his valuation recommendation to the Investment Committee and the finance team. The Investment Committee considers the recommendation made, and assuming the finance team confirm that the investment valuation calculations are correct, submits its valuation recommendations to the Board of the Company to consider. The final valuation decision taken by the Board is made after taking into account the recommendation of the Manager.</w:t>
      </w:r>
    </w:p>
    <w:p w14:paraId="7C50221A" w14:textId="77777777" w:rsidR="00FA18EA" w:rsidRPr="00A02B31" w:rsidRDefault="00FA18EA" w:rsidP="00FA18EA">
      <w:pPr>
        <w:autoSpaceDE w:val="0"/>
        <w:autoSpaceDN w:val="0"/>
        <w:adjustRightInd w:val="0"/>
        <w:jc w:val="both"/>
        <w:rPr>
          <w:rFonts w:cstheme="minorHAnsi"/>
          <w:sz w:val="18"/>
          <w:szCs w:val="18"/>
        </w:rPr>
      </w:pPr>
    </w:p>
    <w:p w14:paraId="293945DE" w14:textId="77777777" w:rsidR="00FA18EA" w:rsidRPr="00A02B31" w:rsidRDefault="00FA18EA" w:rsidP="00FA18EA">
      <w:pPr>
        <w:autoSpaceDE w:val="0"/>
        <w:autoSpaceDN w:val="0"/>
        <w:adjustRightInd w:val="0"/>
        <w:jc w:val="both"/>
        <w:rPr>
          <w:rFonts w:cstheme="minorHAnsi"/>
          <w:sz w:val="18"/>
          <w:szCs w:val="18"/>
        </w:rPr>
      </w:pPr>
      <w:r w:rsidRPr="00A02B31">
        <w:rPr>
          <w:rFonts w:cstheme="minorHAnsi"/>
          <w:sz w:val="18"/>
          <w:szCs w:val="18"/>
        </w:rPr>
        <w:t>Level 3 investments have been valued in accordance with the IPEV guidelines, and represent the following:</w:t>
      </w:r>
    </w:p>
    <w:p w14:paraId="153A2A65" w14:textId="77777777" w:rsidR="00FA18EA" w:rsidRPr="00A02B31" w:rsidRDefault="00FA18EA" w:rsidP="00FA18EA">
      <w:pPr>
        <w:autoSpaceDE w:val="0"/>
        <w:autoSpaceDN w:val="0"/>
        <w:adjustRightInd w:val="0"/>
        <w:rPr>
          <w:rFonts w:cstheme="minorHAnsi"/>
          <w:b/>
          <w:color w:val="000000"/>
          <w:sz w:val="18"/>
          <w:szCs w:val="18"/>
        </w:rPr>
      </w:pPr>
    </w:p>
    <w:p w14:paraId="737928E0" w14:textId="77777777" w:rsidR="00FA18EA" w:rsidRPr="00A02B31" w:rsidRDefault="00FA18EA" w:rsidP="00FA18EA">
      <w:pPr>
        <w:numPr>
          <w:ilvl w:val="0"/>
          <w:numId w:val="26"/>
        </w:numPr>
        <w:autoSpaceDE w:val="0"/>
        <w:autoSpaceDN w:val="0"/>
        <w:adjustRightInd w:val="0"/>
        <w:ind w:left="284" w:hanging="284"/>
        <w:contextualSpacing/>
        <w:jc w:val="both"/>
        <w:rPr>
          <w:rFonts w:cstheme="minorHAnsi"/>
          <w:sz w:val="18"/>
          <w:szCs w:val="18"/>
        </w:rPr>
      </w:pPr>
      <w:r w:rsidRPr="00A02B31">
        <w:rPr>
          <w:rFonts w:cstheme="minorHAnsi"/>
          <w:sz w:val="18"/>
          <w:szCs w:val="18"/>
          <w:lang w:val="en-US"/>
        </w:rPr>
        <w:t>The Lakes Distillery Company plc Convertible Bond was purchased on 20 June 2019. It is valued at fair value which approximates to the bond issue amount plus rolled up “payment in kind” notes and capitalised interest.</w:t>
      </w:r>
    </w:p>
    <w:p w14:paraId="0A21FE75" w14:textId="77777777" w:rsidR="00FA18EA" w:rsidRPr="00A02B31" w:rsidRDefault="00FA18EA" w:rsidP="00FA18EA">
      <w:pPr>
        <w:autoSpaceDE w:val="0"/>
        <w:autoSpaceDN w:val="0"/>
        <w:adjustRightInd w:val="0"/>
        <w:ind w:left="284"/>
        <w:contextualSpacing/>
        <w:jc w:val="both"/>
        <w:rPr>
          <w:rFonts w:cstheme="minorHAnsi"/>
          <w:sz w:val="18"/>
          <w:szCs w:val="18"/>
        </w:rPr>
      </w:pPr>
    </w:p>
    <w:p w14:paraId="552B8354" w14:textId="77777777" w:rsidR="00FA18EA" w:rsidRPr="000C1F6F" w:rsidRDefault="00FA18EA" w:rsidP="00FA18EA">
      <w:pPr>
        <w:numPr>
          <w:ilvl w:val="0"/>
          <w:numId w:val="26"/>
        </w:numPr>
        <w:autoSpaceDE w:val="0"/>
        <w:autoSpaceDN w:val="0"/>
        <w:adjustRightInd w:val="0"/>
        <w:ind w:left="284" w:hanging="284"/>
        <w:contextualSpacing/>
        <w:jc w:val="both"/>
        <w:rPr>
          <w:rFonts w:cstheme="minorHAnsi"/>
          <w:sz w:val="18"/>
          <w:szCs w:val="18"/>
        </w:rPr>
      </w:pPr>
      <w:r w:rsidRPr="007600A7">
        <w:rPr>
          <w:rFonts w:cstheme="minorHAnsi"/>
          <w:sz w:val="18"/>
          <w:szCs w:val="18"/>
        </w:rPr>
        <w:t>Hanover Co- Invest S.C.A. SICAV-RAIF Sub Fund 1 was purchased on 2 September 2021</w:t>
      </w:r>
      <w:r w:rsidRPr="007600A7">
        <w:rPr>
          <w:rFonts w:cstheme="minorHAnsi"/>
          <w:color w:val="000000"/>
          <w:sz w:val="18"/>
          <w:szCs w:val="18"/>
        </w:rPr>
        <w:t>. It is valued</w:t>
      </w:r>
      <w:r w:rsidRPr="007600A7">
        <w:rPr>
          <w:rFonts w:cstheme="minorHAnsi"/>
          <w:sz w:val="18"/>
          <w:szCs w:val="18"/>
        </w:rPr>
        <w:t xml:space="preserve"> based on the NAV of the Limited Partnership which is a proxy for fair value as its underlying investments are held at fair value.  The Company agreed to dispose of the investment in Hanover Co-Invest S.C.A. SICAV-RAIF Sub-Fund 1 on 17 March 2022 to Gresha</w:t>
      </w:r>
      <w:r w:rsidRPr="000C1F6F">
        <w:rPr>
          <w:rFonts w:cstheme="minorHAnsi"/>
          <w:sz w:val="18"/>
          <w:szCs w:val="18"/>
        </w:rPr>
        <w:t>m House Plc or its nominees.</w:t>
      </w:r>
    </w:p>
    <w:p w14:paraId="015A0988" w14:textId="77777777" w:rsidR="00FA18EA" w:rsidRPr="008B2DDA" w:rsidRDefault="00FA18EA" w:rsidP="00FA18EA">
      <w:pPr>
        <w:autoSpaceDE w:val="0"/>
        <w:autoSpaceDN w:val="0"/>
        <w:adjustRightInd w:val="0"/>
        <w:rPr>
          <w:rFonts w:cstheme="minorHAnsi"/>
          <w:b/>
          <w:color w:val="000000"/>
          <w:sz w:val="18"/>
          <w:szCs w:val="18"/>
        </w:rPr>
      </w:pPr>
    </w:p>
    <w:p w14:paraId="762C5BFA" w14:textId="77777777" w:rsidR="00FA18EA" w:rsidRPr="007600A7" w:rsidRDefault="00FA18EA" w:rsidP="00FA18EA">
      <w:pPr>
        <w:numPr>
          <w:ilvl w:val="0"/>
          <w:numId w:val="26"/>
        </w:numPr>
        <w:autoSpaceDE w:val="0"/>
        <w:autoSpaceDN w:val="0"/>
        <w:adjustRightInd w:val="0"/>
        <w:ind w:left="284" w:hanging="284"/>
        <w:contextualSpacing/>
        <w:jc w:val="both"/>
        <w:rPr>
          <w:rFonts w:cstheme="minorHAnsi"/>
          <w:sz w:val="18"/>
          <w:szCs w:val="18"/>
        </w:rPr>
      </w:pPr>
      <w:r w:rsidRPr="007600A7">
        <w:rPr>
          <w:rFonts w:cstheme="minorHAnsi"/>
          <w:sz w:val="18"/>
          <w:szCs w:val="18"/>
        </w:rPr>
        <w:t>Northbridge Convertible Bond was purchased on 10 April 2018, and a further investment was made on 3 July 2018. 20% of Northbridge Industrial Services plc loan notes were converted into equity shares and 80% were redeemed on 14 June 2021. The strike price of each option was 90 pence for every £1 nominal value converted into 433,207 ordinary shares. The accrued interest</w:t>
      </w:r>
    </w:p>
    <w:p w14:paraId="1ED18128" w14:textId="77777777" w:rsidR="00FA18EA" w:rsidRPr="007600A7" w:rsidRDefault="00FA18EA" w:rsidP="00FA18EA">
      <w:pPr>
        <w:autoSpaceDE w:val="0"/>
        <w:autoSpaceDN w:val="0"/>
        <w:adjustRightInd w:val="0"/>
        <w:ind w:left="284"/>
        <w:contextualSpacing/>
        <w:jc w:val="both"/>
        <w:rPr>
          <w:rFonts w:cstheme="minorHAnsi"/>
          <w:sz w:val="18"/>
          <w:szCs w:val="18"/>
        </w:rPr>
      </w:pPr>
      <w:r w:rsidRPr="007600A7">
        <w:rPr>
          <w:rFonts w:cstheme="minorHAnsi"/>
          <w:sz w:val="18"/>
          <w:szCs w:val="18"/>
        </w:rPr>
        <w:t>(£32,045) and redemption premium (£389,886) on the loan notes up to this period were paid at the time of redemption therefore</w:t>
      </w:r>
    </w:p>
    <w:p w14:paraId="665499CB" w14:textId="77777777" w:rsidR="00FA18EA" w:rsidRPr="007600A7" w:rsidRDefault="00FA18EA" w:rsidP="00FA18EA">
      <w:pPr>
        <w:autoSpaceDE w:val="0"/>
        <w:autoSpaceDN w:val="0"/>
        <w:adjustRightInd w:val="0"/>
        <w:ind w:left="284"/>
        <w:contextualSpacing/>
        <w:jc w:val="both"/>
        <w:rPr>
          <w:rFonts w:cstheme="minorHAnsi"/>
          <w:sz w:val="18"/>
          <w:szCs w:val="18"/>
        </w:rPr>
      </w:pPr>
      <w:r w:rsidRPr="007600A7">
        <w:rPr>
          <w:rFonts w:cstheme="minorHAnsi"/>
          <w:sz w:val="18"/>
          <w:szCs w:val="18"/>
        </w:rPr>
        <w:t>no further interest is accrued. As a result of this, there was a transfer from Level 3 to Level 1 of £389,886 Northbridge loan notes</w:t>
      </w:r>
    </w:p>
    <w:p w14:paraId="569CFEC6" w14:textId="77777777" w:rsidR="00FA18EA" w:rsidRPr="000C1F6F" w:rsidRDefault="00FA18EA" w:rsidP="00FA18EA">
      <w:pPr>
        <w:autoSpaceDE w:val="0"/>
        <w:autoSpaceDN w:val="0"/>
        <w:adjustRightInd w:val="0"/>
        <w:ind w:left="284"/>
        <w:contextualSpacing/>
        <w:jc w:val="both"/>
        <w:rPr>
          <w:rFonts w:cstheme="minorHAnsi"/>
          <w:sz w:val="18"/>
          <w:szCs w:val="18"/>
        </w:rPr>
      </w:pPr>
      <w:r w:rsidRPr="000C1F6F">
        <w:rPr>
          <w:rFonts w:cstheme="minorHAnsi"/>
          <w:sz w:val="18"/>
          <w:szCs w:val="18"/>
        </w:rPr>
        <w:t>converted to equity shares.</w:t>
      </w:r>
    </w:p>
    <w:p w14:paraId="5FE6DFB3" w14:textId="77777777" w:rsidR="00FA18EA" w:rsidRPr="007600A7" w:rsidRDefault="00FA18EA" w:rsidP="00FA18EA">
      <w:pPr>
        <w:autoSpaceDE w:val="0"/>
        <w:autoSpaceDN w:val="0"/>
        <w:adjustRightInd w:val="0"/>
        <w:jc w:val="both"/>
        <w:rPr>
          <w:rFonts w:cstheme="minorHAnsi"/>
          <w:sz w:val="18"/>
          <w:szCs w:val="18"/>
        </w:rPr>
      </w:pPr>
    </w:p>
    <w:p w14:paraId="3720B3D7" w14:textId="77777777" w:rsidR="00FA18EA" w:rsidRPr="007600A7" w:rsidRDefault="00FA18EA" w:rsidP="00FA18EA">
      <w:pPr>
        <w:numPr>
          <w:ilvl w:val="0"/>
          <w:numId w:val="26"/>
        </w:numPr>
        <w:autoSpaceDE w:val="0"/>
        <w:autoSpaceDN w:val="0"/>
        <w:adjustRightInd w:val="0"/>
        <w:ind w:left="284" w:hanging="284"/>
        <w:contextualSpacing/>
        <w:jc w:val="both"/>
        <w:rPr>
          <w:rFonts w:cstheme="minorHAnsi"/>
          <w:sz w:val="18"/>
          <w:szCs w:val="18"/>
        </w:rPr>
      </w:pPr>
      <w:r w:rsidRPr="008B2DDA">
        <w:rPr>
          <w:rFonts w:cstheme="minorHAnsi"/>
          <w:sz w:val="18"/>
          <w:szCs w:val="18"/>
        </w:rPr>
        <w:t xml:space="preserve">National World plc Bond was purchased on 11 February 2021. It was fully converted into 12,263,013 equity shares on 7 May 2021. The conversion premium and accrued interest up to the date of conversion were given in the form of equity shares and included in the above. </w:t>
      </w:r>
      <w:r w:rsidRPr="008B2DDA">
        <w:rPr>
          <w:rFonts w:cstheme="minorHAnsi"/>
          <w:color w:val="000000"/>
          <w:sz w:val="18"/>
          <w:szCs w:val="18"/>
        </w:rPr>
        <w:t xml:space="preserve">As a result of this, there was a transfer from Level 3 to Level 1 of </w:t>
      </w:r>
      <w:r w:rsidRPr="000C5053">
        <w:rPr>
          <w:rFonts w:eastAsia="Times New Roman" w:cstheme="minorHAnsi"/>
          <w:sz w:val="18"/>
          <w:szCs w:val="18"/>
          <w:lang w:eastAsia="en-SG"/>
        </w:rPr>
        <w:t>£1,348,931</w:t>
      </w:r>
      <w:r w:rsidRPr="007600A7">
        <w:rPr>
          <w:rFonts w:eastAsia="Times New Roman" w:cstheme="minorHAnsi"/>
          <w:sz w:val="18"/>
          <w:szCs w:val="18"/>
          <w:lang w:eastAsia="en-SG"/>
        </w:rPr>
        <w:t xml:space="preserve"> National World plc loan notes converted to equity shares.</w:t>
      </w:r>
    </w:p>
    <w:p w14:paraId="7CA00276" w14:textId="77777777" w:rsidR="00FA18EA" w:rsidRPr="000C1F6F" w:rsidRDefault="00FA18EA" w:rsidP="00FA18EA">
      <w:pPr>
        <w:autoSpaceDE w:val="0"/>
        <w:autoSpaceDN w:val="0"/>
        <w:adjustRightInd w:val="0"/>
        <w:ind w:left="284"/>
        <w:contextualSpacing/>
        <w:jc w:val="both"/>
        <w:rPr>
          <w:rFonts w:cstheme="minorHAnsi"/>
          <w:sz w:val="18"/>
          <w:szCs w:val="18"/>
        </w:rPr>
      </w:pPr>
    </w:p>
    <w:p w14:paraId="218B7463" w14:textId="77777777" w:rsidR="00FA18EA" w:rsidRPr="008B2DDA" w:rsidRDefault="00FA18EA" w:rsidP="00FA18EA">
      <w:pPr>
        <w:autoSpaceDE w:val="0"/>
        <w:autoSpaceDN w:val="0"/>
        <w:adjustRightInd w:val="0"/>
        <w:jc w:val="both"/>
        <w:rPr>
          <w:rFonts w:cstheme="minorHAnsi"/>
          <w:color w:val="000000" w:themeColor="text1"/>
          <w:sz w:val="18"/>
          <w:szCs w:val="18"/>
        </w:rPr>
      </w:pPr>
      <w:r w:rsidRPr="008B2DDA">
        <w:rPr>
          <w:rFonts w:cstheme="minorHAnsi"/>
          <w:color w:val="000000" w:themeColor="text1"/>
          <w:sz w:val="18"/>
          <w:szCs w:val="18"/>
        </w:rPr>
        <w:t xml:space="preserve">Investments in quoted companies (Level 1) have been valued according to the quoted bid price as at 31 March 2022. </w:t>
      </w:r>
    </w:p>
    <w:p w14:paraId="7DFCB5D4" w14:textId="77777777" w:rsidR="00FA18EA" w:rsidRPr="0091098D" w:rsidRDefault="00FA18EA" w:rsidP="00FA18EA">
      <w:pPr>
        <w:autoSpaceDE w:val="0"/>
        <w:autoSpaceDN w:val="0"/>
        <w:adjustRightInd w:val="0"/>
        <w:jc w:val="both"/>
        <w:rPr>
          <w:rFonts w:cstheme="minorHAnsi"/>
          <w:color w:val="000000" w:themeColor="text1"/>
          <w:sz w:val="18"/>
          <w:szCs w:val="18"/>
        </w:rPr>
      </w:pPr>
      <w:r w:rsidRPr="0091098D">
        <w:rPr>
          <w:rFonts w:cstheme="minorHAnsi"/>
          <w:color w:val="000000" w:themeColor="text1"/>
          <w:sz w:val="18"/>
          <w:szCs w:val="18"/>
        </w:rPr>
        <w:tab/>
      </w:r>
    </w:p>
    <w:p w14:paraId="62D88B3D" w14:textId="77777777" w:rsidR="00FA18EA" w:rsidRPr="0075195E" w:rsidRDefault="00FA18EA" w:rsidP="00FA18EA">
      <w:pPr>
        <w:autoSpaceDE w:val="0"/>
        <w:autoSpaceDN w:val="0"/>
        <w:adjustRightInd w:val="0"/>
        <w:rPr>
          <w:rFonts w:cstheme="minorHAnsi"/>
          <w:b/>
          <w:color w:val="000000"/>
        </w:rPr>
      </w:pPr>
      <w:r w:rsidRPr="0075195E">
        <w:rPr>
          <w:rFonts w:cstheme="minorHAnsi"/>
          <w:b/>
          <w:color w:val="000000"/>
        </w:rPr>
        <w:t>9 Trade and other receivables</w:t>
      </w:r>
    </w:p>
    <w:p w14:paraId="28627B81" w14:textId="77777777" w:rsidR="00FA18EA" w:rsidRPr="00536A35" w:rsidRDefault="00FA18EA" w:rsidP="00FA18EA">
      <w:pPr>
        <w:autoSpaceDE w:val="0"/>
        <w:autoSpaceDN w:val="0"/>
        <w:adjustRightInd w:val="0"/>
        <w:jc w:val="both"/>
        <w:rPr>
          <w:rFonts w:cstheme="minorHAnsi"/>
          <w:color w:val="000000" w:themeColor="text1"/>
          <w:sz w:val="18"/>
          <w:szCs w:val="18"/>
        </w:rPr>
      </w:pPr>
    </w:p>
    <w:tbl>
      <w:tblPr>
        <w:tblW w:w="9611" w:type="dxa"/>
        <w:tblInd w:w="108" w:type="dxa"/>
        <w:tblLook w:val="04A0" w:firstRow="1" w:lastRow="0" w:firstColumn="1" w:lastColumn="0" w:noHBand="0" w:noVBand="1"/>
      </w:tblPr>
      <w:tblGrid>
        <w:gridCol w:w="3254"/>
        <w:gridCol w:w="913"/>
        <w:gridCol w:w="1361"/>
        <w:gridCol w:w="1361"/>
        <w:gridCol w:w="1361"/>
        <w:gridCol w:w="1361"/>
      </w:tblGrid>
      <w:tr w:rsidR="00FA18EA" w:rsidRPr="007600A7" w14:paraId="315DEBF2" w14:textId="77777777" w:rsidTr="00FA18EA">
        <w:trPr>
          <w:trHeight w:val="241"/>
        </w:trPr>
        <w:tc>
          <w:tcPr>
            <w:tcW w:w="3254" w:type="dxa"/>
            <w:tcBorders>
              <w:top w:val="single" w:sz="4" w:space="0" w:color="auto"/>
              <w:left w:val="nil"/>
              <w:bottom w:val="nil"/>
              <w:right w:val="nil"/>
            </w:tcBorders>
            <w:shd w:val="clear" w:color="auto" w:fill="auto"/>
            <w:noWrap/>
            <w:vAlign w:val="bottom"/>
            <w:hideMark/>
          </w:tcPr>
          <w:p w14:paraId="6528BD42" w14:textId="77777777" w:rsidR="00FA18EA" w:rsidRPr="00A02B31" w:rsidRDefault="00FA18EA" w:rsidP="00FA18EA">
            <w:pPr>
              <w:outlineLvl w:val="0"/>
              <w:rPr>
                <w:rFonts w:eastAsia="Times New Roman" w:cstheme="minorHAnsi"/>
                <w:b/>
                <w:bCs/>
                <w:sz w:val="24"/>
                <w:szCs w:val="24"/>
                <w:lang w:eastAsia="en-GB"/>
              </w:rPr>
            </w:pPr>
          </w:p>
        </w:tc>
        <w:tc>
          <w:tcPr>
            <w:tcW w:w="913" w:type="dxa"/>
            <w:tcBorders>
              <w:top w:val="single" w:sz="4" w:space="0" w:color="auto"/>
              <w:left w:val="nil"/>
              <w:bottom w:val="nil"/>
              <w:right w:val="nil"/>
            </w:tcBorders>
            <w:shd w:val="clear" w:color="auto" w:fill="auto"/>
            <w:noWrap/>
            <w:vAlign w:val="bottom"/>
            <w:hideMark/>
          </w:tcPr>
          <w:p w14:paraId="66F16C0F" w14:textId="77777777" w:rsidR="00FA18EA" w:rsidRPr="00A02B31" w:rsidRDefault="00FA18EA" w:rsidP="00FA18EA">
            <w:pPr>
              <w:outlineLvl w:val="0"/>
              <w:rPr>
                <w:rFonts w:eastAsia="Times New Roman" w:cstheme="minorHAnsi"/>
                <w:lang w:eastAsia="en-GB"/>
              </w:rPr>
            </w:pPr>
          </w:p>
        </w:tc>
        <w:tc>
          <w:tcPr>
            <w:tcW w:w="1361" w:type="dxa"/>
            <w:tcBorders>
              <w:top w:val="single" w:sz="4" w:space="0" w:color="auto"/>
              <w:left w:val="nil"/>
              <w:bottom w:val="nil"/>
              <w:right w:val="nil"/>
            </w:tcBorders>
            <w:shd w:val="clear" w:color="auto" w:fill="auto"/>
            <w:noWrap/>
            <w:vAlign w:val="bottom"/>
          </w:tcPr>
          <w:p w14:paraId="56CB688B" w14:textId="77777777" w:rsidR="00FA18EA" w:rsidRPr="00A02B31" w:rsidRDefault="00FA18EA" w:rsidP="00FA18EA">
            <w:pPr>
              <w:jc w:val="right"/>
              <w:outlineLvl w:val="0"/>
              <w:rPr>
                <w:rFonts w:eastAsia="Times New Roman" w:cstheme="minorHAnsi"/>
                <w:b/>
                <w:bCs/>
                <w:sz w:val="16"/>
                <w:szCs w:val="16"/>
                <w:lang w:eastAsia="en-GB"/>
              </w:rPr>
            </w:pPr>
          </w:p>
        </w:tc>
        <w:tc>
          <w:tcPr>
            <w:tcW w:w="1361" w:type="dxa"/>
            <w:tcBorders>
              <w:top w:val="single" w:sz="4" w:space="0" w:color="auto"/>
              <w:left w:val="nil"/>
              <w:bottom w:val="nil"/>
              <w:right w:val="nil"/>
            </w:tcBorders>
            <w:shd w:val="clear" w:color="auto" w:fill="auto"/>
            <w:noWrap/>
            <w:vAlign w:val="bottom"/>
          </w:tcPr>
          <w:p w14:paraId="54768851" w14:textId="77777777" w:rsidR="00FA18EA" w:rsidRPr="00A02B31" w:rsidRDefault="00FA18EA" w:rsidP="00FA18EA">
            <w:pPr>
              <w:jc w:val="right"/>
              <w:outlineLvl w:val="0"/>
              <w:rPr>
                <w:rFonts w:eastAsia="Times New Roman" w:cstheme="minorHAnsi"/>
                <w:sz w:val="16"/>
                <w:szCs w:val="16"/>
                <w:lang w:eastAsia="en-GB"/>
              </w:rPr>
            </w:pPr>
          </w:p>
        </w:tc>
        <w:tc>
          <w:tcPr>
            <w:tcW w:w="1361" w:type="dxa"/>
            <w:tcBorders>
              <w:top w:val="single" w:sz="4" w:space="0" w:color="auto"/>
              <w:left w:val="nil"/>
              <w:bottom w:val="nil"/>
              <w:right w:val="nil"/>
            </w:tcBorders>
            <w:shd w:val="clear" w:color="auto" w:fill="auto"/>
            <w:noWrap/>
            <w:vAlign w:val="bottom"/>
            <w:hideMark/>
          </w:tcPr>
          <w:p w14:paraId="625873E0" w14:textId="77777777" w:rsidR="00FA18EA" w:rsidRPr="00A02B31" w:rsidRDefault="00FA18EA" w:rsidP="00FA18EA">
            <w:pPr>
              <w:jc w:val="right"/>
              <w:outlineLvl w:val="0"/>
              <w:rPr>
                <w:rFonts w:eastAsia="Times New Roman" w:cstheme="minorHAnsi"/>
                <w:b/>
                <w:bCs/>
                <w:sz w:val="16"/>
                <w:szCs w:val="16"/>
                <w:lang w:eastAsia="en-GB"/>
              </w:rPr>
            </w:pPr>
            <w:r w:rsidRPr="00A02B31">
              <w:rPr>
                <w:rFonts w:eastAsia="Times New Roman" w:cstheme="minorHAnsi"/>
                <w:b/>
                <w:bCs/>
                <w:sz w:val="16"/>
                <w:szCs w:val="16"/>
                <w:lang w:eastAsia="en-GB"/>
              </w:rPr>
              <w:t>31 March 2022</w:t>
            </w:r>
          </w:p>
        </w:tc>
        <w:tc>
          <w:tcPr>
            <w:tcW w:w="1361" w:type="dxa"/>
            <w:tcBorders>
              <w:top w:val="single" w:sz="4" w:space="0" w:color="auto"/>
              <w:left w:val="nil"/>
              <w:bottom w:val="nil"/>
              <w:right w:val="nil"/>
            </w:tcBorders>
            <w:shd w:val="clear" w:color="auto" w:fill="auto"/>
            <w:noWrap/>
            <w:vAlign w:val="bottom"/>
            <w:hideMark/>
          </w:tcPr>
          <w:p w14:paraId="76623A27" w14:textId="77777777" w:rsidR="00FA18EA" w:rsidRPr="00A02B31" w:rsidRDefault="00FA18EA" w:rsidP="00FA18EA">
            <w:pPr>
              <w:jc w:val="right"/>
              <w:outlineLvl w:val="0"/>
              <w:rPr>
                <w:rFonts w:eastAsia="Times New Roman" w:cstheme="minorHAnsi"/>
                <w:sz w:val="16"/>
                <w:szCs w:val="16"/>
                <w:lang w:eastAsia="en-GB"/>
              </w:rPr>
            </w:pPr>
            <w:r w:rsidRPr="00A02B31">
              <w:rPr>
                <w:rFonts w:eastAsia="Times New Roman" w:cstheme="minorHAnsi"/>
                <w:sz w:val="16"/>
                <w:szCs w:val="16"/>
                <w:lang w:eastAsia="en-GB"/>
              </w:rPr>
              <w:t>31 March 2021</w:t>
            </w:r>
          </w:p>
        </w:tc>
      </w:tr>
      <w:tr w:rsidR="00FA18EA" w:rsidRPr="007600A7" w14:paraId="7E029652" w14:textId="77777777" w:rsidTr="00FA18EA">
        <w:trPr>
          <w:trHeight w:val="241"/>
        </w:trPr>
        <w:tc>
          <w:tcPr>
            <w:tcW w:w="3254" w:type="dxa"/>
            <w:tcBorders>
              <w:top w:val="nil"/>
              <w:left w:val="nil"/>
              <w:bottom w:val="single" w:sz="4" w:space="0" w:color="auto"/>
              <w:right w:val="nil"/>
            </w:tcBorders>
            <w:shd w:val="clear" w:color="auto" w:fill="auto"/>
            <w:noWrap/>
            <w:vAlign w:val="bottom"/>
            <w:hideMark/>
          </w:tcPr>
          <w:p w14:paraId="7B316D77" w14:textId="77777777" w:rsidR="00FA18EA" w:rsidRPr="008B2DDA" w:rsidRDefault="00FA18EA" w:rsidP="00FA18EA">
            <w:pPr>
              <w:outlineLvl w:val="0"/>
              <w:rPr>
                <w:rFonts w:eastAsia="Times New Roman" w:cstheme="minorHAnsi"/>
                <w:lang w:eastAsia="en-GB"/>
              </w:rPr>
            </w:pPr>
            <w:r w:rsidRPr="008B2DDA">
              <w:rPr>
                <w:rFonts w:eastAsia="Times New Roman" w:cstheme="minorHAnsi"/>
                <w:lang w:eastAsia="en-GB"/>
              </w:rPr>
              <w:t> </w:t>
            </w:r>
          </w:p>
        </w:tc>
        <w:tc>
          <w:tcPr>
            <w:tcW w:w="913" w:type="dxa"/>
            <w:tcBorders>
              <w:top w:val="nil"/>
              <w:left w:val="nil"/>
              <w:bottom w:val="single" w:sz="4" w:space="0" w:color="auto"/>
              <w:right w:val="nil"/>
            </w:tcBorders>
            <w:shd w:val="clear" w:color="auto" w:fill="auto"/>
            <w:noWrap/>
            <w:vAlign w:val="bottom"/>
            <w:hideMark/>
          </w:tcPr>
          <w:p w14:paraId="3241642B" w14:textId="77777777" w:rsidR="00FA18EA" w:rsidRPr="0091098D" w:rsidRDefault="00FA18EA" w:rsidP="00FA18EA">
            <w:pPr>
              <w:outlineLvl w:val="0"/>
              <w:rPr>
                <w:rFonts w:eastAsia="Times New Roman" w:cstheme="minorHAnsi"/>
                <w:lang w:eastAsia="en-GB"/>
              </w:rPr>
            </w:pPr>
            <w:r w:rsidRPr="000C5053">
              <w:rPr>
                <w:rFonts w:eastAsia="Times New Roman" w:cstheme="minorHAnsi"/>
                <w:lang w:eastAsia="en-GB"/>
              </w:rPr>
              <w:t> </w:t>
            </w:r>
          </w:p>
        </w:tc>
        <w:tc>
          <w:tcPr>
            <w:tcW w:w="1361" w:type="dxa"/>
            <w:tcBorders>
              <w:top w:val="nil"/>
              <w:left w:val="nil"/>
              <w:bottom w:val="single" w:sz="4" w:space="0" w:color="auto"/>
              <w:right w:val="nil"/>
            </w:tcBorders>
            <w:shd w:val="clear" w:color="auto" w:fill="auto"/>
            <w:noWrap/>
            <w:vAlign w:val="bottom"/>
          </w:tcPr>
          <w:p w14:paraId="11AC9BDE" w14:textId="77777777" w:rsidR="00FA18EA" w:rsidRPr="0075195E" w:rsidRDefault="00FA18EA" w:rsidP="00FA18EA">
            <w:pPr>
              <w:jc w:val="right"/>
              <w:outlineLvl w:val="0"/>
              <w:rPr>
                <w:rFonts w:eastAsia="Times New Roman" w:cstheme="minorHAnsi"/>
                <w:b/>
                <w:bCs/>
                <w:sz w:val="16"/>
                <w:szCs w:val="16"/>
                <w:lang w:eastAsia="en-GB"/>
              </w:rPr>
            </w:pPr>
          </w:p>
        </w:tc>
        <w:tc>
          <w:tcPr>
            <w:tcW w:w="1361" w:type="dxa"/>
            <w:tcBorders>
              <w:top w:val="nil"/>
              <w:left w:val="nil"/>
              <w:bottom w:val="single" w:sz="4" w:space="0" w:color="auto"/>
              <w:right w:val="nil"/>
            </w:tcBorders>
            <w:shd w:val="clear" w:color="auto" w:fill="auto"/>
            <w:noWrap/>
            <w:vAlign w:val="bottom"/>
          </w:tcPr>
          <w:p w14:paraId="25E449C0" w14:textId="77777777" w:rsidR="00FA18EA" w:rsidRPr="00536A35" w:rsidRDefault="00FA18EA" w:rsidP="00FA18EA">
            <w:pPr>
              <w:jc w:val="right"/>
              <w:outlineLvl w:val="0"/>
              <w:rPr>
                <w:rFonts w:eastAsia="Times New Roman" w:cstheme="minorHAnsi"/>
                <w:sz w:val="16"/>
                <w:szCs w:val="16"/>
                <w:lang w:eastAsia="en-GB"/>
              </w:rPr>
            </w:pPr>
          </w:p>
        </w:tc>
        <w:tc>
          <w:tcPr>
            <w:tcW w:w="1361" w:type="dxa"/>
            <w:tcBorders>
              <w:top w:val="nil"/>
              <w:left w:val="nil"/>
              <w:bottom w:val="single" w:sz="4" w:space="0" w:color="auto"/>
              <w:right w:val="nil"/>
            </w:tcBorders>
            <w:shd w:val="clear" w:color="auto" w:fill="auto"/>
            <w:noWrap/>
            <w:vAlign w:val="bottom"/>
            <w:hideMark/>
          </w:tcPr>
          <w:p w14:paraId="41EE03C5" w14:textId="77777777" w:rsidR="00FA18EA" w:rsidRPr="00A02B31" w:rsidRDefault="00FA18EA" w:rsidP="00FA18EA">
            <w:pPr>
              <w:jc w:val="right"/>
              <w:outlineLvl w:val="0"/>
              <w:rPr>
                <w:rFonts w:eastAsia="Times New Roman" w:cstheme="minorHAnsi"/>
                <w:b/>
                <w:bCs/>
                <w:sz w:val="16"/>
                <w:szCs w:val="16"/>
                <w:lang w:eastAsia="en-GB"/>
              </w:rPr>
            </w:pPr>
            <w:r w:rsidRPr="00A02B31">
              <w:rPr>
                <w:rFonts w:eastAsia="Times New Roman" w:cstheme="minorHAnsi"/>
                <w:b/>
                <w:bCs/>
                <w:sz w:val="16"/>
                <w:szCs w:val="16"/>
                <w:lang w:eastAsia="en-GB"/>
              </w:rPr>
              <w:t>£'000</w:t>
            </w:r>
          </w:p>
        </w:tc>
        <w:tc>
          <w:tcPr>
            <w:tcW w:w="1361" w:type="dxa"/>
            <w:tcBorders>
              <w:top w:val="nil"/>
              <w:left w:val="nil"/>
              <w:bottom w:val="single" w:sz="4" w:space="0" w:color="auto"/>
              <w:right w:val="nil"/>
            </w:tcBorders>
            <w:shd w:val="clear" w:color="auto" w:fill="auto"/>
            <w:noWrap/>
            <w:vAlign w:val="bottom"/>
            <w:hideMark/>
          </w:tcPr>
          <w:p w14:paraId="63137F2C" w14:textId="77777777" w:rsidR="00FA18EA" w:rsidRPr="00A02B31" w:rsidRDefault="00FA18EA" w:rsidP="00FA18EA">
            <w:pPr>
              <w:jc w:val="right"/>
              <w:outlineLvl w:val="0"/>
              <w:rPr>
                <w:rFonts w:eastAsia="Times New Roman" w:cstheme="minorHAnsi"/>
                <w:sz w:val="16"/>
                <w:szCs w:val="16"/>
                <w:lang w:eastAsia="en-GB"/>
              </w:rPr>
            </w:pPr>
            <w:r w:rsidRPr="00A02B31">
              <w:rPr>
                <w:rFonts w:eastAsia="Times New Roman" w:cstheme="minorHAnsi"/>
                <w:sz w:val="16"/>
                <w:szCs w:val="16"/>
                <w:lang w:eastAsia="en-GB"/>
              </w:rPr>
              <w:t>£'000</w:t>
            </w:r>
          </w:p>
        </w:tc>
      </w:tr>
      <w:tr w:rsidR="00FA18EA" w:rsidRPr="007600A7" w14:paraId="25322866" w14:textId="77777777" w:rsidTr="00FA18EA">
        <w:trPr>
          <w:trHeight w:val="276"/>
        </w:trPr>
        <w:tc>
          <w:tcPr>
            <w:tcW w:w="3254" w:type="dxa"/>
            <w:tcBorders>
              <w:top w:val="nil"/>
              <w:left w:val="nil"/>
              <w:bottom w:val="nil"/>
              <w:right w:val="nil"/>
            </w:tcBorders>
            <w:shd w:val="clear" w:color="auto" w:fill="auto"/>
            <w:noWrap/>
            <w:vAlign w:val="bottom"/>
            <w:hideMark/>
          </w:tcPr>
          <w:p w14:paraId="444DB1BD" w14:textId="77777777" w:rsidR="00FA18EA" w:rsidRPr="008B2DDA" w:rsidRDefault="00FA18EA" w:rsidP="00FA18EA">
            <w:pPr>
              <w:outlineLvl w:val="0"/>
              <w:rPr>
                <w:rFonts w:eastAsia="Times New Roman" w:cstheme="minorHAnsi"/>
                <w:sz w:val="18"/>
                <w:szCs w:val="18"/>
                <w:lang w:eastAsia="en-GB"/>
              </w:rPr>
            </w:pPr>
            <w:r w:rsidRPr="008B2DDA">
              <w:rPr>
                <w:rFonts w:eastAsia="Times New Roman" w:cstheme="minorHAnsi"/>
                <w:sz w:val="18"/>
                <w:szCs w:val="18"/>
                <w:lang w:eastAsia="en-GB"/>
              </w:rPr>
              <w:t>Other debtors</w:t>
            </w:r>
          </w:p>
        </w:tc>
        <w:tc>
          <w:tcPr>
            <w:tcW w:w="913" w:type="dxa"/>
            <w:tcBorders>
              <w:top w:val="nil"/>
              <w:left w:val="nil"/>
              <w:bottom w:val="nil"/>
              <w:right w:val="nil"/>
            </w:tcBorders>
            <w:shd w:val="clear" w:color="auto" w:fill="auto"/>
            <w:noWrap/>
            <w:vAlign w:val="bottom"/>
            <w:hideMark/>
          </w:tcPr>
          <w:p w14:paraId="73A87381" w14:textId="77777777" w:rsidR="00FA18EA" w:rsidRPr="000C5053" w:rsidRDefault="00FA18EA" w:rsidP="00FA18EA">
            <w:pPr>
              <w:outlineLvl w:val="0"/>
              <w:rPr>
                <w:rFonts w:eastAsia="Times New Roman" w:cstheme="minorHAnsi"/>
                <w:sz w:val="18"/>
                <w:szCs w:val="18"/>
                <w:lang w:eastAsia="en-GB"/>
              </w:rPr>
            </w:pPr>
          </w:p>
        </w:tc>
        <w:tc>
          <w:tcPr>
            <w:tcW w:w="1361" w:type="dxa"/>
            <w:tcBorders>
              <w:top w:val="nil"/>
              <w:left w:val="nil"/>
              <w:bottom w:val="nil"/>
              <w:right w:val="nil"/>
            </w:tcBorders>
            <w:shd w:val="clear" w:color="auto" w:fill="auto"/>
            <w:noWrap/>
            <w:vAlign w:val="bottom"/>
          </w:tcPr>
          <w:p w14:paraId="2063FF85" w14:textId="77777777" w:rsidR="00FA18EA" w:rsidRPr="0091098D" w:rsidRDefault="00FA18EA" w:rsidP="00FA18EA">
            <w:pPr>
              <w:jc w:val="right"/>
              <w:outlineLvl w:val="0"/>
              <w:rPr>
                <w:rFonts w:eastAsia="Times New Roman" w:cstheme="minorHAnsi"/>
                <w:b/>
                <w:bCs/>
                <w:sz w:val="18"/>
                <w:szCs w:val="18"/>
                <w:lang w:eastAsia="en-GB"/>
              </w:rPr>
            </w:pPr>
          </w:p>
        </w:tc>
        <w:tc>
          <w:tcPr>
            <w:tcW w:w="1361" w:type="dxa"/>
            <w:tcBorders>
              <w:top w:val="nil"/>
              <w:left w:val="nil"/>
              <w:bottom w:val="nil"/>
              <w:right w:val="nil"/>
            </w:tcBorders>
            <w:shd w:val="clear" w:color="auto" w:fill="auto"/>
            <w:noWrap/>
            <w:vAlign w:val="bottom"/>
          </w:tcPr>
          <w:p w14:paraId="374E5B46" w14:textId="77777777" w:rsidR="00FA18EA" w:rsidRPr="0075195E" w:rsidRDefault="00FA18EA" w:rsidP="00FA18EA">
            <w:pPr>
              <w:jc w:val="right"/>
              <w:outlineLvl w:val="0"/>
              <w:rPr>
                <w:rFonts w:eastAsia="Times New Roman" w:cstheme="minorHAnsi"/>
                <w:sz w:val="18"/>
                <w:szCs w:val="18"/>
                <w:lang w:eastAsia="en-GB"/>
              </w:rPr>
            </w:pPr>
          </w:p>
        </w:tc>
        <w:tc>
          <w:tcPr>
            <w:tcW w:w="1361" w:type="dxa"/>
            <w:tcBorders>
              <w:top w:val="nil"/>
              <w:left w:val="nil"/>
              <w:bottom w:val="nil"/>
              <w:right w:val="nil"/>
            </w:tcBorders>
            <w:shd w:val="clear" w:color="auto" w:fill="auto"/>
            <w:noWrap/>
            <w:vAlign w:val="bottom"/>
            <w:hideMark/>
          </w:tcPr>
          <w:p w14:paraId="54104A9F" w14:textId="77777777" w:rsidR="00FA18EA" w:rsidRPr="00536A35" w:rsidRDefault="00FA18EA" w:rsidP="00FA18EA">
            <w:pPr>
              <w:jc w:val="right"/>
              <w:outlineLvl w:val="0"/>
              <w:rPr>
                <w:rFonts w:eastAsia="Times New Roman" w:cstheme="minorHAnsi"/>
                <w:b/>
                <w:bCs/>
                <w:sz w:val="18"/>
                <w:szCs w:val="18"/>
                <w:lang w:eastAsia="en-GB"/>
              </w:rPr>
            </w:pPr>
            <w:r w:rsidRPr="00536A35">
              <w:rPr>
                <w:rFonts w:eastAsia="Times New Roman" w:cstheme="minorHAnsi"/>
                <w:b/>
                <w:bCs/>
                <w:sz w:val="18"/>
                <w:szCs w:val="18"/>
                <w:lang w:eastAsia="en-GB"/>
              </w:rPr>
              <w:t xml:space="preserve">                 1,001</w:t>
            </w:r>
          </w:p>
        </w:tc>
        <w:tc>
          <w:tcPr>
            <w:tcW w:w="1361" w:type="dxa"/>
            <w:tcBorders>
              <w:top w:val="nil"/>
              <w:left w:val="nil"/>
              <w:bottom w:val="nil"/>
              <w:right w:val="nil"/>
            </w:tcBorders>
            <w:shd w:val="clear" w:color="auto" w:fill="auto"/>
            <w:noWrap/>
            <w:vAlign w:val="bottom"/>
            <w:hideMark/>
          </w:tcPr>
          <w:p w14:paraId="100B8676" w14:textId="77777777" w:rsidR="00FA18EA" w:rsidRPr="00A02B31" w:rsidRDefault="00FA18EA" w:rsidP="00FA18EA">
            <w:pPr>
              <w:jc w:val="right"/>
              <w:outlineLvl w:val="0"/>
              <w:rPr>
                <w:rFonts w:eastAsia="Times New Roman" w:cstheme="minorHAnsi"/>
                <w:sz w:val="18"/>
                <w:szCs w:val="18"/>
                <w:lang w:eastAsia="en-GB"/>
              </w:rPr>
            </w:pPr>
            <w:r w:rsidRPr="00A02B31">
              <w:rPr>
                <w:rFonts w:eastAsia="Times New Roman" w:cstheme="minorHAnsi"/>
                <w:sz w:val="18"/>
                <w:szCs w:val="18"/>
                <w:lang w:eastAsia="en-GB"/>
              </w:rPr>
              <w:t xml:space="preserve">                 66 </w:t>
            </w:r>
          </w:p>
        </w:tc>
      </w:tr>
      <w:tr w:rsidR="00FA18EA" w:rsidRPr="007600A7" w14:paraId="3CBE80F1" w14:textId="77777777" w:rsidTr="00FA18EA">
        <w:trPr>
          <w:trHeight w:val="276"/>
        </w:trPr>
        <w:tc>
          <w:tcPr>
            <w:tcW w:w="3254" w:type="dxa"/>
            <w:tcBorders>
              <w:top w:val="nil"/>
              <w:left w:val="nil"/>
              <w:bottom w:val="nil"/>
              <w:right w:val="nil"/>
            </w:tcBorders>
            <w:shd w:val="clear" w:color="auto" w:fill="auto"/>
            <w:noWrap/>
            <w:vAlign w:val="bottom"/>
            <w:hideMark/>
          </w:tcPr>
          <w:p w14:paraId="10448821" w14:textId="77777777" w:rsidR="00FA18EA" w:rsidRPr="008B2DDA" w:rsidRDefault="00FA18EA" w:rsidP="00FA18EA">
            <w:pPr>
              <w:outlineLvl w:val="0"/>
              <w:rPr>
                <w:rFonts w:eastAsia="Times New Roman" w:cstheme="minorHAnsi"/>
                <w:sz w:val="18"/>
                <w:szCs w:val="18"/>
                <w:lang w:eastAsia="en-GB"/>
              </w:rPr>
            </w:pPr>
            <w:r w:rsidRPr="008B2DDA">
              <w:rPr>
                <w:rFonts w:eastAsia="Times New Roman" w:cstheme="minorHAnsi"/>
                <w:sz w:val="18"/>
                <w:szCs w:val="18"/>
                <w:lang w:eastAsia="en-GB"/>
              </w:rPr>
              <w:t>Prepayments</w:t>
            </w:r>
          </w:p>
        </w:tc>
        <w:tc>
          <w:tcPr>
            <w:tcW w:w="913" w:type="dxa"/>
            <w:tcBorders>
              <w:top w:val="nil"/>
              <w:left w:val="nil"/>
              <w:bottom w:val="nil"/>
              <w:right w:val="nil"/>
            </w:tcBorders>
            <w:shd w:val="clear" w:color="auto" w:fill="auto"/>
            <w:noWrap/>
            <w:vAlign w:val="bottom"/>
            <w:hideMark/>
          </w:tcPr>
          <w:p w14:paraId="302720DF" w14:textId="77777777" w:rsidR="00FA18EA" w:rsidRPr="000C5053" w:rsidRDefault="00FA18EA" w:rsidP="00FA18EA">
            <w:pPr>
              <w:outlineLvl w:val="0"/>
              <w:rPr>
                <w:rFonts w:eastAsia="Times New Roman" w:cstheme="minorHAnsi"/>
                <w:sz w:val="18"/>
                <w:szCs w:val="18"/>
                <w:lang w:eastAsia="en-GB"/>
              </w:rPr>
            </w:pPr>
          </w:p>
        </w:tc>
        <w:tc>
          <w:tcPr>
            <w:tcW w:w="1361" w:type="dxa"/>
            <w:tcBorders>
              <w:top w:val="nil"/>
              <w:left w:val="nil"/>
              <w:bottom w:val="nil"/>
              <w:right w:val="nil"/>
            </w:tcBorders>
            <w:shd w:val="clear" w:color="auto" w:fill="auto"/>
            <w:noWrap/>
            <w:vAlign w:val="bottom"/>
          </w:tcPr>
          <w:p w14:paraId="6824DE68" w14:textId="77777777" w:rsidR="00FA18EA" w:rsidRPr="0091098D" w:rsidRDefault="00FA18EA" w:rsidP="00FA18EA">
            <w:pPr>
              <w:jc w:val="right"/>
              <w:outlineLvl w:val="0"/>
              <w:rPr>
                <w:rFonts w:eastAsia="Times New Roman" w:cstheme="minorHAnsi"/>
                <w:b/>
                <w:bCs/>
                <w:sz w:val="18"/>
                <w:szCs w:val="18"/>
                <w:lang w:eastAsia="en-GB"/>
              </w:rPr>
            </w:pPr>
          </w:p>
        </w:tc>
        <w:tc>
          <w:tcPr>
            <w:tcW w:w="1361" w:type="dxa"/>
            <w:tcBorders>
              <w:top w:val="nil"/>
              <w:left w:val="nil"/>
              <w:bottom w:val="nil"/>
              <w:right w:val="nil"/>
            </w:tcBorders>
            <w:shd w:val="clear" w:color="auto" w:fill="auto"/>
            <w:noWrap/>
            <w:vAlign w:val="bottom"/>
          </w:tcPr>
          <w:p w14:paraId="69751BFD" w14:textId="77777777" w:rsidR="00FA18EA" w:rsidRPr="0075195E" w:rsidRDefault="00FA18EA" w:rsidP="00FA18EA">
            <w:pPr>
              <w:jc w:val="right"/>
              <w:outlineLvl w:val="0"/>
              <w:rPr>
                <w:rFonts w:eastAsia="Times New Roman" w:cstheme="minorHAnsi"/>
                <w:sz w:val="18"/>
                <w:szCs w:val="18"/>
                <w:lang w:eastAsia="en-GB"/>
              </w:rPr>
            </w:pPr>
          </w:p>
        </w:tc>
        <w:tc>
          <w:tcPr>
            <w:tcW w:w="1361" w:type="dxa"/>
            <w:tcBorders>
              <w:top w:val="nil"/>
              <w:left w:val="nil"/>
              <w:bottom w:val="nil"/>
              <w:right w:val="nil"/>
            </w:tcBorders>
            <w:shd w:val="clear" w:color="auto" w:fill="auto"/>
            <w:noWrap/>
            <w:vAlign w:val="bottom"/>
            <w:hideMark/>
          </w:tcPr>
          <w:p w14:paraId="4CBF9B71" w14:textId="77777777" w:rsidR="00FA18EA" w:rsidRPr="00536A35" w:rsidRDefault="00FA18EA" w:rsidP="00FA18EA">
            <w:pPr>
              <w:jc w:val="right"/>
              <w:outlineLvl w:val="0"/>
              <w:rPr>
                <w:rFonts w:eastAsia="Times New Roman" w:cstheme="minorHAnsi"/>
                <w:b/>
                <w:bCs/>
                <w:sz w:val="18"/>
                <w:szCs w:val="18"/>
                <w:lang w:eastAsia="en-GB"/>
              </w:rPr>
            </w:pPr>
            <w:r w:rsidRPr="00536A35">
              <w:rPr>
                <w:rFonts w:eastAsia="Times New Roman" w:cstheme="minorHAnsi"/>
                <w:b/>
                <w:bCs/>
                <w:sz w:val="18"/>
                <w:szCs w:val="18"/>
                <w:lang w:eastAsia="en-GB"/>
              </w:rPr>
              <w:t xml:space="preserve">                 18 </w:t>
            </w:r>
          </w:p>
        </w:tc>
        <w:tc>
          <w:tcPr>
            <w:tcW w:w="1361" w:type="dxa"/>
            <w:tcBorders>
              <w:top w:val="nil"/>
              <w:left w:val="nil"/>
              <w:bottom w:val="nil"/>
              <w:right w:val="nil"/>
            </w:tcBorders>
            <w:shd w:val="clear" w:color="auto" w:fill="auto"/>
            <w:noWrap/>
            <w:vAlign w:val="bottom"/>
            <w:hideMark/>
          </w:tcPr>
          <w:p w14:paraId="6DBB126B" w14:textId="77777777" w:rsidR="00FA18EA" w:rsidRPr="00A02B31" w:rsidRDefault="00FA18EA" w:rsidP="00FA18EA">
            <w:pPr>
              <w:jc w:val="right"/>
              <w:outlineLvl w:val="0"/>
              <w:rPr>
                <w:rFonts w:eastAsia="Times New Roman" w:cstheme="minorHAnsi"/>
                <w:sz w:val="18"/>
                <w:szCs w:val="18"/>
                <w:lang w:eastAsia="en-GB"/>
              </w:rPr>
            </w:pPr>
            <w:r w:rsidRPr="00A02B31">
              <w:rPr>
                <w:rFonts w:eastAsia="Times New Roman" w:cstheme="minorHAnsi"/>
                <w:sz w:val="18"/>
                <w:szCs w:val="18"/>
                <w:lang w:eastAsia="en-GB"/>
              </w:rPr>
              <w:t xml:space="preserve">                  33 </w:t>
            </w:r>
          </w:p>
        </w:tc>
      </w:tr>
      <w:tr w:rsidR="00FA18EA" w:rsidRPr="007600A7" w14:paraId="3FB863BA" w14:textId="77777777" w:rsidTr="00FA18EA">
        <w:trPr>
          <w:trHeight w:val="293"/>
        </w:trPr>
        <w:tc>
          <w:tcPr>
            <w:tcW w:w="3254" w:type="dxa"/>
            <w:tcBorders>
              <w:top w:val="single" w:sz="4" w:space="0" w:color="auto"/>
              <w:left w:val="nil"/>
              <w:bottom w:val="single" w:sz="8" w:space="0" w:color="auto"/>
              <w:right w:val="nil"/>
            </w:tcBorders>
            <w:shd w:val="clear" w:color="auto" w:fill="auto"/>
            <w:noWrap/>
            <w:vAlign w:val="bottom"/>
            <w:hideMark/>
          </w:tcPr>
          <w:p w14:paraId="736570F1" w14:textId="77777777" w:rsidR="00FA18EA" w:rsidRPr="008B2DDA" w:rsidRDefault="00FA18EA" w:rsidP="00FA18EA">
            <w:pPr>
              <w:outlineLvl w:val="0"/>
              <w:rPr>
                <w:rFonts w:eastAsia="Times New Roman" w:cstheme="minorHAnsi"/>
                <w:sz w:val="18"/>
                <w:szCs w:val="18"/>
                <w:lang w:eastAsia="en-GB"/>
              </w:rPr>
            </w:pPr>
            <w:r w:rsidRPr="008B2DDA">
              <w:rPr>
                <w:rFonts w:eastAsia="Times New Roman" w:cstheme="minorHAnsi"/>
                <w:sz w:val="18"/>
                <w:szCs w:val="18"/>
                <w:lang w:eastAsia="en-GB"/>
              </w:rPr>
              <w:t> </w:t>
            </w:r>
          </w:p>
        </w:tc>
        <w:tc>
          <w:tcPr>
            <w:tcW w:w="913" w:type="dxa"/>
            <w:tcBorders>
              <w:top w:val="single" w:sz="4" w:space="0" w:color="auto"/>
              <w:left w:val="nil"/>
              <w:bottom w:val="single" w:sz="8" w:space="0" w:color="auto"/>
              <w:right w:val="nil"/>
            </w:tcBorders>
            <w:shd w:val="clear" w:color="auto" w:fill="auto"/>
            <w:noWrap/>
            <w:vAlign w:val="bottom"/>
            <w:hideMark/>
          </w:tcPr>
          <w:p w14:paraId="15AAD420" w14:textId="77777777" w:rsidR="00FA18EA" w:rsidRPr="0091098D" w:rsidRDefault="00FA18EA" w:rsidP="00FA18EA">
            <w:pPr>
              <w:outlineLvl w:val="0"/>
              <w:rPr>
                <w:rFonts w:eastAsia="Times New Roman" w:cstheme="minorHAnsi"/>
                <w:sz w:val="18"/>
                <w:szCs w:val="18"/>
                <w:lang w:eastAsia="en-GB"/>
              </w:rPr>
            </w:pPr>
            <w:r w:rsidRPr="000C5053">
              <w:rPr>
                <w:rFonts w:eastAsia="Times New Roman" w:cstheme="minorHAnsi"/>
                <w:sz w:val="18"/>
                <w:szCs w:val="18"/>
                <w:lang w:eastAsia="en-GB"/>
              </w:rPr>
              <w:t> </w:t>
            </w:r>
          </w:p>
        </w:tc>
        <w:tc>
          <w:tcPr>
            <w:tcW w:w="1361" w:type="dxa"/>
            <w:tcBorders>
              <w:top w:val="single" w:sz="4" w:space="0" w:color="auto"/>
              <w:left w:val="nil"/>
              <w:bottom w:val="single" w:sz="8" w:space="0" w:color="auto"/>
              <w:right w:val="nil"/>
            </w:tcBorders>
            <w:shd w:val="clear" w:color="auto" w:fill="auto"/>
            <w:noWrap/>
            <w:vAlign w:val="bottom"/>
          </w:tcPr>
          <w:p w14:paraId="55988BCB" w14:textId="77777777" w:rsidR="00FA18EA" w:rsidRPr="0075195E" w:rsidRDefault="00FA18EA" w:rsidP="00FA18EA">
            <w:pPr>
              <w:jc w:val="right"/>
              <w:outlineLvl w:val="0"/>
              <w:rPr>
                <w:rFonts w:eastAsia="Times New Roman" w:cstheme="minorHAnsi"/>
                <w:b/>
                <w:bCs/>
                <w:sz w:val="18"/>
                <w:szCs w:val="18"/>
                <w:lang w:eastAsia="en-GB"/>
              </w:rPr>
            </w:pPr>
          </w:p>
        </w:tc>
        <w:tc>
          <w:tcPr>
            <w:tcW w:w="1361" w:type="dxa"/>
            <w:tcBorders>
              <w:top w:val="single" w:sz="4" w:space="0" w:color="auto"/>
              <w:left w:val="nil"/>
              <w:bottom w:val="single" w:sz="8" w:space="0" w:color="auto"/>
              <w:right w:val="nil"/>
            </w:tcBorders>
            <w:shd w:val="clear" w:color="auto" w:fill="auto"/>
            <w:noWrap/>
            <w:vAlign w:val="bottom"/>
          </w:tcPr>
          <w:p w14:paraId="5837BF1D" w14:textId="77777777" w:rsidR="00FA18EA" w:rsidRPr="00536A35" w:rsidRDefault="00FA18EA" w:rsidP="00FA18EA">
            <w:pPr>
              <w:jc w:val="right"/>
              <w:outlineLvl w:val="0"/>
              <w:rPr>
                <w:rFonts w:eastAsia="Times New Roman" w:cstheme="minorHAnsi"/>
                <w:sz w:val="18"/>
                <w:szCs w:val="18"/>
                <w:lang w:eastAsia="en-GB"/>
              </w:rPr>
            </w:pPr>
          </w:p>
        </w:tc>
        <w:tc>
          <w:tcPr>
            <w:tcW w:w="1361" w:type="dxa"/>
            <w:tcBorders>
              <w:top w:val="single" w:sz="4" w:space="0" w:color="auto"/>
              <w:left w:val="nil"/>
              <w:bottom w:val="single" w:sz="8" w:space="0" w:color="auto"/>
              <w:right w:val="nil"/>
            </w:tcBorders>
            <w:shd w:val="clear" w:color="auto" w:fill="auto"/>
            <w:noWrap/>
            <w:vAlign w:val="bottom"/>
            <w:hideMark/>
          </w:tcPr>
          <w:p w14:paraId="6DABA99A" w14:textId="77777777" w:rsidR="00FA18EA" w:rsidRPr="00A02B31" w:rsidRDefault="00FA18EA" w:rsidP="00FA18EA">
            <w:pPr>
              <w:jc w:val="right"/>
              <w:outlineLvl w:val="0"/>
              <w:rPr>
                <w:rFonts w:eastAsia="Times New Roman" w:cstheme="minorHAnsi"/>
                <w:b/>
                <w:bCs/>
                <w:sz w:val="18"/>
                <w:szCs w:val="18"/>
                <w:lang w:eastAsia="en-GB"/>
              </w:rPr>
            </w:pPr>
            <w:r w:rsidRPr="00A02B31">
              <w:rPr>
                <w:rFonts w:eastAsia="Times New Roman" w:cstheme="minorHAnsi"/>
                <w:b/>
                <w:bCs/>
                <w:sz w:val="18"/>
                <w:szCs w:val="18"/>
                <w:lang w:eastAsia="en-GB"/>
              </w:rPr>
              <w:t xml:space="preserve">                 1,019</w:t>
            </w:r>
          </w:p>
        </w:tc>
        <w:tc>
          <w:tcPr>
            <w:tcW w:w="1361" w:type="dxa"/>
            <w:tcBorders>
              <w:top w:val="single" w:sz="4" w:space="0" w:color="auto"/>
              <w:left w:val="nil"/>
              <w:bottom w:val="single" w:sz="8" w:space="0" w:color="auto"/>
              <w:right w:val="nil"/>
            </w:tcBorders>
            <w:shd w:val="clear" w:color="auto" w:fill="auto"/>
            <w:noWrap/>
            <w:vAlign w:val="bottom"/>
            <w:hideMark/>
          </w:tcPr>
          <w:p w14:paraId="6D9672A0" w14:textId="77777777" w:rsidR="00FA18EA" w:rsidRPr="00A02B31" w:rsidRDefault="00FA18EA" w:rsidP="00FA18EA">
            <w:pPr>
              <w:jc w:val="right"/>
              <w:outlineLvl w:val="0"/>
              <w:rPr>
                <w:rFonts w:eastAsia="Times New Roman" w:cstheme="minorHAnsi"/>
                <w:sz w:val="18"/>
                <w:szCs w:val="18"/>
                <w:lang w:eastAsia="en-GB"/>
              </w:rPr>
            </w:pPr>
            <w:r w:rsidRPr="00A02B31">
              <w:rPr>
                <w:rFonts w:eastAsia="Times New Roman" w:cstheme="minorHAnsi"/>
                <w:sz w:val="18"/>
                <w:szCs w:val="18"/>
                <w:lang w:eastAsia="en-GB"/>
              </w:rPr>
              <w:t xml:space="preserve">                 99</w:t>
            </w:r>
          </w:p>
        </w:tc>
      </w:tr>
    </w:tbl>
    <w:p w14:paraId="1FD6BD4D" w14:textId="77777777" w:rsidR="00FA18EA" w:rsidRPr="008B2DDA" w:rsidRDefault="00FA18EA" w:rsidP="00FA18EA">
      <w:pPr>
        <w:autoSpaceDE w:val="0"/>
        <w:autoSpaceDN w:val="0"/>
        <w:adjustRightInd w:val="0"/>
        <w:jc w:val="both"/>
        <w:rPr>
          <w:rFonts w:cstheme="minorHAnsi"/>
          <w:color w:val="000000" w:themeColor="text1"/>
          <w:sz w:val="18"/>
          <w:szCs w:val="18"/>
        </w:rPr>
      </w:pPr>
    </w:p>
    <w:p w14:paraId="0C28E793" w14:textId="77777777" w:rsidR="00FA18EA" w:rsidRPr="000C5053" w:rsidRDefault="00FA18EA" w:rsidP="00FA18EA">
      <w:pPr>
        <w:autoSpaceDE w:val="0"/>
        <w:autoSpaceDN w:val="0"/>
        <w:adjustRightInd w:val="0"/>
        <w:jc w:val="both"/>
        <w:rPr>
          <w:rFonts w:cstheme="minorHAnsi"/>
          <w:color w:val="000000"/>
          <w:sz w:val="18"/>
        </w:rPr>
      </w:pPr>
    </w:p>
    <w:p w14:paraId="1848B983" w14:textId="77777777" w:rsidR="00FA18EA" w:rsidRPr="0091098D" w:rsidRDefault="00FA18EA" w:rsidP="00FA18EA">
      <w:pPr>
        <w:autoSpaceDE w:val="0"/>
        <w:autoSpaceDN w:val="0"/>
        <w:adjustRightInd w:val="0"/>
        <w:rPr>
          <w:rFonts w:cstheme="minorHAnsi"/>
          <w:b/>
          <w:color w:val="000000"/>
        </w:rPr>
      </w:pPr>
      <w:r w:rsidRPr="0091098D">
        <w:rPr>
          <w:rFonts w:cstheme="minorHAnsi"/>
          <w:b/>
          <w:color w:val="000000"/>
        </w:rPr>
        <w:t>10 Trade and other payables</w:t>
      </w:r>
    </w:p>
    <w:p w14:paraId="39019887" w14:textId="77777777" w:rsidR="00FA18EA" w:rsidRPr="0075195E" w:rsidRDefault="00FA18EA" w:rsidP="00FA18EA">
      <w:pPr>
        <w:autoSpaceDE w:val="0"/>
        <w:autoSpaceDN w:val="0"/>
        <w:adjustRightInd w:val="0"/>
        <w:rPr>
          <w:rFonts w:cstheme="minorHAnsi"/>
          <w:b/>
          <w:color w:val="000000"/>
          <w:sz w:val="18"/>
          <w:szCs w:val="18"/>
        </w:rPr>
      </w:pPr>
    </w:p>
    <w:tbl>
      <w:tblPr>
        <w:tblW w:w="9630" w:type="dxa"/>
        <w:tblInd w:w="108" w:type="dxa"/>
        <w:tblLook w:val="04A0" w:firstRow="1" w:lastRow="0" w:firstColumn="1" w:lastColumn="0" w:noHBand="0" w:noVBand="1"/>
      </w:tblPr>
      <w:tblGrid>
        <w:gridCol w:w="3336"/>
        <w:gridCol w:w="936"/>
        <w:gridCol w:w="1396"/>
        <w:gridCol w:w="1170"/>
        <w:gridCol w:w="1396"/>
        <w:gridCol w:w="1396"/>
      </w:tblGrid>
      <w:tr w:rsidR="00FA18EA" w:rsidRPr="007600A7" w14:paraId="58FD1DF6" w14:textId="77777777" w:rsidTr="00FA18EA">
        <w:trPr>
          <w:trHeight w:val="222"/>
        </w:trPr>
        <w:tc>
          <w:tcPr>
            <w:tcW w:w="3336" w:type="dxa"/>
            <w:tcBorders>
              <w:top w:val="single" w:sz="4" w:space="0" w:color="auto"/>
              <w:left w:val="nil"/>
              <w:bottom w:val="nil"/>
              <w:right w:val="nil"/>
            </w:tcBorders>
            <w:shd w:val="clear" w:color="auto" w:fill="auto"/>
            <w:noWrap/>
            <w:vAlign w:val="bottom"/>
            <w:hideMark/>
          </w:tcPr>
          <w:p w14:paraId="0D4546E4" w14:textId="77777777" w:rsidR="00FA18EA" w:rsidRPr="00536A35" w:rsidRDefault="00FA18EA" w:rsidP="00FA18EA">
            <w:pPr>
              <w:outlineLvl w:val="0"/>
              <w:rPr>
                <w:rFonts w:eastAsia="Times New Roman" w:cstheme="minorHAnsi"/>
                <w:lang w:eastAsia="en-GB"/>
              </w:rPr>
            </w:pPr>
          </w:p>
        </w:tc>
        <w:tc>
          <w:tcPr>
            <w:tcW w:w="936" w:type="dxa"/>
            <w:tcBorders>
              <w:top w:val="single" w:sz="4" w:space="0" w:color="auto"/>
              <w:left w:val="nil"/>
              <w:bottom w:val="nil"/>
              <w:right w:val="nil"/>
            </w:tcBorders>
            <w:shd w:val="clear" w:color="auto" w:fill="auto"/>
            <w:noWrap/>
            <w:vAlign w:val="bottom"/>
            <w:hideMark/>
          </w:tcPr>
          <w:p w14:paraId="35BD561F" w14:textId="77777777" w:rsidR="00FA18EA" w:rsidRPr="00A02B31" w:rsidRDefault="00FA18EA" w:rsidP="00FA18EA">
            <w:pPr>
              <w:outlineLvl w:val="0"/>
              <w:rPr>
                <w:rFonts w:eastAsia="Times New Roman" w:cstheme="minorHAnsi"/>
                <w:lang w:eastAsia="en-GB"/>
              </w:rPr>
            </w:pPr>
          </w:p>
        </w:tc>
        <w:tc>
          <w:tcPr>
            <w:tcW w:w="1396" w:type="dxa"/>
            <w:tcBorders>
              <w:top w:val="single" w:sz="4" w:space="0" w:color="auto"/>
              <w:left w:val="nil"/>
              <w:bottom w:val="nil"/>
              <w:right w:val="nil"/>
            </w:tcBorders>
            <w:shd w:val="clear" w:color="auto" w:fill="auto"/>
            <w:noWrap/>
            <w:vAlign w:val="bottom"/>
          </w:tcPr>
          <w:p w14:paraId="3B9DAD11" w14:textId="77777777" w:rsidR="00FA18EA" w:rsidRPr="00A02B31" w:rsidRDefault="00FA18EA" w:rsidP="00FA18EA">
            <w:pPr>
              <w:jc w:val="right"/>
              <w:outlineLvl w:val="0"/>
              <w:rPr>
                <w:rFonts w:eastAsia="Times New Roman" w:cstheme="minorHAnsi"/>
                <w:b/>
                <w:bCs/>
                <w:sz w:val="16"/>
                <w:szCs w:val="16"/>
                <w:lang w:eastAsia="en-GB"/>
              </w:rPr>
            </w:pPr>
          </w:p>
        </w:tc>
        <w:tc>
          <w:tcPr>
            <w:tcW w:w="1170" w:type="dxa"/>
            <w:tcBorders>
              <w:top w:val="single" w:sz="4" w:space="0" w:color="auto"/>
              <w:left w:val="nil"/>
              <w:bottom w:val="nil"/>
              <w:right w:val="nil"/>
            </w:tcBorders>
            <w:shd w:val="clear" w:color="auto" w:fill="auto"/>
            <w:noWrap/>
            <w:vAlign w:val="bottom"/>
          </w:tcPr>
          <w:p w14:paraId="2B053BCB" w14:textId="77777777" w:rsidR="00FA18EA" w:rsidRPr="00A02B31" w:rsidRDefault="00FA18EA" w:rsidP="00FA18EA">
            <w:pPr>
              <w:jc w:val="right"/>
              <w:outlineLvl w:val="0"/>
              <w:rPr>
                <w:rFonts w:eastAsia="Times New Roman" w:cstheme="minorHAnsi"/>
                <w:sz w:val="16"/>
                <w:szCs w:val="16"/>
                <w:lang w:eastAsia="en-GB"/>
              </w:rPr>
            </w:pPr>
          </w:p>
        </w:tc>
        <w:tc>
          <w:tcPr>
            <w:tcW w:w="1396" w:type="dxa"/>
            <w:tcBorders>
              <w:top w:val="single" w:sz="4" w:space="0" w:color="auto"/>
              <w:left w:val="nil"/>
              <w:bottom w:val="nil"/>
              <w:right w:val="nil"/>
            </w:tcBorders>
            <w:shd w:val="clear" w:color="auto" w:fill="auto"/>
            <w:noWrap/>
            <w:vAlign w:val="bottom"/>
            <w:hideMark/>
          </w:tcPr>
          <w:p w14:paraId="02D3B3B1" w14:textId="77777777" w:rsidR="00FA18EA" w:rsidRPr="00A02B31" w:rsidRDefault="00FA18EA" w:rsidP="00FA18EA">
            <w:pPr>
              <w:jc w:val="right"/>
              <w:outlineLvl w:val="0"/>
              <w:rPr>
                <w:rFonts w:eastAsia="Times New Roman" w:cstheme="minorHAnsi"/>
                <w:b/>
                <w:bCs/>
                <w:sz w:val="16"/>
                <w:szCs w:val="16"/>
                <w:lang w:eastAsia="en-GB"/>
              </w:rPr>
            </w:pPr>
            <w:r w:rsidRPr="00A02B31">
              <w:rPr>
                <w:rFonts w:eastAsia="Times New Roman" w:cstheme="minorHAnsi"/>
                <w:b/>
                <w:bCs/>
                <w:sz w:val="16"/>
                <w:szCs w:val="16"/>
                <w:lang w:eastAsia="en-GB"/>
              </w:rPr>
              <w:t>31 March 2022</w:t>
            </w:r>
          </w:p>
        </w:tc>
        <w:tc>
          <w:tcPr>
            <w:tcW w:w="1396" w:type="dxa"/>
            <w:tcBorders>
              <w:top w:val="single" w:sz="4" w:space="0" w:color="auto"/>
              <w:left w:val="nil"/>
              <w:bottom w:val="nil"/>
              <w:right w:val="nil"/>
            </w:tcBorders>
            <w:shd w:val="clear" w:color="auto" w:fill="auto"/>
            <w:noWrap/>
            <w:vAlign w:val="bottom"/>
            <w:hideMark/>
          </w:tcPr>
          <w:p w14:paraId="0EA131B8" w14:textId="77777777" w:rsidR="00FA18EA" w:rsidRPr="00A02B31" w:rsidRDefault="00FA18EA" w:rsidP="00FA18EA">
            <w:pPr>
              <w:jc w:val="right"/>
              <w:outlineLvl w:val="0"/>
              <w:rPr>
                <w:rFonts w:eastAsia="Times New Roman" w:cstheme="minorHAnsi"/>
                <w:sz w:val="16"/>
                <w:szCs w:val="16"/>
                <w:lang w:eastAsia="en-GB"/>
              </w:rPr>
            </w:pPr>
            <w:r w:rsidRPr="00A02B31">
              <w:rPr>
                <w:rFonts w:eastAsia="Times New Roman" w:cstheme="minorHAnsi"/>
                <w:sz w:val="16"/>
                <w:szCs w:val="16"/>
                <w:lang w:eastAsia="en-GB"/>
              </w:rPr>
              <w:t>31 March 2021</w:t>
            </w:r>
          </w:p>
        </w:tc>
      </w:tr>
      <w:tr w:rsidR="00FA18EA" w:rsidRPr="007600A7" w14:paraId="3FD95AA8" w14:textId="77777777" w:rsidTr="00FA18EA">
        <w:trPr>
          <w:trHeight w:val="222"/>
        </w:trPr>
        <w:tc>
          <w:tcPr>
            <w:tcW w:w="3336" w:type="dxa"/>
            <w:tcBorders>
              <w:top w:val="nil"/>
              <w:left w:val="nil"/>
              <w:bottom w:val="single" w:sz="4" w:space="0" w:color="auto"/>
              <w:right w:val="nil"/>
            </w:tcBorders>
            <w:shd w:val="clear" w:color="auto" w:fill="auto"/>
            <w:noWrap/>
            <w:vAlign w:val="bottom"/>
            <w:hideMark/>
          </w:tcPr>
          <w:p w14:paraId="0173471B" w14:textId="77777777" w:rsidR="00FA18EA" w:rsidRPr="008B2DDA" w:rsidRDefault="00FA18EA" w:rsidP="00FA18EA">
            <w:pPr>
              <w:outlineLvl w:val="0"/>
              <w:rPr>
                <w:rFonts w:eastAsia="Times New Roman" w:cstheme="minorHAnsi"/>
                <w:lang w:eastAsia="en-GB"/>
              </w:rPr>
            </w:pPr>
            <w:r w:rsidRPr="008B2DDA">
              <w:rPr>
                <w:rFonts w:eastAsia="Times New Roman" w:cstheme="minorHAnsi"/>
                <w:lang w:eastAsia="en-GB"/>
              </w:rPr>
              <w:t> </w:t>
            </w:r>
          </w:p>
        </w:tc>
        <w:tc>
          <w:tcPr>
            <w:tcW w:w="936" w:type="dxa"/>
            <w:tcBorders>
              <w:top w:val="nil"/>
              <w:left w:val="nil"/>
              <w:bottom w:val="single" w:sz="4" w:space="0" w:color="auto"/>
              <w:right w:val="nil"/>
            </w:tcBorders>
            <w:shd w:val="clear" w:color="auto" w:fill="auto"/>
            <w:noWrap/>
            <w:vAlign w:val="bottom"/>
            <w:hideMark/>
          </w:tcPr>
          <w:p w14:paraId="3E7B7707" w14:textId="77777777" w:rsidR="00FA18EA" w:rsidRPr="0091098D" w:rsidRDefault="00FA18EA" w:rsidP="00FA18EA">
            <w:pPr>
              <w:outlineLvl w:val="0"/>
              <w:rPr>
                <w:rFonts w:eastAsia="Times New Roman" w:cstheme="minorHAnsi"/>
                <w:lang w:eastAsia="en-GB"/>
              </w:rPr>
            </w:pPr>
            <w:r w:rsidRPr="000C5053">
              <w:rPr>
                <w:rFonts w:eastAsia="Times New Roman" w:cstheme="minorHAnsi"/>
                <w:lang w:eastAsia="en-GB"/>
              </w:rPr>
              <w:t> </w:t>
            </w:r>
          </w:p>
        </w:tc>
        <w:tc>
          <w:tcPr>
            <w:tcW w:w="1396" w:type="dxa"/>
            <w:tcBorders>
              <w:top w:val="nil"/>
              <w:left w:val="nil"/>
              <w:bottom w:val="single" w:sz="4" w:space="0" w:color="auto"/>
              <w:right w:val="nil"/>
            </w:tcBorders>
            <w:shd w:val="clear" w:color="auto" w:fill="auto"/>
            <w:noWrap/>
            <w:vAlign w:val="bottom"/>
          </w:tcPr>
          <w:p w14:paraId="2192256E" w14:textId="77777777" w:rsidR="00FA18EA" w:rsidRPr="0075195E" w:rsidRDefault="00FA18EA" w:rsidP="00FA18EA">
            <w:pPr>
              <w:jc w:val="right"/>
              <w:outlineLvl w:val="0"/>
              <w:rPr>
                <w:rFonts w:eastAsia="Times New Roman" w:cstheme="minorHAnsi"/>
                <w:b/>
                <w:bCs/>
                <w:sz w:val="16"/>
                <w:szCs w:val="16"/>
                <w:lang w:eastAsia="en-GB"/>
              </w:rPr>
            </w:pPr>
          </w:p>
        </w:tc>
        <w:tc>
          <w:tcPr>
            <w:tcW w:w="1170" w:type="dxa"/>
            <w:tcBorders>
              <w:top w:val="nil"/>
              <w:left w:val="nil"/>
              <w:bottom w:val="single" w:sz="4" w:space="0" w:color="auto"/>
              <w:right w:val="nil"/>
            </w:tcBorders>
            <w:shd w:val="clear" w:color="auto" w:fill="auto"/>
            <w:noWrap/>
            <w:vAlign w:val="bottom"/>
          </w:tcPr>
          <w:p w14:paraId="7EB2C2C0" w14:textId="77777777" w:rsidR="00FA18EA" w:rsidRPr="00536A35" w:rsidRDefault="00FA18EA" w:rsidP="00FA18EA">
            <w:pPr>
              <w:jc w:val="right"/>
              <w:outlineLvl w:val="0"/>
              <w:rPr>
                <w:rFonts w:eastAsia="Times New Roman" w:cstheme="minorHAnsi"/>
                <w:sz w:val="16"/>
                <w:szCs w:val="16"/>
                <w:lang w:eastAsia="en-GB"/>
              </w:rPr>
            </w:pPr>
          </w:p>
        </w:tc>
        <w:tc>
          <w:tcPr>
            <w:tcW w:w="1396" w:type="dxa"/>
            <w:tcBorders>
              <w:top w:val="nil"/>
              <w:left w:val="nil"/>
              <w:bottom w:val="single" w:sz="4" w:space="0" w:color="auto"/>
              <w:right w:val="nil"/>
            </w:tcBorders>
            <w:shd w:val="clear" w:color="auto" w:fill="auto"/>
            <w:noWrap/>
            <w:vAlign w:val="bottom"/>
            <w:hideMark/>
          </w:tcPr>
          <w:p w14:paraId="2AE63F21" w14:textId="77777777" w:rsidR="00FA18EA" w:rsidRPr="00A02B31" w:rsidRDefault="00FA18EA" w:rsidP="00FA18EA">
            <w:pPr>
              <w:jc w:val="right"/>
              <w:outlineLvl w:val="0"/>
              <w:rPr>
                <w:rFonts w:eastAsia="Times New Roman" w:cstheme="minorHAnsi"/>
                <w:b/>
                <w:bCs/>
                <w:sz w:val="16"/>
                <w:szCs w:val="16"/>
                <w:lang w:eastAsia="en-GB"/>
              </w:rPr>
            </w:pPr>
            <w:r w:rsidRPr="00A02B31">
              <w:rPr>
                <w:rFonts w:eastAsia="Times New Roman" w:cstheme="minorHAnsi"/>
                <w:b/>
                <w:bCs/>
                <w:sz w:val="16"/>
                <w:szCs w:val="16"/>
                <w:lang w:eastAsia="en-GB"/>
              </w:rPr>
              <w:t>£'000</w:t>
            </w:r>
          </w:p>
        </w:tc>
        <w:tc>
          <w:tcPr>
            <w:tcW w:w="1396" w:type="dxa"/>
            <w:tcBorders>
              <w:top w:val="nil"/>
              <w:left w:val="nil"/>
              <w:bottom w:val="single" w:sz="4" w:space="0" w:color="auto"/>
              <w:right w:val="nil"/>
            </w:tcBorders>
            <w:shd w:val="clear" w:color="auto" w:fill="auto"/>
            <w:noWrap/>
            <w:vAlign w:val="bottom"/>
            <w:hideMark/>
          </w:tcPr>
          <w:p w14:paraId="5E10A6BC" w14:textId="77777777" w:rsidR="00FA18EA" w:rsidRPr="00A02B31" w:rsidRDefault="00FA18EA" w:rsidP="00FA18EA">
            <w:pPr>
              <w:jc w:val="right"/>
              <w:outlineLvl w:val="0"/>
              <w:rPr>
                <w:rFonts w:eastAsia="Times New Roman" w:cstheme="minorHAnsi"/>
                <w:sz w:val="16"/>
                <w:szCs w:val="16"/>
                <w:lang w:eastAsia="en-GB"/>
              </w:rPr>
            </w:pPr>
            <w:r w:rsidRPr="00A02B31">
              <w:rPr>
                <w:rFonts w:eastAsia="Times New Roman" w:cstheme="minorHAnsi"/>
                <w:sz w:val="16"/>
                <w:szCs w:val="16"/>
                <w:lang w:eastAsia="en-GB"/>
              </w:rPr>
              <w:t>£'000</w:t>
            </w:r>
          </w:p>
        </w:tc>
      </w:tr>
      <w:tr w:rsidR="00FA18EA" w:rsidRPr="007600A7" w14:paraId="331B795F" w14:textId="77777777" w:rsidTr="00FA18EA">
        <w:trPr>
          <w:trHeight w:val="255"/>
        </w:trPr>
        <w:tc>
          <w:tcPr>
            <w:tcW w:w="3336" w:type="dxa"/>
            <w:tcBorders>
              <w:top w:val="nil"/>
              <w:left w:val="nil"/>
              <w:bottom w:val="nil"/>
              <w:right w:val="nil"/>
            </w:tcBorders>
            <w:shd w:val="clear" w:color="auto" w:fill="auto"/>
            <w:noWrap/>
            <w:vAlign w:val="bottom"/>
            <w:hideMark/>
          </w:tcPr>
          <w:p w14:paraId="1077A923" w14:textId="77777777" w:rsidR="00FA18EA" w:rsidRPr="008B2DDA" w:rsidRDefault="00FA18EA" w:rsidP="00FA18EA">
            <w:pPr>
              <w:jc w:val="both"/>
              <w:outlineLvl w:val="0"/>
              <w:rPr>
                <w:rFonts w:eastAsia="Times New Roman" w:cstheme="minorHAnsi"/>
                <w:sz w:val="18"/>
                <w:szCs w:val="18"/>
                <w:lang w:eastAsia="en-GB"/>
              </w:rPr>
            </w:pPr>
            <w:r w:rsidRPr="008B2DDA">
              <w:rPr>
                <w:rFonts w:eastAsia="Times New Roman" w:cstheme="minorHAnsi"/>
                <w:sz w:val="18"/>
                <w:szCs w:val="18"/>
                <w:lang w:eastAsia="en-GB"/>
              </w:rPr>
              <w:t>Other creditors</w:t>
            </w:r>
          </w:p>
        </w:tc>
        <w:tc>
          <w:tcPr>
            <w:tcW w:w="936" w:type="dxa"/>
            <w:tcBorders>
              <w:top w:val="nil"/>
              <w:left w:val="nil"/>
              <w:bottom w:val="nil"/>
              <w:right w:val="nil"/>
            </w:tcBorders>
            <w:shd w:val="clear" w:color="auto" w:fill="auto"/>
            <w:noWrap/>
            <w:vAlign w:val="bottom"/>
            <w:hideMark/>
          </w:tcPr>
          <w:p w14:paraId="59A06FD7" w14:textId="77777777" w:rsidR="00FA18EA" w:rsidRPr="000C5053" w:rsidRDefault="00FA18EA" w:rsidP="00FA18EA">
            <w:pPr>
              <w:outlineLvl w:val="0"/>
              <w:rPr>
                <w:rFonts w:eastAsia="Times New Roman" w:cstheme="minorHAnsi"/>
                <w:sz w:val="18"/>
                <w:szCs w:val="18"/>
                <w:lang w:eastAsia="en-GB"/>
              </w:rPr>
            </w:pPr>
          </w:p>
        </w:tc>
        <w:tc>
          <w:tcPr>
            <w:tcW w:w="1396" w:type="dxa"/>
            <w:tcBorders>
              <w:top w:val="nil"/>
              <w:left w:val="nil"/>
              <w:bottom w:val="nil"/>
              <w:right w:val="nil"/>
            </w:tcBorders>
            <w:shd w:val="clear" w:color="auto" w:fill="auto"/>
            <w:noWrap/>
            <w:vAlign w:val="bottom"/>
          </w:tcPr>
          <w:p w14:paraId="7AEF79EC" w14:textId="77777777" w:rsidR="00FA18EA" w:rsidRPr="0091098D" w:rsidRDefault="00FA18EA" w:rsidP="00FA18EA">
            <w:pPr>
              <w:jc w:val="right"/>
              <w:outlineLvl w:val="0"/>
              <w:rPr>
                <w:rFonts w:eastAsia="Times New Roman" w:cstheme="minorHAnsi"/>
                <w:b/>
                <w:bCs/>
                <w:sz w:val="18"/>
                <w:szCs w:val="18"/>
                <w:lang w:eastAsia="en-GB"/>
              </w:rPr>
            </w:pPr>
          </w:p>
        </w:tc>
        <w:tc>
          <w:tcPr>
            <w:tcW w:w="1170" w:type="dxa"/>
            <w:tcBorders>
              <w:top w:val="nil"/>
              <w:left w:val="nil"/>
              <w:bottom w:val="nil"/>
              <w:right w:val="nil"/>
            </w:tcBorders>
            <w:shd w:val="clear" w:color="auto" w:fill="auto"/>
            <w:noWrap/>
            <w:vAlign w:val="bottom"/>
          </w:tcPr>
          <w:p w14:paraId="50254560" w14:textId="77777777" w:rsidR="00FA18EA" w:rsidRPr="0075195E" w:rsidRDefault="00FA18EA" w:rsidP="00FA18EA">
            <w:pPr>
              <w:jc w:val="right"/>
              <w:outlineLvl w:val="0"/>
              <w:rPr>
                <w:rFonts w:eastAsia="Times New Roman" w:cstheme="minorHAnsi"/>
                <w:sz w:val="18"/>
                <w:szCs w:val="18"/>
                <w:lang w:eastAsia="en-GB"/>
              </w:rPr>
            </w:pPr>
          </w:p>
        </w:tc>
        <w:tc>
          <w:tcPr>
            <w:tcW w:w="1396" w:type="dxa"/>
            <w:tcBorders>
              <w:top w:val="nil"/>
              <w:left w:val="nil"/>
              <w:bottom w:val="nil"/>
              <w:right w:val="nil"/>
            </w:tcBorders>
            <w:shd w:val="clear" w:color="auto" w:fill="auto"/>
            <w:noWrap/>
            <w:hideMark/>
          </w:tcPr>
          <w:p w14:paraId="40E34A6B" w14:textId="77777777" w:rsidR="00FA18EA" w:rsidRPr="00536A35" w:rsidRDefault="00FA18EA" w:rsidP="00FA18EA">
            <w:pPr>
              <w:jc w:val="right"/>
              <w:outlineLvl w:val="0"/>
              <w:rPr>
                <w:rFonts w:eastAsia="Times New Roman" w:cstheme="minorHAnsi"/>
                <w:b/>
                <w:bCs/>
                <w:sz w:val="18"/>
                <w:szCs w:val="18"/>
                <w:lang w:eastAsia="en-GB"/>
              </w:rPr>
            </w:pPr>
            <w:r w:rsidRPr="00536A35">
              <w:rPr>
                <w:rFonts w:eastAsia="Times New Roman" w:cstheme="minorHAnsi"/>
                <w:b/>
                <w:bCs/>
                <w:sz w:val="18"/>
                <w:szCs w:val="18"/>
                <w:lang w:eastAsia="en-GB"/>
              </w:rPr>
              <w:t>-</w:t>
            </w:r>
          </w:p>
        </w:tc>
        <w:tc>
          <w:tcPr>
            <w:tcW w:w="1396" w:type="dxa"/>
            <w:tcBorders>
              <w:top w:val="nil"/>
              <w:left w:val="nil"/>
              <w:bottom w:val="nil"/>
              <w:right w:val="nil"/>
            </w:tcBorders>
            <w:shd w:val="clear" w:color="auto" w:fill="auto"/>
            <w:noWrap/>
            <w:hideMark/>
          </w:tcPr>
          <w:p w14:paraId="6AAABCD7" w14:textId="77777777" w:rsidR="00FA18EA" w:rsidRPr="00A02B31" w:rsidRDefault="00FA18EA" w:rsidP="00FA18EA">
            <w:pPr>
              <w:jc w:val="right"/>
              <w:outlineLvl w:val="0"/>
              <w:rPr>
                <w:rFonts w:eastAsia="Times New Roman" w:cstheme="minorHAnsi"/>
                <w:sz w:val="18"/>
                <w:szCs w:val="18"/>
                <w:lang w:eastAsia="en-GB"/>
              </w:rPr>
            </w:pPr>
            <w:r w:rsidRPr="00A02B31">
              <w:rPr>
                <w:rFonts w:eastAsia="Times New Roman" w:cstheme="minorHAnsi"/>
                <w:bCs/>
                <w:sz w:val="18"/>
                <w:szCs w:val="18"/>
                <w:lang w:eastAsia="en-GB"/>
              </w:rPr>
              <w:t>5</w:t>
            </w:r>
          </w:p>
        </w:tc>
      </w:tr>
      <w:tr w:rsidR="00FA18EA" w:rsidRPr="007600A7" w14:paraId="155F4DCE" w14:textId="77777777" w:rsidTr="00FA18EA">
        <w:trPr>
          <w:trHeight w:val="255"/>
        </w:trPr>
        <w:tc>
          <w:tcPr>
            <w:tcW w:w="5668" w:type="dxa"/>
            <w:gridSpan w:val="3"/>
            <w:tcBorders>
              <w:top w:val="nil"/>
              <w:left w:val="nil"/>
              <w:bottom w:val="nil"/>
              <w:right w:val="nil"/>
            </w:tcBorders>
            <w:shd w:val="clear" w:color="auto" w:fill="auto"/>
            <w:noWrap/>
            <w:vAlign w:val="bottom"/>
          </w:tcPr>
          <w:p w14:paraId="400BEF41" w14:textId="77777777" w:rsidR="00FA18EA" w:rsidRPr="008B2DDA" w:rsidRDefault="00FA18EA" w:rsidP="00FA18EA">
            <w:pPr>
              <w:jc w:val="both"/>
              <w:outlineLvl w:val="0"/>
              <w:rPr>
                <w:rFonts w:eastAsia="Times New Roman" w:cstheme="minorHAnsi"/>
                <w:b/>
                <w:bCs/>
                <w:sz w:val="18"/>
                <w:szCs w:val="18"/>
                <w:lang w:eastAsia="en-GB"/>
              </w:rPr>
            </w:pPr>
            <w:r w:rsidRPr="008B2DDA">
              <w:rPr>
                <w:rFonts w:eastAsia="Times New Roman" w:cstheme="minorHAnsi"/>
                <w:sz w:val="18"/>
                <w:szCs w:val="18"/>
                <w:lang w:eastAsia="en-GB"/>
              </w:rPr>
              <w:t>Unclaimed historic special dividends and capital payments</w:t>
            </w:r>
          </w:p>
        </w:tc>
        <w:tc>
          <w:tcPr>
            <w:tcW w:w="1170" w:type="dxa"/>
            <w:tcBorders>
              <w:top w:val="nil"/>
              <w:left w:val="nil"/>
              <w:bottom w:val="nil"/>
              <w:right w:val="nil"/>
            </w:tcBorders>
            <w:shd w:val="clear" w:color="auto" w:fill="auto"/>
            <w:noWrap/>
            <w:vAlign w:val="bottom"/>
          </w:tcPr>
          <w:p w14:paraId="24E65DDE" w14:textId="77777777" w:rsidR="00FA18EA" w:rsidRPr="000C5053" w:rsidRDefault="00FA18EA" w:rsidP="00FA18EA">
            <w:pPr>
              <w:jc w:val="right"/>
              <w:outlineLvl w:val="0"/>
              <w:rPr>
                <w:rFonts w:eastAsia="Times New Roman" w:cstheme="minorHAnsi"/>
                <w:sz w:val="18"/>
                <w:szCs w:val="18"/>
                <w:lang w:eastAsia="en-GB"/>
              </w:rPr>
            </w:pPr>
          </w:p>
        </w:tc>
        <w:tc>
          <w:tcPr>
            <w:tcW w:w="1396" w:type="dxa"/>
            <w:tcBorders>
              <w:top w:val="nil"/>
              <w:left w:val="nil"/>
              <w:bottom w:val="nil"/>
              <w:right w:val="nil"/>
            </w:tcBorders>
            <w:shd w:val="clear" w:color="auto" w:fill="auto"/>
            <w:noWrap/>
          </w:tcPr>
          <w:p w14:paraId="34ABCB8A" w14:textId="77777777" w:rsidR="00FA18EA" w:rsidRPr="0091098D" w:rsidRDefault="00FA18EA" w:rsidP="00FA18EA">
            <w:pPr>
              <w:jc w:val="right"/>
              <w:outlineLvl w:val="0"/>
              <w:rPr>
                <w:rFonts w:eastAsia="Times New Roman" w:cstheme="minorHAnsi"/>
                <w:b/>
                <w:bCs/>
                <w:sz w:val="18"/>
                <w:szCs w:val="18"/>
                <w:lang w:eastAsia="en-GB"/>
              </w:rPr>
            </w:pPr>
            <w:r w:rsidRPr="0091098D">
              <w:rPr>
                <w:rFonts w:eastAsia="Times New Roman" w:cstheme="minorHAnsi"/>
                <w:b/>
                <w:bCs/>
                <w:sz w:val="18"/>
                <w:szCs w:val="18"/>
                <w:lang w:eastAsia="en-GB"/>
              </w:rPr>
              <w:t>356</w:t>
            </w:r>
          </w:p>
        </w:tc>
        <w:tc>
          <w:tcPr>
            <w:tcW w:w="1396" w:type="dxa"/>
            <w:tcBorders>
              <w:top w:val="nil"/>
              <w:left w:val="nil"/>
              <w:bottom w:val="nil"/>
              <w:right w:val="nil"/>
            </w:tcBorders>
            <w:shd w:val="clear" w:color="auto" w:fill="auto"/>
            <w:noWrap/>
          </w:tcPr>
          <w:p w14:paraId="3DAC4852" w14:textId="77777777" w:rsidR="00FA18EA" w:rsidRPr="0075195E" w:rsidRDefault="00FA18EA" w:rsidP="00FA18EA">
            <w:pPr>
              <w:jc w:val="right"/>
              <w:outlineLvl w:val="0"/>
              <w:rPr>
                <w:rFonts w:eastAsia="Times New Roman" w:cstheme="minorHAnsi"/>
                <w:bCs/>
                <w:sz w:val="18"/>
                <w:szCs w:val="18"/>
                <w:lang w:eastAsia="en-GB"/>
              </w:rPr>
            </w:pPr>
            <w:r w:rsidRPr="0075195E">
              <w:rPr>
                <w:rFonts w:eastAsia="Times New Roman" w:cstheme="minorHAnsi"/>
                <w:bCs/>
                <w:sz w:val="18"/>
                <w:szCs w:val="18"/>
                <w:lang w:eastAsia="en-GB"/>
              </w:rPr>
              <w:t>420</w:t>
            </w:r>
          </w:p>
        </w:tc>
      </w:tr>
      <w:tr w:rsidR="00FA18EA" w:rsidRPr="007600A7" w14:paraId="1D5EA763" w14:textId="77777777" w:rsidTr="00FA18EA">
        <w:trPr>
          <w:trHeight w:val="255"/>
        </w:trPr>
        <w:tc>
          <w:tcPr>
            <w:tcW w:w="3336" w:type="dxa"/>
            <w:tcBorders>
              <w:top w:val="nil"/>
              <w:left w:val="nil"/>
              <w:bottom w:val="nil"/>
              <w:right w:val="nil"/>
            </w:tcBorders>
            <w:shd w:val="clear" w:color="auto" w:fill="auto"/>
            <w:noWrap/>
            <w:vAlign w:val="bottom"/>
            <w:hideMark/>
          </w:tcPr>
          <w:p w14:paraId="04388D6A" w14:textId="77777777" w:rsidR="00FA18EA" w:rsidRPr="008B2DDA" w:rsidRDefault="00FA18EA" w:rsidP="00FA18EA">
            <w:pPr>
              <w:jc w:val="both"/>
              <w:outlineLvl w:val="0"/>
              <w:rPr>
                <w:rFonts w:eastAsia="Times New Roman" w:cstheme="minorHAnsi"/>
                <w:sz w:val="18"/>
                <w:szCs w:val="18"/>
                <w:lang w:eastAsia="en-GB"/>
              </w:rPr>
            </w:pPr>
            <w:r w:rsidRPr="008B2DDA">
              <w:rPr>
                <w:rFonts w:eastAsia="Times New Roman" w:cstheme="minorHAnsi"/>
                <w:sz w:val="18"/>
                <w:szCs w:val="18"/>
                <w:lang w:eastAsia="en-GB"/>
              </w:rPr>
              <w:t>Trade creditors</w:t>
            </w:r>
          </w:p>
        </w:tc>
        <w:tc>
          <w:tcPr>
            <w:tcW w:w="936" w:type="dxa"/>
            <w:tcBorders>
              <w:top w:val="nil"/>
              <w:left w:val="nil"/>
              <w:bottom w:val="nil"/>
              <w:right w:val="nil"/>
            </w:tcBorders>
            <w:shd w:val="clear" w:color="auto" w:fill="auto"/>
            <w:noWrap/>
            <w:vAlign w:val="bottom"/>
            <w:hideMark/>
          </w:tcPr>
          <w:p w14:paraId="0895CA1E" w14:textId="77777777" w:rsidR="00FA18EA" w:rsidRPr="000C5053" w:rsidRDefault="00FA18EA" w:rsidP="00FA18EA">
            <w:pPr>
              <w:outlineLvl w:val="0"/>
              <w:rPr>
                <w:rFonts w:eastAsia="Times New Roman" w:cstheme="minorHAnsi"/>
                <w:sz w:val="18"/>
                <w:szCs w:val="18"/>
                <w:lang w:eastAsia="en-GB"/>
              </w:rPr>
            </w:pPr>
          </w:p>
        </w:tc>
        <w:tc>
          <w:tcPr>
            <w:tcW w:w="1396" w:type="dxa"/>
            <w:tcBorders>
              <w:top w:val="nil"/>
              <w:left w:val="nil"/>
              <w:bottom w:val="nil"/>
              <w:right w:val="nil"/>
            </w:tcBorders>
            <w:shd w:val="clear" w:color="auto" w:fill="auto"/>
            <w:noWrap/>
            <w:vAlign w:val="bottom"/>
          </w:tcPr>
          <w:p w14:paraId="7577939F" w14:textId="77777777" w:rsidR="00FA18EA" w:rsidRPr="0091098D" w:rsidRDefault="00FA18EA" w:rsidP="00FA18EA">
            <w:pPr>
              <w:jc w:val="right"/>
              <w:outlineLvl w:val="0"/>
              <w:rPr>
                <w:rFonts w:eastAsia="Times New Roman" w:cstheme="minorHAnsi"/>
                <w:b/>
                <w:bCs/>
                <w:sz w:val="18"/>
                <w:szCs w:val="18"/>
                <w:lang w:eastAsia="en-GB"/>
              </w:rPr>
            </w:pPr>
          </w:p>
        </w:tc>
        <w:tc>
          <w:tcPr>
            <w:tcW w:w="1170" w:type="dxa"/>
            <w:tcBorders>
              <w:top w:val="nil"/>
              <w:left w:val="nil"/>
              <w:bottom w:val="nil"/>
              <w:right w:val="nil"/>
            </w:tcBorders>
            <w:shd w:val="clear" w:color="auto" w:fill="auto"/>
            <w:noWrap/>
            <w:vAlign w:val="bottom"/>
          </w:tcPr>
          <w:p w14:paraId="076739D8" w14:textId="77777777" w:rsidR="00FA18EA" w:rsidRPr="0075195E" w:rsidRDefault="00FA18EA" w:rsidP="00FA18EA">
            <w:pPr>
              <w:jc w:val="right"/>
              <w:outlineLvl w:val="0"/>
              <w:rPr>
                <w:rFonts w:eastAsia="Times New Roman" w:cstheme="minorHAnsi"/>
                <w:sz w:val="18"/>
                <w:szCs w:val="18"/>
                <w:lang w:eastAsia="en-GB"/>
              </w:rPr>
            </w:pPr>
          </w:p>
        </w:tc>
        <w:tc>
          <w:tcPr>
            <w:tcW w:w="1396" w:type="dxa"/>
            <w:tcBorders>
              <w:top w:val="nil"/>
              <w:left w:val="nil"/>
              <w:bottom w:val="nil"/>
              <w:right w:val="nil"/>
            </w:tcBorders>
            <w:shd w:val="clear" w:color="auto" w:fill="auto"/>
            <w:noWrap/>
            <w:hideMark/>
          </w:tcPr>
          <w:p w14:paraId="1E22C958" w14:textId="77777777" w:rsidR="00FA18EA" w:rsidRPr="00536A35" w:rsidRDefault="00FA18EA" w:rsidP="00FA18EA">
            <w:pPr>
              <w:jc w:val="right"/>
              <w:outlineLvl w:val="0"/>
              <w:rPr>
                <w:rFonts w:eastAsia="Times New Roman" w:cstheme="minorHAnsi"/>
                <w:b/>
                <w:bCs/>
                <w:sz w:val="18"/>
                <w:szCs w:val="18"/>
                <w:lang w:eastAsia="en-GB"/>
              </w:rPr>
            </w:pPr>
            <w:r w:rsidRPr="00536A35">
              <w:rPr>
                <w:rFonts w:eastAsia="Times New Roman" w:cstheme="minorHAnsi"/>
                <w:b/>
                <w:bCs/>
                <w:sz w:val="18"/>
                <w:szCs w:val="18"/>
                <w:lang w:eastAsia="en-GB"/>
              </w:rPr>
              <w:t>64</w:t>
            </w:r>
          </w:p>
        </w:tc>
        <w:tc>
          <w:tcPr>
            <w:tcW w:w="1396" w:type="dxa"/>
            <w:tcBorders>
              <w:top w:val="nil"/>
              <w:left w:val="nil"/>
              <w:bottom w:val="nil"/>
              <w:right w:val="nil"/>
            </w:tcBorders>
            <w:shd w:val="clear" w:color="auto" w:fill="auto"/>
            <w:noWrap/>
            <w:hideMark/>
          </w:tcPr>
          <w:p w14:paraId="3792FF73" w14:textId="77777777" w:rsidR="00FA18EA" w:rsidRPr="00A02B31" w:rsidRDefault="00FA18EA" w:rsidP="00FA18EA">
            <w:pPr>
              <w:jc w:val="right"/>
              <w:outlineLvl w:val="0"/>
              <w:rPr>
                <w:rFonts w:eastAsia="Times New Roman" w:cstheme="minorHAnsi"/>
                <w:sz w:val="18"/>
                <w:szCs w:val="18"/>
                <w:lang w:eastAsia="en-GB"/>
              </w:rPr>
            </w:pPr>
            <w:r w:rsidRPr="00A02B31">
              <w:rPr>
                <w:rFonts w:eastAsia="Times New Roman" w:cstheme="minorHAnsi"/>
                <w:bCs/>
                <w:sz w:val="18"/>
                <w:szCs w:val="18"/>
                <w:lang w:eastAsia="en-GB"/>
              </w:rPr>
              <w:t>112</w:t>
            </w:r>
          </w:p>
        </w:tc>
      </w:tr>
      <w:tr w:rsidR="00FA18EA" w:rsidRPr="007600A7" w14:paraId="2A98B80E" w14:textId="77777777" w:rsidTr="00FA18EA">
        <w:trPr>
          <w:trHeight w:val="255"/>
        </w:trPr>
        <w:tc>
          <w:tcPr>
            <w:tcW w:w="3336" w:type="dxa"/>
            <w:tcBorders>
              <w:top w:val="nil"/>
              <w:left w:val="nil"/>
              <w:bottom w:val="nil"/>
              <w:right w:val="nil"/>
            </w:tcBorders>
            <w:shd w:val="clear" w:color="auto" w:fill="auto"/>
            <w:noWrap/>
            <w:vAlign w:val="bottom"/>
            <w:hideMark/>
          </w:tcPr>
          <w:p w14:paraId="534834D0" w14:textId="77777777" w:rsidR="00FA18EA" w:rsidRPr="008B2DDA" w:rsidRDefault="00FA18EA" w:rsidP="00FA18EA">
            <w:pPr>
              <w:jc w:val="both"/>
              <w:outlineLvl w:val="0"/>
              <w:rPr>
                <w:rFonts w:eastAsia="Times New Roman" w:cstheme="minorHAnsi"/>
                <w:sz w:val="18"/>
                <w:szCs w:val="18"/>
                <w:lang w:eastAsia="en-GB"/>
              </w:rPr>
            </w:pPr>
            <w:r w:rsidRPr="008B2DDA">
              <w:rPr>
                <w:rFonts w:eastAsia="Times New Roman" w:cstheme="minorHAnsi"/>
                <w:sz w:val="18"/>
                <w:szCs w:val="18"/>
                <w:lang w:eastAsia="en-GB"/>
              </w:rPr>
              <w:t>Accrued expenses</w:t>
            </w:r>
          </w:p>
        </w:tc>
        <w:tc>
          <w:tcPr>
            <w:tcW w:w="936" w:type="dxa"/>
            <w:tcBorders>
              <w:top w:val="nil"/>
              <w:left w:val="nil"/>
              <w:bottom w:val="nil"/>
              <w:right w:val="nil"/>
            </w:tcBorders>
            <w:shd w:val="clear" w:color="auto" w:fill="auto"/>
            <w:noWrap/>
            <w:vAlign w:val="bottom"/>
            <w:hideMark/>
          </w:tcPr>
          <w:p w14:paraId="141F0414" w14:textId="77777777" w:rsidR="00FA18EA" w:rsidRPr="000C5053" w:rsidRDefault="00FA18EA" w:rsidP="00FA18EA">
            <w:pPr>
              <w:outlineLvl w:val="0"/>
              <w:rPr>
                <w:rFonts w:eastAsia="Times New Roman" w:cstheme="minorHAnsi"/>
                <w:sz w:val="18"/>
                <w:szCs w:val="18"/>
                <w:lang w:eastAsia="en-GB"/>
              </w:rPr>
            </w:pPr>
          </w:p>
        </w:tc>
        <w:tc>
          <w:tcPr>
            <w:tcW w:w="1396" w:type="dxa"/>
            <w:tcBorders>
              <w:top w:val="nil"/>
              <w:left w:val="nil"/>
              <w:bottom w:val="nil"/>
              <w:right w:val="nil"/>
            </w:tcBorders>
            <w:shd w:val="clear" w:color="auto" w:fill="auto"/>
            <w:noWrap/>
            <w:vAlign w:val="bottom"/>
          </w:tcPr>
          <w:p w14:paraId="04EC380E" w14:textId="77777777" w:rsidR="00FA18EA" w:rsidRPr="0091098D" w:rsidRDefault="00FA18EA" w:rsidP="00FA18EA">
            <w:pPr>
              <w:jc w:val="right"/>
              <w:outlineLvl w:val="0"/>
              <w:rPr>
                <w:rFonts w:eastAsia="Times New Roman" w:cstheme="minorHAnsi"/>
                <w:b/>
                <w:bCs/>
                <w:sz w:val="18"/>
                <w:szCs w:val="18"/>
                <w:lang w:eastAsia="en-GB"/>
              </w:rPr>
            </w:pPr>
          </w:p>
        </w:tc>
        <w:tc>
          <w:tcPr>
            <w:tcW w:w="1170" w:type="dxa"/>
            <w:tcBorders>
              <w:top w:val="nil"/>
              <w:left w:val="nil"/>
              <w:bottom w:val="nil"/>
              <w:right w:val="nil"/>
            </w:tcBorders>
            <w:shd w:val="clear" w:color="auto" w:fill="auto"/>
            <w:noWrap/>
            <w:vAlign w:val="bottom"/>
          </w:tcPr>
          <w:p w14:paraId="752F1AD1" w14:textId="77777777" w:rsidR="00FA18EA" w:rsidRPr="0075195E" w:rsidRDefault="00FA18EA" w:rsidP="00FA18EA">
            <w:pPr>
              <w:jc w:val="right"/>
              <w:outlineLvl w:val="0"/>
              <w:rPr>
                <w:rFonts w:eastAsia="Times New Roman" w:cstheme="minorHAnsi"/>
                <w:sz w:val="18"/>
                <w:szCs w:val="18"/>
                <w:lang w:eastAsia="en-GB"/>
              </w:rPr>
            </w:pPr>
          </w:p>
        </w:tc>
        <w:tc>
          <w:tcPr>
            <w:tcW w:w="1396" w:type="dxa"/>
            <w:tcBorders>
              <w:top w:val="nil"/>
              <w:left w:val="nil"/>
              <w:bottom w:val="nil"/>
              <w:right w:val="nil"/>
            </w:tcBorders>
            <w:shd w:val="clear" w:color="auto" w:fill="auto"/>
            <w:noWrap/>
            <w:hideMark/>
          </w:tcPr>
          <w:p w14:paraId="2B24CACC" w14:textId="77777777" w:rsidR="00FA18EA" w:rsidRPr="00536A35" w:rsidRDefault="00FA18EA" w:rsidP="00FA18EA">
            <w:pPr>
              <w:jc w:val="right"/>
              <w:outlineLvl w:val="0"/>
              <w:rPr>
                <w:rFonts w:eastAsia="Times New Roman" w:cstheme="minorHAnsi"/>
                <w:b/>
                <w:bCs/>
                <w:sz w:val="18"/>
                <w:szCs w:val="18"/>
                <w:lang w:eastAsia="en-GB"/>
              </w:rPr>
            </w:pPr>
            <w:r w:rsidRPr="00536A35">
              <w:rPr>
                <w:rFonts w:eastAsia="Times New Roman" w:cstheme="minorHAnsi"/>
                <w:b/>
                <w:bCs/>
                <w:sz w:val="18"/>
                <w:szCs w:val="18"/>
                <w:lang w:eastAsia="en-GB"/>
              </w:rPr>
              <w:t>122</w:t>
            </w:r>
          </w:p>
        </w:tc>
        <w:tc>
          <w:tcPr>
            <w:tcW w:w="1396" w:type="dxa"/>
            <w:tcBorders>
              <w:top w:val="nil"/>
              <w:left w:val="nil"/>
              <w:bottom w:val="nil"/>
              <w:right w:val="nil"/>
            </w:tcBorders>
            <w:shd w:val="clear" w:color="auto" w:fill="auto"/>
            <w:noWrap/>
            <w:hideMark/>
          </w:tcPr>
          <w:p w14:paraId="3D84CC27" w14:textId="77777777" w:rsidR="00FA18EA" w:rsidRPr="00A02B31" w:rsidRDefault="00FA18EA" w:rsidP="00FA18EA">
            <w:pPr>
              <w:jc w:val="right"/>
              <w:outlineLvl w:val="0"/>
              <w:rPr>
                <w:rFonts w:eastAsia="Times New Roman" w:cstheme="minorHAnsi"/>
                <w:sz w:val="18"/>
                <w:szCs w:val="18"/>
                <w:lang w:eastAsia="en-GB"/>
              </w:rPr>
            </w:pPr>
            <w:r w:rsidRPr="00A02B31">
              <w:rPr>
                <w:rFonts w:eastAsia="Times New Roman" w:cstheme="minorHAnsi"/>
                <w:bCs/>
                <w:sz w:val="18"/>
                <w:szCs w:val="18"/>
                <w:lang w:eastAsia="en-GB"/>
              </w:rPr>
              <w:t>98</w:t>
            </w:r>
          </w:p>
        </w:tc>
      </w:tr>
      <w:tr w:rsidR="00FA18EA" w:rsidRPr="007600A7" w14:paraId="6A1AC719" w14:textId="77777777" w:rsidTr="00FA18EA">
        <w:trPr>
          <w:trHeight w:val="255"/>
        </w:trPr>
        <w:tc>
          <w:tcPr>
            <w:tcW w:w="3336" w:type="dxa"/>
            <w:tcBorders>
              <w:top w:val="nil"/>
              <w:left w:val="nil"/>
              <w:bottom w:val="nil"/>
              <w:right w:val="nil"/>
            </w:tcBorders>
            <w:shd w:val="clear" w:color="auto" w:fill="auto"/>
            <w:noWrap/>
            <w:vAlign w:val="bottom"/>
          </w:tcPr>
          <w:p w14:paraId="3FD9BA4B" w14:textId="77777777" w:rsidR="00FA18EA" w:rsidRPr="008B2DDA" w:rsidRDefault="00FA18EA" w:rsidP="00FA18EA">
            <w:pPr>
              <w:jc w:val="both"/>
              <w:outlineLvl w:val="0"/>
              <w:rPr>
                <w:rFonts w:eastAsia="Times New Roman" w:cstheme="minorHAnsi"/>
                <w:sz w:val="18"/>
                <w:szCs w:val="18"/>
                <w:lang w:eastAsia="en-GB"/>
              </w:rPr>
            </w:pPr>
            <w:r w:rsidRPr="008B2DDA">
              <w:rPr>
                <w:rFonts w:eastAsia="Times New Roman" w:cstheme="minorHAnsi"/>
                <w:sz w:val="18"/>
                <w:szCs w:val="18"/>
                <w:lang w:eastAsia="en-GB"/>
              </w:rPr>
              <w:t xml:space="preserve">Social security </w:t>
            </w:r>
          </w:p>
        </w:tc>
        <w:tc>
          <w:tcPr>
            <w:tcW w:w="936" w:type="dxa"/>
            <w:tcBorders>
              <w:top w:val="nil"/>
              <w:left w:val="nil"/>
              <w:bottom w:val="nil"/>
              <w:right w:val="nil"/>
            </w:tcBorders>
            <w:shd w:val="clear" w:color="auto" w:fill="auto"/>
            <w:noWrap/>
            <w:vAlign w:val="bottom"/>
          </w:tcPr>
          <w:p w14:paraId="1ECC947B" w14:textId="77777777" w:rsidR="00FA18EA" w:rsidRPr="000C5053" w:rsidRDefault="00FA18EA" w:rsidP="00FA18EA">
            <w:pPr>
              <w:outlineLvl w:val="0"/>
              <w:rPr>
                <w:rFonts w:eastAsia="Times New Roman" w:cstheme="minorHAnsi"/>
                <w:sz w:val="18"/>
                <w:szCs w:val="18"/>
                <w:lang w:eastAsia="en-GB"/>
              </w:rPr>
            </w:pPr>
          </w:p>
        </w:tc>
        <w:tc>
          <w:tcPr>
            <w:tcW w:w="1396" w:type="dxa"/>
            <w:tcBorders>
              <w:top w:val="nil"/>
              <w:left w:val="nil"/>
              <w:bottom w:val="nil"/>
              <w:right w:val="nil"/>
            </w:tcBorders>
            <w:shd w:val="clear" w:color="auto" w:fill="auto"/>
            <w:noWrap/>
            <w:vAlign w:val="bottom"/>
          </w:tcPr>
          <w:p w14:paraId="2969063B" w14:textId="77777777" w:rsidR="00FA18EA" w:rsidRPr="0091098D" w:rsidRDefault="00FA18EA" w:rsidP="00FA18EA">
            <w:pPr>
              <w:jc w:val="right"/>
              <w:outlineLvl w:val="0"/>
              <w:rPr>
                <w:rFonts w:eastAsia="Times New Roman" w:cstheme="minorHAnsi"/>
                <w:b/>
                <w:bCs/>
                <w:sz w:val="18"/>
                <w:szCs w:val="18"/>
                <w:lang w:eastAsia="en-GB"/>
              </w:rPr>
            </w:pPr>
          </w:p>
        </w:tc>
        <w:tc>
          <w:tcPr>
            <w:tcW w:w="1170" w:type="dxa"/>
            <w:tcBorders>
              <w:top w:val="nil"/>
              <w:left w:val="nil"/>
              <w:bottom w:val="nil"/>
              <w:right w:val="nil"/>
            </w:tcBorders>
            <w:shd w:val="clear" w:color="auto" w:fill="auto"/>
            <w:noWrap/>
            <w:vAlign w:val="bottom"/>
          </w:tcPr>
          <w:p w14:paraId="3D20CD37" w14:textId="77777777" w:rsidR="00FA18EA" w:rsidRPr="0075195E" w:rsidRDefault="00FA18EA" w:rsidP="00FA18EA">
            <w:pPr>
              <w:jc w:val="right"/>
              <w:outlineLvl w:val="0"/>
              <w:rPr>
                <w:rFonts w:eastAsia="Times New Roman" w:cstheme="minorHAnsi"/>
                <w:sz w:val="18"/>
                <w:szCs w:val="18"/>
                <w:lang w:eastAsia="en-GB"/>
              </w:rPr>
            </w:pPr>
          </w:p>
        </w:tc>
        <w:tc>
          <w:tcPr>
            <w:tcW w:w="1396" w:type="dxa"/>
            <w:tcBorders>
              <w:top w:val="nil"/>
              <w:left w:val="nil"/>
              <w:bottom w:val="nil"/>
              <w:right w:val="nil"/>
            </w:tcBorders>
            <w:shd w:val="clear" w:color="auto" w:fill="auto"/>
            <w:noWrap/>
          </w:tcPr>
          <w:p w14:paraId="2E6D9145" w14:textId="77777777" w:rsidR="00FA18EA" w:rsidRPr="00536A35" w:rsidRDefault="00FA18EA" w:rsidP="00FA18EA">
            <w:pPr>
              <w:jc w:val="right"/>
              <w:outlineLvl w:val="0"/>
              <w:rPr>
                <w:rFonts w:eastAsia="Times New Roman" w:cstheme="minorHAnsi"/>
                <w:b/>
                <w:bCs/>
                <w:sz w:val="18"/>
                <w:szCs w:val="18"/>
                <w:lang w:eastAsia="en-GB"/>
              </w:rPr>
            </w:pPr>
            <w:r w:rsidRPr="00536A35">
              <w:rPr>
                <w:rFonts w:eastAsia="Times New Roman" w:cstheme="minorHAnsi"/>
                <w:b/>
                <w:bCs/>
                <w:sz w:val="18"/>
                <w:szCs w:val="18"/>
                <w:lang w:eastAsia="en-GB"/>
              </w:rPr>
              <w:t>5</w:t>
            </w:r>
          </w:p>
        </w:tc>
        <w:tc>
          <w:tcPr>
            <w:tcW w:w="1396" w:type="dxa"/>
            <w:tcBorders>
              <w:top w:val="nil"/>
              <w:left w:val="nil"/>
              <w:bottom w:val="nil"/>
              <w:right w:val="nil"/>
            </w:tcBorders>
            <w:shd w:val="clear" w:color="auto" w:fill="auto"/>
            <w:noWrap/>
          </w:tcPr>
          <w:p w14:paraId="3C6AD92F" w14:textId="77777777" w:rsidR="00FA18EA" w:rsidRPr="00A02B31" w:rsidRDefault="00FA18EA" w:rsidP="00FA18EA">
            <w:pPr>
              <w:jc w:val="right"/>
              <w:outlineLvl w:val="0"/>
              <w:rPr>
                <w:rFonts w:eastAsia="Times New Roman" w:cstheme="minorHAnsi"/>
                <w:sz w:val="18"/>
                <w:szCs w:val="18"/>
                <w:lang w:eastAsia="en-GB"/>
              </w:rPr>
            </w:pPr>
            <w:r w:rsidRPr="00A02B31">
              <w:rPr>
                <w:rFonts w:eastAsia="Times New Roman" w:cstheme="minorHAnsi"/>
                <w:bCs/>
                <w:sz w:val="18"/>
                <w:szCs w:val="18"/>
                <w:lang w:eastAsia="en-GB"/>
              </w:rPr>
              <w:t>6</w:t>
            </w:r>
          </w:p>
        </w:tc>
      </w:tr>
      <w:tr w:rsidR="00FA18EA" w:rsidRPr="007600A7" w14:paraId="57478611" w14:textId="77777777" w:rsidTr="00FA18EA">
        <w:trPr>
          <w:trHeight w:val="270"/>
        </w:trPr>
        <w:tc>
          <w:tcPr>
            <w:tcW w:w="3336" w:type="dxa"/>
            <w:tcBorders>
              <w:top w:val="single" w:sz="4" w:space="0" w:color="auto"/>
              <w:left w:val="nil"/>
              <w:bottom w:val="single" w:sz="8" w:space="0" w:color="auto"/>
              <w:right w:val="nil"/>
            </w:tcBorders>
            <w:shd w:val="clear" w:color="auto" w:fill="auto"/>
            <w:noWrap/>
            <w:vAlign w:val="bottom"/>
          </w:tcPr>
          <w:p w14:paraId="205500EC" w14:textId="77777777" w:rsidR="00FA18EA" w:rsidRPr="008B2DDA" w:rsidRDefault="00FA18EA" w:rsidP="00FA18EA">
            <w:pPr>
              <w:jc w:val="right"/>
              <w:outlineLvl w:val="0"/>
              <w:rPr>
                <w:rFonts w:eastAsia="Times New Roman" w:cstheme="minorHAnsi"/>
                <w:sz w:val="18"/>
                <w:szCs w:val="18"/>
                <w:lang w:eastAsia="en-GB"/>
              </w:rPr>
            </w:pPr>
            <w:r w:rsidRPr="008B2DDA">
              <w:rPr>
                <w:rFonts w:eastAsia="Times New Roman" w:cstheme="minorHAnsi"/>
                <w:sz w:val="18"/>
                <w:szCs w:val="18"/>
                <w:lang w:eastAsia="en-GB"/>
              </w:rPr>
              <w:t> </w:t>
            </w:r>
          </w:p>
        </w:tc>
        <w:tc>
          <w:tcPr>
            <w:tcW w:w="936" w:type="dxa"/>
            <w:tcBorders>
              <w:top w:val="single" w:sz="4" w:space="0" w:color="auto"/>
              <w:left w:val="nil"/>
              <w:bottom w:val="single" w:sz="8" w:space="0" w:color="auto"/>
              <w:right w:val="nil"/>
            </w:tcBorders>
            <w:shd w:val="clear" w:color="auto" w:fill="auto"/>
            <w:noWrap/>
            <w:vAlign w:val="bottom"/>
          </w:tcPr>
          <w:p w14:paraId="7811145B" w14:textId="77777777" w:rsidR="00FA18EA" w:rsidRPr="000C5053" w:rsidRDefault="00FA18EA" w:rsidP="00FA18EA">
            <w:pPr>
              <w:jc w:val="right"/>
              <w:outlineLvl w:val="0"/>
              <w:rPr>
                <w:rFonts w:eastAsia="Times New Roman" w:cstheme="minorHAnsi"/>
                <w:sz w:val="18"/>
                <w:szCs w:val="18"/>
                <w:lang w:eastAsia="en-GB"/>
              </w:rPr>
            </w:pPr>
          </w:p>
        </w:tc>
        <w:tc>
          <w:tcPr>
            <w:tcW w:w="1396" w:type="dxa"/>
            <w:tcBorders>
              <w:top w:val="single" w:sz="4" w:space="0" w:color="auto"/>
              <w:left w:val="nil"/>
              <w:bottom w:val="single" w:sz="8" w:space="0" w:color="auto"/>
              <w:right w:val="nil"/>
            </w:tcBorders>
            <w:shd w:val="clear" w:color="auto" w:fill="auto"/>
            <w:noWrap/>
            <w:vAlign w:val="bottom"/>
          </w:tcPr>
          <w:p w14:paraId="4246D0DC" w14:textId="77777777" w:rsidR="00FA18EA" w:rsidRPr="0091098D" w:rsidRDefault="00FA18EA" w:rsidP="00FA18EA">
            <w:pPr>
              <w:jc w:val="right"/>
              <w:outlineLvl w:val="0"/>
              <w:rPr>
                <w:rFonts w:eastAsia="Times New Roman" w:cstheme="minorHAnsi"/>
                <w:sz w:val="18"/>
                <w:szCs w:val="18"/>
                <w:lang w:eastAsia="en-GB"/>
              </w:rPr>
            </w:pPr>
          </w:p>
        </w:tc>
        <w:tc>
          <w:tcPr>
            <w:tcW w:w="1170" w:type="dxa"/>
            <w:tcBorders>
              <w:top w:val="single" w:sz="4" w:space="0" w:color="auto"/>
              <w:left w:val="nil"/>
              <w:bottom w:val="single" w:sz="8" w:space="0" w:color="auto"/>
              <w:right w:val="nil"/>
            </w:tcBorders>
            <w:shd w:val="clear" w:color="auto" w:fill="auto"/>
            <w:noWrap/>
            <w:vAlign w:val="bottom"/>
          </w:tcPr>
          <w:p w14:paraId="31C74DAE" w14:textId="77777777" w:rsidR="00FA18EA" w:rsidRPr="0075195E" w:rsidRDefault="00FA18EA" w:rsidP="00FA18EA">
            <w:pPr>
              <w:jc w:val="right"/>
              <w:outlineLvl w:val="0"/>
              <w:rPr>
                <w:rFonts w:eastAsia="Times New Roman" w:cstheme="minorHAnsi"/>
                <w:sz w:val="18"/>
                <w:szCs w:val="18"/>
                <w:lang w:eastAsia="en-GB"/>
              </w:rPr>
            </w:pPr>
          </w:p>
        </w:tc>
        <w:tc>
          <w:tcPr>
            <w:tcW w:w="1396" w:type="dxa"/>
            <w:tcBorders>
              <w:top w:val="single" w:sz="4" w:space="0" w:color="auto"/>
              <w:left w:val="nil"/>
              <w:bottom w:val="single" w:sz="8" w:space="0" w:color="auto"/>
              <w:right w:val="nil"/>
            </w:tcBorders>
            <w:shd w:val="clear" w:color="auto" w:fill="auto"/>
            <w:noWrap/>
            <w:vAlign w:val="bottom"/>
          </w:tcPr>
          <w:p w14:paraId="45FBEA2C" w14:textId="77777777" w:rsidR="00FA18EA" w:rsidRPr="00A02B31" w:rsidRDefault="00FA18EA" w:rsidP="00FA18EA">
            <w:pPr>
              <w:jc w:val="right"/>
              <w:outlineLvl w:val="0"/>
              <w:rPr>
                <w:rFonts w:eastAsia="Times New Roman" w:cstheme="minorHAnsi"/>
                <w:sz w:val="18"/>
                <w:szCs w:val="18"/>
                <w:lang w:eastAsia="en-GB"/>
              </w:rPr>
            </w:pPr>
            <w:r w:rsidRPr="00536A35">
              <w:rPr>
                <w:rFonts w:eastAsia="Times New Roman" w:cstheme="minorHAnsi"/>
                <w:b/>
                <w:bCs/>
                <w:sz w:val="18"/>
                <w:szCs w:val="18"/>
                <w:lang w:eastAsia="en-GB"/>
              </w:rPr>
              <w:t>547</w:t>
            </w:r>
          </w:p>
        </w:tc>
        <w:tc>
          <w:tcPr>
            <w:tcW w:w="1396" w:type="dxa"/>
            <w:tcBorders>
              <w:top w:val="single" w:sz="4" w:space="0" w:color="auto"/>
              <w:left w:val="nil"/>
              <w:bottom w:val="single" w:sz="8" w:space="0" w:color="auto"/>
              <w:right w:val="nil"/>
            </w:tcBorders>
            <w:shd w:val="clear" w:color="auto" w:fill="auto"/>
            <w:noWrap/>
            <w:vAlign w:val="bottom"/>
          </w:tcPr>
          <w:p w14:paraId="6C536B47" w14:textId="77777777" w:rsidR="00FA18EA" w:rsidRPr="00A02B31" w:rsidRDefault="00FA18EA" w:rsidP="00FA18EA">
            <w:pPr>
              <w:jc w:val="right"/>
              <w:outlineLvl w:val="0"/>
              <w:rPr>
                <w:rFonts w:eastAsia="Times New Roman" w:cstheme="minorHAnsi"/>
                <w:sz w:val="18"/>
                <w:szCs w:val="18"/>
                <w:lang w:eastAsia="en-GB"/>
              </w:rPr>
            </w:pPr>
            <w:r w:rsidRPr="00A02B31">
              <w:rPr>
                <w:rFonts w:eastAsia="Times New Roman" w:cstheme="minorHAnsi"/>
                <w:bCs/>
                <w:sz w:val="18"/>
                <w:szCs w:val="18"/>
                <w:lang w:eastAsia="en-GB"/>
              </w:rPr>
              <w:t>641</w:t>
            </w:r>
          </w:p>
        </w:tc>
      </w:tr>
    </w:tbl>
    <w:p w14:paraId="6DEF1D01" w14:textId="77777777" w:rsidR="00FA18EA" w:rsidRPr="008B2DDA" w:rsidRDefault="00FA18EA" w:rsidP="00FA18EA">
      <w:pPr>
        <w:autoSpaceDE w:val="0"/>
        <w:autoSpaceDN w:val="0"/>
        <w:adjustRightInd w:val="0"/>
        <w:jc w:val="both"/>
        <w:rPr>
          <w:rFonts w:cstheme="minorHAnsi"/>
          <w:color w:val="000000"/>
          <w:sz w:val="18"/>
          <w:szCs w:val="18"/>
        </w:rPr>
      </w:pPr>
    </w:p>
    <w:p w14:paraId="09389F9C" w14:textId="77777777" w:rsidR="00FA18EA" w:rsidRPr="0091098D" w:rsidRDefault="00FA18EA" w:rsidP="00FA18EA">
      <w:pPr>
        <w:autoSpaceDE w:val="0"/>
        <w:autoSpaceDN w:val="0"/>
        <w:adjustRightInd w:val="0"/>
        <w:jc w:val="both"/>
        <w:rPr>
          <w:rFonts w:cstheme="minorHAnsi"/>
          <w:color w:val="000000"/>
          <w:sz w:val="18"/>
        </w:rPr>
      </w:pPr>
      <w:r w:rsidRPr="000C5053">
        <w:rPr>
          <w:rFonts w:cstheme="minorHAnsi"/>
          <w:color w:val="000000"/>
          <w:sz w:val="18"/>
        </w:rPr>
        <w:t xml:space="preserve">There were no other creditors as at 31 March 2022. (2021: Other creditors of £5k were related to the acquisition of further equities in Van Elle Holdings Plc which was settled in April 2021). </w:t>
      </w:r>
    </w:p>
    <w:p w14:paraId="5C4FDB0B" w14:textId="77777777" w:rsidR="00FA18EA" w:rsidRPr="0075195E" w:rsidRDefault="00FA18EA" w:rsidP="00FA18EA">
      <w:pPr>
        <w:autoSpaceDE w:val="0"/>
        <w:autoSpaceDN w:val="0"/>
        <w:adjustRightInd w:val="0"/>
        <w:jc w:val="both"/>
        <w:rPr>
          <w:rFonts w:cstheme="minorHAnsi"/>
          <w:color w:val="000000"/>
          <w:sz w:val="18"/>
        </w:rPr>
      </w:pPr>
    </w:p>
    <w:p w14:paraId="7E9317C0" w14:textId="77777777" w:rsidR="00FA18EA" w:rsidRPr="00536A35" w:rsidRDefault="00FA18EA" w:rsidP="00FA18EA">
      <w:pPr>
        <w:autoSpaceDE w:val="0"/>
        <w:autoSpaceDN w:val="0"/>
        <w:adjustRightInd w:val="0"/>
        <w:rPr>
          <w:rFonts w:cstheme="minorHAnsi"/>
          <w:b/>
          <w:color w:val="000000"/>
        </w:rPr>
      </w:pPr>
    </w:p>
    <w:p w14:paraId="6C030A06" w14:textId="77777777" w:rsidR="00FA18EA" w:rsidRPr="00A02B31" w:rsidRDefault="00FA18EA" w:rsidP="00FA18EA">
      <w:pPr>
        <w:pageBreakBefore/>
        <w:autoSpaceDE w:val="0"/>
        <w:autoSpaceDN w:val="0"/>
        <w:adjustRightInd w:val="0"/>
        <w:rPr>
          <w:rFonts w:cstheme="minorHAnsi"/>
          <w:b/>
          <w:color w:val="000000"/>
        </w:rPr>
      </w:pPr>
      <w:r w:rsidRPr="00536A35">
        <w:rPr>
          <w:rFonts w:cstheme="minorHAnsi"/>
          <w:b/>
          <w:color w:val="000000"/>
          <w:sz w:val="28"/>
        </w:rPr>
        <w:lastRenderedPageBreak/>
        <w:t>Notes to the Financial Statements (continued)</w:t>
      </w:r>
    </w:p>
    <w:p w14:paraId="4BA469F6" w14:textId="77777777" w:rsidR="00FA18EA" w:rsidRPr="00A02B31" w:rsidRDefault="00FA18EA" w:rsidP="00FA18EA">
      <w:pPr>
        <w:autoSpaceDE w:val="0"/>
        <w:autoSpaceDN w:val="0"/>
        <w:adjustRightInd w:val="0"/>
        <w:rPr>
          <w:rFonts w:cstheme="minorHAnsi"/>
          <w:b/>
          <w:color w:val="000000"/>
        </w:rPr>
      </w:pPr>
    </w:p>
    <w:p w14:paraId="7D81DDDA" w14:textId="77777777" w:rsidR="00FA18EA" w:rsidRPr="00A02B31" w:rsidRDefault="00FA18EA" w:rsidP="00FA18EA">
      <w:pPr>
        <w:autoSpaceDE w:val="0"/>
        <w:autoSpaceDN w:val="0"/>
        <w:adjustRightInd w:val="0"/>
        <w:rPr>
          <w:rFonts w:cstheme="minorHAnsi"/>
          <w:b/>
          <w:color w:val="000000"/>
        </w:rPr>
      </w:pPr>
      <w:r w:rsidRPr="00A02B31">
        <w:rPr>
          <w:rFonts w:cstheme="minorHAnsi"/>
          <w:b/>
          <w:color w:val="000000"/>
        </w:rPr>
        <w:t>10 Trade and other payables (continued)</w:t>
      </w:r>
    </w:p>
    <w:p w14:paraId="7A28EC14" w14:textId="77777777" w:rsidR="00FA18EA" w:rsidRPr="00A02B31" w:rsidRDefault="00FA18EA" w:rsidP="00FA18EA">
      <w:pPr>
        <w:autoSpaceDE w:val="0"/>
        <w:autoSpaceDN w:val="0"/>
        <w:adjustRightInd w:val="0"/>
        <w:jc w:val="both"/>
        <w:rPr>
          <w:rFonts w:cstheme="minorHAnsi"/>
          <w:color w:val="000000"/>
          <w:sz w:val="18"/>
        </w:rPr>
      </w:pPr>
    </w:p>
    <w:p w14:paraId="0EF5AD16" w14:textId="77777777" w:rsidR="00FA18EA" w:rsidRPr="00A02B31" w:rsidRDefault="00FA18EA" w:rsidP="00FA18EA">
      <w:pPr>
        <w:autoSpaceDE w:val="0"/>
        <w:autoSpaceDN w:val="0"/>
        <w:adjustRightInd w:val="0"/>
        <w:jc w:val="both"/>
        <w:rPr>
          <w:rFonts w:cstheme="minorHAnsi"/>
          <w:color w:val="000000"/>
          <w:sz w:val="18"/>
        </w:rPr>
      </w:pPr>
      <w:r w:rsidRPr="00A02B31">
        <w:rPr>
          <w:rFonts w:cstheme="minorHAnsi"/>
          <w:color w:val="000000"/>
          <w:sz w:val="18"/>
        </w:rPr>
        <w:t xml:space="preserve">The unclaimed special dividends and capital payments amounting to £420k between the periods of 2009 to 2014 were returned to the company in 2021, out of which £64k was reclassified to revenue reserves during the year as its reclaim period has lapsed. The remaining will be used for the benefit of the company until claimed by the relevant person or forfeited (2021: </w:t>
      </w:r>
      <w:r w:rsidRPr="00A02B31">
        <w:rPr>
          <w:rFonts w:cstheme="minorHAnsi"/>
          <w:color w:val="000000"/>
          <w:sz w:val="18"/>
          <w:szCs w:val="18"/>
        </w:rPr>
        <w:t>£</w:t>
      </w:r>
      <w:r w:rsidRPr="00A02B31">
        <w:rPr>
          <w:rFonts w:cstheme="minorHAnsi"/>
          <w:color w:val="000000"/>
          <w:sz w:val="18"/>
        </w:rPr>
        <w:t>420k).</w:t>
      </w:r>
    </w:p>
    <w:p w14:paraId="01FDD52D" w14:textId="77777777" w:rsidR="00FA18EA" w:rsidRPr="00A02B31" w:rsidRDefault="00FA18EA" w:rsidP="00FA18EA">
      <w:pPr>
        <w:autoSpaceDE w:val="0"/>
        <w:autoSpaceDN w:val="0"/>
        <w:adjustRightInd w:val="0"/>
        <w:jc w:val="both"/>
        <w:rPr>
          <w:rFonts w:cstheme="minorHAnsi"/>
          <w:color w:val="000000"/>
          <w:sz w:val="18"/>
          <w:szCs w:val="18"/>
        </w:rPr>
      </w:pPr>
    </w:p>
    <w:p w14:paraId="01E7CAF6" w14:textId="77777777" w:rsidR="00FA18EA" w:rsidRPr="00A02B31" w:rsidRDefault="00FA18EA" w:rsidP="00FA18EA">
      <w:pPr>
        <w:autoSpaceDE w:val="0"/>
        <w:autoSpaceDN w:val="0"/>
        <w:adjustRightInd w:val="0"/>
        <w:rPr>
          <w:rFonts w:cstheme="minorHAnsi"/>
          <w:b/>
          <w:color w:val="000000"/>
        </w:rPr>
      </w:pPr>
      <w:r w:rsidRPr="00A02B31">
        <w:rPr>
          <w:rFonts w:cstheme="minorHAnsi"/>
          <w:b/>
          <w:color w:val="000000"/>
        </w:rPr>
        <w:t>11 Performance fees payable</w:t>
      </w:r>
    </w:p>
    <w:p w14:paraId="3461E7E8" w14:textId="77777777" w:rsidR="00FA18EA" w:rsidRPr="00A02B31" w:rsidRDefault="00FA18EA" w:rsidP="00FA18EA">
      <w:pPr>
        <w:autoSpaceDE w:val="0"/>
        <w:autoSpaceDN w:val="0"/>
        <w:adjustRightInd w:val="0"/>
        <w:rPr>
          <w:rFonts w:cstheme="minorHAnsi"/>
          <w:b/>
          <w:color w:val="000000"/>
        </w:rPr>
      </w:pPr>
    </w:p>
    <w:tbl>
      <w:tblPr>
        <w:tblW w:w="9710" w:type="dxa"/>
        <w:tblInd w:w="108" w:type="dxa"/>
        <w:tblLook w:val="04A0" w:firstRow="1" w:lastRow="0" w:firstColumn="1" w:lastColumn="0" w:noHBand="0" w:noVBand="1"/>
      </w:tblPr>
      <w:tblGrid>
        <w:gridCol w:w="6054"/>
        <w:gridCol w:w="784"/>
        <w:gridCol w:w="278"/>
        <w:gridCol w:w="1295"/>
        <w:gridCol w:w="1299"/>
      </w:tblGrid>
      <w:tr w:rsidR="00FA18EA" w:rsidRPr="007600A7" w14:paraId="63F9183E" w14:textId="77777777" w:rsidTr="00FA18EA">
        <w:trPr>
          <w:trHeight w:val="236"/>
        </w:trPr>
        <w:tc>
          <w:tcPr>
            <w:tcW w:w="6054" w:type="dxa"/>
            <w:tcBorders>
              <w:top w:val="single" w:sz="4" w:space="0" w:color="auto"/>
              <w:left w:val="nil"/>
              <w:bottom w:val="nil"/>
              <w:right w:val="nil"/>
            </w:tcBorders>
            <w:shd w:val="clear" w:color="auto" w:fill="auto"/>
            <w:noWrap/>
            <w:vAlign w:val="bottom"/>
            <w:hideMark/>
          </w:tcPr>
          <w:p w14:paraId="2B0A8406" w14:textId="77777777" w:rsidR="00FA18EA" w:rsidRPr="00A02B31" w:rsidRDefault="00FA18EA" w:rsidP="00FA18EA">
            <w:pPr>
              <w:outlineLvl w:val="0"/>
              <w:rPr>
                <w:rFonts w:eastAsia="Times New Roman" w:cstheme="minorHAnsi"/>
                <w:lang w:eastAsia="en-GB"/>
              </w:rPr>
            </w:pPr>
          </w:p>
        </w:tc>
        <w:tc>
          <w:tcPr>
            <w:tcW w:w="784" w:type="dxa"/>
            <w:tcBorders>
              <w:top w:val="single" w:sz="4" w:space="0" w:color="auto"/>
              <w:left w:val="nil"/>
              <w:bottom w:val="nil"/>
              <w:right w:val="nil"/>
            </w:tcBorders>
            <w:shd w:val="clear" w:color="auto" w:fill="auto"/>
            <w:noWrap/>
            <w:vAlign w:val="bottom"/>
          </w:tcPr>
          <w:p w14:paraId="4D7796B9" w14:textId="77777777" w:rsidR="00FA18EA" w:rsidRPr="00A02B31" w:rsidRDefault="00FA18EA" w:rsidP="00FA18EA">
            <w:pPr>
              <w:jc w:val="right"/>
              <w:outlineLvl w:val="0"/>
              <w:rPr>
                <w:rFonts w:eastAsia="Times New Roman" w:cstheme="minorHAnsi"/>
                <w:b/>
                <w:bCs/>
                <w:sz w:val="16"/>
                <w:szCs w:val="16"/>
                <w:lang w:eastAsia="en-GB"/>
              </w:rPr>
            </w:pPr>
          </w:p>
        </w:tc>
        <w:tc>
          <w:tcPr>
            <w:tcW w:w="278" w:type="dxa"/>
            <w:tcBorders>
              <w:top w:val="single" w:sz="4" w:space="0" w:color="auto"/>
              <w:left w:val="nil"/>
              <w:bottom w:val="nil"/>
              <w:right w:val="nil"/>
            </w:tcBorders>
            <w:shd w:val="clear" w:color="auto" w:fill="auto"/>
            <w:noWrap/>
            <w:vAlign w:val="bottom"/>
          </w:tcPr>
          <w:p w14:paraId="7FDE080D" w14:textId="77777777" w:rsidR="00FA18EA" w:rsidRPr="00A02B31" w:rsidRDefault="00FA18EA" w:rsidP="00FA18EA">
            <w:pPr>
              <w:jc w:val="right"/>
              <w:outlineLvl w:val="0"/>
              <w:rPr>
                <w:rFonts w:eastAsia="Times New Roman" w:cstheme="minorHAnsi"/>
                <w:sz w:val="16"/>
                <w:szCs w:val="16"/>
                <w:lang w:eastAsia="en-GB"/>
              </w:rPr>
            </w:pPr>
          </w:p>
        </w:tc>
        <w:tc>
          <w:tcPr>
            <w:tcW w:w="1295" w:type="dxa"/>
            <w:tcBorders>
              <w:top w:val="single" w:sz="4" w:space="0" w:color="auto"/>
              <w:left w:val="nil"/>
              <w:bottom w:val="nil"/>
              <w:right w:val="nil"/>
            </w:tcBorders>
            <w:shd w:val="clear" w:color="auto" w:fill="auto"/>
            <w:noWrap/>
            <w:vAlign w:val="bottom"/>
            <w:hideMark/>
          </w:tcPr>
          <w:p w14:paraId="03E7DA8E" w14:textId="77777777" w:rsidR="00FA18EA" w:rsidRPr="00A02B31" w:rsidRDefault="00FA18EA" w:rsidP="00FA18EA">
            <w:pPr>
              <w:jc w:val="right"/>
              <w:outlineLvl w:val="0"/>
              <w:rPr>
                <w:rFonts w:eastAsia="Times New Roman" w:cstheme="minorHAnsi"/>
                <w:b/>
                <w:bCs/>
                <w:sz w:val="16"/>
                <w:szCs w:val="16"/>
                <w:lang w:eastAsia="en-GB"/>
              </w:rPr>
            </w:pPr>
            <w:r w:rsidRPr="00A02B31">
              <w:rPr>
                <w:rFonts w:eastAsia="Times New Roman" w:cstheme="minorHAnsi"/>
                <w:b/>
                <w:bCs/>
                <w:sz w:val="16"/>
                <w:szCs w:val="16"/>
                <w:lang w:eastAsia="en-GB"/>
              </w:rPr>
              <w:t xml:space="preserve"> 31 March 2022</w:t>
            </w:r>
          </w:p>
        </w:tc>
        <w:tc>
          <w:tcPr>
            <w:tcW w:w="1299" w:type="dxa"/>
            <w:tcBorders>
              <w:top w:val="single" w:sz="4" w:space="0" w:color="auto"/>
              <w:left w:val="nil"/>
              <w:bottom w:val="nil"/>
              <w:right w:val="nil"/>
            </w:tcBorders>
            <w:shd w:val="clear" w:color="auto" w:fill="auto"/>
            <w:noWrap/>
            <w:vAlign w:val="bottom"/>
            <w:hideMark/>
          </w:tcPr>
          <w:p w14:paraId="70B82890" w14:textId="77777777" w:rsidR="00FA18EA" w:rsidRPr="00A02B31" w:rsidRDefault="00FA18EA" w:rsidP="00FA18EA">
            <w:pPr>
              <w:jc w:val="right"/>
              <w:outlineLvl w:val="0"/>
              <w:rPr>
                <w:rFonts w:eastAsia="Times New Roman" w:cstheme="minorHAnsi"/>
                <w:sz w:val="16"/>
                <w:szCs w:val="16"/>
                <w:lang w:eastAsia="en-GB"/>
              </w:rPr>
            </w:pPr>
            <w:r w:rsidRPr="00A02B31">
              <w:rPr>
                <w:rFonts w:eastAsia="Times New Roman" w:cstheme="minorHAnsi"/>
                <w:sz w:val="16"/>
                <w:szCs w:val="16"/>
                <w:lang w:eastAsia="en-GB"/>
              </w:rPr>
              <w:t xml:space="preserve"> 31 March 2021</w:t>
            </w:r>
          </w:p>
        </w:tc>
      </w:tr>
      <w:tr w:rsidR="00FA18EA" w:rsidRPr="007600A7" w14:paraId="0013CE26" w14:textId="77777777" w:rsidTr="00FA18EA">
        <w:trPr>
          <w:trHeight w:val="236"/>
        </w:trPr>
        <w:tc>
          <w:tcPr>
            <w:tcW w:w="6054" w:type="dxa"/>
            <w:tcBorders>
              <w:top w:val="nil"/>
              <w:left w:val="nil"/>
              <w:bottom w:val="single" w:sz="4" w:space="0" w:color="auto"/>
              <w:right w:val="nil"/>
            </w:tcBorders>
            <w:shd w:val="clear" w:color="auto" w:fill="auto"/>
            <w:noWrap/>
            <w:vAlign w:val="bottom"/>
            <w:hideMark/>
          </w:tcPr>
          <w:p w14:paraId="6623ED25" w14:textId="77777777" w:rsidR="00FA18EA" w:rsidRPr="008B2DDA" w:rsidRDefault="00FA18EA" w:rsidP="00FA18EA">
            <w:pPr>
              <w:outlineLvl w:val="0"/>
              <w:rPr>
                <w:rFonts w:eastAsia="Times New Roman" w:cstheme="minorHAnsi"/>
                <w:lang w:eastAsia="en-GB"/>
              </w:rPr>
            </w:pPr>
            <w:r w:rsidRPr="008B2DDA">
              <w:rPr>
                <w:rFonts w:eastAsia="Times New Roman" w:cstheme="minorHAnsi"/>
                <w:lang w:eastAsia="en-GB"/>
              </w:rPr>
              <w:t> </w:t>
            </w:r>
          </w:p>
        </w:tc>
        <w:tc>
          <w:tcPr>
            <w:tcW w:w="784" w:type="dxa"/>
            <w:tcBorders>
              <w:top w:val="nil"/>
              <w:left w:val="nil"/>
              <w:bottom w:val="single" w:sz="4" w:space="0" w:color="auto"/>
              <w:right w:val="nil"/>
            </w:tcBorders>
            <w:shd w:val="clear" w:color="auto" w:fill="auto"/>
            <w:noWrap/>
            <w:vAlign w:val="bottom"/>
          </w:tcPr>
          <w:p w14:paraId="0B4D907E" w14:textId="77777777" w:rsidR="00FA18EA" w:rsidRPr="000C5053" w:rsidRDefault="00FA18EA" w:rsidP="00FA18EA">
            <w:pPr>
              <w:jc w:val="right"/>
              <w:outlineLvl w:val="0"/>
              <w:rPr>
                <w:rFonts w:eastAsia="Times New Roman" w:cstheme="minorHAnsi"/>
                <w:b/>
                <w:bCs/>
                <w:sz w:val="16"/>
                <w:szCs w:val="16"/>
                <w:lang w:eastAsia="en-GB"/>
              </w:rPr>
            </w:pPr>
          </w:p>
        </w:tc>
        <w:tc>
          <w:tcPr>
            <w:tcW w:w="278" w:type="dxa"/>
            <w:tcBorders>
              <w:top w:val="nil"/>
              <w:left w:val="nil"/>
              <w:bottom w:val="single" w:sz="4" w:space="0" w:color="auto"/>
              <w:right w:val="nil"/>
            </w:tcBorders>
            <w:shd w:val="clear" w:color="auto" w:fill="auto"/>
            <w:noWrap/>
            <w:vAlign w:val="bottom"/>
          </w:tcPr>
          <w:p w14:paraId="39ACE267" w14:textId="77777777" w:rsidR="00FA18EA" w:rsidRPr="0091098D" w:rsidRDefault="00FA18EA" w:rsidP="00FA18EA">
            <w:pPr>
              <w:jc w:val="right"/>
              <w:outlineLvl w:val="0"/>
              <w:rPr>
                <w:rFonts w:eastAsia="Times New Roman" w:cstheme="minorHAnsi"/>
                <w:sz w:val="16"/>
                <w:szCs w:val="16"/>
                <w:lang w:eastAsia="en-GB"/>
              </w:rPr>
            </w:pPr>
          </w:p>
        </w:tc>
        <w:tc>
          <w:tcPr>
            <w:tcW w:w="1295" w:type="dxa"/>
            <w:tcBorders>
              <w:top w:val="nil"/>
              <w:left w:val="nil"/>
              <w:bottom w:val="single" w:sz="4" w:space="0" w:color="auto"/>
              <w:right w:val="nil"/>
            </w:tcBorders>
            <w:shd w:val="clear" w:color="auto" w:fill="auto"/>
            <w:noWrap/>
            <w:vAlign w:val="bottom"/>
            <w:hideMark/>
          </w:tcPr>
          <w:p w14:paraId="38765ED6" w14:textId="77777777" w:rsidR="00FA18EA" w:rsidRPr="0075195E" w:rsidRDefault="00FA18EA" w:rsidP="00FA18EA">
            <w:pPr>
              <w:jc w:val="right"/>
              <w:outlineLvl w:val="0"/>
              <w:rPr>
                <w:rFonts w:eastAsia="Times New Roman" w:cstheme="minorHAnsi"/>
                <w:b/>
                <w:bCs/>
                <w:sz w:val="16"/>
                <w:szCs w:val="16"/>
                <w:lang w:eastAsia="en-GB"/>
              </w:rPr>
            </w:pPr>
            <w:r w:rsidRPr="0075195E">
              <w:rPr>
                <w:rFonts w:eastAsia="Times New Roman" w:cstheme="minorHAnsi"/>
                <w:b/>
                <w:bCs/>
                <w:sz w:val="16"/>
                <w:szCs w:val="16"/>
                <w:lang w:eastAsia="en-GB"/>
              </w:rPr>
              <w:t>£'000</w:t>
            </w:r>
          </w:p>
        </w:tc>
        <w:tc>
          <w:tcPr>
            <w:tcW w:w="1299" w:type="dxa"/>
            <w:tcBorders>
              <w:top w:val="nil"/>
              <w:left w:val="nil"/>
              <w:bottom w:val="single" w:sz="4" w:space="0" w:color="auto"/>
              <w:right w:val="nil"/>
            </w:tcBorders>
            <w:shd w:val="clear" w:color="auto" w:fill="auto"/>
            <w:noWrap/>
            <w:vAlign w:val="bottom"/>
            <w:hideMark/>
          </w:tcPr>
          <w:p w14:paraId="30211448" w14:textId="77777777" w:rsidR="00FA18EA" w:rsidRPr="00536A35" w:rsidRDefault="00FA18EA" w:rsidP="00FA18EA">
            <w:pPr>
              <w:jc w:val="right"/>
              <w:outlineLvl w:val="0"/>
              <w:rPr>
                <w:rFonts w:eastAsia="Times New Roman" w:cstheme="minorHAnsi"/>
                <w:sz w:val="16"/>
                <w:szCs w:val="16"/>
                <w:lang w:eastAsia="en-GB"/>
              </w:rPr>
            </w:pPr>
            <w:r w:rsidRPr="00536A35">
              <w:rPr>
                <w:rFonts w:eastAsia="Times New Roman" w:cstheme="minorHAnsi"/>
                <w:sz w:val="16"/>
                <w:szCs w:val="16"/>
                <w:lang w:eastAsia="en-GB"/>
              </w:rPr>
              <w:t>£'000</w:t>
            </w:r>
          </w:p>
        </w:tc>
      </w:tr>
      <w:tr w:rsidR="00FA18EA" w:rsidRPr="007600A7" w14:paraId="2FDB4BD9" w14:textId="77777777" w:rsidTr="00FA18EA">
        <w:trPr>
          <w:trHeight w:val="239"/>
        </w:trPr>
        <w:tc>
          <w:tcPr>
            <w:tcW w:w="0" w:type="auto"/>
            <w:tcBorders>
              <w:top w:val="nil"/>
              <w:left w:val="nil"/>
              <w:bottom w:val="nil"/>
              <w:right w:val="nil"/>
            </w:tcBorders>
            <w:shd w:val="clear" w:color="auto" w:fill="auto"/>
            <w:vAlign w:val="bottom"/>
            <w:hideMark/>
          </w:tcPr>
          <w:p w14:paraId="12D83FEE" w14:textId="77777777" w:rsidR="00FA18EA" w:rsidRPr="008B2DDA" w:rsidRDefault="00FA18EA" w:rsidP="00FA18EA">
            <w:pPr>
              <w:outlineLvl w:val="0"/>
              <w:rPr>
                <w:rFonts w:eastAsia="Times New Roman" w:cstheme="minorHAnsi"/>
                <w:sz w:val="18"/>
                <w:szCs w:val="18"/>
                <w:lang w:eastAsia="en-GB"/>
              </w:rPr>
            </w:pPr>
            <w:r w:rsidRPr="008B2DDA">
              <w:rPr>
                <w:rFonts w:eastAsia="Times New Roman" w:cstheme="minorHAnsi"/>
                <w:sz w:val="18"/>
                <w:szCs w:val="18"/>
                <w:lang w:eastAsia="en-GB"/>
              </w:rPr>
              <w:t>Performance fees payable</w:t>
            </w:r>
          </w:p>
        </w:tc>
        <w:tc>
          <w:tcPr>
            <w:tcW w:w="784" w:type="dxa"/>
            <w:tcBorders>
              <w:top w:val="nil"/>
              <w:left w:val="nil"/>
              <w:bottom w:val="nil"/>
              <w:right w:val="nil"/>
            </w:tcBorders>
            <w:shd w:val="clear" w:color="auto" w:fill="auto"/>
            <w:noWrap/>
          </w:tcPr>
          <w:p w14:paraId="0D1942D1" w14:textId="77777777" w:rsidR="00FA18EA" w:rsidRPr="000C5053" w:rsidRDefault="00FA18EA" w:rsidP="00FA18EA">
            <w:pPr>
              <w:jc w:val="right"/>
              <w:outlineLvl w:val="0"/>
              <w:rPr>
                <w:rFonts w:eastAsia="Times New Roman" w:cstheme="minorHAnsi"/>
                <w:b/>
                <w:bCs/>
                <w:sz w:val="18"/>
                <w:szCs w:val="18"/>
                <w:lang w:eastAsia="en-GB"/>
              </w:rPr>
            </w:pPr>
          </w:p>
        </w:tc>
        <w:tc>
          <w:tcPr>
            <w:tcW w:w="278" w:type="dxa"/>
            <w:tcBorders>
              <w:top w:val="nil"/>
              <w:left w:val="nil"/>
              <w:bottom w:val="nil"/>
              <w:right w:val="nil"/>
            </w:tcBorders>
            <w:shd w:val="clear" w:color="auto" w:fill="auto"/>
            <w:noWrap/>
          </w:tcPr>
          <w:p w14:paraId="1D24F349" w14:textId="77777777" w:rsidR="00FA18EA" w:rsidRPr="0091098D" w:rsidRDefault="00FA18EA" w:rsidP="00FA18EA">
            <w:pPr>
              <w:jc w:val="right"/>
              <w:outlineLvl w:val="0"/>
              <w:rPr>
                <w:rFonts w:eastAsia="Times New Roman" w:cstheme="minorHAnsi"/>
                <w:sz w:val="18"/>
                <w:szCs w:val="18"/>
                <w:lang w:eastAsia="en-GB"/>
              </w:rPr>
            </w:pPr>
          </w:p>
        </w:tc>
        <w:tc>
          <w:tcPr>
            <w:tcW w:w="1295" w:type="dxa"/>
            <w:tcBorders>
              <w:top w:val="nil"/>
              <w:left w:val="nil"/>
              <w:bottom w:val="nil"/>
              <w:right w:val="nil"/>
            </w:tcBorders>
            <w:shd w:val="clear" w:color="auto" w:fill="auto"/>
            <w:noWrap/>
            <w:hideMark/>
          </w:tcPr>
          <w:p w14:paraId="2D95F102" w14:textId="77777777" w:rsidR="00FA18EA" w:rsidRPr="0075195E" w:rsidRDefault="00FA18EA" w:rsidP="00FA18EA">
            <w:pPr>
              <w:jc w:val="right"/>
              <w:outlineLvl w:val="0"/>
              <w:rPr>
                <w:rFonts w:eastAsia="Times New Roman" w:cstheme="minorHAnsi"/>
                <w:b/>
                <w:bCs/>
                <w:sz w:val="18"/>
                <w:szCs w:val="18"/>
                <w:lang w:eastAsia="en-GB"/>
              </w:rPr>
            </w:pPr>
            <w:r w:rsidRPr="0075195E">
              <w:rPr>
                <w:rFonts w:eastAsia="Times New Roman" w:cstheme="minorHAnsi"/>
                <w:b/>
                <w:bCs/>
                <w:sz w:val="18"/>
                <w:szCs w:val="18"/>
                <w:lang w:eastAsia="en-GB"/>
              </w:rPr>
              <w:t>-</w:t>
            </w:r>
          </w:p>
        </w:tc>
        <w:tc>
          <w:tcPr>
            <w:tcW w:w="1299" w:type="dxa"/>
            <w:tcBorders>
              <w:top w:val="nil"/>
              <w:left w:val="nil"/>
              <w:bottom w:val="nil"/>
              <w:right w:val="nil"/>
            </w:tcBorders>
            <w:shd w:val="clear" w:color="auto" w:fill="auto"/>
            <w:noWrap/>
            <w:hideMark/>
          </w:tcPr>
          <w:p w14:paraId="6C4BB7E9" w14:textId="77777777" w:rsidR="00FA18EA" w:rsidRPr="00A02B31" w:rsidRDefault="00FA18EA" w:rsidP="00FA18EA">
            <w:pPr>
              <w:jc w:val="right"/>
              <w:outlineLvl w:val="0"/>
              <w:rPr>
                <w:rFonts w:eastAsia="Times New Roman" w:cstheme="minorHAnsi"/>
                <w:sz w:val="18"/>
                <w:szCs w:val="18"/>
                <w:lang w:eastAsia="en-GB"/>
              </w:rPr>
            </w:pPr>
            <w:r w:rsidRPr="00536A35">
              <w:rPr>
                <w:rFonts w:eastAsia="Times New Roman" w:cstheme="minorHAnsi"/>
                <w:bCs/>
                <w:sz w:val="18"/>
                <w:szCs w:val="18"/>
                <w:lang w:eastAsia="en-GB"/>
              </w:rPr>
              <w:t>2,294</w:t>
            </w:r>
          </w:p>
        </w:tc>
      </w:tr>
      <w:tr w:rsidR="00FA18EA" w:rsidRPr="007600A7" w14:paraId="1B9CD4EB" w14:textId="77777777" w:rsidTr="00FA18EA">
        <w:trPr>
          <w:trHeight w:val="287"/>
        </w:trPr>
        <w:tc>
          <w:tcPr>
            <w:tcW w:w="0" w:type="auto"/>
            <w:tcBorders>
              <w:top w:val="single" w:sz="4" w:space="0" w:color="auto"/>
              <w:left w:val="nil"/>
              <w:bottom w:val="single" w:sz="8" w:space="0" w:color="auto"/>
              <w:right w:val="nil"/>
            </w:tcBorders>
            <w:shd w:val="clear" w:color="auto" w:fill="auto"/>
            <w:noWrap/>
            <w:vAlign w:val="bottom"/>
            <w:hideMark/>
          </w:tcPr>
          <w:p w14:paraId="0AF99462" w14:textId="77777777" w:rsidR="00FA18EA" w:rsidRPr="008B2DDA" w:rsidRDefault="00FA18EA" w:rsidP="00FA18EA">
            <w:pPr>
              <w:outlineLvl w:val="0"/>
              <w:rPr>
                <w:rFonts w:eastAsia="Times New Roman" w:cstheme="minorHAnsi"/>
                <w:sz w:val="18"/>
                <w:szCs w:val="18"/>
                <w:lang w:eastAsia="en-GB"/>
              </w:rPr>
            </w:pPr>
            <w:r w:rsidRPr="008B2DDA">
              <w:rPr>
                <w:rFonts w:eastAsia="Times New Roman" w:cstheme="minorHAnsi"/>
                <w:sz w:val="18"/>
                <w:szCs w:val="18"/>
                <w:lang w:eastAsia="en-GB"/>
              </w:rPr>
              <w:t> </w:t>
            </w:r>
          </w:p>
        </w:tc>
        <w:tc>
          <w:tcPr>
            <w:tcW w:w="784" w:type="dxa"/>
            <w:tcBorders>
              <w:top w:val="single" w:sz="4" w:space="0" w:color="auto"/>
              <w:left w:val="nil"/>
              <w:bottom w:val="single" w:sz="8" w:space="0" w:color="auto"/>
              <w:right w:val="nil"/>
            </w:tcBorders>
            <w:shd w:val="clear" w:color="auto" w:fill="auto"/>
            <w:noWrap/>
            <w:vAlign w:val="bottom"/>
          </w:tcPr>
          <w:p w14:paraId="23BE3132" w14:textId="77777777" w:rsidR="00FA18EA" w:rsidRPr="000C5053" w:rsidRDefault="00FA18EA" w:rsidP="00FA18EA">
            <w:pPr>
              <w:jc w:val="right"/>
              <w:outlineLvl w:val="0"/>
              <w:rPr>
                <w:rFonts w:eastAsia="Times New Roman" w:cstheme="minorHAnsi"/>
                <w:b/>
                <w:bCs/>
                <w:sz w:val="18"/>
                <w:szCs w:val="18"/>
                <w:lang w:eastAsia="en-GB"/>
              </w:rPr>
            </w:pPr>
          </w:p>
        </w:tc>
        <w:tc>
          <w:tcPr>
            <w:tcW w:w="278" w:type="dxa"/>
            <w:tcBorders>
              <w:top w:val="single" w:sz="4" w:space="0" w:color="auto"/>
              <w:left w:val="nil"/>
              <w:bottom w:val="single" w:sz="8" w:space="0" w:color="auto"/>
              <w:right w:val="nil"/>
            </w:tcBorders>
            <w:shd w:val="clear" w:color="auto" w:fill="auto"/>
            <w:noWrap/>
            <w:vAlign w:val="bottom"/>
          </w:tcPr>
          <w:p w14:paraId="52720A7A" w14:textId="77777777" w:rsidR="00FA18EA" w:rsidRPr="0091098D" w:rsidRDefault="00FA18EA" w:rsidP="00FA18EA">
            <w:pPr>
              <w:jc w:val="right"/>
              <w:outlineLvl w:val="0"/>
              <w:rPr>
                <w:rFonts w:eastAsia="Times New Roman" w:cstheme="minorHAnsi"/>
                <w:sz w:val="18"/>
                <w:szCs w:val="18"/>
                <w:lang w:eastAsia="en-GB"/>
              </w:rPr>
            </w:pPr>
          </w:p>
        </w:tc>
        <w:tc>
          <w:tcPr>
            <w:tcW w:w="1295" w:type="dxa"/>
            <w:tcBorders>
              <w:top w:val="single" w:sz="4" w:space="0" w:color="auto"/>
              <w:left w:val="nil"/>
              <w:bottom w:val="single" w:sz="8" w:space="0" w:color="auto"/>
              <w:right w:val="nil"/>
            </w:tcBorders>
            <w:shd w:val="clear" w:color="auto" w:fill="auto"/>
            <w:noWrap/>
            <w:vAlign w:val="bottom"/>
            <w:hideMark/>
          </w:tcPr>
          <w:p w14:paraId="7C08D6D0" w14:textId="77777777" w:rsidR="00FA18EA" w:rsidRPr="0075195E" w:rsidRDefault="00FA18EA" w:rsidP="00FA18EA">
            <w:pPr>
              <w:jc w:val="right"/>
              <w:outlineLvl w:val="0"/>
              <w:rPr>
                <w:rFonts w:eastAsia="Times New Roman" w:cstheme="minorHAnsi"/>
                <w:b/>
                <w:bCs/>
                <w:sz w:val="18"/>
                <w:szCs w:val="18"/>
                <w:lang w:eastAsia="en-GB"/>
              </w:rPr>
            </w:pPr>
            <w:r w:rsidRPr="0075195E">
              <w:rPr>
                <w:rFonts w:eastAsia="Times New Roman" w:cstheme="minorHAnsi"/>
                <w:b/>
                <w:bCs/>
                <w:sz w:val="18"/>
                <w:szCs w:val="18"/>
                <w:lang w:eastAsia="en-GB"/>
              </w:rPr>
              <w:t>-</w:t>
            </w:r>
          </w:p>
        </w:tc>
        <w:tc>
          <w:tcPr>
            <w:tcW w:w="1299" w:type="dxa"/>
            <w:tcBorders>
              <w:top w:val="single" w:sz="4" w:space="0" w:color="auto"/>
              <w:left w:val="nil"/>
              <w:bottom w:val="single" w:sz="8" w:space="0" w:color="auto"/>
              <w:right w:val="nil"/>
            </w:tcBorders>
            <w:shd w:val="clear" w:color="auto" w:fill="auto"/>
            <w:noWrap/>
            <w:vAlign w:val="bottom"/>
            <w:hideMark/>
          </w:tcPr>
          <w:p w14:paraId="7A25EA5C" w14:textId="77777777" w:rsidR="00FA18EA" w:rsidRPr="00A02B31" w:rsidRDefault="00FA18EA" w:rsidP="00FA18EA">
            <w:pPr>
              <w:jc w:val="right"/>
              <w:outlineLvl w:val="0"/>
              <w:rPr>
                <w:rFonts w:eastAsia="Times New Roman" w:cstheme="minorHAnsi"/>
                <w:sz w:val="18"/>
                <w:szCs w:val="18"/>
                <w:lang w:eastAsia="en-GB"/>
              </w:rPr>
            </w:pPr>
            <w:r w:rsidRPr="00536A35">
              <w:rPr>
                <w:rFonts w:eastAsia="Times New Roman" w:cstheme="minorHAnsi"/>
                <w:bCs/>
                <w:sz w:val="18"/>
                <w:szCs w:val="18"/>
                <w:lang w:eastAsia="en-GB"/>
              </w:rPr>
              <w:t>2,294</w:t>
            </w:r>
          </w:p>
        </w:tc>
      </w:tr>
    </w:tbl>
    <w:p w14:paraId="6AA0FAD5" w14:textId="77777777" w:rsidR="00FA18EA" w:rsidRPr="008B2DDA" w:rsidRDefault="00FA18EA" w:rsidP="00FA18EA">
      <w:pPr>
        <w:autoSpaceDE w:val="0"/>
        <w:autoSpaceDN w:val="0"/>
        <w:adjustRightInd w:val="0"/>
        <w:jc w:val="both"/>
        <w:rPr>
          <w:rFonts w:cstheme="minorHAnsi"/>
          <w:color w:val="000000"/>
          <w:sz w:val="18"/>
          <w:szCs w:val="18"/>
        </w:rPr>
      </w:pPr>
    </w:p>
    <w:p w14:paraId="3CC3B7D0" w14:textId="77777777" w:rsidR="00FA18EA" w:rsidRPr="0091098D" w:rsidRDefault="00FA18EA" w:rsidP="00FA18EA">
      <w:pPr>
        <w:autoSpaceDE w:val="0"/>
        <w:autoSpaceDN w:val="0"/>
        <w:adjustRightInd w:val="0"/>
        <w:jc w:val="both"/>
        <w:rPr>
          <w:rFonts w:cstheme="minorHAnsi"/>
          <w:b/>
          <w:color w:val="000000"/>
        </w:rPr>
      </w:pPr>
      <w:r w:rsidRPr="000C5053">
        <w:rPr>
          <w:rFonts w:cstheme="minorHAnsi"/>
          <w:color w:val="000000"/>
          <w:sz w:val="18"/>
          <w:szCs w:val="18"/>
        </w:rPr>
        <w:t>As a result of the Board terminating the investment management contract with GHAM, a performance fee of £2,772k became payable on 11 October 2021 (2021: £2,294k). This was subsequently paid in November 2021 (2021: August 2021).</w:t>
      </w:r>
    </w:p>
    <w:p w14:paraId="3B6F78C2" w14:textId="77777777" w:rsidR="00FA18EA" w:rsidRPr="0075195E" w:rsidRDefault="00FA18EA" w:rsidP="00FA18EA">
      <w:pPr>
        <w:autoSpaceDE w:val="0"/>
        <w:autoSpaceDN w:val="0"/>
        <w:adjustRightInd w:val="0"/>
        <w:rPr>
          <w:rFonts w:cstheme="minorHAnsi"/>
          <w:b/>
          <w:color w:val="000000"/>
        </w:rPr>
      </w:pPr>
    </w:p>
    <w:p w14:paraId="3E788E48" w14:textId="77777777" w:rsidR="00FA18EA" w:rsidRPr="00536A35" w:rsidRDefault="00FA18EA" w:rsidP="00FA18EA">
      <w:pPr>
        <w:autoSpaceDE w:val="0"/>
        <w:autoSpaceDN w:val="0"/>
        <w:adjustRightInd w:val="0"/>
        <w:rPr>
          <w:rFonts w:cstheme="minorHAnsi"/>
          <w:b/>
          <w:color w:val="000000"/>
        </w:rPr>
      </w:pPr>
      <w:r w:rsidRPr="00536A35">
        <w:rPr>
          <w:rFonts w:cstheme="minorHAnsi"/>
          <w:b/>
          <w:color w:val="000000"/>
        </w:rPr>
        <w:t>12 Issued capital</w:t>
      </w:r>
    </w:p>
    <w:p w14:paraId="31F737E6" w14:textId="77777777" w:rsidR="00FA18EA" w:rsidRPr="00A02B31" w:rsidRDefault="00FA18EA" w:rsidP="00FA18EA">
      <w:pPr>
        <w:autoSpaceDE w:val="0"/>
        <w:autoSpaceDN w:val="0"/>
        <w:adjustRightInd w:val="0"/>
        <w:rPr>
          <w:rFonts w:cstheme="minorHAnsi"/>
          <w:color w:val="000000"/>
          <w:sz w:val="18"/>
          <w:szCs w:val="16"/>
        </w:rPr>
      </w:pPr>
    </w:p>
    <w:tbl>
      <w:tblPr>
        <w:tblW w:w="9710" w:type="dxa"/>
        <w:tblInd w:w="108" w:type="dxa"/>
        <w:tblLook w:val="04A0" w:firstRow="1" w:lastRow="0" w:firstColumn="1" w:lastColumn="0" w:noHBand="0" w:noVBand="1"/>
      </w:tblPr>
      <w:tblGrid>
        <w:gridCol w:w="6054"/>
        <w:gridCol w:w="784"/>
        <w:gridCol w:w="278"/>
        <w:gridCol w:w="1295"/>
        <w:gridCol w:w="1299"/>
      </w:tblGrid>
      <w:tr w:rsidR="00FA18EA" w:rsidRPr="007600A7" w14:paraId="4E992E06" w14:textId="77777777" w:rsidTr="00FA18EA">
        <w:trPr>
          <w:trHeight w:val="236"/>
        </w:trPr>
        <w:tc>
          <w:tcPr>
            <w:tcW w:w="6054" w:type="dxa"/>
            <w:tcBorders>
              <w:top w:val="single" w:sz="4" w:space="0" w:color="auto"/>
              <w:left w:val="nil"/>
              <w:bottom w:val="nil"/>
              <w:right w:val="nil"/>
            </w:tcBorders>
            <w:shd w:val="clear" w:color="auto" w:fill="auto"/>
            <w:noWrap/>
            <w:vAlign w:val="bottom"/>
            <w:hideMark/>
          </w:tcPr>
          <w:p w14:paraId="742840ED" w14:textId="77777777" w:rsidR="00FA18EA" w:rsidRPr="00A02B31" w:rsidRDefault="00FA18EA" w:rsidP="00FA18EA">
            <w:pPr>
              <w:outlineLvl w:val="0"/>
              <w:rPr>
                <w:rFonts w:eastAsia="Times New Roman" w:cstheme="minorHAnsi"/>
                <w:lang w:eastAsia="en-GB"/>
              </w:rPr>
            </w:pPr>
          </w:p>
        </w:tc>
        <w:tc>
          <w:tcPr>
            <w:tcW w:w="784" w:type="dxa"/>
            <w:tcBorders>
              <w:top w:val="single" w:sz="4" w:space="0" w:color="auto"/>
              <w:left w:val="nil"/>
              <w:bottom w:val="nil"/>
              <w:right w:val="nil"/>
            </w:tcBorders>
            <w:shd w:val="clear" w:color="auto" w:fill="auto"/>
            <w:noWrap/>
            <w:vAlign w:val="bottom"/>
          </w:tcPr>
          <w:p w14:paraId="474FC426" w14:textId="77777777" w:rsidR="00FA18EA" w:rsidRPr="00A02B31" w:rsidRDefault="00FA18EA" w:rsidP="00FA18EA">
            <w:pPr>
              <w:jc w:val="right"/>
              <w:outlineLvl w:val="0"/>
              <w:rPr>
                <w:rFonts w:eastAsia="Times New Roman" w:cstheme="minorHAnsi"/>
                <w:b/>
                <w:bCs/>
                <w:sz w:val="16"/>
                <w:szCs w:val="16"/>
                <w:lang w:eastAsia="en-GB"/>
              </w:rPr>
            </w:pPr>
          </w:p>
        </w:tc>
        <w:tc>
          <w:tcPr>
            <w:tcW w:w="278" w:type="dxa"/>
            <w:tcBorders>
              <w:top w:val="single" w:sz="4" w:space="0" w:color="auto"/>
              <w:left w:val="nil"/>
              <w:bottom w:val="nil"/>
              <w:right w:val="nil"/>
            </w:tcBorders>
            <w:shd w:val="clear" w:color="auto" w:fill="auto"/>
            <w:noWrap/>
            <w:vAlign w:val="bottom"/>
          </w:tcPr>
          <w:p w14:paraId="5A24CFFA" w14:textId="77777777" w:rsidR="00FA18EA" w:rsidRPr="00A02B31" w:rsidRDefault="00FA18EA" w:rsidP="00FA18EA">
            <w:pPr>
              <w:jc w:val="right"/>
              <w:outlineLvl w:val="0"/>
              <w:rPr>
                <w:rFonts w:eastAsia="Times New Roman" w:cstheme="minorHAnsi"/>
                <w:sz w:val="16"/>
                <w:szCs w:val="16"/>
                <w:lang w:eastAsia="en-GB"/>
              </w:rPr>
            </w:pPr>
          </w:p>
        </w:tc>
        <w:tc>
          <w:tcPr>
            <w:tcW w:w="1295" w:type="dxa"/>
            <w:tcBorders>
              <w:top w:val="single" w:sz="4" w:space="0" w:color="auto"/>
              <w:left w:val="nil"/>
              <w:bottom w:val="nil"/>
              <w:right w:val="nil"/>
            </w:tcBorders>
            <w:shd w:val="clear" w:color="auto" w:fill="auto"/>
            <w:noWrap/>
            <w:vAlign w:val="bottom"/>
            <w:hideMark/>
          </w:tcPr>
          <w:p w14:paraId="514B926B" w14:textId="77777777" w:rsidR="00FA18EA" w:rsidRPr="00A02B31" w:rsidRDefault="00FA18EA" w:rsidP="00FA18EA">
            <w:pPr>
              <w:jc w:val="right"/>
              <w:outlineLvl w:val="0"/>
              <w:rPr>
                <w:rFonts w:eastAsia="Times New Roman" w:cstheme="minorHAnsi"/>
                <w:b/>
                <w:bCs/>
                <w:sz w:val="16"/>
                <w:szCs w:val="16"/>
                <w:lang w:eastAsia="en-GB"/>
              </w:rPr>
            </w:pPr>
            <w:r w:rsidRPr="00A02B31">
              <w:rPr>
                <w:rFonts w:eastAsia="Times New Roman" w:cstheme="minorHAnsi"/>
                <w:b/>
                <w:bCs/>
                <w:sz w:val="16"/>
                <w:szCs w:val="16"/>
                <w:lang w:eastAsia="en-GB"/>
              </w:rPr>
              <w:t xml:space="preserve"> 31 March 2022</w:t>
            </w:r>
          </w:p>
        </w:tc>
        <w:tc>
          <w:tcPr>
            <w:tcW w:w="1299" w:type="dxa"/>
            <w:tcBorders>
              <w:top w:val="single" w:sz="4" w:space="0" w:color="auto"/>
              <w:left w:val="nil"/>
              <w:bottom w:val="nil"/>
              <w:right w:val="nil"/>
            </w:tcBorders>
            <w:shd w:val="clear" w:color="auto" w:fill="auto"/>
            <w:noWrap/>
            <w:vAlign w:val="bottom"/>
            <w:hideMark/>
          </w:tcPr>
          <w:p w14:paraId="5B3D0296" w14:textId="77777777" w:rsidR="00FA18EA" w:rsidRPr="00A02B31" w:rsidRDefault="00FA18EA" w:rsidP="00FA18EA">
            <w:pPr>
              <w:jc w:val="right"/>
              <w:outlineLvl w:val="0"/>
              <w:rPr>
                <w:rFonts w:eastAsia="Times New Roman" w:cstheme="minorHAnsi"/>
                <w:sz w:val="16"/>
                <w:szCs w:val="16"/>
                <w:lang w:eastAsia="en-GB"/>
              </w:rPr>
            </w:pPr>
            <w:r w:rsidRPr="00A02B31">
              <w:rPr>
                <w:rFonts w:eastAsia="Times New Roman" w:cstheme="minorHAnsi"/>
                <w:sz w:val="16"/>
                <w:szCs w:val="16"/>
                <w:lang w:eastAsia="en-GB"/>
              </w:rPr>
              <w:t xml:space="preserve"> 31 March 2021</w:t>
            </w:r>
          </w:p>
        </w:tc>
      </w:tr>
      <w:tr w:rsidR="00FA18EA" w:rsidRPr="007600A7" w14:paraId="41DCFFE2" w14:textId="77777777" w:rsidTr="00FA18EA">
        <w:trPr>
          <w:trHeight w:val="236"/>
        </w:trPr>
        <w:tc>
          <w:tcPr>
            <w:tcW w:w="6054" w:type="dxa"/>
            <w:tcBorders>
              <w:top w:val="nil"/>
              <w:left w:val="nil"/>
              <w:bottom w:val="single" w:sz="4" w:space="0" w:color="auto"/>
              <w:right w:val="nil"/>
            </w:tcBorders>
            <w:shd w:val="clear" w:color="auto" w:fill="auto"/>
            <w:noWrap/>
            <w:vAlign w:val="bottom"/>
            <w:hideMark/>
          </w:tcPr>
          <w:p w14:paraId="65878DD8" w14:textId="77777777" w:rsidR="00FA18EA" w:rsidRPr="008B2DDA" w:rsidRDefault="00FA18EA" w:rsidP="00FA18EA">
            <w:pPr>
              <w:outlineLvl w:val="0"/>
              <w:rPr>
                <w:rFonts w:eastAsia="Times New Roman" w:cstheme="minorHAnsi"/>
                <w:lang w:eastAsia="en-GB"/>
              </w:rPr>
            </w:pPr>
            <w:r w:rsidRPr="008B2DDA">
              <w:rPr>
                <w:rFonts w:eastAsia="Times New Roman" w:cstheme="minorHAnsi"/>
                <w:lang w:eastAsia="en-GB"/>
              </w:rPr>
              <w:t> </w:t>
            </w:r>
          </w:p>
        </w:tc>
        <w:tc>
          <w:tcPr>
            <w:tcW w:w="784" w:type="dxa"/>
            <w:tcBorders>
              <w:top w:val="nil"/>
              <w:left w:val="nil"/>
              <w:bottom w:val="single" w:sz="4" w:space="0" w:color="auto"/>
              <w:right w:val="nil"/>
            </w:tcBorders>
            <w:shd w:val="clear" w:color="auto" w:fill="auto"/>
            <w:noWrap/>
            <w:vAlign w:val="bottom"/>
          </w:tcPr>
          <w:p w14:paraId="1C59865D" w14:textId="77777777" w:rsidR="00FA18EA" w:rsidRPr="000C5053" w:rsidRDefault="00FA18EA" w:rsidP="00FA18EA">
            <w:pPr>
              <w:jc w:val="right"/>
              <w:outlineLvl w:val="0"/>
              <w:rPr>
                <w:rFonts w:eastAsia="Times New Roman" w:cstheme="minorHAnsi"/>
                <w:b/>
                <w:bCs/>
                <w:sz w:val="16"/>
                <w:szCs w:val="16"/>
                <w:lang w:eastAsia="en-GB"/>
              </w:rPr>
            </w:pPr>
          </w:p>
        </w:tc>
        <w:tc>
          <w:tcPr>
            <w:tcW w:w="278" w:type="dxa"/>
            <w:tcBorders>
              <w:top w:val="nil"/>
              <w:left w:val="nil"/>
              <w:bottom w:val="single" w:sz="4" w:space="0" w:color="auto"/>
              <w:right w:val="nil"/>
            </w:tcBorders>
            <w:shd w:val="clear" w:color="auto" w:fill="auto"/>
            <w:noWrap/>
            <w:vAlign w:val="bottom"/>
          </w:tcPr>
          <w:p w14:paraId="31847108" w14:textId="77777777" w:rsidR="00FA18EA" w:rsidRPr="0091098D" w:rsidRDefault="00FA18EA" w:rsidP="00FA18EA">
            <w:pPr>
              <w:jc w:val="right"/>
              <w:outlineLvl w:val="0"/>
              <w:rPr>
                <w:rFonts w:eastAsia="Times New Roman" w:cstheme="minorHAnsi"/>
                <w:sz w:val="16"/>
                <w:szCs w:val="16"/>
                <w:lang w:eastAsia="en-GB"/>
              </w:rPr>
            </w:pPr>
          </w:p>
        </w:tc>
        <w:tc>
          <w:tcPr>
            <w:tcW w:w="1295" w:type="dxa"/>
            <w:tcBorders>
              <w:top w:val="nil"/>
              <w:left w:val="nil"/>
              <w:bottom w:val="single" w:sz="4" w:space="0" w:color="auto"/>
              <w:right w:val="nil"/>
            </w:tcBorders>
            <w:shd w:val="clear" w:color="auto" w:fill="auto"/>
            <w:noWrap/>
            <w:vAlign w:val="bottom"/>
            <w:hideMark/>
          </w:tcPr>
          <w:p w14:paraId="40F1122E" w14:textId="77777777" w:rsidR="00FA18EA" w:rsidRPr="0075195E" w:rsidRDefault="00FA18EA" w:rsidP="00FA18EA">
            <w:pPr>
              <w:jc w:val="right"/>
              <w:outlineLvl w:val="0"/>
              <w:rPr>
                <w:rFonts w:eastAsia="Times New Roman" w:cstheme="minorHAnsi"/>
                <w:b/>
                <w:bCs/>
                <w:sz w:val="16"/>
                <w:szCs w:val="16"/>
                <w:lang w:eastAsia="en-GB"/>
              </w:rPr>
            </w:pPr>
            <w:r w:rsidRPr="0075195E">
              <w:rPr>
                <w:rFonts w:eastAsia="Times New Roman" w:cstheme="minorHAnsi"/>
                <w:b/>
                <w:bCs/>
                <w:sz w:val="16"/>
                <w:szCs w:val="16"/>
                <w:lang w:eastAsia="en-GB"/>
              </w:rPr>
              <w:t>£'000</w:t>
            </w:r>
          </w:p>
        </w:tc>
        <w:tc>
          <w:tcPr>
            <w:tcW w:w="1299" w:type="dxa"/>
            <w:tcBorders>
              <w:top w:val="nil"/>
              <w:left w:val="nil"/>
              <w:bottom w:val="single" w:sz="4" w:space="0" w:color="auto"/>
              <w:right w:val="nil"/>
            </w:tcBorders>
            <w:shd w:val="clear" w:color="auto" w:fill="auto"/>
            <w:noWrap/>
            <w:vAlign w:val="bottom"/>
            <w:hideMark/>
          </w:tcPr>
          <w:p w14:paraId="7B53331E" w14:textId="77777777" w:rsidR="00FA18EA" w:rsidRPr="00536A35" w:rsidRDefault="00FA18EA" w:rsidP="00FA18EA">
            <w:pPr>
              <w:jc w:val="right"/>
              <w:outlineLvl w:val="0"/>
              <w:rPr>
                <w:rFonts w:eastAsia="Times New Roman" w:cstheme="minorHAnsi"/>
                <w:sz w:val="16"/>
                <w:szCs w:val="16"/>
                <w:lang w:eastAsia="en-GB"/>
              </w:rPr>
            </w:pPr>
            <w:r w:rsidRPr="00536A35">
              <w:rPr>
                <w:rFonts w:eastAsia="Times New Roman" w:cstheme="minorHAnsi"/>
                <w:sz w:val="16"/>
                <w:szCs w:val="16"/>
                <w:lang w:eastAsia="en-GB"/>
              </w:rPr>
              <w:t>£'000</w:t>
            </w:r>
          </w:p>
        </w:tc>
      </w:tr>
      <w:tr w:rsidR="00FA18EA" w:rsidRPr="007600A7" w14:paraId="2B25740B" w14:textId="77777777" w:rsidTr="00FA18EA">
        <w:trPr>
          <w:trHeight w:val="271"/>
        </w:trPr>
        <w:tc>
          <w:tcPr>
            <w:tcW w:w="6054" w:type="dxa"/>
            <w:tcBorders>
              <w:top w:val="nil"/>
              <w:left w:val="nil"/>
              <w:bottom w:val="nil"/>
              <w:right w:val="nil"/>
            </w:tcBorders>
            <w:shd w:val="clear" w:color="auto" w:fill="auto"/>
            <w:noWrap/>
            <w:vAlign w:val="bottom"/>
            <w:hideMark/>
          </w:tcPr>
          <w:p w14:paraId="56514FDA" w14:textId="77777777" w:rsidR="00FA18EA" w:rsidRPr="008B2DDA" w:rsidRDefault="00FA18EA" w:rsidP="00FA18EA">
            <w:pPr>
              <w:outlineLvl w:val="0"/>
              <w:rPr>
                <w:rFonts w:eastAsia="Times New Roman" w:cstheme="minorHAnsi"/>
                <w:b/>
                <w:bCs/>
                <w:sz w:val="18"/>
                <w:szCs w:val="18"/>
                <w:lang w:eastAsia="en-GB"/>
              </w:rPr>
            </w:pPr>
            <w:r w:rsidRPr="008B2DDA">
              <w:rPr>
                <w:rFonts w:eastAsia="Times New Roman" w:cstheme="minorHAnsi"/>
                <w:b/>
                <w:bCs/>
                <w:sz w:val="18"/>
                <w:szCs w:val="18"/>
                <w:lang w:eastAsia="en-GB"/>
              </w:rPr>
              <w:t>Called up, allotted and fully paid:</w:t>
            </w:r>
          </w:p>
        </w:tc>
        <w:tc>
          <w:tcPr>
            <w:tcW w:w="784" w:type="dxa"/>
            <w:tcBorders>
              <w:top w:val="nil"/>
              <w:left w:val="nil"/>
              <w:bottom w:val="nil"/>
              <w:right w:val="nil"/>
            </w:tcBorders>
            <w:shd w:val="clear" w:color="auto" w:fill="auto"/>
            <w:noWrap/>
            <w:vAlign w:val="bottom"/>
          </w:tcPr>
          <w:p w14:paraId="0871345E" w14:textId="77777777" w:rsidR="00FA18EA" w:rsidRPr="000C5053" w:rsidRDefault="00FA18EA" w:rsidP="00FA18EA">
            <w:pPr>
              <w:outlineLvl w:val="0"/>
              <w:rPr>
                <w:rFonts w:eastAsia="Times New Roman" w:cstheme="minorHAnsi"/>
                <w:sz w:val="18"/>
                <w:szCs w:val="18"/>
                <w:lang w:eastAsia="en-GB"/>
              </w:rPr>
            </w:pPr>
          </w:p>
        </w:tc>
        <w:tc>
          <w:tcPr>
            <w:tcW w:w="278" w:type="dxa"/>
            <w:tcBorders>
              <w:top w:val="nil"/>
              <w:left w:val="nil"/>
              <w:bottom w:val="nil"/>
              <w:right w:val="nil"/>
            </w:tcBorders>
            <w:shd w:val="clear" w:color="auto" w:fill="auto"/>
            <w:noWrap/>
            <w:vAlign w:val="bottom"/>
          </w:tcPr>
          <w:p w14:paraId="79F2A946" w14:textId="77777777" w:rsidR="00FA18EA" w:rsidRPr="0091098D" w:rsidRDefault="00FA18EA" w:rsidP="00FA18EA">
            <w:pPr>
              <w:outlineLvl w:val="0"/>
              <w:rPr>
                <w:rFonts w:eastAsia="Times New Roman" w:cstheme="minorHAnsi"/>
                <w:sz w:val="18"/>
                <w:szCs w:val="18"/>
                <w:lang w:eastAsia="en-GB"/>
              </w:rPr>
            </w:pPr>
          </w:p>
        </w:tc>
        <w:tc>
          <w:tcPr>
            <w:tcW w:w="1295" w:type="dxa"/>
            <w:tcBorders>
              <w:top w:val="nil"/>
              <w:left w:val="nil"/>
              <w:bottom w:val="nil"/>
              <w:right w:val="nil"/>
            </w:tcBorders>
            <w:shd w:val="clear" w:color="auto" w:fill="auto"/>
            <w:noWrap/>
            <w:vAlign w:val="bottom"/>
            <w:hideMark/>
          </w:tcPr>
          <w:p w14:paraId="6D54EC4C" w14:textId="77777777" w:rsidR="00FA18EA" w:rsidRPr="0075195E" w:rsidRDefault="00FA18EA" w:rsidP="00FA18EA">
            <w:pPr>
              <w:outlineLvl w:val="0"/>
              <w:rPr>
                <w:rFonts w:eastAsia="Times New Roman" w:cstheme="minorHAnsi"/>
                <w:sz w:val="18"/>
                <w:szCs w:val="18"/>
                <w:lang w:eastAsia="en-GB"/>
              </w:rPr>
            </w:pPr>
          </w:p>
        </w:tc>
        <w:tc>
          <w:tcPr>
            <w:tcW w:w="1299" w:type="dxa"/>
            <w:tcBorders>
              <w:top w:val="nil"/>
              <w:left w:val="nil"/>
              <w:bottom w:val="nil"/>
              <w:right w:val="nil"/>
            </w:tcBorders>
            <w:shd w:val="clear" w:color="auto" w:fill="auto"/>
            <w:noWrap/>
            <w:vAlign w:val="bottom"/>
            <w:hideMark/>
          </w:tcPr>
          <w:p w14:paraId="6DFA01D7" w14:textId="77777777" w:rsidR="00FA18EA" w:rsidRPr="00536A35" w:rsidRDefault="00FA18EA" w:rsidP="00FA18EA">
            <w:pPr>
              <w:outlineLvl w:val="0"/>
              <w:rPr>
                <w:rFonts w:eastAsia="Times New Roman" w:cstheme="minorHAnsi"/>
                <w:sz w:val="18"/>
                <w:szCs w:val="18"/>
                <w:lang w:eastAsia="en-GB"/>
              </w:rPr>
            </w:pPr>
          </w:p>
        </w:tc>
      </w:tr>
      <w:tr w:rsidR="00FA18EA" w:rsidRPr="007600A7" w14:paraId="4242CB4A" w14:textId="77777777" w:rsidTr="00FA18EA">
        <w:trPr>
          <w:trHeight w:val="239"/>
        </w:trPr>
        <w:tc>
          <w:tcPr>
            <w:tcW w:w="0" w:type="auto"/>
            <w:tcBorders>
              <w:top w:val="nil"/>
              <w:left w:val="nil"/>
              <w:bottom w:val="nil"/>
              <w:right w:val="nil"/>
            </w:tcBorders>
            <w:shd w:val="clear" w:color="auto" w:fill="auto"/>
            <w:vAlign w:val="bottom"/>
            <w:hideMark/>
          </w:tcPr>
          <w:p w14:paraId="56E182DE" w14:textId="77777777" w:rsidR="00FA18EA" w:rsidRPr="008B2DDA" w:rsidRDefault="00FA18EA" w:rsidP="00FA18EA">
            <w:pPr>
              <w:outlineLvl w:val="0"/>
              <w:rPr>
                <w:rFonts w:eastAsia="Times New Roman" w:cstheme="minorHAnsi"/>
                <w:sz w:val="18"/>
                <w:szCs w:val="18"/>
                <w:lang w:eastAsia="en-GB"/>
              </w:rPr>
            </w:pPr>
            <w:r w:rsidRPr="008B2DDA">
              <w:rPr>
                <w:rFonts w:eastAsia="Times New Roman" w:cstheme="minorHAnsi"/>
                <w:sz w:val="18"/>
                <w:szCs w:val="18"/>
                <w:lang w:eastAsia="en-GB"/>
              </w:rPr>
              <w:t>2,541,046 (2021: 3,480,884) Ordinary Shares of 50 pence (2021: 50 pence)</w:t>
            </w:r>
          </w:p>
        </w:tc>
        <w:tc>
          <w:tcPr>
            <w:tcW w:w="784" w:type="dxa"/>
            <w:tcBorders>
              <w:top w:val="nil"/>
              <w:left w:val="nil"/>
              <w:bottom w:val="nil"/>
              <w:right w:val="nil"/>
            </w:tcBorders>
            <w:shd w:val="clear" w:color="auto" w:fill="auto"/>
            <w:noWrap/>
          </w:tcPr>
          <w:p w14:paraId="24665352" w14:textId="77777777" w:rsidR="00FA18EA" w:rsidRPr="000C5053" w:rsidRDefault="00FA18EA" w:rsidP="00FA18EA">
            <w:pPr>
              <w:jc w:val="right"/>
              <w:outlineLvl w:val="0"/>
              <w:rPr>
                <w:rFonts w:eastAsia="Times New Roman" w:cstheme="minorHAnsi"/>
                <w:b/>
                <w:bCs/>
                <w:sz w:val="18"/>
                <w:szCs w:val="18"/>
                <w:lang w:eastAsia="en-GB"/>
              </w:rPr>
            </w:pPr>
          </w:p>
        </w:tc>
        <w:tc>
          <w:tcPr>
            <w:tcW w:w="278" w:type="dxa"/>
            <w:tcBorders>
              <w:top w:val="nil"/>
              <w:left w:val="nil"/>
              <w:bottom w:val="nil"/>
              <w:right w:val="nil"/>
            </w:tcBorders>
            <w:shd w:val="clear" w:color="auto" w:fill="auto"/>
            <w:noWrap/>
          </w:tcPr>
          <w:p w14:paraId="04972E02" w14:textId="77777777" w:rsidR="00FA18EA" w:rsidRPr="0091098D" w:rsidRDefault="00FA18EA" w:rsidP="00FA18EA">
            <w:pPr>
              <w:jc w:val="right"/>
              <w:outlineLvl w:val="0"/>
              <w:rPr>
                <w:rFonts w:eastAsia="Times New Roman" w:cstheme="minorHAnsi"/>
                <w:sz w:val="18"/>
                <w:szCs w:val="18"/>
                <w:lang w:eastAsia="en-GB"/>
              </w:rPr>
            </w:pPr>
          </w:p>
        </w:tc>
        <w:tc>
          <w:tcPr>
            <w:tcW w:w="1295" w:type="dxa"/>
            <w:tcBorders>
              <w:top w:val="nil"/>
              <w:left w:val="nil"/>
              <w:bottom w:val="nil"/>
              <w:right w:val="nil"/>
            </w:tcBorders>
            <w:shd w:val="clear" w:color="auto" w:fill="auto"/>
            <w:noWrap/>
            <w:hideMark/>
          </w:tcPr>
          <w:p w14:paraId="36CCC590" w14:textId="77777777" w:rsidR="00FA18EA" w:rsidRPr="0075195E" w:rsidRDefault="00FA18EA" w:rsidP="00FA18EA">
            <w:pPr>
              <w:jc w:val="right"/>
              <w:outlineLvl w:val="0"/>
              <w:rPr>
                <w:rFonts w:eastAsia="Times New Roman" w:cstheme="minorHAnsi"/>
                <w:b/>
                <w:bCs/>
                <w:sz w:val="18"/>
                <w:szCs w:val="18"/>
                <w:lang w:eastAsia="en-GB"/>
              </w:rPr>
            </w:pPr>
            <w:r w:rsidRPr="0075195E">
              <w:rPr>
                <w:rFonts w:eastAsia="Times New Roman" w:cstheme="minorHAnsi"/>
                <w:b/>
                <w:bCs/>
                <w:sz w:val="18"/>
                <w:szCs w:val="18"/>
                <w:lang w:eastAsia="en-GB"/>
              </w:rPr>
              <w:t>1,271</w:t>
            </w:r>
          </w:p>
        </w:tc>
        <w:tc>
          <w:tcPr>
            <w:tcW w:w="1299" w:type="dxa"/>
            <w:tcBorders>
              <w:top w:val="nil"/>
              <w:left w:val="nil"/>
              <w:bottom w:val="nil"/>
              <w:right w:val="nil"/>
            </w:tcBorders>
            <w:shd w:val="clear" w:color="auto" w:fill="auto"/>
            <w:noWrap/>
            <w:hideMark/>
          </w:tcPr>
          <w:p w14:paraId="68C4000C" w14:textId="77777777" w:rsidR="00FA18EA" w:rsidRPr="00A02B31" w:rsidRDefault="00FA18EA" w:rsidP="00FA18EA">
            <w:pPr>
              <w:jc w:val="right"/>
              <w:outlineLvl w:val="0"/>
              <w:rPr>
                <w:rFonts w:eastAsia="Times New Roman" w:cstheme="minorHAnsi"/>
                <w:sz w:val="18"/>
                <w:szCs w:val="18"/>
                <w:lang w:eastAsia="en-GB"/>
              </w:rPr>
            </w:pPr>
            <w:r w:rsidRPr="00536A35">
              <w:rPr>
                <w:rFonts w:eastAsia="Times New Roman" w:cstheme="minorHAnsi"/>
                <w:bCs/>
                <w:sz w:val="18"/>
                <w:szCs w:val="18"/>
                <w:lang w:eastAsia="en-GB"/>
              </w:rPr>
              <w:t>1,741</w:t>
            </w:r>
          </w:p>
        </w:tc>
      </w:tr>
      <w:tr w:rsidR="00FA18EA" w:rsidRPr="007600A7" w14:paraId="4502FF6D" w14:textId="77777777" w:rsidTr="00FA18EA">
        <w:trPr>
          <w:trHeight w:val="271"/>
        </w:trPr>
        <w:tc>
          <w:tcPr>
            <w:tcW w:w="0" w:type="auto"/>
            <w:tcBorders>
              <w:top w:val="nil"/>
              <w:left w:val="nil"/>
              <w:bottom w:val="nil"/>
              <w:right w:val="nil"/>
            </w:tcBorders>
            <w:shd w:val="clear" w:color="auto" w:fill="auto"/>
            <w:vAlign w:val="bottom"/>
            <w:hideMark/>
          </w:tcPr>
          <w:p w14:paraId="177DA430" w14:textId="77777777" w:rsidR="00FA18EA" w:rsidRPr="008B2DDA" w:rsidRDefault="00FA18EA" w:rsidP="00FA18EA">
            <w:pPr>
              <w:outlineLvl w:val="0"/>
              <w:rPr>
                <w:rFonts w:eastAsia="Times New Roman" w:cstheme="minorHAnsi"/>
                <w:sz w:val="18"/>
                <w:szCs w:val="18"/>
                <w:highlight w:val="red"/>
                <w:lang w:eastAsia="en-GB"/>
              </w:rPr>
            </w:pPr>
            <w:r w:rsidRPr="008B2DDA">
              <w:rPr>
                <w:rFonts w:eastAsia="Times New Roman" w:cstheme="minorHAnsi"/>
                <w:sz w:val="18"/>
                <w:szCs w:val="18"/>
                <w:lang w:eastAsia="en-GB"/>
              </w:rPr>
              <w:t>2,000,000 (2021: 2,000,000) D shares of 0.50 pence (2021: 0.50 pence)</w:t>
            </w:r>
          </w:p>
        </w:tc>
        <w:tc>
          <w:tcPr>
            <w:tcW w:w="784" w:type="dxa"/>
            <w:tcBorders>
              <w:top w:val="nil"/>
              <w:left w:val="nil"/>
              <w:bottom w:val="nil"/>
              <w:right w:val="nil"/>
            </w:tcBorders>
            <w:shd w:val="clear" w:color="auto" w:fill="auto"/>
            <w:noWrap/>
          </w:tcPr>
          <w:p w14:paraId="4A1071CB" w14:textId="77777777" w:rsidR="00FA18EA" w:rsidRPr="000C5053" w:rsidRDefault="00FA18EA" w:rsidP="00FA18EA">
            <w:pPr>
              <w:jc w:val="right"/>
              <w:outlineLvl w:val="0"/>
              <w:rPr>
                <w:rFonts w:eastAsia="Times New Roman" w:cstheme="minorHAnsi"/>
                <w:b/>
                <w:bCs/>
                <w:sz w:val="18"/>
                <w:szCs w:val="18"/>
                <w:lang w:eastAsia="en-GB"/>
              </w:rPr>
            </w:pPr>
          </w:p>
        </w:tc>
        <w:tc>
          <w:tcPr>
            <w:tcW w:w="278" w:type="dxa"/>
            <w:tcBorders>
              <w:top w:val="nil"/>
              <w:left w:val="nil"/>
              <w:bottom w:val="nil"/>
              <w:right w:val="nil"/>
            </w:tcBorders>
            <w:shd w:val="clear" w:color="auto" w:fill="auto"/>
            <w:noWrap/>
          </w:tcPr>
          <w:p w14:paraId="73EA66F6" w14:textId="77777777" w:rsidR="00FA18EA" w:rsidRPr="0091098D" w:rsidRDefault="00FA18EA" w:rsidP="00FA18EA">
            <w:pPr>
              <w:jc w:val="right"/>
              <w:outlineLvl w:val="0"/>
              <w:rPr>
                <w:rFonts w:eastAsia="Times New Roman" w:cstheme="minorHAnsi"/>
                <w:sz w:val="18"/>
                <w:szCs w:val="18"/>
                <w:lang w:eastAsia="en-GB"/>
              </w:rPr>
            </w:pPr>
          </w:p>
        </w:tc>
        <w:tc>
          <w:tcPr>
            <w:tcW w:w="1295" w:type="dxa"/>
            <w:tcBorders>
              <w:top w:val="nil"/>
              <w:left w:val="nil"/>
              <w:bottom w:val="nil"/>
              <w:right w:val="nil"/>
            </w:tcBorders>
            <w:shd w:val="clear" w:color="auto" w:fill="auto"/>
            <w:noWrap/>
            <w:hideMark/>
          </w:tcPr>
          <w:p w14:paraId="027CF2FE" w14:textId="77777777" w:rsidR="00FA18EA" w:rsidRPr="0075195E" w:rsidRDefault="00FA18EA" w:rsidP="00FA18EA">
            <w:pPr>
              <w:jc w:val="right"/>
              <w:outlineLvl w:val="0"/>
              <w:rPr>
                <w:rFonts w:eastAsia="Times New Roman" w:cstheme="minorHAnsi"/>
                <w:b/>
                <w:bCs/>
                <w:sz w:val="18"/>
                <w:szCs w:val="18"/>
                <w:lang w:eastAsia="en-GB"/>
              </w:rPr>
            </w:pPr>
            <w:r w:rsidRPr="0075195E">
              <w:rPr>
                <w:rFonts w:eastAsia="Times New Roman" w:cstheme="minorHAnsi"/>
                <w:b/>
                <w:bCs/>
                <w:sz w:val="18"/>
                <w:szCs w:val="18"/>
                <w:lang w:eastAsia="en-GB"/>
              </w:rPr>
              <w:t>10</w:t>
            </w:r>
          </w:p>
        </w:tc>
        <w:tc>
          <w:tcPr>
            <w:tcW w:w="1299" w:type="dxa"/>
            <w:tcBorders>
              <w:top w:val="nil"/>
              <w:left w:val="nil"/>
              <w:bottom w:val="nil"/>
              <w:right w:val="nil"/>
            </w:tcBorders>
            <w:shd w:val="clear" w:color="auto" w:fill="auto"/>
            <w:noWrap/>
            <w:hideMark/>
          </w:tcPr>
          <w:p w14:paraId="0E82A510" w14:textId="77777777" w:rsidR="00FA18EA" w:rsidRPr="00A02B31" w:rsidRDefault="00FA18EA" w:rsidP="00FA18EA">
            <w:pPr>
              <w:jc w:val="right"/>
              <w:outlineLvl w:val="0"/>
              <w:rPr>
                <w:rFonts w:eastAsia="Times New Roman" w:cstheme="minorHAnsi"/>
                <w:sz w:val="18"/>
                <w:szCs w:val="18"/>
                <w:lang w:eastAsia="en-GB"/>
              </w:rPr>
            </w:pPr>
            <w:r w:rsidRPr="00536A35">
              <w:rPr>
                <w:rFonts w:eastAsia="Times New Roman" w:cstheme="minorHAnsi"/>
                <w:bCs/>
                <w:sz w:val="18"/>
                <w:szCs w:val="18"/>
                <w:lang w:eastAsia="en-GB"/>
              </w:rPr>
              <w:t>10</w:t>
            </w:r>
          </w:p>
        </w:tc>
      </w:tr>
      <w:tr w:rsidR="00FA18EA" w:rsidRPr="007600A7" w14:paraId="2A5B6323" w14:textId="77777777" w:rsidTr="00FA18EA">
        <w:trPr>
          <w:trHeight w:val="287"/>
        </w:trPr>
        <w:tc>
          <w:tcPr>
            <w:tcW w:w="0" w:type="auto"/>
            <w:tcBorders>
              <w:top w:val="single" w:sz="4" w:space="0" w:color="auto"/>
              <w:left w:val="nil"/>
              <w:bottom w:val="single" w:sz="8" w:space="0" w:color="auto"/>
              <w:right w:val="nil"/>
            </w:tcBorders>
            <w:shd w:val="clear" w:color="auto" w:fill="auto"/>
            <w:noWrap/>
            <w:vAlign w:val="bottom"/>
            <w:hideMark/>
          </w:tcPr>
          <w:p w14:paraId="1F0DD450" w14:textId="77777777" w:rsidR="00FA18EA" w:rsidRPr="008B2DDA" w:rsidRDefault="00FA18EA" w:rsidP="00FA18EA">
            <w:pPr>
              <w:outlineLvl w:val="0"/>
              <w:rPr>
                <w:rFonts w:eastAsia="Times New Roman" w:cstheme="minorHAnsi"/>
                <w:sz w:val="18"/>
                <w:szCs w:val="18"/>
                <w:lang w:eastAsia="en-GB"/>
              </w:rPr>
            </w:pPr>
            <w:r w:rsidRPr="008B2DDA">
              <w:rPr>
                <w:rFonts w:eastAsia="Times New Roman" w:cstheme="minorHAnsi"/>
                <w:sz w:val="18"/>
                <w:szCs w:val="18"/>
                <w:lang w:eastAsia="en-GB"/>
              </w:rPr>
              <w:t> </w:t>
            </w:r>
          </w:p>
        </w:tc>
        <w:tc>
          <w:tcPr>
            <w:tcW w:w="784" w:type="dxa"/>
            <w:tcBorders>
              <w:top w:val="single" w:sz="4" w:space="0" w:color="auto"/>
              <w:left w:val="nil"/>
              <w:bottom w:val="single" w:sz="8" w:space="0" w:color="auto"/>
              <w:right w:val="nil"/>
            </w:tcBorders>
            <w:shd w:val="clear" w:color="auto" w:fill="auto"/>
            <w:noWrap/>
            <w:vAlign w:val="bottom"/>
          </w:tcPr>
          <w:p w14:paraId="7096C120" w14:textId="77777777" w:rsidR="00FA18EA" w:rsidRPr="000C5053" w:rsidRDefault="00FA18EA" w:rsidP="00FA18EA">
            <w:pPr>
              <w:jc w:val="right"/>
              <w:outlineLvl w:val="0"/>
              <w:rPr>
                <w:rFonts w:eastAsia="Times New Roman" w:cstheme="minorHAnsi"/>
                <w:b/>
                <w:bCs/>
                <w:sz w:val="18"/>
                <w:szCs w:val="18"/>
                <w:lang w:eastAsia="en-GB"/>
              </w:rPr>
            </w:pPr>
          </w:p>
        </w:tc>
        <w:tc>
          <w:tcPr>
            <w:tcW w:w="278" w:type="dxa"/>
            <w:tcBorders>
              <w:top w:val="single" w:sz="4" w:space="0" w:color="auto"/>
              <w:left w:val="nil"/>
              <w:bottom w:val="single" w:sz="8" w:space="0" w:color="auto"/>
              <w:right w:val="nil"/>
            </w:tcBorders>
            <w:shd w:val="clear" w:color="auto" w:fill="auto"/>
            <w:noWrap/>
            <w:vAlign w:val="bottom"/>
          </w:tcPr>
          <w:p w14:paraId="627BCE13" w14:textId="77777777" w:rsidR="00FA18EA" w:rsidRPr="0091098D" w:rsidRDefault="00FA18EA" w:rsidP="00FA18EA">
            <w:pPr>
              <w:jc w:val="right"/>
              <w:outlineLvl w:val="0"/>
              <w:rPr>
                <w:rFonts w:eastAsia="Times New Roman" w:cstheme="minorHAnsi"/>
                <w:sz w:val="18"/>
                <w:szCs w:val="18"/>
                <w:lang w:eastAsia="en-GB"/>
              </w:rPr>
            </w:pPr>
          </w:p>
        </w:tc>
        <w:tc>
          <w:tcPr>
            <w:tcW w:w="1295" w:type="dxa"/>
            <w:tcBorders>
              <w:top w:val="single" w:sz="4" w:space="0" w:color="auto"/>
              <w:left w:val="nil"/>
              <w:bottom w:val="single" w:sz="8" w:space="0" w:color="auto"/>
              <w:right w:val="nil"/>
            </w:tcBorders>
            <w:shd w:val="clear" w:color="auto" w:fill="auto"/>
            <w:noWrap/>
            <w:vAlign w:val="bottom"/>
            <w:hideMark/>
          </w:tcPr>
          <w:p w14:paraId="429DAD02" w14:textId="77777777" w:rsidR="00FA18EA" w:rsidRPr="0075195E" w:rsidRDefault="00FA18EA" w:rsidP="00FA18EA">
            <w:pPr>
              <w:jc w:val="right"/>
              <w:outlineLvl w:val="0"/>
              <w:rPr>
                <w:rFonts w:eastAsia="Times New Roman" w:cstheme="minorHAnsi"/>
                <w:b/>
                <w:bCs/>
                <w:sz w:val="18"/>
                <w:szCs w:val="18"/>
                <w:lang w:eastAsia="en-GB"/>
              </w:rPr>
            </w:pPr>
            <w:r w:rsidRPr="0075195E">
              <w:rPr>
                <w:rFonts w:eastAsia="Times New Roman" w:cstheme="minorHAnsi"/>
                <w:b/>
                <w:bCs/>
                <w:sz w:val="18"/>
                <w:szCs w:val="18"/>
                <w:lang w:eastAsia="en-GB"/>
              </w:rPr>
              <w:t>1,281</w:t>
            </w:r>
          </w:p>
        </w:tc>
        <w:tc>
          <w:tcPr>
            <w:tcW w:w="1299" w:type="dxa"/>
            <w:tcBorders>
              <w:top w:val="single" w:sz="4" w:space="0" w:color="auto"/>
              <w:left w:val="nil"/>
              <w:bottom w:val="single" w:sz="8" w:space="0" w:color="auto"/>
              <w:right w:val="nil"/>
            </w:tcBorders>
            <w:shd w:val="clear" w:color="auto" w:fill="auto"/>
            <w:noWrap/>
            <w:vAlign w:val="bottom"/>
            <w:hideMark/>
          </w:tcPr>
          <w:p w14:paraId="3602F41A" w14:textId="77777777" w:rsidR="00FA18EA" w:rsidRPr="00A02B31" w:rsidRDefault="00FA18EA" w:rsidP="00FA18EA">
            <w:pPr>
              <w:jc w:val="right"/>
              <w:outlineLvl w:val="0"/>
              <w:rPr>
                <w:rFonts w:eastAsia="Times New Roman" w:cstheme="minorHAnsi"/>
                <w:sz w:val="18"/>
                <w:szCs w:val="18"/>
                <w:lang w:eastAsia="en-GB"/>
              </w:rPr>
            </w:pPr>
            <w:r w:rsidRPr="00536A35">
              <w:rPr>
                <w:rFonts w:eastAsia="Times New Roman" w:cstheme="minorHAnsi"/>
                <w:bCs/>
                <w:sz w:val="18"/>
                <w:szCs w:val="18"/>
                <w:lang w:eastAsia="en-GB"/>
              </w:rPr>
              <w:t>1,751</w:t>
            </w:r>
          </w:p>
        </w:tc>
      </w:tr>
    </w:tbl>
    <w:p w14:paraId="0EF6F974" w14:textId="77777777" w:rsidR="00FA18EA" w:rsidRPr="008B2DDA" w:rsidRDefault="00FA18EA" w:rsidP="00FA18EA">
      <w:pPr>
        <w:autoSpaceDE w:val="0"/>
        <w:autoSpaceDN w:val="0"/>
        <w:adjustRightInd w:val="0"/>
        <w:jc w:val="both"/>
        <w:rPr>
          <w:rFonts w:cstheme="minorHAnsi"/>
          <w:color w:val="000000"/>
          <w:sz w:val="18"/>
          <w:szCs w:val="16"/>
        </w:rPr>
      </w:pPr>
    </w:p>
    <w:p w14:paraId="33CC9269" w14:textId="77777777" w:rsidR="00FA18EA" w:rsidRPr="0091098D" w:rsidRDefault="00FA18EA" w:rsidP="00FA18EA">
      <w:pPr>
        <w:autoSpaceDE w:val="0"/>
        <w:autoSpaceDN w:val="0"/>
        <w:adjustRightInd w:val="0"/>
        <w:jc w:val="both"/>
        <w:rPr>
          <w:rFonts w:cstheme="minorHAnsi"/>
          <w:color w:val="000000" w:themeColor="text1"/>
          <w:sz w:val="18"/>
          <w:szCs w:val="18"/>
        </w:rPr>
      </w:pPr>
      <w:r w:rsidRPr="000C5053">
        <w:rPr>
          <w:rFonts w:cstheme="minorHAnsi"/>
          <w:color w:val="000000" w:themeColor="text1"/>
          <w:sz w:val="18"/>
          <w:szCs w:val="18"/>
        </w:rPr>
        <w:t xml:space="preserve">As at 31 March 2022, the total number of shares in issue were 2,541,046 (2021: 3,480,884). </w:t>
      </w:r>
    </w:p>
    <w:p w14:paraId="4A19939F" w14:textId="77777777" w:rsidR="00FA18EA" w:rsidRPr="0075195E" w:rsidRDefault="00FA18EA" w:rsidP="00FA18EA">
      <w:pPr>
        <w:autoSpaceDE w:val="0"/>
        <w:autoSpaceDN w:val="0"/>
        <w:adjustRightInd w:val="0"/>
        <w:jc w:val="both"/>
        <w:rPr>
          <w:rFonts w:cstheme="minorHAnsi"/>
          <w:color w:val="000000" w:themeColor="text1"/>
          <w:sz w:val="18"/>
          <w:szCs w:val="18"/>
        </w:rPr>
      </w:pPr>
    </w:p>
    <w:p w14:paraId="52410D8F" w14:textId="22779239" w:rsidR="00FA18EA" w:rsidRPr="00A02B31" w:rsidRDefault="00FA18EA" w:rsidP="00FA18EA">
      <w:pPr>
        <w:autoSpaceDE w:val="0"/>
        <w:autoSpaceDN w:val="0"/>
        <w:adjustRightInd w:val="0"/>
        <w:jc w:val="both"/>
        <w:rPr>
          <w:rFonts w:cstheme="minorHAnsi"/>
          <w:color w:val="000000" w:themeColor="text1"/>
          <w:sz w:val="18"/>
          <w:szCs w:val="18"/>
        </w:rPr>
      </w:pPr>
      <w:r w:rsidRPr="0075195E">
        <w:rPr>
          <w:rFonts w:cstheme="minorHAnsi"/>
          <w:color w:val="000000" w:themeColor="text1"/>
          <w:sz w:val="18"/>
          <w:szCs w:val="18"/>
        </w:rPr>
        <w:t>During the year,</w:t>
      </w:r>
      <w:r w:rsidRPr="0075195E">
        <w:rPr>
          <w:rFonts w:cstheme="minorHAnsi"/>
        </w:rPr>
        <w:t xml:space="preserve"> </w:t>
      </w:r>
      <w:r w:rsidRPr="00536A35">
        <w:rPr>
          <w:rFonts w:cstheme="minorHAnsi"/>
          <w:color w:val="000000" w:themeColor="text1"/>
          <w:sz w:val="18"/>
          <w:szCs w:val="18"/>
        </w:rPr>
        <w:t xml:space="preserve">the Company established </w:t>
      </w:r>
      <w:r w:rsidR="00F5369C" w:rsidRPr="00A02B31">
        <w:rPr>
          <w:rFonts w:cstheme="minorHAnsi"/>
          <w:color w:val="000000" w:themeColor="text1"/>
          <w:sz w:val="18"/>
          <w:szCs w:val="18"/>
        </w:rPr>
        <w:t>a</w:t>
      </w:r>
      <w:r w:rsidRPr="00A02B31">
        <w:rPr>
          <w:rFonts w:cstheme="minorHAnsi"/>
          <w:color w:val="000000" w:themeColor="text1"/>
          <w:sz w:val="18"/>
          <w:szCs w:val="18"/>
        </w:rPr>
        <w:t xml:space="preserve"> B Share</w:t>
      </w:r>
      <w:r w:rsidR="00A4427A" w:rsidRPr="00A02B31">
        <w:rPr>
          <w:rFonts w:cstheme="minorHAnsi"/>
          <w:color w:val="000000" w:themeColor="text1"/>
          <w:sz w:val="18"/>
          <w:szCs w:val="18"/>
        </w:rPr>
        <w:t>s</w:t>
      </w:r>
      <w:r w:rsidRPr="00A02B31">
        <w:rPr>
          <w:rFonts w:cstheme="minorHAnsi"/>
          <w:color w:val="000000" w:themeColor="text1"/>
          <w:sz w:val="18"/>
          <w:szCs w:val="18"/>
        </w:rPr>
        <w:t xml:space="preserve"> Scheme as defined in the circular to Shareholders dated 29 November 2021 to return £10,443k to Shareholders via an issue and redemption of B Shares.</w:t>
      </w:r>
    </w:p>
    <w:p w14:paraId="24B1F5C7" w14:textId="77777777" w:rsidR="00FA18EA" w:rsidRPr="00A02B31" w:rsidRDefault="00FA18EA" w:rsidP="00FA18EA">
      <w:pPr>
        <w:autoSpaceDE w:val="0"/>
        <w:autoSpaceDN w:val="0"/>
        <w:adjustRightInd w:val="0"/>
        <w:jc w:val="both"/>
        <w:rPr>
          <w:rFonts w:cstheme="minorHAnsi"/>
          <w:color w:val="000000"/>
          <w:sz w:val="18"/>
          <w:szCs w:val="18"/>
        </w:rPr>
      </w:pPr>
    </w:p>
    <w:p w14:paraId="5A2E8A10" w14:textId="77777777" w:rsidR="00FA18EA" w:rsidRPr="00A02B31" w:rsidRDefault="00FA18EA" w:rsidP="00FA18EA">
      <w:pPr>
        <w:autoSpaceDE w:val="0"/>
        <w:autoSpaceDN w:val="0"/>
        <w:adjustRightInd w:val="0"/>
        <w:jc w:val="both"/>
        <w:rPr>
          <w:rFonts w:cstheme="minorHAnsi"/>
          <w:color w:val="000000" w:themeColor="text1"/>
          <w:sz w:val="18"/>
          <w:szCs w:val="18"/>
        </w:rPr>
      </w:pPr>
      <w:r w:rsidRPr="00A02B31">
        <w:rPr>
          <w:rFonts w:cstheme="minorHAnsi"/>
          <w:color w:val="000000" w:themeColor="text1"/>
          <w:sz w:val="18"/>
          <w:szCs w:val="18"/>
        </w:rPr>
        <w:t>Also during the year, 939,838 Shares were bought back at the Tender Price of 1,551.17 pence with a total cost of £14,578k.</w:t>
      </w:r>
    </w:p>
    <w:p w14:paraId="46737F8C" w14:textId="77777777" w:rsidR="00FA18EA" w:rsidRPr="00A02B31" w:rsidRDefault="00FA18EA" w:rsidP="00FA18EA">
      <w:pPr>
        <w:autoSpaceDE w:val="0"/>
        <w:autoSpaceDN w:val="0"/>
        <w:adjustRightInd w:val="0"/>
        <w:jc w:val="both"/>
        <w:rPr>
          <w:rFonts w:cstheme="minorHAnsi"/>
          <w:color w:val="000000" w:themeColor="text1"/>
          <w:sz w:val="18"/>
          <w:szCs w:val="18"/>
        </w:rPr>
      </w:pPr>
    </w:p>
    <w:p w14:paraId="57F101BD" w14:textId="050F3515" w:rsidR="00FA18EA" w:rsidRPr="00A02B31" w:rsidRDefault="00FA18EA" w:rsidP="00FA18EA">
      <w:pPr>
        <w:autoSpaceDE w:val="0"/>
        <w:autoSpaceDN w:val="0"/>
        <w:adjustRightInd w:val="0"/>
        <w:jc w:val="both"/>
        <w:rPr>
          <w:rFonts w:cstheme="minorHAnsi"/>
          <w:sz w:val="18"/>
          <w:szCs w:val="16"/>
        </w:rPr>
      </w:pPr>
      <w:r w:rsidRPr="00A02B31">
        <w:rPr>
          <w:rFonts w:cstheme="minorHAnsi"/>
          <w:sz w:val="18"/>
          <w:szCs w:val="16"/>
        </w:rPr>
        <w:t>The average share price of Rockwood</w:t>
      </w:r>
      <w:r w:rsidR="00D434F3" w:rsidRPr="00A02B31">
        <w:rPr>
          <w:rFonts w:cstheme="minorHAnsi"/>
          <w:sz w:val="18"/>
          <w:szCs w:val="16"/>
        </w:rPr>
        <w:t xml:space="preserve"> Strategic</w:t>
      </w:r>
      <w:r w:rsidRPr="00A02B31">
        <w:rPr>
          <w:rFonts w:cstheme="minorHAnsi"/>
          <w:sz w:val="18"/>
          <w:szCs w:val="16"/>
        </w:rPr>
        <w:t xml:space="preserve"> Plc quoted Ordinary Shares in the y</w:t>
      </w:r>
      <w:r w:rsidR="006E464D">
        <w:rPr>
          <w:rFonts w:cstheme="minorHAnsi"/>
          <w:sz w:val="18"/>
          <w:szCs w:val="16"/>
        </w:rPr>
        <w:t>ear-ended 31 March 2022 was 1,491</w:t>
      </w:r>
      <w:r w:rsidRPr="00A02B31">
        <w:rPr>
          <w:rFonts w:cstheme="minorHAnsi"/>
          <w:sz w:val="18"/>
          <w:szCs w:val="16"/>
        </w:rPr>
        <w:t>.</w:t>
      </w:r>
      <w:r w:rsidR="006E464D">
        <w:rPr>
          <w:rFonts w:cstheme="minorHAnsi"/>
          <w:sz w:val="18"/>
          <w:szCs w:val="16"/>
        </w:rPr>
        <w:t>90</w:t>
      </w:r>
      <w:r w:rsidRPr="00A02B31">
        <w:rPr>
          <w:rFonts w:cstheme="minorHAnsi"/>
          <w:sz w:val="18"/>
          <w:szCs w:val="16"/>
        </w:rPr>
        <w:t xml:space="preserve"> pence. In the year, the share </w:t>
      </w:r>
      <w:r w:rsidR="006E464D">
        <w:rPr>
          <w:rFonts w:cstheme="minorHAnsi"/>
          <w:sz w:val="18"/>
          <w:szCs w:val="16"/>
        </w:rPr>
        <w:t>price reached a maximum of 1,710</w:t>
      </w:r>
      <w:r w:rsidRPr="00A02B31">
        <w:rPr>
          <w:rFonts w:cstheme="minorHAnsi"/>
          <w:sz w:val="18"/>
          <w:szCs w:val="16"/>
        </w:rPr>
        <w:t>.</w:t>
      </w:r>
      <w:r w:rsidR="006E464D">
        <w:rPr>
          <w:rFonts w:cstheme="minorHAnsi"/>
          <w:sz w:val="18"/>
          <w:szCs w:val="16"/>
        </w:rPr>
        <w:t>70 pence and a minimum of 1334.71</w:t>
      </w:r>
      <w:r w:rsidRPr="00A02B31">
        <w:rPr>
          <w:rFonts w:cstheme="minorHAnsi"/>
          <w:sz w:val="18"/>
          <w:szCs w:val="16"/>
        </w:rPr>
        <w:t xml:space="preserve"> pence. The closing share price on 31 March 2022 was 1,420.0 pence.</w:t>
      </w:r>
    </w:p>
    <w:p w14:paraId="53DC8E5E" w14:textId="77777777" w:rsidR="00FA18EA" w:rsidRPr="00A02B31" w:rsidRDefault="00FA18EA" w:rsidP="00FA18EA">
      <w:pPr>
        <w:autoSpaceDE w:val="0"/>
        <w:autoSpaceDN w:val="0"/>
        <w:adjustRightInd w:val="0"/>
        <w:jc w:val="both"/>
        <w:rPr>
          <w:rFonts w:cstheme="minorHAnsi"/>
          <w:sz w:val="18"/>
          <w:szCs w:val="18"/>
        </w:rPr>
      </w:pPr>
    </w:p>
    <w:p w14:paraId="4F4E9CC4" w14:textId="77777777" w:rsidR="00FA18EA" w:rsidRPr="00A02B31" w:rsidRDefault="00FA18EA" w:rsidP="00FA18EA">
      <w:pPr>
        <w:autoSpaceDE w:val="0"/>
        <w:autoSpaceDN w:val="0"/>
        <w:adjustRightInd w:val="0"/>
        <w:rPr>
          <w:rFonts w:cstheme="minorHAnsi"/>
          <w:color w:val="000000" w:themeColor="text1"/>
          <w:sz w:val="18"/>
          <w:szCs w:val="18"/>
        </w:rPr>
      </w:pPr>
      <w:r w:rsidRPr="00A02B31">
        <w:rPr>
          <w:rFonts w:cstheme="minorHAnsi"/>
          <w:color w:val="000000" w:themeColor="text1"/>
          <w:sz w:val="18"/>
          <w:szCs w:val="18"/>
        </w:rPr>
        <w:t>The Company’s shares are listed on London’s AIM market under reference</w:t>
      </w:r>
      <w:r w:rsidRPr="00A02B31">
        <w:rPr>
          <w:rFonts w:cstheme="minorHAnsi"/>
          <w:color w:val="FF0000"/>
          <w:sz w:val="18"/>
          <w:szCs w:val="18"/>
        </w:rPr>
        <w:t xml:space="preserve"> </w:t>
      </w:r>
      <w:r w:rsidRPr="00A02B31">
        <w:rPr>
          <w:rFonts w:cstheme="minorHAnsi"/>
          <w:color w:val="000000" w:themeColor="text1"/>
          <w:sz w:val="18"/>
          <w:szCs w:val="18"/>
        </w:rPr>
        <w:t>RKW.</w:t>
      </w:r>
    </w:p>
    <w:p w14:paraId="15E0E545" w14:textId="77777777" w:rsidR="00FA18EA" w:rsidRPr="00A02B31" w:rsidRDefault="00FA18EA" w:rsidP="00FA18EA">
      <w:pPr>
        <w:autoSpaceDE w:val="0"/>
        <w:autoSpaceDN w:val="0"/>
        <w:adjustRightInd w:val="0"/>
        <w:rPr>
          <w:rFonts w:cstheme="minorHAnsi"/>
          <w:color w:val="000000" w:themeColor="text1"/>
          <w:sz w:val="18"/>
          <w:szCs w:val="18"/>
        </w:rPr>
      </w:pPr>
    </w:p>
    <w:p w14:paraId="6FC84847" w14:textId="77777777" w:rsidR="00FA18EA" w:rsidRPr="00A02B31" w:rsidRDefault="00FA18EA" w:rsidP="00FA18EA">
      <w:pPr>
        <w:autoSpaceDE w:val="0"/>
        <w:autoSpaceDN w:val="0"/>
        <w:adjustRightInd w:val="0"/>
        <w:rPr>
          <w:rFonts w:cstheme="minorHAnsi"/>
          <w:b/>
          <w:color w:val="000000"/>
        </w:rPr>
      </w:pPr>
      <w:r w:rsidRPr="00A02B31">
        <w:rPr>
          <w:rFonts w:cstheme="minorHAnsi"/>
          <w:b/>
          <w:color w:val="000000"/>
        </w:rPr>
        <w:t>13 Financial instruments and financial risk management</w:t>
      </w:r>
    </w:p>
    <w:p w14:paraId="7189BF2E" w14:textId="77777777" w:rsidR="00FA18EA" w:rsidRPr="00A02B31" w:rsidRDefault="00FA18EA" w:rsidP="00FA18EA">
      <w:pPr>
        <w:autoSpaceDE w:val="0"/>
        <w:autoSpaceDN w:val="0"/>
        <w:adjustRightInd w:val="0"/>
        <w:jc w:val="both"/>
        <w:rPr>
          <w:rFonts w:cstheme="minorHAnsi"/>
          <w:color w:val="000000" w:themeColor="text1"/>
          <w:sz w:val="18"/>
          <w:szCs w:val="18"/>
        </w:rPr>
      </w:pPr>
    </w:p>
    <w:p w14:paraId="4C783D6C" w14:textId="77777777" w:rsidR="00FA18EA" w:rsidRPr="000C1F6F" w:rsidRDefault="00FA18EA" w:rsidP="00FA18EA">
      <w:pPr>
        <w:autoSpaceDE w:val="0"/>
        <w:autoSpaceDN w:val="0"/>
        <w:adjustRightInd w:val="0"/>
        <w:jc w:val="both"/>
        <w:rPr>
          <w:rFonts w:cstheme="minorHAnsi"/>
          <w:color w:val="000000" w:themeColor="text1"/>
          <w:sz w:val="18"/>
          <w:szCs w:val="18"/>
        </w:rPr>
      </w:pPr>
      <w:r w:rsidRPr="00A02B31">
        <w:rPr>
          <w:rFonts w:cstheme="minorHAnsi"/>
          <w:color w:val="000000" w:themeColor="text1"/>
          <w:sz w:val="18"/>
          <w:szCs w:val="18"/>
        </w:rPr>
        <w:t xml:space="preserve">The Company </w:t>
      </w:r>
      <w:r w:rsidRPr="00A02B31">
        <w:rPr>
          <w:rFonts w:cstheme="minorHAnsi"/>
          <w:sz w:val="18"/>
          <w:szCs w:val="18"/>
        </w:rPr>
        <w:t>invests in quoted</w:t>
      </w:r>
      <w:r w:rsidRPr="007600A7">
        <w:rPr>
          <w:rFonts w:cstheme="minorHAnsi"/>
          <w:sz w:val="18"/>
          <w:szCs w:val="18"/>
        </w:rPr>
        <w:t xml:space="preserve"> and unquoted companies in accordance </w:t>
      </w:r>
      <w:r w:rsidRPr="007600A7">
        <w:rPr>
          <w:rFonts w:cstheme="minorHAnsi"/>
          <w:color w:val="000000" w:themeColor="text1"/>
          <w:sz w:val="18"/>
          <w:szCs w:val="18"/>
        </w:rPr>
        <w:t>with the investment policy. In addition to investments in smaller listed companies in the UK, the Company maintains liquidity balances in the form of cash held for follow-on financing and debtors and creditors that arise directly fr</w:t>
      </w:r>
      <w:r w:rsidRPr="000C1F6F">
        <w:rPr>
          <w:rFonts w:cstheme="minorHAnsi"/>
          <w:color w:val="000000" w:themeColor="text1"/>
          <w:sz w:val="18"/>
          <w:szCs w:val="18"/>
        </w:rPr>
        <w:t>om its operations. As at 31 March 2022, £28.7 million of the Company’s net assets were invested in quoted investments, £2.9 million in unquoted investments and £11.5 million in liquid balances (31 March 2021: £47.6 million in quoted investments, £6.3 million in unquoted investments and £1.7 million in liquidity).</w:t>
      </w:r>
    </w:p>
    <w:p w14:paraId="3BD93FDC" w14:textId="77777777" w:rsidR="00FA18EA" w:rsidRPr="008B2DDA" w:rsidRDefault="00FA18EA" w:rsidP="00FA18EA">
      <w:pPr>
        <w:autoSpaceDE w:val="0"/>
        <w:autoSpaceDN w:val="0"/>
        <w:adjustRightInd w:val="0"/>
        <w:jc w:val="both"/>
        <w:rPr>
          <w:rFonts w:cstheme="minorHAnsi"/>
          <w:color w:val="000000" w:themeColor="text1"/>
          <w:sz w:val="18"/>
          <w:szCs w:val="18"/>
        </w:rPr>
      </w:pPr>
    </w:p>
    <w:p w14:paraId="1873BCC8" w14:textId="77777777" w:rsidR="00FA18EA" w:rsidRPr="0091098D" w:rsidRDefault="00FA18EA" w:rsidP="00FA18EA">
      <w:pPr>
        <w:autoSpaceDE w:val="0"/>
        <w:autoSpaceDN w:val="0"/>
        <w:adjustRightInd w:val="0"/>
        <w:jc w:val="both"/>
        <w:rPr>
          <w:rFonts w:cstheme="minorHAnsi"/>
          <w:color w:val="000000" w:themeColor="text1"/>
          <w:sz w:val="18"/>
          <w:szCs w:val="18"/>
        </w:rPr>
      </w:pPr>
      <w:r w:rsidRPr="000C5053">
        <w:rPr>
          <w:rFonts w:cstheme="minorHAnsi"/>
          <w:color w:val="000000" w:themeColor="text1"/>
          <w:sz w:val="18"/>
          <w:szCs w:val="18"/>
        </w:rPr>
        <w:t xml:space="preserve">In pursuing its investment policy, the Company is exposed to risks that could result in a reduction in the value of net assets and consequently funds available for distribution by </w:t>
      </w:r>
      <w:r w:rsidRPr="0091098D">
        <w:rPr>
          <w:rFonts w:cstheme="minorHAnsi"/>
          <w:color w:val="000000" w:themeColor="text1"/>
          <w:sz w:val="18"/>
          <w:szCs w:val="18"/>
        </w:rPr>
        <w:t>way of dividend or for re-investment.</w:t>
      </w:r>
    </w:p>
    <w:p w14:paraId="2B1E00AD" w14:textId="77777777" w:rsidR="00FA18EA" w:rsidRPr="0075195E" w:rsidRDefault="00FA18EA" w:rsidP="00FA18EA">
      <w:pPr>
        <w:autoSpaceDE w:val="0"/>
        <w:autoSpaceDN w:val="0"/>
        <w:adjustRightInd w:val="0"/>
        <w:jc w:val="both"/>
        <w:rPr>
          <w:rFonts w:cstheme="minorHAnsi"/>
          <w:color w:val="000000" w:themeColor="text1"/>
          <w:sz w:val="18"/>
          <w:szCs w:val="18"/>
        </w:rPr>
      </w:pPr>
    </w:p>
    <w:p w14:paraId="390CB348" w14:textId="77777777" w:rsidR="00FA18EA" w:rsidRPr="00A02B31" w:rsidRDefault="00FA18EA" w:rsidP="00FA18EA">
      <w:pPr>
        <w:autoSpaceDE w:val="0"/>
        <w:autoSpaceDN w:val="0"/>
        <w:adjustRightInd w:val="0"/>
        <w:jc w:val="both"/>
        <w:rPr>
          <w:rFonts w:cstheme="minorHAnsi"/>
          <w:color w:val="000000" w:themeColor="text1"/>
          <w:sz w:val="18"/>
          <w:szCs w:val="18"/>
        </w:rPr>
      </w:pPr>
      <w:r w:rsidRPr="00536A35">
        <w:rPr>
          <w:rFonts w:cstheme="minorHAnsi"/>
          <w:color w:val="000000" w:themeColor="text1"/>
          <w:sz w:val="18"/>
          <w:szCs w:val="18"/>
        </w:rPr>
        <w:t xml:space="preserve">The main risks arising from the Company’s financial instruments are due to fluctuations in market prices </w:t>
      </w:r>
      <w:r w:rsidRPr="00A02B31">
        <w:rPr>
          <w:rFonts w:cstheme="minorHAnsi"/>
          <w:color w:val="000000" w:themeColor="text1"/>
          <w:sz w:val="18"/>
          <w:szCs w:val="18"/>
        </w:rPr>
        <w:t>(market price risk), credit and liquidity risk and cash flow interest rate risk; credit risk and liquidity risk are also discussed below. The Board regularly reviews and agrees policies for managing each of these risks and they are summarised below. These have been in place throughout the current and preceding years.</w:t>
      </w:r>
    </w:p>
    <w:p w14:paraId="3746A11B" w14:textId="77777777" w:rsidR="00FA18EA" w:rsidRPr="00A02B31" w:rsidRDefault="00FA18EA" w:rsidP="00FA18EA">
      <w:pPr>
        <w:autoSpaceDE w:val="0"/>
        <w:autoSpaceDN w:val="0"/>
        <w:adjustRightInd w:val="0"/>
        <w:jc w:val="both"/>
        <w:rPr>
          <w:rFonts w:cstheme="minorHAnsi"/>
          <w:color w:val="000000" w:themeColor="text1"/>
          <w:sz w:val="18"/>
          <w:szCs w:val="18"/>
        </w:rPr>
      </w:pPr>
    </w:p>
    <w:p w14:paraId="2B9F5B62" w14:textId="77777777" w:rsidR="00FA18EA" w:rsidRPr="00A02B31" w:rsidRDefault="00FA18EA" w:rsidP="00FA18EA">
      <w:pPr>
        <w:autoSpaceDE w:val="0"/>
        <w:autoSpaceDN w:val="0"/>
        <w:adjustRightInd w:val="0"/>
        <w:rPr>
          <w:rFonts w:cstheme="minorHAnsi"/>
          <w:color w:val="000000" w:themeColor="text1"/>
          <w:sz w:val="18"/>
          <w:szCs w:val="18"/>
        </w:rPr>
      </w:pPr>
      <w:r w:rsidRPr="00A02B31">
        <w:rPr>
          <w:rFonts w:cstheme="minorHAnsi"/>
          <w:color w:val="000000" w:themeColor="text1"/>
          <w:sz w:val="18"/>
          <w:szCs w:val="18"/>
        </w:rPr>
        <w:t>All financial assets with the exception of investments, which are held at fair value through profit or loss, are categorised as financial assets at amortised cost and all financial liabilities are categorised as amortised cost.</w:t>
      </w:r>
    </w:p>
    <w:p w14:paraId="1B817886" w14:textId="77777777" w:rsidR="00FA18EA" w:rsidRPr="00A02B31" w:rsidRDefault="00FA18EA" w:rsidP="00FA18EA">
      <w:pPr>
        <w:autoSpaceDE w:val="0"/>
        <w:autoSpaceDN w:val="0"/>
        <w:adjustRightInd w:val="0"/>
        <w:rPr>
          <w:rFonts w:cstheme="minorHAnsi"/>
          <w:b/>
          <w:color w:val="000000"/>
          <w:sz w:val="28"/>
        </w:rPr>
      </w:pPr>
    </w:p>
    <w:p w14:paraId="50F96FD1" w14:textId="77777777" w:rsidR="00FA18EA" w:rsidRPr="00A02B31" w:rsidRDefault="00FA18EA" w:rsidP="00FA18EA">
      <w:pPr>
        <w:autoSpaceDE w:val="0"/>
        <w:autoSpaceDN w:val="0"/>
        <w:adjustRightInd w:val="0"/>
        <w:rPr>
          <w:rFonts w:cstheme="minorHAnsi"/>
          <w:b/>
          <w:color w:val="000000"/>
          <w:sz w:val="28"/>
        </w:rPr>
      </w:pPr>
      <w:r w:rsidRPr="00A02B31">
        <w:rPr>
          <w:rFonts w:cstheme="minorHAnsi"/>
          <w:b/>
          <w:color w:val="000000"/>
          <w:sz w:val="28"/>
        </w:rPr>
        <w:t>Notes to the Financial Statements (continued)</w:t>
      </w:r>
    </w:p>
    <w:p w14:paraId="0C43752D" w14:textId="77777777" w:rsidR="00FA18EA" w:rsidRPr="00A02B31" w:rsidRDefault="00FA18EA" w:rsidP="00FA18EA">
      <w:pPr>
        <w:autoSpaceDE w:val="0"/>
        <w:autoSpaceDN w:val="0"/>
        <w:adjustRightInd w:val="0"/>
        <w:rPr>
          <w:rFonts w:cstheme="minorHAnsi"/>
          <w:b/>
          <w:color w:val="000000"/>
        </w:rPr>
      </w:pPr>
    </w:p>
    <w:p w14:paraId="12F3076F" w14:textId="77777777" w:rsidR="00FA18EA" w:rsidRPr="00A02B31" w:rsidRDefault="00FA18EA" w:rsidP="00FA18EA">
      <w:pPr>
        <w:autoSpaceDE w:val="0"/>
        <w:autoSpaceDN w:val="0"/>
        <w:adjustRightInd w:val="0"/>
        <w:rPr>
          <w:rFonts w:cstheme="minorHAnsi"/>
          <w:b/>
          <w:color w:val="000000"/>
        </w:rPr>
      </w:pPr>
      <w:r w:rsidRPr="00A02B31">
        <w:rPr>
          <w:rFonts w:cstheme="minorHAnsi"/>
          <w:b/>
          <w:color w:val="000000"/>
        </w:rPr>
        <w:t>13 Financial instruments and financial risk management (continued)</w:t>
      </w:r>
    </w:p>
    <w:p w14:paraId="1070D6C3" w14:textId="77777777" w:rsidR="00FA18EA" w:rsidRPr="00A02B31" w:rsidRDefault="00FA18EA" w:rsidP="00FA18EA">
      <w:pPr>
        <w:autoSpaceDE w:val="0"/>
        <w:autoSpaceDN w:val="0"/>
        <w:adjustRightInd w:val="0"/>
        <w:rPr>
          <w:rFonts w:cstheme="minorHAnsi"/>
          <w:b/>
          <w:color w:val="000000"/>
        </w:rPr>
      </w:pPr>
    </w:p>
    <w:p w14:paraId="53EBBB79" w14:textId="77777777" w:rsidR="00FA18EA" w:rsidRPr="00A02B31" w:rsidRDefault="00FA18EA" w:rsidP="00FA18EA">
      <w:pPr>
        <w:numPr>
          <w:ilvl w:val="0"/>
          <w:numId w:val="1"/>
        </w:numPr>
        <w:autoSpaceDE w:val="0"/>
        <w:autoSpaceDN w:val="0"/>
        <w:adjustRightInd w:val="0"/>
        <w:ind w:left="426" w:hanging="426"/>
        <w:contextualSpacing/>
        <w:rPr>
          <w:rFonts w:cstheme="minorHAnsi"/>
          <w:b/>
          <w:color w:val="000000"/>
          <w:sz w:val="18"/>
          <w:szCs w:val="16"/>
        </w:rPr>
      </w:pPr>
      <w:r w:rsidRPr="00A02B31">
        <w:rPr>
          <w:rFonts w:cstheme="minorHAnsi"/>
          <w:b/>
          <w:color w:val="000000"/>
          <w:sz w:val="18"/>
          <w:szCs w:val="16"/>
        </w:rPr>
        <w:t>Market risk</w:t>
      </w:r>
    </w:p>
    <w:p w14:paraId="1583F97C" w14:textId="77777777" w:rsidR="00FA18EA" w:rsidRPr="00A02B31" w:rsidRDefault="00FA18EA" w:rsidP="00FA18EA">
      <w:pPr>
        <w:autoSpaceDE w:val="0"/>
        <w:autoSpaceDN w:val="0"/>
        <w:adjustRightInd w:val="0"/>
        <w:rPr>
          <w:rFonts w:cstheme="minorHAnsi"/>
          <w:b/>
          <w:color w:val="000000"/>
          <w:sz w:val="18"/>
          <w:szCs w:val="16"/>
        </w:rPr>
      </w:pPr>
    </w:p>
    <w:p w14:paraId="0306CC70" w14:textId="77777777" w:rsidR="00FA18EA" w:rsidRPr="00A02B31" w:rsidRDefault="00FA18EA" w:rsidP="00FA18EA">
      <w:pPr>
        <w:tabs>
          <w:tab w:val="left" w:pos="426"/>
        </w:tabs>
        <w:autoSpaceDE w:val="0"/>
        <w:autoSpaceDN w:val="0"/>
        <w:adjustRightInd w:val="0"/>
        <w:rPr>
          <w:rFonts w:cstheme="minorHAnsi"/>
          <w:b/>
          <w:color w:val="000000"/>
          <w:sz w:val="18"/>
          <w:szCs w:val="16"/>
        </w:rPr>
      </w:pPr>
      <w:r w:rsidRPr="00A02B31">
        <w:rPr>
          <w:rFonts w:cstheme="minorHAnsi"/>
          <w:b/>
          <w:color w:val="000000"/>
          <w:sz w:val="18"/>
          <w:szCs w:val="16"/>
        </w:rPr>
        <w:t>i)</w:t>
      </w:r>
      <w:r w:rsidRPr="00A02B31">
        <w:rPr>
          <w:rFonts w:cstheme="minorHAnsi"/>
          <w:b/>
          <w:color w:val="000000"/>
          <w:sz w:val="18"/>
          <w:szCs w:val="16"/>
        </w:rPr>
        <w:tab/>
        <w:t>Price risk</w:t>
      </w:r>
    </w:p>
    <w:p w14:paraId="36DD959E" w14:textId="77777777" w:rsidR="00FA18EA" w:rsidRPr="00A02B31" w:rsidRDefault="00FA18EA" w:rsidP="00FA18EA">
      <w:pPr>
        <w:autoSpaceDE w:val="0"/>
        <w:autoSpaceDN w:val="0"/>
        <w:adjustRightInd w:val="0"/>
        <w:ind w:left="426"/>
        <w:contextualSpacing/>
        <w:rPr>
          <w:rFonts w:cstheme="minorHAnsi"/>
          <w:b/>
          <w:color w:val="000000"/>
          <w:sz w:val="18"/>
          <w:szCs w:val="16"/>
        </w:rPr>
      </w:pPr>
    </w:p>
    <w:p w14:paraId="6DC19954" w14:textId="77777777" w:rsidR="00FA18EA" w:rsidRPr="00A02B31" w:rsidRDefault="00FA18EA" w:rsidP="00FA18EA">
      <w:pPr>
        <w:autoSpaceDE w:val="0"/>
        <w:autoSpaceDN w:val="0"/>
        <w:adjustRightInd w:val="0"/>
        <w:jc w:val="both"/>
        <w:rPr>
          <w:rFonts w:cstheme="minorHAnsi"/>
          <w:color w:val="000000" w:themeColor="text1"/>
          <w:sz w:val="18"/>
          <w:szCs w:val="18"/>
        </w:rPr>
      </w:pPr>
      <w:r w:rsidRPr="00A02B31">
        <w:rPr>
          <w:rFonts w:cstheme="minorHAnsi"/>
          <w:color w:val="000000" w:themeColor="text1"/>
          <w:sz w:val="18"/>
          <w:szCs w:val="18"/>
        </w:rPr>
        <w:t>Market price risk arises from uncertainty about the future valuations of financial instruments held in accordance with the Company’s investment objectives. These future valuations are determined by many factors but include the operational and financial performance of the underlying investee companies, as well as market perceptions of the future of the economy and its impact upon the economic environment in which these companies operate. This risk represents the potential loss that the Company might suffer through holding its investment portfolio in the face of market movements, which was a maximum of £31.6 million (2021: £53.9 million).</w:t>
      </w:r>
    </w:p>
    <w:p w14:paraId="37240E92" w14:textId="77777777" w:rsidR="00FA18EA" w:rsidRPr="00A02B31" w:rsidRDefault="00FA18EA" w:rsidP="00FA18EA">
      <w:pPr>
        <w:autoSpaceDE w:val="0"/>
        <w:autoSpaceDN w:val="0"/>
        <w:adjustRightInd w:val="0"/>
        <w:jc w:val="both"/>
        <w:rPr>
          <w:rFonts w:cstheme="minorHAnsi"/>
          <w:color w:val="000000" w:themeColor="text1"/>
          <w:sz w:val="18"/>
          <w:szCs w:val="18"/>
        </w:rPr>
      </w:pPr>
    </w:p>
    <w:p w14:paraId="7D4FD5F8" w14:textId="77777777" w:rsidR="00FA18EA" w:rsidRPr="00A02B31" w:rsidRDefault="00FA18EA" w:rsidP="00FA18EA">
      <w:pPr>
        <w:autoSpaceDE w:val="0"/>
        <w:autoSpaceDN w:val="0"/>
        <w:adjustRightInd w:val="0"/>
        <w:jc w:val="both"/>
        <w:rPr>
          <w:rFonts w:cstheme="minorHAnsi"/>
          <w:color w:val="000000" w:themeColor="text1"/>
          <w:sz w:val="18"/>
          <w:szCs w:val="18"/>
        </w:rPr>
      </w:pPr>
      <w:r w:rsidRPr="00A02B31">
        <w:rPr>
          <w:rFonts w:cstheme="minorHAnsi"/>
          <w:color w:val="000000" w:themeColor="text1"/>
          <w:sz w:val="18"/>
          <w:szCs w:val="18"/>
        </w:rPr>
        <w:t xml:space="preserve">The investments in fixed interest stocks of unquoted companies that the Company holds are not traded and as such the prices are more uncertain than those of more widely traded securities. </w:t>
      </w:r>
    </w:p>
    <w:p w14:paraId="7AD0909D" w14:textId="77777777" w:rsidR="00FA18EA" w:rsidRPr="00A02B31" w:rsidRDefault="00FA18EA" w:rsidP="00FA18EA">
      <w:pPr>
        <w:autoSpaceDE w:val="0"/>
        <w:autoSpaceDN w:val="0"/>
        <w:adjustRightInd w:val="0"/>
        <w:jc w:val="both"/>
        <w:rPr>
          <w:rFonts w:cstheme="minorHAnsi"/>
          <w:color w:val="000000" w:themeColor="text1"/>
          <w:sz w:val="18"/>
          <w:szCs w:val="18"/>
        </w:rPr>
      </w:pPr>
    </w:p>
    <w:p w14:paraId="2E48CB40" w14:textId="77777777" w:rsidR="00FA18EA" w:rsidRPr="00A02B31" w:rsidRDefault="00FA18EA" w:rsidP="00FA18EA">
      <w:pPr>
        <w:autoSpaceDE w:val="0"/>
        <w:autoSpaceDN w:val="0"/>
        <w:adjustRightInd w:val="0"/>
        <w:jc w:val="both"/>
        <w:rPr>
          <w:rFonts w:cstheme="minorHAnsi"/>
          <w:sz w:val="18"/>
          <w:szCs w:val="18"/>
        </w:rPr>
      </w:pPr>
      <w:r w:rsidRPr="00A02B31">
        <w:rPr>
          <w:rFonts w:cstheme="minorHAnsi"/>
          <w:color w:val="000000" w:themeColor="text1"/>
          <w:sz w:val="18"/>
          <w:szCs w:val="18"/>
        </w:rPr>
        <w:t xml:space="preserve">The Board’s strategy in managing the market price risk is determined by the requirement to meet the Company’s investment objective. Risk is mitigated to a limited extent by the fact that the Company holds investments in several companies. At 31 March 2022, the Company held interests in 9 companies (2021: 16 companies). </w:t>
      </w:r>
      <w:r w:rsidRPr="00A02B31">
        <w:rPr>
          <w:rFonts w:cstheme="minorHAnsi"/>
          <w:sz w:val="18"/>
          <w:szCs w:val="18"/>
        </w:rPr>
        <w:t>The Directors monitor compliance with the investment policy, review and agree policies for managing this risk and monitor the overall level of risk on the investment portfolio on a regular basis.</w:t>
      </w:r>
    </w:p>
    <w:p w14:paraId="39AA259A" w14:textId="77777777" w:rsidR="00FA18EA" w:rsidRPr="00A02B31" w:rsidRDefault="00FA18EA" w:rsidP="00FA18EA">
      <w:pPr>
        <w:autoSpaceDE w:val="0"/>
        <w:autoSpaceDN w:val="0"/>
        <w:adjustRightInd w:val="0"/>
        <w:jc w:val="both"/>
        <w:rPr>
          <w:rFonts w:cstheme="minorHAnsi"/>
          <w:sz w:val="18"/>
          <w:szCs w:val="18"/>
        </w:rPr>
      </w:pPr>
    </w:p>
    <w:p w14:paraId="4F714622" w14:textId="77777777" w:rsidR="00FA18EA" w:rsidRPr="00A02B31" w:rsidRDefault="00FA18EA" w:rsidP="00FA18EA">
      <w:pPr>
        <w:autoSpaceDE w:val="0"/>
        <w:autoSpaceDN w:val="0"/>
        <w:adjustRightInd w:val="0"/>
        <w:jc w:val="both"/>
        <w:rPr>
          <w:rFonts w:cstheme="minorHAnsi"/>
          <w:b/>
          <w:color w:val="000000"/>
          <w:sz w:val="18"/>
          <w:szCs w:val="16"/>
        </w:rPr>
      </w:pPr>
      <w:r w:rsidRPr="00A02B31">
        <w:rPr>
          <w:rFonts w:cstheme="minorHAnsi"/>
          <w:b/>
          <w:color w:val="000000"/>
          <w:sz w:val="18"/>
          <w:szCs w:val="16"/>
        </w:rPr>
        <w:t>Market price risk sensitivity</w:t>
      </w:r>
    </w:p>
    <w:p w14:paraId="479C613D" w14:textId="77777777" w:rsidR="00FA18EA" w:rsidRPr="007600A7" w:rsidRDefault="00FA18EA" w:rsidP="00FA18EA">
      <w:pPr>
        <w:autoSpaceDE w:val="0"/>
        <w:autoSpaceDN w:val="0"/>
        <w:adjustRightInd w:val="0"/>
        <w:jc w:val="both"/>
        <w:rPr>
          <w:rFonts w:cstheme="minorHAnsi"/>
          <w:sz w:val="18"/>
          <w:szCs w:val="18"/>
        </w:rPr>
      </w:pPr>
      <w:r w:rsidRPr="00A02B31">
        <w:rPr>
          <w:rFonts w:cstheme="minorHAnsi"/>
          <w:color w:val="000000" w:themeColor="text1"/>
          <w:sz w:val="18"/>
          <w:szCs w:val="18"/>
        </w:rPr>
        <w:t>The Board considers that the value of investments in quoted equity instruments is ultimately sensitive to changes in quoted share prices. The value of investments in CLN, where the valuation methodology is to estimate the value of the conversion option of the instrument, is similarly linked to quoted share prices. The table below shows the impact on the return and net assets if there were to be a 25% (2021: 25%) movement in overall share prices</w:t>
      </w:r>
      <w:r w:rsidRPr="007600A7">
        <w:rPr>
          <w:rFonts w:cstheme="minorHAnsi"/>
          <w:color w:val="000000" w:themeColor="text1"/>
          <w:sz w:val="18"/>
          <w:szCs w:val="18"/>
        </w:rPr>
        <w:t>.</w:t>
      </w:r>
    </w:p>
    <w:p w14:paraId="554B47A9" w14:textId="77777777" w:rsidR="00FA18EA" w:rsidRPr="000C1F6F" w:rsidRDefault="00FA18EA" w:rsidP="00FA18EA">
      <w:pPr>
        <w:rPr>
          <w:rFonts w:cstheme="minorHAnsi"/>
          <w:b/>
          <w:sz w:val="16"/>
        </w:rPr>
      </w:pPr>
    </w:p>
    <w:tbl>
      <w:tblPr>
        <w:tblW w:w="9736" w:type="dxa"/>
        <w:tblLook w:val="04A0" w:firstRow="1" w:lastRow="0" w:firstColumn="1" w:lastColumn="0" w:noHBand="0" w:noVBand="1"/>
      </w:tblPr>
      <w:tblGrid>
        <w:gridCol w:w="2627"/>
        <w:gridCol w:w="1687"/>
        <w:gridCol w:w="800"/>
        <w:gridCol w:w="897"/>
        <w:gridCol w:w="1436"/>
        <w:gridCol w:w="893"/>
        <w:gridCol w:w="1396"/>
      </w:tblGrid>
      <w:tr w:rsidR="00FA18EA" w:rsidRPr="007600A7" w14:paraId="07CEA55A" w14:textId="77777777" w:rsidTr="00FA18EA">
        <w:trPr>
          <w:trHeight w:val="309"/>
        </w:trPr>
        <w:tc>
          <w:tcPr>
            <w:tcW w:w="2627" w:type="dxa"/>
            <w:tcBorders>
              <w:top w:val="single" w:sz="4" w:space="0" w:color="auto"/>
              <w:left w:val="single" w:sz="4" w:space="0" w:color="auto"/>
              <w:bottom w:val="single" w:sz="4" w:space="0" w:color="auto"/>
              <w:right w:val="nil"/>
            </w:tcBorders>
            <w:shd w:val="clear" w:color="auto" w:fill="auto"/>
            <w:noWrap/>
            <w:vAlign w:val="bottom"/>
            <w:hideMark/>
          </w:tcPr>
          <w:p w14:paraId="44090AD1" w14:textId="77777777" w:rsidR="00FA18EA" w:rsidRPr="00A02B31" w:rsidRDefault="00FA18EA" w:rsidP="00FA18EA">
            <w:pPr>
              <w:rPr>
                <w:rFonts w:eastAsia="Times New Roman" w:cstheme="minorHAnsi"/>
                <w:b/>
                <w:bCs/>
                <w:color w:val="000000"/>
                <w:sz w:val="18"/>
                <w:szCs w:val="18"/>
                <w:lang w:eastAsia="en-GB"/>
              </w:rPr>
            </w:pPr>
            <w:r w:rsidRPr="00A02B31">
              <w:rPr>
                <w:rFonts w:eastAsia="Times New Roman" w:cstheme="minorHAnsi"/>
                <w:b/>
                <w:bCs/>
                <w:color w:val="000000"/>
                <w:sz w:val="18"/>
                <w:szCs w:val="18"/>
                <w:lang w:eastAsia="en-GB"/>
              </w:rPr>
              <w:t>As at 31 March 2022</w:t>
            </w:r>
          </w:p>
        </w:tc>
        <w:tc>
          <w:tcPr>
            <w:tcW w:w="1687" w:type="dxa"/>
            <w:tcBorders>
              <w:top w:val="single" w:sz="4" w:space="0" w:color="auto"/>
              <w:left w:val="nil"/>
              <w:bottom w:val="single" w:sz="4" w:space="0" w:color="auto"/>
              <w:right w:val="nil"/>
            </w:tcBorders>
            <w:shd w:val="clear" w:color="auto" w:fill="auto"/>
            <w:noWrap/>
            <w:vAlign w:val="bottom"/>
            <w:hideMark/>
          </w:tcPr>
          <w:p w14:paraId="29F0C766" w14:textId="77777777" w:rsidR="00FA18EA" w:rsidRPr="00A02B31" w:rsidRDefault="00FA18EA" w:rsidP="00FA18EA">
            <w:pPr>
              <w:rPr>
                <w:rFonts w:eastAsia="Times New Roman" w:cstheme="minorHAnsi"/>
                <w:color w:val="000000"/>
                <w:sz w:val="18"/>
                <w:szCs w:val="18"/>
                <w:lang w:eastAsia="en-GB"/>
              </w:rPr>
            </w:pPr>
            <w:r w:rsidRPr="00A02B31">
              <w:rPr>
                <w:rFonts w:eastAsia="Times New Roman" w:cstheme="minorHAnsi"/>
                <w:color w:val="000000"/>
                <w:sz w:val="18"/>
                <w:szCs w:val="18"/>
                <w:lang w:eastAsia="en-GB"/>
              </w:rPr>
              <w:t> </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14:paraId="151E54DF" w14:textId="77777777" w:rsidR="00FA18EA" w:rsidRPr="00A02B31" w:rsidRDefault="00FA18EA" w:rsidP="00FA18EA">
            <w:pPr>
              <w:rPr>
                <w:rFonts w:eastAsia="Times New Roman" w:cstheme="minorHAnsi"/>
                <w:color w:val="000000"/>
                <w:sz w:val="18"/>
                <w:szCs w:val="18"/>
                <w:lang w:eastAsia="en-GB"/>
              </w:rPr>
            </w:pPr>
            <w:r w:rsidRPr="00A02B31">
              <w:rPr>
                <w:rFonts w:eastAsia="Times New Roman" w:cstheme="minorHAnsi"/>
                <w:color w:val="000000"/>
                <w:sz w:val="18"/>
                <w:szCs w:val="18"/>
                <w:lang w:eastAsia="en-GB"/>
              </w:rPr>
              <w:t> </w:t>
            </w:r>
          </w:p>
        </w:tc>
        <w:tc>
          <w:tcPr>
            <w:tcW w:w="2333"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7AAA70F" w14:textId="77777777" w:rsidR="00FA18EA" w:rsidRPr="00A02B31" w:rsidRDefault="00FA18EA" w:rsidP="00FA18EA">
            <w:pPr>
              <w:jc w:val="center"/>
              <w:rPr>
                <w:rFonts w:eastAsia="Times New Roman" w:cstheme="minorHAnsi"/>
                <w:b/>
                <w:bCs/>
                <w:color w:val="000000"/>
                <w:sz w:val="18"/>
                <w:szCs w:val="18"/>
                <w:lang w:eastAsia="en-GB"/>
              </w:rPr>
            </w:pPr>
            <w:r w:rsidRPr="00A02B31">
              <w:rPr>
                <w:rFonts w:eastAsia="Times New Roman" w:cstheme="minorHAnsi"/>
                <w:b/>
                <w:bCs/>
                <w:color w:val="000000"/>
                <w:sz w:val="18"/>
                <w:szCs w:val="18"/>
                <w:lang w:eastAsia="en-GB"/>
              </w:rPr>
              <w:t>+25%</w:t>
            </w:r>
          </w:p>
        </w:tc>
        <w:tc>
          <w:tcPr>
            <w:tcW w:w="2289"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8D7BF31" w14:textId="77777777" w:rsidR="00FA18EA" w:rsidRPr="00A02B31" w:rsidRDefault="00FA18EA" w:rsidP="00FA18EA">
            <w:pPr>
              <w:jc w:val="center"/>
              <w:rPr>
                <w:rFonts w:eastAsia="Times New Roman" w:cstheme="minorHAnsi"/>
                <w:b/>
                <w:bCs/>
                <w:color w:val="000000"/>
                <w:sz w:val="18"/>
                <w:szCs w:val="18"/>
                <w:lang w:eastAsia="en-GB"/>
              </w:rPr>
            </w:pPr>
            <w:r w:rsidRPr="00A02B31">
              <w:rPr>
                <w:rFonts w:eastAsia="Times New Roman" w:cstheme="minorHAnsi"/>
                <w:b/>
                <w:bCs/>
                <w:color w:val="000000"/>
                <w:sz w:val="18"/>
                <w:szCs w:val="18"/>
                <w:lang w:eastAsia="en-GB"/>
              </w:rPr>
              <w:t>-25%</w:t>
            </w:r>
          </w:p>
        </w:tc>
      </w:tr>
      <w:tr w:rsidR="00FA18EA" w:rsidRPr="007600A7" w14:paraId="757E123C" w14:textId="77777777" w:rsidTr="00FA18EA">
        <w:trPr>
          <w:cantSplit/>
        </w:trPr>
        <w:tc>
          <w:tcPr>
            <w:tcW w:w="2627" w:type="dxa"/>
            <w:tcBorders>
              <w:top w:val="single" w:sz="4" w:space="0" w:color="auto"/>
              <w:left w:val="single" w:sz="4" w:space="0" w:color="auto"/>
              <w:bottom w:val="single" w:sz="4" w:space="0" w:color="auto"/>
            </w:tcBorders>
            <w:shd w:val="clear" w:color="auto" w:fill="auto"/>
            <w:noWrap/>
            <w:vAlign w:val="bottom"/>
            <w:hideMark/>
          </w:tcPr>
          <w:p w14:paraId="1DAA2C90" w14:textId="77777777" w:rsidR="00FA18EA" w:rsidRPr="00A02B31" w:rsidRDefault="00FA18EA" w:rsidP="00FA18EA">
            <w:pPr>
              <w:rPr>
                <w:rFonts w:eastAsia="Times New Roman" w:cstheme="minorHAnsi"/>
                <w:b/>
                <w:bCs/>
                <w:color w:val="000000"/>
                <w:sz w:val="18"/>
                <w:szCs w:val="18"/>
                <w:lang w:eastAsia="en-GB"/>
              </w:rPr>
            </w:pPr>
            <w:r w:rsidRPr="00A02B31">
              <w:rPr>
                <w:rFonts w:eastAsia="Times New Roman" w:cstheme="minorHAnsi"/>
                <w:b/>
                <w:bCs/>
                <w:color w:val="000000"/>
                <w:sz w:val="18"/>
                <w:szCs w:val="18"/>
                <w:lang w:eastAsia="en-GB"/>
              </w:rPr>
              <w:t>Security</w:t>
            </w:r>
          </w:p>
        </w:tc>
        <w:tc>
          <w:tcPr>
            <w:tcW w:w="1687" w:type="dxa"/>
            <w:tcBorders>
              <w:top w:val="single" w:sz="4" w:space="0" w:color="auto"/>
              <w:bottom w:val="single" w:sz="4" w:space="0" w:color="auto"/>
            </w:tcBorders>
            <w:shd w:val="clear" w:color="auto" w:fill="auto"/>
            <w:noWrap/>
            <w:vAlign w:val="bottom"/>
            <w:hideMark/>
          </w:tcPr>
          <w:p w14:paraId="247C5300" w14:textId="77777777" w:rsidR="00FA18EA" w:rsidRPr="00A02B31" w:rsidRDefault="00FA18EA" w:rsidP="00FA18EA">
            <w:pPr>
              <w:rPr>
                <w:rFonts w:eastAsia="Times New Roman" w:cstheme="minorHAnsi"/>
                <w:b/>
                <w:bCs/>
                <w:color w:val="000000"/>
                <w:sz w:val="18"/>
                <w:szCs w:val="18"/>
                <w:lang w:eastAsia="en-GB"/>
              </w:rPr>
            </w:pPr>
            <w:r w:rsidRPr="00A02B31">
              <w:rPr>
                <w:rFonts w:eastAsia="Times New Roman" w:cstheme="minorHAnsi"/>
                <w:b/>
                <w:bCs/>
                <w:color w:val="000000"/>
                <w:sz w:val="18"/>
                <w:szCs w:val="18"/>
                <w:lang w:eastAsia="en-GB"/>
              </w:rPr>
              <w:t>Valuation basis</w:t>
            </w:r>
          </w:p>
        </w:tc>
        <w:tc>
          <w:tcPr>
            <w:tcW w:w="800" w:type="dxa"/>
            <w:tcBorders>
              <w:top w:val="single" w:sz="4" w:space="0" w:color="auto"/>
              <w:bottom w:val="single" w:sz="4" w:space="0" w:color="auto"/>
              <w:right w:val="single" w:sz="4" w:space="0" w:color="auto"/>
            </w:tcBorders>
            <w:shd w:val="clear" w:color="auto" w:fill="auto"/>
            <w:noWrap/>
            <w:vAlign w:val="bottom"/>
            <w:hideMark/>
          </w:tcPr>
          <w:p w14:paraId="5088F3CD" w14:textId="77777777" w:rsidR="00FA18EA" w:rsidRPr="00A02B31" w:rsidRDefault="00FA18EA" w:rsidP="00FA18EA">
            <w:pPr>
              <w:jc w:val="right"/>
              <w:rPr>
                <w:rFonts w:eastAsia="Times New Roman" w:cstheme="minorHAnsi"/>
                <w:b/>
                <w:bCs/>
                <w:color w:val="000000"/>
                <w:sz w:val="18"/>
                <w:szCs w:val="18"/>
                <w:lang w:eastAsia="en-GB"/>
              </w:rPr>
            </w:pPr>
            <w:r w:rsidRPr="00A02B31">
              <w:rPr>
                <w:rFonts w:eastAsia="Times New Roman" w:cstheme="minorHAnsi"/>
                <w:b/>
                <w:bCs/>
                <w:color w:val="000000"/>
                <w:sz w:val="18"/>
                <w:szCs w:val="18"/>
                <w:lang w:eastAsia="en-GB"/>
              </w:rPr>
              <w:t>Fair value</w:t>
            </w:r>
          </w:p>
        </w:tc>
        <w:tc>
          <w:tcPr>
            <w:tcW w:w="897" w:type="dxa"/>
            <w:tcBorders>
              <w:top w:val="single" w:sz="4" w:space="0" w:color="auto"/>
              <w:left w:val="single" w:sz="4" w:space="0" w:color="auto"/>
              <w:bottom w:val="single" w:sz="4" w:space="0" w:color="auto"/>
            </w:tcBorders>
            <w:shd w:val="clear" w:color="auto" w:fill="auto"/>
            <w:noWrap/>
            <w:vAlign w:val="bottom"/>
            <w:hideMark/>
          </w:tcPr>
          <w:p w14:paraId="30FDE048" w14:textId="77777777" w:rsidR="00FA18EA" w:rsidRPr="00A02B31" w:rsidRDefault="00FA18EA" w:rsidP="00FA18EA">
            <w:pPr>
              <w:jc w:val="right"/>
              <w:rPr>
                <w:rFonts w:eastAsia="Times New Roman" w:cstheme="minorHAnsi"/>
                <w:b/>
                <w:bCs/>
                <w:color w:val="000000"/>
                <w:sz w:val="18"/>
                <w:szCs w:val="18"/>
                <w:lang w:eastAsia="en-GB"/>
              </w:rPr>
            </w:pPr>
            <w:r w:rsidRPr="00A02B31">
              <w:rPr>
                <w:rFonts w:eastAsia="Times New Roman" w:cstheme="minorHAnsi"/>
                <w:b/>
                <w:bCs/>
                <w:color w:val="000000"/>
                <w:sz w:val="18"/>
                <w:szCs w:val="18"/>
                <w:lang w:eastAsia="en-GB"/>
              </w:rPr>
              <w:t xml:space="preserve">Impact </w:t>
            </w:r>
          </w:p>
          <w:p w14:paraId="1691F7B6" w14:textId="77777777" w:rsidR="00FA18EA" w:rsidRPr="00A02B31" w:rsidRDefault="00FA18EA" w:rsidP="00FA18EA">
            <w:pPr>
              <w:jc w:val="right"/>
              <w:rPr>
                <w:rFonts w:eastAsia="Times New Roman" w:cstheme="minorHAnsi"/>
                <w:b/>
                <w:bCs/>
                <w:color w:val="000000"/>
                <w:sz w:val="18"/>
                <w:szCs w:val="18"/>
                <w:lang w:eastAsia="en-GB"/>
              </w:rPr>
            </w:pPr>
            <w:r w:rsidRPr="00A02B31">
              <w:rPr>
                <w:rFonts w:eastAsia="Times New Roman" w:cstheme="minorHAnsi"/>
                <w:b/>
                <w:bCs/>
                <w:color w:val="000000"/>
                <w:sz w:val="18"/>
                <w:szCs w:val="18"/>
                <w:lang w:eastAsia="en-GB"/>
              </w:rPr>
              <w:t>£'000</w:t>
            </w:r>
          </w:p>
        </w:tc>
        <w:tc>
          <w:tcPr>
            <w:tcW w:w="1436" w:type="dxa"/>
            <w:tcBorders>
              <w:top w:val="single" w:sz="4" w:space="0" w:color="auto"/>
              <w:bottom w:val="single" w:sz="4" w:space="0" w:color="auto"/>
              <w:right w:val="single" w:sz="4" w:space="0" w:color="auto"/>
            </w:tcBorders>
            <w:shd w:val="clear" w:color="auto" w:fill="auto"/>
            <w:vAlign w:val="bottom"/>
            <w:hideMark/>
          </w:tcPr>
          <w:p w14:paraId="78D8B484" w14:textId="77777777" w:rsidR="00FA18EA" w:rsidRPr="00A02B31" w:rsidRDefault="00FA18EA" w:rsidP="00FA18EA">
            <w:pPr>
              <w:jc w:val="right"/>
              <w:rPr>
                <w:rFonts w:eastAsia="Times New Roman" w:cstheme="minorHAnsi"/>
                <w:b/>
                <w:bCs/>
                <w:color w:val="000000"/>
                <w:sz w:val="18"/>
                <w:szCs w:val="18"/>
                <w:lang w:eastAsia="en-GB"/>
              </w:rPr>
            </w:pPr>
            <w:r w:rsidRPr="00A02B31">
              <w:rPr>
                <w:rFonts w:eastAsia="Times New Roman" w:cstheme="minorHAnsi"/>
                <w:b/>
                <w:bCs/>
                <w:color w:val="000000"/>
                <w:sz w:val="18"/>
                <w:szCs w:val="18"/>
                <w:lang w:eastAsia="en-GB"/>
              </w:rPr>
              <w:t xml:space="preserve">Impact per share </w:t>
            </w:r>
            <w:r w:rsidRPr="00A02B31">
              <w:rPr>
                <w:rFonts w:eastAsia="Times New Roman" w:cstheme="minorHAnsi"/>
                <w:b/>
                <w:bCs/>
                <w:color w:val="000000"/>
                <w:sz w:val="18"/>
                <w:szCs w:val="18"/>
                <w:lang w:eastAsia="en-GB"/>
              </w:rPr>
              <w:br/>
              <w:t>(in pence)</w:t>
            </w:r>
          </w:p>
        </w:tc>
        <w:tc>
          <w:tcPr>
            <w:tcW w:w="893" w:type="dxa"/>
            <w:tcBorders>
              <w:top w:val="single" w:sz="4" w:space="0" w:color="auto"/>
              <w:left w:val="single" w:sz="4" w:space="0" w:color="auto"/>
              <w:bottom w:val="single" w:sz="4" w:space="0" w:color="auto"/>
            </w:tcBorders>
            <w:shd w:val="clear" w:color="auto" w:fill="auto"/>
            <w:noWrap/>
            <w:vAlign w:val="bottom"/>
            <w:hideMark/>
          </w:tcPr>
          <w:p w14:paraId="2C921D05" w14:textId="77777777" w:rsidR="00FA18EA" w:rsidRPr="00A02B31" w:rsidRDefault="00FA18EA" w:rsidP="00FA18EA">
            <w:pPr>
              <w:jc w:val="right"/>
              <w:rPr>
                <w:rFonts w:eastAsia="Times New Roman" w:cstheme="minorHAnsi"/>
                <w:b/>
                <w:bCs/>
                <w:color w:val="000000"/>
                <w:sz w:val="18"/>
                <w:szCs w:val="18"/>
                <w:lang w:eastAsia="en-GB"/>
              </w:rPr>
            </w:pPr>
            <w:r w:rsidRPr="00A02B31">
              <w:rPr>
                <w:rFonts w:eastAsia="Times New Roman" w:cstheme="minorHAnsi"/>
                <w:b/>
                <w:bCs/>
                <w:color w:val="000000"/>
                <w:sz w:val="18"/>
                <w:szCs w:val="18"/>
                <w:lang w:eastAsia="en-GB"/>
              </w:rPr>
              <w:t>Impact £'000</w:t>
            </w:r>
          </w:p>
        </w:tc>
        <w:tc>
          <w:tcPr>
            <w:tcW w:w="1396" w:type="dxa"/>
            <w:tcBorders>
              <w:top w:val="single" w:sz="4" w:space="0" w:color="auto"/>
              <w:bottom w:val="single" w:sz="4" w:space="0" w:color="auto"/>
              <w:right w:val="single" w:sz="4" w:space="0" w:color="auto"/>
            </w:tcBorders>
            <w:shd w:val="clear" w:color="auto" w:fill="auto"/>
            <w:vAlign w:val="bottom"/>
            <w:hideMark/>
          </w:tcPr>
          <w:p w14:paraId="7C702666" w14:textId="77777777" w:rsidR="00FA18EA" w:rsidRPr="00A02B31" w:rsidRDefault="00FA18EA" w:rsidP="00FA18EA">
            <w:pPr>
              <w:jc w:val="right"/>
              <w:rPr>
                <w:rFonts w:eastAsia="Times New Roman" w:cstheme="minorHAnsi"/>
                <w:b/>
                <w:bCs/>
                <w:color w:val="000000"/>
                <w:sz w:val="18"/>
                <w:szCs w:val="18"/>
                <w:lang w:eastAsia="en-GB"/>
              </w:rPr>
            </w:pPr>
            <w:r w:rsidRPr="00A02B31">
              <w:rPr>
                <w:rFonts w:eastAsia="Times New Roman" w:cstheme="minorHAnsi"/>
                <w:b/>
                <w:bCs/>
                <w:color w:val="000000"/>
                <w:sz w:val="18"/>
                <w:szCs w:val="18"/>
                <w:lang w:eastAsia="en-GB"/>
              </w:rPr>
              <w:t xml:space="preserve">Impact per share </w:t>
            </w:r>
            <w:r w:rsidRPr="00A02B31">
              <w:rPr>
                <w:rFonts w:eastAsia="Times New Roman" w:cstheme="minorHAnsi"/>
                <w:b/>
                <w:bCs/>
                <w:color w:val="000000"/>
                <w:sz w:val="18"/>
                <w:szCs w:val="18"/>
                <w:lang w:eastAsia="en-GB"/>
              </w:rPr>
              <w:br/>
              <w:t>(in pence)</w:t>
            </w:r>
          </w:p>
        </w:tc>
      </w:tr>
      <w:tr w:rsidR="00FA18EA" w:rsidRPr="007600A7" w14:paraId="03E24892" w14:textId="77777777" w:rsidTr="00FA18EA">
        <w:trPr>
          <w:trHeight w:val="309"/>
        </w:trPr>
        <w:tc>
          <w:tcPr>
            <w:tcW w:w="2627" w:type="dxa"/>
            <w:tcBorders>
              <w:top w:val="single" w:sz="4" w:space="0" w:color="auto"/>
              <w:left w:val="single" w:sz="4" w:space="0" w:color="auto"/>
              <w:bottom w:val="single" w:sz="4" w:space="0" w:color="auto"/>
            </w:tcBorders>
            <w:shd w:val="clear" w:color="auto" w:fill="auto"/>
            <w:noWrap/>
            <w:vAlign w:val="bottom"/>
            <w:hideMark/>
          </w:tcPr>
          <w:p w14:paraId="008E7951" w14:textId="77777777" w:rsidR="00FA18EA" w:rsidRPr="00A02B31" w:rsidRDefault="00FA18EA" w:rsidP="00FA18EA">
            <w:pPr>
              <w:rPr>
                <w:rFonts w:eastAsia="Times New Roman" w:cstheme="minorHAnsi"/>
                <w:color w:val="000000"/>
                <w:sz w:val="18"/>
                <w:szCs w:val="18"/>
                <w:lang w:eastAsia="en-GB"/>
              </w:rPr>
            </w:pPr>
            <w:r w:rsidRPr="00A02B31">
              <w:rPr>
                <w:rFonts w:eastAsia="Times New Roman" w:cstheme="minorHAnsi"/>
                <w:color w:val="000000"/>
                <w:sz w:val="18"/>
                <w:szCs w:val="18"/>
                <w:lang w:eastAsia="en-GB"/>
              </w:rPr>
              <w:t>Quoted investments</w:t>
            </w:r>
          </w:p>
        </w:tc>
        <w:tc>
          <w:tcPr>
            <w:tcW w:w="1687" w:type="dxa"/>
            <w:tcBorders>
              <w:top w:val="single" w:sz="4" w:space="0" w:color="auto"/>
              <w:bottom w:val="single" w:sz="4" w:space="0" w:color="auto"/>
            </w:tcBorders>
            <w:shd w:val="clear" w:color="auto" w:fill="auto"/>
            <w:noWrap/>
            <w:vAlign w:val="bottom"/>
            <w:hideMark/>
          </w:tcPr>
          <w:p w14:paraId="74D0D317" w14:textId="77777777" w:rsidR="00FA18EA" w:rsidRPr="00A02B31" w:rsidRDefault="00FA18EA" w:rsidP="00FA18EA">
            <w:pPr>
              <w:rPr>
                <w:rFonts w:eastAsia="Times New Roman" w:cstheme="minorHAnsi"/>
                <w:color w:val="000000"/>
                <w:sz w:val="18"/>
                <w:szCs w:val="18"/>
                <w:lang w:eastAsia="en-GB"/>
              </w:rPr>
            </w:pPr>
            <w:r w:rsidRPr="00A02B31">
              <w:rPr>
                <w:rFonts w:eastAsia="Times New Roman" w:cstheme="minorHAnsi"/>
                <w:color w:val="000000"/>
                <w:sz w:val="18"/>
                <w:szCs w:val="18"/>
                <w:lang w:eastAsia="en-GB"/>
              </w:rPr>
              <w:t>Latest share price</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14:paraId="0A3F222E" w14:textId="77777777" w:rsidR="00FA18EA" w:rsidRPr="00A02B31" w:rsidRDefault="00FA18EA" w:rsidP="00FA18EA">
            <w:pPr>
              <w:jc w:val="right"/>
              <w:rPr>
                <w:rFonts w:eastAsia="Times New Roman" w:cstheme="minorHAnsi"/>
                <w:color w:val="000000"/>
                <w:sz w:val="18"/>
                <w:szCs w:val="18"/>
                <w:lang w:eastAsia="en-GB"/>
              </w:rPr>
            </w:pPr>
            <w:r w:rsidRPr="00A02B31">
              <w:rPr>
                <w:rFonts w:eastAsia="Times New Roman" w:cstheme="minorHAnsi"/>
                <w:color w:val="000000"/>
                <w:sz w:val="18"/>
                <w:szCs w:val="18"/>
                <w:lang w:eastAsia="en-GB"/>
              </w:rPr>
              <w:t>28,692</w:t>
            </w:r>
          </w:p>
        </w:tc>
        <w:tc>
          <w:tcPr>
            <w:tcW w:w="897" w:type="dxa"/>
            <w:tcBorders>
              <w:top w:val="single" w:sz="4" w:space="0" w:color="auto"/>
              <w:left w:val="single" w:sz="4" w:space="0" w:color="auto"/>
              <w:bottom w:val="single" w:sz="4" w:space="0" w:color="auto"/>
            </w:tcBorders>
            <w:shd w:val="clear" w:color="auto" w:fill="auto"/>
            <w:noWrap/>
            <w:vAlign w:val="bottom"/>
            <w:hideMark/>
          </w:tcPr>
          <w:p w14:paraId="330EF14A" w14:textId="77777777" w:rsidR="00FA18EA" w:rsidRPr="00A02B31" w:rsidRDefault="00FA18EA" w:rsidP="00FA18EA">
            <w:pPr>
              <w:jc w:val="right"/>
              <w:rPr>
                <w:rFonts w:eastAsia="Times New Roman" w:cstheme="minorHAnsi"/>
                <w:color w:val="000000"/>
                <w:sz w:val="18"/>
                <w:szCs w:val="18"/>
                <w:lang w:eastAsia="en-GB"/>
              </w:rPr>
            </w:pPr>
          </w:p>
          <w:p w14:paraId="5F4B6EA9" w14:textId="77777777" w:rsidR="00FA18EA" w:rsidRPr="00A02B31" w:rsidRDefault="00FA18EA" w:rsidP="00FA18EA">
            <w:pPr>
              <w:jc w:val="right"/>
              <w:rPr>
                <w:rFonts w:eastAsia="Times New Roman" w:cstheme="minorHAnsi"/>
                <w:color w:val="000000"/>
                <w:sz w:val="18"/>
                <w:szCs w:val="18"/>
                <w:lang w:eastAsia="en-GB"/>
              </w:rPr>
            </w:pPr>
            <w:r w:rsidRPr="00A02B31">
              <w:rPr>
                <w:rFonts w:eastAsia="Times New Roman" w:cstheme="minorHAnsi"/>
                <w:color w:val="000000"/>
                <w:sz w:val="18"/>
                <w:szCs w:val="18"/>
                <w:lang w:eastAsia="en-GB"/>
              </w:rPr>
              <w:t>7,173</w:t>
            </w:r>
          </w:p>
        </w:tc>
        <w:tc>
          <w:tcPr>
            <w:tcW w:w="1436" w:type="dxa"/>
            <w:tcBorders>
              <w:top w:val="single" w:sz="4" w:space="0" w:color="auto"/>
              <w:bottom w:val="single" w:sz="4" w:space="0" w:color="auto"/>
              <w:right w:val="single" w:sz="4" w:space="0" w:color="auto"/>
            </w:tcBorders>
            <w:shd w:val="clear" w:color="auto" w:fill="auto"/>
            <w:noWrap/>
            <w:vAlign w:val="bottom"/>
            <w:hideMark/>
          </w:tcPr>
          <w:p w14:paraId="6BE12DDF" w14:textId="77777777" w:rsidR="00FA18EA" w:rsidRPr="00A02B31" w:rsidRDefault="00FA18EA" w:rsidP="00FA18EA">
            <w:pPr>
              <w:jc w:val="right"/>
              <w:rPr>
                <w:rFonts w:eastAsia="Times New Roman" w:cstheme="minorHAnsi"/>
                <w:color w:val="000000"/>
                <w:sz w:val="18"/>
                <w:szCs w:val="18"/>
                <w:lang w:eastAsia="en-GB"/>
              </w:rPr>
            </w:pPr>
            <w:r w:rsidRPr="00A02B31">
              <w:rPr>
                <w:rFonts w:eastAsia="Times New Roman" w:cstheme="minorHAnsi"/>
                <w:color w:val="000000"/>
                <w:sz w:val="18"/>
                <w:szCs w:val="18"/>
                <w:lang w:eastAsia="en-GB"/>
              </w:rPr>
              <w:t>282.29</w:t>
            </w:r>
          </w:p>
        </w:tc>
        <w:tc>
          <w:tcPr>
            <w:tcW w:w="893" w:type="dxa"/>
            <w:tcBorders>
              <w:top w:val="single" w:sz="4" w:space="0" w:color="auto"/>
              <w:left w:val="single" w:sz="4" w:space="0" w:color="auto"/>
              <w:bottom w:val="single" w:sz="4" w:space="0" w:color="auto"/>
            </w:tcBorders>
            <w:shd w:val="clear" w:color="auto" w:fill="auto"/>
            <w:noWrap/>
            <w:vAlign w:val="bottom"/>
            <w:hideMark/>
          </w:tcPr>
          <w:p w14:paraId="38A9B41B" w14:textId="77777777" w:rsidR="00FA18EA" w:rsidRPr="00A02B31" w:rsidRDefault="00FA18EA" w:rsidP="00FA18EA">
            <w:pPr>
              <w:jc w:val="right"/>
              <w:rPr>
                <w:rFonts w:eastAsia="Times New Roman" w:cstheme="minorHAnsi"/>
                <w:color w:val="000000"/>
                <w:sz w:val="18"/>
                <w:szCs w:val="18"/>
                <w:lang w:eastAsia="en-GB"/>
              </w:rPr>
            </w:pPr>
            <w:r w:rsidRPr="00A02B31">
              <w:rPr>
                <w:rFonts w:eastAsia="Times New Roman" w:cstheme="minorHAnsi"/>
                <w:color w:val="000000"/>
                <w:sz w:val="18"/>
                <w:szCs w:val="18"/>
                <w:lang w:eastAsia="en-GB"/>
              </w:rPr>
              <w:t>(7,173)</w:t>
            </w:r>
          </w:p>
        </w:tc>
        <w:tc>
          <w:tcPr>
            <w:tcW w:w="1396" w:type="dxa"/>
            <w:tcBorders>
              <w:top w:val="single" w:sz="4" w:space="0" w:color="auto"/>
              <w:bottom w:val="single" w:sz="4" w:space="0" w:color="auto"/>
              <w:right w:val="single" w:sz="4" w:space="0" w:color="auto"/>
            </w:tcBorders>
            <w:shd w:val="clear" w:color="auto" w:fill="auto"/>
            <w:noWrap/>
            <w:vAlign w:val="bottom"/>
            <w:hideMark/>
          </w:tcPr>
          <w:p w14:paraId="616F3F75" w14:textId="77777777" w:rsidR="00FA18EA" w:rsidRPr="00A02B31" w:rsidRDefault="00FA18EA" w:rsidP="00FA18EA">
            <w:pPr>
              <w:jc w:val="right"/>
              <w:rPr>
                <w:rFonts w:eastAsia="Times New Roman" w:cstheme="minorHAnsi"/>
                <w:color w:val="000000"/>
                <w:sz w:val="18"/>
                <w:szCs w:val="18"/>
                <w:lang w:eastAsia="en-GB"/>
              </w:rPr>
            </w:pPr>
            <w:r w:rsidRPr="00A02B31">
              <w:rPr>
                <w:rFonts w:eastAsia="Times New Roman" w:cstheme="minorHAnsi"/>
                <w:color w:val="000000"/>
                <w:sz w:val="18"/>
                <w:szCs w:val="18"/>
                <w:lang w:eastAsia="en-GB"/>
              </w:rPr>
              <w:t>(282.29)</w:t>
            </w:r>
          </w:p>
        </w:tc>
      </w:tr>
    </w:tbl>
    <w:p w14:paraId="1B06AD15" w14:textId="77777777" w:rsidR="00FA18EA" w:rsidRPr="008B2DDA" w:rsidRDefault="00FA18EA" w:rsidP="00FA18EA">
      <w:pPr>
        <w:autoSpaceDE w:val="0"/>
        <w:autoSpaceDN w:val="0"/>
        <w:adjustRightInd w:val="0"/>
        <w:jc w:val="both"/>
        <w:rPr>
          <w:rFonts w:cstheme="minorHAnsi"/>
          <w:color w:val="000000" w:themeColor="text1"/>
          <w:sz w:val="18"/>
          <w:szCs w:val="18"/>
        </w:rPr>
      </w:pPr>
    </w:p>
    <w:tbl>
      <w:tblPr>
        <w:tblW w:w="9736" w:type="dxa"/>
        <w:tblLook w:val="04A0" w:firstRow="1" w:lastRow="0" w:firstColumn="1" w:lastColumn="0" w:noHBand="0" w:noVBand="1"/>
      </w:tblPr>
      <w:tblGrid>
        <w:gridCol w:w="2627"/>
        <w:gridCol w:w="1687"/>
        <w:gridCol w:w="800"/>
        <w:gridCol w:w="897"/>
        <w:gridCol w:w="1436"/>
        <w:gridCol w:w="893"/>
        <w:gridCol w:w="1396"/>
      </w:tblGrid>
      <w:tr w:rsidR="00FA18EA" w:rsidRPr="007600A7" w14:paraId="5E881151" w14:textId="77777777" w:rsidTr="00FA18EA">
        <w:trPr>
          <w:trHeight w:val="309"/>
        </w:trPr>
        <w:tc>
          <w:tcPr>
            <w:tcW w:w="2627" w:type="dxa"/>
            <w:tcBorders>
              <w:top w:val="single" w:sz="4" w:space="0" w:color="auto"/>
              <w:left w:val="single" w:sz="4" w:space="0" w:color="auto"/>
              <w:bottom w:val="single" w:sz="4" w:space="0" w:color="auto"/>
              <w:right w:val="nil"/>
            </w:tcBorders>
            <w:shd w:val="clear" w:color="auto" w:fill="auto"/>
            <w:noWrap/>
            <w:vAlign w:val="bottom"/>
            <w:hideMark/>
          </w:tcPr>
          <w:p w14:paraId="6A2AC044" w14:textId="77777777" w:rsidR="00FA18EA" w:rsidRPr="00A02B31" w:rsidRDefault="00FA18EA" w:rsidP="00FA18EA">
            <w:pPr>
              <w:rPr>
                <w:rFonts w:eastAsia="Times New Roman" w:cstheme="minorHAnsi"/>
                <w:b/>
                <w:bCs/>
                <w:color w:val="000000"/>
                <w:sz w:val="18"/>
                <w:szCs w:val="18"/>
                <w:lang w:eastAsia="en-GB"/>
              </w:rPr>
            </w:pPr>
            <w:r w:rsidRPr="00A02B31">
              <w:rPr>
                <w:rFonts w:eastAsia="Times New Roman" w:cstheme="minorHAnsi"/>
                <w:b/>
                <w:bCs/>
                <w:color w:val="000000"/>
                <w:sz w:val="18"/>
                <w:szCs w:val="18"/>
                <w:lang w:eastAsia="en-GB"/>
              </w:rPr>
              <w:t>As at 31 March 2021</w:t>
            </w:r>
          </w:p>
        </w:tc>
        <w:tc>
          <w:tcPr>
            <w:tcW w:w="1687" w:type="dxa"/>
            <w:tcBorders>
              <w:top w:val="single" w:sz="4" w:space="0" w:color="auto"/>
              <w:left w:val="nil"/>
              <w:bottom w:val="single" w:sz="4" w:space="0" w:color="auto"/>
              <w:right w:val="nil"/>
            </w:tcBorders>
            <w:shd w:val="clear" w:color="auto" w:fill="auto"/>
            <w:noWrap/>
            <w:vAlign w:val="bottom"/>
            <w:hideMark/>
          </w:tcPr>
          <w:p w14:paraId="051ECF0B" w14:textId="77777777" w:rsidR="00FA18EA" w:rsidRPr="00A02B31" w:rsidRDefault="00FA18EA" w:rsidP="00FA18EA">
            <w:pPr>
              <w:rPr>
                <w:rFonts w:eastAsia="Times New Roman" w:cstheme="minorHAnsi"/>
                <w:color w:val="000000"/>
                <w:sz w:val="18"/>
                <w:szCs w:val="18"/>
                <w:lang w:eastAsia="en-GB"/>
              </w:rPr>
            </w:pPr>
            <w:r w:rsidRPr="00A02B31">
              <w:rPr>
                <w:rFonts w:eastAsia="Times New Roman" w:cstheme="minorHAnsi"/>
                <w:color w:val="000000"/>
                <w:sz w:val="18"/>
                <w:szCs w:val="18"/>
                <w:lang w:eastAsia="en-GB"/>
              </w:rPr>
              <w:t> </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14:paraId="09F98069" w14:textId="77777777" w:rsidR="00FA18EA" w:rsidRPr="00A02B31" w:rsidRDefault="00FA18EA" w:rsidP="00FA18EA">
            <w:pPr>
              <w:rPr>
                <w:rFonts w:eastAsia="Times New Roman" w:cstheme="minorHAnsi"/>
                <w:color w:val="000000"/>
                <w:sz w:val="18"/>
                <w:szCs w:val="18"/>
                <w:lang w:eastAsia="en-GB"/>
              </w:rPr>
            </w:pPr>
            <w:r w:rsidRPr="00A02B31">
              <w:rPr>
                <w:rFonts w:eastAsia="Times New Roman" w:cstheme="minorHAnsi"/>
                <w:color w:val="000000"/>
                <w:sz w:val="18"/>
                <w:szCs w:val="18"/>
                <w:lang w:eastAsia="en-GB"/>
              </w:rPr>
              <w:t> </w:t>
            </w:r>
          </w:p>
        </w:tc>
        <w:tc>
          <w:tcPr>
            <w:tcW w:w="2333" w:type="dxa"/>
            <w:gridSpan w:val="2"/>
            <w:tcBorders>
              <w:top w:val="single" w:sz="4" w:space="0" w:color="auto"/>
              <w:left w:val="nil"/>
              <w:bottom w:val="nil"/>
              <w:right w:val="single" w:sz="4" w:space="0" w:color="000000"/>
            </w:tcBorders>
            <w:shd w:val="clear" w:color="auto" w:fill="auto"/>
            <w:noWrap/>
            <w:vAlign w:val="bottom"/>
            <w:hideMark/>
          </w:tcPr>
          <w:p w14:paraId="43C00473" w14:textId="77777777" w:rsidR="00FA18EA" w:rsidRPr="00A02B31" w:rsidRDefault="00FA18EA" w:rsidP="00FA18EA">
            <w:pPr>
              <w:jc w:val="center"/>
              <w:rPr>
                <w:rFonts w:eastAsia="Times New Roman" w:cstheme="minorHAnsi"/>
                <w:b/>
                <w:bCs/>
                <w:color w:val="000000"/>
                <w:sz w:val="18"/>
                <w:szCs w:val="18"/>
                <w:lang w:eastAsia="en-GB"/>
              </w:rPr>
            </w:pPr>
            <w:r w:rsidRPr="00A02B31">
              <w:rPr>
                <w:rFonts w:eastAsia="Times New Roman" w:cstheme="minorHAnsi"/>
                <w:b/>
                <w:bCs/>
                <w:color w:val="000000"/>
                <w:sz w:val="18"/>
                <w:szCs w:val="18"/>
                <w:lang w:eastAsia="en-GB"/>
              </w:rPr>
              <w:t>+25%</w:t>
            </w:r>
          </w:p>
        </w:tc>
        <w:tc>
          <w:tcPr>
            <w:tcW w:w="2289" w:type="dxa"/>
            <w:gridSpan w:val="2"/>
            <w:tcBorders>
              <w:top w:val="single" w:sz="4" w:space="0" w:color="auto"/>
              <w:left w:val="nil"/>
              <w:bottom w:val="nil"/>
              <w:right w:val="single" w:sz="4" w:space="0" w:color="000000"/>
            </w:tcBorders>
            <w:shd w:val="clear" w:color="auto" w:fill="auto"/>
            <w:noWrap/>
            <w:vAlign w:val="bottom"/>
            <w:hideMark/>
          </w:tcPr>
          <w:p w14:paraId="3877947B" w14:textId="77777777" w:rsidR="00FA18EA" w:rsidRPr="00A02B31" w:rsidRDefault="00FA18EA" w:rsidP="00FA18EA">
            <w:pPr>
              <w:jc w:val="center"/>
              <w:rPr>
                <w:rFonts w:eastAsia="Times New Roman" w:cstheme="minorHAnsi"/>
                <w:b/>
                <w:bCs/>
                <w:color w:val="000000"/>
                <w:sz w:val="18"/>
                <w:szCs w:val="18"/>
                <w:lang w:eastAsia="en-GB"/>
              </w:rPr>
            </w:pPr>
            <w:r w:rsidRPr="00A02B31">
              <w:rPr>
                <w:rFonts w:eastAsia="Times New Roman" w:cstheme="minorHAnsi"/>
                <w:b/>
                <w:bCs/>
                <w:color w:val="000000"/>
                <w:sz w:val="18"/>
                <w:szCs w:val="18"/>
                <w:lang w:eastAsia="en-GB"/>
              </w:rPr>
              <w:t>-25%</w:t>
            </w:r>
          </w:p>
        </w:tc>
      </w:tr>
      <w:tr w:rsidR="00FA18EA" w:rsidRPr="007600A7" w14:paraId="47779814" w14:textId="77777777" w:rsidTr="00FA18EA">
        <w:trPr>
          <w:cantSplit/>
        </w:trPr>
        <w:tc>
          <w:tcPr>
            <w:tcW w:w="2627" w:type="dxa"/>
            <w:tcBorders>
              <w:top w:val="nil"/>
              <w:left w:val="single" w:sz="4" w:space="0" w:color="auto"/>
              <w:bottom w:val="single" w:sz="4" w:space="0" w:color="auto"/>
              <w:right w:val="nil"/>
            </w:tcBorders>
            <w:shd w:val="clear" w:color="auto" w:fill="auto"/>
            <w:noWrap/>
            <w:vAlign w:val="bottom"/>
            <w:hideMark/>
          </w:tcPr>
          <w:p w14:paraId="250D3A14" w14:textId="77777777" w:rsidR="00FA18EA" w:rsidRPr="00A02B31" w:rsidRDefault="00FA18EA" w:rsidP="00FA18EA">
            <w:pPr>
              <w:rPr>
                <w:rFonts w:eastAsia="Times New Roman" w:cstheme="minorHAnsi"/>
                <w:b/>
                <w:bCs/>
                <w:color w:val="000000"/>
                <w:sz w:val="18"/>
                <w:szCs w:val="18"/>
                <w:lang w:eastAsia="en-GB"/>
              </w:rPr>
            </w:pPr>
            <w:r w:rsidRPr="00A02B31">
              <w:rPr>
                <w:rFonts w:eastAsia="Times New Roman" w:cstheme="minorHAnsi"/>
                <w:b/>
                <w:bCs/>
                <w:color w:val="000000"/>
                <w:sz w:val="18"/>
                <w:szCs w:val="18"/>
                <w:lang w:eastAsia="en-GB"/>
              </w:rPr>
              <w:t>Security</w:t>
            </w:r>
          </w:p>
        </w:tc>
        <w:tc>
          <w:tcPr>
            <w:tcW w:w="1687" w:type="dxa"/>
            <w:tcBorders>
              <w:top w:val="nil"/>
              <w:left w:val="nil"/>
              <w:bottom w:val="single" w:sz="4" w:space="0" w:color="auto"/>
              <w:right w:val="nil"/>
            </w:tcBorders>
            <w:shd w:val="clear" w:color="auto" w:fill="auto"/>
            <w:noWrap/>
            <w:vAlign w:val="bottom"/>
            <w:hideMark/>
          </w:tcPr>
          <w:p w14:paraId="0779C917" w14:textId="77777777" w:rsidR="00FA18EA" w:rsidRPr="00A02B31" w:rsidRDefault="00FA18EA" w:rsidP="00FA18EA">
            <w:pPr>
              <w:rPr>
                <w:rFonts w:eastAsia="Times New Roman" w:cstheme="minorHAnsi"/>
                <w:b/>
                <w:bCs/>
                <w:color w:val="000000"/>
                <w:sz w:val="18"/>
                <w:szCs w:val="18"/>
                <w:lang w:eastAsia="en-GB"/>
              </w:rPr>
            </w:pPr>
            <w:r w:rsidRPr="00A02B31">
              <w:rPr>
                <w:rFonts w:eastAsia="Times New Roman" w:cstheme="minorHAnsi"/>
                <w:b/>
                <w:bCs/>
                <w:color w:val="000000"/>
                <w:sz w:val="18"/>
                <w:szCs w:val="18"/>
                <w:lang w:eastAsia="en-GB"/>
              </w:rPr>
              <w:t>Valuation basis</w:t>
            </w:r>
          </w:p>
        </w:tc>
        <w:tc>
          <w:tcPr>
            <w:tcW w:w="800" w:type="dxa"/>
            <w:tcBorders>
              <w:top w:val="nil"/>
              <w:left w:val="nil"/>
              <w:bottom w:val="single" w:sz="4" w:space="0" w:color="auto"/>
              <w:right w:val="nil"/>
            </w:tcBorders>
            <w:shd w:val="clear" w:color="auto" w:fill="auto"/>
            <w:noWrap/>
            <w:vAlign w:val="bottom"/>
            <w:hideMark/>
          </w:tcPr>
          <w:p w14:paraId="66243731" w14:textId="77777777" w:rsidR="00FA18EA" w:rsidRPr="00A02B31" w:rsidRDefault="00FA18EA" w:rsidP="00FA18EA">
            <w:pPr>
              <w:jc w:val="right"/>
              <w:rPr>
                <w:rFonts w:eastAsia="Times New Roman" w:cstheme="minorHAnsi"/>
                <w:b/>
                <w:bCs/>
                <w:color w:val="000000"/>
                <w:sz w:val="18"/>
                <w:szCs w:val="18"/>
                <w:lang w:eastAsia="en-GB"/>
              </w:rPr>
            </w:pPr>
            <w:r w:rsidRPr="00A02B31">
              <w:rPr>
                <w:rFonts w:eastAsia="Times New Roman" w:cstheme="minorHAnsi"/>
                <w:b/>
                <w:bCs/>
                <w:color w:val="000000"/>
                <w:sz w:val="18"/>
                <w:szCs w:val="18"/>
                <w:lang w:eastAsia="en-GB"/>
              </w:rPr>
              <w:t>Fair value</w:t>
            </w:r>
          </w:p>
        </w:tc>
        <w:tc>
          <w:tcPr>
            <w:tcW w:w="897" w:type="dxa"/>
            <w:tcBorders>
              <w:top w:val="single" w:sz="4" w:space="0" w:color="auto"/>
              <w:left w:val="single" w:sz="4" w:space="0" w:color="auto"/>
              <w:bottom w:val="single" w:sz="4" w:space="0" w:color="auto"/>
              <w:right w:val="nil"/>
            </w:tcBorders>
            <w:shd w:val="clear" w:color="auto" w:fill="auto"/>
            <w:noWrap/>
            <w:vAlign w:val="bottom"/>
            <w:hideMark/>
          </w:tcPr>
          <w:p w14:paraId="166649B7" w14:textId="77777777" w:rsidR="00FA18EA" w:rsidRPr="00A02B31" w:rsidRDefault="00FA18EA" w:rsidP="00FA18EA">
            <w:pPr>
              <w:jc w:val="right"/>
              <w:rPr>
                <w:rFonts w:eastAsia="Times New Roman" w:cstheme="minorHAnsi"/>
                <w:b/>
                <w:bCs/>
                <w:color w:val="000000"/>
                <w:sz w:val="18"/>
                <w:szCs w:val="18"/>
                <w:lang w:eastAsia="en-GB"/>
              </w:rPr>
            </w:pPr>
            <w:r w:rsidRPr="00A02B31">
              <w:rPr>
                <w:rFonts w:eastAsia="Times New Roman" w:cstheme="minorHAnsi"/>
                <w:b/>
                <w:bCs/>
                <w:color w:val="000000"/>
                <w:sz w:val="18"/>
                <w:szCs w:val="18"/>
                <w:lang w:eastAsia="en-GB"/>
              </w:rPr>
              <w:t xml:space="preserve">Impact </w:t>
            </w:r>
          </w:p>
          <w:p w14:paraId="6D26AF12" w14:textId="77777777" w:rsidR="00FA18EA" w:rsidRPr="00A02B31" w:rsidRDefault="00FA18EA" w:rsidP="00FA18EA">
            <w:pPr>
              <w:jc w:val="right"/>
              <w:rPr>
                <w:rFonts w:eastAsia="Times New Roman" w:cstheme="minorHAnsi"/>
                <w:b/>
                <w:bCs/>
                <w:color w:val="000000"/>
                <w:sz w:val="18"/>
                <w:szCs w:val="18"/>
                <w:lang w:eastAsia="en-GB"/>
              </w:rPr>
            </w:pPr>
            <w:r w:rsidRPr="00A02B31">
              <w:rPr>
                <w:rFonts w:eastAsia="Times New Roman" w:cstheme="minorHAnsi"/>
                <w:b/>
                <w:bCs/>
                <w:color w:val="000000"/>
                <w:sz w:val="18"/>
                <w:szCs w:val="18"/>
                <w:lang w:eastAsia="en-GB"/>
              </w:rPr>
              <w:t>£'000</w:t>
            </w:r>
          </w:p>
        </w:tc>
        <w:tc>
          <w:tcPr>
            <w:tcW w:w="1436" w:type="dxa"/>
            <w:tcBorders>
              <w:top w:val="single" w:sz="4" w:space="0" w:color="auto"/>
              <w:left w:val="nil"/>
              <w:bottom w:val="single" w:sz="4" w:space="0" w:color="auto"/>
              <w:right w:val="nil"/>
            </w:tcBorders>
            <w:shd w:val="clear" w:color="auto" w:fill="auto"/>
            <w:vAlign w:val="bottom"/>
            <w:hideMark/>
          </w:tcPr>
          <w:p w14:paraId="00172B39" w14:textId="77777777" w:rsidR="00FA18EA" w:rsidRPr="00A02B31" w:rsidRDefault="00FA18EA" w:rsidP="00FA18EA">
            <w:pPr>
              <w:jc w:val="right"/>
              <w:rPr>
                <w:rFonts w:eastAsia="Times New Roman" w:cstheme="minorHAnsi"/>
                <w:b/>
                <w:bCs/>
                <w:color w:val="000000"/>
                <w:sz w:val="18"/>
                <w:szCs w:val="18"/>
                <w:lang w:eastAsia="en-GB"/>
              </w:rPr>
            </w:pPr>
            <w:r w:rsidRPr="00A02B31">
              <w:rPr>
                <w:rFonts w:eastAsia="Times New Roman" w:cstheme="minorHAnsi"/>
                <w:b/>
                <w:bCs/>
                <w:color w:val="000000"/>
                <w:sz w:val="18"/>
                <w:szCs w:val="18"/>
                <w:lang w:eastAsia="en-GB"/>
              </w:rPr>
              <w:t xml:space="preserve">Impact per share </w:t>
            </w:r>
            <w:r w:rsidRPr="00A02B31">
              <w:rPr>
                <w:rFonts w:eastAsia="Times New Roman" w:cstheme="minorHAnsi"/>
                <w:b/>
                <w:bCs/>
                <w:color w:val="000000"/>
                <w:sz w:val="18"/>
                <w:szCs w:val="18"/>
                <w:lang w:eastAsia="en-GB"/>
              </w:rPr>
              <w:br/>
              <w:t>(in pence)</w:t>
            </w:r>
          </w:p>
        </w:tc>
        <w:tc>
          <w:tcPr>
            <w:tcW w:w="893" w:type="dxa"/>
            <w:tcBorders>
              <w:top w:val="single" w:sz="4" w:space="0" w:color="auto"/>
              <w:left w:val="single" w:sz="4" w:space="0" w:color="auto"/>
              <w:bottom w:val="single" w:sz="4" w:space="0" w:color="auto"/>
              <w:right w:val="nil"/>
            </w:tcBorders>
            <w:shd w:val="clear" w:color="auto" w:fill="auto"/>
            <w:noWrap/>
            <w:vAlign w:val="bottom"/>
            <w:hideMark/>
          </w:tcPr>
          <w:p w14:paraId="13E1C98E" w14:textId="77777777" w:rsidR="00FA18EA" w:rsidRPr="00A02B31" w:rsidRDefault="00FA18EA" w:rsidP="00FA18EA">
            <w:pPr>
              <w:jc w:val="right"/>
              <w:rPr>
                <w:rFonts w:eastAsia="Times New Roman" w:cstheme="minorHAnsi"/>
                <w:b/>
                <w:bCs/>
                <w:color w:val="000000"/>
                <w:sz w:val="18"/>
                <w:szCs w:val="18"/>
                <w:lang w:eastAsia="en-GB"/>
              </w:rPr>
            </w:pPr>
            <w:r w:rsidRPr="00A02B31">
              <w:rPr>
                <w:rFonts w:eastAsia="Times New Roman" w:cstheme="minorHAnsi"/>
                <w:b/>
                <w:bCs/>
                <w:color w:val="000000"/>
                <w:sz w:val="18"/>
                <w:szCs w:val="18"/>
                <w:lang w:eastAsia="en-GB"/>
              </w:rPr>
              <w:t>Impact £'000</w:t>
            </w:r>
          </w:p>
        </w:tc>
        <w:tc>
          <w:tcPr>
            <w:tcW w:w="1396" w:type="dxa"/>
            <w:tcBorders>
              <w:top w:val="single" w:sz="4" w:space="0" w:color="auto"/>
              <w:left w:val="nil"/>
              <w:bottom w:val="single" w:sz="4" w:space="0" w:color="auto"/>
              <w:right w:val="single" w:sz="4" w:space="0" w:color="auto"/>
            </w:tcBorders>
            <w:shd w:val="clear" w:color="auto" w:fill="auto"/>
            <w:vAlign w:val="bottom"/>
            <w:hideMark/>
          </w:tcPr>
          <w:p w14:paraId="57FE07A1" w14:textId="77777777" w:rsidR="00FA18EA" w:rsidRPr="00A02B31" w:rsidRDefault="00FA18EA" w:rsidP="00FA18EA">
            <w:pPr>
              <w:jc w:val="right"/>
              <w:rPr>
                <w:rFonts w:eastAsia="Times New Roman" w:cstheme="minorHAnsi"/>
                <w:b/>
                <w:bCs/>
                <w:color w:val="000000"/>
                <w:sz w:val="18"/>
                <w:szCs w:val="18"/>
                <w:lang w:eastAsia="en-GB"/>
              </w:rPr>
            </w:pPr>
            <w:r w:rsidRPr="00A02B31">
              <w:rPr>
                <w:rFonts w:eastAsia="Times New Roman" w:cstheme="minorHAnsi"/>
                <w:b/>
                <w:bCs/>
                <w:color w:val="000000"/>
                <w:sz w:val="18"/>
                <w:szCs w:val="18"/>
                <w:lang w:eastAsia="en-GB"/>
              </w:rPr>
              <w:t xml:space="preserve">Impact per share </w:t>
            </w:r>
            <w:r w:rsidRPr="00A02B31">
              <w:rPr>
                <w:rFonts w:eastAsia="Times New Roman" w:cstheme="minorHAnsi"/>
                <w:b/>
                <w:bCs/>
                <w:color w:val="000000"/>
                <w:sz w:val="18"/>
                <w:szCs w:val="18"/>
                <w:lang w:eastAsia="en-GB"/>
              </w:rPr>
              <w:br/>
              <w:t>(in pence)</w:t>
            </w:r>
          </w:p>
        </w:tc>
      </w:tr>
      <w:tr w:rsidR="00FA18EA" w:rsidRPr="007600A7" w14:paraId="5CF43600" w14:textId="77777777" w:rsidTr="00FA18EA">
        <w:trPr>
          <w:trHeight w:val="309"/>
        </w:trPr>
        <w:tc>
          <w:tcPr>
            <w:tcW w:w="2627" w:type="dxa"/>
            <w:tcBorders>
              <w:top w:val="nil"/>
              <w:left w:val="single" w:sz="4" w:space="0" w:color="auto"/>
              <w:bottom w:val="single" w:sz="4" w:space="0" w:color="auto"/>
              <w:right w:val="nil"/>
            </w:tcBorders>
            <w:shd w:val="clear" w:color="auto" w:fill="auto"/>
            <w:noWrap/>
            <w:vAlign w:val="bottom"/>
            <w:hideMark/>
          </w:tcPr>
          <w:p w14:paraId="521210CE" w14:textId="77777777" w:rsidR="00FA18EA" w:rsidRPr="00A02B31" w:rsidRDefault="00FA18EA" w:rsidP="00FA18EA">
            <w:pPr>
              <w:rPr>
                <w:rFonts w:eastAsia="Times New Roman" w:cstheme="minorHAnsi"/>
                <w:color w:val="000000"/>
                <w:sz w:val="18"/>
                <w:szCs w:val="18"/>
                <w:lang w:eastAsia="en-GB"/>
              </w:rPr>
            </w:pPr>
            <w:r w:rsidRPr="00A02B31">
              <w:rPr>
                <w:rFonts w:eastAsia="Times New Roman" w:cstheme="minorHAnsi"/>
                <w:color w:val="000000"/>
                <w:sz w:val="18"/>
                <w:szCs w:val="18"/>
                <w:lang w:eastAsia="en-GB"/>
              </w:rPr>
              <w:t>Quoted investments</w:t>
            </w:r>
          </w:p>
        </w:tc>
        <w:tc>
          <w:tcPr>
            <w:tcW w:w="1687" w:type="dxa"/>
            <w:tcBorders>
              <w:top w:val="nil"/>
              <w:left w:val="nil"/>
              <w:bottom w:val="single" w:sz="4" w:space="0" w:color="auto"/>
              <w:right w:val="nil"/>
            </w:tcBorders>
            <w:shd w:val="clear" w:color="auto" w:fill="auto"/>
            <w:noWrap/>
            <w:vAlign w:val="bottom"/>
            <w:hideMark/>
          </w:tcPr>
          <w:p w14:paraId="1A1B8B00" w14:textId="77777777" w:rsidR="00FA18EA" w:rsidRPr="00A02B31" w:rsidRDefault="00FA18EA" w:rsidP="00FA18EA">
            <w:pPr>
              <w:rPr>
                <w:rFonts w:eastAsia="Times New Roman" w:cstheme="minorHAnsi"/>
                <w:color w:val="000000"/>
                <w:sz w:val="18"/>
                <w:szCs w:val="18"/>
                <w:lang w:eastAsia="en-GB"/>
              </w:rPr>
            </w:pPr>
            <w:r w:rsidRPr="00A02B31">
              <w:rPr>
                <w:rFonts w:eastAsia="Times New Roman" w:cstheme="minorHAnsi"/>
                <w:color w:val="000000"/>
                <w:sz w:val="18"/>
                <w:szCs w:val="18"/>
                <w:lang w:eastAsia="en-GB"/>
              </w:rPr>
              <w:t>Latest share price</w:t>
            </w:r>
          </w:p>
        </w:tc>
        <w:tc>
          <w:tcPr>
            <w:tcW w:w="800" w:type="dxa"/>
            <w:tcBorders>
              <w:top w:val="nil"/>
              <w:left w:val="nil"/>
              <w:bottom w:val="single" w:sz="4" w:space="0" w:color="auto"/>
              <w:right w:val="nil"/>
            </w:tcBorders>
            <w:shd w:val="clear" w:color="auto" w:fill="auto"/>
            <w:noWrap/>
            <w:vAlign w:val="bottom"/>
            <w:hideMark/>
          </w:tcPr>
          <w:p w14:paraId="2DB04283" w14:textId="77777777" w:rsidR="00FA18EA" w:rsidRPr="00A02B31" w:rsidRDefault="00FA18EA" w:rsidP="00FA18EA">
            <w:pPr>
              <w:jc w:val="right"/>
              <w:rPr>
                <w:rFonts w:eastAsia="Times New Roman" w:cstheme="minorHAnsi"/>
                <w:color w:val="000000"/>
                <w:sz w:val="18"/>
                <w:szCs w:val="18"/>
                <w:lang w:eastAsia="en-GB"/>
              </w:rPr>
            </w:pPr>
            <w:r w:rsidRPr="00A02B31">
              <w:rPr>
                <w:rFonts w:eastAsia="Times New Roman" w:cstheme="minorHAnsi"/>
                <w:color w:val="000000"/>
                <w:sz w:val="18"/>
                <w:szCs w:val="18"/>
                <w:lang w:eastAsia="en-GB"/>
              </w:rPr>
              <w:t xml:space="preserve">             47,565 </w:t>
            </w:r>
          </w:p>
        </w:tc>
        <w:tc>
          <w:tcPr>
            <w:tcW w:w="897" w:type="dxa"/>
            <w:tcBorders>
              <w:top w:val="nil"/>
              <w:left w:val="single" w:sz="4" w:space="0" w:color="auto"/>
              <w:bottom w:val="single" w:sz="4" w:space="0" w:color="auto"/>
              <w:right w:val="nil"/>
            </w:tcBorders>
            <w:shd w:val="clear" w:color="auto" w:fill="auto"/>
            <w:noWrap/>
            <w:vAlign w:val="bottom"/>
            <w:hideMark/>
          </w:tcPr>
          <w:p w14:paraId="5DF46851" w14:textId="77777777" w:rsidR="00FA18EA" w:rsidRPr="00A02B31" w:rsidRDefault="00FA18EA" w:rsidP="00FA18EA">
            <w:pPr>
              <w:jc w:val="right"/>
              <w:rPr>
                <w:rFonts w:eastAsia="Times New Roman" w:cstheme="minorHAnsi"/>
                <w:color w:val="000000"/>
                <w:sz w:val="18"/>
                <w:szCs w:val="18"/>
                <w:lang w:eastAsia="en-GB"/>
              </w:rPr>
            </w:pPr>
            <w:r w:rsidRPr="00A02B31">
              <w:rPr>
                <w:rFonts w:eastAsia="Times New Roman" w:cstheme="minorHAnsi"/>
                <w:color w:val="000000"/>
                <w:sz w:val="18"/>
                <w:szCs w:val="18"/>
                <w:lang w:eastAsia="en-GB"/>
              </w:rPr>
              <w:t xml:space="preserve">               11,891  </w:t>
            </w:r>
          </w:p>
        </w:tc>
        <w:tc>
          <w:tcPr>
            <w:tcW w:w="1436" w:type="dxa"/>
            <w:tcBorders>
              <w:top w:val="nil"/>
              <w:left w:val="nil"/>
              <w:bottom w:val="single" w:sz="4" w:space="0" w:color="auto"/>
              <w:right w:val="nil"/>
            </w:tcBorders>
            <w:shd w:val="clear" w:color="auto" w:fill="auto"/>
            <w:noWrap/>
            <w:vAlign w:val="bottom"/>
            <w:hideMark/>
          </w:tcPr>
          <w:p w14:paraId="0452C545" w14:textId="77777777" w:rsidR="00FA18EA" w:rsidRPr="00A02B31" w:rsidRDefault="00FA18EA" w:rsidP="00FA18EA">
            <w:pPr>
              <w:jc w:val="right"/>
              <w:rPr>
                <w:rFonts w:eastAsia="Times New Roman" w:cstheme="minorHAnsi"/>
                <w:color w:val="000000"/>
                <w:sz w:val="18"/>
                <w:szCs w:val="18"/>
                <w:lang w:eastAsia="en-GB"/>
              </w:rPr>
            </w:pPr>
            <w:r w:rsidRPr="00A02B31">
              <w:rPr>
                <w:rFonts w:eastAsia="Times New Roman" w:cstheme="minorHAnsi"/>
                <w:color w:val="000000"/>
                <w:sz w:val="18"/>
                <w:szCs w:val="18"/>
                <w:lang w:eastAsia="en-GB"/>
              </w:rPr>
              <w:t>341.62</w:t>
            </w:r>
          </w:p>
        </w:tc>
        <w:tc>
          <w:tcPr>
            <w:tcW w:w="893" w:type="dxa"/>
            <w:tcBorders>
              <w:top w:val="nil"/>
              <w:left w:val="single" w:sz="4" w:space="0" w:color="auto"/>
              <w:bottom w:val="single" w:sz="4" w:space="0" w:color="auto"/>
              <w:right w:val="nil"/>
            </w:tcBorders>
            <w:shd w:val="clear" w:color="auto" w:fill="auto"/>
            <w:noWrap/>
            <w:vAlign w:val="bottom"/>
            <w:hideMark/>
          </w:tcPr>
          <w:p w14:paraId="7666935F" w14:textId="77777777" w:rsidR="00FA18EA" w:rsidRPr="00A02B31" w:rsidRDefault="00FA18EA" w:rsidP="00FA18EA">
            <w:pPr>
              <w:jc w:val="right"/>
              <w:rPr>
                <w:rFonts w:eastAsia="Times New Roman" w:cstheme="minorHAnsi"/>
                <w:color w:val="000000"/>
                <w:sz w:val="18"/>
                <w:szCs w:val="18"/>
                <w:lang w:eastAsia="en-GB"/>
              </w:rPr>
            </w:pPr>
            <w:r w:rsidRPr="00A02B31">
              <w:rPr>
                <w:rFonts w:eastAsia="Times New Roman" w:cstheme="minorHAnsi"/>
                <w:color w:val="000000"/>
                <w:sz w:val="18"/>
                <w:szCs w:val="18"/>
                <w:lang w:eastAsia="en-GB"/>
              </w:rPr>
              <w:t xml:space="preserve">(11,891)  </w:t>
            </w:r>
          </w:p>
        </w:tc>
        <w:tc>
          <w:tcPr>
            <w:tcW w:w="1396" w:type="dxa"/>
            <w:tcBorders>
              <w:top w:val="nil"/>
              <w:left w:val="nil"/>
              <w:bottom w:val="single" w:sz="4" w:space="0" w:color="auto"/>
              <w:right w:val="single" w:sz="4" w:space="0" w:color="auto"/>
            </w:tcBorders>
            <w:shd w:val="clear" w:color="auto" w:fill="auto"/>
            <w:noWrap/>
            <w:vAlign w:val="bottom"/>
            <w:hideMark/>
          </w:tcPr>
          <w:p w14:paraId="5830A343" w14:textId="77777777" w:rsidR="00FA18EA" w:rsidRPr="00A02B31" w:rsidRDefault="00FA18EA" w:rsidP="00FA18EA">
            <w:pPr>
              <w:jc w:val="right"/>
              <w:rPr>
                <w:rFonts w:eastAsia="Times New Roman" w:cstheme="minorHAnsi"/>
                <w:color w:val="000000"/>
                <w:sz w:val="18"/>
                <w:szCs w:val="18"/>
                <w:lang w:eastAsia="en-GB"/>
              </w:rPr>
            </w:pPr>
            <w:r w:rsidRPr="00A02B31">
              <w:rPr>
                <w:rFonts w:eastAsia="Times New Roman" w:cstheme="minorHAnsi"/>
                <w:color w:val="000000"/>
                <w:sz w:val="18"/>
                <w:szCs w:val="18"/>
                <w:lang w:eastAsia="en-GB"/>
              </w:rPr>
              <w:t xml:space="preserve">(341.62)  </w:t>
            </w:r>
          </w:p>
        </w:tc>
      </w:tr>
      <w:tr w:rsidR="00FA18EA" w:rsidRPr="007600A7" w14:paraId="7EA7B6B6" w14:textId="77777777" w:rsidTr="00FA18EA">
        <w:trPr>
          <w:trHeight w:val="309"/>
        </w:trPr>
        <w:tc>
          <w:tcPr>
            <w:tcW w:w="2627" w:type="dxa"/>
            <w:tcBorders>
              <w:top w:val="nil"/>
              <w:left w:val="single" w:sz="4" w:space="0" w:color="auto"/>
              <w:bottom w:val="nil"/>
              <w:right w:val="nil"/>
            </w:tcBorders>
            <w:shd w:val="clear" w:color="auto" w:fill="auto"/>
            <w:vAlign w:val="bottom"/>
            <w:hideMark/>
          </w:tcPr>
          <w:p w14:paraId="1FC89716" w14:textId="77777777" w:rsidR="00FA18EA" w:rsidRPr="00A02B31" w:rsidRDefault="00FA18EA" w:rsidP="00FA18EA">
            <w:pPr>
              <w:rPr>
                <w:rFonts w:eastAsia="Times New Roman" w:cstheme="minorHAnsi"/>
                <w:color w:val="000000"/>
                <w:sz w:val="18"/>
                <w:szCs w:val="18"/>
                <w:lang w:eastAsia="en-GB"/>
              </w:rPr>
            </w:pPr>
            <w:r w:rsidRPr="00A02B31">
              <w:rPr>
                <w:rFonts w:eastAsia="Times New Roman" w:cstheme="minorHAnsi"/>
                <w:color w:val="000000"/>
                <w:sz w:val="18"/>
                <w:szCs w:val="18"/>
                <w:lang w:eastAsia="en-GB"/>
              </w:rPr>
              <w:t>Unquoted investments</w:t>
            </w:r>
          </w:p>
        </w:tc>
        <w:tc>
          <w:tcPr>
            <w:tcW w:w="1687" w:type="dxa"/>
            <w:tcBorders>
              <w:top w:val="nil"/>
              <w:left w:val="nil"/>
              <w:bottom w:val="nil"/>
              <w:right w:val="nil"/>
            </w:tcBorders>
            <w:shd w:val="clear" w:color="auto" w:fill="auto"/>
            <w:noWrap/>
            <w:vAlign w:val="bottom"/>
            <w:hideMark/>
          </w:tcPr>
          <w:p w14:paraId="6D58EED9" w14:textId="77777777" w:rsidR="00FA18EA" w:rsidRPr="00A02B31" w:rsidRDefault="00FA18EA" w:rsidP="00FA18EA">
            <w:pPr>
              <w:rPr>
                <w:rFonts w:eastAsia="Times New Roman" w:cstheme="minorHAnsi"/>
                <w:color w:val="000000"/>
                <w:sz w:val="18"/>
                <w:szCs w:val="18"/>
                <w:lang w:eastAsia="en-GB"/>
              </w:rPr>
            </w:pPr>
          </w:p>
        </w:tc>
        <w:tc>
          <w:tcPr>
            <w:tcW w:w="800" w:type="dxa"/>
            <w:tcBorders>
              <w:top w:val="nil"/>
              <w:left w:val="nil"/>
              <w:bottom w:val="nil"/>
              <w:right w:val="nil"/>
            </w:tcBorders>
            <w:shd w:val="clear" w:color="auto" w:fill="auto"/>
            <w:noWrap/>
            <w:vAlign w:val="bottom"/>
            <w:hideMark/>
          </w:tcPr>
          <w:p w14:paraId="07CFDC18" w14:textId="77777777" w:rsidR="00FA18EA" w:rsidRPr="00A02B31" w:rsidRDefault="00FA18EA" w:rsidP="00FA18EA">
            <w:pPr>
              <w:jc w:val="right"/>
              <w:rPr>
                <w:rFonts w:eastAsia="Times New Roman" w:cstheme="minorHAnsi"/>
                <w:sz w:val="20"/>
                <w:szCs w:val="20"/>
                <w:lang w:eastAsia="en-GB"/>
              </w:rPr>
            </w:pPr>
          </w:p>
        </w:tc>
        <w:tc>
          <w:tcPr>
            <w:tcW w:w="897" w:type="dxa"/>
            <w:tcBorders>
              <w:top w:val="nil"/>
              <w:left w:val="single" w:sz="4" w:space="0" w:color="auto"/>
              <w:bottom w:val="nil"/>
              <w:right w:val="nil"/>
            </w:tcBorders>
            <w:shd w:val="clear" w:color="auto" w:fill="auto"/>
            <w:noWrap/>
            <w:vAlign w:val="bottom"/>
            <w:hideMark/>
          </w:tcPr>
          <w:p w14:paraId="4C3B2F81" w14:textId="77777777" w:rsidR="00FA18EA" w:rsidRPr="00A02B31" w:rsidRDefault="00FA18EA" w:rsidP="00FA18EA">
            <w:pPr>
              <w:jc w:val="right"/>
              <w:rPr>
                <w:rFonts w:eastAsia="Times New Roman" w:cstheme="minorHAnsi"/>
                <w:color w:val="000000"/>
                <w:sz w:val="18"/>
                <w:szCs w:val="18"/>
                <w:lang w:eastAsia="en-GB"/>
              </w:rPr>
            </w:pPr>
            <w:r w:rsidRPr="00A02B31">
              <w:rPr>
                <w:rFonts w:eastAsia="Times New Roman" w:cstheme="minorHAnsi"/>
                <w:color w:val="000000"/>
                <w:sz w:val="18"/>
                <w:szCs w:val="18"/>
                <w:lang w:eastAsia="en-GB"/>
              </w:rPr>
              <w:t> </w:t>
            </w:r>
          </w:p>
        </w:tc>
        <w:tc>
          <w:tcPr>
            <w:tcW w:w="1436" w:type="dxa"/>
            <w:tcBorders>
              <w:top w:val="nil"/>
              <w:left w:val="nil"/>
              <w:bottom w:val="nil"/>
              <w:right w:val="nil"/>
            </w:tcBorders>
            <w:shd w:val="clear" w:color="auto" w:fill="auto"/>
            <w:noWrap/>
            <w:vAlign w:val="bottom"/>
            <w:hideMark/>
          </w:tcPr>
          <w:p w14:paraId="159A36D7" w14:textId="77777777" w:rsidR="00FA18EA" w:rsidRPr="00A02B31" w:rsidRDefault="00FA18EA" w:rsidP="00FA18EA">
            <w:pPr>
              <w:jc w:val="right"/>
              <w:rPr>
                <w:rFonts w:eastAsia="Times New Roman" w:cstheme="minorHAnsi"/>
                <w:color w:val="000000"/>
                <w:sz w:val="18"/>
                <w:szCs w:val="18"/>
                <w:lang w:eastAsia="en-GB"/>
              </w:rPr>
            </w:pPr>
          </w:p>
        </w:tc>
        <w:tc>
          <w:tcPr>
            <w:tcW w:w="893" w:type="dxa"/>
            <w:tcBorders>
              <w:top w:val="nil"/>
              <w:left w:val="single" w:sz="4" w:space="0" w:color="auto"/>
              <w:bottom w:val="nil"/>
              <w:right w:val="nil"/>
            </w:tcBorders>
            <w:shd w:val="clear" w:color="auto" w:fill="auto"/>
            <w:noWrap/>
            <w:vAlign w:val="bottom"/>
            <w:hideMark/>
          </w:tcPr>
          <w:p w14:paraId="58369AD0" w14:textId="77777777" w:rsidR="00FA18EA" w:rsidRPr="00A02B31" w:rsidRDefault="00FA18EA" w:rsidP="00FA18EA">
            <w:pPr>
              <w:jc w:val="right"/>
              <w:rPr>
                <w:rFonts w:eastAsia="Times New Roman" w:cstheme="minorHAnsi"/>
                <w:color w:val="000000"/>
                <w:sz w:val="18"/>
                <w:szCs w:val="18"/>
                <w:lang w:eastAsia="en-GB"/>
              </w:rPr>
            </w:pPr>
            <w:r w:rsidRPr="00A02B31">
              <w:rPr>
                <w:rFonts w:eastAsia="Times New Roman" w:cstheme="minorHAnsi"/>
                <w:color w:val="000000"/>
                <w:sz w:val="18"/>
                <w:szCs w:val="18"/>
                <w:lang w:eastAsia="en-GB"/>
              </w:rPr>
              <w:t> </w:t>
            </w:r>
          </w:p>
        </w:tc>
        <w:tc>
          <w:tcPr>
            <w:tcW w:w="1396" w:type="dxa"/>
            <w:tcBorders>
              <w:top w:val="nil"/>
              <w:left w:val="nil"/>
              <w:bottom w:val="nil"/>
              <w:right w:val="single" w:sz="4" w:space="0" w:color="auto"/>
            </w:tcBorders>
            <w:shd w:val="clear" w:color="auto" w:fill="auto"/>
            <w:noWrap/>
            <w:vAlign w:val="bottom"/>
            <w:hideMark/>
          </w:tcPr>
          <w:p w14:paraId="41DE0D0E" w14:textId="77777777" w:rsidR="00FA18EA" w:rsidRPr="00A02B31" w:rsidRDefault="00FA18EA" w:rsidP="00FA18EA">
            <w:pPr>
              <w:jc w:val="right"/>
              <w:rPr>
                <w:rFonts w:eastAsia="Times New Roman" w:cstheme="minorHAnsi"/>
                <w:color w:val="000000"/>
                <w:sz w:val="18"/>
                <w:szCs w:val="18"/>
                <w:lang w:eastAsia="en-GB"/>
              </w:rPr>
            </w:pPr>
            <w:r w:rsidRPr="00A02B31">
              <w:rPr>
                <w:rFonts w:eastAsia="Times New Roman" w:cstheme="minorHAnsi"/>
                <w:color w:val="000000"/>
                <w:sz w:val="18"/>
                <w:szCs w:val="18"/>
                <w:lang w:eastAsia="en-GB"/>
              </w:rPr>
              <w:t> </w:t>
            </w:r>
          </w:p>
        </w:tc>
      </w:tr>
      <w:tr w:rsidR="00FA18EA" w:rsidRPr="007600A7" w14:paraId="2E2D0D87" w14:textId="77777777" w:rsidTr="00FA18EA">
        <w:trPr>
          <w:trHeight w:val="512"/>
        </w:trPr>
        <w:tc>
          <w:tcPr>
            <w:tcW w:w="2627" w:type="dxa"/>
            <w:tcBorders>
              <w:top w:val="nil"/>
              <w:left w:val="single" w:sz="4" w:space="0" w:color="auto"/>
              <w:bottom w:val="single" w:sz="4" w:space="0" w:color="auto"/>
              <w:right w:val="nil"/>
            </w:tcBorders>
            <w:shd w:val="clear" w:color="auto" w:fill="auto"/>
            <w:noWrap/>
            <w:vAlign w:val="bottom"/>
            <w:hideMark/>
          </w:tcPr>
          <w:p w14:paraId="03196227" w14:textId="77777777" w:rsidR="00FA18EA" w:rsidRPr="00A02B31" w:rsidRDefault="00FA18EA" w:rsidP="00FA18EA">
            <w:pPr>
              <w:rPr>
                <w:rFonts w:eastAsia="Times New Roman" w:cstheme="minorHAnsi"/>
                <w:i/>
                <w:iCs/>
                <w:color w:val="000000"/>
                <w:sz w:val="18"/>
                <w:szCs w:val="18"/>
                <w:lang w:eastAsia="en-GB"/>
              </w:rPr>
            </w:pPr>
            <w:r w:rsidRPr="00A02B31">
              <w:rPr>
                <w:rFonts w:eastAsia="Times New Roman" w:cstheme="minorHAnsi"/>
                <w:i/>
                <w:iCs/>
                <w:color w:val="000000"/>
                <w:sz w:val="18"/>
                <w:szCs w:val="18"/>
                <w:lang w:eastAsia="en-GB"/>
              </w:rPr>
              <w:t>- Northbridge CLN</w:t>
            </w:r>
          </w:p>
        </w:tc>
        <w:tc>
          <w:tcPr>
            <w:tcW w:w="1687" w:type="dxa"/>
            <w:tcBorders>
              <w:top w:val="nil"/>
              <w:left w:val="nil"/>
              <w:bottom w:val="single" w:sz="4" w:space="0" w:color="auto"/>
              <w:right w:val="nil"/>
            </w:tcBorders>
            <w:shd w:val="clear" w:color="auto" w:fill="auto"/>
            <w:vAlign w:val="bottom"/>
            <w:hideMark/>
          </w:tcPr>
          <w:p w14:paraId="7FD7135C" w14:textId="77777777" w:rsidR="00FA18EA" w:rsidRPr="00A02B31" w:rsidRDefault="00FA18EA" w:rsidP="00FA18EA">
            <w:pPr>
              <w:rPr>
                <w:rFonts w:eastAsia="Times New Roman" w:cstheme="minorHAnsi"/>
                <w:color w:val="000000"/>
                <w:sz w:val="18"/>
                <w:szCs w:val="18"/>
                <w:lang w:eastAsia="en-GB"/>
              </w:rPr>
            </w:pPr>
            <w:r w:rsidRPr="00A02B31">
              <w:rPr>
                <w:rFonts w:eastAsia="Times New Roman" w:cstheme="minorHAnsi"/>
                <w:color w:val="000000"/>
                <w:sz w:val="18"/>
                <w:szCs w:val="18"/>
                <w:lang w:eastAsia="en-GB"/>
              </w:rPr>
              <w:t>Bond issue amount + conversion right</w:t>
            </w:r>
          </w:p>
        </w:tc>
        <w:tc>
          <w:tcPr>
            <w:tcW w:w="800" w:type="dxa"/>
            <w:tcBorders>
              <w:top w:val="nil"/>
              <w:left w:val="nil"/>
              <w:bottom w:val="single" w:sz="4" w:space="0" w:color="auto"/>
              <w:right w:val="nil"/>
            </w:tcBorders>
            <w:shd w:val="clear" w:color="auto" w:fill="auto"/>
            <w:noWrap/>
            <w:vAlign w:val="bottom"/>
            <w:hideMark/>
          </w:tcPr>
          <w:p w14:paraId="790E9C2B" w14:textId="77777777" w:rsidR="00FA18EA" w:rsidRPr="00A02B31" w:rsidRDefault="00FA18EA" w:rsidP="00FA18EA">
            <w:pPr>
              <w:jc w:val="right"/>
              <w:rPr>
                <w:rFonts w:eastAsia="Times New Roman" w:cstheme="minorHAnsi"/>
                <w:color w:val="000000"/>
                <w:sz w:val="18"/>
                <w:szCs w:val="18"/>
                <w:lang w:eastAsia="en-GB"/>
              </w:rPr>
            </w:pPr>
            <w:r w:rsidRPr="00A02B31">
              <w:rPr>
                <w:rFonts w:eastAsia="Times New Roman" w:cstheme="minorHAnsi"/>
                <w:color w:val="000000"/>
                <w:sz w:val="18"/>
                <w:szCs w:val="18"/>
                <w:lang w:eastAsia="en-GB"/>
              </w:rPr>
              <w:t xml:space="preserve">               2,430 </w:t>
            </w:r>
          </w:p>
        </w:tc>
        <w:tc>
          <w:tcPr>
            <w:tcW w:w="897" w:type="dxa"/>
            <w:tcBorders>
              <w:top w:val="nil"/>
              <w:left w:val="single" w:sz="4" w:space="0" w:color="auto"/>
              <w:bottom w:val="single" w:sz="4" w:space="0" w:color="auto"/>
              <w:right w:val="nil"/>
            </w:tcBorders>
            <w:shd w:val="clear" w:color="auto" w:fill="auto"/>
            <w:noWrap/>
            <w:vAlign w:val="bottom"/>
            <w:hideMark/>
          </w:tcPr>
          <w:p w14:paraId="408A162E" w14:textId="77777777" w:rsidR="00FA18EA" w:rsidRPr="00A02B31" w:rsidRDefault="00FA18EA" w:rsidP="00FA18EA">
            <w:pPr>
              <w:jc w:val="right"/>
              <w:rPr>
                <w:rFonts w:eastAsia="Times New Roman" w:cstheme="minorHAnsi"/>
                <w:color w:val="000000"/>
                <w:sz w:val="18"/>
                <w:szCs w:val="18"/>
                <w:lang w:eastAsia="en-GB"/>
              </w:rPr>
            </w:pPr>
            <w:r w:rsidRPr="00A02B31">
              <w:rPr>
                <w:rFonts w:eastAsia="Times New Roman" w:cstheme="minorHAnsi"/>
                <w:color w:val="000000"/>
                <w:sz w:val="18"/>
                <w:szCs w:val="18"/>
                <w:lang w:eastAsia="en-GB"/>
              </w:rPr>
              <w:t xml:space="preserve">                    328 </w:t>
            </w:r>
          </w:p>
        </w:tc>
        <w:tc>
          <w:tcPr>
            <w:tcW w:w="1436" w:type="dxa"/>
            <w:tcBorders>
              <w:top w:val="nil"/>
              <w:left w:val="nil"/>
              <w:bottom w:val="single" w:sz="4" w:space="0" w:color="auto"/>
              <w:right w:val="nil"/>
            </w:tcBorders>
            <w:shd w:val="clear" w:color="auto" w:fill="auto"/>
            <w:noWrap/>
            <w:vAlign w:val="bottom"/>
            <w:hideMark/>
          </w:tcPr>
          <w:p w14:paraId="0C81C698" w14:textId="77777777" w:rsidR="00FA18EA" w:rsidRPr="00A02B31" w:rsidRDefault="00FA18EA" w:rsidP="00FA18EA">
            <w:pPr>
              <w:jc w:val="right"/>
              <w:rPr>
                <w:rFonts w:eastAsia="Times New Roman" w:cstheme="minorHAnsi"/>
                <w:color w:val="000000"/>
                <w:sz w:val="18"/>
                <w:szCs w:val="18"/>
                <w:lang w:eastAsia="en-GB"/>
              </w:rPr>
            </w:pPr>
            <w:r w:rsidRPr="00A02B31">
              <w:rPr>
                <w:rFonts w:eastAsia="Times New Roman" w:cstheme="minorHAnsi"/>
                <w:color w:val="000000"/>
                <w:sz w:val="18"/>
                <w:szCs w:val="18"/>
                <w:lang w:eastAsia="en-GB"/>
              </w:rPr>
              <w:t>9.42</w:t>
            </w:r>
          </w:p>
        </w:tc>
        <w:tc>
          <w:tcPr>
            <w:tcW w:w="893" w:type="dxa"/>
            <w:tcBorders>
              <w:top w:val="nil"/>
              <w:left w:val="single" w:sz="4" w:space="0" w:color="auto"/>
              <w:bottom w:val="single" w:sz="4" w:space="0" w:color="auto"/>
              <w:right w:val="nil"/>
            </w:tcBorders>
            <w:shd w:val="clear" w:color="auto" w:fill="auto"/>
            <w:noWrap/>
            <w:vAlign w:val="bottom"/>
            <w:hideMark/>
          </w:tcPr>
          <w:p w14:paraId="69AC6D90" w14:textId="77777777" w:rsidR="00FA18EA" w:rsidRPr="00A02B31" w:rsidRDefault="00FA18EA" w:rsidP="00FA18EA">
            <w:pPr>
              <w:jc w:val="right"/>
              <w:rPr>
                <w:rFonts w:eastAsia="Times New Roman" w:cstheme="minorHAnsi"/>
                <w:color w:val="000000"/>
                <w:sz w:val="18"/>
                <w:szCs w:val="18"/>
                <w:lang w:eastAsia="en-GB"/>
              </w:rPr>
            </w:pPr>
            <w:r w:rsidRPr="00A02B31">
              <w:rPr>
                <w:rFonts w:eastAsia="Times New Roman" w:cstheme="minorHAnsi"/>
                <w:color w:val="000000"/>
                <w:sz w:val="18"/>
                <w:szCs w:val="18"/>
                <w:lang w:eastAsia="en-GB"/>
              </w:rPr>
              <w:t xml:space="preserve">                (309) </w:t>
            </w:r>
          </w:p>
        </w:tc>
        <w:tc>
          <w:tcPr>
            <w:tcW w:w="1396" w:type="dxa"/>
            <w:tcBorders>
              <w:top w:val="nil"/>
              <w:left w:val="nil"/>
              <w:bottom w:val="single" w:sz="4" w:space="0" w:color="auto"/>
              <w:right w:val="single" w:sz="4" w:space="0" w:color="auto"/>
            </w:tcBorders>
            <w:shd w:val="clear" w:color="auto" w:fill="auto"/>
            <w:noWrap/>
            <w:vAlign w:val="bottom"/>
            <w:hideMark/>
          </w:tcPr>
          <w:p w14:paraId="16F41DEF" w14:textId="77777777" w:rsidR="00FA18EA" w:rsidRPr="00A02B31" w:rsidRDefault="00FA18EA" w:rsidP="00FA18EA">
            <w:pPr>
              <w:jc w:val="right"/>
              <w:rPr>
                <w:rFonts w:eastAsia="Times New Roman" w:cstheme="minorHAnsi"/>
                <w:color w:val="000000"/>
                <w:sz w:val="18"/>
                <w:szCs w:val="18"/>
                <w:lang w:eastAsia="en-GB"/>
              </w:rPr>
            </w:pPr>
            <w:r w:rsidRPr="00A02B31">
              <w:rPr>
                <w:rFonts w:eastAsia="Times New Roman" w:cstheme="minorHAnsi"/>
                <w:color w:val="000000"/>
                <w:sz w:val="18"/>
                <w:szCs w:val="18"/>
                <w:lang w:eastAsia="en-GB"/>
              </w:rPr>
              <w:t xml:space="preserve">                        (8.87) </w:t>
            </w:r>
          </w:p>
        </w:tc>
      </w:tr>
    </w:tbl>
    <w:p w14:paraId="116CB442" w14:textId="77777777" w:rsidR="00FA18EA" w:rsidRPr="008B2DDA" w:rsidRDefault="00FA18EA" w:rsidP="00FA18EA">
      <w:pPr>
        <w:autoSpaceDE w:val="0"/>
        <w:autoSpaceDN w:val="0"/>
        <w:adjustRightInd w:val="0"/>
        <w:jc w:val="both"/>
        <w:rPr>
          <w:rFonts w:cstheme="minorHAnsi"/>
          <w:color w:val="000000" w:themeColor="text1"/>
          <w:sz w:val="18"/>
          <w:szCs w:val="18"/>
        </w:rPr>
      </w:pPr>
    </w:p>
    <w:p w14:paraId="124C1502" w14:textId="77777777" w:rsidR="00FA18EA" w:rsidRPr="0091098D" w:rsidRDefault="00FA18EA" w:rsidP="00FA18EA">
      <w:pPr>
        <w:autoSpaceDE w:val="0"/>
        <w:autoSpaceDN w:val="0"/>
        <w:adjustRightInd w:val="0"/>
        <w:jc w:val="both"/>
        <w:rPr>
          <w:rFonts w:cstheme="minorHAnsi"/>
          <w:color w:val="000000" w:themeColor="text1"/>
          <w:sz w:val="18"/>
          <w:szCs w:val="18"/>
        </w:rPr>
      </w:pPr>
      <w:r w:rsidRPr="000C5053">
        <w:rPr>
          <w:rFonts w:cstheme="minorHAnsi"/>
          <w:color w:val="000000" w:themeColor="text1"/>
          <w:sz w:val="18"/>
          <w:szCs w:val="18"/>
        </w:rPr>
        <w:t xml:space="preserve">The impact of a change of 25% (2021: 25%) has been selected as this is considered reasonable given the current level of volatility, observed both </w:t>
      </w:r>
      <w:r w:rsidRPr="0091098D">
        <w:rPr>
          <w:rFonts w:cstheme="minorHAnsi"/>
          <w:color w:val="000000" w:themeColor="text1"/>
          <w:sz w:val="18"/>
          <w:szCs w:val="18"/>
        </w:rPr>
        <w:t>on a historical basis, and market expectations for future movement.</w:t>
      </w:r>
    </w:p>
    <w:p w14:paraId="0BCE96B7" w14:textId="77777777" w:rsidR="00FA18EA" w:rsidRPr="0075195E" w:rsidRDefault="00FA18EA" w:rsidP="00FA18EA">
      <w:pPr>
        <w:autoSpaceDE w:val="0"/>
        <w:autoSpaceDN w:val="0"/>
        <w:adjustRightInd w:val="0"/>
        <w:rPr>
          <w:rFonts w:cstheme="minorHAnsi"/>
          <w:b/>
          <w:color w:val="000000"/>
        </w:rPr>
      </w:pPr>
    </w:p>
    <w:p w14:paraId="0F78ABAC" w14:textId="77777777" w:rsidR="00FA18EA" w:rsidRPr="00A02B31" w:rsidRDefault="00FA18EA" w:rsidP="00FA18EA">
      <w:pPr>
        <w:autoSpaceDE w:val="0"/>
        <w:autoSpaceDN w:val="0"/>
        <w:adjustRightInd w:val="0"/>
        <w:jc w:val="both"/>
        <w:rPr>
          <w:rFonts w:cstheme="minorHAnsi"/>
          <w:color w:val="000000" w:themeColor="text1"/>
          <w:sz w:val="18"/>
          <w:szCs w:val="18"/>
        </w:rPr>
      </w:pPr>
      <w:r w:rsidRPr="00536A35">
        <w:rPr>
          <w:rFonts w:cstheme="minorHAnsi"/>
          <w:color w:val="000000" w:themeColor="text1"/>
          <w:sz w:val="18"/>
          <w:szCs w:val="18"/>
        </w:rPr>
        <w:t>A sensitivity has not been performed for the other unquoted investments held by the Company, as there is no exposure to market price risk in</w:t>
      </w:r>
      <w:r w:rsidRPr="00A02B31">
        <w:rPr>
          <w:rFonts w:cstheme="minorHAnsi"/>
          <w:color w:val="000000" w:themeColor="text1"/>
          <w:sz w:val="18"/>
          <w:szCs w:val="18"/>
        </w:rPr>
        <w:t xml:space="preserve"> the valuation methodology applied for these investments. Interest rates are less volatile than market prices; therefore, the company has deemed it inappropriate to consider a 25% upward or downward move in interest rates. Interest rates are determined by monetary policy and have been kept historically low due to quantitative easing and therefore we do not believe that interest rates will be as volatile as share prices.</w:t>
      </w:r>
    </w:p>
    <w:p w14:paraId="235E9A03" w14:textId="77777777" w:rsidR="00FA18EA" w:rsidRPr="00A02B31" w:rsidRDefault="00FA18EA" w:rsidP="00FA18EA">
      <w:pPr>
        <w:autoSpaceDE w:val="0"/>
        <w:autoSpaceDN w:val="0"/>
        <w:adjustRightInd w:val="0"/>
        <w:jc w:val="both"/>
        <w:rPr>
          <w:rFonts w:cstheme="minorHAnsi"/>
          <w:sz w:val="18"/>
          <w:szCs w:val="18"/>
        </w:rPr>
      </w:pPr>
    </w:p>
    <w:p w14:paraId="7F47253A" w14:textId="77777777" w:rsidR="00FA18EA" w:rsidRPr="00A02B31" w:rsidRDefault="00FA18EA" w:rsidP="00FA18EA">
      <w:pPr>
        <w:tabs>
          <w:tab w:val="left" w:pos="426"/>
        </w:tabs>
        <w:autoSpaceDE w:val="0"/>
        <w:autoSpaceDN w:val="0"/>
        <w:adjustRightInd w:val="0"/>
        <w:rPr>
          <w:rFonts w:cstheme="minorHAnsi"/>
          <w:b/>
          <w:color w:val="000000"/>
          <w:sz w:val="18"/>
          <w:szCs w:val="16"/>
        </w:rPr>
      </w:pPr>
      <w:r w:rsidRPr="00A02B31">
        <w:rPr>
          <w:rFonts w:cstheme="minorHAnsi"/>
          <w:b/>
          <w:color w:val="000000"/>
          <w:sz w:val="18"/>
          <w:szCs w:val="16"/>
        </w:rPr>
        <w:t>ii)</w:t>
      </w:r>
      <w:r w:rsidRPr="00A02B31">
        <w:rPr>
          <w:rFonts w:cstheme="minorHAnsi"/>
          <w:b/>
          <w:color w:val="000000"/>
          <w:sz w:val="18"/>
          <w:szCs w:val="16"/>
        </w:rPr>
        <w:tab/>
        <w:t>Currency risk</w:t>
      </w:r>
    </w:p>
    <w:p w14:paraId="676C0E7D" w14:textId="77777777" w:rsidR="00FA18EA" w:rsidRPr="00A02B31" w:rsidRDefault="00FA18EA" w:rsidP="00FA18EA">
      <w:pPr>
        <w:autoSpaceDE w:val="0"/>
        <w:autoSpaceDN w:val="0"/>
        <w:adjustRightInd w:val="0"/>
        <w:jc w:val="both"/>
        <w:rPr>
          <w:rFonts w:cstheme="minorHAnsi"/>
          <w:b/>
          <w:color w:val="000000"/>
          <w:sz w:val="28"/>
        </w:rPr>
      </w:pPr>
      <w:r w:rsidRPr="00A02B31">
        <w:rPr>
          <w:rFonts w:cstheme="minorHAnsi"/>
          <w:color w:val="000000" w:themeColor="text1"/>
          <w:sz w:val="18"/>
          <w:szCs w:val="18"/>
        </w:rPr>
        <w:t>The Company does not hold any significant assets or liabilities denominated in a currency other than sterling, the functional currency. The transactions in foreign currency for the Company are highly minimal. Therefore, currency risk sensitivity analysis was not performed as the results would not be significantly affected by movements in the value of foreign exchange rates.</w:t>
      </w:r>
    </w:p>
    <w:p w14:paraId="16A8D093" w14:textId="77777777" w:rsidR="00FA18EA" w:rsidRPr="00A02B31" w:rsidRDefault="00FA18EA" w:rsidP="00FA18EA">
      <w:pPr>
        <w:pageBreakBefore/>
        <w:autoSpaceDE w:val="0"/>
        <w:autoSpaceDN w:val="0"/>
        <w:adjustRightInd w:val="0"/>
        <w:rPr>
          <w:rFonts w:cstheme="minorHAnsi"/>
          <w:b/>
          <w:color w:val="000000"/>
        </w:rPr>
      </w:pPr>
      <w:r w:rsidRPr="00A02B31">
        <w:rPr>
          <w:rFonts w:cstheme="minorHAnsi"/>
          <w:b/>
          <w:color w:val="000000"/>
          <w:sz w:val="28"/>
        </w:rPr>
        <w:lastRenderedPageBreak/>
        <w:t>Notes to the Financial Statements (continued)</w:t>
      </w:r>
    </w:p>
    <w:p w14:paraId="65564B53" w14:textId="77777777" w:rsidR="00FA18EA" w:rsidRPr="00A02B31" w:rsidRDefault="00FA18EA" w:rsidP="00FA18EA">
      <w:pPr>
        <w:autoSpaceDE w:val="0"/>
        <w:autoSpaceDN w:val="0"/>
        <w:adjustRightInd w:val="0"/>
        <w:jc w:val="both"/>
        <w:rPr>
          <w:rFonts w:cstheme="minorHAnsi"/>
          <w:color w:val="000000" w:themeColor="text1"/>
          <w:sz w:val="18"/>
          <w:szCs w:val="18"/>
        </w:rPr>
      </w:pPr>
    </w:p>
    <w:p w14:paraId="3A94AAA3" w14:textId="77777777" w:rsidR="00FA18EA" w:rsidRPr="00A02B31" w:rsidRDefault="00FA18EA" w:rsidP="00FA18EA">
      <w:pPr>
        <w:autoSpaceDE w:val="0"/>
        <w:autoSpaceDN w:val="0"/>
        <w:adjustRightInd w:val="0"/>
        <w:rPr>
          <w:rFonts w:cstheme="minorHAnsi"/>
          <w:b/>
          <w:color w:val="000000"/>
        </w:rPr>
      </w:pPr>
      <w:r w:rsidRPr="00A02B31">
        <w:rPr>
          <w:rFonts w:cstheme="minorHAnsi"/>
          <w:b/>
          <w:color w:val="000000"/>
        </w:rPr>
        <w:t>13 Financial instruments and financial risk management (continued)</w:t>
      </w:r>
    </w:p>
    <w:p w14:paraId="7462EFE0" w14:textId="77777777" w:rsidR="00FA18EA" w:rsidRPr="00A02B31" w:rsidRDefault="00FA18EA" w:rsidP="00FA18EA">
      <w:pPr>
        <w:autoSpaceDE w:val="0"/>
        <w:autoSpaceDN w:val="0"/>
        <w:adjustRightInd w:val="0"/>
        <w:jc w:val="both"/>
        <w:rPr>
          <w:rFonts w:cstheme="minorHAnsi"/>
          <w:color w:val="000000" w:themeColor="text1"/>
          <w:sz w:val="18"/>
          <w:szCs w:val="18"/>
        </w:rPr>
      </w:pPr>
    </w:p>
    <w:p w14:paraId="12995B37" w14:textId="77777777" w:rsidR="00FA18EA" w:rsidRPr="00A02B31" w:rsidRDefault="00FA18EA" w:rsidP="00FA18EA">
      <w:pPr>
        <w:autoSpaceDE w:val="0"/>
        <w:autoSpaceDN w:val="0"/>
        <w:adjustRightInd w:val="0"/>
        <w:rPr>
          <w:rFonts w:cstheme="minorHAnsi"/>
          <w:b/>
          <w:color w:val="000000"/>
          <w:sz w:val="18"/>
          <w:szCs w:val="16"/>
        </w:rPr>
      </w:pPr>
      <w:r w:rsidRPr="00A02B31">
        <w:rPr>
          <w:rFonts w:cstheme="minorHAnsi"/>
          <w:b/>
          <w:color w:val="000000"/>
          <w:sz w:val="18"/>
          <w:szCs w:val="16"/>
        </w:rPr>
        <w:t>a)    Market risk (continued)</w:t>
      </w:r>
    </w:p>
    <w:p w14:paraId="204D03C1" w14:textId="77777777" w:rsidR="00FA18EA" w:rsidRPr="00A02B31" w:rsidRDefault="00FA18EA" w:rsidP="00FA18EA">
      <w:pPr>
        <w:tabs>
          <w:tab w:val="left" w:pos="426"/>
        </w:tabs>
        <w:autoSpaceDE w:val="0"/>
        <w:autoSpaceDN w:val="0"/>
        <w:adjustRightInd w:val="0"/>
        <w:jc w:val="both"/>
        <w:rPr>
          <w:rFonts w:cstheme="minorHAnsi"/>
          <w:b/>
          <w:color w:val="000000"/>
          <w:sz w:val="18"/>
          <w:szCs w:val="16"/>
        </w:rPr>
      </w:pPr>
    </w:p>
    <w:p w14:paraId="4595D47C" w14:textId="77777777" w:rsidR="00FA18EA" w:rsidRPr="00A02B31" w:rsidRDefault="00FA18EA" w:rsidP="00FA18EA">
      <w:pPr>
        <w:tabs>
          <w:tab w:val="left" w:pos="426"/>
        </w:tabs>
        <w:autoSpaceDE w:val="0"/>
        <w:autoSpaceDN w:val="0"/>
        <w:adjustRightInd w:val="0"/>
        <w:jc w:val="both"/>
        <w:rPr>
          <w:rFonts w:cstheme="minorHAnsi"/>
          <w:b/>
          <w:color w:val="000000"/>
          <w:sz w:val="18"/>
          <w:szCs w:val="16"/>
        </w:rPr>
      </w:pPr>
      <w:r w:rsidRPr="00A02B31">
        <w:rPr>
          <w:rFonts w:cstheme="minorHAnsi"/>
          <w:b/>
          <w:color w:val="000000"/>
          <w:sz w:val="18"/>
          <w:szCs w:val="16"/>
        </w:rPr>
        <w:t>iii)</w:t>
      </w:r>
      <w:r w:rsidRPr="00A02B31">
        <w:rPr>
          <w:rFonts w:cstheme="minorHAnsi"/>
          <w:b/>
          <w:color w:val="000000"/>
          <w:sz w:val="18"/>
          <w:szCs w:val="16"/>
        </w:rPr>
        <w:tab/>
        <w:t>Cash flow interest rate risk</w:t>
      </w:r>
    </w:p>
    <w:p w14:paraId="20057CEE" w14:textId="77777777" w:rsidR="00FA18EA" w:rsidRPr="00A02B31" w:rsidRDefault="00FA18EA" w:rsidP="00FA18EA">
      <w:pPr>
        <w:autoSpaceDE w:val="0"/>
        <w:autoSpaceDN w:val="0"/>
        <w:adjustRightInd w:val="0"/>
        <w:jc w:val="both"/>
        <w:rPr>
          <w:rFonts w:cstheme="minorHAnsi"/>
          <w:color w:val="000000" w:themeColor="text1"/>
          <w:sz w:val="18"/>
          <w:szCs w:val="18"/>
        </w:rPr>
      </w:pPr>
      <w:r w:rsidRPr="00A02B31">
        <w:rPr>
          <w:rFonts w:cstheme="minorHAnsi"/>
          <w:color w:val="000000" w:themeColor="text1"/>
          <w:sz w:val="18"/>
          <w:szCs w:val="18"/>
        </w:rPr>
        <w:t xml:space="preserve">As the Company has no borrowings, it only has limited interest rate risk. The impact is on income and operating cash flow and arises from changes in market interest rates. Some of the Company’s cash resources are placed in an interest paying current account to take advantage of preferential rates and are subject to interest rate risk to that extent. </w:t>
      </w:r>
    </w:p>
    <w:p w14:paraId="0D966ECF" w14:textId="77777777" w:rsidR="00FA18EA" w:rsidRPr="00A02B31" w:rsidRDefault="00FA18EA" w:rsidP="00FA18EA">
      <w:pPr>
        <w:autoSpaceDE w:val="0"/>
        <w:autoSpaceDN w:val="0"/>
        <w:adjustRightInd w:val="0"/>
        <w:jc w:val="both"/>
        <w:rPr>
          <w:rFonts w:cstheme="minorHAnsi"/>
          <w:color w:val="000000" w:themeColor="text1"/>
          <w:sz w:val="18"/>
          <w:szCs w:val="18"/>
        </w:rPr>
      </w:pPr>
    </w:p>
    <w:p w14:paraId="5F25C574" w14:textId="77777777" w:rsidR="00FA18EA" w:rsidRPr="00A02B31" w:rsidRDefault="00FA18EA" w:rsidP="00FA18EA">
      <w:pPr>
        <w:autoSpaceDE w:val="0"/>
        <w:autoSpaceDN w:val="0"/>
        <w:adjustRightInd w:val="0"/>
        <w:rPr>
          <w:rFonts w:cstheme="minorHAnsi"/>
          <w:b/>
          <w:color w:val="000000"/>
          <w:sz w:val="18"/>
          <w:szCs w:val="16"/>
        </w:rPr>
      </w:pPr>
      <w:r w:rsidRPr="00A02B31">
        <w:rPr>
          <w:rFonts w:cstheme="minorHAnsi"/>
          <w:b/>
          <w:color w:val="000000"/>
          <w:sz w:val="18"/>
          <w:szCs w:val="16"/>
        </w:rPr>
        <w:t>b)    Credit risk</w:t>
      </w:r>
    </w:p>
    <w:p w14:paraId="4714CD34" w14:textId="77777777" w:rsidR="00FA18EA" w:rsidRPr="00A02B31" w:rsidRDefault="00FA18EA" w:rsidP="00FA18EA">
      <w:pPr>
        <w:autoSpaceDE w:val="0"/>
        <w:autoSpaceDN w:val="0"/>
        <w:adjustRightInd w:val="0"/>
        <w:jc w:val="both"/>
        <w:rPr>
          <w:rFonts w:cstheme="minorHAnsi"/>
          <w:color w:val="000000" w:themeColor="text1"/>
          <w:sz w:val="18"/>
          <w:szCs w:val="18"/>
        </w:rPr>
      </w:pPr>
      <w:r w:rsidRPr="00A02B31">
        <w:rPr>
          <w:rFonts w:cstheme="minorHAnsi"/>
          <w:color w:val="000000" w:themeColor="text1"/>
          <w:sz w:val="18"/>
          <w:szCs w:val="18"/>
        </w:rPr>
        <w:t>Credit risk is the risk that a counterparty will fail to discharge an obligation or commitment that it has entered into with the Company.</w:t>
      </w:r>
    </w:p>
    <w:p w14:paraId="04112A79" w14:textId="77777777" w:rsidR="00FA18EA" w:rsidRPr="00A02B31" w:rsidRDefault="00FA18EA" w:rsidP="00FA18EA">
      <w:pPr>
        <w:autoSpaceDE w:val="0"/>
        <w:autoSpaceDN w:val="0"/>
        <w:adjustRightInd w:val="0"/>
        <w:jc w:val="both"/>
        <w:rPr>
          <w:rFonts w:cstheme="minorHAnsi"/>
          <w:color w:val="000000" w:themeColor="text1"/>
          <w:sz w:val="18"/>
          <w:szCs w:val="18"/>
        </w:rPr>
      </w:pPr>
    </w:p>
    <w:p w14:paraId="21970A9F" w14:textId="77777777" w:rsidR="00FA18EA" w:rsidRPr="00A02B31" w:rsidRDefault="00FA18EA" w:rsidP="00FA18EA">
      <w:pPr>
        <w:autoSpaceDE w:val="0"/>
        <w:autoSpaceDN w:val="0"/>
        <w:adjustRightInd w:val="0"/>
        <w:jc w:val="both"/>
        <w:rPr>
          <w:rFonts w:cstheme="minorHAnsi"/>
          <w:color w:val="000000" w:themeColor="text1"/>
          <w:sz w:val="18"/>
          <w:szCs w:val="18"/>
        </w:rPr>
      </w:pPr>
      <w:r w:rsidRPr="00A02B31">
        <w:rPr>
          <w:rFonts w:cstheme="minorHAnsi"/>
          <w:color w:val="000000" w:themeColor="text1"/>
          <w:sz w:val="18"/>
          <w:szCs w:val="18"/>
        </w:rPr>
        <w:t>The Company’s maximum exposure to credit risk is:</w:t>
      </w:r>
    </w:p>
    <w:tbl>
      <w:tblPr>
        <w:tblW w:w="9668" w:type="dxa"/>
        <w:tblLook w:val="04A0" w:firstRow="1" w:lastRow="0" w:firstColumn="1" w:lastColumn="0" w:noHBand="0" w:noVBand="1"/>
      </w:tblPr>
      <w:tblGrid>
        <w:gridCol w:w="3570"/>
        <w:gridCol w:w="1001"/>
        <w:gridCol w:w="1493"/>
        <w:gridCol w:w="618"/>
        <w:gridCol w:w="1493"/>
        <w:gridCol w:w="1493"/>
      </w:tblGrid>
      <w:tr w:rsidR="00FA18EA" w:rsidRPr="007600A7" w14:paraId="169AB889" w14:textId="77777777" w:rsidTr="00FA18EA">
        <w:trPr>
          <w:cantSplit/>
          <w:trHeight w:val="255"/>
        </w:trPr>
        <w:tc>
          <w:tcPr>
            <w:tcW w:w="3570" w:type="dxa"/>
            <w:tcBorders>
              <w:top w:val="single" w:sz="4" w:space="0" w:color="auto"/>
              <w:left w:val="nil"/>
              <w:bottom w:val="nil"/>
              <w:right w:val="nil"/>
            </w:tcBorders>
            <w:shd w:val="clear" w:color="auto" w:fill="auto"/>
            <w:noWrap/>
            <w:vAlign w:val="bottom"/>
            <w:hideMark/>
          </w:tcPr>
          <w:p w14:paraId="3A7F451D" w14:textId="77777777" w:rsidR="00FA18EA" w:rsidRPr="00A02B31" w:rsidRDefault="00FA18EA" w:rsidP="00FA18EA">
            <w:pPr>
              <w:outlineLvl w:val="0"/>
              <w:rPr>
                <w:rFonts w:eastAsia="Times New Roman" w:cstheme="minorHAnsi"/>
                <w:sz w:val="18"/>
                <w:szCs w:val="18"/>
                <w:lang w:eastAsia="en-GB"/>
              </w:rPr>
            </w:pPr>
          </w:p>
        </w:tc>
        <w:tc>
          <w:tcPr>
            <w:tcW w:w="0" w:type="auto"/>
            <w:tcBorders>
              <w:top w:val="single" w:sz="4" w:space="0" w:color="auto"/>
              <w:left w:val="nil"/>
              <w:bottom w:val="nil"/>
              <w:right w:val="nil"/>
            </w:tcBorders>
            <w:shd w:val="clear" w:color="auto" w:fill="auto"/>
            <w:noWrap/>
            <w:vAlign w:val="bottom"/>
            <w:hideMark/>
          </w:tcPr>
          <w:p w14:paraId="3F8B2AB9" w14:textId="77777777" w:rsidR="00FA18EA" w:rsidRPr="00A02B31" w:rsidRDefault="00FA18EA" w:rsidP="00FA18EA">
            <w:pPr>
              <w:outlineLvl w:val="0"/>
              <w:rPr>
                <w:rFonts w:eastAsia="Times New Roman" w:cstheme="minorHAnsi"/>
                <w:sz w:val="18"/>
                <w:szCs w:val="18"/>
                <w:lang w:eastAsia="en-GB"/>
              </w:rPr>
            </w:pPr>
          </w:p>
        </w:tc>
        <w:tc>
          <w:tcPr>
            <w:tcW w:w="1493" w:type="dxa"/>
            <w:tcBorders>
              <w:top w:val="single" w:sz="4" w:space="0" w:color="auto"/>
              <w:left w:val="nil"/>
              <w:bottom w:val="nil"/>
              <w:right w:val="nil"/>
            </w:tcBorders>
            <w:shd w:val="clear" w:color="auto" w:fill="auto"/>
            <w:noWrap/>
            <w:vAlign w:val="bottom"/>
            <w:hideMark/>
          </w:tcPr>
          <w:p w14:paraId="58F2D618" w14:textId="77777777" w:rsidR="00FA18EA" w:rsidRPr="00A02B31" w:rsidRDefault="00FA18EA" w:rsidP="00FA18EA">
            <w:pPr>
              <w:outlineLvl w:val="0"/>
              <w:rPr>
                <w:rFonts w:eastAsia="Times New Roman" w:cstheme="minorHAnsi"/>
                <w:sz w:val="18"/>
                <w:szCs w:val="18"/>
                <w:lang w:eastAsia="en-GB"/>
              </w:rPr>
            </w:pPr>
          </w:p>
        </w:tc>
        <w:tc>
          <w:tcPr>
            <w:tcW w:w="618" w:type="dxa"/>
            <w:tcBorders>
              <w:top w:val="single" w:sz="4" w:space="0" w:color="auto"/>
              <w:left w:val="nil"/>
              <w:bottom w:val="nil"/>
              <w:right w:val="nil"/>
            </w:tcBorders>
            <w:shd w:val="clear" w:color="auto" w:fill="auto"/>
            <w:vAlign w:val="bottom"/>
            <w:hideMark/>
          </w:tcPr>
          <w:p w14:paraId="770C3D38" w14:textId="77777777" w:rsidR="00FA18EA" w:rsidRPr="00A02B31" w:rsidRDefault="00FA18EA" w:rsidP="00FA18EA">
            <w:pPr>
              <w:outlineLvl w:val="0"/>
              <w:rPr>
                <w:rFonts w:eastAsia="Times New Roman" w:cstheme="minorHAnsi"/>
                <w:sz w:val="18"/>
                <w:szCs w:val="18"/>
                <w:lang w:eastAsia="en-GB"/>
              </w:rPr>
            </w:pPr>
          </w:p>
        </w:tc>
        <w:tc>
          <w:tcPr>
            <w:tcW w:w="1493" w:type="dxa"/>
            <w:tcBorders>
              <w:top w:val="single" w:sz="4" w:space="0" w:color="auto"/>
              <w:left w:val="nil"/>
              <w:bottom w:val="nil"/>
              <w:right w:val="nil"/>
            </w:tcBorders>
            <w:shd w:val="clear" w:color="auto" w:fill="auto"/>
            <w:noWrap/>
            <w:vAlign w:val="bottom"/>
            <w:hideMark/>
          </w:tcPr>
          <w:p w14:paraId="2B9579C4" w14:textId="77777777" w:rsidR="00FA18EA" w:rsidRPr="00A02B31" w:rsidRDefault="00FA18EA" w:rsidP="00FA18EA">
            <w:pPr>
              <w:jc w:val="right"/>
              <w:outlineLvl w:val="0"/>
              <w:rPr>
                <w:rFonts w:eastAsia="Times New Roman" w:cstheme="minorHAnsi"/>
                <w:b/>
                <w:bCs/>
                <w:sz w:val="18"/>
                <w:szCs w:val="18"/>
                <w:lang w:eastAsia="en-GB"/>
              </w:rPr>
            </w:pPr>
            <w:r w:rsidRPr="00A02B31">
              <w:rPr>
                <w:rFonts w:eastAsia="Times New Roman" w:cstheme="minorHAnsi"/>
                <w:b/>
                <w:bCs/>
                <w:sz w:val="18"/>
                <w:szCs w:val="18"/>
                <w:lang w:eastAsia="en-GB"/>
              </w:rPr>
              <w:t>31 March 2022</w:t>
            </w:r>
          </w:p>
        </w:tc>
        <w:tc>
          <w:tcPr>
            <w:tcW w:w="1493" w:type="dxa"/>
            <w:tcBorders>
              <w:top w:val="single" w:sz="4" w:space="0" w:color="auto"/>
              <w:left w:val="nil"/>
              <w:bottom w:val="nil"/>
              <w:right w:val="nil"/>
            </w:tcBorders>
            <w:shd w:val="clear" w:color="auto" w:fill="auto"/>
            <w:noWrap/>
            <w:vAlign w:val="bottom"/>
            <w:hideMark/>
          </w:tcPr>
          <w:p w14:paraId="206D27C0" w14:textId="77777777" w:rsidR="00FA18EA" w:rsidRPr="00A02B31" w:rsidRDefault="00FA18EA" w:rsidP="00FA18EA">
            <w:pPr>
              <w:jc w:val="right"/>
              <w:outlineLvl w:val="0"/>
              <w:rPr>
                <w:rFonts w:eastAsia="Times New Roman" w:cstheme="minorHAnsi"/>
                <w:sz w:val="18"/>
                <w:szCs w:val="18"/>
                <w:lang w:eastAsia="en-GB"/>
              </w:rPr>
            </w:pPr>
            <w:r w:rsidRPr="00A02B31">
              <w:rPr>
                <w:rFonts w:eastAsia="Times New Roman" w:cstheme="minorHAnsi"/>
                <w:sz w:val="18"/>
                <w:szCs w:val="18"/>
                <w:lang w:eastAsia="en-GB"/>
              </w:rPr>
              <w:t>31 March 2021</w:t>
            </w:r>
          </w:p>
        </w:tc>
      </w:tr>
      <w:tr w:rsidR="00FA18EA" w:rsidRPr="007600A7" w14:paraId="49E59A53" w14:textId="77777777" w:rsidTr="00FA18EA">
        <w:trPr>
          <w:cantSplit/>
          <w:trHeight w:val="255"/>
        </w:trPr>
        <w:tc>
          <w:tcPr>
            <w:tcW w:w="3570" w:type="dxa"/>
            <w:tcBorders>
              <w:top w:val="nil"/>
              <w:left w:val="nil"/>
              <w:bottom w:val="single" w:sz="4" w:space="0" w:color="auto"/>
              <w:right w:val="nil"/>
            </w:tcBorders>
            <w:shd w:val="clear" w:color="auto" w:fill="auto"/>
            <w:noWrap/>
            <w:vAlign w:val="bottom"/>
            <w:hideMark/>
          </w:tcPr>
          <w:p w14:paraId="48A613B2" w14:textId="77777777" w:rsidR="00FA18EA" w:rsidRPr="008B2DDA" w:rsidRDefault="00FA18EA" w:rsidP="00FA18EA">
            <w:pPr>
              <w:outlineLvl w:val="0"/>
              <w:rPr>
                <w:rFonts w:eastAsia="Times New Roman" w:cstheme="minorHAnsi"/>
                <w:sz w:val="18"/>
                <w:szCs w:val="18"/>
                <w:lang w:eastAsia="en-GB"/>
              </w:rPr>
            </w:pPr>
            <w:r w:rsidRPr="008B2DDA">
              <w:rPr>
                <w:rFonts w:eastAsia="Times New Roman" w:cstheme="minorHAnsi"/>
                <w:sz w:val="18"/>
                <w:szCs w:val="18"/>
                <w:lang w:eastAsia="en-GB"/>
              </w:rPr>
              <w:t> </w:t>
            </w:r>
          </w:p>
        </w:tc>
        <w:tc>
          <w:tcPr>
            <w:tcW w:w="0" w:type="auto"/>
            <w:tcBorders>
              <w:top w:val="nil"/>
              <w:left w:val="nil"/>
              <w:bottom w:val="single" w:sz="4" w:space="0" w:color="auto"/>
              <w:right w:val="nil"/>
            </w:tcBorders>
            <w:shd w:val="clear" w:color="auto" w:fill="auto"/>
            <w:noWrap/>
            <w:vAlign w:val="bottom"/>
            <w:hideMark/>
          </w:tcPr>
          <w:p w14:paraId="264E68C9" w14:textId="77777777" w:rsidR="00FA18EA" w:rsidRPr="0091098D" w:rsidRDefault="00FA18EA" w:rsidP="00FA18EA">
            <w:pPr>
              <w:outlineLvl w:val="0"/>
              <w:rPr>
                <w:rFonts w:eastAsia="Times New Roman" w:cstheme="minorHAnsi"/>
                <w:sz w:val="18"/>
                <w:szCs w:val="18"/>
                <w:lang w:eastAsia="en-GB"/>
              </w:rPr>
            </w:pPr>
            <w:r w:rsidRPr="000C5053">
              <w:rPr>
                <w:rFonts w:eastAsia="Times New Roman" w:cstheme="minorHAnsi"/>
                <w:sz w:val="18"/>
                <w:szCs w:val="18"/>
                <w:lang w:eastAsia="en-GB"/>
              </w:rPr>
              <w:t> </w:t>
            </w:r>
          </w:p>
        </w:tc>
        <w:tc>
          <w:tcPr>
            <w:tcW w:w="1493" w:type="dxa"/>
            <w:tcBorders>
              <w:top w:val="nil"/>
              <w:left w:val="nil"/>
              <w:bottom w:val="single" w:sz="4" w:space="0" w:color="auto"/>
              <w:right w:val="nil"/>
            </w:tcBorders>
            <w:shd w:val="clear" w:color="auto" w:fill="auto"/>
            <w:noWrap/>
            <w:vAlign w:val="bottom"/>
            <w:hideMark/>
          </w:tcPr>
          <w:p w14:paraId="2916A7AF" w14:textId="77777777" w:rsidR="00FA18EA" w:rsidRPr="0075195E" w:rsidRDefault="00FA18EA" w:rsidP="00FA18EA">
            <w:pPr>
              <w:outlineLvl w:val="0"/>
              <w:rPr>
                <w:rFonts w:eastAsia="Times New Roman" w:cstheme="minorHAnsi"/>
                <w:sz w:val="18"/>
                <w:szCs w:val="18"/>
                <w:lang w:eastAsia="en-GB"/>
              </w:rPr>
            </w:pPr>
            <w:r w:rsidRPr="0075195E">
              <w:rPr>
                <w:rFonts w:eastAsia="Times New Roman" w:cstheme="minorHAnsi"/>
                <w:sz w:val="18"/>
                <w:szCs w:val="18"/>
                <w:lang w:eastAsia="en-GB"/>
              </w:rPr>
              <w:t> </w:t>
            </w:r>
          </w:p>
        </w:tc>
        <w:tc>
          <w:tcPr>
            <w:tcW w:w="618" w:type="dxa"/>
            <w:tcBorders>
              <w:top w:val="nil"/>
              <w:left w:val="nil"/>
              <w:bottom w:val="single" w:sz="4" w:space="0" w:color="auto"/>
              <w:right w:val="nil"/>
            </w:tcBorders>
            <w:shd w:val="clear" w:color="auto" w:fill="auto"/>
            <w:vAlign w:val="bottom"/>
            <w:hideMark/>
          </w:tcPr>
          <w:p w14:paraId="652BB50C" w14:textId="77777777" w:rsidR="00FA18EA" w:rsidRPr="00536A35" w:rsidRDefault="00FA18EA" w:rsidP="00FA18EA">
            <w:pPr>
              <w:outlineLvl w:val="0"/>
              <w:rPr>
                <w:rFonts w:eastAsia="Times New Roman" w:cstheme="minorHAnsi"/>
                <w:sz w:val="18"/>
                <w:szCs w:val="18"/>
                <w:lang w:eastAsia="en-GB"/>
              </w:rPr>
            </w:pPr>
            <w:r w:rsidRPr="00536A35">
              <w:rPr>
                <w:rFonts w:eastAsia="Times New Roman" w:cstheme="minorHAnsi"/>
                <w:sz w:val="18"/>
                <w:szCs w:val="18"/>
                <w:lang w:eastAsia="en-GB"/>
              </w:rPr>
              <w:t> </w:t>
            </w:r>
          </w:p>
        </w:tc>
        <w:tc>
          <w:tcPr>
            <w:tcW w:w="1493" w:type="dxa"/>
            <w:tcBorders>
              <w:top w:val="nil"/>
              <w:left w:val="nil"/>
              <w:bottom w:val="single" w:sz="4" w:space="0" w:color="auto"/>
              <w:right w:val="nil"/>
            </w:tcBorders>
            <w:shd w:val="clear" w:color="auto" w:fill="auto"/>
            <w:noWrap/>
            <w:vAlign w:val="bottom"/>
            <w:hideMark/>
          </w:tcPr>
          <w:p w14:paraId="58CD6A58" w14:textId="77777777" w:rsidR="00FA18EA" w:rsidRPr="00A02B31" w:rsidRDefault="00FA18EA" w:rsidP="00FA18EA">
            <w:pPr>
              <w:jc w:val="right"/>
              <w:outlineLvl w:val="0"/>
              <w:rPr>
                <w:rFonts w:eastAsia="Times New Roman" w:cstheme="minorHAnsi"/>
                <w:b/>
                <w:bCs/>
                <w:sz w:val="18"/>
                <w:szCs w:val="18"/>
                <w:lang w:eastAsia="en-GB"/>
              </w:rPr>
            </w:pPr>
            <w:r w:rsidRPr="00A02B31">
              <w:rPr>
                <w:rFonts w:eastAsia="Times New Roman" w:cstheme="minorHAnsi"/>
                <w:b/>
                <w:bCs/>
                <w:sz w:val="18"/>
                <w:szCs w:val="18"/>
                <w:lang w:eastAsia="en-GB"/>
              </w:rPr>
              <w:t>£'000s</w:t>
            </w:r>
          </w:p>
        </w:tc>
        <w:tc>
          <w:tcPr>
            <w:tcW w:w="1493" w:type="dxa"/>
            <w:tcBorders>
              <w:top w:val="nil"/>
              <w:left w:val="nil"/>
              <w:bottom w:val="single" w:sz="4" w:space="0" w:color="auto"/>
              <w:right w:val="nil"/>
            </w:tcBorders>
            <w:shd w:val="clear" w:color="auto" w:fill="auto"/>
            <w:noWrap/>
            <w:vAlign w:val="bottom"/>
            <w:hideMark/>
          </w:tcPr>
          <w:p w14:paraId="5B759BC4" w14:textId="77777777" w:rsidR="00FA18EA" w:rsidRPr="00A02B31" w:rsidRDefault="00FA18EA" w:rsidP="00FA18EA">
            <w:pPr>
              <w:jc w:val="right"/>
              <w:outlineLvl w:val="0"/>
              <w:rPr>
                <w:rFonts w:eastAsia="Times New Roman" w:cstheme="minorHAnsi"/>
                <w:sz w:val="18"/>
                <w:szCs w:val="18"/>
                <w:lang w:eastAsia="en-GB"/>
              </w:rPr>
            </w:pPr>
            <w:r w:rsidRPr="00A02B31">
              <w:rPr>
                <w:rFonts w:eastAsia="Times New Roman" w:cstheme="minorHAnsi"/>
                <w:sz w:val="18"/>
                <w:szCs w:val="18"/>
                <w:lang w:eastAsia="en-GB"/>
              </w:rPr>
              <w:t>£'000s</w:t>
            </w:r>
          </w:p>
        </w:tc>
      </w:tr>
      <w:tr w:rsidR="00FA18EA" w:rsidRPr="007600A7" w14:paraId="12308C8C" w14:textId="77777777" w:rsidTr="00FA18EA">
        <w:trPr>
          <w:trHeight w:val="325"/>
        </w:trPr>
        <w:tc>
          <w:tcPr>
            <w:tcW w:w="3570" w:type="dxa"/>
            <w:tcBorders>
              <w:top w:val="nil"/>
              <w:left w:val="nil"/>
              <w:bottom w:val="nil"/>
              <w:right w:val="nil"/>
            </w:tcBorders>
            <w:shd w:val="clear" w:color="auto" w:fill="auto"/>
            <w:noWrap/>
            <w:vAlign w:val="bottom"/>
            <w:hideMark/>
          </w:tcPr>
          <w:p w14:paraId="085E401E" w14:textId="77777777" w:rsidR="00FA18EA" w:rsidRPr="008B2DDA" w:rsidRDefault="00FA18EA" w:rsidP="00FA18EA">
            <w:pPr>
              <w:spacing w:after="100" w:afterAutospacing="1"/>
              <w:outlineLvl w:val="0"/>
              <w:rPr>
                <w:rFonts w:eastAsia="Times New Roman" w:cstheme="minorHAnsi"/>
                <w:sz w:val="18"/>
                <w:szCs w:val="18"/>
                <w:lang w:eastAsia="en-GB"/>
              </w:rPr>
            </w:pPr>
            <w:r w:rsidRPr="008B2DDA">
              <w:rPr>
                <w:rFonts w:eastAsia="Times New Roman" w:cstheme="minorHAnsi"/>
                <w:sz w:val="18"/>
                <w:szCs w:val="18"/>
                <w:lang w:eastAsia="en-GB"/>
              </w:rPr>
              <w:t>Loan stock investments</w:t>
            </w:r>
          </w:p>
        </w:tc>
        <w:tc>
          <w:tcPr>
            <w:tcW w:w="0" w:type="auto"/>
            <w:tcBorders>
              <w:top w:val="nil"/>
              <w:left w:val="nil"/>
              <w:bottom w:val="nil"/>
              <w:right w:val="nil"/>
            </w:tcBorders>
            <w:shd w:val="clear" w:color="auto" w:fill="auto"/>
            <w:noWrap/>
            <w:vAlign w:val="bottom"/>
            <w:hideMark/>
          </w:tcPr>
          <w:p w14:paraId="22CE69D6" w14:textId="77777777" w:rsidR="00FA18EA" w:rsidRPr="000C5053" w:rsidRDefault="00FA18EA" w:rsidP="00FA18EA">
            <w:pPr>
              <w:outlineLvl w:val="0"/>
              <w:rPr>
                <w:rFonts w:eastAsia="Times New Roman" w:cstheme="minorHAnsi"/>
                <w:sz w:val="18"/>
                <w:szCs w:val="18"/>
                <w:lang w:eastAsia="en-GB"/>
              </w:rPr>
            </w:pPr>
          </w:p>
        </w:tc>
        <w:tc>
          <w:tcPr>
            <w:tcW w:w="1493" w:type="dxa"/>
            <w:tcBorders>
              <w:top w:val="nil"/>
              <w:left w:val="nil"/>
              <w:bottom w:val="nil"/>
              <w:right w:val="nil"/>
            </w:tcBorders>
            <w:shd w:val="clear" w:color="auto" w:fill="auto"/>
            <w:noWrap/>
            <w:vAlign w:val="bottom"/>
            <w:hideMark/>
          </w:tcPr>
          <w:p w14:paraId="63BEED4A" w14:textId="77777777" w:rsidR="00FA18EA" w:rsidRPr="0091098D" w:rsidRDefault="00FA18EA" w:rsidP="00FA18EA">
            <w:pPr>
              <w:outlineLvl w:val="0"/>
              <w:rPr>
                <w:rFonts w:eastAsia="Times New Roman" w:cstheme="minorHAnsi"/>
                <w:sz w:val="18"/>
                <w:szCs w:val="18"/>
                <w:lang w:eastAsia="en-GB"/>
              </w:rPr>
            </w:pPr>
          </w:p>
        </w:tc>
        <w:tc>
          <w:tcPr>
            <w:tcW w:w="618" w:type="dxa"/>
            <w:tcBorders>
              <w:top w:val="nil"/>
              <w:left w:val="nil"/>
              <w:bottom w:val="nil"/>
              <w:right w:val="nil"/>
            </w:tcBorders>
            <w:shd w:val="clear" w:color="auto" w:fill="auto"/>
            <w:vAlign w:val="bottom"/>
            <w:hideMark/>
          </w:tcPr>
          <w:p w14:paraId="2EA212B7" w14:textId="77777777" w:rsidR="00FA18EA" w:rsidRPr="0075195E" w:rsidRDefault="00FA18EA" w:rsidP="00FA18EA">
            <w:pPr>
              <w:outlineLvl w:val="0"/>
              <w:rPr>
                <w:rFonts w:eastAsia="Times New Roman" w:cstheme="minorHAnsi"/>
                <w:sz w:val="18"/>
                <w:szCs w:val="18"/>
                <w:lang w:eastAsia="en-GB"/>
              </w:rPr>
            </w:pPr>
          </w:p>
        </w:tc>
        <w:tc>
          <w:tcPr>
            <w:tcW w:w="1493" w:type="dxa"/>
            <w:tcBorders>
              <w:top w:val="nil"/>
              <w:left w:val="nil"/>
              <w:bottom w:val="nil"/>
              <w:right w:val="nil"/>
            </w:tcBorders>
            <w:shd w:val="clear" w:color="auto" w:fill="auto"/>
            <w:noWrap/>
            <w:vAlign w:val="bottom"/>
            <w:hideMark/>
          </w:tcPr>
          <w:p w14:paraId="1AB4C05D" w14:textId="77777777" w:rsidR="00FA18EA" w:rsidRPr="00536A35" w:rsidRDefault="00FA18EA" w:rsidP="00FA18EA">
            <w:pPr>
              <w:jc w:val="right"/>
              <w:outlineLvl w:val="0"/>
              <w:rPr>
                <w:rFonts w:eastAsia="Times New Roman" w:cstheme="minorHAnsi"/>
                <w:b/>
                <w:bCs/>
                <w:sz w:val="18"/>
                <w:szCs w:val="18"/>
                <w:lang w:eastAsia="en-GB"/>
              </w:rPr>
            </w:pPr>
            <w:r w:rsidRPr="00536A35">
              <w:rPr>
                <w:rFonts w:eastAsia="Times New Roman" w:cstheme="minorHAnsi"/>
                <w:b/>
                <w:bCs/>
                <w:sz w:val="18"/>
                <w:szCs w:val="18"/>
                <w:lang w:eastAsia="en-GB"/>
              </w:rPr>
              <w:t>2,917</w:t>
            </w:r>
          </w:p>
        </w:tc>
        <w:tc>
          <w:tcPr>
            <w:tcW w:w="1493" w:type="dxa"/>
            <w:tcBorders>
              <w:top w:val="nil"/>
              <w:left w:val="nil"/>
              <w:bottom w:val="nil"/>
              <w:right w:val="nil"/>
            </w:tcBorders>
            <w:shd w:val="clear" w:color="auto" w:fill="auto"/>
            <w:noWrap/>
            <w:vAlign w:val="bottom"/>
            <w:hideMark/>
          </w:tcPr>
          <w:p w14:paraId="23446702" w14:textId="77777777" w:rsidR="00FA18EA" w:rsidRPr="00A02B31" w:rsidRDefault="00FA18EA" w:rsidP="00FA18EA">
            <w:pPr>
              <w:jc w:val="right"/>
              <w:outlineLvl w:val="0"/>
              <w:rPr>
                <w:rFonts w:eastAsia="Times New Roman" w:cstheme="minorHAnsi"/>
                <w:sz w:val="18"/>
                <w:szCs w:val="18"/>
                <w:lang w:eastAsia="en-GB"/>
              </w:rPr>
            </w:pPr>
            <w:r w:rsidRPr="00A02B31">
              <w:rPr>
                <w:rFonts w:eastAsia="Times New Roman" w:cstheme="minorHAnsi"/>
                <w:b/>
                <w:bCs/>
                <w:sz w:val="18"/>
                <w:szCs w:val="18"/>
                <w:lang w:eastAsia="en-GB"/>
              </w:rPr>
              <w:t>6,323</w:t>
            </w:r>
          </w:p>
        </w:tc>
      </w:tr>
      <w:tr w:rsidR="00FA18EA" w:rsidRPr="007600A7" w14:paraId="3E7F4A31" w14:textId="77777777" w:rsidTr="00FA18EA">
        <w:trPr>
          <w:cantSplit/>
          <w:trHeight w:val="234"/>
        </w:trPr>
        <w:tc>
          <w:tcPr>
            <w:tcW w:w="3570" w:type="dxa"/>
            <w:tcBorders>
              <w:top w:val="nil"/>
              <w:left w:val="nil"/>
              <w:bottom w:val="nil"/>
              <w:right w:val="nil"/>
            </w:tcBorders>
            <w:shd w:val="clear" w:color="auto" w:fill="auto"/>
            <w:noWrap/>
            <w:vAlign w:val="bottom"/>
            <w:hideMark/>
          </w:tcPr>
          <w:p w14:paraId="6B8CA203" w14:textId="77777777" w:rsidR="00FA18EA" w:rsidRPr="008B2DDA" w:rsidRDefault="00FA18EA" w:rsidP="00FA18EA">
            <w:pPr>
              <w:outlineLvl w:val="0"/>
              <w:rPr>
                <w:rFonts w:eastAsia="Times New Roman" w:cstheme="minorHAnsi"/>
                <w:sz w:val="18"/>
                <w:szCs w:val="18"/>
                <w:lang w:eastAsia="en-GB"/>
              </w:rPr>
            </w:pPr>
            <w:r w:rsidRPr="008B2DDA">
              <w:rPr>
                <w:rFonts w:eastAsia="Times New Roman" w:cstheme="minorHAnsi"/>
                <w:sz w:val="18"/>
                <w:szCs w:val="18"/>
                <w:lang w:eastAsia="en-GB"/>
              </w:rPr>
              <w:t>Cash and cash equivalents</w:t>
            </w:r>
          </w:p>
        </w:tc>
        <w:tc>
          <w:tcPr>
            <w:tcW w:w="0" w:type="auto"/>
            <w:tcBorders>
              <w:top w:val="nil"/>
              <w:left w:val="nil"/>
              <w:bottom w:val="nil"/>
              <w:right w:val="nil"/>
            </w:tcBorders>
            <w:shd w:val="clear" w:color="auto" w:fill="auto"/>
            <w:noWrap/>
            <w:vAlign w:val="bottom"/>
            <w:hideMark/>
          </w:tcPr>
          <w:p w14:paraId="0D302E0D" w14:textId="77777777" w:rsidR="00FA18EA" w:rsidRPr="000C5053" w:rsidRDefault="00FA18EA" w:rsidP="00FA18EA">
            <w:pPr>
              <w:outlineLvl w:val="0"/>
              <w:rPr>
                <w:rFonts w:eastAsia="Times New Roman" w:cstheme="minorHAnsi"/>
                <w:sz w:val="18"/>
                <w:szCs w:val="18"/>
                <w:lang w:eastAsia="en-GB"/>
              </w:rPr>
            </w:pPr>
          </w:p>
        </w:tc>
        <w:tc>
          <w:tcPr>
            <w:tcW w:w="1493" w:type="dxa"/>
            <w:tcBorders>
              <w:top w:val="nil"/>
              <w:left w:val="nil"/>
              <w:bottom w:val="nil"/>
              <w:right w:val="nil"/>
            </w:tcBorders>
            <w:shd w:val="clear" w:color="auto" w:fill="auto"/>
            <w:noWrap/>
            <w:vAlign w:val="bottom"/>
            <w:hideMark/>
          </w:tcPr>
          <w:p w14:paraId="0C635E00" w14:textId="77777777" w:rsidR="00FA18EA" w:rsidRPr="0091098D" w:rsidRDefault="00FA18EA" w:rsidP="00FA18EA">
            <w:pPr>
              <w:outlineLvl w:val="0"/>
              <w:rPr>
                <w:rFonts w:eastAsia="Times New Roman" w:cstheme="minorHAnsi"/>
                <w:sz w:val="18"/>
                <w:szCs w:val="18"/>
                <w:lang w:eastAsia="en-GB"/>
              </w:rPr>
            </w:pPr>
          </w:p>
        </w:tc>
        <w:tc>
          <w:tcPr>
            <w:tcW w:w="618" w:type="dxa"/>
            <w:tcBorders>
              <w:top w:val="nil"/>
              <w:left w:val="nil"/>
              <w:bottom w:val="nil"/>
              <w:right w:val="nil"/>
            </w:tcBorders>
            <w:shd w:val="clear" w:color="auto" w:fill="auto"/>
            <w:vAlign w:val="bottom"/>
            <w:hideMark/>
          </w:tcPr>
          <w:p w14:paraId="5B19DF18" w14:textId="77777777" w:rsidR="00FA18EA" w:rsidRPr="0075195E" w:rsidRDefault="00FA18EA" w:rsidP="00FA18EA">
            <w:pPr>
              <w:outlineLvl w:val="0"/>
              <w:rPr>
                <w:rFonts w:eastAsia="Times New Roman" w:cstheme="minorHAnsi"/>
                <w:sz w:val="18"/>
                <w:szCs w:val="18"/>
                <w:lang w:eastAsia="en-GB"/>
              </w:rPr>
            </w:pPr>
          </w:p>
        </w:tc>
        <w:tc>
          <w:tcPr>
            <w:tcW w:w="1493" w:type="dxa"/>
            <w:tcBorders>
              <w:top w:val="nil"/>
              <w:left w:val="nil"/>
              <w:bottom w:val="nil"/>
              <w:right w:val="nil"/>
            </w:tcBorders>
            <w:shd w:val="clear" w:color="auto" w:fill="auto"/>
            <w:noWrap/>
            <w:vAlign w:val="bottom"/>
            <w:hideMark/>
          </w:tcPr>
          <w:p w14:paraId="0A90854C" w14:textId="77777777" w:rsidR="00FA18EA" w:rsidRPr="00536A35" w:rsidRDefault="00FA18EA" w:rsidP="00FA18EA">
            <w:pPr>
              <w:jc w:val="right"/>
              <w:outlineLvl w:val="0"/>
              <w:rPr>
                <w:rFonts w:eastAsia="Times New Roman" w:cstheme="minorHAnsi"/>
                <w:b/>
                <w:bCs/>
                <w:sz w:val="18"/>
                <w:szCs w:val="18"/>
                <w:lang w:eastAsia="en-GB"/>
              </w:rPr>
            </w:pPr>
            <w:r w:rsidRPr="00536A35">
              <w:rPr>
                <w:rFonts w:eastAsia="Times New Roman" w:cstheme="minorHAnsi"/>
                <w:b/>
                <w:bCs/>
                <w:sz w:val="18"/>
                <w:szCs w:val="18"/>
                <w:lang w:eastAsia="en-GB"/>
              </w:rPr>
              <w:t>10,507</w:t>
            </w:r>
          </w:p>
        </w:tc>
        <w:tc>
          <w:tcPr>
            <w:tcW w:w="1493" w:type="dxa"/>
            <w:tcBorders>
              <w:top w:val="nil"/>
              <w:left w:val="nil"/>
              <w:bottom w:val="nil"/>
              <w:right w:val="nil"/>
            </w:tcBorders>
            <w:shd w:val="clear" w:color="auto" w:fill="auto"/>
            <w:noWrap/>
            <w:vAlign w:val="bottom"/>
            <w:hideMark/>
          </w:tcPr>
          <w:p w14:paraId="65566576" w14:textId="77777777" w:rsidR="00FA18EA" w:rsidRPr="00A02B31" w:rsidRDefault="00FA18EA" w:rsidP="00FA18EA">
            <w:pPr>
              <w:jc w:val="right"/>
              <w:outlineLvl w:val="0"/>
              <w:rPr>
                <w:rFonts w:eastAsia="Times New Roman" w:cstheme="minorHAnsi"/>
                <w:sz w:val="18"/>
                <w:szCs w:val="18"/>
                <w:lang w:eastAsia="en-GB"/>
              </w:rPr>
            </w:pPr>
            <w:r w:rsidRPr="00A02B31">
              <w:rPr>
                <w:rFonts w:eastAsia="Times New Roman" w:cstheme="minorHAnsi"/>
                <w:b/>
                <w:bCs/>
                <w:sz w:val="18"/>
                <w:szCs w:val="18"/>
                <w:lang w:eastAsia="en-GB"/>
              </w:rPr>
              <w:t>1,605</w:t>
            </w:r>
          </w:p>
        </w:tc>
      </w:tr>
      <w:tr w:rsidR="00FA18EA" w:rsidRPr="007600A7" w14:paraId="16275F57" w14:textId="77777777" w:rsidTr="00FA18EA">
        <w:trPr>
          <w:trHeight w:val="232"/>
        </w:trPr>
        <w:tc>
          <w:tcPr>
            <w:tcW w:w="3570" w:type="dxa"/>
            <w:tcBorders>
              <w:top w:val="nil"/>
              <w:left w:val="nil"/>
              <w:bottom w:val="nil"/>
              <w:right w:val="nil"/>
            </w:tcBorders>
            <w:shd w:val="clear" w:color="auto" w:fill="auto"/>
            <w:noWrap/>
            <w:vAlign w:val="bottom"/>
            <w:hideMark/>
          </w:tcPr>
          <w:p w14:paraId="344E09FA" w14:textId="77777777" w:rsidR="00FA18EA" w:rsidRPr="008B2DDA" w:rsidRDefault="00FA18EA" w:rsidP="00FA18EA">
            <w:pPr>
              <w:outlineLvl w:val="0"/>
              <w:rPr>
                <w:rFonts w:eastAsia="Times New Roman" w:cstheme="minorHAnsi"/>
                <w:sz w:val="18"/>
                <w:szCs w:val="18"/>
                <w:lang w:eastAsia="en-GB"/>
              </w:rPr>
            </w:pPr>
            <w:r w:rsidRPr="008B2DDA">
              <w:rPr>
                <w:rFonts w:eastAsia="Times New Roman" w:cstheme="minorHAnsi"/>
                <w:sz w:val="18"/>
                <w:szCs w:val="18"/>
                <w:lang w:eastAsia="en-GB"/>
              </w:rPr>
              <w:t>Trade and other receivables</w:t>
            </w:r>
          </w:p>
        </w:tc>
        <w:tc>
          <w:tcPr>
            <w:tcW w:w="0" w:type="auto"/>
            <w:tcBorders>
              <w:top w:val="nil"/>
              <w:left w:val="nil"/>
              <w:bottom w:val="nil"/>
              <w:right w:val="nil"/>
            </w:tcBorders>
            <w:shd w:val="clear" w:color="auto" w:fill="auto"/>
            <w:noWrap/>
            <w:vAlign w:val="bottom"/>
            <w:hideMark/>
          </w:tcPr>
          <w:p w14:paraId="30E17CEF" w14:textId="77777777" w:rsidR="00FA18EA" w:rsidRPr="000C5053" w:rsidRDefault="00FA18EA" w:rsidP="00FA18EA">
            <w:pPr>
              <w:outlineLvl w:val="0"/>
              <w:rPr>
                <w:rFonts w:eastAsia="Times New Roman" w:cstheme="minorHAnsi"/>
                <w:sz w:val="18"/>
                <w:szCs w:val="18"/>
                <w:lang w:eastAsia="en-GB"/>
              </w:rPr>
            </w:pPr>
          </w:p>
        </w:tc>
        <w:tc>
          <w:tcPr>
            <w:tcW w:w="1493" w:type="dxa"/>
            <w:tcBorders>
              <w:top w:val="nil"/>
              <w:left w:val="nil"/>
              <w:bottom w:val="nil"/>
              <w:right w:val="nil"/>
            </w:tcBorders>
            <w:shd w:val="clear" w:color="auto" w:fill="auto"/>
            <w:noWrap/>
            <w:vAlign w:val="bottom"/>
            <w:hideMark/>
          </w:tcPr>
          <w:p w14:paraId="5582B0BE" w14:textId="77777777" w:rsidR="00FA18EA" w:rsidRPr="0091098D" w:rsidRDefault="00FA18EA" w:rsidP="00FA18EA">
            <w:pPr>
              <w:outlineLvl w:val="0"/>
              <w:rPr>
                <w:rFonts w:eastAsia="Times New Roman" w:cstheme="minorHAnsi"/>
                <w:sz w:val="18"/>
                <w:szCs w:val="18"/>
                <w:lang w:eastAsia="en-GB"/>
              </w:rPr>
            </w:pPr>
          </w:p>
        </w:tc>
        <w:tc>
          <w:tcPr>
            <w:tcW w:w="618" w:type="dxa"/>
            <w:tcBorders>
              <w:top w:val="nil"/>
              <w:left w:val="nil"/>
              <w:bottom w:val="nil"/>
              <w:right w:val="nil"/>
            </w:tcBorders>
            <w:shd w:val="clear" w:color="auto" w:fill="auto"/>
            <w:vAlign w:val="bottom"/>
            <w:hideMark/>
          </w:tcPr>
          <w:p w14:paraId="11C353A6" w14:textId="77777777" w:rsidR="00FA18EA" w:rsidRPr="0075195E" w:rsidRDefault="00FA18EA" w:rsidP="00FA18EA">
            <w:pPr>
              <w:outlineLvl w:val="0"/>
              <w:rPr>
                <w:rFonts w:eastAsia="Times New Roman" w:cstheme="minorHAnsi"/>
                <w:sz w:val="18"/>
                <w:szCs w:val="18"/>
                <w:lang w:eastAsia="en-GB"/>
              </w:rPr>
            </w:pPr>
          </w:p>
        </w:tc>
        <w:tc>
          <w:tcPr>
            <w:tcW w:w="1493" w:type="dxa"/>
            <w:tcBorders>
              <w:top w:val="nil"/>
              <w:left w:val="nil"/>
              <w:bottom w:val="nil"/>
              <w:right w:val="nil"/>
            </w:tcBorders>
            <w:shd w:val="clear" w:color="auto" w:fill="auto"/>
            <w:noWrap/>
            <w:vAlign w:val="bottom"/>
            <w:hideMark/>
          </w:tcPr>
          <w:p w14:paraId="0D6CCCFE" w14:textId="77777777" w:rsidR="00FA18EA" w:rsidRPr="00536A35" w:rsidRDefault="00FA18EA" w:rsidP="00FA18EA">
            <w:pPr>
              <w:jc w:val="right"/>
              <w:outlineLvl w:val="0"/>
              <w:rPr>
                <w:rFonts w:eastAsia="Times New Roman" w:cstheme="minorHAnsi"/>
                <w:b/>
                <w:bCs/>
                <w:sz w:val="18"/>
                <w:szCs w:val="18"/>
                <w:lang w:eastAsia="en-GB"/>
              </w:rPr>
            </w:pPr>
            <w:r w:rsidRPr="00536A35">
              <w:rPr>
                <w:rFonts w:eastAsia="Times New Roman" w:cstheme="minorHAnsi"/>
                <w:b/>
                <w:bCs/>
                <w:sz w:val="18"/>
                <w:szCs w:val="18"/>
                <w:lang w:eastAsia="en-GB"/>
              </w:rPr>
              <w:t>1,019</w:t>
            </w:r>
          </w:p>
        </w:tc>
        <w:tc>
          <w:tcPr>
            <w:tcW w:w="1493" w:type="dxa"/>
            <w:tcBorders>
              <w:top w:val="nil"/>
              <w:left w:val="nil"/>
              <w:bottom w:val="nil"/>
              <w:right w:val="nil"/>
            </w:tcBorders>
            <w:shd w:val="clear" w:color="auto" w:fill="auto"/>
            <w:noWrap/>
            <w:vAlign w:val="bottom"/>
            <w:hideMark/>
          </w:tcPr>
          <w:p w14:paraId="2200DCE7" w14:textId="77777777" w:rsidR="00FA18EA" w:rsidRPr="00A02B31" w:rsidRDefault="00FA18EA" w:rsidP="00FA18EA">
            <w:pPr>
              <w:jc w:val="right"/>
              <w:outlineLvl w:val="0"/>
              <w:rPr>
                <w:rFonts w:eastAsia="Times New Roman" w:cstheme="minorHAnsi"/>
                <w:sz w:val="18"/>
                <w:szCs w:val="18"/>
                <w:lang w:eastAsia="en-GB"/>
              </w:rPr>
            </w:pPr>
            <w:r w:rsidRPr="00A02B31">
              <w:rPr>
                <w:rFonts w:eastAsia="Times New Roman" w:cstheme="minorHAnsi"/>
                <w:b/>
                <w:bCs/>
                <w:sz w:val="18"/>
                <w:szCs w:val="18"/>
                <w:lang w:eastAsia="en-GB"/>
              </w:rPr>
              <w:t>99</w:t>
            </w:r>
          </w:p>
        </w:tc>
      </w:tr>
      <w:tr w:rsidR="00FA18EA" w:rsidRPr="007600A7" w14:paraId="06990E99" w14:textId="77777777" w:rsidTr="00FA18EA">
        <w:trPr>
          <w:trHeight w:val="325"/>
        </w:trPr>
        <w:tc>
          <w:tcPr>
            <w:tcW w:w="3570" w:type="dxa"/>
            <w:tcBorders>
              <w:top w:val="single" w:sz="4" w:space="0" w:color="auto"/>
              <w:left w:val="nil"/>
              <w:bottom w:val="single" w:sz="8" w:space="0" w:color="auto"/>
              <w:right w:val="nil"/>
            </w:tcBorders>
            <w:shd w:val="clear" w:color="auto" w:fill="auto"/>
            <w:noWrap/>
            <w:vAlign w:val="bottom"/>
            <w:hideMark/>
          </w:tcPr>
          <w:p w14:paraId="7F8142C6" w14:textId="77777777" w:rsidR="00FA18EA" w:rsidRPr="008B2DDA" w:rsidRDefault="00FA18EA" w:rsidP="00FA18EA">
            <w:pPr>
              <w:outlineLvl w:val="0"/>
              <w:rPr>
                <w:rFonts w:eastAsia="Times New Roman" w:cstheme="minorHAnsi"/>
                <w:sz w:val="18"/>
                <w:szCs w:val="18"/>
                <w:lang w:eastAsia="en-GB"/>
              </w:rPr>
            </w:pPr>
            <w:r w:rsidRPr="008B2DDA">
              <w:rPr>
                <w:rFonts w:eastAsia="Times New Roman" w:cstheme="minorHAnsi"/>
                <w:sz w:val="18"/>
                <w:szCs w:val="18"/>
                <w:lang w:eastAsia="en-GB"/>
              </w:rPr>
              <w:t> </w:t>
            </w:r>
          </w:p>
        </w:tc>
        <w:tc>
          <w:tcPr>
            <w:tcW w:w="0" w:type="auto"/>
            <w:tcBorders>
              <w:top w:val="single" w:sz="4" w:space="0" w:color="auto"/>
              <w:left w:val="nil"/>
              <w:bottom w:val="single" w:sz="8" w:space="0" w:color="auto"/>
              <w:right w:val="nil"/>
            </w:tcBorders>
            <w:shd w:val="clear" w:color="auto" w:fill="auto"/>
            <w:noWrap/>
            <w:vAlign w:val="bottom"/>
            <w:hideMark/>
          </w:tcPr>
          <w:p w14:paraId="1CEBB2A6" w14:textId="77777777" w:rsidR="00FA18EA" w:rsidRPr="0091098D" w:rsidRDefault="00FA18EA" w:rsidP="00FA18EA">
            <w:pPr>
              <w:outlineLvl w:val="0"/>
              <w:rPr>
                <w:rFonts w:eastAsia="Times New Roman" w:cstheme="minorHAnsi"/>
                <w:sz w:val="18"/>
                <w:szCs w:val="18"/>
                <w:lang w:eastAsia="en-GB"/>
              </w:rPr>
            </w:pPr>
            <w:r w:rsidRPr="000C5053">
              <w:rPr>
                <w:rFonts w:eastAsia="Times New Roman" w:cstheme="minorHAnsi"/>
                <w:sz w:val="18"/>
                <w:szCs w:val="18"/>
                <w:lang w:eastAsia="en-GB"/>
              </w:rPr>
              <w:t> </w:t>
            </w:r>
          </w:p>
        </w:tc>
        <w:tc>
          <w:tcPr>
            <w:tcW w:w="1493" w:type="dxa"/>
            <w:tcBorders>
              <w:top w:val="single" w:sz="4" w:space="0" w:color="auto"/>
              <w:left w:val="nil"/>
              <w:bottom w:val="single" w:sz="8" w:space="0" w:color="auto"/>
              <w:right w:val="nil"/>
            </w:tcBorders>
            <w:shd w:val="clear" w:color="auto" w:fill="auto"/>
            <w:noWrap/>
            <w:vAlign w:val="bottom"/>
            <w:hideMark/>
          </w:tcPr>
          <w:p w14:paraId="19314294" w14:textId="77777777" w:rsidR="00FA18EA" w:rsidRPr="0075195E" w:rsidRDefault="00FA18EA" w:rsidP="00FA18EA">
            <w:pPr>
              <w:outlineLvl w:val="0"/>
              <w:rPr>
                <w:rFonts w:eastAsia="Times New Roman" w:cstheme="minorHAnsi"/>
                <w:sz w:val="18"/>
                <w:szCs w:val="18"/>
                <w:lang w:eastAsia="en-GB"/>
              </w:rPr>
            </w:pPr>
            <w:r w:rsidRPr="0075195E">
              <w:rPr>
                <w:rFonts w:eastAsia="Times New Roman" w:cstheme="minorHAnsi"/>
                <w:sz w:val="18"/>
                <w:szCs w:val="18"/>
                <w:lang w:eastAsia="en-GB"/>
              </w:rPr>
              <w:t> </w:t>
            </w:r>
          </w:p>
        </w:tc>
        <w:tc>
          <w:tcPr>
            <w:tcW w:w="618" w:type="dxa"/>
            <w:tcBorders>
              <w:top w:val="single" w:sz="4" w:space="0" w:color="auto"/>
              <w:left w:val="nil"/>
              <w:bottom w:val="single" w:sz="8" w:space="0" w:color="auto"/>
              <w:right w:val="nil"/>
            </w:tcBorders>
            <w:shd w:val="clear" w:color="auto" w:fill="auto"/>
            <w:vAlign w:val="bottom"/>
            <w:hideMark/>
          </w:tcPr>
          <w:p w14:paraId="11D3EB0E" w14:textId="77777777" w:rsidR="00FA18EA" w:rsidRPr="00536A35" w:rsidRDefault="00FA18EA" w:rsidP="00FA18EA">
            <w:pPr>
              <w:outlineLvl w:val="0"/>
              <w:rPr>
                <w:rFonts w:eastAsia="Times New Roman" w:cstheme="minorHAnsi"/>
                <w:sz w:val="18"/>
                <w:szCs w:val="18"/>
                <w:lang w:eastAsia="en-GB"/>
              </w:rPr>
            </w:pPr>
            <w:r w:rsidRPr="00536A35">
              <w:rPr>
                <w:rFonts w:eastAsia="Times New Roman" w:cstheme="minorHAnsi"/>
                <w:sz w:val="18"/>
                <w:szCs w:val="18"/>
                <w:lang w:eastAsia="en-GB"/>
              </w:rPr>
              <w:t> </w:t>
            </w:r>
          </w:p>
        </w:tc>
        <w:tc>
          <w:tcPr>
            <w:tcW w:w="1493" w:type="dxa"/>
            <w:tcBorders>
              <w:top w:val="single" w:sz="4" w:space="0" w:color="auto"/>
              <w:left w:val="nil"/>
              <w:bottom w:val="single" w:sz="8" w:space="0" w:color="auto"/>
              <w:right w:val="nil"/>
            </w:tcBorders>
            <w:shd w:val="clear" w:color="auto" w:fill="auto"/>
            <w:noWrap/>
            <w:vAlign w:val="bottom"/>
            <w:hideMark/>
          </w:tcPr>
          <w:p w14:paraId="09ED2FE9" w14:textId="77777777" w:rsidR="00FA18EA" w:rsidRPr="00A02B31" w:rsidRDefault="00FA18EA" w:rsidP="00FA18EA">
            <w:pPr>
              <w:jc w:val="right"/>
              <w:outlineLvl w:val="0"/>
              <w:rPr>
                <w:rFonts w:eastAsia="Times New Roman" w:cstheme="minorHAnsi"/>
                <w:b/>
                <w:bCs/>
                <w:sz w:val="18"/>
                <w:szCs w:val="18"/>
                <w:lang w:eastAsia="en-GB"/>
              </w:rPr>
            </w:pPr>
            <w:r w:rsidRPr="00A02B31">
              <w:rPr>
                <w:rFonts w:eastAsia="Times New Roman" w:cstheme="minorHAnsi"/>
                <w:b/>
                <w:bCs/>
                <w:sz w:val="18"/>
                <w:szCs w:val="18"/>
                <w:lang w:eastAsia="en-GB"/>
              </w:rPr>
              <w:t>14,443</w:t>
            </w:r>
          </w:p>
        </w:tc>
        <w:tc>
          <w:tcPr>
            <w:tcW w:w="1493" w:type="dxa"/>
            <w:tcBorders>
              <w:top w:val="single" w:sz="4" w:space="0" w:color="auto"/>
              <w:left w:val="nil"/>
              <w:bottom w:val="single" w:sz="8" w:space="0" w:color="auto"/>
              <w:right w:val="nil"/>
            </w:tcBorders>
            <w:shd w:val="clear" w:color="auto" w:fill="auto"/>
            <w:noWrap/>
            <w:vAlign w:val="bottom"/>
            <w:hideMark/>
          </w:tcPr>
          <w:p w14:paraId="6B53BD7B" w14:textId="77777777" w:rsidR="00FA18EA" w:rsidRPr="00A02B31" w:rsidRDefault="00FA18EA" w:rsidP="00FA18EA">
            <w:pPr>
              <w:jc w:val="right"/>
              <w:outlineLvl w:val="0"/>
              <w:rPr>
                <w:rFonts w:eastAsia="Times New Roman" w:cstheme="minorHAnsi"/>
                <w:sz w:val="18"/>
                <w:szCs w:val="18"/>
                <w:lang w:eastAsia="en-GB"/>
              </w:rPr>
            </w:pPr>
            <w:r w:rsidRPr="00A02B31">
              <w:rPr>
                <w:rFonts w:eastAsia="Times New Roman" w:cstheme="minorHAnsi"/>
                <w:b/>
                <w:bCs/>
                <w:sz w:val="18"/>
                <w:szCs w:val="18"/>
                <w:lang w:eastAsia="en-GB"/>
              </w:rPr>
              <w:t>8,027</w:t>
            </w:r>
          </w:p>
        </w:tc>
      </w:tr>
    </w:tbl>
    <w:p w14:paraId="38D1C140" w14:textId="77777777" w:rsidR="00FA18EA" w:rsidRPr="008B2DDA" w:rsidRDefault="00FA18EA" w:rsidP="00FA18EA">
      <w:pPr>
        <w:autoSpaceDE w:val="0"/>
        <w:autoSpaceDN w:val="0"/>
        <w:adjustRightInd w:val="0"/>
        <w:jc w:val="both"/>
        <w:rPr>
          <w:rFonts w:cstheme="minorHAnsi"/>
          <w:color w:val="000000" w:themeColor="text1"/>
          <w:sz w:val="18"/>
          <w:szCs w:val="18"/>
        </w:rPr>
      </w:pPr>
    </w:p>
    <w:p w14:paraId="61EF7A88" w14:textId="77777777" w:rsidR="00FA18EA" w:rsidRPr="0091098D" w:rsidRDefault="00FA18EA" w:rsidP="00FA18EA">
      <w:pPr>
        <w:autoSpaceDE w:val="0"/>
        <w:autoSpaceDN w:val="0"/>
        <w:adjustRightInd w:val="0"/>
        <w:rPr>
          <w:rFonts w:cstheme="minorHAnsi"/>
          <w:color w:val="000000" w:themeColor="text1"/>
          <w:sz w:val="18"/>
          <w:szCs w:val="18"/>
        </w:rPr>
      </w:pPr>
      <w:r w:rsidRPr="000C5053">
        <w:rPr>
          <w:rFonts w:cstheme="minorHAnsi"/>
          <w:color w:val="000000" w:themeColor="text1"/>
          <w:sz w:val="18"/>
          <w:szCs w:val="18"/>
        </w:rPr>
        <w:t>Credit risk relating to loan stock investments in unquoted companies is considered to be part of market risk.</w:t>
      </w:r>
    </w:p>
    <w:p w14:paraId="3B3C9BC8" w14:textId="77777777" w:rsidR="00FA18EA" w:rsidRPr="0075195E" w:rsidRDefault="00FA18EA" w:rsidP="00FA18EA">
      <w:pPr>
        <w:autoSpaceDE w:val="0"/>
        <w:autoSpaceDN w:val="0"/>
        <w:adjustRightInd w:val="0"/>
        <w:rPr>
          <w:rFonts w:cstheme="minorHAnsi"/>
          <w:color w:val="000000" w:themeColor="text1"/>
          <w:sz w:val="18"/>
          <w:szCs w:val="18"/>
        </w:rPr>
      </w:pPr>
    </w:p>
    <w:p w14:paraId="1F312279" w14:textId="77777777" w:rsidR="00FA18EA" w:rsidRPr="00A02B31" w:rsidRDefault="00FA18EA" w:rsidP="00FA18EA">
      <w:pPr>
        <w:autoSpaceDE w:val="0"/>
        <w:autoSpaceDN w:val="0"/>
        <w:adjustRightInd w:val="0"/>
        <w:jc w:val="both"/>
        <w:rPr>
          <w:rFonts w:cstheme="minorHAnsi"/>
          <w:color w:val="000000" w:themeColor="text1"/>
          <w:sz w:val="18"/>
          <w:szCs w:val="18"/>
        </w:rPr>
      </w:pPr>
      <w:r w:rsidRPr="00536A35">
        <w:rPr>
          <w:rFonts w:cstheme="minorHAnsi"/>
          <w:color w:val="000000" w:themeColor="text1"/>
          <w:sz w:val="18"/>
          <w:szCs w:val="18"/>
        </w:rPr>
        <w:t>The Company’s cash balances at 31 March 2022 and 2021 were held in institutions currently rated A or better by Fitch. Given these ratings, the Company does not expect any co</w:t>
      </w:r>
      <w:r w:rsidRPr="00A02B31">
        <w:rPr>
          <w:rFonts w:cstheme="minorHAnsi"/>
          <w:color w:val="000000" w:themeColor="text1"/>
          <w:sz w:val="18"/>
          <w:szCs w:val="18"/>
        </w:rPr>
        <w:t>unterparty to fail to meet its obligations and therefore, no allowance for impairment is made for bank deposits.</w:t>
      </w:r>
    </w:p>
    <w:p w14:paraId="3B043521" w14:textId="77777777" w:rsidR="00FA18EA" w:rsidRPr="00A02B31" w:rsidRDefault="00FA18EA" w:rsidP="00FA18EA">
      <w:pPr>
        <w:autoSpaceDE w:val="0"/>
        <w:autoSpaceDN w:val="0"/>
        <w:adjustRightInd w:val="0"/>
        <w:jc w:val="both"/>
        <w:rPr>
          <w:rFonts w:cstheme="minorHAnsi"/>
          <w:color w:val="000000" w:themeColor="text1"/>
          <w:sz w:val="18"/>
          <w:szCs w:val="18"/>
        </w:rPr>
      </w:pPr>
    </w:p>
    <w:p w14:paraId="2B76FD2B" w14:textId="77777777" w:rsidR="00FA18EA" w:rsidRPr="00A02B31" w:rsidRDefault="00FA18EA" w:rsidP="00FA18EA">
      <w:pPr>
        <w:autoSpaceDE w:val="0"/>
        <w:autoSpaceDN w:val="0"/>
        <w:adjustRightInd w:val="0"/>
        <w:rPr>
          <w:rFonts w:cstheme="minorHAnsi"/>
          <w:b/>
          <w:color w:val="000000"/>
          <w:sz w:val="18"/>
          <w:szCs w:val="16"/>
        </w:rPr>
      </w:pPr>
      <w:r w:rsidRPr="00A02B31">
        <w:rPr>
          <w:rFonts w:cstheme="minorHAnsi"/>
          <w:b/>
          <w:color w:val="000000"/>
          <w:sz w:val="18"/>
          <w:szCs w:val="16"/>
        </w:rPr>
        <w:t>c)    Liquidity risk</w:t>
      </w:r>
    </w:p>
    <w:p w14:paraId="0EDB2DB8" w14:textId="77777777" w:rsidR="00FA18EA" w:rsidRPr="00A02B31" w:rsidRDefault="00FA18EA" w:rsidP="00FA18EA">
      <w:pPr>
        <w:autoSpaceDE w:val="0"/>
        <w:autoSpaceDN w:val="0"/>
        <w:adjustRightInd w:val="0"/>
        <w:jc w:val="both"/>
        <w:rPr>
          <w:rFonts w:cstheme="minorHAnsi"/>
          <w:color w:val="000000" w:themeColor="text1"/>
          <w:sz w:val="18"/>
          <w:szCs w:val="18"/>
        </w:rPr>
      </w:pPr>
      <w:r w:rsidRPr="00A02B31">
        <w:rPr>
          <w:rFonts w:cstheme="minorHAnsi"/>
          <w:color w:val="000000" w:themeColor="text1"/>
          <w:sz w:val="18"/>
          <w:szCs w:val="18"/>
        </w:rPr>
        <w:t>The Directors consider that there is no significant liquidity risk faced by the Company. The Company maintains sufficient liquidity in cash and liquid investments to pay accounts payable and accrued expenses. All liabilities are current and repayable upon demand.</w:t>
      </w:r>
    </w:p>
    <w:p w14:paraId="0975B02F" w14:textId="77777777" w:rsidR="00FA18EA" w:rsidRPr="00A02B31" w:rsidRDefault="00FA18EA" w:rsidP="00FA18EA">
      <w:pPr>
        <w:autoSpaceDE w:val="0"/>
        <w:autoSpaceDN w:val="0"/>
        <w:adjustRightInd w:val="0"/>
        <w:rPr>
          <w:rFonts w:cstheme="minorHAnsi"/>
          <w:b/>
          <w:color w:val="000000"/>
        </w:rPr>
      </w:pPr>
    </w:p>
    <w:p w14:paraId="02F4A15E" w14:textId="77777777" w:rsidR="00FA18EA" w:rsidRPr="00A02B31" w:rsidRDefault="00FA18EA" w:rsidP="00FA18EA">
      <w:pPr>
        <w:autoSpaceDE w:val="0"/>
        <w:autoSpaceDN w:val="0"/>
        <w:adjustRightInd w:val="0"/>
        <w:rPr>
          <w:rFonts w:cstheme="minorHAnsi"/>
          <w:b/>
          <w:color w:val="000000"/>
        </w:rPr>
      </w:pPr>
      <w:r w:rsidRPr="00A02B31">
        <w:rPr>
          <w:rFonts w:cstheme="minorHAnsi"/>
          <w:b/>
          <w:color w:val="000000"/>
        </w:rPr>
        <w:t>14 Capital disclosures</w:t>
      </w:r>
    </w:p>
    <w:p w14:paraId="7DDF3FA7" w14:textId="77777777" w:rsidR="00FA18EA" w:rsidRPr="00A02B31" w:rsidRDefault="00FA18EA" w:rsidP="00FA18EA">
      <w:pPr>
        <w:autoSpaceDE w:val="0"/>
        <w:autoSpaceDN w:val="0"/>
        <w:adjustRightInd w:val="0"/>
        <w:jc w:val="both"/>
        <w:rPr>
          <w:rFonts w:cstheme="minorHAnsi"/>
          <w:color w:val="000000" w:themeColor="text1"/>
          <w:sz w:val="18"/>
          <w:szCs w:val="18"/>
        </w:rPr>
      </w:pPr>
    </w:p>
    <w:p w14:paraId="7899E5D3" w14:textId="77777777" w:rsidR="00FA18EA" w:rsidRPr="00A02B31" w:rsidRDefault="00FA18EA" w:rsidP="00FA18EA">
      <w:pPr>
        <w:autoSpaceDE w:val="0"/>
        <w:autoSpaceDN w:val="0"/>
        <w:adjustRightInd w:val="0"/>
        <w:jc w:val="both"/>
        <w:rPr>
          <w:rFonts w:cstheme="minorHAnsi"/>
          <w:color w:val="000000" w:themeColor="text1"/>
          <w:sz w:val="18"/>
          <w:szCs w:val="18"/>
        </w:rPr>
      </w:pPr>
      <w:r w:rsidRPr="00A02B31">
        <w:rPr>
          <w:rFonts w:cstheme="minorHAnsi"/>
          <w:color w:val="000000" w:themeColor="text1"/>
          <w:sz w:val="18"/>
          <w:szCs w:val="18"/>
        </w:rPr>
        <w:t>The Company’s objective has been to maximise shareholder value from all assets, which in recent years has been to realise its portfolio at the most advantageous time and reinvest the proceeds to grow shareholder value per share over the long-term.</w:t>
      </w:r>
    </w:p>
    <w:p w14:paraId="4312BFAC" w14:textId="77777777" w:rsidR="00FA18EA" w:rsidRPr="00A02B31" w:rsidRDefault="00FA18EA" w:rsidP="00FA18EA">
      <w:pPr>
        <w:autoSpaceDE w:val="0"/>
        <w:autoSpaceDN w:val="0"/>
        <w:adjustRightInd w:val="0"/>
        <w:jc w:val="both"/>
        <w:rPr>
          <w:rFonts w:cstheme="minorHAnsi"/>
          <w:color w:val="000000" w:themeColor="text1"/>
          <w:sz w:val="18"/>
          <w:szCs w:val="18"/>
        </w:rPr>
      </w:pPr>
    </w:p>
    <w:p w14:paraId="414FF23D" w14:textId="77777777" w:rsidR="00FA18EA" w:rsidRPr="00A02B31" w:rsidRDefault="00FA18EA" w:rsidP="00FA18EA">
      <w:pPr>
        <w:autoSpaceDE w:val="0"/>
        <w:autoSpaceDN w:val="0"/>
        <w:adjustRightInd w:val="0"/>
        <w:jc w:val="both"/>
        <w:rPr>
          <w:rFonts w:cstheme="minorHAnsi"/>
          <w:color w:val="000000" w:themeColor="text1"/>
          <w:sz w:val="18"/>
          <w:szCs w:val="18"/>
        </w:rPr>
      </w:pPr>
      <w:r w:rsidRPr="00A02B31">
        <w:rPr>
          <w:rFonts w:cstheme="minorHAnsi"/>
          <w:color w:val="000000" w:themeColor="text1"/>
          <w:sz w:val="18"/>
          <w:szCs w:val="18"/>
        </w:rPr>
        <w:t>The capital subscribed to the Company has been managed in accordance with the Company’s objectives. The available capital at 31 March 2022 is £41.0 million (31 March 2021: £52.7 million) as shown in the statement of financial position, which includes the Company’s share capital and reserves.</w:t>
      </w:r>
    </w:p>
    <w:p w14:paraId="330CF650" w14:textId="77777777" w:rsidR="00FA18EA" w:rsidRPr="00A02B31" w:rsidRDefault="00FA18EA" w:rsidP="00FA18EA">
      <w:pPr>
        <w:autoSpaceDE w:val="0"/>
        <w:autoSpaceDN w:val="0"/>
        <w:adjustRightInd w:val="0"/>
        <w:jc w:val="both"/>
        <w:rPr>
          <w:rFonts w:cstheme="minorHAnsi"/>
          <w:color w:val="000000" w:themeColor="text1"/>
          <w:sz w:val="18"/>
          <w:szCs w:val="18"/>
        </w:rPr>
      </w:pPr>
    </w:p>
    <w:p w14:paraId="135220F9" w14:textId="6AA84F00" w:rsidR="00FA18EA" w:rsidRPr="00A02B31" w:rsidRDefault="00FA18EA" w:rsidP="00FA18EA">
      <w:pPr>
        <w:autoSpaceDE w:val="0"/>
        <w:autoSpaceDN w:val="0"/>
        <w:adjustRightInd w:val="0"/>
        <w:jc w:val="both"/>
        <w:rPr>
          <w:rFonts w:cstheme="minorHAnsi"/>
          <w:color w:val="000000" w:themeColor="text1"/>
          <w:sz w:val="18"/>
          <w:szCs w:val="18"/>
        </w:rPr>
      </w:pPr>
      <w:r w:rsidRPr="00A02B31">
        <w:rPr>
          <w:rFonts w:cstheme="minorHAnsi"/>
          <w:color w:val="000000" w:themeColor="text1"/>
          <w:sz w:val="18"/>
          <w:szCs w:val="18"/>
        </w:rPr>
        <w:t>The total amount of revenue reserve for the year is £15</w:t>
      </w:r>
      <w:r w:rsidR="007F3217">
        <w:rPr>
          <w:rFonts w:cstheme="minorHAnsi"/>
          <w:color w:val="000000" w:themeColor="text1"/>
          <w:sz w:val="18"/>
          <w:szCs w:val="18"/>
        </w:rPr>
        <w:t>.</w:t>
      </w:r>
      <w:r w:rsidRPr="00A02B31">
        <w:rPr>
          <w:rFonts w:cstheme="minorHAnsi"/>
          <w:color w:val="000000" w:themeColor="text1"/>
          <w:sz w:val="18"/>
          <w:szCs w:val="18"/>
        </w:rPr>
        <w:t>32 million (2021: £26</w:t>
      </w:r>
      <w:r w:rsidR="007F3217">
        <w:rPr>
          <w:rFonts w:cstheme="minorHAnsi"/>
          <w:color w:val="000000" w:themeColor="text1"/>
          <w:sz w:val="18"/>
          <w:szCs w:val="18"/>
        </w:rPr>
        <w:t>.</w:t>
      </w:r>
      <w:r w:rsidRPr="00A02B31">
        <w:rPr>
          <w:rFonts w:cstheme="minorHAnsi"/>
          <w:color w:val="000000" w:themeColor="text1"/>
          <w:sz w:val="18"/>
          <w:szCs w:val="18"/>
        </w:rPr>
        <w:t>969 million) which is fully distributable and can be utilised for any future dividends.</w:t>
      </w:r>
    </w:p>
    <w:p w14:paraId="50C7B5FD" w14:textId="77777777" w:rsidR="00FA18EA" w:rsidRPr="00A02B31" w:rsidRDefault="00FA18EA" w:rsidP="00FA18EA">
      <w:pPr>
        <w:autoSpaceDE w:val="0"/>
        <w:autoSpaceDN w:val="0"/>
        <w:adjustRightInd w:val="0"/>
        <w:jc w:val="both"/>
        <w:rPr>
          <w:rFonts w:cstheme="minorHAnsi"/>
          <w:color w:val="000000" w:themeColor="text1"/>
          <w:sz w:val="18"/>
          <w:szCs w:val="18"/>
        </w:rPr>
      </w:pPr>
    </w:p>
    <w:p w14:paraId="189D9A55" w14:textId="77777777" w:rsidR="00FA18EA" w:rsidRPr="00A02B31" w:rsidRDefault="00FA18EA" w:rsidP="00FA18EA">
      <w:pPr>
        <w:autoSpaceDE w:val="0"/>
        <w:autoSpaceDN w:val="0"/>
        <w:adjustRightInd w:val="0"/>
        <w:jc w:val="both"/>
        <w:rPr>
          <w:rFonts w:cstheme="minorHAnsi"/>
          <w:color w:val="000000" w:themeColor="text1"/>
          <w:sz w:val="18"/>
          <w:szCs w:val="18"/>
        </w:rPr>
      </w:pPr>
      <w:r w:rsidRPr="00A02B31">
        <w:rPr>
          <w:rFonts w:cstheme="minorHAnsi"/>
          <w:color w:val="000000" w:themeColor="text1"/>
          <w:sz w:val="18"/>
          <w:szCs w:val="18"/>
        </w:rPr>
        <w:t>The Company has no borrowings and there are no externally imposed capital requirements other than the minimum statutory share capital requirements for public limited companies.</w:t>
      </w:r>
    </w:p>
    <w:p w14:paraId="7136662C" w14:textId="77777777" w:rsidR="00FA18EA" w:rsidRPr="00A02B31" w:rsidRDefault="00FA18EA" w:rsidP="00FA18EA">
      <w:pPr>
        <w:autoSpaceDE w:val="0"/>
        <w:autoSpaceDN w:val="0"/>
        <w:adjustRightInd w:val="0"/>
        <w:jc w:val="both"/>
        <w:rPr>
          <w:rFonts w:cstheme="minorHAnsi"/>
          <w:color w:val="000000" w:themeColor="text1"/>
          <w:sz w:val="18"/>
          <w:szCs w:val="18"/>
        </w:rPr>
      </w:pPr>
    </w:p>
    <w:p w14:paraId="4EFAA822" w14:textId="77777777" w:rsidR="00FA18EA" w:rsidRPr="00A02B31" w:rsidRDefault="00FA18EA" w:rsidP="00FA18EA">
      <w:pPr>
        <w:autoSpaceDE w:val="0"/>
        <w:autoSpaceDN w:val="0"/>
        <w:adjustRightInd w:val="0"/>
        <w:rPr>
          <w:rFonts w:cstheme="minorHAnsi"/>
          <w:b/>
          <w:color w:val="000000"/>
        </w:rPr>
      </w:pPr>
      <w:r w:rsidRPr="00A02B31">
        <w:rPr>
          <w:rFonts w:cstheme="minorHAnsi"/>
          <w:b/>
          <w:color w:val="000000"/>
        </w:rPr>
        <w:t>15 Related party transactions</w:t>
      </w:r>
    </w:p>
    <w:p w14:paraId="01110DD3" w14:textId="77777777" w:rsidR="00FA18EA" w:rsidRPr="00A02B31" w:rsidRDefault="00FA18EA" w:rsidP="00FA18EA">
      <w:pPr>
        <w:autoSpaceDE w:val="0"/>
        <w:autoSpaceDN w:val="0"/>
        <w:adjustRightInd w:val="0"/>
        <w:jc w:val="both"/>
        <w:rPr>
          <w:rFonts w:cstheme="minorHAnsi"/>
          <w:color w:val="000000" w:themeColor="text1"/>
          <w:sz w:val="18"/>
          <w:szCs w:val="18"/>
        </w:rPr>
      </w:pPr>
    </w:p>
    <w:p w14:paraId="064C1998" w14:textId="6142DB5C" w:rsidR="00FA18EA" w:rsidRPr="00A02B31" w:rsidRDefault="00FA18EA" w:rsidP="00FA18EA">
      <w:pPr>
        <w:autoSpaceDE w:val="0"/>
        <w:autoSpaceDN w:val="0"/>
        <w:adjustRightInd w:val="0"/>
        <w:jc w:val="both"/>
        <w:rPr>
          <w:rFonts w:cstheme="minorHAnsi"/>
          <w:color w:val="000000" w:themeColor="text1"/>
          <w:sz w:val="18"/>
          <w:szCs w:val="18"/>
        </w:rPr>
      </w:pPr>
      <w:r w:rsidRPr="00A02B31">
        <w:rPr>
          <w:rFonts w:cstheme="minorHAnsi"/>
          <w:color w:val="000000" w:themeColor="text1"/>
          <w:sz w:val="18"/>
          <w:szCs w:val="18"/>
        </w:rPr>
        <w:t xml:space="preserve">The related parties of Rockwood </w:t>
      </w:r>
      <w:r w:rsidR="00D434F3" w:rsidRPr="00A02B31">
        <w:rPr>
          <w:rFonts w:cstheme="minorHAnsi"/>
          <w:color w:val="000000" w:themeColor="text1"/>
          <w:sz w:val="18"/>
          <w:szCs w:val="18"/>
        </w:rPr>
        <w:t>Strategic</w:t>
      </w:r>
      <w:r w:rsidRPr="00A02B31">
        <w:rPr>
          <w:rFonts w:cstheme="minorHAnsi"/>
          <w:color w:val="000000" w:themeColor="text1"/>
          <w:sz w:val="18"/>
          <w:szCs w:val="18"/>
        </w:rPr>
        <w:t xml:space="preserve"> Plc are its Directors, persons connected with its Directors, its previous Investment Manager, Gresham House Asset Management (GHAM), former significant shareholder, Gresham House Plc (Gresham), and its new Investment Manager and significant shareholder Harwood Capital LLP (Harwood). Gresham sold its entire c23.7% interest in March 2022 to a number of institutional investors, including Harwood, making Harwood a significant shareholder.</w:t>
      </w:r>
    </w:p>
    <w:p w14:paraId="307E89B4" w14:textId="77777777" w:rsidR="00FA18EA" w:rsidRPr="00A02B31" w:rsidRDefault="00FA18EA" w:rsidP="00FA18EA">
      <w:pPr>
        <w:autoSpaceDE w:val="0"/>
        <w:autoSpaceDN w:val="0"/>
        <w:adjustRightInd w:val="0"/>
        <w:jc w:val="both"/>
        <w:rPr>
          <w:rFonts w:cstheme="minorHAnsi"/>
          <w:color w:val="000000" w:themeColor="text1"/>
          <w:sz w:val="18"/>
          <w:szCs w:val="18"/>
        </w:rPr>
      </w:pPr>
    </w:p>
    <w:p w14:paraId="0175872F" w14:textId="5CE649C9" w:rsidR="00FA18EA" w:rsidRPr="00A02B31" w:rsidRDefault="00FA18EA" w:rsidP="00FA18EA">
      <w:pPr>
        <w:autoSpaceDE w:val="0"/>
        <w:autoSpaceDN w:val="0"/>
        <w:adjustRightInd w:val="0"/>
        <w:jc w:val="both"/>
        <w:rPr>
          <w:rFonts w:cstheme="minorHAnsi"/>
          <w:color w:val="000000" w:themeColor="text1"/>
          <w:sz w:val="18"/>
          <w:szCs w:val="18"/>
        </w:rPr>
      </w:pPr>
      <w:r w:rsidRPr="00A02B31">
        <w:rPr>
          <w:rFonts w:cstheme="minorHAnsi"/>
          <w:color w:val="000000" w:themeColor="text1"/>
          <w:sz w:val="18"/>
          <w:szCs w:val="18"/>
        </w:rPr>
        <w:t xml:space="preserve">During the year to 31 March 2022, Rockwood </w:t>
      </w:r>
      <w:r w:rsidR="00D434F3" w:rsidRPr="00A02B31">
        <w:rPr>
          <w:rFonts w:cstheme="minorHAnsi"/>
          <w:color w:val="000000" w:themeColor="text1"/>
          <w:sz w:val="18"/>
          <w:szCs w:val="18"/>
        </w:rPr>
        <w:t>Strategic</w:t>
      </w:r>
      <w:r w:rsidRPr="00A02B31">
        <w:rPr>
          <w:rFonts w:cstheme="minorHAnsi"/>
          <w:color w:val="000000" w:themeColor="text1"/>
          <w:sz w:val="18"/>
          <w:szCs w:val="18"/>
        </w:rPr>
        <w:t xml:space="preserve"> Plc was charged management fees of £593k (2021: £832k) and performance fee of </w:t>
      </w:r>
      <w:r w:rsidRPr="00A02B31">
        <w:rPr>
          <w:rFonts w:cstheme="minorHAnsi"/>
          <w:bCs/>
          <w:color w:val="000000" w:themeColor="text1"/>
          <w:sz w:val="18"/>
          <w:szCs w:val="18"/>
        </w:rPr>
        <w:t>£</w:t>
      </w:r>
      <w:r w:rsidRPr="00A02B31">
        <w:rPr>
          <w:rFonts w:cstheme="minorHAnsi"/>
          <w:color w:val="000000" w:themeColor="text1"/>
          <w:sz w:val="18"/>
          <w:szCs w:val="18"/>
        </w:rPr>
        <w:t xml:space="preserve">2,772k (2021: </w:t>
      </w:r>
      <w:r w:rsidRPr="00A02B31">
        <w:rPr>
          <w:rFonts w:cstheme="minorHAnsi"/>
          <w:bCs/>
          <w:color w:val="000000" w:themeColor="text1"/>
          <w:sz w:val="18"/>
          <w:szCs w:val="18"/>
        </w:rPr>
        <w:t>£</w:t>
      </w:r>
      <w:r w:rsidRPr="00A02B31">
        <w:rPr>
          <w:rFonts w:cstheme="minorHAnsi"/>
          <w:color w:val="000000" w:themeColor="text1"/>
          <w:sz w:val="18"/>
          <w:szCs w:val="18"/>
        </w:rPr>
        <w:t>2,294k) by Gresham House Asset Management.</w:t>
      </w:r>
    </w:p>
    <w:p w14:paraId="14CFC086" w14:textId="77777777" w:rsidR="00FA18EA" w:rsidRPr="00A02B31" w:rsidRDefault="00FA18EA" w:rsidP="00FA18EA">
      <w:pPr>
        <w:autoSpaceDE w:val="0"/>
        <w:autoSpaceDN w:val="0"/>
        <w:adjustRightInd w:val="0"/>
        <w:jc w:val="both"/>
        <w:rPr>
          <w:rFonts w:cstheme="minorHAnsi"/>
          <w:color w:val="000000" w:themeColor="text1"/>
          <w:sz w:val="18"/>
          <w:szCs w:val="18"/>
        </w:rPr>
      </w:pPr>
    </w:p>
    <w:p w14:paraId="0119977C" w14:textId="77777777" w:rsidR="00FA18EA" w:rsidRPr="00A02B31" w:rsidRDefault="00FA18EA" w:rsidP="00FA18EA">
      <w:pPr>
        <w:autoSpaceDE w:val="0"/>
        <w:autoSpaceDN w:val="0"/>
        <w:adjustRightInd w:val="0"/>
        <w:jc w:val="both"/>
        <w:rPr>
          <w:rFonts w:cstheme="minorHAnsi"/>
          <w:color w:val="000000" w:themeColor="text1"/>
          <w:sz w:val="18"/>
          <w:szCs w:val="18"/>
        </w:rPr>
      </w:pPr>
    </w:p>
    <w:p w14:paraId="4DD51942" w14:textId="77777777" w:rsidR="00FA18EA" w:rsidRPr="00A02B31" w:rsidRDefault="00FA18EA" w:rsidP="00FA18EA">
      <w:pPr>
        <w:autoSpaceDE w:val="0"/>
        <w:autoSpaceDN w:val="0"/>
        <w:adjustRightInd w:val="0"/>
        <w:jc w:val="both"/>
        <w:rPr>
          <w:rFonts w:cstheme="minorHAnsi"/>
          <w:color w:val="000000" w:themeColor="text1"/>
          <w:sz w:val="18"/>
          <w:szCs w:val="18"/>
        </w:rPr>
      </w:pPr>
    </w:p>
    <w:p w14:paraId="0336CF13" w14:textId="77777777" w:rsidR="00FA18EA" w:rsidRPr="00A02B31" w:rsidRDefault="00FA18EA" w:rsidP="00FA18EA">
      <w:pPr>
        <w:autoSpaceDE w:val="0"/>
        <w:autoSpaceDN w:val="0"/>
        <w:adjustRightInd w:val="0"/>
        <w:jc w:val="both"/>
        <w:rPr>
          <w:rFonts w:cstheme="minorHAnsi"/>
          <w:b/>
          <w:color w:val="000000"/>
          <w:sz w:val="28"/>
        </w:rPr>
      </w:pPr>
      <w:r w:rsidRPr="00A02B31">
        <w:rPr>
          <w:rFonts w:cstheme="minorHAnsi"/>
          <w:b/>
          <w:color w:val="000000"/>
          <w:sz w:val="28"/>
        </w:rPr>
        <w:lastRenderedPageBreak/>
        <w:t>Notes to the Financial Statements (continued)</w:t>
      </w:r>
    </w:p>
    <w:p w14:paraId="68B2BF87" w14:textId="77777777" w:rsidR="00FA18EA" w:rsidRPr="00A02B31" w:rsidRDefault="00FA18EA" w:rsidP="00FA18EA">
      <w:pPr>
        <w:autoSpaceDE w:val="0"/>
        <w:autoSpaceDN w:val="0"/>
        <w:adjustRightInd w:val="0"/>
        <w:jc w:val="both"/>
        <w:rPr>
          <w:rFonts w:cstheme="minorHAnsi"/>
          <w:color w:val="000000" w:themeColor="text1"/>
          <w:sz w:val="18"/>
          <w:szCs w:val="18"/>
        </w:rPr>
      </w:pPr>
    </w:p>
    <w:p w14:paraId="2C6A7DA8" w14:textId="2F27E3B4" w:rsidR="00FA18EA" w:rsidRPr="007600A7" w:rsidRDefault="00FA18EA" w:rsidP="00FA18EA">
      <w:pPr>
        <w:autoSpaceDE w:val="0"/>
        <w:autoSpaceDN w:val="0"/>
        <w:adjustRightInd w:val="0"/>
        <w:rPr>
          <w:rFonts w:cstheme="minorHAnsi"/>
          <w:b/>
          <w:color w:val="000000"/>
        </w:rPr>
      </w:pPr>
      <w:r w:rsidRPr="00A02B31">
        <w:rPr>
          <w:rFonts w:cstheme="minorHAnsi"/>
          <w:b/>
          <w:color w:val="000000"/>
        </w:rPr>
        <w:t>15 Related party transactions (continued)</w:t>
      </w:r>
    </w:p>
    <w:p w14:paraId="0C6357D2" w14:textId="77777777" w:rsidR="00FA18EA" w:rsidRPr="000C1F6F" w:rsidRDefault="00FA18EA" w:rsidP="00FA18EA">
      <w:pPr>
        <w:autoSpaceDE w:val="0"/>
        <w:autoSpaceDN w:val="0"/>
        <w:adjustRightInd w:val="0"/>
        <w:jc w:val="both"/>
        <w:rPr>
          <w:rFonts w:cstheme="minorHAnsi"/>
          <w:color w:val="000000" w:themeColor="text1"/>
          <w:sz w:val="18"/>
          <w:szCs w:val="18"/>
        </w:rPr>
      </w:pPr>
    </w:p>
    <w:p w14:paraId="5A2CD932" w14:textId="77777777" w:rsidR="00FA18EA" w:rsidRPr="008B2DDA" w:rsidRDefault="00FA18EA" w:rsidP="00FA18EA">
      <w:pPr>
        <w:autoSpaceDE w:val="0"/>
        <w:autoSpaceDN w:val="0"/>
        <w:adjustRightInd w:val="0"/>
        <w:jc w:val="both"/>
        <w:rPr>
          <w:rFonts w:cstheme="minorHAnsi"/>
          <w:color w:val="000000" w:themeColor="text1"/>
          <w:sz w:val="18"/>
          <w:szCs w:val="18"/>
        </w:rPr>
      </w:pPr>
      <w:r w:rsidRPr="008B2DDA">
        <w:rPr>
          <w:rFonts w:cstheme="minorHAnsi"/>
          <w:color w:val="000000" w:themeColor="text1"/>
          <w:sz w:val="18"/>
          <w:szCs w:val="18"/>
        </w:rPr>
        <w:t xml:space="preserve">The total payable to GHAM is as follows: </w:t>
      </w:r>
    </w:p>
    <w:p w14:paraId="05953F11" w14:textId="77777777" w:rsidR="00FA18EA" w:rsidRPr="000C5053" w:rsidRDefault="00FA18EA" w:rsidP="00FA18EA">
      <w:pPr>
        <w:autoSpaceDE w:val="0"/>
        <w:autoSpaceDN w:val="0"/>
        <w:adjustRightInd w:val="0"/>
        <w:jc w:val="both"/>
        <w:rPr>
          <w:rFonts w:cstheme="minorHAnsi"/>
          <w:color w:val="000000" w:themeColor="text1"/>
          <w:sz w:val="18"/>
          <w:szCs w:val="18"/>
        </w:rPr>
      </w:pPr>
    </w:p>
    <w:tbl>
      <w:tblPr>
        <w:tblStyle w:val="TableGrid3"/>
        <w:tblW w:w="5000" w:type="pct"/>
        <w:tblLook w:val="04A0" w:firstRow="1" w:lastRow="0" w:firstColumn="1" w:lastColumn="0" w:noHBand="0" w:noVBand="1"/>
      </w:tblPr>
      <w:tblGrid>
        <w:gridCol w:w="4448"/>
        <w:gridCol w:w="2875"/>
        <w:gridCol w:w="2873"/>
      </w:tblGrid>
      <w:tr w:rsidR="00FA18EA" w:rsidRPr="007600A7" w14:paraId="2A443372" w14:textId="77777777" w:rsidTr="00FA18EA">
        <w:tc>
          <w:tcPr>
            <w:tcW w:w="2181" w:type="pct"/>
          </w:tcPr>
          <w:p w14:paraId="49A111DE" w14:textId="77777777" w:rsidR="00FA18EA" w:rsidRPr="0091098D" w:rsidRDefault="00FA18EA" w:rsidP="00FA18EA">
            <w:pPr>
              <w:autoSpaceDE w:val="0"/>
              <w:autoSpaceDN w:val="0"/>
              <w:adjustRightInd w:val="0"/>
              <w:jc w:val="both"/>
              <w:rPr>
                <w:rFonts w:cstheme="minorHAnsi"/>
                <w:color w:val="000000" w:themeColor="text1"/>
                <w:sz w:val="18"/>
                <w:szCs w:val="18"/>
              </w:rPr>
            </w:pPr>
            <w:r w:rsidRPr="0091098D">
              <w:rPr>
                <w:rFonts w:cstheme="minorHAnsi"/>
                <w:color w:val="000000" w:themeColor="text1"/>
                <w:sz w:val="18"/>
                <w:szCs w:val="18"/>
              </w:rPr>
              <w:t>Particulars</w:t>
            </w:r>
          </w:p>
        </w:tc>
        <w:tc>
          <w:tcPr>
            <w:tcW w:w="1410" w:type="pct"/>
          </w:tcPr>
          <w:p w14:paraId="43374F4F" w14:textId="77777777" w:rsidR="00FA18EA" w:rsidRPr="0075195E" w:rsidRDefault="00FA18EA" w:rsidP="00FA18EA">
            <w:pPr>
              <w:autoSpaceDE w:val="0"/>
              <w:autoSpaceDN w:val="0"/>
              <w:adjustRightInd w:val="0"/>
              <w:jc w:val="right"/>
              <w:rPr>
                <w:rFonts w:cstheme="minorHAnsi"/>
                <w:b/>
                <w:bCs/>
                <w:color w:val="000000" w:themeColor="text1"/>
                <w:sz w:val="18"/>
                <w:szCs w:val="18"/>
              </w:rPr>
            </w:pPr>
            <w:r w:rsidRPr="0075195E">
              <w:rPr>
                <w:rFonts w:cstheme="minorHAnsi"/>
                <w:b/>
                <w:bCs/>
                <w:color w:val="000000" w:themeColor="text1"/>
                <w:sz w:val="18"/>
                <w:szCs w:val="18"/>
              </w:rPr>
              <w:t>As at 31 March 2022</w:t>
            </w:r>
          </w:p>
        </w:tc>
        <w:tc>
          <w:tcPr>
            <w:tcW w:w="1410" w:type="pct"/>
          </w:tcPr>
          <w:p w14:paraId="3BEA657D" w14:textId="77777777" w:rsidR="00FA18EA" w:rsidRPr="00536A35" w:rsidRDefault="00FA18EA" w:rsidP="00FA18EA">
            <w:pPr>
              <w:autoSpaceDE w:val="0"/>
              <w:autoSpaceDN w:val="0"/>
              <w:adjustRightInd w:val="0"/>
              <w:jc w:val="right"/>
              <w:rPr>
                <w:rFonts w:cstheme="minorHAnsi"/>
                <w:color w:val="000000" w:themeColor="text1"/>
                <w:sz w:val="18"/>
                <w:szCs w:val="18"/>
              </w:rPr>
            </w:pPr>
            <w:r w:rsidRPr="00E96D83">
              <w:rPr>
                <w:rFonts w:cstheme="minorHAnsi"/>
                <w:bCs/>
                <w:color w:val="000000" w:themeColor="text1"/>
                <w:sz w:val="18"/>
                <w:szCs w:val="18"/>
              </w:rPr>
              <w:t>As at 31 March 2021</w:t>
            </w:r>
          </w:p>
        </w:tc>
      </w:tr>
      <w:tr w:rsidR="00FA18EA" w:rsidRPr="007600A7" w14:paraId="02A23F69" w14:textId="77777777" w:rsidTr="00FA18EA">
        <w:tc>
          <w:tcPr>
            <w:tcW w:w="2181" w:type="pct"/>
          </w:tcPr>
          <w:p w14:paraId="15765763" w14:textId="77777777" w:rsidR="00FA18EA" w:rsidRPr="008B2DDA" w:rsidRDefault="00FA18EA" w:rsidP="00FA18EA">
            <w:pPr>
              <w:autoSpaceDE w:val="0"/>
              <w:autoSpaceDN w:val="0"/>
              <w:adjustRightInd w:val="0"/>
              <w:jc w:val="both"/>
              <w:rPr>
                <w:rFonts w:cstheme="minorHAnsi"/>
                <w:color w:val="000000" w:themeColor="text1"/>
                <w:sz w:val="18"/>
                <w:szCs w:val="18"/>
              </w:rPr>
            </w:pPr>
            <w:r w:rsidRPr="008B2DDA">
              <w:rPr>
                <w:rFonts w:cstheme="minorHAnsi"/>
                <w:color w:val="000000" w:themeColor="text1"/>
                <w:sz w:val="18"/>
                <w:szCs w:val="18"/>
              </w:rPr>
              <w:t>Performance fee (includes VAT)</w:t>
            </w:r>
          </w:p>
        </w:tc>
        <w:tc>
          <w:tcPr>
            <w:tcW w:w="1410" w:type="pct"/>
          </w:tcPr>
          <w:p w14:paraId="78032290" w14:textId="77777777" w:rsidR="00FA18EA" w:rsidRPr="0091098D" w:rsidRDefault="00FA18EA" w:rsidP="00FA18EA">
            <w:pPr>
              <w:autoSpaceDE w:val="0"/>
              <w:autoSpaceDN w:val="0"/>
              <w:adjustRightInd w:val="0"/>
              <w:jc w:val="right"/>
              <w:rPr>
                <w:rFonts w:cstheme="minorHAnsi"/>
                <w:b/>
                <w:bCs/>
                <w:color w:val="000000" w:themeColor="text1"/>
                <w:sz w:val="18"/>
                <w:szCs w:val="18"/>
              </w:rPr>
            </w:pPr>
            <w:r w:rsidRPr="000C5053">
              <w:rPr>
                <w:rFonts w:cstheme="minorHAnsi"/>
                <w:b/>
                <w:bCs/>
                <w:color w:val="000000" w:themeColor="text1"/>
                <w:sz w:val="18"/>
                <w:szCs w:val="18"/>
              </w:rPr>
              <w:t>nil</w:t>
            </w:r>
          </w:p>
        </w:tc>
        <w:tc>
          <w:tcPr>
            <w:tcW w:w="1410" w:type="pct"/>
          </w:tcPr>
          <w:p w14:paraId="2B51F7F5" w14:textId="77777777" w:rsidR="00FA18EA" w:rsidRPr="0075195E" w:rsidRDefault="00FA18EA" w:rsidP="00FA18EA">
            <w:pPr>
              <w:autoSpaceDE w:val="0"/>
              <w:autoSpaceDN w:val="0"/>
              <w:adjustRightInd w:val="0"/>
              <w:jc w:val="right"/>
              <w:rPr>
                <w:rFonts w:cstheme="minorHAnsi"/>
                <w:color w:val="000000" w:themeColor="text1"/>
                <w:sz w:val="18"/>
                <w:szCs w:val="18"/>
              </w:rPr>
            </w:pPr>
            <w:r w:rsidRPr="0075195E">
              <w:rPr>
                <w:rFonts w:cstheme="minorHAnsi"/>
                <w:bCs/>
                <w:color w:val="000000" w:themeColor="text1"/>
                <w:sz w:val="18"/>
                <w:szCs w:val="18"/>
              </w:rPr>
              <w:t>£2.29 million</w:t>
            </w:r>
          </w:p>
        </w:tc>
      </w:tr>
      <w:tr w:rsidR="00FA18EA" w:rsidRPr="007600A7" w14:paraId="717EF315" w14:textId="77777777" w:rsidTr="00FA18EA">
        <w:tc>
          <w:tcPr>
            <w:tcW w:w="2181" w:type="pct"/>
          </w:tcPr>
          <w:p w14:paraId="2567449C" w14:textId="77777777" w:rsidR="00FA18EA" w:rsidRPr="008B2DDA" w:rsidRDefault="00FA18EA" w:rsidP="00FA18EA">
            <w:pPr>
              <w:autoSpaceDE w:val="0"/>
              <w:autoSpaceDN w:val="0"/>
              <w:adjustRightInd w:val="0"/>
              <w:jc w:val="both"/>
              <w:rPr>
                <w:rFonts w:cstheme="minorHAnsi"/>
                <w:color w:val="000000" w:themeColor="text1"/>
                <w:sz w:val="18"/>
                <w:szCs w:val="18"/>
              </w:rPr>
            </w:pPr>
            <w:r w:rsidRPr="008B2DDA">
              <w:rPr>
                <w:rFonts w:cstheme="minorHAnsi"/>
                <w:color w:val="000000" w:themeColor="text1"/>
                <w:sz w:val="18"/>
                <w:szCs w:val="18"/>
              </w:rPr>
              <w:t>Management fee</w:t>
            </w:r>
          </w:p>
        </w:tc>
        <w:tc>
          <w:tcPr>
            <w:tcW w:w="1410" w:type="pct"/>
          </w:tcPr>
          <w:p w14:paraId="05BFE7A0" w14:textId="77777777" w:rsidR="00FA18EA" w:rsidRPr="0091098D" w:rsidRDefault="00FA18EA" w:rsidP="00FA18EA">
            <w:pPr>
              <w:autoSpaceDE w:val="0"/>
              <w:autoSpaceDN w:val="0"/>
              <w:adjustRightInd w:val="0"/>
              <w:jc w:val="right"/>
              <w:rPr>
                <w:rFonts w:cstheme="minorHAnsi"/>
                <w:b/>
                <w:bCs/>
                <w:color w:val="000000" w:themeColor="text1"/>
                <w:sz w:val="18"/>
                <w:szCs w:val="18"/>
              </w:rPr>
            </w:pPr>
            <w:r w:rsidRPr="000C5053">
              <w:rPr>
                <w:rFonts w:cstheme="minorHAnsi"/>
                <w:b/>
                <w:bCs/>
                <w:color w:val="000000" w:themeColor="text1"/>
                <w:sz w:val="18"/>
                <w:szCs w:val="18"/>
              </w:rPr>
              <w:t>nil</w:t>
            </w:r>
          </w:p>
        </w:tc>
        <w:tc>
          <w:tcPr>
            <w:tcW w:w="1410" w:type="pct"/>
          </w:tcPr>
          <w:p w14:paraId="2E258C2A" w14:textId="77777777" w:rsidR="00FA18EA" w:rsidRPr="0075195E" w:rsidRDefault="00FA18EA" w:rsidP="00FA18EA">
            <w:pPr>
              <w:autoSpaceDE w:val="0"/>
              <w:autoSpaceDN w:val="0"/>
              <w:adjustRightInd w:val="0"/>
              <w:jc w:val="right"/>
              <w:rPr>
                <w:rFonts w:cstheme="minorHAnsi"/>
                <w:color w:val="000000" w:themeColor="text1"/>
                <w:sz w:val="18"/>
                <w:szCs w:val="18"/>
              </w:rPr>
            </w:pPr>
            <w:r w:rsidRPr="0075195E">
              <w:rPr>
                <w:rFonts w:cstheme="minorHAnsi"/>
                <w:bCs/>
                <w:color w:val="000000" w:themeColor="text1"/>
                <w:sz w:val="18"/>
                <w:szCs w:val="18"/>
              </w:rPr>
              <w:t>£0.08 million</w:t>
            </w:r>
          </w:p>
        </w:tc>
      </w:tr>
      <w:tr w:rsidR="00FA18EA" w:rsidRPr="007600A7" w14:paraId="00DE5B27" w14:textId="77777777" w:rsidTr="00FA18EA">
        <w:tc>
          <w:tcPr>
            <w:tcW w:w="2181" w:type="pct"/>
          </w:tcPr>
          <w:p w14:paraId="2E4065F0" w14:textId="77777777" w:rsidR="00FA18EA" w:rsidRPr="008B2DDA" w:rsidRDefault="00FA18EA" w:rsidP="00FA18EA">
            <w:pPr>
              <w:autoSpaceDE w:val="0"/>
              <w:autoSpaceDN w:val="0"/>
              <w:adjustRightInd w:val="0"/>
              <w:jc w:val="both"/>
              <w:rPr>
                <w:rFonts w:cstheme="minorHAnsi"/>
                <w:color w:val="000000" w:themeColor="text1"/>
                <w:sz w:val="18"/>
                <w:szCs w:val="18"/>
              </w:rPr>
            </w:pPr>
            <w:r w:rsidRPr="008B2DDA">
              <w:rPr>
                <w:rFonts w:cstheme="minorHAnsi"/>
                <w:color w:val="000000" w:themeColor="text1"/>
                <w:sz w:val="18"/>
                <w:szCs w:val="18"/>
              </w:rPr>
              <w:t>Other miscellaneous</w:t>
            </w:r>
          </w:p>
        </w:tc>
        <w:tc>
          <w:tcPr>
            <w:tcW w:w="1410" w:type="pct"/>
          </w:tcPr>
          <w:p w14:paraId="77938505" w14:textId="77777777" w:rsidR="00FA18EA" w:rsidRPr="0091098D" w:rsidRDefault="00FA18EA" w:rsidP="00FA18EA">
            <w:pPr>
              <w:autoSpaceDE w:val="0"/>
              <w:autoSpaceDN w:val="0"/>
              <w:adjustRightInd w:val="0"/>
              <w:jc w:val="right"/>
              <w:rPr>
                <w:rFonts w:cstheme="minorHAnsi"/>
                <w:b/>
                <w:bCs/>
                <w:color w:val="000000" w:themeColor="text1"/>
                <w:sz w:val="18"/>
                <w:szCs w:val="18"/>
              </w:rPr>
            </w:pPr>
            <w:r w:rsidRPr="000C5053">
              <w:rPr>
                <w:rFonts w:cstheme="minorHAnsi"/>
                <w:b/>
                <w:bCs/>
                <w:color w:val="000000" w:themeColor="text1"/>
                <w:sz w:val="18"/>
                <w:szCs w:val="18"/>
              </w:rPr>
              <w:t>nil</w:t>
            </w:r>
          </w:p>
        </w:tc>
        <w:tc>
          <w:tcPr>
            <w:tcW w:w="1410" w:type="pct"/>
          </w:tcPr>
          <w:p w14:paraId="7163130A" w14:textId="77777777" w:rsidR="00FA18EA" w:rsidRPr="0075195E" w:rsidRDefault="00FA18EA" w:rsidP="00FA18EA">
            <w:pPr>
              <w:autoSpaceDE w:val="0"/>
              <w:autoSpaceDN w:val="0"/>
              <w:adjustRightInd w:val="0"/>
              <w:jc w:val="right"/>
              <w:rPr>
                <w:rFonts w:cstheme="minorHAnsi"/>
                <w:color w:val="000000" w:themeColor="text1"/>
                <w:sz w:val="18"/>
                <w:szCs w:val="18"/>
              </w:rPr>
            </w:pPr>
            <w:r w:rsidRPr="0075195E">
              <w:rPr>
                <w:rFonts w:cstheme="minorHAnsi"/>
                <w:bCs/>
                <w:color w:val="000000" w:themeColor="text1"/>
                <w:sz w:val="18"/>
                <w:szCs w:val="18"/>
              </w:rPr>
              <w:t>£0.01 million</w:t>
            </w:r>
          </w:p>
        </w:tc>
      </w:tr>
      <w:tr w:rsidR="00FA18EA" w:rsidRPr="007600A7" w14:paraId="220A1C36" w14:textId="77777777" w:rsidTr="00FA18EA">
        <w:tc>
          <w:tcPr>
            <w:tcW w:w="2181" w:type="pct"/>
          </w:tcPr>
          <w:p w14:paraId="6D5B85A9" w14:textId="77777777" w:rsidR="00FA18EA" w:rsidRPr="008B2DDA" w:rsidRDefault="00FA18EA" w:rsidP="00FA18EA">
            <w:pPr>
              <w:autoSpaceDE w:val="0"/>
              <w:autoSpaceDN w:val="0"/>
              <w:adjustRightInd w:val="0"/>
              <w:jc w:val="both"/>
              <w:rPr>
                <w:rFonts w:cstheme="minorHAnsi"/>
                <w:color w:val="000000" w:themeColor="text1"/>
                <w:sz w:val="18"/>
                <w:szCs w:val="18"/>
              </w:rPr>
            </w:pPr>
            <w:r w:rsidRPr="008B2DDA">
              <w:rPr>
                <w:rFonts w:cstheme="minorHAnsi"/>
                <w:color w:val="000000" w:themeColor="text1"/>
                <w:sz w:val="18"/>
                <w:szCs w:val="18"/>
              </w:rPr>
              <w:t xml:space="preserve">Total </w:t>
            </w:r>
          </w:p>
        </w:tc>
        <w:tc>
          <w:tcPr>
            <w:tcW w:w="1410" w:type="pct"/>
          </w:tcPr>
          <w:p w14:paraId="6B23A1D3" w14:textId="77777777" w:rsidR="00FA18EA" w:rsidRPr="0091098D" w:rsidRDefault="00FA18EA" w:rsidP="00FA18EA">
            <w:pPr>
              <w:autoSpaceDE w:val="0"/>
              <w:autoSpaceDN w:val="0"/>
              <w:adjustRightInd w:val="0"/>
              <w:jc w:val="right"/>
              <w:rPr>
                <w:rFonts w:cstheme="minorHAnsi"/>
                <w:b/>
                <w:bCs/>
                <w:color w:val="000000" w:themeColor="text1"/>
                <w:sz w:val="18"/>
                <w:szCs w:val="18"/>
              </w:rPr>
            </w:pPr>
            <w:r w:rsidRPr="000C5053">
              <w:rPr>
                <w:rFonts w:cstheme="minorHAnsi"/>
                <w:b/>
                <w:bCs/>
                <w:color w:val="000000" w:themeColor="text1"/>
                <w:sz w:val="18"/>
                <w:szCs w:val="18"/>
              </w:rPr>
              <w:t>nil</w:t>
            </w:r>
          </w:p>
        </w:tc>
        <w:tc>
          <w:tcPr>
            <w:tcW w:w="1410" w:type="pct"/>
          </w:tcPr>
          <w:p w14:paraId="51040394" w14:textId="77777777" w:rsidR="00FA18EA" w:rsidRPr="0075195E" w:rsidRDefault="00FA18EA" w:rsidP="00FA18EA">
            <w:pPr>
              <w:autoSpaceDE w:val="0"/>
              <w:autoSpaceDN w:val="0"/>
              <w:adjustRightInd w:val="0"/>
              <w:jc w:val="right"/>
              <w:rPr>
                <w:rFonts w:cstheme="minorHAnsi"/>
                <w:color w:val="000000" w:themeColor="text1"/>
                <w:sz w:val="18"/>
                <w:szCs w:val="18"/>
              </w:rPr>
            </w:pPr>
            <w:r w:rsidRPr="0075195E">
              <w:rPr>
                <w:rFonts w:cstheme="minorHAnsi"/>
                <w:bCs/>
                <w:color w:val="000000" w:themeColor="text1"/>
                <w:sz w:val="18"/>
                <w:szCs w:val="18"/>
              </w:rPr>
              <w:t>£2.38 million</w:t>
            </w:r>
          </w:p>
        </w:tc>
      </w:tr>
    </w:tbl>
    <w:p w14:paraId="78E8F61E" w14:textId="77777777" w:rsidR="00FA18EA" w:rsidRPr="008B2DDA" w:rsidRDefault="00FA18EA" w:rsidP="00FA18EA">
      <w:pPr>
        <w:autoSpaceDE w:val="0"/>
        <w:autoSpaceDN w:val="0"/>
        <w:adjustRightInd w:val="0"/>
        <w:jc w:val="both"/>
        <w:rPr>
          <w:rFonts w:cstheme="minorHAnsi"/>
          <w:color w:val="000000"/>
          <w:sz w:val="18"/>
          <w:szCs w:val="18"/>
        </w:rPr>
      </w:pPr>
    </w:p>
    <w:p w14:paraId="1C36C713" w14:textId="77777777" w:rsidR="00FA18EA" w:rsidRPr="000C5053" w:rsidRDefault="00FA18EA" w:rsidP="00FA18EA">
      <w:pPr>
        <w:autoSpaceDE w:val="0"/>
        <w:autoSpaceDN w:val="0"/>
        <w:adjustRightInd w:val="0"/>
        <w:jc w:val="both"/>
        <w:rPr>
          <w:rFonts w:cstheme="minorHAnsi"/>
          <w:color w:val="000000"/>
          <w:sz w:val="18"/>
          <w:szCs w:val="18"/>
        </w:rPr>
      </w:pPr>
    </w:p>
    <w:p w14:paraId="7C7FE636" w14:textId="55EBAFFB" w:rsidR="00FA18EA" w:rsidRPr="0075195E" w:rsidRDefault="00FA18EA" w:rsidP="00FA18EA">
      <w:pPr>
        <w:autoSpaceDE w:val="0"/>
        <w:autoSpaceDN w:val="0"/>
        <w:adjustRightInd w:val="0"/>
        <w:jc w:val="both"/>
        <w:rPr>
          <w:rFonts w:cstheme="minorHAnsi"/>
          <w:b/>
          <w:color w:val="000000"/>
          <w:sz w:val="28"/>
        </w:rPr>
      </w:pPr>
      <w:r w:rsidRPr="0091098D">
        <w:rPr>
          <w:rFonts w:cstheme="minorHAnsi"/>
          <w:color w:val="000000"/>
          <w:sz w:val="18"/>
          <w:szCs w:val="18"/>
        </w:rPr>
        <w:t xml:space="preserve">The company terminated the Investment Management Agreement with </w:t>
      </w:r>
      <w:r w:rsidRPr="0091098D">
        <w:rPr>
          <w:rFonts w:cstheme="minorHAnsi"/>
          <w:color w:val="000000" w:themeColor="text1"/>
          <w:sz w:val="18"/>
          <w:szCs w:val="18"/>
        </w:rPr>
        <w:t>Gresham House Asset Management Ltd</w:t>
      </w:r>
      <w:r w:rsidRPr="0075195E">
        <w:rPr>
          <w:rFonts w:cstheme="minorHAnsi"/>
          <w:color w:val="000000"/>
          <w:sz w:val="18"/>
          <w:szCs w:val="18"/>
        </w:rPr>
        <w:t xml:space="preserve"> (GHAM) on 11 October 2021. As a result of termination of this agreement by the Board, no performance fee is payable (31 March 2021: </w:t>
      </w:r>
      <w:r w:rsidRPr="0075195E">
        <w:rPr>
          <w:rFonts w:cstheme="minorHAnsi"/>
          <w:bCs/>
          <w:color w:val="000000" w:themeColor="text1"/>
          <w:sz w:val="18"/>
          <w:szCs w:val="18"/>
        </w:rPr>
        <w:t>£</w:t>
      </w:r>
      <w:r w:rsidRPr="0075195E">
        <w:rPr>
          <w:rFonts w:cstheme="minorHAnsi"/>
          <w:color w:val="000000"/>
          <w:sz w:val="18"/>
          <w:szCs w:val="18"/>
        </w:rPr>
        <w:t>2,294k)</w:t>
      </w:r>
      <w:r w:rsidRPr="0075195E">
        <w:rPr>
          <w:rFonts w:cstheme="minorHAnsi"/>
          <w:b/>
          <w:color w:val="000000"/>
          <w:sz w:val="18"/>
          <w:szCs w:val="18"/>
        </w:rPr>
        <w:t>.</w:t>
      </w:r>
    </w:p>
    <w:p w14:paraId="51AF9C4E" w14:textId="77777777" w:rsidR="00FA18EA" w:rsidRPr="00536A35" w:rsidRDefault="00FA18EA" w:rsidP="00FA18EA">
      <w:pPr>
        <w:jc w:val="both"/>
        <w:rPr>
          <w:rFonts w:cstheme="minorHAnsi"/>
          <w:b/>
          <w:color w:val="000000"/>
          <w:sz w:val="28"/>
        </w:rPr>
      </w:pPr>
    </w:p>
    <w:p w14:paraId="590C2B62" w14:textId="09A99D68" w:rsidR="00FA18EA" w:rsidRPr="00A02B31" w:rsidRDefault="00FA18EA" w:rsidP="00FA18EA">
      <w:pPr>
        <w:jc w:val="both"/>
        <w:rPr>
          <w:rFonts w:cstheme="minorHAnsi"/>
          <w:sz w:val="18"/>
          <w:szCs w:val="18"/>
        </w:rPr>
      </w:pPr>
      <w:r w:rsidRPr="00A02B31">
        <w:rPr>
          <w:rFonts w:cstheme="minorHAnsi"/>
          <w:sz w:val="18"/>
          <w:szCs w:val="18"/>
        </w:rPr>
        <w:t xml:space="preserve">Harwood Capital LLP, as investment manager, </w:t>
      </w:r>
      <w:r w:rsidR="00456B92" w:rsidRPr="00A02B31">
        <w:rPr>
          <w:rFonts w:cstheme="minorHAnsi"/>
          <w:sz w:val="18"/>
          <w:szCs w:val="18"/>
        </w:rPr>
        <w:t xml:space="preserve">waived </w:t>
      </w:r>
      <w:r w:rsidR="007600A7" w:rsidRPr="00A02B31">
        <w:rPr>
          <w:rFonts w:cstheme="minorHAnsi"/>
          <w:sz w:val="18"/>
          <w:szCs w:val="18"/>
        </w:rPr>
        <w:t>it</w:t>
      </w:r>
      <w:r w:rsidR="00DC12F1" w:rsidRPr="00A02B31">
        <w:rPr>
          <w:rFonts w:cstheme="minorHAnsi"/>
          <w:sz w:val="18"/>
          <w:szCs w:val="18"/>
        </w:rPr>
        <w:t>s</w:t>
      </w:r>
      <w:r w:rsidR="00456B92" w:rsidRPr="00A02B31">
        <w:rPr>
          <w:rFonts w:cstheme="minorHAnsi"/>
          <w:sz w:val="18"/>
          <w:szCs w:val="18"/>
        </w:rPr>
        <w:t xml:space="preserve"> entitle</w:t>
      </w:r>
      <w:r w:rsidR="00052748" w:rsidRPr="00A02B31">
        <w:rPr>
          <w:rFonts w:cstheme="minorHAnsi"/>
          <w:sz w:val="18"/>
          <w:szCs w:val="18"/>
        </w:rPr>
        <w:t>ment</w:t>
      </w:r>
      <w:r w:rsidR="00456B92" w:rsidRPr="00A02B31">
        <w:rPr>
          <w:rFonts w:cstheme="minorHAnsi"/>
          <w:sz w:val="18"/>
          <w:szCs w:val="18"/>
        </w:rPr>
        <w:t xml:space="preserve"> to both management and performance fees, amounting to £127k (ex. VAT) for the period from their appoint</w:t>
      </w:r>
      <w:r w:rsidR="00DC12F1" w:rsidRPr="00A02B31">
        <w:rPr>
          <w:rFonts w:cstheme="minorHAnsi"/>
          <w:sz w:val="18"/>
          <w:szCs w:val="18"/>
        </w:rPr>
        <w:t>ment</w:t>
      </w:r>
      <w:r w:rsidR="00456B92" w:rsidRPr="00A02B31">
        <w:rPr>
          <w:rFonts w:cstheme="minorHAnsi"/>
          <w:sz w:val="18"/>
          <w:szCs w:val="18"/>
        </w:rPr>
        <w:t xml:space="preserve"> as Investment Management from 11th October 2021 to 15</w:t>
      </w:r>
      <w:r w:rsidR="007600A7" w:rsidRPr="00A02B31">
        <w:rPr>
          <w:rFonts w:cstheme="minorHAnsi"/>
          <w:sz w:val="18"/>
          <w:szCs w:val="18"/>
        </w:rPr>
        <w:t>th</w:t>
      </w:r>
      <w:r w:rsidR="00456B92" w:rsidRPr="00A02B31">
        <w:rPr>
          <w:rFonts w:cstheme="minorHAnsi"/>
          <w:sz w:val="18"/>
          <w:szCs w:val="18"/>
        </w:rPr>
        <w:t xml:space="preserve"> December 2021 when a wind down resolution passed enacting an amended deed. No fees were payable to the Investment Manager from this date until the investment policy resolution was passed post year end enacting an amended deed.</w:t>
      </w:r>
    </w:p>
    <w:p w14:paraId="42E940A4" w14:textId="77777777" w:rsidR="00FA18EA" w:rsidRPr="00A02B31" w:rsidRDefault="00FA18EA" w:rsidP="00FA18EA">
      <w:pPr>
        <w:autoSpaceDE w:val="0"/>
        <w:autoSpaceDN w:val="0"/>
        <w:adjustRightInd w:val="0"/>
        <w:jc w:val="both"/>
        <w:rPr>
          <w:rFonts w:cstheme="minorHAnsi"/>
          <w:sz w:val="18"/>
          <w:szCs w:val="18"/>
        </w:rPr>
      </w:pPr>
    </w:p>
    <w:p w14:paraId="0961BEF4" w14:textId="15FC37A1" w:rsidR="00FA18EA" w:rsidRPr="00A02B31" w:rsidRDefault="00FA18EA" w:rsidP="00FA18EA">
      <w:pPr>
        <w:autoSpaceDE w:val="0"/>
        <w:autoSpaceDN w:val="0"/>
        <w:adjustRightInd w:val="0"/>
        <w:jc w:val="both"/>
        <w:rPr>
          <w:rFonts w:cstheme="minorHAnsi"/>
          <w:sz w:val="18"/>
          <w:szCs w:val="18"/>
        </w:rPr>
      </w:pPr>
      <w:r w:rsidRPr="00A02B31">
        <w:rPr>
          <w:rFonts w:cstheme="minorHAnsi"/>
          <w:sz w:val="18"/>
          <w:szCs w:val="18"/>
        </w:rPr>
        <w:t xml:space="preserve">As at 31 March 2022, the following shareholders of the Company that are related to </w:t>
      </w:r>
      <w:r w:rsidR="00A4427A" w:rsidRPr="00A02B31">
        <w:rPr>
          <w:rFonts w:cstheme="minorHAnsi"/>
          <w:sz w:val="18"/>
          <w:szCs w:val="18"/>
        </w:rPr>
        <w:t xml:space="preserve">Harwood and </w:t>
      </w:r>
      <w:r w:rsidRPr="00A02B31">
        <w:rPr>
          <w:rFonts w:cstheme="minorHAnsi"/>
          <w:sz w:val="18"/>
          <w:szCs w:val="18"/>
        </w:rPr>
        <w:t>GHAM had the following interests in the issued shares of the Company as follows:</w:t>
      </w:r>
    </w:p>
    <w:p w14:paraId="05E75549" w14:textId="77777777" w:rsidR="00FA18EA" w:rsidRPr="00A02B31" w:rsidRDefault="00FA18EA" w:rsidP="00FA18EA">
      <w:pPr>
        <w:tabs>
          <w:tab w:val="left" w:pos="3500"/>
        </w:tabs>
        <w:autoSpaceDE w:val="0"/>
        <w:autoSpaceDN w:val="0"/>
        <w:adjustRightInd w:val="0"/>
        <w:jc w:val="both"/>
        <w:rPr>
          <w:rFonts w:cstheme="minorHAnsi"/>
          <w:sz w:val="18"/>
          <w:szCs w:val="18"/>
        </w:rPr>
      </w:pPr>
      <w:r w:rsidRPr="00A02B31">
        <w:rPr>
          <w:rFonts w:cstheme="minorHAnsi"/>
          <w:sz w:val="18"/>
          <w:szCs w:val="18"/>
        </w:rPr>
        <w:tab/>
      </w: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2"/>
        <w:gridCol w:w="3304"/>
        <w:gridCol w:w="3302"/>
      </w:tblGrid>
      <w:tr w:rsidR="00FA18EA" w:rsidRPr="007600A7" w14:paraId="7F573D2B" w14:textId="77777777" w:rsidTr="00FA18EA">
        <w:trPr>
          <w:trHeight w:val="90"/>
        </w:trPr>
        <w:tc>
          <w:tcPr>
            <w:tcW w:w="1793" w:type="pct"/>
          </w:tcPr>
          <w:p w14:paraId="16BF7F4E" w14:textId="77777777" w:rsidR="00FA18EA" w:rsidRPr="00A02B31" w:rsidRDefault="00FA18EA" w:rsidP="00FA18EA">
            <w:pPr>
              <w:autoSpaceDE w:val="0"/>
              <w:autoSpaceDN w:val="0"/>
              <w:adjustRightInd w:val="0"/>
              <w:jc w:val="both"/>
              <w:rPr>
                <w:rFonts w:cstheme="minorHAnsi"/>
                <w:color w:val="000000" w:themeColor="text1"/>
                <w:sz w:val="18"/>
                <w:szCs w:val="18"/>
              </w:rPr>
            </w:pPr>
          </w:p>
        </w:tc>
        <w:tc>
          <w:tcPr>
            <w:tcW w:w="1604" w:type="pct"/>
          </w:tcPr>
          <w:p w14:paraId="4B838623" w14:textId="77777777" w:rsidR="00FA18EA" w:rsidRPr="00A02B31" w:rsidRDefault="00FA18EA" w:rsidP="00FA18EA">
            <w:pPr>
              <w:autoSpaceDE w:val="0"/>
              <w:autoSpaceDN w:val="0"/>
              <w:adjustRightInd w:val="0"/>
              <w:jc w:val="right"/>
              <w:rPr>
                <w:rFonts w:cstheme="minorHAnsi"/>
                <w:color w:val="000000" w:themeColor="text1"/>
                <w:sz w:val="18"/>
                <w:szCs w:val="18"/>
              </w:rPr>
            </w:pPr>
            <w:r w:rsidRPr="00A02B31">
              <w:rPr>
                <w:rFonts w:cstheme="minorHAnsi"/>
                <w:color w:val="000000" w:themeColor="text1"/>
                <w:sz w:val="18"/>
                <w:szCs w:val="18"/>
              </w:rPr>
              <w:t>As at 31 March 2022</w:t>
            </w:r>
          </w:p>
        </w:tc>
        <w:tc>
          <w:tcPr>
            <w:tcW w:w="1603" w:type="pct"/>
          </w:tcPr>
          <w:p w14:paraId="0FBDCC67" w14:textId="77777777" w:rsidR="00FA18EA" w:rsidRPr="00A02B31" w:rsidRDefault="00FA18EA" w:rsidP="00FA18EA">
            <w:pPr>
              <w:autoSpaceDE w:val="0"/>
              <w:autoSpaceDN w:val="0"/>
              <w:adjustRightInd w:val="0"/>
              <w:jc w:val="right"/>
              <w:rPr>
                <w:rFonts w:cstheme="minorHAnsi"/>
                <w:color w:val="000000" w:themeColor="text1"/>
                <w:sz w:val="18"/>
                <w:szCs w:val="18"/>
              </w:rPr>
            </w:pPr>
            <w:r w:rsidRPr="00A02B31">
              <w:rPr>
                <w:rFonts w:cstheme="minorHAnsi"/>
                <w:color w:val="000000" w:themeColor="text1"/>
                <w:sz w:val="18"/>
                <w:szCs w:val="18"/>
              </w:rPr>
              <w:t>As at 31 March 2021</w:t>
            </w:r>
          </w:p>
        </w:tc>
      </w:tr>
      <w:tr w:rsidR="00FA18EA" w:rsidRPr="007600A7" w14:paraId="4DCFDB0F" w14:textId="77777777" w:rsidTr="00FA18EA">
        <w:trPr>
          <w:trHeight w:val="90"/>
        </w:trPr>
        <w:tc>
          <w:tcPr>
            <w:tcW w:w="1793" w:type="pct"/>
          </w:tcPr>
          <w:p w14:paraId="50D28BD6" w14:textId="77777777" w:rsidR="00FA18EA" w:rsidRPr="008B2DDA" w:rsidRDefault="00FA18EA" w:rsidP="00FA18EA">
            <w:pPr>
              <w:autoSpaceDE w:val="0"/>
              <w:autoSpaceDN w:val="0"/>
              <w:adjustRightInd w:val="0"/>
              <w:jc w:val="both"/>
              <w:rPr>
                <w:rFonts w:cstheme="minorHAnsi"/>
                <w:color w:val="000000" w:themeColor="text1"/>
                <w:sz w:val="18"/>
                <w:szCs w:val="18"/>
              </w:rPr>
            </w:pPr>
            <w:r w:rsidRPr="008B2DDA">
              <w:rPr>
                <w:rFonts w:cstheme="minorHAnsi"/>
                <w:color w:val="000000" w:themeColor="text1"/>
                <w:sz w:val="18"/>
                <w:szCs w:val="18"/>
              </w:rPr>
              <w:t xml:space="preserve">A L Dalwood </w:t>
            </w:r>
          </w:p>
        </w:tc>
        <w:tc>
          <w:tcPr>
            <w:tcW w:w="1604" w:type="pct"/>
          </w:tcPr>
          <w:p w14:paraId="384B7C44" w14:textId="77777777" w:rsidR="00FA18EA" w:rsidRPr="0091098D" w:rsidRDefault="00FA18EA" w:rsidP="00FA18EA">
            <w:pPr>
              <w:autoSpaceDE w:val="0"/>
              <w:autoSpaceDN w:val="0"/>
              <w:adjustRightInd w:val="0"/>
              <w:jc w:val="right"/>
              <w:rPr>
                <w:rFonts w:cstheme="minorHAnsi"/>
                <w:color w:val="000000" w:themeColor="text1"/>
                <w:sz w:val="18"/>
                <w:szCs w:val="18"/>
              </w:rPr>
            </w:pPr>
            <w:r w:rsidRPr="000C5053">
              <w:rPr>
                <w:rFonts w:cstheme="minorHAnsi"/>
                <w:color w:val="000000" w:themeColor="text1"/>
                <w:sz w:val="18"/>
                <w:szCs w:val="18"/>
              </w:rPr>
              <w:t xml:space="preserve">21,947 Ordinary Shares </w:t>
            </w:r>
          </w:p>
        </w:tc>
        <w:tc>
          <w:tcPr>
            <w:tcW w:w="1603" w:type="pct"/>
          </w:tcPr>
          <w:p w14:paraId="42EB0948" w14:textId="77777777" w:rsidR="00FA18EA" w:rsidRPr="0075195E" w:rsidRDefault="00FA18EA" w:rsidP="00FA18EA">
            <w:pPr>
              <w:autoSpaceDE w:val="0"/>
              <w:autoSpaceDN w:val="0"/>
              <w:adjustRightInd w:val="0"/>
              <w:jc w:val="right"/>
              <w:rPr>
                <w:rFonts w:cstheme="minorHAnsi"/>
                <w:color w:val="000000" w:themeColor="text1"/>
                <w:sz w:val="18"/>
                <w:szCs w:val="18"/>
              </w:rPr>
            </w:pPr>
            <w:r w:rsidRPr="0075195E">
              <w:rPr>
                <w:rFonts w:cstheme="minorHAnsi"/>
                <w:color w:val="000000" w:themeColor="text1"/>
                <w:sz w:val="18"/>
                <w:szCs w:val="18"/>
              </w:rPr>
              <w:t xml:space="preserve">31,183 Ordinary Shares </w:t>
            </w:r>
          </w:p>
        </w:tc>
      </w:tr>
      <w:tr w:rsidR="00FA18EA" w:rsidRPr="007600A7" w14:paraId="0453A541" w14:textId="77777777" w:rsidTr="00FA18EA">
        <w:trPr>
          <w:trHeight w:val="90"/>
        </w:trPr>
        <w:tc>
          <w:tcPr>
            <w:tcW w:w="1793" w:type="pct"/>
          </w:tcPr>
          <w:p w14:paraId="3A13A85D" w14:textId="77777777" w:rsidR="00FA18EA" w:rsidRPr="008B2DDA" w:rsidRDefault="00FA18EA" w:rsidP="00FA18EA">
            <w:pPr>
              <w:autoSpaceDE w:val="0"/>
              <w:autoSpaceDN w:val="0"/>
              <w:adjustRightInd w:val="0"/>
              <w:jc w:val="both"/>
              <w:rPr>
                <w:rFonts w:cstheme="minorHAnsi"/>
                <w:color w:val="000000" w:themeColor="text1"/>
                <w:sz w:val="18"/>
                <w:szCs w:val="18"/>
              </w:rPr>
            </w:pPr>
            <w:r w:rsidRPr="008B2DDA">
              <w:rPr>
                <w:rFonts w:cstheme="minorHAnsi"/>
                <w:color w:val="000000" w:themeColor="text1"/>
                <w:sz w:val="18"/>
                <w:szCs w:val="18"/>
              </w:rPr>
              <w:t xml:space="preserve">G Bird </w:t>
            </w:r>
          </w:p>
        </w:tc>
        <w:tc>
          <w:tcPr>
            <w:tcW w:w="1604" w:type="pct"/>
          </w:tcPr>
          <w:p w14:paraId="1F2ED06D" w14:textId="77777777" w:rsidR="00FA18EA" w:rsidRPr="0091098D" w:rsidRDefault="00FA18EA" w:rsidP="00FA18EA">
            <w:pPr>
              <w:autoSpaceDE w:val="0"/>
              <w:autoSpaceDN w:val="0"/>
              <w:adjustRightInd w:val="0"/>
              <w:jc w:val="right"/>
              <w:rPr>
                <w:rFonts w:cstheme="minorHAnsi"/>
                <w:color w:val="000000" w:themeColor="text1"/>
                <w:sz w:val="18"/>
                <w:szCs w:val="18"/>
              </w:rPr>
            </w:pPr>
            <w:r w:rsidRPr="000C5053">
              <w:rPr>
                <w:rFonts w:cstheme="minorHAnsi"/>
                <w:color w:val="000000" w:themeColor="text1"/>
                <w:sz w:val="18"/>
                <w:szCs w:val="18"/>
              </w:rPr>
              <w:t xml:space="preserve">17,462 Ordinary Shares </w:t>
            </w:r>
          </w:p>
        </w:tc>
        <w:tc>
          <w:tcPr>
            <w:tcW w:w="1603" w:type="pct"/>
          </w:tcPr>
          <w:p w14:paraId="61FEBADD" w14:textId="77777777" w:rsidR="00FA18EA" w:rsidRPr="0075195E" w:rsidRDefault="00FA18EA" w:rsidP="00FA18EA">
            <w:pPr>
              <w:autoSpaceDE w:val="0"/>
              <w:autoSpaceDN w:val="0"/>
              <w:adjustRightInd w:val="0"/>
              <w:jc w:val="right"/>
              <w:rPr>
                <w:rFonts w:cstheme="minorHAnsi"/>
                <w:color w:val="000000" w:themeColor="text1"/>
                <w:sz w:val="18"/>
                <w:szCs w:val="18"/>
              </w:rPr>
            </w:pPr>
            <w:r w:rsidRPr="0075195E">
              <w:rPr>
                <w:rFonts w:cstheme="minorHAnsi"/>
                <w:color w:val="000000" w:themeColor="text1"/>
                <w:sz w:val="18"/>
                <w:szCs w:val="18"/>
              </w:rPr>
              <w:t xml:space="preserve">22,651 Ordinary Shares </w:t>
            </w:r>
          </w:p>
        </w:tc>
      </w:tr>
      <w:tr w:rsidR="00FA18EA" w:rsidRPr="007600A7" w14:paraId="788B7E65" w14:textId="77777777" w:rsidTr="00FA18EA">
        <w:trPr>
          <w:trHeight w:val="90"/>
        </w:trPr>
        <w:tc>
          <w:tcPr>
            <w:tcW w:w="1793" w:type="pct"/>
          </w:tcPr>
          <w:p w14:paraId="17F7507C" w14:textId="77777777" w:rsidR="00FA18EA" w:rsidRPr="008B2DDA" w:rsidRDefault="00FA18EA" w:rsidP="00FA18EA">
            <w:pPr>
              <w:autoSpaceDE w:val="0"/>
              <w:autoSpaceDN w:val="0"/>
              <w:adjustRightInd w:val="0"/>
              <w:jc w:val="both"/>
              <w:rPr>
                <w:rFonts w:cstheme="minorHAnsi"/>
                <w:color w:val="000000" w:themeColor="text1"/>
                <w:sz w:val="18"/>
                <w:szCs w:val="18"/>
              </w:rPr>
            </w:pPr>
            <w:r w:rsidRPr="008B2DDA">
              <w:rPr>
                <w:rFonts w:cstheme="minorHAnsi"/>
                <w:color w:val="000000" w:themeColor="text1"/>
                <w:sz w:val="18"/>
                <w:szCs w:val="18"/>
              </w:rPr>
              <w:t xml:space="preserve">Gresham House Holdings Ltd </w:t>
            </w:r>
          </w:p>
        </w:tc>
        <w:tc>
          <w:tcPr>
            <w:tcW w:w="1604" w:type="pct"/>
          </w:tcPr>
          <w:p w14:paraId="05D75C6C" w14:textId="77777777" w:rsidR="00FA18EA" w:rsidRPr="0091098D" w:rsidRDefault="00FA18EA" w:rsidP="00FA18EA">
            <w:pPr>
              <w:autoSpaceDE w:val="0"/>
              <w:autoSpaceDN w:val="0"/>
              <w:adjustRightInd w:val="0"/>
              <w:jc w:val="right"/>
              <w:rPr>
                <w:rFonts w:cstheme="minorHAnsi"/>
                <w:color w:val="000000" w:themeColor="text1"/>
                <w:sz w:val="18"/>
                <w:szCs w:val="18"/>
              </w:rPr>
            </w:pPr>
            <w:r w:rsidRPr="000C5053">
              <w:rPr>
                <w:rFonts w:cstheme="minorHAnsi"/>
                <w:color w:val="000000" w:themeColor="text1"/>
                <w:sz w:val="18"/>
                <w:szCs w:val="18"/>
              </w:rPr>
              <w:t xml:space="preserve">nil </w:t>
            </w:r>
          </w:p>
        </w:tc>
        <w:tc>
          <w:tcPr>
            <w:tcW w:w="1603" w:type="pct"/>
          </w:tcPr>
          <w:p w14:paraId="320157A1" w14:textId="77777777" w:rsidR="00FA18EA" w:rsidRPr="0075195E" w:rsidRDefault="00FA18EA" w:rsidP="00FA18EA">
            <w:pPr>
              <w:autoSpaceDE w:val="0"/>
              <w:autoSpaceDN w:val="0"/>
              <w:adjustRightInd w:val="0"/>
              <w:jc w:val="right"/>
              <w:rPr>
                <w:rFonts w:cstheme="minorHAnsi"/>
                <w:color w:val="000000" w:themeColor="text1"/>
                <w:sz w:val="18"/>
                <w:szCs w:val="18"/>
              </w:rPr>
            </w:pPr>
            <w:r w:rsidRPr="0075195E">
              <w:rPr>
                <w:rFonts w:cstheme="minorHAnsi"/>
                <w:color w:val="000000" w:themeColor="text1"/>
                <w:sz w:val="18"/>
                <w:szCs w:val="18"/>
              </w:rPr>
              <w:t xml:space="preserve">812,913 Ordinary Shares </w:t>
            </w:r>
          </w:p>
        </w:tc>
      </w:tr>
      <w:tr w:rsidR="00FA18EA" w:rsidRPr="007600A7" w14:paraId="7B9C955C" w14:textId="77777777" w:rsidTr="00FA18EA">
        <w:trPr>
          <w:trHeight w:val="90"/>
        </w:trPr>
        <w:tc>
          <w:tcPr>
            <w:tcW w:w="1793" w:type="pct"/>
          </w:tcPr>
          <w:p w14:paraId="1A7CF0C4" w14:textId="77777777" w:rsidR="00FA18EA" w:rsidRPr="008B2DDA" w:rsidRDefault="00FA18EA" w:rsidP="00FA18EA">
            <w:pPr>
              <w:autoSpaceDE w:val="0"/>
              <w:autoSpaceDN w:val="0"/>
              <w:adjustRightInd w:val="0"/>
              <w:jc w:val="both"/>
              <w:rPr>
                <w:rFonts w:cstheme="minorHAnsi"/>
                <w:color w:val="000000" w:themeColor="text1"/>
                <w:sz w:val="18"/>
                <w:szCs w:val="18"/>
              </w:rPr>
            </w:pPr>
            <w:r w:rsidRPr="008B2DDA">
              <w:rPr>
                <w:rFonts w:cstheme="minorHAnsi"/>
                <w:color w:val="000000" w:themeColor="text1"/>
                <w:sz w:val="18"/>
                <w:szCs w:val="18"/>
              </w:rPr>
              <w:t>Harwood Holdco Limited</w:t>
            </w:r>
          </w:p>
        </w:tc>
        <w:tc>
          <w:tcPr>
            <w:tcW w:w="1604" w:type="pct"/>
          </w:tcPr>
          <w:p w14:paraId="462D3D49" w14:textId="77777777" w:rsidR="00FA18EA" w:rsidRPr="0091098D" w:rsidRDefault="00FA18EA" w:rsidP="00FA18EA">
            <w:pPr>
              <w:autoSpaceDE w:val="0"/>
              <w:autoSpaceDN w:val="0"/>
              <w:adjustRightInd w:val="0"/>
              <w:jc w:val="right"/>
              <w:rPr>
                <w:rFonts w:cstheme="minorHAnsi"/>
                <w:color w:val="000000" w:themeColor="text1"/>
                <w:sz w:val="18"/>
                <w:szCs w:val="18"/>
              </w:rPr>
            </w:pPr>
            <w:r w:rsidRPr="000C5053">
              <w:rPr>
                <w:rFonts w:cstheme="minorHAnsi"/>
                <w:color w:val="000000" w:themeColor="text1"/>
                <w:sz w:val="18"/>
                <w:szCs w:val="18"/>
              </w:rPr>
              <w:t>734,000 Ordinary Shares</w:t>
            </w:r>
          </w:p>
        </w:tc>
        <w:tc>
          <w:tcPr>
            <w:tcW w:w="1603" w:type="pct"/>
          </w:tcPr>
          <w:p w14:paraId="5094E832" w14:textId="77777777" w:rsidR="00FA18EA" w:rsidRPr="0075195E" w:rsidRDefault="00FA18EA" w:rsidP="00FA18EA">
            <w:pPr>
              <w:autoSpaceDE w:val="0"/>
              <w:autoSpaceDN w:val="0"/>
              <w:adjustRightInd w:val="0"/>
              <w:jc w:val="right"/>
              <w:rPr>
                <w:rFonts w:cstheme="minorHAnsi"/>
                <w:color w:val="000000" w:themeColor="text1"/>
                <w:sz w:val="18"/>
                <w:szCs w:val="18"/>
              </w:rPr>
            </w:pPr>
            <w:r w:rsidRPr="0075195E">
              <w:rPr>
                <w:rFonts w:cstheme="minorHAnsi"/>
                <w:color w:val="000000" w:themeColor="text1"/>
                <w:sz w:val="18"/>
                <w:szCs w:val="18"/>
              </w:rPr>
              <w:t>nil</w:t>
            </w:r>
          </w:p>
        </w:tc>
      </w:tr>
      <w:tr w:rsidR="00FA18EA" w:rsidRPr="007600A7" w14:paraId="7AFBE01D" w14:textId="77777777" w:rsidTr="00FA18EA">
        <w:trPr>
          <w:trHeight w:val="90"/>
        </w:trPr>
        <w:tc>
          <w:tcPr>
            <w:tcW w:w="1793" w:type="pct"/>
          </w:tcPr>
          <w:p w14:paraId="411AEA66" w14:textId="77777777" w:rsidR="00FA18EA" w:rsidRPr="008B2DDA" w:rsidRDefault="00FA18EA" w:rsidP="00FA18EA">
            <w:pPr>
              <w:autoSpaceDE w:val="0"/>
              <w:autoSpaceDN w:val="0"/>
              <w:adjustRightInd w:val="0"/>
              <w:jc w:val="both"/>
              <w:rPr>
                <w:rFonts w:cstheme="minorHAnsi"/>
                <w:color w:val="000000" w:themeColor="text1"/>
                <w:sz w:val="18"/>
                <w:szCs w:val="18"/>
              </w:rPr>
            </w:pPr>
            <w:r w:rsidRPr="008B2DDA">
              <w:rPr>
                <w:rFonts w:cstheme="minorHAnsi"/>
                <w:color w:val="000000" w:themeColor="text1"/>
                <w:sz w:val="18"/>
                <w:szCs w:val="18"/>
              </w:rPr>
              <w:t xml:space="preserve">R Staveley </w:t>
            </w:r>
          </w:p>
        </w:tc>
        <w:tc>
          <w:tcPr>
            <w:tcW w:w="1604" w:type="pct"/>
          </w:tcPr>
          <w:p w14:paraId="409F2E2F" w14:textId="4B085C26" w:rsidR="00FA18EA" w:rsidRPr="007600A7" w:rsidRDefault="00AE56EA" w:rsidP="00FA18EA">
            <w:pPr>
              <w:autoSpaceDE w:val="0"/>
              <w:autoSpaceDN w:val="0"/>
              <w:adjustRightInd w:val="0"/>
              <w:jc w:val="right"/>
              <w:rPr>
                <w:rFonts w:cstheme="minorHAnsi"/>
                <w:color w:val="000000" w:themeColor="text1"/>
                <w:sz w:val="18"/>
                <w:szCs w:val="18"/>
              </w:rPr>
            </w:pPr>
            <w:r w:rsidRPr="008B2DDA">
              <w:rPr>
                <w:rFonts w:cstheme="minorHAnsi"/>
                <w:color w:val="000000" w:themeColor="text1"/>
                <w:sz w:val="18"/>
                <w:szCs w:val="18"/>
              </w:rPr>
              <w:t>25,689</w:t>
            </w:r>
            <w:r w:rsidR="00FA18EA" w:rsidRPr="008B2DDA">
              <w:rPr>
                <w:rFonts w:cstheme="minorHAnsi"/>
                <w:color w:val="000000" w:themeColor="text1"/>
                <w:sz w:val="18"/>
                <w:szCs w:val="18"/>
              </w:rPr>
              <w:t xml:space="preserve"> Ordinary Shares </w:t>
            </w:r>
          </w:p>
        </w:tc>
        <w:tc>
          <w:tcPr>
            <w:tcW w:w="1603" w:type="pct"/>
          </w:tcPr>
          <w:p w14:paraId="35BBA6D4" w14:textId="77777777" w:rsidR="00FA18EA" w:rsidRPr="000C1F6F" w:rsidRDefault="00FA18EA" w:rsidP="00FA18EA">
            <w:pPr>
              <w:autoSpaceDE w:val="0"/>
              <w:autoSpaceDN w:val="0"/>
              <w:adjustRightInd w:val="0"/>
              <w:jc w:val="right"/>
              <w:rPr>
                <w:rFonts w:cstheme="minorHAnsi"/>
                <w:color w:val="000000" w:themeColor="text1"/>
                <w:sz w:val="18"/>
                <w:szCs w:val="18"/>
              </w:rPr>
            </w:pPr>
            <w:r w:rsidRPr="000C1F6F">
              <w:rPr>
                <w:rFonts w:cstheme="minorHAnsi"/>
                <w:color w:val="000000" w:themeColor="text1"/>
                <w:sz w:val="18"/>
                <w:szCs w:val="18"/>
              </w:rPr>
              <w:t xml:space="preserve">7,689 Ordinary Shares </w:t>
            </w:r>
          </w:p>
        </w:tc>
      </w:tr>
    </w:tbl>
    <w:p w14:paraId="2BD1B538" w14:textId="77777777" w:rsidR="00FA18EA" w:rsidRPr="008B2DDA" w:rsidRDefault="00FA18EA" w:rsidP="00FA18EA">
      <w:pPr>
        <w:autoSpaceDE w:val="0"/>
        <w:autoSpaceDN w:val="0"/>
        <w:adjustRightInd w:val="0"/>
        <w:jc w:val="both"/>
        <w:rPr>
          <w:rFonts w:cstheme="minorHAnsi"/>
          <w:color w:val="000000" w:themeColor="text1"/>
          <w:sz w:val="18"/>
          <w:szCs w:val="18"/>
          <w:highlight w:val="yellow"/>
        </w:rPr>
      </w:pPr>
    </w:p>
    <w:p w14:paraId="0E5DC5C4" w14:textId="1AC3EE94" w:rsidR="00FA18EA" w:rsidRPr="0075195E" w:rsidRDefault="00FA18EA" w:rsidP="00A02B31">
      <w:pPr>
        <w:autoSpaceDE w:val="0"/>
        <w:autoSpaceDN w:val="0"/>
        <w:adjustRightInd w:val="0"/>
        <w:jc w:val="both"/>
        <w:rPr>
          <w:rFonts w:cstheme="minorHAnsi"/>
          <w:color w:val="000000" w:themeColor="text1"/>
          <w:sz w:val="18"/>
          <w:szCs w:val="18"/>
        </w:rPr>
      </w:pPr>
      <w:r w:rsidRPr="008B2DDA">
        <w:rPr>
          <w:rFonts w:cstheme="minorHAnsi"/>
          <w:color w:val="000000" w:themeColor="text1"/>
          <w:sz w:val="18"/>
          <w:szCs w:val="18"/>
        </w:rPr>
        <w:t xml:space="preserve">The Company signed a co-investment agreement with SPE Fund LP, a sister fund to the Company launched by Gresham House Asset Management Ltd (GHAM) on 15 August </w:t>
      </w:r>
      <w:r w:rsidRPr="000C5053">
        <w:rPr>
          <w:rFonts w:cstheme="minorHAnsi"/>
          <w:color w:val="000000" w:themeColor="text1"/>
          <w:sz w:val="18"/>
          <w:szCs w:val="18"/>
        </w:rPr>
        <w:t xml:space="preserve">2016. Under the agreement, the Company undertook to co-invest £7.5 million with the SPE Fund </w:t>
      </w:r>
      <w:r w:rsidRPr="0091098D">
        <w:rPr>
          <w:rFonts w:cstheme="minorHAnsi"/>
          <w:color w:val="000000" w:themeColor="text1"/>
          <w:sz w:val="18"/>
          <w:szCs w:val="18"/>
        </w:rPr>
        <w:t>LP.  This agreement ended after the Investment Agreement with GHAM was terminate</w:t>
      </w:r>
      <w:r w:rsidR="001B635E" w:rsidRPr="0075195E">
        <w:rPr>
          <w:rFonts w:cstheme="minorHAnsi"/>
          <w:color w:val="000000" w:themeColor="text1"/>
          <w:sz w:val="18"/>
          <w:szCs w:val="18"/>
        </w:rPr>
        <w:t>d by the Board during the year.</w:t>
      </w:r>
    </w:p>
    <w:p w14:paraId="3E78A1A8" w14:textId="77777777" w:rsidR="00FA18EA" w:rsidRPr="00536A35" w:rsidRDefault="00FA18EA" w:rsidP="00FA18EA">
      <w:pPr>
        <w:jc w:val="both"/>
        <w:rPr>
          <w:rFonts w:cstheme="minorHAnsi"/>
          <w:color w:val="000000" w:themeColor="text1"/>
          <w:sz w:val="18"/>
          <w:szCs w:val="18"/>
        </w:rPr>
      </w:pPr>
    </w:p>
    <w:p w14:paraId="34DE7F60" w14:textId="77777777" w:rsidR="00FA18EA" w:rsidRPr="00A02B31" w:rsidRDefault="00FA18EA" w:rsidP="00FA18EA">
      <w:pPr>
        <w:jc w:val="both"/>
        <w:rPr>
          <w:rFonts w:cstheme="minorHAnsi"/>
          <w:color w:val="000000" w:themeColor="text1"/>
          <w:sz w:val="18"/>
          <w:szCs w:val="18"/>
        </w:rPr>
      </w:pPr>
      <w:r w:rsidRPr="00A02B31">
        <w:rPr>
          <w:rFonts w:cstheme="minorHAnsi"/>
          <w:color w:val="000000" w:themeColor="text1"/>
          <w:sz w:val="18"/>
          <w:szCs w:val="18"/>
        </w:rPr>
        <w:t>The Company agreed to dispose of an investment in Hanover Co-Invest S.C.A. SICAV-RAIF Sub-Fund 1 that was made in mid-2021, to Gresham or its nominees during the year.  This investment was acquired by the Company for £855,586 and Gresham agreed to acquire it for the same.</w:t>
      </w:r>
    </w:p>
    <w:p w14:paraId="56C95B71" w14:textId="1D9D8447" w:rsidR="00FA18EA" w:rsidRPr="00A02B31" w:rsidRDefault="00FA18EA" w:rsidP="00FA18EA">
      <w:pPr>
        <w:autoSpaceDE w:val="0"/>
        <w:autoSpaceDN w:val="0"/>
        <w:adjustRightInd w:val="0"/>
        <w:jc w:val="both"/>
        <w:rPr>
          <w:rFonts w:cstheme="minorHAnsi"/>
          <w:color w:val="000000" w:themeColor="text1"/>
          <w:sz w:val="18"/>
          <w:szCs w:val="18"/>
        </w:rPr>
      </w:pPr>
    </w:p>
    <w:p w14:paraId="3EE84846" w14:textId="693799E7" w:rsidR="00A4427A" w:rsidRPr="00A02B31" w:rsidRDefault="00A4427A" w:rsidP="00FA18EA">
      <w:pPr>
        <w:autoSpaceDE w:val="0"/>
        <w:autoSpaceDN w:val="0"/>
        <w:adjustRightInd w:val="0"/>
        <w:jc w:val="both"/>
        <w:rPr>
          <w:rFonts w:cstheme="minorHAnsi"/>
          <w:color w:val="000000" w:themeColor="text1"/>
          <w:sz w:val="18"/>
          <w:szCs w:val="18"/>
        </w:rPr>
      </w:pPr>
      <w:r w:rsidRPr="00A02B31">
        <w:rPr>
          <w:rFonts w:cstheme="minorHAnsi"/>
          <w:color w:val="000000" w:themeColor="text1"/>
          <w:sz w:val="18"/>
          <w:szCs w:val="18"/>
        </w:rPr>
        <w:t>On 1 October 2020, as disclosed in Note 8 of last year’s Annual Report, the investment in Hanover Equity Partners II LP was disposed for £214,566 (the current book value at the time of the transfer, therefore at no gain, no loss). This was to the Gresham House Strategic Equity Fund LP, a related party to the former Investment Manager, Gresham House Asset Management Ltd.</w:t>
      </w:r>
    </w:p>
    <w:p w14:paraId="26BD7CB0" w14:textId="77777777" w:rsidR="00A4427A" w:rsidRPr="00A02B31" w:rsidRDefault="00A4427A" w:rsidP="00FA18EA">
      <w:pPr>
        <w:autoSpaceDE w:val="0"/>
        <w:autoSpaceDN w:val="0"/>
        <w:adjustRightInd w:val="0"/>
        <w:jc w:val="both"/>
        <w:rPr>
          <w:rFonts w:cstheme="minorHAnsi"/>
          <w:color w:val="000000" w:themeColor="text1"/>
          <w:sz w:val="18"/>
          <w:szCs w:val="18"/>
        </w:rPr>
      </w:pPr>
    </w:p>
    <w:p w14:paraId="05C5E887" w14:textId="77777777" w:rsidR="00FA18EA" w:rsidRPr="00A02B31" w:rsidRDefault="00FA18EA" w:rsidP="00FA18EA">
      <w:pPr>
        <w:autoSpaceDE w:val="0"/>
        <w:autoSpaceDN w:val="0"/>
        <w:adjustRightInd w:val="0"/>
        <w:jc w:val="both"/>
        <w:rPr>
          <w:rFonts w:cstheme="minorHAnsi"/>
          <w:color w:val="000000" w:themeColor="text1"/>
          <w:sz w:val="18"/>
          <w:szCs w:val="18"/>
        </w:rPr>
      </w:pPr>
      <w:r w:rsidRPr="00A02B31">
        <w:rPr>
          <w:rFonts w:cstheme="minorHAnsi"/>
          <w:color w:val="000000" w:themeColor="text1"/>
          <w:sz w:val="18"/>
          <w:szCs w:val="18"/>
        </w:rPr>
        <w:t>The Directors’ remuneration and their interest in the Company are disclosed in the Director’s remuneration review in the annual report.</w:t>
      </w:r>
    </w:p>
    <w:p w14:paraId="14763ACB" w14:textId="77777777" w:rsidR="00FA18EA" w:rsidRPr="00A02B31" w:rsidRDefault="00FA18EA" w:rsidP="00FA18EA">
      <w:pPr>
        <w:autoSpaceDE w:val="0"/>
        <w:autoSpaceDN w:val="0"/>
        <w:adjustRightInd w:val="0"/>
        <w:jc w:val="both"/>
        <w:rPr>
          <w:rFonts w:cstheme="minorHAnsi"/>
          <w:color w:val="000000" w:themeColor="text1"/>
          <w:sz w:val="18"/>
          <w:szCs w:val="18"/>
        </w:rPr>
      </w:pPr>
    </w:p>
    <w:p w14:paraId="16BA369F" w14:textId="6D21C960" w:rsidR="00FA18EA" w:rsidRPr="007600A7" w:rsidRDefault="004F0B9D" w:rsidP="00FA18EA">
      <w:pPr>
        <w:autoSpaceDE w:val="0"/>
        <w:autoSpaceDN w:val="0"/>
        <w:adjustRightInd w:val="0"/>
        <w:jc w:val="both"/>
        <w:rPr>
          <w:rFonts w:cstheme="minorHAnsi"/>
          <w:color w:val="000000" w:themeColor="text1"/>
          <w:sz w:val="18"/>
          <w:szCs w:val="18"/>
        </w:rPr>
      </w:pPr>
      <w:r w:rsidRPr="00A02B31">
        <w:rPr>
          <w:rFonts w:cstheme="minorHAnsi"/>
          <w:color w:val="000000" w:themeColor="text1"/>
          <w:sz w:val="18"/>
          <w:szCs w:val="18"/>
        </w:rPr>
        <w:t>Graham Bird</w:t>
      </w:r>
      <w:r w:rsidR="00A2380F" w:rsidRPr="007600A7">
        <w:rPr>
          <w:rFonts w:cstheme="minorHAnsi"/>
          <w:color w:val="000000" w:themeColor="text1"/>
          <w:sz w:val="18"/>
          <w:szCs w:val="18"/>
        </w:rPr>
        <w:t>, through a Company</w:t>
      </w:r>
      <w:r w:rsidR="007F3217">
        <w:rPr>
          <w:rFonts w:cstheme="minorHAnsi"/>
          <w:color w:val="000000" w:themeColor="text1"/>
          <w:sz w:val="18"/>
          <w:szCs w:val="18"/>
        </w:rPr>
        <w:t xml:space="preserve"> of which</w:t>
      </w:r>
      <w:r w:rsidR="00A2380F" w:rsidRPr="007600A7">
        <w:rPr>
          <w:rFonts w:cstheme="minorHAnsi"/>
          <w:color w:val="000000" w:themeColor="text1"/>
          <w:sz w:val="18"/>
          <w:szCs w:val="18"/>
        </w:rPr>
        <w:t xml:space="preserve"> he is a Director,</w:t>
      </w:r>
      <w:r w:rsidRPr="00A02B31">
        <w:rPr>
          <w:rFonts w:cstheme="minorHAnsi"/>
          <w:color w:val="000000" w:themeColor="text1"/>
          <w:sz w:val="18"/>
          <w:szCs w:val="18"/>
        </w:rPr>
        <w:t xml:space="preserve"> received payments during the period of £277,951 due to historic carry fee arrangements, accrued when previously fund manager to GHS Plc from Gresham House Plc, which were directly linked to th</w:t>
      </w:r>
      <w:r w:rsidRPr="007600A7">
        <w:rPr>
          <w:rFonts w:cstheme="minorHAnsi"/>
          <w:color w:val="000000" w:themeColor="text1"/>
          <w:sz w:val="18"/>
          <w:szCs w:val="18"/>
        </w:rPr>
        <w:t>e performance fees paid by the C</w:t>
      </w:r>
      <w:r w:rsidRPr="00A02B31">
        <w:rPr>
          <w:rFonts w:cstheme="minorHAnsi"/>
          <w:color w:val="000000" w:themeColor="text1"/>
          <w:sz w:val="18"/>
          <w:szCs w:val="18"/>
        </w:rPr>
        <w:t>ompany to Gresham House Asset Management under the IMA. These arrangements were between Gresham House P</w:t>
      </w:r>
      <w:r w:rsidRPr="007600A7">
        <w:rPr>
          <w:rFonts w:cstheme="minorHAnsi"/>
          <w:color w:val="000000" w:themeColor="text1"/>
          <w:sz w:val="18"/>
          <w:szCs w:val="18"/>
        </w:rPr>
        <w:t>lc and Graham Bird and not the C</w:t>
      </w:r>
      <w:r w:rsidRPr="00A02B31">
        <w:rPr>
          <w:rFonts w:cstheme="minorHAnsi"/>
          <w:color w:val="000000" w:themeColor="text1"/>
          <w:sz w:val="18"/>
          <w:szCs w:val="18"/>
        </w:rPr>
        <w:t>ompany.</w:t>
      </w:r>
    </w:p>
    <w:p w14:paraId="00CE2012" w14:textId="77777777" w:rsidR="00FA18EA" w:rsidRPr="000C1F6F" w:rsidRDefault="00FA18EA" w:rsidP="00FA18EA">
      <w:pPr>
        <w:autoSpaceDE w:val="0"/>
        <w:autoSpaceDN w:val="0"/>
        <w:adjustRightInd w:val="0"/>
        <w:jc w:val="both"/>
        <w:rPr>
          <w:rFonts w:cstheme="minorHAnsi"/>
          <w:color w:val="000000" w:themeColor="text1"/>
          <w:sz w:val="18"/>
          <w:szCs w:val="18"/>
        </w:rPr>
      </w:pPr>
    </w:p>
    <w:p w14:paraId="7EB10FC1" w14:textId="77777777" w:rsidR="00FA18EA" w:rsidRPr="000C5053" w:rsidRDefault="00FA18EA" w:rsidP="00FA18EA">
      <w:pPr>
        <w:autoSpaceDE w:val="0"/>
        <w:autoSpaceDN w:val="0"/>
        <w:adjustRightInd w:val="0"/>
        <w:jc w:val="both"/>
        <w:rPr>
          <w:rFonts w:cstheme="minorHAnsi"/>
          <w:color w:val="000000" w:themeColor="text1"/>
          <w:sz w:val="18"/>
          <w:szCs w:val="18"/>
        </w:rPr>
      </w:pPr>
      <w:r w:rsidRPr="008B2DDA">
        <w:rPr>
          <w:rFonts w:cstheme="minorHAnsi"/>
          <w:color w:val="000000" w:themeColor="text1"/>
          <w:sz w:val="18"/>
          <w:szCs w:val="18"/>
        </w:rPr>
        <w:t>During the year, the Company disposed of its entire holding of 7,044,018 shares in Fulcrum Utility Services Ltd at 12 pence per share through a placing to Harwood Capital LLP.</w:t>
      </w:r>
    </w:p>
    <w:p w14:paraId="69B64850" w14:textId="77777777" w:rsidR="00FA18EA" w:rsidRPr="0091098D" w:rsidRDefault="00FA18EA" w:rsidP="00FA18EA">
      <w:pPr>
        <w:autoSpaceDE w:val="0"/>
        <w:autoSpaceDN w:val="0"/>
        <w:adjustRightInd w:val="0"/>
        <w:jc w:val="both"/>
        <w:rPr>
          <w:rFonts w:cstheme="minorHAnsi"/>
          <w:color w:val="000000" w:themeColor="text1"/>
          <w:sz w:val="18"/>
          <w:szCs w:val="18"/>
        </w:rPr>
      </w:pPr>
    </w:p>
    <w:p w14:paraId="11010B58" w14:textId="77777777" w:rsidR="00FA18EA" w:rsidRPr="0075195E" w:rsidRDefault="00FA18EA" w:rsidP="00FA18EA">
      <w:pPr>
        <w:autoSpaceDE w:val="0"/>
        <w:autoSpaceDN w:val="0"/>
        <w:adjustRightInd w:val="0"/>
        <w:jc w:val="both"/>
        <w:rPr>
          <w:rFonts w:cstheme="minorHAnsi"/>
          <w:color w:val="000000" w:themeColor="text1"/>
          <w:sz w:val="18"/>
          <w:szCs w:val="18"/>
        </w:rPr>
      </w:pPr>
      <w:r w:rsidRPr="0075195E">
        <w:rPr>
          <w:rFonts w:cstheme="minorHAnsi"/>
          <w:color w:val="000000" w:themeColor="text1"/>
          <w:sz w:val="18"/>
          <w:szCs w:val="18"/>
        </w:rPr>
        <w:t>There are no other related party transactions of which we are aware in the year ended 31 March 2022.</w:t>
      </w:r>
    </w:p>
    <w:p w14:paraId="701CE01E" w14:textId="77777777" w:rsidR="00FA18EA" w:rsidRPr="00536A35" w:rsidRDefault="00FA18EA" w:rsidP="00FA18EA">
      <w:pPr>
        <w:autoSpaceDE w:val="0"/>
        <w:autoSpaceDN w:val="0"/>
        <w:adjustRightInd w:val="0"/>
        <w:rPr>
          <w:rFonts w:cstheme="minorHAnsi"/>
          <w:color w:val="000000" w:themeColor="text1"/>
          <w:sz w:val="18"/>
          <w:szCs w:val="18"/>
        </w:rPr>
      </w:pPr>
    </w:p>
    <w:p w14:paraId="1ECEE519" w14:textId="77777777" w:rsidR="00FA18EA" w:rsidRPr="00A02B31" w:rsidRDefault="00FA18EA" w:rsidP="00FA18EA">
      <w:pPr>
        <w:autoSpaceDE w:val="0"/>
        <w:autoSpaceDN w:val="0"/>
        <w:adjustRightInd w:val="0"/>
        <w:rPr>
          <w:rFonts w:cstheme="minorHAnsi"/>
          <w:b/>
          <w:color w:val="000000"/>
        </w:rPr>
      </w:pPr>
    </w:p>
    <w:p w14:paraId="0237AFDA" w14:textId="77777777" w:rsidR="00FA18EA" w:rsidRPr="00A02B31" w:rsidRDefault="00FA18EA" w:rsidP="00FA18EA">
      <w:pPr>
        <w:autoSpaceDE w:val="0"/>
        <w:autoSpaceDN w:val="0"/>
        <w:adjustRightInd w:val="0"/>
        <w:rPr>
          <w:rFonts w:cstheme="minorHAnsi"/>
          <w:b/>
          <w:color w:val="000000"/>
        </w:rPr>
      </w:pPr>
    </w:p>
    <w:p w14:paraId="2D61E16A" w14:textId="77777777" w:rsidR="00FA18EA" w:rsidRPr="00A02B31" w:rsidRDefault="00FA18EA" w:rsidP="00FA18EA">
      <w:pPr>
        <w:autoSpaceDE w:val="0"/>
        <w:autoSpaceDN w:val="0"/>
        <w:adjustRightInd w:val="0"/>
        <w:rPr>
          <w:rFonts w:cstheme="minorHAnsi"/>
          <w:b/>
          <w:color w:val="000000"/>
        </w:rPr>
      </w:pPr>
    </w:p>
    <w:p w14:paraId="1F116139" w14:textId="77777777" w:rsidR="00FA18EA" w:rsidRPr="00A02B31" w:rsidRDefault="00FA18EA" w:rsidP="00FA18EA">
      <w:pPr>
        <w:autoSpaceDE w:val="0"/>
        <w:autoSpaceDN w:val="0"/>
        <w:adjustRightInd w:val="0"/>
        <w:rPr>
          <w:rFonts w:cstheme="minorHAnsi"/>
          <w:b/>
          <w:color w:val="000000"/>
        </w:rPr>
      </w:pPr>
    </w:p>
    <w:p w14:paraId="78CB9DA6" w14:textId="77777777" w:rsidR="00FA18EA" w:rsidRPr="00A02B31" w:rsidRDefault="00FA18EA" w:rsidP="00FA18EA">
      <w:pPr>
        <w:autoSpaceDE w:val="0"/>
        <w:autoSpaceDN w:val="0"/>
        <w:adjustRightInd w:val="0"/>
        <w:rPr>
          <w:rFonts w:cstheme="minorHAnsi"/>
          <w:b/>
          <w:color w:val="000000"/>
        </w:rPr>
      </w:pPr>
    </w:p>
    <w:p w14:paraId="366BD042" w14:textId="77777777" w:rsidR="00FA18EA" w:rsidRPr="00A02B31" w:rsidRDefault="00FA18EA" w:rsidP="00FA18EA">
      <w:pPr>
        <w:autoSpaceDE w:val="0"/>
        <w:autoSpaceDN w:val="0"/>
        <w:adjustRightInd w:val="0"/>
        <w:rPr>
          <w:rFonts w:cstheme="minorHAnsi"/>
          <w:b/>
          <w:color w:val="000000"/>
        </w:rPr>
      </w:pPr>
    </w:p>
    <w:p w14:paraId="61213DA1" w14:textId="77777777" w:rsidR="00FA18EA" w:rsidRPr="00A02B31" w:rsidRDefault="00FA18EA" w:rsidP="00FA18EA">
      <w:pPr>
        <w:autoSpaceDE w:val="0"/>
        <w:autoSpaceDN w:val="0"/>
        <w:adjustRightInd w:val="0"/>
        <w:rPr>
          <w:rFonts w:cstheme="minorHAnsi"/>
          <w:b/>
          <w:color w:val="000000"/>
        </w:rPr>
      </w:pPr>
    </w:p>
    <w:p w14:paraId="53463888" w14:textId="77777777" w:rsidR="00FA18EA" w:rsidRPr="00A02B31" w:rsidRDefault="00FA18EA" w:rsidP="00FA18EA">
      <w:pPr>
        <w:autoSpaceDE w:val="0"/>
        <w:autoSpaceDN w:val="0"/>
        <w:adjustRightInd w:val="0"/>
        <w:rPr>
          <w:rFonts w:cstheme="minorHAnsi"/>
          <w:b/>
          <w:color w:val="000000"/>
        </w:rPr>
      </w:pPr>
    </w:p>
    <w:p w14:paraId="57605071" w14:textId="77777777" w:rsidR="00FA18EA" w:rsidRPr="00A02B31" w:rsidRDefault="00FA18EA" w:rsidP="00FA18EA">
      <w:pPr>
        <w:autoSpaceDE w:val="0"/>
        <w:autoSpaceDN w:val="0"/>
        <w:adjustRightInd w:val="0"/>
        <w:jc w:val="both"/>
        <w:rPr>
          <w:rFonts w:cstheme="minorHAnsi"/>
          <w:b/>
          <w:color w:val="000000"/>
          <w:sz w:val="28"/>
        </w:rPr>
      </w:pPr>
      <w:r w:rsidRPr="00A02B31">
        <w:rPr>
          <w:rFonts w:cstheme="minorHAnsi"/>
          <w:b/>
          <w:color w:val="000000"/>
          <w:sz w:val="28"/>
        </w:rPr>
        <w:t>Notes to the Financial Statements (continued)</w:t>
      </w:r>
    </w:p>
    <w:p w14:paraId="24FAE6E7" w14:textId="77777777" w:rsidR="00FA18EA" w:rsidRPr="00A02B31" w:rsidRDefault="00FA18EA" w:rsidP="00FA18EA">
      <w:pPr>
        <w:jc w:val="both"/>
        <w:rPr>
          <w:rFonts w:cstheme="minorHAnsi"/>
          <w:b/>
          <w:color w:val="000000" w:themeColor="text1"/>
          <w:sz w:val="18"/>
          <w:szCs w:val="18"/>
        </w:rPr>
      </w:pPr>
    </w:p>
    <w:p w14:paraId="4878FC51" w14:textId="77777777" w:rsidR="00FA18EA" w:rsidRPr="00A02B31" w:rsidRDefault="00FA18EA" w:rsidP="00FA18EA">
      <w:pPr>
        <w:autoSpaceDE w:val="0"/>
        <w:autoSpaceDN w:val="0"/>
        <w:adjustRightInd w:val="0"/>
        <w:rPr>
          <w:rFonts w:cstheme="minorHAnsi"/>
          <w:color w:val="FF0000"/>
          <w:szCs w:val="18"/>
        </w:rPr>
      </w:pPr>
      <w:r w:rsidRPr="00A02B31">
        <w:rPr>
          <w:rFonts w:cstheme="minorHAnsi"/>
          <w:b/>
          <w:color w:val="000000"/>
        </w:rPr>
        <w:t>16 Subsequent events note</w:t>
      </w:r>
    </w:p>
    <w:p w14:paraId="64748571" w14:textId="77777777" w:rsidR="00FA18EA" w:rsidRPr="00A02B31" w:rsidRDefault="00FA18EA" w:rsidP="00FA18EA">
      <w:pPr>
        <w:ind w:left="720"/>
        <w:contextualSpacing/>
        <w:rPr>
          <w:rFonts w:cstheme="minorHAnsi"/>
          <w:bCs/>
          <w:sz w:val="18"/>
          <w:szCs w:val="18"/>
        </w:rPr>
      </w:pPr>
    </w:p>
    <w:p w14:paraId="65302DF8" w14:textId="77777777" w:rsidR="00FA18EA" w:rsidRPr="00A02B31" w:rsidRDefault="00FA18EA" w:rsidP="00FA18EA">
      <w:pPr>
        <w:jc w:val="both"/>
        <w:rPr>
          <w:rFonts w:cstheme="minorHAnsi"/>
          <w:b/>
          <w:bCs/>
          <w:sz w:val="18"/>
          <w:szCs w:val="18"/>
        </w:rPr>
      </w:pPr>
      <w:r w:rsidRPr="00A02B31">
        <w:rPr>
          <w:rFonts w:cstheme="minorHAnsi"/>
          <w:b/>
          <w:bCs/>
          <w:sz w:val="18"/>
          <w:szCs w:val="18"/>
        </w:rPr>
        <w:t>Proposal for change of investment strategy, adoption of new investment policy and Notice of General Meeting</w:t>
      </w:r>
    </w:p>
    <w:p w14:paraId="04606ED8" w14:textId="77777777" w:rsidR="00FA18EA" w:rsidRPr="00A02B31" w:rsidRDefault="00FA18EA" w:rsidP="00FA18EA">
      <w:pPr>
        <w:jc w:val="both"/>
        <w:rPr>
          <w:rFonts w:cstheme="minorHAnsi"/>
          <w:b/>
          <w:color w:val="000000" w:themeColor="text1"/>
          <w:sz w:val="18"/>
          <w:szCs w:val="18"/>
        </w:rPr>
      </w:pPr>
    </w:p>
    <w:p w14:paraId="02890F97" w14:textId="77777777" w:rsidR="00FA18EA" w:rsidRPr="00A02B31" w:rsidRDefault="00FA18EA" w:rsidP="00FA18EA">
      <w:pPr>
        <w:jc w:val="both"/>
        <w:rPr>
          <w:rFonts w:cstheme="minorHAnsi"/>
          <w:color w:val="000000" w:themeColor="text1"/>
          <w:sz w:val="18"/>
          <w:szCs w:val="18"/>
        </w:rPr>
      </w:pPr>
      <w:r w:rsidRPr="00A02B31">
        <w:rPr>
          <w:rFonts w:cstheme="minorHAnsi"/>
          <w:color w:val="000000" w:themeColor="text1"/>
          <w:sz w:val="18"/>
          <w:szCs w:val="18"/>
        </w:rPr>
        <w:t>The Board convened a General Meeting on 25 April 2022 for Shareholders to vote on a proposal by way of an ordinary resolution (the resolution) to change its investment strategy from its realisation strategy to instead enable the Company to continue as a going concern and to make new investments (the Proposal).</w:t>
      </w:r>
    </w:p>
    <w:p w14:paraId="5F27D365" w14:textId="77777777" w:rsidR="00FA18EA" w:rsidRPr="00A02B31" w:rsidRDefault="00FA18EA" w:rsidP="00FA18EA">
      <w:pPr>
        <w:jc w:val="both"/>
        <w:rPr>
          <w:rFonts w:cstheme="minorHAnsi"/>
          <w:color w:val="000000" w:themeColor="text1"/>
          <w:sz w:val="18"/>
          <w:szCs w:val="18"/>
        </w:rPr>
      </w:pPr>
    </w:p>
    <w:p w14:paraId="15E5A4BC" w14:textId="77777777" w:rsidR="00FA18EA" w:rsidRPr="00A02B31" w:rsidRDefault="00FA18EA" w:rsidP="00FA18EA">
      <w:pPr>
        <w:jc w:val="both"/>
        <w:rPr>
          <w:rFonts w:cstheme="minorHAnsi"/>
          <w:color w:val="000000" w:themeColor="text1"/>
          <w:sz w:val="18"/>
          <w:szCs w:val="18"/>
        </w:rPr>
      </w:pPr>
      <w:r w:rsidRPr="00A02B31">
        <w:rPr>
          <w:rFonts w:cstheme="minorHAnsi"/>
          <w:color w:val="000000" w:themeColor="text1"/>
          <w:sz w:val="18"/>
          <w:szCs w:val="18"/>
        </w:rPr>
        <w:t>The Proposal was approved by Shareholders and the new investment strategy will be overseen by the Company’s current investment manager, Harwood Capital LLP.</w:t>
      </w:r>
    </w:p>
    <w:p w14:paraId="25ED7F04" w14:textId="77777777" w:rsidR="00FA18EA" w:rsidRPr="00A02B31" w:rsidRDefault="00FA18EA" w:rsidP="00FA18EA">
      <w:pPr>
        <w:jc w:val="both"/>
        <w:rPr>
          <w:rFonts w:cstheme="minorHAnsi"/>
          <w:color w:val="000000" w:themeColor="text1"/>
          <w:sz w:val="18"/>
          <w:szCs w:val="18"/>
        </w:rPr>
      </w:pPr>
    </w:p>
    <w:p w14:paraId="232E7134" w14:textId="77777777" w:rsidR="00FA18EA" w:rsidRPr="00A02B31" w:rsidRDefault="00FA18EA" w:rsidP="00FA18EA">
      <w:pPr>
        <w:jc w:val="both"/>
        <w:rPr>
          <w:rFonts w:cstheme="minorHAnsi"/>
          <w:color w:val="000000" w:themeColor="text1"/>
          <w:sz w:val="18"/>
          <w:szCs w:val="18"/>
        </w:rPr>
      </w:pPr>
      <w:r w:rsidRPr="00A02B31">
        <w:rPr>
          <w:rFonts w:cstheme="minorHAnsi"/>
          <w:color w:val="000000" w:themeColor="text1"/>
          <w:sz w:val="18"/>
          <w:szCs w:val="18"/>
        </w:rPr>
        <w:t>With effect from the passing of the Resolution, Harwood will receive the following:</w:t>
      </w:r>
    </w:p>
    <w:p w14:paraId="47B9ACEF" w14:textId="77777777" w:rsidR="00FA18EA" w:rsidRPr="00A02B31" w:rsidRDefault="00FA18EA" w:rsidP="00FA18EA">
      <w:pPr>
        <w:jc w:val="both"/>
        <w:rPr>
          <w:rFonts w:cstheme="minorHAnsi"/>
          <w:color w:val="000000" w:themeColor="text1"/>
          <w:sz w:val="18"/>
          <w:szCs w:val="18"/>
        </w:rPr>
      </w:pPr>
    </w:p>
    <w:p w14:paraId="392C2CE2" w14:textId="77777777" w:rsidR="00FA18EA" w:rsidRPr="00A02B31" w:rsidRDefault="00FA18EA" w:rsidP="00FA18EA">
      <w:pPr>
        <w:jc w:val="both"/>
        <w:rPr>
          <w:rFonts w:cstheme="minorHAnsi"/>
          <w:b/>
          <w:color w:val="000000" w:themeColor="text1"/>
          <w:sz w:val="18"/>
          <w:szCs w:val="18"/>
        </w:rPr>
      </w:pPr>
      <w:r w:rsidRPr="00A02B31">
        <w:rPr>
          <w:rFonts w:cstheme="minorHAnsi"/>
          <w:b/>
          <w:color w:val="000000" w:themeColor="text1"/>
          <w:sz w:val="18"/>
          <w:szCs w:val="18"/>
        </w:rPr>
        <w:t>Investment Management Fees:</w:t>
      </w:r>
    </w:p>
    <w:p w14:paraId="6EC2AEB1" w14:textId="77777777" w:rsidR="00FA18EA" w:rsidRPr="00A02B31" w:rsidRDefault="00FA18EA" w:rsidP="00FA18EA">
      <w:pPr>
        <w:jc w:val="both"/>
        <w:rPr>
          <w:rFonts w:cstheme="minorHAnsi"/>
          <w:color w:val="000000" w:themeColor="text1"/>
          <w:sz w:val="18"/>
          <w:szCs w:val="18"/>
        </w:rPr>
      </w:pPr>
      <w:r w:rsidRPr="00A02B31">
        <w:rPr>
          <w:rFonts w:cstheme="minorHAnsi"/>
          <w:color w:val="000000" w:themeColor="text1"/>
          <w:sz w:val="18"/>
          <w:szCs w:val="18"/>
        </w:rPr>
        <w:t xml:space="preserve">A monthly management fee of £10,000 (inclusive of VAT, if any) until the company’s NAV equals £60 million or higher (NAV threshold). </w:t>
      </w:r>
    </w:p>
    <w:p w14:paraId="3DB4BF47" w14:textId="77777777" w:rsidR="00FA18EA" w:rsidRPr="00A02B31" w:rsidRDefault="00FA18EA" w:rsidP="00FA18EA">
      <w:pPr>
        <w:jc w:val="both"/>
        <w:rPr>
          <w:rFonts w:cstheme="minorHAnsi"/>
          <w:color w:val="000000" w:themeColor="text1"/>
          <w:sz w:val="18"/>
          <w:szCs w:val="18"/>
        </w:rPr>
      </w:pPr>
      <w:r w:rsidRPr="00A02B31">
        <w:rPr>
          <w:rFonts w:cstheme="minorHAnsi"/>
          <w:color w:val="000000" w:themeColor="text1"/>
          <w:sz w:val="18"/>
          <w:szCs w:val="18"/>
        </w:rPr>
        <w:t>Once the NAV Threshold has been met, Harwood will be entitled to a management fee of 1/12th of an amount equal to 1 per cent. of the Net Asset Value before deduction of that month’s Investment Management Fee and before deduction of any accrued Performance Fees.</w:t>
      </w:r>
    </w:p>
    <w:p w14:paraId="5A1ACDC0" w14:textId="77777777" w:rsidR="00FA18EA" w:rsidRPr="00A02B31" w:rsidRDefault="00FA18EA" w:rsidP="00FA18EA">
      <w:pPr>
        <w:jc w:val="both"/>
        <w:rPr>
          <w:rFonts w:cstheme="minorHAnsi"/>
          <w:color w:val="000000" w:themeColor="text1"/>
          <w:sz w:val="18"/>
          <w:szCs w:val="18"/>
        </w:rPr>
      </w:pPr>
    </w:p>
    <w:p w14:paraId="5154191D" w14:textId="77777777" w:rsidR="00FA18EA" w:rsidRPr="00A02B31" w:rsidRDefault="00FA18EA" w:rsidP="00FA18EA">
      <w:pPr>
        <w:jc w:val="both"/>
        <w:rPr>
          <w:rFonts w:cstheme="minorHAnsi"/>
          <w:b/>
          <w:color w:val="000000" w:themeColor="text1"/>
          <w:sz w:val="18"/>
          <w:szCs w:val="18"/>
        </w:rPr>
      </w:pPr>
      <w:r w:rsidRPr="00A02B31">
        <w:rPr>
          <w:rFonts w:cstheme="minorHAnsi"/>
          <w:b/>
          <w:color w:val="000000" w:themeColor="text1"/>
          <w:sz w:val="18"/>
          <w:szCs w:val="18"/>
        </w:rPr>
        <w:t>Performance Fees:</w:t>
      </w:r>
    </w:p>
    <w:p w14:paraId="225449A0" w14:textId="77777777" w:rsidR="00FA18EA" w:rsidRPr="00A02B31" w:rsidRDefault="00FA18EA" w:rsidP="00FA18EA">
      <w:pPr>
        <w:jc w:val="both"/>
        <w:rPr>
          <w:rFonts w:cstheme="minorHAnsi"/>
          <w:color w:val="000000" w:themeColor="text1"/>
          <w:sz w:val="18"/>
          <w:szCs w:val="18"/>
        </w:rPr>
      </w:pPr>
      <w:r w:rsidRPr="00A02B31">
        <w:rPr>
          <w:rFonts w:cstheme="minorHAnsi"/>
          <w:color w:val="000000" w:themeColor="text1"/>
          <w:sz w:val="18"/>
          <w:szCs w:val="18"/>
        </w:rPr>
        <w:t>Harwood will also be entitled to a performance fee equal to 10 per cent. of outperformance over the higher of a 6 per cent. per annum total return hurdle and the high watermark. The 6 per cent. per annum compounding weekly and the performance fee will be calculated annually.</w:t>
      </w:r>
    </w:p>
    <w:p w14:paraId="16993BAB" w14:textId="77777777" w:rsidR="00FA18EA" w:rsidRPr="00A02B31" w:rsidRDefault="00FA18EA" w:rsidP="00FA18EA">
      <w:pPr>
        <w:jc w:val="both"/>
        <w:rPr>
          <w:rFonts w:cstheme="minorHAnsi"/>
          <w:color w:val="000000" w:themeColor="text1"/>
          <w:sz w:val="18"/>
          <w:szCs w:val="18"/>
        </w:rPr>
      </w:pPr>
    </w:p>
    <w:p w14:paraId="0F92DFF9" w14:textId="77777777" w:rsidR="00FA18EA" w:rsidRPr="00A02B31" w:rsidRDefault="00FA18EA" w:rsidP="00FA18EA">
      <w:pPr>
        <w:jc w:val="both"/>
        <w:rPr>
          <w:rFonts w:cstheme="minorHAnsi"/>
          <w:color w:val="000000" w:themeColor="text1"/>
          <w:sz w:val="18"/>
          <w:szCs w:val="18"/>
        </w:rPr>
      </w:pPr>
      <w:r w:rsidRPr="00A02B31">
        <w:rPr>
          <w:rFonts w:cstheme="minorHAnsi"/>
          <w:color w:val="000000" w:themeColor="text1"/>
          <w:sz w:val="18"/>
          <w:szCs w:val="18"/>
        </w:rPr>
        <w:t>Provided that the Company's average NAV is at or below £100 million, performance fees in any performance fee period will be capped at 3 per cent. of the Company's average NAV for the relevant performance fee period. In such instance, performance fees in excess of the 3 per cent. cap will not be paid and will instead be deferred into the next performance fee period.</w:t>
      </w:r>
    </w:p>
    <w:p w14:paraId="10A70690" w14:textId="77777777" w:rsidR="00FA18EA" w:rsidRPr="00A02B31" w:rsidRDefault="00FA18EA" w:rsidP="00FA18EA">
      <w:pPr>
        <w:jc w:val="both"/>
        <w:rPr>
          <w:rFonts w:cstheme="minorHAnsi"/>
          <w:color w:val="000000" w:themeColor="text1"/>
          <w:sz w:val="18"/>
          <w:szCs w:val="18"/>
        </w:rPr>
      </w:pPr>
    </w:p>
    <w:p w14:paraId="72B37124" w14:textId="77777777" w:rsidR="00FA18EA" w:rsidRPr="00A02B31" w:rsidRDefault="00FA18EA" w:rsidP="00FA18EA">
      <w:pPr>
        <w:jc w:val="both"/>
        <w:rPr>
          <w:rFonts w:cstheme="minorHAnsi"/>
          <w:b/>
          <w:color w:val="000000" w:themeColor="text1"/>
          <w:sz w:val="18"/>
          <w:szCs w:val="18"/>
        </w:rPr>
      </w:pPr>
      <w:r w:rsidRPr="00A02B31">
        <w:rPr>
          <w:rFonts w:cstheme="minorHAnsi"/>
          <w:b/>
          <w:color w:val="000000" w:themeColor="text1"/>
          <w:sz w:val="18"/>
          <w:szCs w:val="18"/>
        </w:rPr>
        <w:t>Change of Name</w:t>
      </w:r>
    </w:p>
    <w:p w14:paraId="69086012" w14:textId="77777777" w:rsidR="00FA18EA" w:rsidRPr="00A02B31" w:rsidRDefault="00FA18EA" w:rsidP="00FA18EA">
      <w:pPr>
        <w:jc w:val="both"/>
        <w:rPr>
          <w:rFonts w:cstheme="minorHAnsi"/>
          <w:b/>
          <w:color w:val="000000" w:themeColor="text1"/>
          <w:sz w:val="18"/>
          <w:szCs w:val="18"/>
        </w:rPr>
      </w:pPr>
    </w:p>
    <w:p w14:paraId="714AAA74" w14:textId="372A13F8" w:rsidR="00F50BA6" w:rsidRPr="00A02B31" w:rsidRDefault="00FA18EA" w:rsidP="00F50BA6">
      <w:pPr>
        <w:jc w:val="both"/>
        <w:rPr>
          <w:rFonts w:cstheme="minorHAnsi"/>
          <w:color w:val="000000" w:themeColor="text1"/>
          <w:sz w:val="18"/>
          <w:szCs w:val="18"/>
        </w:rPr>
      </w:pPr>
      <w:r w:rsidRPr="00A02B31">
        <w:rPr>
          <w:rFonts w:cstheme="minorHAnsi"/>
          <w:color w:val="000000" w:themeColor="text1"/>
          <w:sz w:val="18"/>
          <w:szCs w:val="18"/>
        </w:rPr>
        <w:t>Following the change of investment policy, the Company proceeded to change its name to Rockwood Strategic plc on 4 May 2022.</w:t>
      </w:r>
    </w:p>
    <w:p w14:paraId="587A1535" w14:textId="77777777" w:rsidR="00F50BA6" w:rsidRPr="00A02B31" w:rsidRDefault="00F50BA6" w:rsidP="00F50BA6">
      <w:pPr>
        <w:jc w:val="both"/>
        <w:rPr>
          <w:rFonts w:cstheme="minorHAnsi"/>
          <w:b/>
          <w:color w:val="000000" w:themeColor="text1"/>
          <w:sz w:val="18"/>
          <w:szCs w:val="18"/>
        </w:rPr>
      </w:pPr>
    </w:p>
    <w:p w14:paraId="4CAB5FED" w14:textId="77777777" w:rsidR="00F50BA6" w:rsidRPr="00A02B31" w:rsidRDefault="00F50BA6" w:rsidP="00F50BA6">
      <w:pPr>
        <w:jc w:val="both"/>
        <w:rPr>
          <w:rFonts w:cstheme="minorHAnsi"/>
          <w:b/>
          <w:bCs/>
          <w:sz w:val="18"/>
          <w:szCs w:val="18"/>
        </w:rPr>
      </w:pPr>
    </w:p>
    <w:p w14:paraId="400DC235" w14:textId="77777777" w:rsidR="00F50BA6" w:rsidRPr="00A02B31" w:rsidRDefault="00F50BA6" w:rsidP="00F50BA6">
      <w:pPr>
        <w:jc w:val="both"/>
        <w:rPr>
          <w:rFonts w:cstheme="minorHAnsi"/>
          <w:bCs/>
          <w:sz w:val="18"/>
          <w:szCs w:val="18"/>
        </w:rPr>
      </w:pPr>
    </w:p>
    <w:p w14:paraId="6AE046BD" w14:textId="77777777" w:rsidR="00F50BA6" w:rsidRPr="00A02B31" w:rsidRDefault="00F50BA6" w:rsidP="00F50BA6">
      <w:pPr>
        <w:jc w:val="both"/>
        <w:rPr>
          <w:rFonts w:cstheme="minorHAnsi"/>
          <w:bCs/>
          <w:sz w:val="18"/>
          <w:szCs w:val="18"/>
        </w:rPr>
      </w:pPr>
    </w:p>
    <w:p w14:paraId="38F6264B" w14:textId="77777777" w:rsidR="00F50BA6" w:rsidRPr="00A02B31" w:rsidRDefault="00F50BA6" w:rsidP="000B0253">
      <w:pPr>
        <w:autoSpaceDE w:val="0"/>
        <w:autoSpaceDN w:val="0"/>
        <w:adjustRightInd w:val="0"/>
        <w:jc w:val="both"/>
        <w:rPr>
          <w:rFonts w:cstheme="minorHAnsi"/>
          <w:color w:val="000000" w:themeColor="text1"/>
          <w:sz w:val="18"/>
          <w:szCs w:val="18"/>
        </w:rPr>
      </w:pPr>
    </w:p>
    <w:p w14:paraId="47DC8BD1" w14:textId="77777777" w:rsidR="00A94FC9" w:rsidRPr="00A02B31" w:rsidRDefault="00A94FC9" w:rsidP="00A94FC9">
      <w:pPr>
        <w:rPr>
          <w:rFonts w:cstheme="minorHAnsi"/>
          <w:b/>
        </w:rPr>
      </w:pPr>
    </w:p>
    <w:p w14:paraId="506DE4D1" w14:textId="21C2AF66" w:rsidR="00CE0A5C" w:rsidRPr="00A02B31" w:rsidRDefault="00DD1CE9" w:rsidP="00D86526">
      <w:pPr>
        <w:ind w:left="142" w:hanging="142"/>
        <w:rPr>
          <w:rFonts w:cstheme="minorHAnsi"/>
          <w:b/>
        </w:rPr>
      </w:pPr>
      <w:r w:rsidRPr="00A02B31">
        <w:rPr>
          <w:rFonts w:cstheme="minorHAnsi"/>
          <w:b/>
        </w:rPr>
        <w:t xml:space="preserve"> </w:t>
      </w:r>
    </w:p>
    <w:p w14:paraId="77E50702" w14:textId="77777777" w:rsidR="00F50BA6" w:rsidRPr="00A02B31" w:rsidRDefault="00F50BA6" w:rsidP="00D86526">
      <w:pPr>
        <w:ind w:left="142" w:hanging="142"/>
        <w:jc w:val="center"/>
        <w:rPr>
          <w:rFonts w:eastAsia="Calibri" w:cstheme="minorHAnsi"/>
          <w:b/>
        </w:rPr>
      </w:pPr>
    </w:p>
    <w:p w14:paraId="0243F4F3" w14:textId="77777777" w:rsidR="00F50BA6" w:rsidRPr="00A02B31" w:rsidRDefault="00F50BA6" w:rsidP="00D86526">
      <w:pPr>
        <w:ind w:left="142" w:hanging="142"/>
        <w:jc w:val="center"/>
        <w:rPr>
          <w:rFonts w:eastAsia="Calibri" w:cstheme="minorHAnsi"/>
          <w:b/>
        </w:rPr>
      </w:pPr>
    </w:p>
    <w:p w14:paraId="03953D9E" w14:textId="77777777" w:rsidR="00F50BA6" w:rsidRPr="00A02B31" w:rsidRDefault="00F50BA6" w:rsidP="00D86526">
      <w:pPr>
        <w:ind w:left="142" w:hanging="142"/>
        <w:jc w:val="center"/>
        <w:rPr>
          <w:rFonts w:eastAsia="Calibri" w:cstheme="minorHAnsi"/>
          <w:b/>
        </w:rPr>
      </w:pPr>
    </w:p>
    <w:p w14:paraId="2A632EA2" w14:textId="0CAC4175" w:rsidR="00F50BA6" w:rsidRPr="00A02B31" w:rsidRDefault="00F50BA6" w:rsidP="00D86526">
      <w:pPr>
        <w:ind w:left="142" w:hanging="142"/>
        <w:jc w:val="center"/>
        <w:rPr>
          <w:rFonts w:eastAsia="Calibri" w:cstheme="minorHAnsi"/>
          <w:b/>
        </w:rPr>
      </w:pPr>
    </w:p>
    <w:p w14:paraId="22997713" w14:textId="70982AA2" w:rsidR="00F50BA6" w:rsidRPr="00A02B31" w:rsidRDefault="00F50BA6" w:rsidP="00D86526">
      <w:pPr>
        <w:ind w:left="142" w:hanging="142"/>
        <w:jc w:val="center"/>
        <w:rPr>
          <w:rFonts w:eastAsia="Calibri" w:cstheme="minorHAnsi"/>
          <w:b/>
        </w:rPr>
      </w:pPr>
    </w:p>
    <w:p w14:paraId="18A874E7" w14:textId="0B198251" w:rsidR="00F50BA6" w:rsidRPr="00A02B31" w:rsidRDefault="00F50BA6" w:rsidP="00D86526">
      <w:pPr>
        <w:ind w:left="142" w:hanging="142"/>
        <w:jc w:val="center"/>
        <w:rPr>
          <w:rFonts w:eastAsia="Calibri" w:cstheme="minorHAnsi"/>
          <w:b/>
        </w:rPr>
      </w:pPr>
    </w:p>
    <w:p w14:paraId="6CA91EC3" w14:textId="404D6A50" w:rsidR="00F50BA6" w:rsidRPr="00A02B31" w:rsidRDefault="00F50BA6" w:rsidP="00D86526">
      <w:pPr>
        <w:ind w:left="142" w:hanging="142"/>
        <w:jc w:val="center"/>
        <w:rPr>
          <w:rFonts w:eastAsia="Calibri" w:cstheme="minorHAnsi"/>
          <w:b/>
        </w:rPr>
      </w:pPr>
    </w:p>
    <w:p w14:paraId="74F45DB2" w14:textId="19EBCA78" w:rsidR="00F50BA6" w:rsidRPr="00A02B31" w:rsidRDefault="00F50BA6" w:rsidP="00D86526">
      <w:pPr>
        <w:ind w:left="142" w:hanging="142"/>
        <w:jc w:val="center"/>
        <w:rPr>
          <w:rFonts w:eastAsia="Calibri" w:cstheme="minorHAnsi"/>
          <w:b/>
        </w:rPr>
      </w:pPr>
    </w:p>
    <w:p w14:paraId="05C3242E" w14:textId="291740DB" w:rsidR="00F50BA6" w:rsidRPr="00A02B31" w:rsidRDefault="00F50BA6" w:rsidP="00D86526">
      <w:pPr>
        <w:ind w:left="142" w:hanging="142"/>
        <w:jc w:val="center"/>
        <w:rPr>
          <w:rFonts w:eastAsia="Calibri" w:cstheme="minorHAnsi"/>
          <w:b/>
        </w:rPr>
      </w:pPr>
    </w:p>
    <w:p w14:paraId="7C1FED7E" w14:textId="3D9E1259" w:rsidR="00F50BA6" w:rsidRPr="00A02B31" w:rsidRDefault="00F50BA6" w:rsidP="00D86526">
      <w:pPr>
        <w:ind w:left="142" w:hanging="142"/>
        <w:jc w:val="center"/>
        <w:rPr>
          <w:rFonts w:eastAsia="Calibri" w:cstheme="minorHAnsi"/>
          <w:b/>
        </w:rPr>
      </w:pPr>
    </w:p>
    <w:p w14:paraId="7432A9FC" w14:textId="519D06B0" w:rsidR="00F50BA6" w:rsidRPr="00A02B31" w:rsidRDefault="00F50BA6" w:rsidP="00D86526">
      <w:pPr>
        <w:ind w:left="142" w:hanging="142"/>
        <w:jc w:val="center"/>
        <w:rPr>
          <w:rFonts w:eastAsia="Calibri" w:cstheme="minorHAnsi"/>
          <w:b/>
        </w:rPr>
      </w:pPr>
    </w:p>
    <w:p w14:paraId="10166010" w14:textId="76375D5B" w:rsidR="00F50BA6" w:rsidRPr="00A02B31" w:rsidRDefault="00F50BA6" w:rsidP="00D86526">
      <w:pPr>
        <w:ind w:left="142" w:hanging="142"/>
        <w:jc w:val="center"/>
        <w:rPr>
          <w:rFonts w:eastAsia="Calibri" w:cstheme="minorHAnsi"/>
          <w:b/>
        </w:rPr>
      </w:pPr>
    </w:p>
    <w:p w14:paraId="45055389" w14:textId="7597362F" w:rsidR="00F50BA6" w:rsidRPr="00A02B31" w:rsidRDefault="00F50BA6" w:rsidP="00D86526">
      <w:pPr>
        <w:ind w:left="142" w:hanging="142"/>
        <w:jc w:val="center"/>
        <w:rPr>
          <w:rFonts w:eastAsia="Calibri" w:cstheme="minorHAnsi"/>
          <w:b/>
        </w:rPr>
      </w:pPr>
    </w:p>
    <w:p w14:paraId="4506B1E5" w14:textId="2DA4CA9D" w:rsidR="00F50BA6" w:rsidRPr="00A02B31" w:rsidRDefault="00F50BA6" w:rsidP="00D86526">
      <w:pPr>
        <w:ind w:left="142" w:hanging="142"/>
        <w:jc w:val="center"/>
        <w:rPr>
          <w:rFonts w:eastAsia="Calibri" w:cstheme="minorHAnsi"/>
          <w:b/>
        </w:rPr>
      </w:pPr>
    </w:p>
    <w:p w14:paraId="25FDB2B1" w14:textId="11220A1E" w:rsidR="001B635E" w:rsidRPr="00A02B31" w:rsidRDefault="001B635E">
      <w:pPr>
        <w:rPr>
          <w:rFonts w:eastAsia="Calibri" w:cstheme="minorHAnsi"/>
          <w:b/>
        </w:rPr>
      </w:pPr>
      <w:r w:rsidRPr="00A02B31">
        <w:rPr>
          <w:rFonts w:eastAsia="Calibri" w:cstheme="minorHAnsi"/>
          <w:b/>
        </w:rPr>
        <w:br w:type="page"/>
      </w:r>
    </w:p>
    <w:p w14:paraId="61EACF21" w14:textId="77777777" w:rsidR="00F50BA6" w:rsidRPr="00A02B31" w:rsidRDefault="00F50BA6" w:rsidP="00D86526">
      <w:pPr>
        <w:ind w:left="142" w:hanging="142"/>
        <w:jc w:val="center"/>
        <w:rPr>
          <w:rFonts w:eastAsia="Calibri" w:cstheme="minorHAnsi"/>
          <w:b/>
        </w:rPr>
      </w:pPr>
    </w:p>
    <w:p w14:paraId="229A0E95" w14:textId="072D6BA0" w:rsidR="00D86526" w:rsidRPr="00A02B31" w:rsidRDefault="00D86526" w:rsidP="00D86526">
      <w:pPr>
        <w:ind w:left="142" w:hanging="142"/>
        <w:jc w:val="center"/>
        <w:rPr>
          <w:rFonts w:eastAsia="Calibri" w:cstheme="minorHAnsi"/>
          <w:b/>
        </w:rPr>
      </w:pPr>
      <w:r w:rsidRPr="00A02B31">
        <w:rPr>
          <w:rFonts w:eastAsia="Calibri" w:cstheme="minorHAnsi"/>
          <w:b/>
        </w:rPr>
        <w:t>NOTICE OF ANNUAL GENERAL MEETING</w:t>
      </w:r>
    </w:p>
    <w:p w14:paraId="0B2E1E5C" w14:textId="77777777" w:rsidR="00D86526" w:rsidRPr="00A02B31" w:rsidRDefault="00D86526" w:rsidP="00D86526">
      <w:pPr>
        <w:ind w:left="142" w:hanging="142"/>
        <w:jc w:val="center"/>
        <w:rPr>
          <w:rFonts w:eastAsia="Calibri" w:cstheme="minorHAnsi"/>
          <w:b/>
        </w:rPr>
      </w:pPr>
    </w:p>
    <w:p w14:paraId="034F53B1" w14:textId="0084E1D2" w:rsidR="00D86526" w:rsidRPr="00A02B31" w:rsidRDefault="00F50BA6" w:rsidP="00D86526">
      <w:pPr>
        <w:ind w:left="142" w:hanging="142"/>
        <w:jc w:val="center"/>
        <w:rPr>
          <w:rFonts w:eastAsia="Calibri" w:cstheme="minorHAnsi"/>
          <w:b/>
        </w:rPr>
      </w:pPr>
      <w:r w:rsidRPr="00A02B31">
        <w:rPr>
          <w:rFonts w:eastAsia="Calibri" w:cstheme="minorHAnsi"/>
          <w:b/>
        </w:rPr>
        <w:t>Rockwood</w:t>
      </w:r>
      <w:r w:rsidR="00D86526" w:rsidRPr="00A02B31">
        <w:rPr>
          <w:rFonts w:eastAsia="Calibri" w:cstheme="minorHAnsi"/>
          <w:b/>
        </w:rPr>
        <w:t xml:space="preserve"> Strategic plc (the Company)</w:t>
      </w:r>
    </w:p>
    <w:p w14:paraId="154A5D7C" w14:textId="77777777" w:rsidR="00D86526" w:rsidRPr="00A02B31" w:rsidRDefault="00D86526" w:rsidP="00D86526">
      <w:pPr>
        <w:ind w:left="142" w:hanging="142"/>
        <w:rPr>
          <w:rFonts w:eastAsia="Calibri" w:cstheme="minorHAnsi"/>
        </w:rPr>
      </w:pPr>
    </w:p>
    <w:p w14:paraId="60F109A8" w14:textId="77777777" w:rsidR="00D86526" w:rsidRPr="00A02B31" w:rsidRDefault="00D86526" w:rsidP="00D86526">
      <w:pPr>
        <w:ind w:left="142" w:hanging="142"/>
        <w:rPr>
          <w:rFonts w:eastAsia="Calibri" w:cstheme="minorHAnsi"/>
        </w:rPr>
      </w:pPr>
    </w:p>
    <w:p w14:paraId="1A0C57F0" w14:textId="34A9783B" w:rsidR="00D86526" w:rsidRPr="00A02B31" w:rsidRDefault="00D86526" w:rsidP="00D86526">
      <w:pPr>
        <w:ind w:left="142"/>
        <w:jc w:val="both"/>
        <w:rPr>
          <w:rFonts w:eastAsia="Calibri" w:cstheme="minorHAnsi"/>
        </w:rPr>
      </w:pPr>
      <w:r w:rsidRPr="00A02B31">
        <w:rPr>
          <w:rFonts w:eastAsia="Calibri" w:cstheme="minorHAnsi"/>
        </w:rPr>
        <w:t>NOTICE IS GIVEN that the Annual General Meeting of the Company will be held at the offices of Shakespeare Martineau LLP, 60 Gracechurch Street, London EC3V 0HR at 1</w:t>
      </w:r>
      <w:r w:rsidR="009A15AA" w:rsidRPr="00A02B31">
        <w:rPr>
          <w:rFonts w:eastAsia="Calibri" w:cstheme="minorHAnsi"/>
        </w:rPr>
        <w:t>1</w:t>
      </w:r>
      <w:r w:rsidRPr="00A02B31">
        <w:rPr>
          <w:rFonts w:eastAsia="Calibri" w:cstheme="minorHAnsi"/>
        </w:rPr>
        <w:t xml:space="preserve">:00am on Tuesday 13 September 2022 to consider the following resolutions, of which resolutions 1 to </w:t>
      </w:r>
      <w:r w:rsidR="00D748CF" w:rsidRPr="00A02B31">
        <w:rPr>
          <w:rFonts w:eastAsia="Calibri" w:cstheme="minorHAnsi"/>
        </w:rPr>
        <w:t xml:space="preserve">5 </w:t>
      </w:r>
      <w:r w:rsidRPr="00A02B31">
        <w:rPr>
          <w:rFonts w:eastAsia="Calibri" w:cstheme="minorHAnsi"/>
        </w:rPr>
        <w:t xml:space="preserve">will be proposed as ordinary resolutions and resolutions </w:t>
      </w:r>
      <w:r w:rsidR="00D748CF" w:rsidRPr="00A02B31">
        <w:rPr>
          <w:rFonts w:eastAsia="Calibri" w:cstheme="minorHAnsi"/>
        </w:rPr>
        <w:t xml:space="preserve">6 </w:t>
      </w:r>
      <w:r w:rsidRPr="00A02B31">
        <w:rPr>
          <w:rFonts w:eastAsia="Calibri" w:cstheme="minorHAnsi"/>
        </w:rPr>
        <w:t xml:space="preserve">to </w:t>
      </w:r>
      <w:r w:rsidR="00D748CF" w:rsidRPr="00A02B31">
        <w:rPr>
          <w:rFonts w:eastAsia="Calibri" w:cstheme="minorHAnsi"/>
        </w:rPr>
        <w:t xml:space="preserve">9 </w:t>
      </w:r>
      <w:r w:rsidRPr="00A02B31">
        <w:rPr>
          <w:rFonts w:eastAsia="Calibri" w:cstheme="minorHAnsi"/>
        </w:rPr>
        <w:t>will be proposed as special resolutions:</w:t>
      </w:r>
    </w:p>
    <w:p w14:paraId="669646DC" w14:textId="77777777" w:rsidR="00D86526" w:rsidRPr="00A02B31" w:rsidRDefault="00D86526" w:rsidP="00D86526">
      <w:pPr>
        <w:ind w:left="142" w:hanging="142"/>
        <w:rPr>
          <w:rFonts w:eastAsia="Calibri" w:cstheme="minorHAnsi"/>
        </w:rPr>
      </w:pPr>
      <w:r w:rsidRPr="00A02B31">
        <w:rPr>
          <w:rFonts w:eastAsia="Calibri" w:cstheme="minorHAnsi"/>
        </w:rPr>
        <w:tab/>
      </w:r>
    </w:p>
    <w:p w14:paraId="2E295A5D" w14:textId="77777777" w:rsidR="00D86526" w:rsidRPr="00A02B31" w:rsidRDefault="00D86526" w:rsidP="00D86526">
      <w:pPr>
        <w:ind w:left="142"/>
        <w:rPr>
          <w:rFonts w:eastAsia="Calibri" w:cstheme="minorHAnsi"/>
          <w:b/>
        </w:rPr>
      </w:pPr>
      <w:r w:rsidRPr="00A02B31">
        <w:rPr>
          <w:rFonts w:eastAsia="Calibri" w:cstheme="minorHAnsi"/>
          <w:b/>
        </w:rPr>
        <w:t>Ordinary Resolutions</w:t>
      </w:r>
    </w:p>
    <w:p w14:paraId="037C5F9B" w14:textId="77777777" w:rsidR="00D86526" w:rsidRPr="00A02B31" w:rsidRDefault="00D86526" w:rsidP="00D86526">
      <w:pPr>
        <w:ind w:left="142"/>
        <w:rPr>
          <w:rFonts w:eastAsia="Calibri" w:cstheme="minorHAnsi"/>
        </w:rPr>
      </w:pPr>
    </w:p>
    <w:p w14:paraId="556C6B2A" w14:textId="77777777" w:rsidR="00D86526" w:rsidRPr="00A02B31" w:rsidRDefault="00D86526" w:rsidP="00D86526">
      <w:pPr>
        <w:numPr>
          <w:ilvl w:val="0"/>
          <w:numId w:val="3"/>
        </w:numPr>
        <w:ind w:left="142" w:firstLine="0"/>
        <w:contextualSpacing/>
        <w:rPr>
          <w:rFonts w:eastAsia="Calibri" w:cstheme="minorHAnsi"/>
        </w:rPr>
      </w:pPr>
      <w:r w:rsidRPr="00A02B31">
        <w:rPr>
          <w:rFonts w:eastAsia="Calibri" w:cstheme="minorHAnsi"/>
        </w:rPr>
        <w:t>To receive the Annual Report and Accounts for the year-ended 31 March 2022</w:t>
      </w:r>
    </w:p>
    <w:p w14:paraId="3B580A64" w14:textId="77777777" w:rsidR="00D86526" w:rsidRPr="00A02B31" w:rsidRDefault="00D86526" w:rsidP="00D86526">
      <w:pPr>
        <w:ind w:left="142"/>
        <w:rPr>
          <w:rFonts w:eastAsia="Calibri" w:cstheme="minorHAnsi"/>
        </w:rPr>
      </w:pPr>
    </w:p>
    <w:p w14:paraId="3B9379E4" w14:textId="77777777" w:rsidR="00D86526" w:rsidRPr="00A02B31" w:rsidRDefault="00D86526" w:rsidP="00D86526">
      <w:pPr>
        <w:numPr>
          <w:ilvl w:val="0"/>
          <w:numId w:val="3"/>
        </w:numPr>
        <w:ind w:left="142" w:firstLine="0"/>
        <w:contextualSpacing/>
        <w:rPr>
          <w:rFonts w:eastAsia="Calibri" w:cstheme="minorHAnsi"/>
        </w:rPr>
      </w:pPr>
      <w:r w:rsidRPr="00A02B31">
        <w:rPr>
          <w:rFonts w:eastAsia="Calibri" w:cstheme="minorHAnsi"/>
        </w:rPr>
        <w:t>To re-elect Noel Lamb as a Director of the Company</w:t>
      </w:r>
    </w:p>
    <w:p w14:paraId="23B7F852" w14:textId="77777777" w:rsidR="00D86526" w:rsidRPr="00A02B31" w:rsidRDefault="00D86526" w:rsidP="00D86526">
      <w:pPr>
        <w:ind w:left="142"/>
        <w:rPr>
          <w:rFonts w:eastAsia="Calibri" w:cstheme="minorHAnsi"/>
        </w:rPr>
      </w:pPr>
    </w:p>
    <w:p w14:paraId="5466104A" w14:textId="301C9903" w:rsidR="00D86526" w:rsidRPr="00A02B31" w:rsidRDefault="00D86526" w:rsidP="0077209B">
      <w:pPr>
        <w:numPr>
          <w:ilvl w:val="0"/>
          <w:numId w:val="3"/>
        </w:numPr>
        <w:ind w:left="142" w:firstLine="0"/>
        <w:contextualSpacing/>
        <w:rPr>
          <w:rFonts w:eastAsia="Calibri" w:cstheme="minorHAnsi"/>
        </w:rPr>
      </w:pPr>
      <w:r w:rsidRPr="00A02B31">
        <w:rPr>
          <w:rFonts w:eastAsia="Calibri" w:cstheme="minorHAnsi"/>
        </w:rPr>
        <w:t>To re-elect Ken Lever as a Director of the Company</w:t>
      </w:r>
    </w:p>
    <w:p w14:paraId="6A8BCBA9" w14:textId="77777777" w:rsidR="00D86526" w:rsidRPr="00A02B31" w:rsidRDefault="00D86526" w:rsidP="00D86526">
      <w:pPr>
        <w:ind w:left="142"/>
        <w:rPr>
          <w:rFonts w:eastAsia="Calibri" w:cstheme="minorHAnsi"/>
        </w:rPr>
      </w:pPr>
    </w:p>
    <w:p w14:paraId="1010F800" w14:textId="77777777" w:rsidR="00D86526" w:rsidRPr="00A02B31" w:rsidRDefault="00D86526" w:rsidP="00D86526">
      <w:pPr>
        <w:numPr>
          <w:ilvl w:val="0"/>
          <w:numId w:val="3"/>
        </w:numPr>
        <w:ind w:left="709" w:hanging="567"/>
        <w:contextualSpacing/>
        <w:jc w:val="both"/>
        <w:rPr>
          <w:rFonts w:eastAsia="Calibri" w:cstheme="minorHAnsi"/>
        </w:rPr>
      </w:pPr>
      <w:r w:rsidRPr="00A02B31">
        <w:rPr>
          <w:rFonts w:eastAsia="Calibri" w:cstheme="minorHAnsi"/>
        </w:rPr>
        <w:t>To reappoint BDO LLP as auditors to the Company to hold office until the conclusion of the next general meeting at which accounts are laid before the members and to authorise the Directors to determine their fees.</w:t>
      </w:r>
    </w:p>
    <w:p w14:paraId="7606D729" w14:textId="77777777" w:rsidR="00D86526" w:rsidRPr="00A02B31" w:rsidRDefault="00D86526" w:rsidP="00D86526">
      <w:pPr>
        <w:ind w:left="142"/>
        <w:jc w:val="both"/>
        <w:rPr>
          <w:rFonts w:eastAsia="Calibri" w:cstheme="minorHAnsi"/>
        </w:rPr>
      </w:pPr>
    </w:p>
    <w:p w14:paraId="7F7944D0" w14:textId="5426E201" w:rsidR="00D86526" w:rsidRPr="00A02B31" w:rsidRDefault="00D86526" w:rsidP="00D86526">
      <w:pPr>
        <w:numPr>
          <w:ilvl w:val="0"/>
          <w:numId w:val="3"/>
        </w:numPr>
        <w:ind w:left="709" w:hanging="567"/>
        <w:contextualSpacing/>
        <w:jc w:val="both"/>
        <w:rPr>
          <w:rFonts w:eastAsia="Calibri" w:cstheme="minorHAnsi"/>
        </w:rPr>
      </w:pPr>
      <w:r w:rsidRPr="00A02B31">
        <w:rPr>
          <w:rFonts w:eastAsia="Calibri" w:cstheme="minorHAnsi"/>
        </w:rPr>
        <w:t>THAT the Directors of the Company be generally and unconditionally authorised in accordance with section 551 of the Companies Act 2006 (the Act) to exercise all the powers of the Company to allot shares in the Company or to grant rights to subscribe for, or convert any security into, shares in the Company (Rights) up to an aggregate nominal amount of £419,272.5</w:t>
      </w:r>
      <w:r w:rsidR="00B636F2" w:rsidRPr="00A02B31">
        <w:rPr>
          <w:rFonts w:eastAsia="Calibri" w:cstheme="minorHAnsi"/>
        </w:rPr>
        <w:t>0</w:t>
      </w:r>
      <w:r w:rsidRPr="00A02B31">
        <w:rPr>
          <w:rFonts w:eastAsia="Calibri" w:cstheme="minorHAnsi"/>
        </w:rPr>
        <w:t xml:space="preserve"> during the period commencing on the date of the passing of this resolution and expiring at the conclusion of the next Annual General Meeting of the Company or on 30 September 2023, whichever is earlier, and provided further that the Company shall be entitled before such expiry to make an offer or agreement which would or might require shares to be allotted or Rights to be granted after such expiry and the Directors shall be entitled to allot shares and grant Rights under such offer or agreement as if this authority had not expired.</w:t>
      </w:r>
    </w:p>
    <w:p w14:paraId="6A51E8C1" w14:textId="77777777" w:rsidR="00D86526" w:rsidRPr="00A02B31" w:rsidRDefault="00D86526" w:rsidP="00D86526">
      <w:pPr>
        <w:ind w:left="709" w:hanging="567"/>
        <w:jc w:val="both"/>
        <w:rPr>
          <w:rFonts w:eastAsia="Calibri" w:cstheme="minorHAnsi"/>
        </w:rPr>
      </w:pPr>
    </w:p>
    <w:p w14:paraId="635B246E" w14:textId="77777777" w:rsidR="00D86526" w:rsidRPr="00A02B31" w:rsidRDefault="00D86526" w:rsidP="00D86526">
      <w:pPr>
        <w:ind w:left="709" w:hanging="567"/>
        <w:jc w:val="both"/>
        <w:rPr>
          <w:rFonts w:eastAsia="Calibri" w:cstheme="minorHAnsi"/>
          <w:b/>
        </w:rPr>
      </w:pPr>
      <w:r w:rsidRPr="00A02B31">
        <w:rPr>
          <w:rFonts w:eastAsia="Calibri" w:cstheme="minorHAnsi"/>
          <w:b/>
        </w:rPr>
        <w:t>Special Resolutions</w:t>
      </w:r>
    </w:p>
    <w:p w14:paraId="3A917484" w14:textId="77777777" w:rsidR="00D86526" w:rsidRPr="00A02B31" w:rsidRDefault="00D86526" w:rsidP="00D86526">
      <w:pPr>
        <w:ind w:left="709" w:hanging="567"/>
        <w:jc w:val="both"/>
        <w:rPr>
          <w:rFonts w:eastAsia="Calibri" w:cstheme="minorHAnsi"/>
          <w:b/>
        </w:rPr>
      </w:pPr>
    </w:p>
    <w:p w14:paraId="792FBCA6" w14:textId="04601B1E" w:rsidR="00D86526" w:rsidRPr="00A02B31" w:rsidRDefault="00D86526" w:rsidP="00D86526">
      <w:pPr>
        <w:numPr>
          <w:ilvl w:val="0"/>
          <w:numId w:val="3"/>
        </w:numPr>
        <w:ind w:left="709" w:hanging="567"/>
        <w:contextualSpacing/>
        <w:jc w:val="both"/>
        <w:rPr>
          <w:rFonts w:eastAsia="Calibri" w:cstheme="minorHAnsi"/>
        </w:rPr>
      </w:pPr>
      <w:r w:rsidRPr="00A02B31">
        <w:rPr>
          <w:rFonts w:eastAsia="Calibri" w:cstheme="minorHAnsi"/>
        </w:rPr>
        <w:t xml:space="preserve">THAT, subject to and conditional upon the passing of resolution </w:t>
      </w:r>
      <w:r w:rsidR="00D748CF" w:rsidRPr="00A02B31">
        <w:rPr>
          <w:rFonts w:eastAsia="Calibri" w:cstheme="minorHAnsi"/>
        </w:rPr>
        <w:t xml:space="preserve">5 </w:t>
      </w:r>
      <w:r w:rsidRPr="00A02B31">
        <w:rPr>
          <w:rFonts w:eastAsia="Calibri" w:cstheme="minorHAnsi"/>
        </w:rPr>
        <w:t xml:space="preserve">above, the Directors of the Company be empowered under section 570 of the Companies Act 2006 (the Act) to allot equity securities (within the meaning of section 560 of the Act) for cash and/or to sell or transfer shares held by the Company in treasury (as the directors shall deem appropriate) under the authority conferred on them under section 551 of the Act by resolution </w:t>
      </w:r>
      <w:r w:rsidR="00D748CF" w:rsidRPr="00A02B31">
        <w:rPr>
          <w:rFonts w:eastAsia="Calibri" w:cstheme="minorHAnsi"/>
        </w:rPr>
        <w:t xml:space="preserve">5 </w:t>
      </w:r>
      <w:r w:rsidRPr="00A02B31">
        <w:rPr>
          <w:rFonts w:eastAsia="Calibri" w:cstheme="minorHAnsi"/>
        </w:rPr>
        <w:t>above as if section 561(1) of the Act did not apply to any such allotment provided that this power shall be limited to:</w:t>
      </w:r>
    </w:p>
    <w:p w14:paraId="37651E32" w14:textId="77777777" w:rsidR="00D86526" w:rsidRPr="00A02B31" w:rsidRDefault="00D86526" w:rsidP="00D86526">
      <w:pPr>
        <w:ind w:left="709" w:hanging="567"/>
        <w:jc w:val="both"/>
        <w:rPr>
          <w:rFonts w:eastAsia="Calibri" w:cstheme="minorHAnsi"/>
        </w:rPr>
      </w:pPr>
    </w:p>
    <w:p w14:paraId="3D949100" w14:textId="7D3627A0" w:rsidR="00D86526" w:rsidRPr="00A02B31" w:rsidRDefault="00D86526" w:rsidP="009D1381">
      <w:pPr>
        <w:pStyle w:val="ListParagraph"/>
        <w:numPr>
          <w:ilvl w:val="0"/>
          <w:numId w:val="46"/>
        </w:numPr>
        <w:ind w:left="993"/>
        <w:jc w:val="both"/>
        <w:rPr>
          <w:rFonts w:eastAsia="Calibri" w:cstheme="minorHAnsi"/>
        </w:rPr>
      </w:pPr>
      <w:r w:rsidRPr="00A02B31">
        <w:rPr>
          <w:rFonts w:eastAsia="Calibri" w:cstheme="minorHAnsi"/>
        </w:rPr>
        <w:t>the allotment of equity securities in connection with any rights issue or other pro-rata offer in favour of the holders of Ordinary Shares of 50 pence each in the Company where the equity securities respectively attributable to the interests of all such holders of shares are proportionate (as nearly as may be) to the respective numbers of shares held by them, provided that the Directors of the Company may make such arrangements in respect of overseas holders of shares and/or to deal with fractional entitlements as they consider necessary or convenient; and</w:t>
      </w:r>
    </w:p>
    <w:p w14:paraId="4722D369" w14:textId="75FCFD06" w:rsidR="00D86526" w:rsidRPr="000C1F6F" w:rsidRDefault="00D86526" w:rsidP="00B636F2">
      <w:pPr>
        <w:pStyle w:val="ListParagraph"/>
        <w:numPr>
          <w:ilvl w:val="0"/>
          <w:numId w:val="46"/>
        </w:numPr>
        <w:ind w:left="993"/>
        <w:jc w:val="both"/>
        <w:rPr>
          <w:rFonts w:cstheme="minorHAnsi"/>
        </w:rPr>
      </w:pPr>
      <w:r w:rsidRPr="007600A7">
        <w:rPr>
          <w:rFonts w:cstheme="minorHAnsi"/>
        </w:rPr>
        <w:t xml:space="preserve">the allotment (otherwise than under sub-paragraph (a) above) of equity securities and/or the sale or transfer of shares held by the Company in treasury (as the Directors shall deem appropriate) up to an aggregate nominal amount of </w:t>
      </w:r>
      <w:r w:rsidR="00B636F2" w:rsidRPr="007600A7">
        <w:rPr>
          <w:rFonts w:cstheme="minorHAnsi"/>
        </w:rPr>
        <w:t xml:space="preserve">£127,052.00 (equating to 254,104 Ordinary Shares and representing </w:t>
      </w:r>
      <w:r w:rsidR="00B636F2" w:rsidRPr="007600A7">
        <w:rPr>
          <w:rFonts w:cstheme="minorHAnsi"/>
        </w:rPr>
        <w:lastRenderedPageBreak/>
        <w:t>approximately 10.0% of the ordinary share capital of the Company at the latest practicable date before publication of this Notice).</w:t>
      </w:r>
    </w:p>
    <w:p w14:paraId="1E15436E" w14:textId="77777777" w:rsidR="00D86526" w:rsidRPr="00A02B31" w:rsidRDefault="00D86526" w:rsidP="00D86526">
      <w:pPr>
        <w:ind w:left="142"/>
        <w:jc w:val="both"/>
        <w:rPr>
          <w:rFonts w:eastAsia="Calibri" w:cstheme="minorHAnsi"/>
        </w:rPr>
      </w:pPr>
    </w:p>
    <w:p w14:paraId="30C89619" w14:textId="0583D90D" w:rsidR="00D86526" w:rsidRPr="00A02B31" w:rsidRDefault="00D86526" w:rsidP="00096178">
      <w:pPr>
        <w:ind w:left="709"/>
        <w:jc w:val="both"/>
        <w:rPr>
          <w:rFonts w:eastAsia="Calibri" w:cstheme="minorHAnsi"/>
        </w:rPr>
      </w:pPr>
      <w:r w:rsidRPr="00A02B31">
        <w:rPr>
          <w:rFonts w:eastAsia="Calibri" w:cstheme="minorHAnsi"/>
        </w:rPr>
        <w:t>and this authority shall expire on the earlier of 30 September 2023 or the conclusion of the Company’s Annual General Meeting in 202</w:t>
      </w:r>
      <w:r w:rsidR="00B636F2" w:rsidRPr="00A02B31">
        <w:rPr>
          <w:rFonts w:eastAsia="Calibri" w:cstheme="minorHAnsi"/>
        </w:rPr>
        <w:t>3</w:t>
      </w:r>
      <w:r w:rsidRPr="00A02B31">
        <w:rPr>
          <w:rFonts w:eastAsia="Calibri" w:cstheme="minorHAnsi"/>
        </w:rPr>
        <w:t xml:space="preserve"> provided that the Company may before such expiry make offers or agreements which would or might require equity securities to be allotted after such expiry and the Directors of the Company may allot equity securities under such offers or agreements as if the power conferred by this resolution had not expired and provided further that this authority shall be in substitution for, and to the exclusion of, any existing authority conferred on the Directors.</w:t>
      </w:r>
    </w:p>
    <w:p w14:paraId="5275C559" w14:textId="7752D8C3" w:rsidR="004F15AC" w:rsidRPr="00A02B31" w:rsidRDefault="004F15AC" w:rsidP="00096178">
      <w:pPr>
        <w:ind w:left="709"/>
        <w:jc w:val="both"/>
        <w:rPr>
          <w:rFonts w:eastAsia="Calibri" w:cstheme="minorHAnsi"/>
        </w:rPr>
      </w:pPr>
    </w:p>
    <w:p w14:paraId="5564368D" w14:textId="4DAD924E" w:rsidR="004F15AC" w:rsidRPr="00A02B31" w:rsidRDefault="004F15AC" w:rsidP="004F15AC">
      <w:pPr>
        <w:numPr>
          <w:ilvl w:val="0"/>
          <w:numId w:val="3"/>
        </w:numPr>
        <w:ind w:left="709" w:hanging="567"/>
        <w:contextualSpacing/>
        <w:jc w:val="both"/>
        <w:rPr>
          <w:rFonts w:eastAsia="Calibri" w:cstheme="minorHAnsi"/>
        </w:rPr>
      </w:pPr>
      <w:r w:rsidRPr="00A02B31">
        <w:rPr>
          <w:rFonts w:eastAsia="Calibri" w:cstheme="minorHAnsi"/>
        </w:rPr>
        <w:t xml:space="preserve">THAT, subject to and conditional </w:t>
      </w:r>
      <w:r w:rsidR="00DA53F6" w:rsidRPr="00A02B31">
        <w:rPr>
          <w:rFonts w:eastAsia="Calibri" w:cstheme="minorHAnsi"/>
        </w:rPr>
        <w:t xml:space="preserve">upon the passing of resolution </w:t>
      </w:r>
      <w:r w:rsidR="00D748CF" w:rsidRPr="00A02B31">
        <w:rPr>
          <w:rFonts w:eastAsia="Calibri" w:cstheme="minorHAnsi"/>
        </w:rPr>
        <w:t xml:space="preserve">5 </w:t>
      </w:r>
      <w:r w:rsidRPr="00A02B31">
        <w:rPr>
          <w:rFonts w:eastAsia="Calibri" w:cstheme="minorHAnsi"/>
        </w:rPr>
        <w:t xml:space="preserve">above, </w:t>
      </w:r>
      <w:r w:rsidR="00DA53F6" w:rsidRPr="00A02B31">
        <w:rPr>
          <w:rFonts w:eastAsia="Calibri" w:cstheme="minorHAnsi"/>
        </w:rPr>
        <w:t xml:space="preserve">and in addition to the authority granted in resolution </w:t>
      </w:r>
      <w:r w:rsidR="00D748CF" w:rsidRPr="00A02B31">
        <w:rPr>
          <w:rFonts w:eastAsia="Calibri" w:cstheme="minorHAnsi"/>
        </w:rPr>
        <w:t>6</w:t>
      </w:r>
      <w:r w:rsidR="00DA53F6" w:rsidRPr="00A02B31">
        <w:rPr>
          <w:rFonts w:eastAsia="Calibri" w:cstheme="minorHAnsi"/>
        </w:rPr>
        <w:t xml:space="preserve">, </w:t>
      </w:r>
      <w:r w:rsidRPr="00A02B31">
        <w:rPr>
          <w:rFonts w:eastAsia="Calibri" w:cstheme="minorHAnsi"/>
        </w:rPr>
        <w:t xml:space="preserve">the Directors of the Company be empowered under section 570 of the Companies Act 2006 (the Act) to allot equity securities (within the meaning of section 560 of the Act) for cash and/or to sell or transfer shares held by the Company in treasury (as the directors shall deem appropriate) under the authority conferred on them under section 551 of the Act by resolution </w:t>
      </w:r>
      <w:r w:rsidR="00D748CF" w:rsidRPr="00A02B31">
        <w:rPr>
          <w:rFonts w:eastAsia="Calibri" w:cstheme="minorHAnsi"/>
        </w:rPr>
        <w:t xml:space="preserve">6 </w:t>
      </w:r>
      <w:r w:rsidRPr="00A02B31">
        <w:rPr>
          <w:rFonts w:eastAsia="Calibri" w:cstheme="minorHAnsi"/>
        </w:rPr>
        <w:t>above as if section 561(1) of the Act did not apply to any such allotment provided that this power shall be limited to:</w:t>
      </w:r>
    </w:p>
    <w:p w14:paraId="008D9E89" w14:textId="77777777" w:rsidR="004F15AC" w:rsidRPr="00A02B31" w:rsidRDefault="004F15AC" w:rsidP="004F15AC">
      <w:pPr>
        <w:ind w:left="709" w:hanging="567"/>
        <w:jc w:val="both"/>
        <w:rPr>
          <w:rFonts w:eastAsia="Calibri" w:cstheme="minorHAnsi"/>
        </w:rPr>
      </w:pPr>
    </w:p>
    <w:p w14:paraId="5407A30B" w14:textId="06163B7A" w:rsidR="004F15AC" w:rsidRPr="00A02B31" w:rsidRDefault="004F15AC" w:rsidP="00B5708A">
      <w:pPr>
        <w:pStyle w:val="ListParagraph"/>
        <w:numPr>
          <w:ilvl w:val="0"/>
          <w:numId w:val="58"/>
        </w:numPr>
        <w:ind w:left="993"/>
        <w:jc w:val="both"/>
        <w:rPr>
          <w:rFonts w:eastAsia="Calibri" w:cstheme="minorHAnsi"/>
        </w:rPr>
      </w:pPr>
      <w:r w:rsidRPr="00A02B31">
        <w:rPr>
          <w:rFonts w:eastAsia="Calibri" w:cstheme="minorHAnsi"/>
        </w:rPr>
        <w:t>the allotment of equity securities in connection with any rights issue or other pro-rata offer in favour of the holders of Ordinary Shares of 50 pence each in the Company where the equity securities respectively attributable to the interests of all such holders of shares are proportionate (as nearly as may be) to the respective numbers of shares held by them, provided that the Directors of the Company may make such arrangements in respect of overseas holders of shares and/or to deal with fractional entitlements as they consider necessary or convenient; and</w:t>
      </w:r>
    </w:p>
    <w:p w14:paraId="1DF466E7" w14:textId="77777777" w:rsidR="004F15AC" w:rsidRPr="00A02B31" w:rsidRDefault="004F15AC" w:rsidP="00B5708A">
      <w:pPr>
        <w:pStyle w:val="ListParagraph"/>
        <w:ind w:left="993"/>
        <w:jc w:val="both"/>
        <w:rPr>
          <w:rFonts w:eastAsia="Calibri" w:cstheme="minorHAnsi"/>
        </w:rPr>
      </w:pPr>
    </w:p>
    <w:p w14:paraId="4406BC75" w14:textId="16D2A1AA" w:rsidR="004F15AC" w:rsidRPr="000C1F6F" w:rsidRDefault="004F15AC" w:rsidP="00B636F2">
      <w:pPr>
        <w:pStyle w:val="ListParagraph"/>
        <w:numPr>
          <w:ilvl w:val="0"/>
          <w:numId w:val="58"/>
        </w:numPr>
        <w:ind w:left="993"/>
        <w:jc w:val="both"/>
        <w:rPr>
          <w:rFonts w:cstheme="minorHAnsi"/>
        </w:rPr>
      </w:pPr>
      <w:r w:rsidRPr="007600A7">
        <w:rPr>
          <w:rFonts w:cstheme="minorHAnsi"/>
        </w:rPr>
        <w:t xml:space="preserve">the allotment (otherwise than under sub-paragraph (a) above) of equity securities and/or the sale or transfer of shares held by the Company in treasury (as the Directors shall deem appropriate) up to an aggregate nominal amount of </w:t>
      </w:r>
      <w:r w:rsidR="00B636F2" w:rsidRPr="007600A7">
        <w:rPr>
          <w:rFonts w:cstheme="minorHAnsi"/>
        </w:rPr>
        <w:t>£127,052.00 (equating to 254,104 Ordinary Shares and representing approximately 10.0% of the ordinary share capital of the Company at the latest practicable date before publication of this Notice).</w:t>
      </w:r>
    </w:p>
    <w:p w14:paraId="5178A32E" w14:textId="77777777" w:rsidR="004F15AC" w:rsidRPr="00A02B31" w:rsidRDefault="004F15AC" w:rsidP="004F15AC">
      <w:pPr>
        <w:ind w:left="142"/>
        <w:jc w:val="both"/>
        <w:rPr>
          <w:rFonts w:eastAsia="Calibri" w:cstheme="minorHAnsi"/>
        </w:rPr>
      </w:pPr>
    </w:p>
    <w:p w14:paraId="5174B31B" w14:textId="57BF0BE7" w:rsidR="004F15AC" w:rsidRPr="00A02B31" w:rsidRDefault="004F15AC" w:rsidP="00096178">
      <w:pPr>
        <w:ind w:left="709"/>
        <w:jc w:val="both"/>
        <w:rPr>
          <w:rFonts w:eastAsia="Calibri" w:cstheme="minorHAnsi"/>
        </w:rPr>
      </w:pPr>
      <w:r w:rsidRPr="00A02B31">
        <w:rPr>
          <w:rFonts w:eastAsia="Calibri" w:cstheme="minorHAnsi"/>
        </w:rPr>
        <w:t>and this authority shall expire on the earlier of 30 September 2023 or the conclusion of the Company’s Annual General Meeting in 2022 provided that the Company may before such expiry make offers or agreements which would or might require equity securities to be allotted after such expiry and the Directors of the Company may allot equity securities under such offers or agreements as if the power conferred by this resolution had not expired and provided further that this authority shall be in substitution for, and to the exclusion of, any existing authority conferred on the Directors.</w:t>
      </w:r>
    </w:p>
    <w:p w14:paraId="1A330D55" w14:textId="77777777" w:rsidR="00D86526" w:rsidRPr="00A02B31" w:rsidRDefault="00D86526" w:rsidP="00D86526">
      <w:pPr>
        <w:ind w:left="142"/>
        <w:jc w:val="both"/>
        <w:rPr>
          <w:rFonts w:eastAsia="Calibri" w:cstheme="minorHAnsi"/>
        </w:rPr>
      </w:pPr>
    </w:p>
    <w:p w14:paraId="33933DF6" w14:textId="77777777" w:rsidR="00D86526" w:rsidRPr="00A02B31" w:rsidRDefault="00D86526" w:rsidP="00096178">
      <w:pPr>
        <w:numPr>
          <w:ilvl w:val="0"/>
          <w:numId w:val="3"/>
        </w:numPr>
        <w:ind w:left="709" w:hanging="567"/>
        <w:contextualSpacing/>
        <w:jc w:val="both"/>
        <w:rPr>
          <w:rFonts w:eastAsia="Calibri" w:cstheme="minorHAnsi"/>
        </w:rPr>
      </w:pPr>
      <w:r w:rsidRPr="00A02B31">
        <w:rPr>
          <w:rFonts w:eastAsia="Calibri" w:cstheme="minorHAnsi"/>
        </w:rPr>
        <w:t>THAT, the Company be generally and unconditionally authorised to make market purchases (as defined in the Companies Act 2006) of Ordinary Shares of 50 pence each in the capital of the Company (Ordinary Shares) on such terms and in such manner as the Directors may from time to time determine, provided that:</w:t>
      </w:r>
    </w:p>
    <w:p w14:paraId="32BCD62B" w14:textId="77777777" w:rsidR="00D86526" w:rsidRPr="00A02B31" w:rsidRDefault="00D86526" w:rsidP="00096178">
      <w:pPr>
        <w:ind w:left="993"/>
        <w:jc w:val="both"/>
        <w:rPr>
          <w:rFonts w:eastAsia="Calibri" w:cstheme="minorHAnsi"/>
        </w:rPr>
      </w:pPr>
    </w:p>
    <w:p w14:paraId="1170F442" w14:textId="2990BCBE" w:rsidR="00D86526" w:rsidRPr="00A02B31" w:rsidRDefault="00D86526" w:rsidP="009D1381">
      <w:pPr>
        <w:pStyle w:val="ListParagraph"/>
        <w:numPr>
          <w:ilvl w:val="0"/>
          <w:numId w:val="47"/>
        </w:numPr>
        <w:ind w:left="993"/>
        <w:jc w:val="both"/>
        <w:rPr>
          <w:rFonts w:eastAsia="Calibri" w:cstheme="minorHAnsi"/>
        </w:rPr>
      </w:pPr>
      <w:r w:rsidRPr="00A02B31">
        <w:rPr>
          <w:rFonts w:eastAsia="Calibri" w:cstheme="minorHAnsi"/>
        </w:rPr>
        <w:t xml:space="preserve">the maximum number of Ordinary Shares authorised to be purchased shall be </w:t>
      </w:r>
      <w:r w:rsidR="00B636F2" w:rsidRPr="00A02B31">
        <w:rPr>
          <w:rFonts w:eastAsia="Calibri" w:cstheme="minorHAnsi"/>
        </w:rPr>
        <w:t>380,903</w:t>
      </w:r>
      <w:r w:rsidRPr="00A02B31">
        <w:rPr>
          <w:rFonts w:eastAsia="Calibri" w:cstheme="minorHAnsi"/>
        </w:rPr>
        <w:t>;</w:t>
      </w:r>
    </w:p>
    <w:p w14:paraId="35574A24" w14:textId="77777777" w:rsidR="00D86526" w:rsidRPr="00A02B31" w:rsidRDefault="00D86526" w:rsidP="009D1381">
      <w:pPr>
        <w:pStyle w:val="ListParagraph"/>
        <w:ind w:left="993"/>
        <w:jc w:val="both"/>
        <w:rPr>
          <w:rFonts w:eastAsia="Calibri" w:cstheme="minorHAnsi"/>
        </w:rPr>
      </w:pPr>
    </w:p>
    <w:p w14:paraId="70C40976" w14:textId="693054D7" w:rsidR="00D86526" w:rsidRPr="00A02B31" w:rsidRDefault="00D86526" w:rsidP="009D1381">
      <w:pPr>
        <w:pStyle w:val="ListParagraph"/>
        <w:numPr>
          <w:ilvl w:val="0"/>
          <w:numId w:val="47"/>
        </w:numPr>
        <w:ind w:left="993"/>
        <w:jc w:val="both"/>
        <w:rPr>
          <w:rFonts w:eastAsia="Calibri" w:cstheme="minorHAnsi"/>
        </w:rPr>
      </w:pPr>
      <w:r w:rsidRPr="00A02B31">
        <w:rPr>
          <w:rFonts w:eastAsia="Calibri" w:cstheme="minorHAnsi"/>
        </w:rPr>
        <w:t>the minimum price which may be paid for an Ordinary Share is 50 pence;</w:t>
      </w:r>
    </w:p>
    <w:p w14:paraId="2BABF186" w14:textId="77777777" w:rsidR="00D86526" w:rsidRPr="00A02B31" w:rsidRDefault="00D86526" w:rsidP="009D1381">
      <w:pPr>
        <w:pStyle w:val="ListParagraph"/>
        <w:ind w:left="993"/>
        <w:jc w:val="both"/>
        <w:rPr>
          <w:rFonts w:eastAsia="Calibri" w:cstheme="minorHAnsi"/>
        </w:rPr>
      </w:pPr>
    </w:p>
    <w:p w14:paraId="7E5D6CAE" w14:textId="7E339FD5" w:rsidR="00D86526" w:rsidRPr="00A02B31" w:rsidRDefault="00D86526" w:rsidP="009D1381">
      <w:pPr>
        <w:pStyle w:val="ListParagraph"/>
        <w:numPr>
          <w:ilvl w:val="0"/>
          <w:numId w:val="47"/>
        </w:numPr>
        <w:ind w:left="993"/>
        <w:jc w:val="both"/>
        <w:rPr>
          <w:rFonts w:eastAsia="Calibri" w:cstheme="minorHAnsi"/>
        </w:rPr>
      </w:pPr>
      <w:r w:rsidRPr="00A02B31">
        <w:rPr>
          <w:rFonts w:eastAsia="Calibri" w:cstheme="minorHAnsi"/>
        </w:rPr>
        <w:t>the maximum price which may be paid for an Ordinary Share is an amount equal to 105% of the average of the middle market quotations for an Ordinary Share (as derived from the Daily Official List) for the five business days immediately preceding the date on which the Ordinary Share is contracted to be purchased;</w:t>
      </w:r>
    </w:p>
    <w:p w14:paraId="611F4898" w14:textId="77777777" w:rsidR="00D86526" w:rsidRPr="00A02B31" w:rsidRDefault="00D86526" w:rsidP="009D1381">
      <w:pPr>
        <w:pStyle w:val="ListParagraph"/>
        <w:ind w:left="993"/>
        <w:jc w:val="both"/>
        <w:rPr>
          <w:rFonts w:eastAsia="Calibri" w:cstheme="minorHAnsi"/>
        </w:rPr>
      </w:pPr>
    </w:p>
    <w:p w14:paraId="0830D2F4" w14:textId="1D87A584" w:rsidR="00D86526" w:rsidRPr="00A02B31" w:rsidRDefault="00D86526" w:rsidP="009D1381">
      <w:pPr>
        <w:pStyle w:val="ListParagraph"/>
        <w:numPr>
          <w:ilvl w:val="0"/>
          <w:numId w:val="47"/>
        </w:numPr>
        <w:ind w:left="993"/>
        <w:jc w:val="both"/>
        <w:rPr>
          <w:rFonts w:eastAsia="Calibri" w:cstheme="minorHAnsi"/>
        </w:rPr>
      </w:pPr>
      <w:r w:rsidRPr="00A02B31">
        <w:rPr>
          <w:rFonts w:eastAsia="Calibri" w:cstheme="minorHAnsi"/>
        </w:rPr>
        <w:lastRenderedPageBreak/>
        <w:t>the minimum and maximum prices per Ordinary Share referred to in sub-paragraphs (b) and (c) of this resolution are in each case exclusive of any expenses payable by the Company;</w:t>
      </w:r>
    </w:p>
    <w:p w14:paraId="5419850D" w14:textId="77777777" w:rsidR="00D86526" w:rsidRPr="00A02B31" w:rsidRDefault="00D86526" w:rsidP="009D1381">
      <w:pPr>
        <w:pStyle w:val="ListParagraph"/>
        <w:ind w:left="993"/>
        <w:jc w:val="both"/>
        <w:rPr>
          <w:rFonts w:eastAsia="Calibri" w:cstheme="minorHAnsi"/>
        </w:rPr>
      </w:pPr>
    </w:p>
    <w:p w14:paraId="72121637" w14:textId="30A59187" w:rsidR="00D86526" w:rsidRPr="00A02B31" w:rsidRDefault="00D86526" w:rsidP="009D1381">
      <w:pPr>
        <w:pStyle w:val="ListParagraph"/>
        <w:numPr>
          <w:ilvl w:val="0"/>
          <w:numId w:val="47"/>
        </w:numPr>
        <w:ind w:left="993"/>
        <w:jc w:val="both"/>
        <w:rPr>
          <w:rFonts w:eastAsia="Calibri" w:cstheme="minorHAnsi"/>
        </w:rPr>
      </w:pPr>
      <w:r w:rsidRPr="00A02B31">
        <w:rPr>
          <w:rFonts w:eastAsia="Calibri" w:cstheme="minorHAnsi"/>
        </w:rPr>
        <w:t>the authority conferred by this resolution shall expire at the end of the Annual General Meeting in 202</w:t>
      </w:r>
      <w:r w:rsidR="00B636F2" w:rsidRPr="00A02B31">
        <w:rPr>
          <w:rFonts w:eastAsia="Calibri" w:cstheme="minorHAnsi"/>
        </w:rPr>
        <w:t>3</w:t>
      </w:r>
      <w:r w:rsidRPr="00A02B31">
        <w:rPr>
          <w:rFonts w:eastAsia="Calibri" w:cstheme="minorHAnsi"/>
        </w:rPr>
        <w:t xml:space="preserve"> (or if earlier at the close of business on 30 September 2023) unless such authority is varied, revoked or renewed prior to such time by the Company in general meeting; and</w:t>
      </w:r>
    </w:p>
    <w:p w14:paraId="3AEB3BA9" w14:textId="77777777" w:rsidR="00D86526" w:rsidRPr="00A02B31" w:rsidRDefault="00D86526" w:rsidP="009D1381">
      <w:pPr>
        <w:pStyle w:val="ListParagraph"/>
        <w:ind w:left="993"/>
        <w:jc w:val="both"/>
        <w:rPr>
          <w:rFonts w:eastAsia="Calibri" w:cstheme="minorHAnsi"/>
        </w:rPr>
      </w:pPr>
    </w:p>
    <w:p w14:paraId="6D5C89A6" w14:textId="3C2953D5" w:rsidR="00D86526" w:rsidRPr="00A02B31" w:rsidRDefault="00D86526" w:rsidP="009D1381">
      <w:pPr>
        <w:pStyle w:val="ListParagraph"/>
        <w:numPr>
          <w:ilvl w:val="0"/>
          <w:numId w:val="47"/>
        </w:numPr>
        <w:ind w:left="993"/>
        <w:jc w:val="both"/>
        <w:rPr>
          <w:rFonts w:eastAsia="Calibri" w:cstheme="minorHAnsi"/>
        </w:rPr>
      </w:pPr>
      <w:r w:rsidRPr="00A02B31">
        <w:rPr>
          <w:rFonts w:eastAsia="Calibri" w:cstheme="minorHAnsi"/>
        </w:rPr>
        <w:t>the Company may make a contract to purchase Ordinary Shares under the authority hereby conferred prior to the expiry of such authority which will or may be completed wholly or partly after the expiration of such authority.</w:t>
      </w:r>
    </w:p>
    <w:p w14:paraId="12199B8B" w14:textId="77777777" w:rsidR="00D86526" w:rsidRPr="00A02B31" w:rsidRDefault="00D86526" w:rsidP="00096178">
      <w:pPr>
        <w:ind w:left="709"/>
        <w:jc w:val="both"/>
        <w:rPr>
          <w:rFonts w:eastAsia="Calibri" w:cstheme="minorHAnsi"/>
        </w:rPr>
      </w:pPr>
    </w:p>
    <w:p w14:paraId="7B70EF3F" w14:textId="77777777" w:rsidR="00D86526" w:rsidRPr="00A02B31" w:rsidRDefault="00D86526" w:rsidP="00096178">
      <w:pPr>
        <w:numPr>
          <w:ilvl w:val="0"/>
          <w:numId w:val="3"/>
        </w:numPr>
        <w:ind w:left="709" w:hanging="425"/>
        <w:contextualSpacing/>
        <w:jc w:val="both"/>
        <w:rPr>
          <w:rFonts w:eastAsia="Calibri" w:cstheme="minorHAnsi"/>
        </w:rPr>
      </w:pPr>
      <w:r w:rsidRPr="00A02B31">
        <w:rPr>
          <w:rFonts w:eastAsia="Calibri" w:cstheme="minorHAnsi"/>
        </w:rPr>
        <w:t>To adopt the new articles of association attached hereto, as the Company’s articles of association in substitution for, and to the exclusion of, the Company’s existing articles of association.</w:t>
      </w:r>
    </w:p>
    <w:p w14:paraId="3697363A" w14:textId="77777777" w:rsidR="00D86526" w:rsidRPr="00A02B31" w:rsidRDefault="00D86526" w:rsidP="00096178">
      <w:pPr>
        <w:ind w:left="709"/>
        <w:contextualSpacing/>
        <w:jc w:val="both"/>
        <w:rPr>
          <w:rFonts w:eastAsia="Calibri" w:cstheme="minorHAnsi"/>
        </w:rPr>
      </w:pPr>
    </w:p>
    <w:p w14:paraId="6208301A" w14:textId="77777777" w:rsidR="00D86526" w:rsidRPr="00A02B31" w:rsidRDefault="00D86526" w:rsidP="00096178">
      <w:pPr>
        <w:autoSpaceDE w:val="0"/>
        <w:autoSpaceDN w:val="0"/>
        <w:adjustRightInd w:val="0"/>
        <w:ind w:left="709"/>
        <w:jc w:val="both"/>
        <w:rPr>
          <w:rFonts w:eastAsia="Calibri" w:cstheme="minorHAnsi"/>
          <w:color w:val="000000"/>
        </w:rPr>
      </w:pPr>
      <w:r w:rsidRPr="00A02B31">
        <w:rPr>
          <w:rFonts w:eastAsia="Calibri" w:cstheme="minorHAnsi"/>
          <w:color w:val="000000"/>
        </w:rPr>
        <w:t>The Directors consider that all the resolutions to be proposed at the Annual General Meeting are in the best interests of the Company and its members as a whole. The Directors unanimously recommend that shareholders vote in favour of all the resolutions, as they intend to do in respect of their own beneficial holdings.</w:t>
      </w:r>
    </w:p>
    <w:p w14:paraId="6F2A37E6" w14:textId="77777777" w:rsidR="00D86526" w:rsidRPr="00A02B31" w:rsidRDefault="00D86526" w:rsidP="00D86526">
      <w:pPr>
        <w:ind w:left="142"/>
        <w:jc w:val="both"/>
        <w:rPr>
          <w:rFonts w:eastAsia="Calibri" w:cstheme="minorHAnsi"/>
        </w:rPr>
      </w:pPr>
    </w:p>
    <w:p w14:paraId="41AF6652" w14:textId="77777777" w:rsidR="00D86526" w:rsidRPr="00A02B31" w:rsidRDefault="00D86526" w:rsidP="00D86526">
      <w:pPr>
        <w:ind w:left="142"/>
        <w:jc w:val="both"/>
        <w:rPr>
          <w:rFonts w:eastAsia="Calibri" w:cstheme="minorHAnsi"/>
        </w:rPr>
      </w:pPr>
      <w:r w:rsidRPr="00A02B31">
        <w:rPr>
          <w:rFonts w:eastAsia="Calibri" w:cstheme="minorHAnsi"/>
        </w:rPr>
        <w:t>By order of the Board</w:t>
      </w:r>
    </w:p>
    <w:p w14:paraId="00F523B2" w14:textId="33ADD332" w:rsidR="00D86526" w:rsidRPr="00A02B31" w:rsidRDefault="00FB7970" w:rsidP="00D86526">
      <w:pPr>
        <w:ind w:left="142"/>
        <w:jc w:val="both"/>
        <w:rPr>
          <w:rFonts w:eastAsia="Calibri" w:cstheme="minorHAnsi"/>
        </w:rPr>
      </w:pPr>
      <w:r>
        <w:rPr>
          <w:noProof/>
          <w:lang w:eastAsia="en-GB"/>
        </w:rPr>
        <w:drawing>
          <wp:anchor distT="0" distB="0" distL="114300" distR="114300" simplePos="0" relativeHeight="251736064" behindDoc="1" locked="0" layoutInCell="1" allowOverlap="1" wp14:anchorId="4195CA11" wp14:editId="47481501">
            <wp:simplePos x="0" y="0"/>
            <wp:positionH relativeFrom="column">
              <wp:posOffset>92710</wp:posOffset>
            </wp:positionH>
            <wp:positionV relativeFrom="paragraph">
              <wp:posOffset>100965</wp:posOffset>
            </wp:positionV>
            <wp:extent cx="958850" cy="554516"/>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58850" cy="554516"/>
                    </a:xfrm>
                    <a:prstGeom prst="rect">
                      <a:avLst/>
                    </a:prstGeom>
                  </pic:spPr>
                </pic:pic>
              </a:graphicData>
            </a:graphic>
          </wp:anchor>
        </w:drawing>
      </w:r>
    </w:p>
    <w:p w14:paraId="57671737" w14:textId="6CCA9B1F" w:rsidR="00D86526" w:rsidRDefault="00D86526" w:rsidP="00D86526">
      <w:pPr>
        <w:ind w:left="142"/>
        <w:jc w:val="both"/>
        <w:rPr>
          <w:rFonts w:eastAsia="Calibri" w:cstheme="minorHAnsi"/>
        </w:rPr>
      </w:pPr>
    </w:p>
    <w:p w14:paraId="6C60873F" w14:textId="2C593B31" w:rsidR="00FB7970" w:rsidRDefault="00FB7970" w:rsidP="00D86526">
      <w:pPr>
        <w:ind w:left="142"/>
        <w:jc w:val="both"/>
        <w:rPr>
          <w:rFonts w:eastAsia="Calibri" w:cstheme="minorHAnsi"/>
        </w:rPr>
      </w:pPr>
    </w:p>
    <w:p w14:paraId="76408297" w14:textId="77777777" w:rsidR="00FB7970" w:rsidRPr="00A02B31" w:rsidRDefault="00FB7970" w:rsidP="00D86526">
      <w:pPr>
        <w:ind w:left="142"/>
        <w:jc w:val="both"/>
        <w:rPr>
          <w:rFonts w:eastAsia="Calibri" w:cstheme="minorHAnsi"/>
        </w:rPr>
      </w:pPr>
    </w:p>
    <w:p w14:paraId="28F271A0" w14:textId="1881F7E9" w:rsidR="00D86526" w:rsidRPr="00A02B31" w:rsidRDefault="00D86526" w:rsidP="00D86526">
      <w:pPr>
        <w:ind w:left="142"/>
        <w:rPr>
          <w:rFonts w:eastAsia="Calibri" w:cstheme="minorHAnsi"/>
          <w:b/>
        </w:rPr>
      </w:pPr>
      <w:r w:rsidRPr="00A02B31">
        <w:rPr>
          <w:rFonts w:eastAsia="Calibri" w:cstheme="minorHAnsi"/>
          <w:b/>
        </w:rPr>
        <w:t xml:space="preserve">SGH Company Secretaries Limited </w:t>
      </w:r>
    </w:p>
    <w:p w14:paraId="77FDC17E" w14:textId="77777777" w:rsidR="00D86526" w:rsidRPr="00A02B31" w:rsidRDefault="00D86526" w:rsidP="00D86526">
      <w:pPr>
        <w:ind w:left="142"/>
        <w:jc w:val="both"/>
        <w:rPr>
          <w:rFonts w:eastAsia="Calibri" w:cstheme="minorHAnsi"/>
        </w:rPr>
      </w:pPr>
      <w:r w:rsidRPr="00A02B31">
        <w:rPr>
          <w:rFonts w:eastAsia="Calibri" w:cstheme="minorHAnsi"/>
        </w:rPr>
        <w:t xml:space="preserve">Company Secretary </w:t>
      </w:r>
    </w:p>
    <w:p w14:paraId="5CF4EBB8" w14:textId="5ACCACFA" w:rsidR="00D86526" w:rsidRPr="00A02B31" w:rsidRDefault="0098378A" w:rsidP="00D86526">
      <w:pPr>
        <w:ind w:left="142"/>
        <w:jc w:val="both"/>
        <w:rPr>
          <w:rFonts w:eastAsia="Calibri" w:cstheme="minorHAnsi"/>
        </w:rPr>
      </w:pPr>
      <w:r w:rsidRPr="00A02B31">
        <w:rPr>
          <w:rFonts w:eastAsia="Calibri" w:cstheme="minorHAnsi"/>
        </w:rPr>
        <w:t xml:space="preserve">22 </w:t>
      </w:r>
      <w:r w:rsidR="00D86526" w:rsidRPr="00A02B31">
        <w:rPr>
          <w:rFonts w:eastAsia="Calibri" w:cstheme="minorHAnsi"/>
        </w:rPr>
        <w:t>June 2022</w:t>
      </w:r>
    </w:p>
    <w:p w14:paraId="3B03CFE1" w14:textId="77777777" w:rsidR="00D86526" w:rsidRPr="00A02B31" w:rsidRDefault="00D86526" w:rsidP="00D86526">
      <w:pPr>
        <w:ind w:left="142"/>
        <w:jc w:val="both"/>
        <w:rPr>
          <w:rFonts w:eastAsia="Calibri" w:cstheme="minorHAnsi"/>
        </w:rPr>
      </w:pPr>
    </w:p>
    <w:p w14:paraId="1C4AC302" w14:textId="77777777" w:rsidR="00D86526" w:rsidRPr="00A02B31" w:rsidRDefault="00D86526" w:rsidP="00D86526">
      <w:pPr>
        <w:ind w:left="142"/>
        <w:jc w:val="both"/>
        <w:rPr>
          <w:rFonts w:eastAsia="Calibri" w:cstheme="minorHAnsi"/>
        </w:rPr>
      </w:pPr>
      <w:r w:rsidRPr="00A02B31">
        <w:rPr>
          <w:rFonts w:eastAsia="Calibri" w:cstheme="minorHAnsi"/>
        </w:rPr>
        <w:t>Registered Office: 6th Floor 60 Gracechurch Street, London, EC3V0HR</w:t>
      </w:r>
    </w:p>
    <w:p w14:paraId="7B27D626" w14:textId="3EB2B7D3" w:rsidR="00D86526" w:rsidRPr="00A02B31" w:rsidRDefault="00D86526" w:rsidP="00D86526">
      <w:pPr>
        <w:ind w:left="142"/>
        <w:jc w:val="both"/>
        <w:rPr>
          <w:rFonts w:eastAsia="Calibri" w:cstheme="minorHAnsi"/>
        </w:rPr>
      </w:pPr>
      <w:r w:rsidRPr="00A02B31">
        <w:rPr>
          <w:rFonts w:eastAsia="Calibri" w:cstheme="minorHAnsi"/>
        </w:rPr>
        <w:t xml:space="preserve"> </w:t>
      </w:r>
    </w:p>
    <w:p w14:paraId="6942F703" w14:textId="300D831B" w:rsidR="008F1228" w:rsidRPr="00A02B31" w:rsidRDefault="008F1228" w:rsidP="00D86526">
      <w:pPr>
        <w:ind w:left="142"/>
        <w:jc w:val="both"/>
        <w:rPr>
          <w:rFonts w:eastAsia="Calibri" w:cstheme="minorHAnsi"/>
        </w:rPr>
      </w:pPr>
    </w:p>
    <w:p w14:paraId="116B73CF" w14:textId="152A9F6D" w:rsidR="008F1228" w:rsidRPr="00A02B31" w:rsidRDefault="008F1228" w:rsidP="00D86526">
      <w:pPr>
        <w:ind w:left="142"/>
        <w:jc w:val="both"/>
        <w:rPr>
          <w:rFonts w:eastAsia="Calibri" w:cstheme="minorHAnsi"/>
        </w:rPr>
      </w:pPr>
    </w:p>
    <w:p w14:paraId="1F32C3C2" w14:textId="6E02DAF2" w:rsidR="008F1228" w:rsidRPr="00A02B31" w:rsidRDefault="008F1228" w:rsidP="00D86526">
      <w:pPr>
        <w:ind w:left="142"/>
        <w:jc w:val="both"/>
        <w:rPr>
          <w:rFonts w:eastAsia="Calibri" w:cstheme="minorHAnsi"/>
        </w:rPr>
      </w:pPr>
    </w:p>
    <w:p w14:paraId="7E966B19" w14:textId="57C1CE9F" w:rsidR="008F1228" w:rsidRPr="00A02B31" w:rsidRDefault="008F1228" w:rsidP="00D86526">
      <w:pPr>
        <w:ind w:left="142"/>
        <w:jc w:val="both"/>
        <w:rPr>
          <w:rFonts w:eastAsia="Calibri" w:cstheme="minorHAnsi"/>
        </w:rPr>
      </w:pPr>
    </w:p>
    <w:p w14:paraId="41208879" w14:textId="6C882369" w:rsidR="008F1228" w:rsidRPr="00A02B31" w:rsidRDefault="008F1228" w:rsidP="00D86526">
      <w:pPr>
        <w:ind w:left="142"/>
        <w:jc w:val="both"/>
        <w:rPr>
          <w:rFonts w:eastAsia="Calibri" w:cstheme="minorHAnsi"/>
        </w:rPr>
      </w:pPr>
    </w:p>
    <w:p w14:paraId="3DC370BA" w14:textId="4E7E6F90" w:rsidR="008F1228" w:rsidRPr="00A02B31" w:rsidRDefault="008F1228" w:rsidP="00D86526">
      <w:pPr>
        <w:ind w:left="142"/>
        <w:jc w:val="both"/>
        <w:rPr>
          <w:rFonts w:eastAsia="Calibri" w:cstheme="minorHAnsi"/>
        </w:rPr>
      </w:pPr>
    </w:p>
    <w:p w14:paraId="638ABB4E" w14:textId="2624B2EA" w:rsidR="008F1228" w:rsidRPr="00A02B31" w:rsidRDefault="008F1228" w:rsidP="00D86526">
      <w:pPr>
        <w:ind w:left="142"/>
        <w:jc w:val="both"/>
        <w:rPr>
          <w:rFonts w:eastAsia="Calibri" w:cstheme="minorHAnsi"/>
        </w:rPr>
      </w:pPr>
    </w:p>
    <w:p w14:paraId="68F076CC" w14:textId="192D1D08" w:rsidR="008F1228" w:rsidRPr="00A02B31" w:rsidRDefault="008F1228" w:rsidP="00D86526">
      <w:pPr>
        <w:ind w:left="142"/>
        <w:jc w:val="both"/>
        <w:rPr>
          <w:rFonts w:eastAsia="Calibri" w:cstheme="minorHAnsi"/>
        </w:rPr>
      </w:pPr>
    </w:p>
    <w:p w14:paraId="72BF8B67" w14:textId="7E5BBF72" w:rsidR="008F1228" w:rsidRPr="00A02B31" w:rsidRDefault="008F1228" w:rsidP="00D86526">
      <w:pPr>
        <w:ind w:left="142"/>
        <w:jc w:val="both"/>
        <w:rPr>
          <w:rFonts w:eastAsia="Calibri" w:cstheme="minorHAnsi"/>
        </w:rPr>
      </w:pPr>
    </w:p>
    <w:p w14:paraId="20CC6FB4" w14:textId="47432630" w:rsidR="008F1228" w:rsidRPr="00A02B31" w:rsidRDefault="008F1228" w:rsidP="00D86526">
      <w:pPr>
        <w:ind w:left="142"/>
        <w:jc w:val="both"/>
        <w:rPr>
          <w:rFonts w:eastAsia="Calibri" w:cstheme="minorHAnsi"/>
        </w:rPr>
      </w:pPr>
    </w:p>
    <w:p w14:paraId="761CE842" w14:textId="742206F1" w:rsidR="008F1228" w:rsidRPr="00A02B31" w:rsidRDefault="008F1228" w:rsidP="00D86526">
      <w:pPr>
        <w:ind w:left="142"/>
        <w:jc w:val="both"/>
        <w:rPr>
          <w:rFonts w:eastAsia="Calibri" w:cstheme="minorHAnsi"/>
        </w:rPr>
      </w:pPr>
    </w:p>
    <w:p w14:paraId="58714D1A" w14:textId="021AC4B6" w:rsidR="008F1228" w:rsidRPr="00A02B31" w:rsidRDefault="008F1228" w:rsidP="00D86526">
      <w:pPr>
        <w:ind w:left="142"/>
        <w:jc w:val="both"/>
        <w:rPr>
          <w:rFonts w:eastAsia="Calibri" w:cstheme="minorHAnsi"/>
        </w:rPr>
      </w:pPr>
    </w:p>
    <w:p w14:paraId="57F92FD7" w14:textId="6AAA30D5" w:rsidR="008F1228" w:rsidRPr="00A02B31" w:rsidRDefault="008F1228" w:rsidP="00D86526">
      <w:pPr>
        <w:ind w:left="142"/>
        <w:jc w:val="both"/>
        <w:rPr>
          <w:rFonts w:eastAsia="Calibri" w:cstheme="minorHAnsi"/>
        </w:rPr>
      </w:pPr>
    </w:p>
    <w:p w14:paraId="1E203BAA" w14:textId="6E62F5E5" w:rsidR="008F1228" w:rsidRPr="00A02B31" w:rsidRDefault="008F1228" w:rsidP="00D86526">
      <w:pPr>
        <w:ind w:left="142"/>
        <w:jc w:val="both"/>
        <w:rPr>
          <w:rFonts w:eastAsia="Calibri" w:cstheme="minorHAnsi"/>
        </w:rPr>
      </w:pPr>
    </w:p>
    <w:p w14:paraId="6580401C" w14:textId="25326FE8" w:rsidR="008F1228" w:rsidRPr="00A02B31" w:rsidRDefault="008F1228" w:rsidP="00D86526">
      <w:pPr>
        <w:ind w:left="142"/>
        <w:jc w:val="both"/>
        <w:rPr>
          <w:rFonts w:eastAsia="Calibri" w:cstheme="minorHAnsi"/>
        </w:rPr>
      </w:pPr>
    </w:p>
    <w:p w14:paraId="1AFBD3C0" w14:textId="5CE04EF1" w:rsidR="008F1228" w:rsidRPr="00A02B31" w:rsidRDefault="008F1228" w:rsidP="00D86526">
      <w:pPr>
        <w:ind w:left="142"/>
        <w:jc w:val="both"/>
        <w:rPr>
          <w:rFonts w:eastAsia="Calibri" w:cstheme="minorHAnsi"/>
        </w:rPr>
      </w:pPr>
    </w:p>
    <w:p w14:paraId="244155EF" w14:textId="071916A3" w:rsidR="008F1228" w:rsidRPr="00A02B31" w:rsidRDefault="008F1228" w:rsidP="00D86526">
      <w:pPr>
        <w:ind w:left="142"/>
        <w:jc w:val="both"/>
        <w:rPr>
          <w:rFonts w:eastAsia="Calibri" w:cstheme="minorHAnsi"/>
        </w:rPr>
      </w:pPr>
    </w:p>
    <w:p w14:paraId="68860DFB" w14:textId="5FCD5311" w:rsidR="008F1228" w:rsidRPr="00A02B31" w:rsidRDefault="008F1228" w:rsidP="00D86526">
      <w:pPr>
        <w:ind w:left="142"/>
        <w:jc w:val="both"/>
        <w:rPr>
          <w:rFonts w:eastAsia="Calibri" w:cstheme="minorHAnsi"/>
        </w:rPr>
      </w:pPr>
    </w:p>
    <w:p w14:paraId="62F8AAFC" w14:textId="6790DBD3" w:rsidR="008F1228" w:rsidRPr="00A02B31" w:rsidRDefault="008F1228" w:rsidP="00D86526">
      <w:pPr>
        <w:ind w:left="142"/>
        <w:jc w:val="both"/>
        <w:rPr>
          <w:rFonts w:eastAsia="Calibri" w:cstheme="minorHAnsi"/>
        </w:rPr>
      </w:pPr>
    </w:p>
    <w:p w14:paraId="3B4E29E2" w14:textId="57FD7318" w:rsidR="008F1228" w:rsidRPr="00A02B31" w:rsidRDefault="008F1228" w:rsidP="00D86526">
      <w:pPr>
        <w:ind w:left="142"/>
        <w:jc w:val="both"/>
        <w:rPr>
          <w:rFonts w:eastAsia="Calibri" w:cstheme="minorHAnsi"/>
        </w:rPr>
      </w:pPr>
    </w:p>
    <w:p w14:paraId="313532D1" w14:textId="738A7050" w:rsidR="008F1228" w:rsidRPr="00A02B31" w:rsidRDefault="008F1228" w:rsidP="00D86526">
      <w:pPr>
        <w:ind w:left="142"/>
        <w:jc w:val="both"/>
        <w:rPr>
          <w:rFonts w:eastAsia="Calibri" w:cstheme="minorHAnsi"/>
        </w:rPr>
      </w:pPr>
    </w:p>
    <w:p w14:paraId="11351D7E" w14:textId="25436CEA" w:rsidR="008F1228" w:rsidRPr="00A02B31" w:rsidRDefault="008F1228" w:rsidP="00D86526">
      <w:pPr>
        <w:ind w:left="142"/>
        <w:jc w:val="both"/>
        <w:rPr>
          <w:rFonts w:eastAsia="Calibri" w:cstheme="minorHAnsi"/>
        </w:rPr>
      </w:pPr>
    </w:p>
    <w:p w14:paraId="26B6208E" w14:textId="77777777" w:rsidR="008F1228" w:rsidRPr="00A02B31" w:rsidRDefault="008F1228" w:rsidP="00D86526">
      <w:pPr>
        <w:ind w:left="142"/>
        <w:jc w:val="both"/>
        <w:rPr>
          <w:rFonts w:eastAsia="Calibri" w:cstheme="minorHAnsi"/>
        </w:rPr>
      </w:pPr>
    </w:p>
    <w:p w14:paraId="7FC4ACC6" w14:textId="77777777" w:rsidR="00D86526" w:rsidRPr="00A02B31" w:rsidRDefault="00D86526" w:rsidP="00D86526">
      <w:pPr>
        <w:ind w:left="142"/>
        <w:rPr>
          <w:rFonts w:eastAsia="Calibri" w:cstheme="minorHAnsi"/>
          <w:b/>
          <w:sz w:val="18"/>
          <w:szCs w:val="18"/>
        </w:rPr>
      </w:pPr>
      <w:r w:rsidRPr="00A02B31">
        <w:rPr>
          <w:rFonts w:eastAsia="Calibri" w:cstheme="minorHAnsi"/>
          <w:b/>
          <w:sz w:val="18"/>
          <w:szCs w:val="18"/>
        </w:rPr>
        <w:t>Notice of Meeting Notes:</w:t>
      </w:r>
    </w:p>
    <w:p w14:paraId="37252523" w14:textId="77777777" w:rsidR="00D86526" w:rsidRPr="00A02B31" w:rsidRDefault="00D86526" w:rsidP="00D86526">
      <w:pPr>
        <w:ind w:left="142"/>
        <w:rPr>
          <w:rFonts w:eastAsia="Calibri" w:cstheme="minorHAnsi"/>
          <w:b/>
          <w:sz w:val="18"/>
          <w:szCs w:val="18"/>
        </w:rPr>
      </w:pPr>
    </w:p>
    <w:p w14:paraId="270E7746" w14:textId="77777777" w:rsidR="00D86526" w:rsidRPr="00A02B31" w:rsidRDefault="00D86526" w:rsidP="00D86526">
      <w:pPr>
        <w:ind w:left="142"/>
        <w:rPr>
          <w:rFonts w:eastAsia="Calibri" w:cstheme="minorHAnsi"/>
          <w:sz w:val="18"/>
          <w:szCs w:val="18"/>
        </w:rPr>
      </w:pPr>
      <w:r w:rsidRPr="00A02B31">
        <w:rPr>
          <w:rFonts w:eastAsia="Calibri" w:cstheme="minorHAnsi"/>
          <w:sz w:val="18"/>
          <w:szCs w:val="18"/>
        </w:rPr>
        <w:t>The following notes explain your general rights as a shareholder and your right to attend and vote at this Meeting or to appoint someone else to vote on your behalf.</w:t>
      </w:r>
    </w:p>
    <w:p w14:paraId="71027DD0" w14:textId="77777777" w:rsidR="00D86526" w:rsidRPr="00A02B31" w:rsidRDefault="00D86526" w:rsidP="00D86526">
      <w:pPr>
        <w:ind w:left="142"/>
        <w:jc w:val="both"/>
        <w:rPr>
          <w:rFonts w:eastAsia="Calibri" w:cstheme="minorHAnsi"/>
        </w:rPr>
      </w:pPr>
    </w:p>
    <w:p w14:paraId="07A1760C" w14:textId="77777777" w:rsidR="00D86526" w:rsidRPr="00A02B31" w:rsidRDefault="00D86526" w:rsidP="00096178">
      <w:pPr>
        <w:numPr>
          <w:ilvl w:val="0"/>
          <w:numId w:val="4"/>
        </w:numPr>
        <w:ind w:left="709" w:hanging="567"/>
        <w:contextualSpacing/>
        <w:jc w:val="both"/>
        <w:rPr>
          <w:rFonts w:eastAsia="Calibri" w:cstheme="minorHAnsi"/>
          <w:sz w:val="18"/>
          <w:szCs w:val="18"/>
        </w:rPr>
      </w:pPr>
      <w:r w:rsidRPr="00A02B31">
        <w:rPr>
          <w:rFonts w:eastAsia="Calibri" w:cstheme="minorHAnsi"/>
          <w:sz w:val="18"/>
          <w:szCs w:val="18"/>
        </w:rPr>
        <w:t xml:space="preserve">To be entitled to attend and vote at the Meeting (and for the purpose of the determination by the Company of the number of votes they may cast), shareholders must be registered in the Register of Members of the Company at close of trading on Friday 9 September 2022. Changes to the Register of Members after the relevant deadline shall be disregarded in determining the rights of any person to attend and vote at the Meeting. </w:t>
      </w:r>
    </w:p>
    <w:p w14:paraId="583A69F9" w14:textId="77777777" w:rsidR="00D86526" w:rsidRPr="00A02B31" w:rsidRDefault="00D86526" w:rsidP="00096178">
      <w:pPr>
        <w:ind w:left="709" w:hanging="567"/>
        <w:contextualSpacing/>
        <w:rPr>
          <w:rFonts w:eastAsia="Calibri" w:cstheme="minorHAnsi"/>
        </w:rPr>
      </w:pPr>
    </w:p>
    <w:p w14:paraId="54005776" w14:textId="5EE7B9EF" w:rsidR="00D86526" w:rsidRPr="00A02B31" w:rsidRDefault="00D86526" w:rsidP="00096178">
      <w:pPr>
        <w:numPr>
          <w:ilvl w:val="0"/>
          <w:numId w:val="4"/>
        </w:numPr>
        <w:ind w:left="709" w:hanging="567"/>
        <w:contextualSpacing/>
        <w:jc w:val="both"/>
        <w:rPr>
          <w:rFonts w:eastAsia="Calibri" w:cstheme="minorHAnsi"/>
          <w:sz w:val="18"/>
          <w:szCs w:val="18"/>
        </w:rPr>
      </w:pPr>
      <w:r w:rsidRPr="00A02B31">
        <w:rPr>
          <w:rFonts w:eastAsia="Calibri" w:cstheme="minorHAnsi"/>
          <w:sz w:val="18"/>
          <w:szCs w:val="18"/>
        </w:rPr>
        <w:t xml:space="preserve">Shareholders, or their proxies, intending to attend the Meeting in person are requested, if possible, to arrive at the Meeting venue at least 20 minutes prior to the </w:t>
      </w:r>
      <w:r w:rsidR="00323F73">
        <w:rPr>
          <w:rFonts w:eastAsia="Calibri" w:cstheme="minorHAnsi"/>
          <w:sz w:val="18"/>
          <w:szCs w:val="18"/>
        </w:rPr>
        <w:t>commencement of the Meeting at 10</w:t>
      </w:r>
      <w:r w:rsidRPr="00A02B31">
        <w:rPr>
          <w:rFonts w:eastAsia="Calibri" w:cstheme="minorHAnsi"/>
          <w:sz w:val="18"/>
          <w:szCs w:val="18"/>
        </w:rPr>
        <w:t xml:space="preserve">:40am (UK time) on Tuesday 13 September 2022 so that their shareholding may be checked against the Company’s Register of Members and attendances recorded. </w:t>
      </w:r>
    </w:p>
    <w:p w14:paraId="2C283A30" w14:textId="77777777" w:rsidR="00D86526" w:rsidRPr="00A02B31" w:rsidRDefault="00D86526" w:rsidP="00096178">
      <w:pPr>
        <w:ind w:left="709" w:hanging="567"/>
        <w:contextualSpacing/>
        <w:jc w:val="both"/>
        <w:rPr>
          <w:rFonts w:eastAsia="Calibri" w:cstheme="minorHAnsi"/>
          <w:sz w:val="18"/>
          <w:szCs w:val="18"/>
        </w:rPr>
      </w:pPr>
    </w:p>
    <w:p w14:paraId="1E4D01A1" w14:textId="77777777" w:rsidR="00D86526" w:rsidRPr="00A02B31" w:rsidRDefault="00D86526" w:rsidP="00096178">
      <w:pPr>
        <w:numPr>
          <w:ilvl w:val="0"/>
          <w:numId w:val="4"/>
        </w:numPr>
        <w:ind w:left="709" w:hanging="567"/>
        <w:contextualSpacing/>
        <w:jc w:val="both"/>
        <w:rPr>
          <w:rFonts w:eastAsia="Calibri" w:cstheme="minorHAnsi"/>
          <w:sz w:val="18"/>
          <w:szCs w:val="18"/>
        </w:rPr>
      </w:pPr>
      <w:r w:rsidRPr="00A02B31">
        <w:rPr>
          <w:rFonts w:eastAsia="Calibri" w:cstheme="minorHAnsi"/>
          <w:sz w:val="18"/>
          <w:szCs w:val="18"/>
        </w:rPr>
        <w:t xml:space="preserve">Shareholders are entitled to appoint another person as a proxy to exercise all or part of their rights to attend and to speak and vote on their behalf at the Meeting. A shareholder may appoint more than one proxy in relation to the Meeting provided that each proxy is appointed to exercise the rights attached to a different Ordinary Share or Ordinary Shares held by that shareholder. A proxy need not be a shareholder of the Company. </w:t>
      </w:r>
    </w:p>
    <w:p w14:paraId="0B444E31" w14:textId="77777777" w:rsidR="00D86526" w:rsidRPr="00A02B31" w:rsidRDefault="00D86526" w:rsidP="00096178">
      <w:pPr>
        <w:ind w:left="709" w:hanging="567"/>
        <w:contextualSpacing/>
        <w:jc w:val="both"/>
        <w:rPr>
          <w:rFonts w:eastAsia="Calibri" w:cstheme="minorHAnsi"/>
          <w:sz w:val="18"/>
          <w:szCs w:val="18"/>
        </w:rPr>
      </w:pPr>
    </w:p>
    <w:p w14:paraId="567852F7" w14:textId="77777777" w:rsidR="00D86526" w:rsidRPr="00A02B31" w:rsidRDefault="00D86526" w:rsidP="00096178">
      <w:pPr>
        <w:numPr>
          <w:ilvl w:val="0"/>
          <w:numId w:val="4"/>
        </w:numPr>
        <w:ind w:left="709" w:hanging="567"/>
        <w:contextualSpacing/>
        <w:jc w:val="both"/>
        <w:rPr>
          <w:rFonts w:eastAsia="Calibri" w:cstheme="minorHAnsi"/>
          <w:sz w:val="18"/>
          <w:szCs w:val="18"/>
        </w:rPr>
      </w:pPr>
      <w:r w:rsidRPr="00A02B31">
        <w:rPr>
          <w:rFonts w:eastAsia="Calibri" w:cstheme="minorHAnsi"/>
          <w:sz w:val="18"/>
          <w:szCs w:val="18"/>
        </w:rPr>
        <w:t>In the case of joint holders, where more than one of the joint holders’ purports to appoint a proxy, only the appointment submitted by the most senior holder will be accepted. Seniority is determined by the order in which the names of the joint holders appear in the Company’s Register of Members in respect of the joint holding (the first named being the most senior).</w:t>
      </w:r>
    </w:p>
    <w:p w14:paraId="6113AB2A" w14:textId="77777777" w:rsidR="00D86526" w:rsidRPr="00A02B31" w:rsidRDefault="00D86526" w:rsidP="00096178">
      <w:pPr>
        <w:ind w:left="709" w:hanging="567"/>
        <w:contextualSpacing/>
        <w:jc w:val="both"/>
        <w:rPr>
          <w:rFonts w:eastAsia="Calibri" w:cstheme="minorHAnsi"/>
          <w:sz w:val="18"/>
          <w:szCs w:val="18"/>
        </w:rPr>
      </w:pPr>
    </w:p>
    <w:p w14:paraId="4A9A5781" w14:textId="77777777" w:rsidR="00D86526" w:rsidRPr="00A02B31" w:rsidRDefault="00D86526" w:rsidP="00096178">
      <w:pPr>
        <w:numPr>
          <w:ilvl w:val="0"/>
          <w:numId w:val="4"/>
        </w:numPr>
        <w:ind w:left="709" w:hanging="567"/>
        <w:contextualSpacing/>
        <w:jc w:val="both"/>
        <w:rPr>
          <w:rFonts w:eastAsia="Calibri" w:cstheme="minorHAnsi"/>
          <w:sz w:val="18"/>
          <w:szCs w:val="18"/>
        </w:rPr>
      </w:pPr>
      <w:r w:rsidRPr="00A02B31">
        <w:rPr>
          <w:rFonts w:eastAsia="Calibri" w:cstheme="minorHAnsi"/>
          <w:sz w:val="18"/>
          <w:szCs w:val="18"/>
        </w:rPr>
        <w:t>A vote withheld is not a vote in law, which means that the vote will not be counted in the calculation of votes for or against the resolution. If no voting indication is given, your proxy will vote or abstain from voting at his or her discretion. Your proxy will vote (or abstain from voting) as he or she thinks fit in relation to any other matter which is put before the Meeting.</w:t>
      </w:r>
    </w:p>
    <w:p w14:paraId="1E1BC343" w14:textId="77777777" w:rsidR="00D86526" w:rsidRPr="00A02B31" w:rsidRDefault="00D86526" w:rsidP="00D86526">
      <w:pPr>
        <w:ind w:left="142"/>
        <w:jc w:val="both"/>
        <w:rPr>
          <w:rFonts w:eastAsia="Calibri" w:cstheme="minorHAnsi"/>
          <w:sz w:val="18"/>
          <w:szCs w:val="18"/>
          <w:shd w:val="clear" w:color="auto" w:fill="FFFF00"/>
        </w:rPr>
      </w:pPr>
    </w:p>
    <w:p w14:paraId="2A1E9B30" w14:textId="77777777" w:rsidR="00D86526" w:rsidRPr="00A02B31" w:rsidRDefault="00D86526" w:rsidP="00096178">
      <w:pPr>
        <w:numPr>
          <w:ilvl w:val="0"/>
          <w:numId w:val="4"/>
        </w:numPr>
        <w:ind w:left="709" w:hanging="567"/>
        <w:contextualSpacing/>
        <w:jc w:val="both"/>
        <w:rPr>
          <w:rFonts w:eastAsia="Calibri" w:cstheme="minorHAnsi"/>
          <w:sz w:val="18"/>
          <w:szCs w:val="18"/>
        </w:rPr>
      </w:pPr>
      <w:r w:rsidRPr="00A02B31">
        <w:rPr>
          <w:rFonts w:eastAsia="Calibri" w:cstheme="minorHAnsi"/>
          <w:sz w:val="18"/>
          <w:szCs w:val="18"/>
        </w:rPr>
        <w:t>You can vote either:</w:t>
      </w:r>
    </w:p>
    <w:p w14:paraId="73343C9A" w14:textId="714A3254" w:rsidR="00D86526" w:rsidRPr="00A02B31" w:rsidRDefault="00D86526" w:rsidP="00C36E79">
      <w:pPr>
        <w:pStyle w:val="ListParagraph"/>
        <w:numPr>
          <w:ilvl w:val="0"/>
          <w:numId w:val="48"/>
        </w:numPr>
        <w:spacing w:line="276" w:lineRule="auto"/>
        <w:jc w:val="both"/>
        <w:rPr>
          <w:rFonts w:eastAsia="Calibri" w:cstheme="minorHAnsi"/>
          <w:sz w:val="18"/>
          <w:szCs w:val="18"/>
        </w:rPr>
      </w:pPr>
      <w:r w:rsidRPr="00A02B31">
        <w:rPr>
          <w:rFonts w:eastAsia="Calibri" w:cstheme="minorHAnsi"/>
          <w:sz w:val="18"/>
          <w:szCs w:val="18"/>
        </w:rPr>
        <w:t>by logging on to www.signalshares.com and following the instructions;</w:t>
      </w:r>
      <w:r w:rsidR="00C36E79" w:rsidRPr="007600A7">
        <w:rPr>
          <w:rFonts w:cstheme="minorHAnsi"/>
        </w:rPr>
        <w:t xml:space="preserve"> </w:t>
      </w:r>
      <w:r w:rsidR="00C36E79" w:rsidRPr="00A02B31">
        <w:rPr>
          <w:rFonts w:eastAsia="Calibri" w:cstheme="minorHAnsi"/>
          <w:sz w:val="18"/>
          <w:szCs w:val="18"/>
        </w:rPr>
        <w:t>you can also vote by downloading the new shareholder app, LinkVote+, on Apple App Store or Google Play and following the instructions.</w:t>
      </w:r>
    </w:p>
    <w:p w14:paraId="3605DAAE" w14:textId="77777777" w:rsidR="00D86526" w:rsidRPr="00A02B31" w:rsidRDefault="00D86526" w:rsidP="009D1381">
      <w:pPr>
        <w:pStyle w:val="ListParagraph"/>
        <w:numPr>
          <w:ilvl w:val="0"/>
          <w:numId w:val="48"/>
        </w:numPr>
        <w:spacing w:line="276" w:lineRule="auto"/>
        <w:jc w:val="both"/>
        <w:rPr>
          <w:rFonts w:eastAsia="Calibri" w:cstheme="minorHAnsi"/>
          <w:sz w:val="18"/>
          <w:szCs w:val="18"/>
        </w:rPr>
      </w:pPr>
      <w:r w:rsidRPr="00A02B31">
        <w:rPr>
          <w:rFonts w:eastAsia="Calibri" w:cstheme="minorHAnsi"/>
          <w:sz w:val="18"/>
          <w:szCs w:val="18"/>
        </w:rPr>
        <w:t>You may request a hard copy form of proxy directly from the registrars, Link Asset Services (previously called Capita), on Tel: 0371 664 0300. Calls are charged at the standard geographic rate and will vary by provider. Calls outside the United Kingdom will be charged at the applicable international rate. Lines are open between 09:00 – 17:30, Monday to Friday excluding public holidays in England and Wales.</w:t>
      </w:r>
    </w:p>
    <w:p w14:paraId="19A30D12" w14:textId="77777777" w:rsidR="00D86526" w:rsidRPr="00A02B31" w:rsidRDefault="00D86526" w:rsidP="009D1381">
      <w:pPr>
        <w:pStyle w:val="ListParagraph"/>
        <w:numPr>
          <w:ilvl w:val="0"/>
          <w:numId w:val="48"/>
        </w:numPr>
        <w:spacing w:line="276" w:lineRule="auto"/>
        <w:jc w:val="both"/>
        <w:rPr>
          <w:rFonts w:eastAsia="Calibri" w:cstheme="minorHAnsi"/>
          <w:sz w:val="18"/>
          <w:szCs w:val="18"/>
        </w:rPr>
      </w:pPr>
      <w:r w:rsidRPr="00A02B31">
        <w:rPr>
          <w:rFonts w:eastAsia="Calibri" w:cstheme="minorHAnsi"/>
          <w:sz w:val="18"/>
          <w:szCs w:val="18"/>
        </w:rPr>
        <w:t>in the case of CREST members, by utilising the CREST electronic proxy appointment service in accordance with the procedures set out below.</w:t>
      </w:r>
    </w:p>
    <w:p w14:paraId="1F39266F" w14:textId="2244CA24" w:rsidR="00D86526" w:rsidRPr="00A02B31" w:rsidRDefault="00D86526" w:rsidP="00096178">
      <w:pPr>
        <w:ind w:left="709"/>
        <w:contextualSpacing/>
        <w:jc w:val="both"/>
        <w:rPr>
          <w:rFonts w:eastAsia="Calibri" w:cstheme="minorHAnsi"/>
          <w:sz w:val="18"/>
          <w:szCs w:val="18"/>
        </w:rPr>
      </w:pPr>
      <w:r w:rsidRPr="00A02B31">
        <w:rPr>
          <w:rFonts w:eastAsia="Calibri" w:cstheme="minorHAnsi"/>
          <w:sz w:val="18"/>
          <w:szCs w:val="18"/>
        </w:rPr>
        <w:t xml:space="preserve">In order for a proxy appointment to be valid a form of proxy must be completed. In each case the form of proxy must be received by </w:t>
      </w:r>
      <w:r w:rsidR="00C36E79" w:rsidRPr="00A02B31">
        <w:rPr>
          <w:rFonts w:eastAsia="Calibri" w:cstheme="minorHAnsi"/>
          <w:sz w:val="18"/>
          <w:szCs w:val="18"/>
        </w:rPr>
        <w:t xml:space="preserve">Link Group, PXS, 10th Floor, Central Square, 29 Wellington Street, Leeds LS1 4DL </w:t>
      </w:r>
      <w:r w:rsidR="00323F73">
        <w:rPr>
          <w:rFonts w:eastAsia="Calibri" w:cstheme="minorHAnsi"/>
          <w:sz w:val="18"/>
          <w:szCs w:val="18"/>
        </w:rPr>
        <w:t xml:space="preserve"> by 11</w:t>
      </w:r>
      <w:bookmarkStart w:id="1" w:name="_GoBack"/>
      <w:bookmarkEnd w:id="1"/>
      <w:r w:rsidRPr="00A02B31">
        <w:rPr>
          <w:rFonts w:eastAsia="Calibri" w:cstheme="minorHAnsi"/>
          <w:sz w:val="18"/>
          <w:szCs w:val="18"/>
        </w:rPr>
        <w:t xml:space="preserve"> am on Friday 9 September 2022.</w:t>
      </w:r>
    </w:p>
    <w:p w14:paraId="6E844152" w14:textId="77777777" w:rsidR="00D86526" w:rsidRPr="00A02B31" w:rsidRDefault="00D86526" w:rsidP="00D86526">
      <w:pPr>
        <w:ind w:left="142"/>
        <w:contextualSpacing/>
        <w:jc w:val="both"/>
        <w:rPr>
          <w:rFonts w:eastAsia="Calibri" w:cstheme="minorHAnsi"/>
          <w:sz w:val="18"/>
          <w:szCs w:val="18"/>
        </w:rPr>
      </w:pPr>
    </w:p>
    <w:p w14:paraId="62CACE30" w14:textId="77777777" w:rsidR="00D86526" w:rsidRPr="00A02B31" w:rsidRDefault="00D86526" w:rsidP="00096178">
      <w:pPr>
        <w:numPr>
          <w:ilvl w:val="0"/>
          <w:numId w:val="4"/>
        </w:numPr>
        <w:ind w:left="709" w:hanging="567"/>
        <w:contextualSpacing/>
        <w:jc w:val="both"/>
        <w:rPr>
          <w:rFonts w:eastAsia="Calibri" w:cstheme="minorHAnsi"/>
          <w:sz w:val="18"/>
          <w:szCs w:val="18"/>
        </w:rPr>
      </w:pPr>
      <w:r w:rsidRPr="00A02B31">
        <w:rPr>
          <w:rFonts w:eastAsia="Calibri" w:cstheme="minorHAnsi"/>
          <w:sz w:val="18"/>
          <w:szCs w:val="18"/>
        </w:rPr>
        <w:t>If you return more than one proxy appointment, either by paper or electronic communication, the appointment received last by the Registrar before the latest time for the receipt of proxies will take precedence. You are advised to read the terms and conditions of use carefully. Electronic communication facilities are open to all shareholders and those who use them will not be disadvantaged.</w:t>
      </w:r>
    </w:p>
    <w:p w14:paraId="1954FAC1" w14:textId="77777777" w:rsidR="00D86526" w:rsidRPr="00A02B31" w:rsidRDefault="00D86526" w:rsidP="00D86526">
      <w:pPr>
        <w:ind w:left="142"/>
        <w:contextualSpacing/>
        <w:jc w:val="both"/>
        <w:rPr>
          <w:rFonts w:eastAsia="Calibri" w:cstheme="minorHAnsi"/>
          <w:sz w:val="18"/>
          <w:szCs w:val="18"/>
        </w:rPr>
      </w:pPr>
    </w:p>
    <w:p w14:paraId="6C24867E" w14:textId="77777777" w:rsidR="00D86526" w:rsidRPr="00A02B31" w:rsidRDefault="00D86526" w:rsidP="00096178">
      <w:pPr>
        <w:numPr>
          <w:ilvl w:val="0"/>
          <w:numId w:val="4"/>
        </w:numPr>
        <w:ind w:left="709" w:hanging="567"/>
        <w:contextualSpacing/>
        <w:jc w:val="both"/>
        <w:rPr>
          <w:rFonts w:eastAsia="Calibri" w:cstheme="minorHAnsi"/>
          <w:sz w:val="18"/>
          <w:szCs w:val="18"/>
        </w:rPr>
      </w:pPr>
      <w:r w:rsidRPr="00A02B31">
        <w:rPr>
          <w:rFonts w:eastAsia="Calibri" w:cstheme="minorHAnsi"/>
          <w:sz w:val="18"/>
          <w:szCs w:val="18"/>
        </w:rPr>
        <w:t>The return of a completed form of proxy, electronic filing or any CREST Proxy Instruction (as described in note 11 below) will not prevent a shareholder from attending the Meeting and voting in person if he/she wishes to do so. As mentioned above, the Company advises shareholders to vote electronically, or to appoint the Chair as their proxy as physical attendance in person may now be permitted.</w:t>
      </w:r>
    </w:p>
    <w:p w14:paraId="50487B72" w14:textId="77777777" w:rsidR="00D86526" w:rsidRPr="00A02B31" w:rsidRDefault="00D86526" w:rsidP="00096178">
      <w:pPr>
        <w:ind w:left="709" w:hanging="567"/>
        <w:contextualSpacing/>
        <w:jc w:val="both"/>
        <w:rPr>
          <w:rFonts w:eastAsia="Calibri" w:cstheme="minorHAnsi"/>
          <w:sz w:val="18"/>
          <w:szCs w:val="18"/>
        </w:rPr>
      </w:pPr>
    </w:p>
    <w:p w14:paraId="07B49F02" w14:textId="77777777" w:rsidR="00D86526" w:rsidRPr="00A02B31" w:rsidRDefault="00D86526" w:rsidP="00096178">
      <w:pPr>
        <w:numPr>
          <w:ilvl w:val="0"/>
          <w:numId w:val="4"/>
        </w:numPr>
        <w:ind w:left="709" w:hanging="567"/>
        <w:contextualSpacing/>
        <w:jc w:val="both"/>
        <w:rPr>
          <w:rFonts w:eastAsia="Calibri" w:cstheme="minorHAnsi"/>
          <w:sz w:val="18"/>
          <w:szCs w:val="18"/>
        </w:rPr>
      </w:pPr>
      <w:r w:rsidRPr="00A02B31">
        <w:rPr>
          <w:rFonts w:eastAsia="Calibri" w:cstheme="minorHAnsi"/>
          <w:sz w:val="18"/>
          <w:szCs w:val="18"/>
        </w:rPr>
        <w:t xml:space="preserve">CREST members who wish to appoint a proxy or proxies through the CREST electronic proxy appointment service may do so for the Meeting (and any adjournment of the Meeting) by using the procedures described in the CREST Manual (available from </w:t>
      </w:r>
      <w:hyperlink r:id="rId29">
        <w:r w:rsidRPr="00A02B31">
          <w:rPr>
            <w:rFonts w:eastAsia="Calibri" w:cstheme="minorHAnsi"/>
            <w:sz w:val="18"/>
            <w:szCs w:val="18"/>
          </w:rPr>
          <w:t>www.euroclear.com/site/public/EUI)</w:t>
        </w:r>
      </w:hyperlink>
      <w:r w:rsidRPr="00A02B31">
        <w:rPr>
          <w:rFonts w:eastAsia="Calibri" w:cstheme="minorHAnsi"/>
          <w:sz w:val="18"/>
          <w:szCs w:val="18"/>
        </w:rPr>
        <w:t>. CREST Personal Members or other CREST sponsored members, and those CREST members who have appointed a service provider(s), should refer to their CREST sponsor or voting service provider(s), who will be able to take the appropriate action on their behalf.</w:t>
      </w:r>
    </w:p>
    <w:p w14:paraId="3744B3FE" w14:textId="77777777" w:rsidR="00D86526" w:rsidRPr="00A02B31" w:rsidRDefault="00D86526" w:rsidP="00096178">
      <w:pPr>
        <w:ind w:left="709" w:hanging="567"/>
        <w:contextualSpacing/>
        <w:jc w:val="both"/>
        <w:rPr>
          <w:rFonts w:eastAsia="Calibri" w:cstheme="minorHAnsi"/>
          <w:sz w:val="18"/>
          <w:szCs w:val="18"/>
        </w:rPr>
      </w:pPr>
    </w:p>
    <w:p w14:paraId="61B9EDD0" w14:textId="60C02C97" w:rsidR="00D86526" w:rsidRPr="00A02B31" w:rsidRDefault="00D86526" w:rsidP="00096178">
      <w:pPr>
        <w:numPr>
          <w:ilvl w:val="0"/>
          <w:numId w:val="4"/>
        </w:numPr>
        <w:ind w:left="709" w:hanging="567"/>
        <w:contextualSpacing/>
        <w:jc w:val="both"/>
        <w:rPr>
          <w:rFonts w:eastAsia="Calibri" w:cstheme="minorHAnsi"/>
          <w:sz w:val="18"/>
          <w:szCs w:val="18"/>
        </w:rPr>
      </w:pPr>
      <w:r w:rsidRPr="00A02B31">
        <w:rPr>
          <w:rFonts w:eastAsia="Calibri" w:cstheme="minorHAnsi"/>
          <w:sz w:val="18"/>
          <w:szCs w:val="18"/>
        </w:rPr>
        <w:t>In order for a proxy appointment or instruction made by means of CREST to be valid, the appropriate CREST message (a ‘CREST Proxy Instruction’) must be properly authenticated in accordance with Euroclear UK &amp; Ireland Limited’s specifications and must contain the information required for such instructions, as described in the CREST Manual. The message must be transmitted so as to be received by the issuer’s agent (ID RA10) by 1</w:t>
      </w:r>
      <w:r w:rsidR="009A15AA" w:rsidRPr="00A02B31">
        <w:rPr>
          <w:rFonts w:eastAsia="Calibri" w:cstheme="minorHAnsi"/>
          <w:sz w:val="18"/>
          <w:szCs w:val="18"/>
        </w:rPr>
        <w:t>1</w:t>
      </w:r>
      <w:r w:rsidR="00C36E79" w:rsidRPr="00A02B31">
        <w:rPr>
          <w:rFonts w:eastAsia="Calibri" w:cstheme="minorHAnsi"/>
          <w:sz w:val="18"/>
          <w:szCs w:val="18"/>
        </w:rPr>
        <w:t>:00am</w:t>
      </w:r>
      <w:r w:rsidRPr="00A02B31">
        <w:rPr>
          <w:rFonts w:eastAsia="Calibri" w:cstheme="minorHAnsi"/>
          <w:sz w:val="18"/>
          <w:szCs w:val="18"/>
        </w:rPr>
        <w:t xml:space="preserve"> on Friday 9 September 2022. For this purpose, the time of receipt will be </w:t>
      </w:r>
      <w:r w:rsidRPr="00A02B31">
        <w:rPr>
          <w:rFonts w:eastAsia="Calibri" w:cstheme="minorHAnsi"/>
          <w:sz w:val="18"/>
          <w:szCs w:val="18"/>
        </w:rPr>
        <w:lastRenderedPageBreak/>
        <w:t>taken to mean the time (as determined by the timestamp applied to the message by the CREST application host) from which the issuer’s agent is able to retrieve the message by enquiry to CREST in the manner prescribed by CREST. After this time, any change of instructions to proxies appointed through CREST should be communicated to the appointee through other means.</w:t>
      </w:r>
    </w:p>
    <w:p w14:paraId="34E53CE6" w14:textId="77777777" w:rsidR="00D86526" w:rsidRPr="00A02B31" w:rsidRDefault="00D86526" w:rsidP="00096178">
      <w:pPr>
        <w:ind w:left="709" w:hanging="567"/>
        <w:contextualSpacing/>
        <w:jc w:val="both"/>
        <w:rPr>
          <w:rFonts w:eastAsia="Calibri" w:cstheme="minorHAnsi"/>
          <w:sz w:val="18"/>
          <w:szCs w:val="18"/>
        </w:rPr>
      </w:pPr>
    </w:p>
    <w:p w14:paraId="595E1274" w14:textId="77777777" w:rsidR="00D86526" w:rsidRPr="00A02B31" w:rsidRDefault="00D86526" w:rsidP="00096178">
      <w:pPr>
        <w:numPr>
          <w:ilvl w:val="0"/>
          <w:numId w:val="4"/>
        </w:numPr>
        <w:ind w:left="709" w:hanging="567"/>
        <w:contextualSpacing/>
        <w:jc w:val="both"/>
        <w:rPr>
          <w:rFonts w:eastAsia="Calibri" w:cstheme="minorHAnsi"/>
          <w:sz w:val="18"/>
          <w:szCs w:val="18"/>
        </w:rPr>
      </w:pPr>
      <w:r w:rsidRPr="00A02B31">
        <w:rPr>
          <w:rFonts w:eastAsia="Calibri" w:cstheme="minorHAnsi"/>
          <w:sz w:val="18"/>
          <w:szCs w:val="18"/>
        </w:rPr>
        <w:t>CREST members and, where applicable, their CREST sponsors or voting service providers should note that Euroclear UK &amp; Ireland Limited does not make available special procedures in CREST for any particular message. Normal system timings and limitations will, therefore, apply in relation to the input of CREST Proxy Instructions. It is the responsibility of the CREST member concerned to take (or, if the CREST member is a CREST personal member, or sponsored member, or has appointed a voting service provider(s), to procure that his CREST sponsor or voting service provider(s) take(s)) such action as shall be necessary to ensure that a message is transmitted by means of the CREST system by any particular time. In this connection, CREST members and, where applicable, their CREST sponsors or voting system providers are referred, in particular, to those sections of the CREST Manual concerning practical limitations of the CREST system and timings. The Company may treat as invalid a CREST Proxy Instruction in the circumstances set out in Regulation 35(5)(a) of the Uncertificated Securities Regulations 2001.</w:t>
      </w:r>
    </w:p>
    <w:p w14:paraId="08F6D040" w14:textId="77777777" w:rsidR="00D86526" w:rsidRPr="00A02B31" w:rsidRDefault="00D86526" w:rsidP="00096178">
      <w:pPr>
        <w:ind w:left="709" w:hanging="567"/>
        <w:contextualSpacing/>
        <w:jc w:val="both"/>
        <w:rPr>
          <w:rFonts w:eastAsia="Calibri" w:cstheme="minorHAnsi"/>
          <w:sz w:val="18"/>
          <w:szCs w:val="18"/>
        </w:rPr>
      </w:pPr>
    </w:p>
    <w:p w14:paraId="7F9FCE22" w14:textId="77777777" w:rsidR="00D86526" w:rsidRPr="00A02B31" w:rsidRDefault="00D86526" w:rsidP="00096178">
      <w:pPr>
        <w:numPr>
          <w:ilvl w:val="0"/>
          <w:numId w:val="4"/>
        </w:numPr>
        <w:ind w:left="709" w:hanging="567"/>
        <w:contextualSpacing/>
        <w:jc w:val="both"/>
        <w:rPr>
          <w:rFonts w:eastAsia="Calibri" w:cstheme="minorHAnsi"/>
          <w:sz w:val="18"/>
          <w:szCs w:val="18"/>
        </w:rPr>
      </w:pPr>
      <w:r w:rsidRPr="00A02B31">
        <w:rPr>
          <w:rFonts w:eastAsia="Calibri" w:cstheme="minorHAnsi"/>
          <w:sz w:val="18"/>
          <w:szCs w:val="18"/>
        </w:rPr>
        <w:t>Any corporation which is a shareholder can appoint one or more corporate representatives who may exercise on its behalf all of its powers as a shareholder provided that no more than one corporate representative exercises powers in relation to the same shares.</w:t>
      </w:r>
    </w:p>
    <w:p w14:paraId="30B3F8F8" w14:textId="6A03541D" w:rsidR="00D86526" w:rsidRPr="00A02B31" w:rsidRDefault="00D86526" w:rsidP="00096178">
      <w:pPr>
        <w:numPr>
          <w:ilvl w:val="0"/>
          <w:numId w:val="4"/>
        </w:numPr>
        <w:spacing w:before="108" w:line="220" w:lineRule="exact"/>
        <w:ind w:left="709" w:right="288" w:hanging="567"/>
        <w:jc w:val="both"/>
        <w:textAlignment w:val="baseline"/>
        <w:rPr>
          <w:rFonts w:eastAsia="Arial Narrow" w:cstheme="minorHAnsi"/>
          <w:sz w:val="18"/>
          <w:szCs w:val="18"/>
        </w:rPr>
      </w:pPr>
      <w:r w:rsidRPr="00A02B31">
        <w:rPr>
          <w:rFonts w:eastAsia="Arial Narrow" w:cstheme="minorHAnsi"/>
          <w:sz w:val="18"/>
          <w:szCs w:val="18"/>
        </w:rPr>
        <w:t>As at 2</w:t>
      </w:r>
      <w:r w:rsidR="0098378A" w:rsidRPr="00A02B31">
        <w:rPr>
          <w:rFonts w:eastAsia="Arial Narrow" w:cstheme="minorHAnsi"/>
          <w:sz w:val="18"/>
          <w:szCs w:val="18"/>
        </w:rPr>
        <w:t>2</w:t>
      </w:r>
      <w:r w:rsidRPr="00A02B31">
        <w:rPr>
          <w:rFonts w:eastAsia="Arial Narrow" w:cstheme="minorHAnsi"/>
          <w:sz w:val="18"/>
          <w:szCs w:val="18"/>
        </w:rPr>
        <w:t xml:space="preserve"> June 2022 (being the latest practicable business day prior to the publication of this Notice), the Company’s ordinary issued share capital consists of </w:t>
      </w:r>
      <w:r w:rsidRPr="00A02B31">
        <w:rPr>
          <w:rFonts w:eastAsia="Calibri" w:cstheme="minorHAnsi"/>
          <w:sz w:val="18"/>
          <w:szCs w:val="18"/>
        </w:rPr>
        <w:t xml:space="preserve">2,541,046 </w:t>
      </w:r>
      <w:r w:rsidRPr="00A02B31">
        <w:rPr>
          <w:rFonts w:eastAsia="Arial Narrow" w:cstheme="minorHAnsi"/>
          <w:sz w:val="18"/>
          <w:szCs w:val="18"/>
        </w:rPr>
        <w:t>Ordinary Shares, carrying one vote each. Therefore, the total voting rights in the Company as at 2</w:t>
      </w:r>
      <w:r w:rsidR="0098378A" w:rsidRPr="00A02B31">
        <w:rPr>
          <w:rFonts w:eastAsia="Arial Narrow" w:cstheme="minorHAnsi"/>
          <w:sz w:val="18"/>
          <w:szCs w:val="18"/>
        </w:rPr>
        <w:t>2</w:t>
      </w:r>
      <w:r w:rsidRPr="00A02B31">
        <w:rPr>
          <w:rFonts w:eastAsia="Arial Narrow" w:cstheme="minorHAnsi"/>
          <w:sz w:val="18"/>
          <w:szCs w:val="18"/>
        </w:rPr>
        <w:t xml:space="preserve"> June 2022 are </w:t>
      </w:r>
      <w:r w:rsidRPr="00A02B31">
        <w:rPr>
          <w:rFonts w:eastAsia="Calibri" w:cstheme="minorHAnsi"/>
          <w:sz w:val="18"/>
          <w:szCs w:val="18"/>
        </w:rPr>
        <w:t>2,541,046</w:t>
      </w:r>
      <w:r w:rsidRPr="00A02B31">
        <w:rPr>
          <w:rFonts w:eastAsia="Arial Narrow" w:cstheme="minorHAnsi"/>
          <w:sz w:val="18"/>
          <w:szCs w:val="18"/>
        </w:rPr>
        <w:t>.</w:t>
      </w:r>
    </w:p>
    <w:p w14:paraId="03631D6F" w14:textId="77777777" w:rsidR="00D86526" w:rsidRPr="00A02B31" w:rsidRDefault="00D86526" w:rsidP="00096178">
      <w:pPr>
        <w:numPr>
          <w:ilvl w:val="0"/>
          <w:numId w:val="4"/>
        </w:numPr>
        <w:spacing w:before="112" w:line="219" w:lineRule="exact"/>
        <w:ind w:left="709" w:right="144" w:hanging="567"/>
        <w:jc w:val="both"/>
        <w:textAlignment w:val="baseline"/>
        <w:rPr>
          <w:rFonts w:eastAsia="Arial Narrow" w:cstheme="minorHAnsi"/>
          <w:sz w:val="18"/>
          <w:szCs w:val="18"/>
        </w:rPr>
      </w:pPr>
      <w:r w:rsidRPr="00A02B31">
        <w:rPr>
          <w:rFonts w:eastAsia="Arial Narrow" w:cstheme="minorHAnsi"/>
          <w:sz w:val="18"/>
          <w:szCs w:val="18"/>
        </w:rPr>
        <w:t>Any shareholder attending the Meeting has the right to ask questions. The Company must cause to be answered any such question relating to the business being dealt with at the Meeting but no such answer need be given if: (a) to do so would interfere unduly with the preparation for the Meeting or involve the disclosure of confidential information; (b) the answer has already been given on a website in the form of an answer to a question; or (c) it is undesirable in the interests of the Company or the good order of the Meeting that the question be answered.</w:t>
      </w:r>
    </w:p>
    <w:p w14:paraId="0C6CEEEA" w14:textId="77777777" w:rsidR="00D86526" w:rsidRPr="00A02B31" w:rsidRDefault="00D86526" w:rsidP="00096178">
      <w:pPr>
        <w:numPr>
          <w:ilvl w:val="0"/>
          <w:numId w:val="4"/>
        </w:numPr>
        <w:spacing w:before="110" w:line="221" w:lineRule="exact"/>
        <w:ind w:left="709" w:right="72" w:hanging="567"/>
        <w:jc w:val="both"/>
        <w:textAlignment w:val="baseline"/>
        <w:rPr>
          <w:rFonts w:eastAsia="Arial Narrow" w:cstheme="minorHAnsi"/>
          <w:sz w:val="18"/>
          <w:szCs w:val="18"/>
        </w:rPr>
      </w:pPr>
      <w:r w:rsidRPr="00A02B31">
        <w:rPr>
          <w:rFonts w:eastAsia="Arial Narrow" w:cstheme="minorHAnsi"/>
          <w:sz w:val="18"/>
          <w:szCs w:val="18"/>
        </w:rPr>
        <w:t xml:space="preserve">The following documents are available for inspection during normal business hours at the registered office of the Company on any business day from the date of this Notice until the time of the Meeting and may also be inspected at the Meeting venue, as specified in this Notice, from 10am am on the day of the Meeting until the conclusion of the Meeting: </w:t>
      </w:r>
      <w:r w:rsidRPr="00A02B31">
        <w:rPr>
          <w:rFonts w:eastAsia="Arial Narrow" w:cstheme="minorHAnsi"/>
          <w:spacing w:val="3"/>
          <w:sz w:val="18"/>
          <w:szCs w:val="18"/>
        </w:rPr>
        <w:t>copies of the Directors’ letters of appointment or service contracts.</w:t>
      </w:r>
    </w:p>
    <w:p w14:paraId="4A163457" w14:textId="77777777" w:rsidR="00D86526" w:rsidRPr="00A02B31" w:rsidRDefault="00D86526" w:rsidP="00096178">
      <w:pPr>
        <w:numPr>
          <w:ilvl w:val="0"/>
          <w:numId w:val="4"/>
        </w:numPr>
        <w:spacing w:before="106" w:line="221" w:lineRule="exact"/>
        <w:ind w:left="709" w:right="216" w:hanging="567"/>
        <w:jc w:val="both"/>
        <w:textAlignment w:val="baseline"/>
        <w:rPr>
          <w:rFonts w:eastAsia="Arial Narrow" w:cstheme="minorHAnsi"/>
          <w:sz w:val="18"/>
          <w:szCs w:val="18"/>
        </w:rPr>
      </w:pPr>
      <w:r w:rsidRPr="00A02B31">
        <w:rPr>
          <w:rFonts w:eastAsia="Arial Narrow" w:cstheme="minorHAnsi"/>
          <w:sz w:val="18"/>
          <w:szCs w:val="18"/>
        </w:rPr>
        <w:t>You may not use any electronic address (within the meaning of Section 333(4) of the Companies Act 2006) provided in either this Notice or any related documents (including the form of proxy) to communicate with the Company for any purposes other than those expressly stated.</w:t>
      </w:r>
    </w:p>
    <w:p w14:paraId="50E2C353" w14:textId="77777777" w:rsidR="00D86526" w:rsidRPr="00A02B31" w:rsidRDefault="00D86526" w:rsidP="00096178">
      <w:pPr>
        <w:spacing w:line="193" w:lineRule="exact"/>
        <w:ind w:left="709" w:hanging="567"/>
        <w:jc w:val="both"/>
        <w:textAlignment w:val="baseline"/>
        <w:rPr>
          <w:rFonts w:eastAsia="Arial Narrow" w:cstheme="minorHAnsi"/>
          <w:sz w:val="18"/>
          <w:szCs w:val="18"/>
        </w:rPr>
      </w:pPr>
      <w:r w:rsidRPr="00A02B31">
        <w:rPr>
          <w:rFonts w:eastAsia="Arial Narrow" w:cstheme="minorHAnsi"/>
          <w:sz w:val="18"/>
          <w:szCs w:val="18"/>
        </w:rPr>
        <w:tab/>
      </w:r>
      <w:r w:rsidRPr="00A02B31">
        <w:rPr>
          <w:rFonts w:eastAsia="Arial Narrow" w:cstheme="minorHAnsi"/>
          <w:sz w:val="18"/>
          <w:szCs w:val="18"/>
        </w:rPr>
        <w:tab/>
      </w:r>
    </w:p>
    <w:p w14:paraId="266C1933" w14:textId="77777777" w:rsidR="00D86526" w:rsidRPr="00A02B31" w:rsidRDefault="00D86526" w:rsidP="00096178">
      <w:pPr>
        <w:spacing w:line="193" w:lineRule="exact"/>
        <w:ind w:left="709" w:hanging="567"/>
        <w:jc w:val="both"/>
        <w:textAlignment w:val="baseline"/>
        <w:rPr>
          <w:rFonts w:eastAsia="Arial Narrow" w:cstheme="minorHAnsi"/>
          <w:sz w:val="18"/>
          <w:szCs w:val="18"/>
        </w:rPr>
      </w:pPr>
      <w:r w:rsidRPr="00A02B31">
        <w:rPr>
          <w:rFonts w:eastAsia="Arial Narrow" w:cstheme="minorHAnsi"/>
          <w:sz w:val="18"/>
          <w:szCs w:val="18"/>
        </w:rPr>
        <w:tab/>
        <w:t>A copy of this Notice, and other information required by Section 311A of the Companies Act 2006, can be found on the Company’s website.</w:t>
      </w:r>
    </w:p>
    <w:p w14:paraId="1C0F8F66" w14:textId="77777777" w:rsidR="00D86526" w:rsidRPr="00A02B31" w:rsidRDefault="00D86526" w:rsidP="00D86526">
      <w:pPr>
        <w:ind w:left="142"/>
        <w:contextualSpacing/>
        <w:jc w:val="both"/>
        <w:rPr>
          <w:rFonts w:eastAsia="Calibri" w:cstheme="minorHAnsi"/>
          <w:sz w:val="18"/>
          <w:szCs w:val="18"/>
        </w:rPr>
      </w:pPr>
    </w:p>
    <w:p w14:paraId="1BFCF5AD" w14:textId="77777777" w:rsidR="00D86526" w:rsidRPr="00A02B31" w:rsidRDefault="00D86526" w:rsidP="00D86526">
      <w:pPr>
        <w:ind w:left="142"/>
        <w:jc w:val="both"/>
        <w:rPr>
          <w:rFonts w:eastAsia="Calibri" w:cstheme="minorHAnsi"/>
        </w:rPr>
      </w:pPr>
    </w:p>
    <w:p w14:paraId="5269BB79" w14:textId="77777777" w:rsidR="00D86526" w:rsidRPr="00A02B31" w:rsidRDefault="00D86526" w:rsidP="00D86526">
      <w:pPr>
        <w:ind w:left="142" w:hanging="142"/>
        <w:jc w:val="both"/>
        <w:rPr>
          <w:rFonts w:eastAsia="Calibri" w:cstheme="minorHAnsi"/>
        </w:rPr>
      </w:pPr>
    </w:p>
    <w:p w14:paraId="3D49F1B1" w14:textId="77777777" w:rsidR="00D86526" w:rsidRPr="00A02B31" w:rsidRDefault="00D86526" w:rsidP="00D86526">
      <w:pPr>
        <w:ind w:left="142" w:hanging="142"/>
        <w:jc w:val="both"/>
        <w:rPr>
          <w:rFonts w:eastAsia="Calibri" w:cstheme="minorHAnsi"/>
        </w:rPr>
      </w:pPr>
    </w:p>
    <w:p w14:paraId="58C9D9E2" w14:textId="77777777" w:rsidR="00D86526" w:rsidRPr="00A02B31" w:rsidRDefault="00D86526" w:rsidP="00D86526">
      <w:pPr>
        <w:ind w:left="142" w:hanging="142"/>
        <w:jc w:val="both"/>
        <w:rPr>
          <w:rFonts w:eastAsia="Calibri" w:cstheme="minorHAnsi"/>
        </w:rPr>
      </w:pPr>
    </w:p>
    <w:p w14:paraId="5DA79377" w14:textId="10338FD9" w:rsidR="005452DB" w:rsidRPr="007600A7" w:rsidRDefault="00813A4F" w:rsidP="00D86526">
      <w:pPr>
        <w:ind w:left="142" w:hanging="142"/>
        <w:jc w:val="center"/>
        <w:rPr>
          <w:rFonts w:cstheme="minorHAnsi"/>
          <w:b/>
        </w:rPr>
      </w:pPr>
      <w:r w:rsidRPr="007600A7">
        <w:rPr>
          <w:rFonts w:cstheme="minorHAnsi"/>
        </w:rPr>
        <w:br w:type="page"/>
      </w:r>
      <w:r w:rsidR="005452DB" w:rsidRPr="007600A7">
        <w:rPr>
          <w:rFonts w:cstheme="minorHAnsi"/>
          <w:b/>
        </w:rPr>
        <w:lastRenderedPageBreak/>
        <w:t>CORPORATE INFORMATION</w:t>
      </w:r>
    </w:p>
    <w:p w14:paraId="00D12895" w14:textId="77777777" w:rsidR="005452DB" w:rsidRPr="000C1F6F" w:rsidRDefault="005452DB" w:rsidP="005452DB">
      <w:pPr>
        <w:jc w:val="center"/>
        <w:rPr>
          <w:rFonts w:cstheme="minorHAnsi"/>
          <w:b/>
        </w:rPr>
      </w:pPr>
    </w:p>
    <w:p w14:paraId="730E8244" w14:textId="77777777" w:rsidR="005452DB" w:rsidRPr="008B2DDA" w:rsidRDefault="005452DB" w:rsidP="005452DB">
      <w:pPr>
        <w:jc w:val="center"/>
        <w:rPr>
          <w:rFonts w:cstheme="minorHAnsi"/>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452DB" w:rsidRPr="007600A7" w14:paraId="06616DEE" w14:textId="77777777" w:rsidTr="0017119A">
        <w:tc>
          <w:tcPr>
            <w:tcW w:w="4675" w:type="dxa"/>
          </w:tcPr>
          <w:p w14:paraId="6E64DCB8" w14:textId="77777777" w:rsidR="005452DB" w:rsidRPr="0091098D" w:rsidRDefault="005452DB" w:rsidP="006051B4">
            <w:pPr>
              <w:rPr>
                <w:rFonts w:cstheme="minorHAnsi"/>
                <w:b/>
              </w:rPr>
            </w:pPr>
            <w:r w:rsidRPr="000C5053">
              <w:rPr>
                <w:rFonts w:cstheme="minorHAnsi"/>
                <w:b/>
              </w:rPr>
              <w:t>Directors</w:t>
            </w:r>
          </w:p>
          <w:p w14:paraId="2E747562" w14:textId="2D164AFB" w:rsidR="005452DB" w:rsidRPr="00536A35" w:rsidRDefault="008B5D01" w:rsidP="006051B4">
            <w:pPr>
              <w:rPr>
                <w:rFonts w:cstheme="minorHAnsi"/>
              </w:rPr>
            </w:pPr>
            <w:r w:rsidRPr="0075195E">
              <w:rPr>
                <w:rFonts w:cstheme="minorHAnsi"/>
              </w:rPr>
              <w:t>N Lamb</w:t>
            </w:r>
            <w:r w:rsidR="005452DB" w:rsidRPr="00536A35">
              <w:rPr>
                <w:rFonts w:cstheme="minorHAnsi"/>
              </w:rPr>
              <w:t xml:space="preserve"> (Chairman) </w:t>
            </w:r>
          </w:p>
          <w:p w14:paraId="44C7F1DD" w14:textId="4B473C66" w:rsidR="005452DB" w:rsidRPr="00A02B31" w:rsidRDefault="008B5D01" w:rsidP="006051B4">
            <w:pPr>
              <w:rPr>
                <w:rFonts w:cstheme="minorHAnsi"/>
              </w:rPr>
            </w:pPr>
            <w:r w:rsidRPr="00A02B31">
              <w:rPr>
                <w:rFonts w:cstheme="minorHAnsi"/>
              </w:rPr>
              <w:t>G Bird</w:t>
            </w:r>
          </w:p>
          <w:p w14:paraId="45968D24" w14:textId="77777777" w:rsidR="005452DB" w:rsidRPr="00A02B31" w:rsidRDefault="005452DB" w:rsidP="006051B4">
            <w:pPr>
              <w:rPr>
                <w:rFonts w:cstheme="minorHAnsi"/>
              </w:rPr>
            </w:pPr>
            <w:r w:rsidRPr="00A02B31">
              <w:rPr>
                <w:rFonts w:cstheme="minorHAnsi"/>
              </w:rPr>
              <w:t>K Lever</w:t>
            </w:r>
          </w:p>
          <w:p w14:paraId="2399F54D" w14:textId="77777777" w:rsidR="005452DB" w:rsidRPr="00A02B31" w:rsidRDefault="005452DB" w:rsidP="006051B4">
            <w:pPr>
              <w:rPr>
                <w:rFonts w:cstheme="minorHAnsi"/>
              </w:rPr>
            </w:pPr>
          </w:p>
          <w:p w14:paraId="64645AEB" w14:textId="77777777" w:rsidR="00DB5CB6" w:rsidRPr="00A02B31" w:rsidRDefault="00DB5CB6" w:rsidP="006051B4">
            <w:pPr>
              <w:rPr>
                <w:rFonts w:cstheme="minorHAnsi"/>
                <w:b/>
              </w:rPr>
            </w:pPr>
            <w:r w:rsidRPr="00A02B31">
              <w:rPr>
                <w:rFonts w:cstheme="minorHAnsi"/>
                <w:b/>
              </w:rPr>
              <w:t>Company Secretary</w:t>
            </w:r>
          </w:p>
          <w:p w14:paraId="7900E24D" w14:textId="77777777" w:rsidR="005452DB" w:rsidRPr="00A02B31" w:rsidRDefault="0017119A" w:rsidP="006051B4">
            <w:pPr>
              <w:rPr>
                <w:rFonts w:cstheme="minorHAnsi"/>
              </w:rPr>
            </w:pPr>
            <w:r w:rsidRPr="00A02B31">
              <w:rPr>
                <w:rFonts w:cstheme="minorHAnsi"/>
              </w:rPr>
              <w:t>SGH Company Secretaries</w:t>
            </w:r>
            <w:r w:rsidR="005452DB" w:rsidRPr="00A02B31">
              <w:rPr>
                <w:rFonts w:cstheme="minorHAnsi"/>
              </w:rPr>
              <w:t xml:space="preserve"> Limited </w:t>
            </w:r>
          </w:p>
          <w:p w14:paraId="31F6AA9F" w14:textId="77777777" w:rsidR="0017119A" w:rsidRPr="00A02B31" w:rsidRDefault="0017119A" w:rsidP="006051B4">
            <w:pPr>
              <w:rPr>
                <w:rFonts w:cstheme="minorHAnsi"/>
              </w:rPr>
            </w:pPr>
            <w:r w:rsidRPr="00A02B31">
              <w:rPr>
                <w:rFonts w:cstheme="minorHAnsi"/>
              </w:rPr>
              <w:t>6</w:t>
            </w:r>
            <w:r w:rsidRPr="00A02B31">
              <w:rPr>
                <w:rFonts w:cstheme="minorHAnsi"/>
                <w:vertAlign w:val="superscript"/>
              </w:rPr>
              <w:t>th</w:t>
            </w:r>
            <w:r w:rsidRPr="00A02B31">
              <w:rPr>
                <w:rFonts w:cstheme="minorHAnsi"/>
              </w:rPr>
              <w:t xml:space="preserve"> Floor</w:t>
            </w:r>
          </w:p>
          <w:p w14:paraId="5EFC58F9" w14:textId="77777777" w:rsidR="005452DB" w:rsidRPr="00A02B31" w:rsidRDefault="0017119A" w:rsidP="006051B4">
            <w:pPr>
              <w:rPr>
                <w:rFonts w:cstheme="minorHAnsi"/>
              </w:rPr>
            </w:pPr>
            <w:r w:rsidRPr="00A02B31">
              <w:rPr>
                <w:rFonts w:cstheme="minorHAnsi"/>
              </w:rPr>
              <w:t>60 Gracechurch Street</w:t>
            </w:r>
          </w:p>
          <w:p w14:paraId="11EE1FAD" w14:textId="77777777" w:rsidR="005452DB" w:rsidRPr="00A02B31" w:rsidRDefault="005452DB" w:rsidP="006051B4">
            <w:pPr>
              <w:rPr>
                <w:rFonts w:cstheme="minorHAnsi"/>
              </w:rPr>
            </w:pPr>
            <w:r w:rsidRPr="00A02B31">
              <w:rPr>
                <w:rFonts w:cstheme="minorHAnsi"/>
              </w:rPr>
              <w:t xml:space="preserve">London </w:t>
            </w:r>
          </w:p>
          <w:p w14:paraId="7741F3CE" w14:textId="77777777" w:rsidR="005452DB" w:rsidRPr="00A02B31" w:rsidRDefault="0017119A" w:rsidP="006051B4">
            <w:pPr>
              <w:rPr>
                <w:rFonts w:cstheme="minorHAnsi"/>
              </w:rPr>
            </w:pPr>
            <w:r w:rsidRPr="00A02B31">
              <w:rPr>
                <w:rFonts w:cstheme="minorHAnsi"/>
              </w:rPr>
              <w:t>EC3V 0HR</w:t>
            </w:r>
          </w:p>
          <w:p w14:paraId="38331C60" w14:textId="77777777" w:rsidR="005452DB" w:rsidRPr="00A02B31" w:rsidRDefault="005452DB" w:rsidP="006051B4">
            <w:pPr>
              <w:rPr>
                <w:rFonts w:cstheme="minorHAnsi"/>
              </w:rPr>
            </w:pPr>
          </w:p>
          <w:p w14:paraId="1BD45024" w14:textId="77777777" w:rsidR="005452DB" w:rsidRPr="00A02B31" w:rsidRDefault="005452DB" w:rsidP="006051B4">
            <w:pPr>
              <w:rPr>
                <w:rFonts w:cstheme="minorHAnsi"/>
                <w:b/>
              </w:rPr>
            </w:pPr>
            <w:r w:rsidRPr="00A02B31">
              <w:rPr>
                <w:rFonts w:cstheme="minorHAnsi"/>
                <w:b/>
              </w:rPr>
              <w:t xml:space="preserve">Registered Office </w:t>
            </w:r>
          </w:p>
          <w:p w14:paraId="174718E0" w14:textId="77777777" w:rsidR="005B0B6C" w:rsidRPr="00A02B31" w:rsidRDefault="005B0B6C" w:rsidP="005B0B6C">
            <w:pPr>
              <w:rPr>
                <w:rFonts w:cstheme="minorHAnsi"/>
              </w:rPr>
            </w:pPr>
            <w:r w:rsidRPr="00A02B31">
              <w:rPr>
                <w:rFonts w:cstheme="minorHAnsi"/>
              </w:rPr>
              <w:t>6th Floor</w:t>
            </w:r>
          </w:p>
          <w:p w14:paraId="1D92082B" w14:textId="77777777" w:rsidR="005B0B6C" w:rsidRPr="00A02B31" w:rsidRDefault="005B0B6C" w:rsidP="005B0B6C">
            <w:pPr>
              <w:rPr>
                <w:rFonts w:cstheme="minorHAnsi"/>
              </w:rPr>
            </w:pPr>
            <w:r w:rsidRPr="00A02B31">
              <w:rPr>
                <w:rFonts w:cstheme="minorHAnsi"/>
              </w:rPr>
              <w:t>60 Gracechurch Street</w:t>
            </w:r>
          </w:p>
          <w:p w14:paraId="06501558" w14:textId="77777777" w:rsidR="005B0B6C" w:rsidRPr="00A02B31" w:rsidRDefault="005B0B6C" w:rsidP="005B0B6C">
            <w:pPr>
              <w:rPr>
                <w:rFonts w:cstheme="minorHAnsi"/>
              </w:rPr>
            </w:pPr>
            <w:r w:rsidRPr="00A02B31">
              <w:rPr>
                <w:rFonts w:cstheme="minorHAnsi"/>
              </w:rPr>
              <w:t xml:space="preserve">London </w:t>
            </w:r>
          </w:p>
          <w:p w14:paraId="67927634" w14:textId="77777777" w:rsidR="005B0B6C" w:rsidRPr="00A02B31" w:rsidRDefault="005B0B6C" w:rsidP="006051B4">
            <w:pPr>
              <w:rPr>
                <w:rFonts w:cstheme="minorHAnsi"/>
              </w:rPr>
            </w:pPr>
            <w:r w:rsidRPr="00A02B31">
              <w:rPr>
                <w:rFonts w:cstheme="minorHAnsi"/>
              </w:rPr>
              <w:t>EC3V 0HR</w:t>
            </w:r>
          </w:p>
          <w:p w14:paraId="6B2B7C11" w14:textId="77777777" w:rsidR="0017119A" w:rsidRPr="00A02B31" w:rsidRDefault="0017119A" w:rsidP="006051B4">
            <w:pPr>
              <w:rPr>
                <w:rFonts w:cstheme="minorHAnsi"/>
                <w:b/>
              </w:rPr>
            </w:pPr>
          </w:p>
          <w:p w14:paraId="7E43912E" w14:textId="77777777" w:rsidR="005452DB" w:rsidRPr="00A02B31" w:rsidRDefault="005452DB" w:rsidP="006051B4">
            <w:pPr>
              <w:rPr>
                <w:rFonts w:cstheme="minorHAnsi"/>
                <w:b/>
              </w:rPr>
            </w:pPr>
            <w:r w:rsidRPr="00A02B31">
              <w:rPr>
                <w:rFonts w:cstheme="minorHAnsi"/>
                <w:b/>
              </w:rPr>
              <w:t>Investment Manager</w:t>
            </w:r>
          </w:p>
          <w:p w14:paraId="00B30C19" w14:textId="4830FB43" w:rsidR="00E754E0" w:rsidRPr="00A02B31" w:rsidRDefault="00E754E0" w:rsidP="006051B4">
            <w:pPr>
              <w:rPr>
                <w:rFonts w:cstheme="minorHAnsi"/>
              </w:rPr>
            </w:pPr>
            <w:r w:rsidRPr="00A02B31">
              <w:rPr>
                <w:rFonts w:cstheme="minorHAnsi"/>
              </w:rPr>
              <w:t>Harwood Capital Management Ltd</w:t>
            </w:r>
          </w:p>
          <w:p w14:paraId="580FC256" w14:textId="02DF4C5A" w:rsidR="00E754E0" w:rsidRPr="00A02B31" w:rsidRDefault="00E754E0" w:rsidP="006051B4">
            <w:pPr>
              <w:rPr>
                <w:rFonts w:cstheme="minorHAnsi"/>
              </w:rPr>
            </w:pPr>
            <w:r w:rsidRPr="00A02B31">
              <w:rPr>
                <w:rFonts w:cstheme="minorHAnsi"/>
              </w:rPr>
              <w:t>6 Stratton St</w:t>
            </w:r>
          </w:p>
          <w:p w14:paraId="31B4BF10" w14:textId="2A63F737" w:rsidR="005452DB" w:rsidRPr="00A02B31" w:rsidRDefault="005452DB" w:rsidP="006051B4">
            <w:pPr>
              <w:rPr>
                <w:rFonts w:cstheme="minorHAnsi"/>
              </w:rPr>
            </w:pPr>
            <w:r w:rsidRPr="00A02B31">
              <w:rPr>
                <w:rFonts w:cstheme="minorHAnsi"/>
              </w:rPr>
              <w:t>London</w:t>
            </w:r>
          </w:p>
          <w:p w14:paraId="291C9331" w14:textId="15A50E03" w:rsidR="0017119A" w:rsidRPr="00A02B31" w:rsidRDefault="00E754E0" w:rsidP="006051B4">
            <w:pPr>
              <w:rPr>
                <w:rFonts w:cstheme="minorHAnsi"/>
              </w:rPr>
            </w:pPr>
            <w:r w:rsidRPr="00A02B31">
              <w:rPr>
                <w:rFonts w:cstheme="minorHAnsi"/>
              </w:rPr>
              <w:t>W1J 8LD</w:t>
            </w:r>
          </w:p>
          <w:p w14:paraId="7817457B" w14:textId="77777777" w:rsidR="00DA53F6" w:rsidRPr="00A02B31" w:rsidRDefault="00DA53F6" w:rsidP="006051B4">
            <w:pPr>
              <w:rPr>
                <w:rFonts w:cstheme="minorHAnsi"/>
                <w:b/>
              </w:rPr>
            </w:pPr>
          </w:p>
          <w:p w14:paraId="48477CC4" w14:textId="77777777" w:rsidR="005452DB" w:rsidRPr="00A02B31" w:rsidRDefault="005452DB" w:rsidP="006051B4">
            <w:pPr>
              <w:rPr>
                <w:rFonts w:cstheme="minorHAnsi"/>
                <w:b/>
              </w:rPr>
            </w:pPr>
            <w:r w:rsidRPr="00A02B31">
              <w:rPr>
                <w:rFonts w:cstheme="minorHAnsi"/>
                <w:b/>
              </w:rPr>
              <w:t>Bankers</w:t>
            </w:r>
          </w:p>
          <w:p w14:paraId="798A4D5B" w14:textId="77777777" w:rsidR="005452DB" w:rsidRPr="00A02B31" w:rsidRDefault="005452DB" w:rsidP="006051B4">
            <w:pPr>
              <w:rPr>
                <w:rFonts w:cstheme="minorHAnsi"/>
              </w:rPr>
            </w:pPr>
            <w:r w:rsidRPr="00A02B31">
              <w:rPr>
                <w:rFonts w:cstheme="minorHAnsi"/>
              </w:rPr>
              <w:t xml:space="preserve">The Royal Bank of Scotland plc </w:t>
            </w:r>
          </w:p>
          <w:p w14:paraId="5FA50119" w14:textId="22A40746" w:rsidR="00DF207B" w:rsidRPr="00A02B31" w:rsidRDefault="00DF207B" w:rsidP="006051B4">
            <w:pPr>
              <w:rPr>
                <w:rFonts w:cstheme="minorHAnsi"/>
              </w:rPr>
            </w:pPr>
            <w:r w:rsidRPr="00A02B31">
              <w:rPr>
                <w:rFonts w:cstheme="minorHAnsi"/>
              </w:rPr>
              <w:t xml:space="preserve">Brunel House </w:t>
            </w:r>
          </w:p>
          <w:p w14:paraId="18B555C9" w14:textId="027671BA" w:rsidR="00DF207B" w:rsidRPr="00A02B31" w:rsidRDefault="00DF207B" w:rsidP="006051B4">
            <w:pPr>
              <w:rPr>
                <w:rFonts w:cstheme="minorHAnsi"/>
              </w:rPr>
            </w:pPr>
            <w:r w:rsidRPr="00A02B31">
              <w:rPr>
                <w:rFonts w:cstheme="minorHAnsi"/>
              </w:rPr>
              <w:t xml:space="preserve">17/27 Station Rd </w:t>
            </w:r>
          </w:p>
          <w:p w14:paraId="6ED8DA78" w14:textId="00F8C5C3" w:rsidR="00DF207B" w:rsidRPr="00A02B31" w:rsidRDefault="00DF207B" w:rsidP="006051B4">
            <w:pPr>
              <w:rPr>
                <w:rFonts w:cstheme="minorHAnsi"/>
              </w:rPr>
            </w:pPr>
            <w:r w:rsidRPr="00A02B31">
              <w:rPr>
                <w:rFonts w:cstheme="minorHAnsi"/>
              </w:rPr>
              <w:t>Reading</w:t>
            </w:r>
          </w:p>
          <w:p w14:paraId="775437B9" w14:textId="747D2F40" w:rsidR="00DF207B" w:rsidRPr="00A02B31" w:rsidRDefault="00DF207B" w:rsidP="006051B4">
            <w:pPr>
              <w:rPr>
                <w:rFonts w:cstheme="minorHAnsi"/>
              </w:rPr>
            </w:pPr>
            <w:r w:rsidRPr="00A02B31">
              <w:rPr>
                <w:rFonts w:cstheme="minorHAnsi"/>
              </w:rPr>
              <w:t>Berkshire</w:t>
            </w:r>
          </w:p>
          <w:p w14:paraId="69C3DEFB" w14:textId="000267C9" w:rsidR="005452DB" w:rsidRPr="00A02B31" w:rsidRDefault="00DF207B" w:rsidP="006051B4">
            <w:pPr>
              <w:rPr>
                <w:rFonts w:cstheme="minorHAnsi"/>
              </w:rPr>
            </w:pPr>
            <w:r w:rsidRPr="00A02B31">
              <w:rPr>
                <w:rFonts w:cstheme="minorHAnsi"/>
              </w:rPr>
              <w:t>RG1 1LG</w:t>
            </w:r>
          </w:p>
          <w:p w14:paraId="1A4E396C" w14:textId="77777777" w:rsidR="005452DB" w:rsidRPr="00A02B31" w:rsidRDefault="005452DB" w:rsidP="006051B4">
            <w:pPr>
              <w:rPr>
                <w:rFonts w:cstheme="minorHAnsi"/>
              </w:rPr>
            </w:pPr>
          </w:p>
          <w:p w14:paraId="45FDAFD6" w14:textId="77777777" w:rsidR="005452DB" w:rsidRPr="00A02B31" w:rsidRDefault="005452DB" w:rsidP="006051B4">
            <w:pPr>
              <w:jc w:val="center"/>
              <w:rPr>
                <w:rFonts w:cstheme="minorHAnsi"/>
              </w:rPr>
            </w:pPr>
          </w:p>
        </w:tc>
        <w:tc>
          <w:tcPr>
            <w:tcW w:w="4675" w:type="dxa"/>
          </w:tcPr>
          <w:p w14:paraId="304F8926" w14:textId="77777777" w:rsidR="005452DB" w:rsidRPr="00A02B31" w:rsidRDefault="005452DB" w:rsidP="006051B4">
            <w:pPr>
              <w:rPr>
                <w:rFonts w:cstheme="minorHAnsi"/>
                <w:b/>
                <w:lang w:val="it-IT"/>
              </w:rPr>
            </w:pPr>
            <w:r w:rsidRPr="00A02B31">
              <w:rPr>
                <w:rFonts w:cstheme="minorHAnsi"/>
                <w:b/>
                <w:lang w:val="it-IT"/>
              </w:rPr>
              <w:t>Solicitors</w:t>
            </w:r>
          </w:p>
          <w:p w14:paraId="764D3990" w14:textId="77777777" w:rsidR="005452DB" w:rsidRPr="00A02B31" w:rsidRDefault="005452DB" w:rsidP="006051B4">
            <w:pPr>
              <w:rPr>
                <w:rFonts w:cstheme="minorHAnsi"/>
                <w:lang w:val="it-IT"/>
              </w:rPr>
            </w:pPr>
            <w:r w:rsidRPr="00A02B31">
              <w:rPr>
                <w:rFonts w:cstheme="minorHAnsi"/>
                <w:lang w:val="it-IT"/>
              </w:rPr>
              <w:t>CMS Cameron McKenna Nabarro Olswang LLP</w:t>
            </w:r>
          </w:p>
          <w:p w14:paraId="0BA64373" w14:textId="77777777" w:rsidR="005452DB" w:rsidRPr="00A02B31" w:rsidRDefault="005452DB" w:rsidP="006051B4">
            <w:pPr>
              <w:rPr>
                <w:rFonts w:cstheme="minorHAnsi"/>
              </w:rPr>
            </w:pPr>
            <w:r w:rsidRPr="00A02B31">
              <w:rPr>
                <w:rFonts w:cstheme="minorHAnsi"/>
              </w:rPr>
              <w:t>Cannon Place</w:t>
            </w:r>
          </w:p>
          <w:p w14:paraId="04764941" w14:textId="77777777" w:rsidR="005452DB" w:rsidRPr="00A02B31" w:rsidRDefault="005452DB" w:rsidP="006051B4">
            <w:pPr>
              <w:rPr>
                <w:rFonts w:cstheme="minorHAnsi"/>
              </w:rPr>
            </w:pPr>
            <w:r w:rsidRPr="00A02B31">
              <w:rPr>
                <w:rFonts w:cstheme="minorHAnsi"/>
              </w:rPr>
              <w:t>78 Cannon Street</w:t>
            </w:r>
          </w:p>
          <w:p w14:paraId="48E4F81D" w14:textId="77777777" w:rsidR="005452DB" w:rsidRPr="00A02B31" w:rsidRDefault="005452DB" w:rsidP="006051B4">
            <w:pPr>
              <w:rPr>
                <w:rFonts w:cstheme="minorHAnsi"/>
              </w:rPr>
            </w:pPr>
            <w:r w:rsidRPr="00A02B31">
              <w:rPr>
                <w:rFonts w:cstheme="minorHAnsi"/>
              </w:rPr>
              <w:t xml:space="preserve">London  </w:t>
            </w:r>
          </w:p>
          <w:p w14:paraId="130F3E8A" w14:textId="77777777" w:rsidR="005452DB" w:rsidRPr="00A02B31" w:rsidRDefault="005452DB" w:rsidP="006051B4">
            <w:pPr>
              <w:rPr>
                <w:rFonts w:cstheme="minorHAnsi"/>
              </w:rPr>
            </w:pPr>
            <w:r w:rsidRPr="00A02B31">
              <w:rPr>
                <w:rFonts w:cstheme="minorHAnsi"/>
              </w:rPr>
              <w:t xml:space="preserve">EC4N 6AF </w:t>
            </w:r>
          </w:p>
          <w:p w14:paraId="4ADEEAFB" w14:textId="77777777" w:rsidR="005452DB" w:rsidRPr="00A02B31" w:rsidRDefault="005452DB" w:rsidP="006051B4">
            <w:pPr>
              <w:rPr>
                <w:rFonts w:cstheme="minorHAnsi"/>
              </w:rPr>
            </w:pPr>
          </w:p>
          <w:p w14:paraId="4CBE9752" w14:textId="77777777" w:rsidR="005452DB" w:rsidRPr="00A02B31" w:rsidRDefault="005452DB" w:rsidP="006051B4">
            <w:pPr>
              <w:rPr>
                <w:rFonts w:cstheme="minorHAnsi"/>
                <w:b/>
              </w:rPr>
            </w:pPr>
            <w:r w:rsidRPr="00A02B31">
              <w:rPr>
                <w:rFonts w:cstheme="minorHAnsi"/>
                <w:b/>
              </w:rPr>
              <w:t>Auditor</w:t>
            </w:r>
          </w:p>
          <w:p w14:paraId="46C006F2" w14:textId="77777777" w:rsidR="005452DB" w:rsidRPr="00A02B31" w:rsidRDefault="005452DB" w:rsidP="006051B4">
            <w:pPr>
              <w:rPr>
                <w:rFonts w:cstheme="minorHAnsi"/>
              </w:rPr>
            </w:pPr>
            <w:r w:rsidRPr="00A02B31">
              <w:rPr>
                <w:rFonts w:cstheme="minorHAnsi"/>
              </w:rPr>
              <w:t>BDO LLP</w:t>
            </w:r>
          </w:p>
          <w:p w14:paraId="78A2BA89" w14:textId="58E623FA" w:rsidR="00E754E0" w:rsidRPr="00A02B31" w:rsidRDefault="00E754E0" w:rsidP="005A2711">
            <w:pPr>
              <w:rPr>
                <w:rFonts w:cstheme="minorHAnsi"/>
              </w:rPr>
            </w:pPr>
            <w:r w:rsidRPr="00A02B31">
              <w:rPr>
                <w:rFonts w:cstheme="minorHAnsi"/>
              </w:rPr>
              <w:t>55 Baker St</w:t>
            </w:r>
          </w:p>
          <w:p w14:paraId="3693CB0C" w14:textId="07A8FA9B" w:rsidR="005A2711" w:rsidRPr="00A02B31" w:rsidRDefault="00DF207B" w:rsidP="005A2711">
            <w:pPr>
              <w:rPr>
                <w:rFonts w:cstheme="minorHAnsi"/>
              </w:rPr>
            </w:pPr>
            <w:r w:rsidRPr="00A02B31">
              <w:rPr>
                <w:rFonts w:cstheme="minorHAnsi"/>
              </w:rPr>
              <w:t>London</w:t>
            </w:r>
          </w:p>
          <w:p w14:paraId="3EE35919" w14:textId="4562B53D" w:rsidR="005452DB" w:rsidRPr="00A02B31" w:rsidRDefault="00E754E0" w:rsidP="006051B4">
            <w:pPr>
              <w:rPr>
                <w:rFonts w:cstheme="minorHAnsi"/>
              </w:rPr>
            </w:pPr>
            <w:r w:rsidRPr="00A02B31">
              <w:rPr>
                <w:rFonts w:cstheme="minorHAnsi"/>
              </w:rPr>
              <w:t>W1U 7EU</w:t>
            </w:r>
          </w:p>
          <w:p w14:paraId="78E507CB" w14:textId="77777777" w:rsidR="00E754E0" w:rsidRPr="00A02B31" w:rsidRDefault="00E754E0" w:rsidP="006051B4">
            <w:pPr>
              <w:rPr>
                <w:rFonts w:cstheme="minorHAnsi"/>
              </w:rPr>
            </w:pPr>
          </w:p>
          <w:p w14:paraId="32DDEEAC" w14:textId="77777777" w:rsidR="005452DB" w:rsidRPr="00A02B31" w:rsidRDefault="005452DB" w:rsidP="006051B4">
            <w:pPr>
              <w:rPr>
                <w:rFonts w:cstheme="minorHAnsi"/>
                <w:b/>
              </w:rPr>
            </w:pPr>
            <w:r w:rsidRPr="00A02B31">
              <w:rPr>
                <w:rFonts w:cstheme="minorHAnsi"/>
                <w:b/>
              </w:rPr>
              <w:t xml:space="preserve">Registrars </w:t>
            </w:r>
          </w:p>
          <w:p w14:paraId="071A071E" w14:textId="76CFC9F0" w:rsidR="005452DB" w:rsidRPr="00A02B31" w:rsidRDefault="00E754E0" w:rsidP="006051B4">
            <w:pPr>
              <w:rPr>
                <w:rFonts w:cstheme="minorHAnsi"/>
              </w:rPr>
            </w:pPr>
            <w:r w:rsidRPr="00A02B31">
              <w:rPr>
                <w:rFonts w:cstheme="minorHAnsi"/>
              </w:rPr>
              <w:t>Link Group</w:t>
            </w:r>
          </w:p>
          <w:p w14:paraId="21BF8ACD" w14:textId="63E24B6A" w:rsidR="005B0B6C" w:rsidRPr="00A02B31" w:rsidRDefault="005B0B6C" w:rsidP="006051B4">
            <w:pPr>
              <w:rPr>
                <w:rFonts w:cstheme="minorHAnsi"/>
              </w:rPr>
            </w:pPr>
            <w:r w:rsidRPr="00A02B31">
              <w:rPr>
                <w:rFonts w:cstheme="minorHAnsi"/>
              </w:rPr>
              <w:t xml:space="preserve">Central Square </w:t>
            </w:r>
          </w:p>
          <w:p w14:paraId="0D4912FB" w14:textId="77777777" w:rsidR="005B0B6C" w:rsidRPr="00A02B31" w:rsidRDefault="005B0B6C" w:rsidP="006051B4">
            <w:pPr>
              <w:rPr>
                <w:rFonts w:cstheme="minorHAnsi"/>
              </w:rPr>
            </w:pPr>
            <w:r w:rsidRPr="00A02B31">
              <w:rPr>
                <w:rFonts w:cstheme="minorHAnsi"/>
              </w:rPr>
              <w:t xml:space="preserve">29 Wellington St </w:t>
            </w:r>
          </w:p>
          <w:p w14:paraId="6222CE5F" w14:textId="77777777" w:rsidR="005B0B6C" w:rsidRPr="00A02B31" w:rsidRDefault="005B0B6C" w:rsidP="006051B4">
            <w:pPr>
              <w:rPr>
                <w:rFonts w:cstheme="minorHAnsi"/>
              </w:rPr>
            </w:pPr>
            <w:r w:rsidRPr="00A02B31">
              <w:rPr>
                <w:rFonts w:cstheme="minorHAnsi"/>
              </w:rPr>
              <w:t xml:space="preserve">Leeds </w:t>
            </w:r>
          </w:p>
          <w:p w14:paraId="6F3A9156" w14:textId="2E24F119" w:rsidR="005452DB" w:rsidRPr="00A02B31" w:rsidRDefault="005B0B6C" w:rsidP="005B0B6C">
            <w:pPr>
              <w:rPr>
                <w:rFonts w:cstheme="minorHAnsi"/>
              </w:rPr>
            </w:pPr>
            <w:r w:rsidRPr="00A02B31">
              <w:rPr>
                <w:rFonts w:cstheme="minorHAnsi"/>
              </w:rPr>
              <w:t>LS1 4DL</w:t>
            </w:r>
          </w:p>
          <w:p w14:paraId="34E6832F" w14:textId="77777777" w:rsidR="005452DB" w:rsidRPr="00A02B31" w:rsidRDefault="005452DB" w:rsidP="006051B4">
            <w:pPr>
              <w:rPr>
                <w:rFonts w:cstheme="minorHAnsi"/>
              </w:rPr>
            </w:pPr>
          </w:p>
          <w:p w14:paraId="0A436E21" w14:textId="438816C2" w:rsidR="005452DB" w:rsidRPr="00A02B31" w:rsidRDefault="00F75818" w:rsidP="006051B4">
            <w:pPr>
              <w:rPr>
                <w:rFonts w:cstheme="minorHAnsi"/>
                <w:b/>
              </w:rPr>
            </w:pPr>
            <w:r w:rsidRPr="00A02B31">
              <w:rPr>
                <w:rFonts w:cstheme="minorHAnsi"/>
                <w:b/>
              </w:rPr>
              <w:t>Nominated Advisor and Brokers</w:t>
            </w:r>
          </w:p>
          <w:p w14:paraId="57E4A979" w14:textId="679FED34" w:rsidR="005452DB" w:rsidRPr="00A02B31" w:rsidRDefault="00754D12" w:rsidP="006051B4">
            <w:pPr>
              <w:rPr>
                <w:rFonts w:cstheme="minorHAnsi"/>
              </w:rPr>
            </w:pPr>
            <w:r w:rsidRPr="00A02B31">
              <w:rPr>
                <w:rFonts w:cstheme="minorHAnsi"/>
              </w:rPr>
              <w:t>f</w:t>
            </w:r>
            <w:r w:rsidR="005452DB" w:rsidRPr="00A02B31">
              <w:rPr>
                <w:rFonts w:cstheme="minorHAnsi"/>
              </w:rPr>
              <w:t>inn</w:t>
            </w:r>
            <w:r w:rsidRPr="00A02B31">
              <w:rPr>
                <w:rFonts w:cstheme="minorHAnsi"/>
              </w:rPr>
              <w:t>C</w:t>
            </w:r>
            <w:r w:rsidR="005452DB" w:rsidRPr="00A02B31">
              <w:rPr>
                <w:rFonts w:cstheme="minorHAnsi"/>
              </w:rPr>
              <w:t>ap Ltd</w:t>
            </w:r>
          </w:p>
          <w:p w14:paraId="42B1C56B" w14:textId="641CE7E9" w:rsidR="008B5D01" w:rsidRPr="00A02B31" w:rsidRDefault="008B5D01" w:rsidP="006051B4">
            <w:pPr>
              <w:rPr>
                <w:rFonts w:cstheme="minorHAnsi"/>
              </w:rPr>
            </w:pPr>
            <w:r w:rsidRPr="00A02B31">
              <w:rPr>
                <w:rFonts w:cstheme="minorHAnsi"/>
              </w:rPr>
              <w:t>One Bartholomew Close</w:t>
            </w:r>
          </w:p>
          <w:p w14:paraId="7D51D1DC" w14:textId="19D2AFDF" w:rsidR="005452DB" w:rsidRPr="00A02B31" w:rsidRDefault="005452DB" w:rsidP="006051B4">
            <w:pPr>
              <w:rPr>
                <w:rFonts w:cstheme="minorHAnsi"/>
              </w:rPr>
            </w:pPr>
            <w:r w:rsidRPr="00A02B31">
              <w:rPr>
                <w:rFonts w:cstheme="minorHAnsi"/>
              </w:rPr>
              <w:t xml:space="preserve">London  </w:t>
            </w:r>
          </w:p>
          <w:p w14:paraId="12FC39C1" w14:textId="5D831192" w:rsidR="00F75818" w:rsidRPr="00A02B31" w:rsidRDefault="008B5D01" w:rsidP="006051B4">
            <w:pPr>
              <w:rPr>
                <w:rFonts w:cstheme="minorHAnsi"/>
              </w:rPr>
            </w:pPr>
            <w:r w:rsidRPr="00A02B31">
              <w:rPr>
                <w:rFonts w:cstheme="minorHAnsi"/>
              </w:rPr>
              <w:t>EC1A 7BL</w:t>
            </w:r>
          </w:p>
          <w:p w14:paraId="46ECD2D7" w14:textId="5FC528AE" w:rsidR="005B0B6C" w:rsidRPr="00A02B31" w:rsidRDefault="005B0B6C" w:rsidP="008B5D01">
            <w:pPr>
              <w:rPr>
                <w:rFonts w:cstheme="minorHAnsi"/>
              </w:rPr>
            </w:pPr>
          </w:p>
        </w:tc>
      </w:tr>
    </w:tbl>
    <w:p w14:paraId="35DBB78A" w14:textId="42EA84C8" w:rsidR="001526C6" w:rsidRPr="007600A7" w:rsidRDefault="001526C6" w:rsidP="001526C6">
      <w:pPr>
        <w:rPr>
          <w:rFonts w:cstheme="minorHAnsi"/>
          <w:i/>
          <w:iCs/>
        </w:rPr>
      </w:pPr>
      <w:r w:rsidRPr="007600A7">
        <w:rPr>
          <w:rFonts w:cstheme="minorHAnsi"/>
          <w:i/>
          <w:iCs/>
        </w:rPr>
        <w:t xml:space="preserve">Please contact a member of the </w:t>
      </w:r>
      <w:r w:rsidR="00E754E0" w:rsidRPr="007600A7">
        <w:rPr>
          <w:rFonts w:cstheme="minorHAnsi"/>
          <w:i/>
          <w:iCs/>
        </w:rPr>
        <w:t>Rockwood Strategic team</w:t>
      </w:r>
      <w:r w:rsidRPr="007600A7">
        <w:rPr>
          <w:rFonts w:cstheme="minorHAnsi"/>
          <w:i/>
          <w:iCs/>
        </w:rPr>
        <w:t xml:space="preserve"> if you wish to discuss your investment or provide feedback on this document. </w:t>
      </w:r>
      <w:r w:rsidR="00E754E0" w:rsidRPr="007600A7">
        <w:rPr>
          <w:rFonts w:cstheme="minorHAnsi"/>
          <w:i/>
          <w:iCs/>
        </w:rPr>
        <w:t>Rockwood Strategic</w:t>
      </w:r>
      <w:r w:rsidRPr="007600A7">
        <w:rPr>
          <w:rFonts w:cstheme="minorHAnsi"/>
          <w:i/>
          <w:iCs/>
        </w:rPr>
        <w:t xml:space="preserve"> is committed to meeting the needs and expectations of all stakeholders and welcomes any suggestions to improve its service delivery. </w:t>
      </w:r>
      <w:hyperlink r:id="rId30" w:history="1">
        <w:r w:rsidR="00E754E0" w:rsidRPr="007600A7">
          <w:rPr>
            <w:rStyle w:val="Hyperlink"/>
            <w:rFonts w:cstheme="minorHAnsi"/>
          </w:rPr>
          <w:t>https://www.rockwoodstrategic.co.uk/</w:t>
        </w:r>
      </w:hyperlink>
      <w:r w:rsidR="00E754E0" w:rsidRPr="007600A7">
        <w:rPr>
          <w:rFonts w:cstheme="minorHAnsi"/>
        </w:rPr>
        <w:t xml:space="preserve"> </w:t>
      </w:r>
    </w:p>
    <w:p w14:paraId="62C3058C" w14:textId="77777777" w:rsidR="005452DB" w:rsidRDefault="005452DB" w:rsidP="005452DB"/>
    <w:sectPr w:rsidR="005452DB" w:rsidSect="00A02B31">
      <w:pgSz w:w="12240" w:h="15840"/>
      <w:pgMar w:top="720" w:right="900" w:bottom="1134"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761C0" w16cex:dateUtc="2022-05-24T12:53:00Z"/>
  <w16cex:commentExtensible w16cex:durableId="2639F43C" w16cex:dateUtc="2022-05-26T11:42:00Z"/>
  <w16cex:commentExtensible w16cex:durableId="263761EC" w16cex:dateUtc="2022-05-24T12:53:00Z"/>
  <w16cex:commentExtensible w16cex:durableId="26376213" w16cex:dateUtc="2022-05-24T12:54:00Z"/>
  <w16cex:commentExtensible w16cex:durableId="26376225" w16cex:dateUtc="2022-05-24T12:54:00Z"/>
  <w16cex:commentExtensible w16cex:durableId="26376291" w16cex:dateUtc="2022-05-24T12:56:00Z"/>
  <w16cex:commentExtensible w16cex:durableId="263762BC" w16cex:dateUtc="2022-05-24T12:57:00Z"/>
  <w16cex:commentExtensible w16cex:durableId="263A238F" w16cex:dateUtc="2022-05-24T12:58:00Z"/>
  <w16cex:commentExtensible w16cex:durableId="263762EF" w16cex:dateUtc="2022-05-24T12:58:00Z"/>
  <w16cex:commentExtensible w16cex:durableId="263A2738" w16cex:dateUtc="2022-05-26T15:20:00Z"/>
  <w16cex:commentExtensible w16cex:durableId="263A2741" w16cex:dateUtc="2022-05-26T15:20:00Z"/>
  <w16cex:commentExtensible w16cex:durableId="26376419" w16cex:dateUtc="2022-05-24T13:03:00Z"/>
  <w16cex:commentExtensible w16cex:durableId="263761B8" w16cex:dateUtc="2022-05-23T11:28:00Z"/>
  <w16cex:commentExtensible w16cex:durableId="262CE2B1" w16cex:dateUtc="2022-05-12T14:53:00Z"/>
  <w16cex:commentExtensible w16cex:durableId="2635C20F" w16cex:dateUtc="2022-05-20T15:55:00Z"/>
  <w16cex:commentExtensible w16cex:durableId="26376482" w16cex:dateUtc="2022-05-24T13:04:00Z"/>
  <w16cex:commentExtensible w16cex:durableId="263B798A" w16cex:dateUtc="2022-05-27T15:23:00Z"/>
  <w16cex:commentExtensible w16cex:durableId="26376534" w16cex:dateUtc="2022-05-24T13:07:00Z"/>
  <w16cex:commentExtensible w16cex:durableId="26376582" w16cex:dateUtc="2022-05-24T13:09:00Z"/>
  <w16cex:commentExtensible w16cex:durableId="263765CD" w16cex:dateUtc="2022-05-24T13:10:00Z"/>
  <w16cex:commentExtensible w16cex:durableId="26376743" w16cex:dateUtc="2022-05-24T13:16:00Z"/>
  <w16cex:commentExtensible w16cex:durableId="2637819F" w16cex:dateUtc="2022-05-24T15:09:00Z"/>
  <w16cex:commentExtensible w16cex:durableId="2639B7A9" w16cex:dateUtc="2022-05-26T07:24:00Z"/>
  <w16cex:commentExtensible w16cex:durableId="2637675A" w16cex:dateUtc="2022-05-24T13:16:00Z"/>
  <w16cex:commentExtensible w16cex:durableId="263B879E" w16cex:dateUtc="2022-05-27T16:23:00Z"/>
  <w16cex:commentExtensible w16cex:durableId="263767DF" w16cex:dateUtc="2022-05-24T13:19:00Z"/>
  <w16cex:commentExtensible w16cex:durableId="263B8727" w16cex:dateUtc="2022-05-27T16:21:00Z"/>
  <w16cex:commentExtensible w16cex:durableId="263767F6" w16cex:dateUtc="2022-05-24T13:19:00Z"/>
  <w16cex:commentExtensible w16cex:durableId="263B87D1" w16cex:dateUtc="2022-05-27T16:24:00Z"/>
  <w16cex:commentExtensible w16cex:durableId="26376826" w16cex:dateUtc="2022-05-24T13:20:00Z"/>
  <w16cex:commentExtensible w16cex:durableId="2637684B" w16cex:dateUtc="2022-05-24T13:20:00Z"/>
  <w16cex:commentExtensible w16cex:durableId="263B892E" w16cex:dateUtc="2022-05-27T16:30:00Z"/>
  <w16cex:commentExtensible w16cex:durableId="26376878" w16cex:dateUtc="2022-05-24T13:21:00Z"/>
  <w16cex:commentExtensible w16cex:durableId="263B8AA1" w16cex:dateUtc="2022-05-27T16:36:00Z"/>
  <w16cex:commentExtensible w16cex:durableId="2635C210" w16cex:dateUtc="2022-05-12T16:02:00Z"/>
  <w16cex:commentExtensible w16cex:durableId="2635C211" w16cex:dateUtc="2022-05-12T16: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A5A68D" w16cid:durableId="263761C0"/>
  <w16cid:commentId w16cid:paraId="284D1705" w16cid:durableId="2639F43C"/>
  <w16cid:commentId w16cid:paraId="43C2E81D" w16cid:durableId="263761EC"/>
  <w16cid:commentId w16cid:paraId="0CBDF3D7" w16cid:durableId="26376213"/>
  <w16cid:commentId w16cid:paraId="22F23DDF" w16cid:durableId="26376225"/>
  <w16cid:commentId w16cid:paraId="134D6CE4" w16cid:durableId="26376291"/>
  <w16cid:commentId w16cid:paraId="6FD535D3" w16cid:durableId="263762BC"/>
  <w16cid:commentId w16cid:paraId="787C9265" w16cid:durableId="263A238F"/>
  <w16cid:commentId w16cid:paraId="07672855" w16cid:durableId="263762EF"/>
  <w16cid:commentId w16cid:paraId="24D8FD70" w16cid:durableId="263A2738"/>
  <w16cid:commentId w16cid:paraId="29E66DC5" w16cid:durableId="263A2741"/>
  <w16cid:commentId w16cid:paraId="2465DECA" w16cid:durableId="26376419"/>
  <w16cid:commentId w16cid:paraId="10F29A6C" w16cid:durableId="263761B8"/>
  <w16cid:commentId w16cid:paraId="403D6D0F" w16cid:durableId="262CE2B1"/>
  <w16cid:commentId w16cid:paraId="786B84B6" w16cid:durableId="2635C20F"/>
  <w16cid:commentId w16cid:paraId="007602C8" w16cid:durableId="26376482"/>
  <w16cid:commentId w16cid:paraId="76A05D7B" w16cid:durableId="263B798A"/>
  <w16cid:commentId w16cid:paraId="13E0DE67" w16cid:durableId="26376534"/>
  <w16cid:commentId w16cid:paraId="7902611A" w16cid:durableId="26376582"/>
  <w16cid:commentId w16cid:paraId="33116F55" w16cid:durableId="263765CD"/>
  <w16cid:commentId w16cid:paraId="473C17FD" w16cid:durableId="26376743"/>
  <w16cid:commentId w16cid:paraId="68425890" w16cid:durableId="2637819F"/>
  <w16cid:commentId w16cid:paraId="41036B65" w16cid:durableId="2639B7A9"/>
  <w16cid:commentId w16cid:paraId="10AD3C9B" w16cid:durableId="2637675A"/>
  <w16cid:commentId w16cid:paraId="0031A099" w16cid:durableId="263B879E"/>
  <w16cid:commentId w16cid:paraId="19D59248" w16cid:durableId="263767DF"/>
  <w16cid:commentId w16cid:paraId="71F184C5" w16cid:durableId="263B8727"/>
  <w16cid:commentId w16cid:paraId="1099C1D4" w16cid:durableId="263767F6"/>
  <w16cid:commentId w16cid:paraId="66FFA4F7" w16cid:durableId="263B87D1"/>
  <w16cid:commentId w16cid:paraId="1342628C" w16cid:durableId="26376826"/>
  <w16cid:commentId w16cid:paraId="65DAD780" w16cid:durableId="2637684B"/>
  <w16cid:commentId w16cid:paraId="6706120E" w16cid:durableId="263B892E"/>
  <w16cid:commentId w16cid:paraId="197DAFC9" w16cid:durableId="26376878"/>
  <w16cid:commentId w16cid:paraId="230C7394" w16cid:durableId="263B8AA1"/>
  <w16cid:commentId w16cid:paraId="7D609605" w16cid:durableId="2635C210"/>
  <w16cid:commentId w16cid:paraId="7D683938" w16cid:durableId="2635C21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55C893" w14:textId="77777777" w:rsidR="00FB7970" w:rsidRDefault="00FB7970" w:rsidP="000A1433">
      <w:r>
        <w:separator/>
      </w:r>
    </w:p>
  </w:endnote>
  <w:endnote w:type="continuationSeparator" w:id="0">
    <w:p w14:paraId="7BD37990" w14:textId="77777777" w:rsidR="00FB7970" w:rsidRDefault="00FB7970" w:rsidP="000A1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9229580"/>
      <w:docPartObj>
        <w:docPartGallery w:val="Page Numbers (Bottom of Page)"/>
        <w:docPartUnique/>
      </w:docPartObj>
    </w:sdtPr>
    <w:sdtEndPr>
      <w:rPr>
        <w:noProof/>
      </w:rPr>
    </w:sdtEndPr>
    <w:sdtContent>
      <w:p w14:paraId="675A3669" w14:textId="1BF4B0B3" w:rsidR="00FB7970" w:rsidRDefault="00FB7970">
        <w:pPr>
          <w:pStyle w:val="Footer"/>
          <w:jc w:val="center"/>
        </w:pPr>
        <w:r>
          <w:fldChar w:fldCharType="begin"/>
        </w:r>
        <w:r>
          <w:instrText xml:space="preserve"> PAGE   \* MERGEFORMAT </w:instrText>
        </w:r>
        <w:r>
          <w:fldChar w:fldCharType="separate"/>
        </w:r>
        <w:r w:rsidR="00323F73">
          <w:rPr>
            <w:noProof/>
          </w:rPr>
          <w:t>1</w:t>
        </w:r>
        <w:r>
          <w:rPr>
            <w:noProof/>
          </w:rPr>
          <w:fldChar w:fldCharType="end"/>
        </w:r>
      </w:p>
    </w:sdtContent>
  </w:sdt>
  <w:p w14:paraId="0AE63E67" w14:textId="77777777" w:rsidR="00FB7970" w:rsidRDefault="00FB79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252415"/>
      <w:docPartObj>
        <w:docPartGallery w:val="Page Numbers (Bottom of Page)"/>
        <w:docPartUnique/>
      </w:docPartObj>
    </w:sdtPr>
    <w:sdtEndPr>
      <w:rPr>
        <w:noProof/>
      </w:rPr>
    </w:sdtEndPr>
    <w:sdtContent>
      <w:p w14:paraId="066B07C5" w14:textId="5548B2DE" w:rsidR="00FB7970" w:rsidRDefault="00FB7970">
        <w:pPr>
          <w:pStyle w:val="Footer"/>
          <w:jc w:val="center"/>
        </w:pPr>
        <w:r>
          <w:fldChar w:fldCharType="begin"/>
        </w:r>
        <w:r>
          <w:instrText xml:space="preserve"> PAGE   \* MERGEFORMAT </w:instrText>
        </w:r>
        <w:r>
          <w:fldChar w:fldCharType="separate"/>
        </w:r>
        <w:r w:rsidR="00323F73">
          <w:rPr>
            <w:noProof/>
          </w:rPr>
          <w:t>59</w:t>
        </w:r>
        <w:r>
          <w:rPr>
            <w:noProof/>
          </w:rPr>
          <w:fldChar w:fldCharType="end"/>
        </w:r>
      </w:p>
    </w:sdtContent>
  </w:sdt>
  <w:p w14:paraId="5315B581" w14:textId="77777777" w:rsidR="00FB7970" w:rsidRDefault="00FB79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F3C891" w14:textId="77777777" w:rsidR="00FB7970" w:rsidRDefault="00FB7970" w:rsidP="000A1433">
      <w:r>
        <w:separator/>
      </w:r>
    </w:p>
  </w:footnote>
  <w:footnote w:type="continuationSeparator" w:id="0">
    <w:p w14:paraId="29847C72" w14:textId="77777777" w:rsidR="00FB7970" w:rsidRDefault="00FB7970" w:rsidP="000A14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5E38A" w14:textId="77777777" w:rsidR="00FB7970" w:rsidRDefault="00FB7970">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7B8C1" w14:textId="77777777" w:rsidR="00FB7970" w:rsidRDefault="00FB7970">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24A0D"/>
    <w:multiLevelType w:val="hybridMultilevel"/>
    <w:tmpl w:val="29A4EC1C"/>
    <w:lvl w:ilvl="0" w:tplc="CA7A537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12D54C2"/>
    <w:multiLevelType w:val="hybridMultilevel"/>
    <w:tmpl w:val="A202C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6825B1"/>
    <w:multiLevelType w:val="hybridMultilevel"/>
    <w:tmpl w:val="47EEC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452661"/>
    <w:multiLevelType w:val="hybridMultilevel"/>
    <w:tmpl w:val="FCDAEA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7C4D11"/>
    <w:multiLevelType w:val="hybridMultilevel"/>
    <w:tmpl w:val="6C602C52"/>
    <w:lvl w:ilvl="0" w:tplc="9318A74A">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 w15:restartNumberingAfterBreak="0">
    <w:nsid w:val="09AD5B22"/>
    <w:multiLevelType w:val="hybridMultilevel"/>
    <w:tmpl w:val="1A30238E"/>
    <w:lvl w:ilvl="0" w:tplc="0809000F">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C930804"/>
    <w:multiLevelType w:val="hybridMultilevel"/>
    <w:tmpl w:val="5848523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EC8429A"/>
    <w:multiLevelType w:val="hybridMultilevel"/>
    <w:tmpl w:val="AD54122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10486B"/>
    <w:multiLevelType w:val="hybridMultilevel"/>
    <w:tmpl w:val="543A97C8"/>
    <w:lvl w:ilvl="0" w:tplc="08090001">
      <w:start w:val="1"/>
      <w:numFmt w:val="bullet"/>
      <w:lvlText w:val=""/>
      <w:lvlJc w:val="left"/>
      <w:pPr>
        <w:ind w:left="761" w:hanging="360"/>
      </w:pPr>
      <w:rPr>
        <w:rFonts w:ascii="Symbol" w:hAnsi="Symbol" w:hint="default"/>
      </w:rPr>
    </w:lvl>
    <w:lvl w:ilvl="1" w:tplc="08090003">
      <w:start w:val="1"/>
      <w:numFmt w:val="bullet"/>
      <w:lvlText w:val="o"/>
      <w:lvlJc w:val="left"/>
      <w:pPr>
        <w:ind w:left="1481" w:hanging="360"/>
      </w:pPr>
      <w:rPr>
        <w:rFonts w:ascii="Courier New" w:hAnsi="Courier New" w:cs="Courier New" w:hint="default"/>
      </w:rPr>
    </w:lvl>
    <w:lvl w:ilvl="2" w:tplc="08090005">
      <w:start w:val="1"/>
      <w:numFmt w:val="bullet"/>
      <w:lvlText w:val=""/>
      <w:lvlJc w:val="left"/>
      <w:pPr>
        <w:ind w:left="2201" w:hanging="360"/>
      </w:pPr>
      <w:rPr>
        <w:rFonts w:ascii="Wingdings" w:hAnsi="Wingdings" w:hint="default"/>
      </w:rPr>
    </w:lvl>
    <w:lvl w:ilvl="3" w:tplc="08090001">
      <w:start w:val="1"/>
      <w:numFmt w:val="bullet"/>
      <w:lvlText w:val=""/>
      <w:lvlJc w:val="left"/>
      <w:pPr>
        <w:ind w:left="2921" w:hanging="360"/>
      </w:pPr>
      <w:rPr>
        <w:rFonts w:ascii="Symbol" w:hAnsi="Symbol" w:hint="default"/>
      </w:rPr>
    </w:lvl>
    <w:lvl w:ilvl="4" w:tplc="08090003">
      <w:start w:val="1"/>
      <w:numFmt w:val="bullet"/>
      <w:lvlText w:val="o"/>
      <w:lvlJc w:val="left"/>
      <w:pPr>
        <w:ind w:left="3641" w:hanging="360"/>
      </w:pPr>
      <w:rPr>
        <w:rFonts w:ascii="Courier New" w:hAnsi="Courier New" w:cs="Courier New" w:hint="default"/>
      </w:rPr>
    </w:lvl>
    <w:lvl w:ilvl="5" w:tplc="08090005">
      <w:start w:val="1"/>
      <w:numFmt w:val="bullet"/>
      <w:lvlText w:val=""/>
      <w:lvlJc w:val="left"/>
      <w:pPr>
        <w:ind w:left="4361" w:hanging="360"/>
      </w:pPr>
      <w:rPr>
        <w:rFonts w:ascii="Wingdings" w:hAnsi="Wingdings" w:hint="default"/>
      </w:rPr>
    </w:lvl>
    <w:lvl w:ilvl="6" w:tplc="08090001">
      <w:start w:val="1"/>
      <w:numFmt w:val="bullet"/>
      <w:lvlText w:val=""/>
      <w:lvlJc w:val="left"/>
      <w:pPr>
        <w:ind w:left="5081" w:hanging="360"/>
      </w:pPr>
      <w:rPr>
        <w:rFonts w:ascii="Symbol" w:hAnsi="Symbol" w:hint="default"/>
      </w:rPr>
    </w:lvl>
    <w:lvl w:ilvl="7" w:tplc="08090003">
      <w:start w:val="1"/>
      <w:numFmt w:val="bullet"/>
      <w:lvlText w:val="o"/>
      <w:lvlJc w:val="left"/>
      <w:pPr>
        <w:ind w:left="5801" w:hanging="360"/>
      </w:pPr>
      <w:rPr>
        <w:rFonts w:ascii="Courier New" w:hAnsi="Courier New" w:cs="Courier New" w:hint="default"/>
      </w:rPr>
    </w:lvl>
    <w:lvl w:ilvl="8" w:tplc="08090005">
      <w:start w:val="1"/>
      <w:numFmt w:val="bullet"/>
      <w:lvlText w:val=""/>
      <w:lvlJc w:val="left"/>
      <w:pPr>
        <w:ind w:left="6521" w:hanging="360"/>
      </w:pPr>
      <w:rPr>
        <w:rFonts w:ascii="Wingdings" w:hAnsi="Wingdings" w:hint="default"/>
      </w:rPr>
    </w:lvl>
  </w:abstractNum>
  <w:abstractNum w:abstractNumId="9" w15:restartNumberingAfterBreak="0">
    <w:nsid w:val="153248E3"/>
    <w:multiLevelType w:val="hybridMultilevel"/>
    <w:tmpl w:val="5428DC98"/>
    <w:lvl w:ilvl="0" w:tplc="0C7068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49602F"/>
    <w:multiLevelType w:val="hybridMultilevel"/>
    <w:tmpl w:val="9118DBFE"/>
    <w:lvl w:ilvl="0" w:tplc="0809000F">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E7C3F0C"/>
    <w:multiLevelType w:val="hybridMultilevel"/>
    <w:tmpl w:val="B5CE5902"/>
    <w:lvl w:ilvl="0" w:tplc="88BCF82E">
      <w:start w:val="1"/>
      <w:numFmt w:val="lowerLetter"/>
      <w:lvlText w:val="%1)"/>
      <w:lvlJc w:val="left"/>
      <w:pPr>
        <w:tabs>
          <w:tab w:val="num" w:pos="720"/>
        </w:tabs>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897356"/>
    <w:multiLevelType w:val="hybridMultilevel"/>
    <w:tmpl w:val="02F6FA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1F73DE"/>
    <w:multiLevelType w:val="hybridMultilevel"/>
    <w:tmpl w:val="0F68480A"/>
    <w:lvl w:ilvl="0" w:tplc="0C6CF3E4">
      <w:start w:val="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845A15"/>
    <w:multiLevelType w:val="hybridMultilevel"/>
    <w:tmpl w:val="244008C8"/>
    <w:lvl w:ilvl="0" w:tplc="E2242A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5B0E1D"/>
    <w:multiLevelType w:val="hybridMultilevel"/>
    <w:tmpl w:val="6C602C52"/>
    <w:lvl w:ilvl="0" w:tplc="9318A74A">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6" w15:restartNumberingAfterBreak="0">
    <w:nsid w:val="23D01081"/>
    <w:multiLevelType w:val="hybridMultilevel"/>
    <w:tmpl w:val="CBFADDF4"/>
    <w:lvl w:ilvl="0" w:tplc="0C6CF3E4">
      <w:start w:val="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CB3710"/>
    <w:multiLevelType w:val="hybridMultilevel"/>
    <w:tmpl w:val="FF40BEE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7E3B49"/>
    <w:multiLevelType w:val="hybridMultilevel"/>
    <w:tmpl w:val="56D221BA"/>
    <w:lvl w:ilvl="0" w:tplc="B6CA0D0E">
      <w:start w:val="12"/>
      <w:numFmt w:val="bullet"/>
      <w:lvlText w:val="-"/>
      <w:lvlJc w:val="left"/>
      <w:pPr>
        <w:ind w:left="405" w:hanging="360"/>
      </w:pPr>
      <w:rPr>
        <w:rFonts w:ascii="Calibri" w:eastAsiaTheme="minorHAnsi" w:hAnsi="Calibri" w:cstheme="minorHAns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9" w15:restartNumberingAfterBreak="0">
    <w:nsid w:val="2CBA0C88"/>
    <w:multiLevelType w:val="hybridMultilevel"/>
    <w:tmpl w:val="5018F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6C4EBC"/>
    <w:multiLevelType w:val="hybridMultilevel"/>
    <w:tmpl w:val="577EE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D04EE8"/>
    <w:multiLevelType w:val="hybridMultilevel"/>
    <w:tmpl w:val="BE622D3C"/>
    <w:lvl w:ilvl="0" w:tplc="B1F2450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2B62838"/>
    <w:multiLevelType w:val="hybridMultilevel"/>
    <w:tmpl w:val="F0E2CBFC"/>
    <w:lvl w:ilvl="0" w:tplc="433601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306542"/>
    <w:multiLevelType w:val="hybridMultilevel"/>
    <w:tmpl w:val="B11C00FA"/>
    <w:lvl w:ilvl="0" w:tplc="71E6061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4E62E2"/>
    <w:multiLevelType w:val="hybridMultilevel"/>
    <w:tmpl w:val="563A82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1D582C"/>
    <w:multiLevelType w:val="hybridMultilevel"/>
    <w:tmpl w:val="8CDEB1D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6" w15:restartNumberingAfterBreak="0">
    <w:nsid w:val="35966F3F"/>
    <w:multiLevelType w:val="hybridMultilevel"/>
    <w:tmpl w:val="23B0A3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5AC3596"/>
    <w:multiLevelType w:val="hybridMultilevel"/>
    <w:tmpl w:val="F5AC748E"/>
    <w:lvl w:ilvl="0" w:tplc="0C6CF3E4">
      <w:start w:val="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6D00581"/>
    <w:multiLevelType w:val="hybridMultilevel"/>
    <w:tmpl w:val="90BAA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7092297"/>
    <w:multiLevelType w:val="hybridMultilevel"/>
    <w:tmpl w:val="700E43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957053F"/>
    <w:multiLevelType w:val="hybridMultilevel"/>
    <w:tmpl w:val="D5E67FDC"/>
    <w:lvl w:ilvl="0" w:tplc="97AE6F40">
      <w:start w:val="1"/>
      <w:numFmt w:val="bullet"/>
      <w:lvlText w:val="•"/>
      <w:lvlJc w:val="left"/>
      <w:pPr>
        <w:tabs>
          <w:tab w:val="num" w:pos="720"/>
        </w:tabs>
        <w:ind w:left="720" w:hanging="360"/>
      </w:pPr>
      <w:rPr>
        <w:rFonts w:ascii="Arial" w:hAnsi="Arial" w:hint="default"/>
      </w:rPr>
    </w:lvl>
    <w:lvl w:ilvl="1" w:tplc="48A8DE4A" w:tentative="1">
      <w:start w:val="1"/>
      <w:numFmt w:val="bullet"/>
      <w:lvlText w:val="•"/>
      <w:lvlJc w:val="left"/>
      <w:pPr>
        <w:tabs>
          <w:tab w:val="num" w:pos="1440"/>
        </w:tabs>
        <w:ind w:left="1440" w:hanging="360"/>
      </w:pPr>
      <w:rPr>
        <w:rFonts w:ascii="Arial" w:hAnsi="Arial" w:hint="default"/>
      </w:rPr>
    </w:lvl>
    <w:lvl w:ilvl="2" w:tplc="6C5EE924" w:tentative="1">
      <w:start w:val="1"/>
      <w:numFmt w:val="bullet"/>
      <w:lvlText w:val="•"/>
      <w:lvlJc w:val="left"/>
      <w:pPr>
        <w:tabs>
          <w:tab w:val="num" w:pos="2160"/>
        </w:tabs>
        <w:ind w:left="2160" w:hanging="360"/>
      </w:pPr>
      <w:rPr>
        <w:rFonts w:ascii="Arial" w:hAnsi="Arial" w:hint="default"/>
      </w:rPr>
    </w:lvl>
    <w:lvl w:ilvl="3" w:tplc="BE50AAD0" w:tentative="1">
      <w:start w:val="1"/>
      <w:numFmt w:val="bullet"/>
      <w:lvlText w:val="•"/>
      <w:lvlJc w:val="left"/>
      <w:pPr>
        <w:tabs>
          <w:tab w:val="num" w:pos="2880"/>
        </w:tabs>
        <w:ind w:left="2880" w:hanging="360"/>
      </w:pPr>
      <w:rPr>
        <w:rFonts w:ascii="Arial" w:hAnsi="Arial" w:hint="default"/>
      </w:rPr>
    </w:lvl>
    <w:lvl w:ilvl="4" w:tplc="6F6AAD30" w:tentative="1">
      <w:start w:val="1"/>
      <w:numFmt w:val="bullet"/>
      <w:lvlText w:val="•"/>
      <w:lvlJc w:val="left"/>
      <w:pPr>
        <w:tabs>
          <w:tab w:val="num" w:pos="3600"/>
        </w:tabs>
        <w:ind w:left="3600" w:hanging="360"/>
      </w:pPr>
      <w:rPr>
        <w:rFonts w:ascii="Arial" w:hAnsi="Arial" w:hint="default"/>
      </w:rPr>
    </w:lvl>
    <w:lvl w:ilvl="5" w:tplc="B48834F4" w:tentative="1">
      <w:start w:val="1"/>
      <w:numFmt w:val="bullet"/>
      <w:lvlText w:val="•"/>
      <w:lvlJc w:val="left"/>
      <w:pPr>
        <w:tabs>
          <w:tab w:val="num" w:pos="4320"/>
        </w:tabs>
        <w:ind w:left="4320" w:hanging="360"/>
      </w:pPr>
      <w:rPr>
        <w:rFonts w:ascii="Arial" w:hAnsi="Arial" w:hint="default"/>
      </w:rPr>
    </w:lvl>
    <w:lvl w:ilvl="6" w:tplc="EB6AE41C" w:tentative="1">
      <w:start w:val="1"/>
      <w:numFmt w:val="bullet"/>
      <w:lvlText w:val="•"/>
      <w:lvlJc w:val="left"/>
      <w:pPr>
        <w:tabs>
          <w:tab w:val="num" w:pos="5040"/>
        </w:tabs>
        <w:ind w:left="5040" w:hanging="360"/>
      </w:pPr>
      <w:rPr>
        <w:rFonts w:ascii="Arial" w:hAnsi="Arial" w:hint="default"/>
      </w:rPr>
    </w:lvl>
    <w:lvl w:ilvl="7" w:tplc="AFF03DF6" w:tentative="1">
      <w:start w:val="1"/>
      <w:numFmt w:val="bullet"/>
      <w:lvlText w:val="•"/>
      <w:lvlJc w:val="left"/>
      <w:pPr>
        <w:tabs>
          <w:tab w:val="num" w:pos="5760"/>
        </w:tabs>
        <w:ind w:left="5760" w:hanging="360"/>
      </w:pPr>
      <w:rPr>
        <w:rFonts w:ascii="Arial" w:hAnsi="Arial" w:hint="default"/>
      </w:rPr>
    </w:lvl>
    <w:lvl w:ilvl="8" w:tplc="96A26C0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3B835276"/>
    <w:multiLevelType w:val="hybridMultilevel"/>
    <w:tmpl w:val="A0404A60"/>
    <w:lvl w:ilvl="0" w:tplc="88BCF82E">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CED7E68"/>
    <w:multiLevelType w:val="hybridMultilevel"/>
    <w:tmpl w:val="EA0EA48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3" w15:restartNumberingAfterBreak="0">
    <w:nsid w:val="3DB21484"/>
    <w:multiLevelType w:val="hybridMultilevel"/>
    <w:tmpl w:val="8AAA3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0107403"/>
    <w:multiLevelType w:val="hybridMultilevel"/>
    <w:tmpl w:val="C6ECC1FA"/>
    <w:lvl w:ilvl="0" w:tplc="0C6CF3E4">
      <w:start w:val="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3282A25"/>
    <w:multiLevelType w:val="hybridMultilevel"/>
    <w:tmpl w:val="2592DA1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6E156E7"/>
    <w:multiLevelType w:val="hybridMultilevel"/>
    <w:tmpl w:val="EEF23EDA"/>
    <w:lvl w:ilvl="0" w:tplc="2E78F776">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15:restartNumberingAfterBreak="0">
    <w:nsid w:val="4B51264A"/>
    <w:multiLevelType w:val="hybridMultilevel"/>
    <w:tmpl w:val="02689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D546316"/>
    <w:multiLevelType w:val="hybridMultilevel"/>
    <w:tmpl w:val="26A01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D811D0D"/>
    <w:multiLevelType w:val="hybridMultilevel"/>
    <w:tmpl w:val="89AE38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E04327F"/>
    <w:multiLevelType w:val="hybridMultilevel"/>
    <w:tmpl w:val="E46EE056"/>
    <w:lvl w:ilvl="0" w:tplc="08090017">
      <w:start w:val="9"/>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4E3336C8"/>
    <w:multiLevelType w:val="hybridMultilevel"/>
    <w:tmpl w:val="89A4FB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071552F"/>
    <w:multiLevelType w:val="hybridMultilevel"/>
    <w:tmpl w:val="84CACB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4A63EF3"/>
    <w:multiLevelType w:val="hybridMultilevel"/>
    <w:tmpl w:val="807EC0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4D70DBA"/>
    <w:multiLevelType w:val="hybridMultilevel"/>
    <w:tmpl w:val="A70E3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63E4DDB"/>
    <w:multiLevelType w:val="hybridMultilevel"/>
    <w:tmpl w:val="68A86C78"/>
    <w:lvl w:ilvl="0" w:tplc="0809000F">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567E55E2"/>
    <w:multiLevelType w:val="hybridMultilevel"/>
    <w:tmpl w:val="14A445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7524035"/>
    <w:multiLevelType w:val="hybridMultilevel"/>
    <w:tmpl w:val="FD6A4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93A5456"/>
    <w:multiLevelType w:val="hybridMultilevel"/>
    <w:tmpl w:val="DC2406E6"/>
    <w:lvl w:ilvl="0" w:tplc="5B96022E">
      <w:start w:val="9"/>
      <w:numFmt w:val="lowerLetter"/>
      <w:lvlText w:val="%1)"/>
      <w:lvlJc w:val="left"/>
      <w:pPr>
        <w:ind w:left="720" w:hanging="363"/>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49" w15:restartNumberingAfterBreak="0">
    <w:nsid w:val="5CF907C3"/>
    <w:multiLevelType w:val="hybridMultilevel"/>
    <w:tmpl w:val="6C602C52"/>
    <w:lvl w:ilvl="0" w:tplc="9318A74A">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0" w15:restartNumberingAfterBreak="0">
    <w:nsid w:val="60184429"/>
    <w:multiLevelType w:val="hybridMultilevel"/>
    <w:tmpl w:val="491E50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5176A2C"/>
    <w:multiLevelType w:val="hybridMultilevel"/>
    <w:tmpl w:val="D3DC5F9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2" w15:restartNumberingAfterBreak="0">
    <w:nsid w:val="652766E8"/>
    <w:multiLevelType w:val="multilevel"/>
    <w:tmpl w:val="373C8BF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Arial" w:hAnsi="Aria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7230606"/>
    <w:multiLevelType w:val="hybridMultilevel"/>
    <w:tmpl w:val="E46EE056"/>
    <w:lvl w:ilvl="0" w:tplc="08090017">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9E40C28"/>
    <w:multiLevelType w:val="hybridMultilevel"/>
    <w:tmpl w:val="160AC8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A922BBF"/>
    <w:multiLevelType w:val="hybridMultilevel"/>
    <w:tmpl w:val="0172BE8A"/>
    <w:lvl w:ilvl="0" w:tplc="71E6061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E643CBD"/>
    <w:multiLevelType w:val="hybridMultilevel"/>
    <w:tmpl w:val="B838ED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1103F33"/>
    <w:multiLevelType w:val="hybridMultilevel"/>
    <w:tmpl w:val="6F8257EA"/>
    <w:lvl w:ilvl="0" w:tplc="08090005">
      <w:start w:val="1"/>
      <w:numFmt w:val="bullet"/>
      <w:lvlText w:val=""/>
      <w:lvlJc w:val="left"/>
      <w:pPr>
        <w:ind w:left="720" w:hanging="360"/>
      </w:pPr>
      <w:rPr>
        <w:rFonts w:ascii="Wingdings" w:hAnsi="Wingdings" w:hint="default"/>
      </w:rPr>
    </w:lvl>
    <w:lvl w:ilvl="1" w:tplc="9EE2E03E">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19B1229"/>
    <w:multiLevelType w:val="hybridMultilevel"/>
    <w:tmpl w:val="23D86C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3A67723"/>
    <w:multiLevelType w:val="hybridMultilevel"/>
    <w:tmpl w:val="5C606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4FF1E72"/>
    <w:multiLevelType w:val="hybridMultilevel"/>
    <w:tmpl w:val="86E6A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6614A9C"/>
    <w:multiLevelType w:val="hybridMultilevel"/>
    <w:tmpl w:val="25D6F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8FD4D6D"/>
    <w:multiLevelType w:val="multilevel"/>
    <w:tmpl w:val="26A27FD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9AE5302"/>
    <w:multiLevelType w:val="hybridMultilevel"/>
    <w:tmpl w:val="3B66088A"/>
    <w:lvl w:ilvl="0" w:tplc="0C6CF3E4">
      <w:start w:val="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BE26AB5"/>
    <w:multiLevelType w:val="hybridMultilevel"/>
    <w:tmpl w:val="05B0B03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5" w15:restartNumberingAfterBreak="0">
    <w:nsid w:val="7E0C764A"/>
    <w:multiLevelType w:val="hybridMultilevel"/>
    <w:tmpl w:val="F496C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8"/>
  </w:num>
  <w:num w:numId="2">
    <w:abstractNumId w:val="53"/>
  </w:num>
  <w:num w:numId="3">
    <w:abstractNumId w:val="45"/>
  </w:num>
  <w:num w:numId="4">
    <w:abstractNumId w:val="5"/>
  </w:num>
  <w:num w:numId="5">
    <w:abstractNumId w:val="62"/>
  </w:num>
  <w:num w:numId="6">
    <w:abstractNumId w:val="50"/>
  </w:num>
  <w:num w:numId="7">
    <w:abstractNumId w:val="56"/>
  </w:num>
  <w:num w:numId="8">
    <w:abstractNumId w:val="57"/>
  </w:num>
  <w:num w:numId="9">
    <w:abstractNumId w:val="2"/>
  </w:num>
  <w:num w:numId="10">
    <w:abstractNumId w:val="41"/>
  </w:num>
  <w:num w:numId="11">
    <w:abstractNumId w:val="7"/>
  </w:num>
  <w:num w:numId="12">
    <w:abstractNumId w:val="3"/>
  </w:num>
  <w:num w:numId="13">
    <w:abstractNumId w:val="6"/>
  </w:num>
  <w:num w:numId="14">
    <w:abstractNumId w:val="46"/>
  </w:num>
  <w:num w:numId="15">
    <w:abstractNumId w:val="54"/>
  </w:num>
  <w:num w:numId="16">
    <w:abstractNumId w:val="43"/>
  </w:num>
  <w:num w:numId="17">
    <w:abstractNumId w:val="39"/>
  </w:num>
  <w:num w:numId="18">
    <w:abstractNumId w:val="12"/>
  </w:num>
  <w:num w:numId="19">
    <w:abstractNumId w:val="26"/>
  </w:num>
  <w:num w:numId="20">
    <w:abstractNumId w:val="42"/>
  </w:num>
  <w:num w:numId="21">
    <w:abstractNumId w:val="35"/>
  </w:num>
  <w:num w:numId="22">
    <w:abstractNumId w:val="47"/>
  </w:num>
  <w:num w:numId="23">
    <w:abstractNumId w:val="19"/>
  </w:num>
  <w:num w:numId="24">
    <w:abstractNumId w:val="52"/>
  </w:num>
  <w:num w:numId="25">
    <w:abstractNumId w:val="32"/>
  </w:num>
  <w:num w:numId="26">
    <w:abstractNumId w:val="8"/>
  </w:num>
  <w:num w:numId="27">
    <w:abstractNumId w:val="25"/>
  </w:num>
  <w:num w:numId="28">
    <w:abstractNumId w:val="51"/>
  </w:num>
  <w:num w:numId="29">
    <w:abstractNumId w:val="24"/>
  </w:num>
  <w:num w:numId="30">
    <w:abstractNumId w:val="17"/>
  </w:num>
  <w:num w:numId="31">
    <w:abstractNumId w:val="59"/>
  </w:num>
  <w:num w:numId="32">
    <w:abstractNumId w:val="18"/>
  </w:num>
  <w:num w:numId="33">
    <w:abstractNumId w:val="10"/>
  </w:num>
  <w:num w:numId="34">
    <w:abstractNumId w:val="23"/>
  </w:num>
  <w:num w:numId="35">
    <w:abstractNumId w:val="55"/>
  </w:num>
  <w:num w:numId="36">
    <w:abstractNumId w:val="44"/>
  </w:num>
  <w:num w:numId="37">
    <w:abstractNumId w:val="30"/>
  </w:num>
  <w:num w:numId="38">
    <w:abstractNumId w:val="36"/>
  </w:num>
  <w:num w:numId="39">
    <w:abstractNumId w:val="22"/>
  </w:num>
  <w:num w:numId="40">
    <w:abstractNumId w:val="13"/>
  </w:num>
  <w:num w:numId="41">
    <w:abstractNumId w:val="27"/>
  </w:num>
  <w:num w:numId="42">
    <w:abstractNumId w:val="34"/>
  </w:num>
  <w:num w:numId="43">
    <w:abstractNumId w:val="63"/>
  </w:num>
  <w:num w:numId="44">
    <w:abstractNumId w:val="9"/>
  </w:num>
  <w:num w:numId="45">
    <w:abstractNumId w:val="16"/>
  </w:num>
  <w:num w:numId="46">
    <w:abstractNumId w:val="49"/>
  </w:num>
  <w:num w:numId="47">
    <w:abstractNumId w:val="4"/>
  </w:num>
  <w:num w:numId="48">
    <w:abstractNumId w:val="64"/>
  </w:num>
  <w:num w:numId="49">
    <w:abstractNumId w:val="14"/>
  </w:num>
  <w:num w:numId="50">
    <w:abstractNumId w:val="0"/>
  </w:num>
  <w:num w:numId="51">
    <w:abstractNumId w:val="40"/>
  </w:num>
  <w:num w:numId="52">
    <w:abstractNumId w:val="65"/>
  </w:num>
  <w:num w:numId="53">
    <w:abstractNumId w:val="33"/>
  </w:num>
  <w:num w:numId="54">
    <w:abstractNumId w:val="11"/>
  </w:num>
  <w:num w:numId="55">
    <w:abstractNumId w:val="31"/>
  </w:num>
  <w:num w:numId="56">
    <w:abstractNumId w:val="21"/>
  </w:num>
  <w:num w:numId="57">
    <w:abstractNumId w:val="48"/>
  </w:num>
  <w:num w:numId="58">
    <w:abstractNumId w:val="15"/>
  </w:num>
  <w:num w:numId="59">
    <w:abstractNumId w:val="29"/>
  </w:num>
  <w:num w:numId="60">
    <w:abstractNumId w:val="1"/>
  </w:num>
  <w:num w:numId="61">
    <w:abstractNumId w:val="38"/>
  </w:num>
  <w:num w:numId="62">
    <w:abstractNumId w:val="20"/>
  </w:num>
  <w:num w:numId="63">
    <w:abstractNumId w:val="37"/>
  </w:num>
  <w:num w:numId="64">
    <w:abstractNumId w:val="60"/>
  </w:num>
  <w:num w:numId="65">
    <w:abstractNumId w:val="61"/>
  </w:num>
  <w:num w:numId="66">
    <w:abstractNumId w:val="2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599"/>
    <w:rsid w:val="000000BB"/>
    <w:rsid w:val="00004178"/>
    <w:rsid w:val="00006B5D"/>
    <w:rsid w:val="00012C7F"/>
    <w:rsid w:val="0001741C"/>
    <w:rsid w:val="000175F1"/>
    <w:rsid w:val="00020E9C"/>
    <w:rsid w:val="000234AC"/>
    <w:rsid w:val="0002365E"/>
    <w:rsid w:val="00025C41"/>
    <w:rsid w:val="00026648"/>
    <w:rsid w:val="0003039A"/>
    <w:rsid w:val="0003300D"/>
    <w:rsid w:val="00033309"/>
    <w:rsid w:val="000334CB"/>
    <w:rsid w:val="000354E5"/>
    <w:rsid w:val="0003741A"/>
    <w:rsid w:val="00037AD9"/>
    <w:rsid w:val="000406F9"/>
    <w:rsid w:val="0004197F"/>
    <w:rsid w:val="0004207C"/>
    <w:rsid w:val="00043446"/>
    <w:rsid w:val="00044D93"/>
    <w:rsid w:val="00044E30"/>
    <w:rsid w:val="000479B4"/>
    <w:rsid w:val="00051138"/>
    <w:rsid w:val="00052748"/>
    <w:rsid w:val="000548A0"/>
    <w:rsid w:val="000549F2"/>
    <w:rsid w:val="00055141"/>
    <w:rsid w:val="000563FC"/>
    <w:rsid w:val="0005717D"/>
    <w:rsid w:val="00060A44"/>
    <w:rsid w:val="00061146"/>
    <w:rsid w:val="00061871"/>
    <w:rsid w:val="00062F2A"/>
    <w:rsid w:val="00063418"/>
    <w:rsid w:val="00064D8A"/>
    <w:rsid w:val="00066EEC"/>
    <w:rsid w:val="00070B5A"/>
    <w:rsid w:val="000713A4"/>
    <w:rsid w:val="0007211C"/>
    <w:rsid w:val="00073C30"/>
    <w:rsid w:val="00075936"/>
    <w:rsid w:val="000768A4"/>
    <w:rsid w:val="000776F9"/>
    <w:rsid w:val="000809E9"/>
    <w:rsid w:val="00080C5F"/>
    <w:rsid w:val="00080CF4"/>
    <w:rsid w:val="00081C04"/>
    <w:rsid w:val="00082823"/>
    <w:rsid w:val="000842BD"/>
    <w:rsid w:val="00085B08"/>
    <w:rsid w:val="00085D27"/>
    <w:rsid w:val="0008710E"/>
    <w:rsid w:val="00087335"/>
    <w:rsid w:val="00090FBA"/>
    <w:rsid w:val="00091ABD"/>
    <w:rsid w:val="00091E32"/>
    <w:rsid w:val="0009576E"/>
    <w:rsid w:val="00095B4C"/>
    <w:rsid w:val="000960EB"/>
    <w:rsid w:val="00096178"/>
    <w:rsid w:val="0009752A"/>
    <w:rsid w:val="00097ED6"/>
    <w:rsid w:val="000A00B7"/>
    <w:rsid w:val="000A0171"/>
    <w:rsid w:val="000A093C"/>
    <w:rsid w:val="000A1163"/>
    <w:rsid w:val="000A1433"/>
    <w:rsid w:val="000A14AD"/>
    <w:rsid w:val="000A19BB"/>
    <w:rsid w:val="000A5496"/>
    <w:rsid w:val="000B0253"/>
    <w:rsid w:val="000B0FF8"/>
    <w:rsid w:val="000B726E"/>
    <w:rsid w:val="000C1F6F"/>
    <w:rsid w:val="000C28E2"/>
    <w:rsid w:val="000C5053"/>
    <w:rsid w:val="000C54B0"/>
    <w:rsid w:val="000D1D45"/>
    <w:rsid w:val="000D468C"/>
    <w:rsid w:val="000D5455"/>
    <w:rsid w:val="000D5BF9"/>
    <w:rsid w:val="000D6641"/>
    <w:rsid w:val="000D6B4A"/>
    <w:rsid w:val="000D7C76"/>
    <w:rsid w:val="000E0032"/>
    <w:rsid w:val="000E0671"/>
    <w:rsid w:val="000E1033"/>
    <w:rsid w:val="000E16AF"/>
    <w:rsid w:val="000E1C10"/>
    <w:rsid w:val="000E48D7"/>
    <w:rsid w:val="000E56B7"/>
    <w:rsid w:val="000E5742"/>
    <w:rsid w:val="000E68C3"/>
    <w:rsid w:val="000E6CA2"/>
    <w:rsid w:val="000F3433"/>
    <w:rsid w:val="000F5224"/>
    <w:rsid w:val="000F571D"/>
    <w:rsid w:val="000F7512"/>
    <w:rsid w:val="000F7759"/>
    <w:rsid w:val="000F77F7"/>
    <w:rsid w:val="001007EF"/>
    <w:rsid w:val="0010141C"/>
    <w:rsid w:val="00101DB0"/>
    <w:rsid w:val="001022FC"/>
    <w:rsid w:val="001027EF"/>
    <w:rsid w:val="00103310"/>
    <w:rsid w:val="00106435"/>
    <w:rsid w:val="00106E9C"/>
    <w:rsid w:val="00107409"/>
    <w:rsid w:val="00110DDC"/>
    <w:rsid w:val="001119A7"/>
    <w:rsid w:val="00113B68"/>
    <w:rsid w:val="0011602F"/>
    <w:rsid w:val="00116AE6"/>
    <w:rsid w:val="00117DBC"/>
    <w:rsid w:val="00120FB2"/>
    <w:rsid w:val="00126527"/>
    <w:rsid w:val="0012690D"/>
    <w:rsid w:val="00127770"/>
    <w:rsid w:val="00130533"/>
    <w:rsid w:val="00134037"/>
    <w:rsid w:val="00135A21"/>
    <w:rsid w:val="001365AE"/>
    <w:rsid w:val="00137FDB"/>
    <w:rsid w:val="00141669"/>
    <w:rsid w:val="00141670"/>
    <w:rsid w:val="00143C64"/>
    <w:rsid w:val="00144515"/>
    <w:rsid w:val="00144B27"/>
    <w:rsid w:val="00145D95"/>
    <w:rsid w:val="00146613"/>
    <w:rsid w:val="0014688F"/>
    <w:rsid w:val="00150104"/>
    <w:rsid w:val="001526C6"/>
    <w:rsid w:val="00154486"/>
    <w:rsid w:val="00154615"/>
    <w:rsid w:val="00155683"/>
    <w:rsid w:val="00157BA7"/>
    <w:rsid w:val="00157DC1"/>
    <w:rsid w:val="001610F7"/>
    <w:rsid w:val="00161464"/>
    <w:rsid w:val="001614EA"/>
    <w:rsid w:val="00162713"/>
    <w:rsid w:val="0016419E"/>
    <w:rsid w:val="0016477A"/>
    <w:rsid w:val="00165BAA"/>
    <w:rsid w:val="001702DD"/>
    <w:rsid w:val="0017119A"/>
    <w:rsid w:val="0017337E"/>
    <w:rsid w:val="00173B25"/>
    <w:rsid w:val="00174616"/>
    <w:rsid w:val="001806B2"/>
    <w:rsid w:val="00181981"/>
    <w:rsid w:val="00181CA8"/>
    <w:rsid w:val="001822EF"/>
    <w:rsid w:val="0018413D"/>
    <w:rsid w:val="0018425F"/>
    <w:rsid w:val="00187030"/>
    <w:rsid w:val="001921C1"/>
    <w:rsid w:val="0019354D"/>
    <w:rsid w:val="00193BFE"/>
    <w:rsid w:val="0019404A"/>
    <w:rsid w:val="001947D7"/>
    <w:rsid w:val="001959E1"/>
    <w:rsid w:val="00196591"/>
    <w:rsid w:val="0019763C"/>
    <w:rsid w:val="00197801"/>
    <w:rsid w:val="001A120A"/>
    <w:rsid w:val="001A1CE2"/>
    <w:rsid w:val="001A3583"/>
    <w:rsid w:val="001A4F12"/>
    <w:rsid w:val="001B1609"/>
    <w:rsid w:val="001B2113"/>
    <w:rsid w:val="001B2290"/>
    <w:rsid w:val="001B231D"/>
    <w:rsid w:val="001B25C9"/>
    <w:rsid w:val="001B2AEE"/>
    <w:rsid w:val="001B3117"/>
    <w:rsid w:val="001B4782"/>
    <w:rsid w:val="001B635E"/>
    <w:rsid w:val="001B6E4E"/>
    <w:rsid w:val="001C0435"/>
    <w:rsid w:val="001C1372"/>
    <w:rsid w:val="001C208E"/>
    <w:rsid w:val="001C259A"/>
    <w:rsid w:val="001C3B57"/>
    <w:rsid w:val="001D0072"/>
    <w:rsid w:val="001D102F"/>
    <w:rsid w:val="001D229B"/>
    <w:rsid w:val="001D2D80"/>
    <w:rsid w:val="001D3F77"/>
    <w:rsid w:val="001D43D4"/>
    <w:rsid w:val="001D4A90"/>
    <w:rsid w:val="001D4AB9"/>
    <w:rsid w:val="001D5417"/>
    <w:rsid w:val="001D5DA8"/>
    <w:rsid w:val="001D6940"/>
    <w:rsid w:val="001D7773"/>
    <w:rsid w:val="001D7D5D"/>
    <w:rsid w:val="001D7DE8"/>
    <w:rsid w:val="001E03BB"/>
    <w:rsid w:val="001E2338"/>
    <w:rsid w:val="001E3EF7"/>
    <w:rsid w:val="001E4C1B"/>
    <w:rsid w:val="001E6901"/>
    <w:rsid w:val="001E6FFC"/>
    <w:rsid w:val="001F300A"/>
    <w:rsid w:val="001F50E0"/>
    <w:rsid w:val="001F5E4D"/>
    <w:rsid w:val="001F62D3"/>
    <w:rsid w:val="0020012B"/>
    <w:rsid w:val="00200521"/>
    <w:rsid w:val="00204D7F"/>
    <w:rsid w:val="002059D8"/>
    <w:rsid w:val="00205CE7"/>
    <w:rsid w:val="002066C6"/>
    <w:rsid w:val="00206929"/>
    <w:rsid w:val="0021085F"/>
    <w:rsid w:val="00211658"/>
    <w:rsid w:val="0021223D"/>
    <w:rsid w:val="00212E1A"/>
    <w:rsid w:val="00215A59"/>
    <w:rsid w:val="00215CD7"/>
    <w:rsid w:val="00216C5B"/>
    <w:rsid w:val="00216F1D"/>
    <w:rsid w:val="002219C0"/>
    <w:rsid w:val="002232D0"/>
    <w:rsid w:val="002235AB"/>
    <w:rsid w:val="00223D7C"/>
    <w:rsid w:val="00224102"/>
    <w:rsid w:val="00226CB6"/>
    <w:rsid w:val="002272B4"/>
    <w:rsid w:val="00230B90"/>
    <w:rsid w:val="00233ED3"/>
    <w:rsid w:val="0023594B"/>
    <w:rsid w:val="002374BB"/>
    <w:rsid w:val="002375E3"/>
    <w:rsid w:val="00240669"/>
    <w:rsid w:val="00242625"/>
    <w:rsid w:val="0024365F"/>
    <w:rsid w:val="0024572D"/>
    <w:rsid w:val="002457C4"/>
    <w:rsid w:val="00247BB3"/>
    <w:rsid w:val="00250174"/>
    <w:rsid w:val="00250E48"/>
    <w:rsid w:val="0025102E"/>
    <w:rsid w:val="002512A3"/>
    <w:rsid w:val="00251D83"/>
    <w:rsid w:val="002528EB"/>
    <w:rsid w:val="00254230"/>
    <w:rsid w:val="00257361"/>
    <w:rsid w:val="002609CE"/>
    <w:rsid w:val="00260F0C"/>
    <w:rsid w:val="00261A5B"/>
    <w:rsid w:val="002632A4"/>
    <w:rsid w:val="0026551F"/>
    <w:rsid w:val="00270B65"/>
    <w:rsid w:val="00270D73"/>
    <w:rsid w:val="00274B3F"/>
    <w:rsid w:val="00274D3F"/>
    <w:rsid w:val="0027736D"/>
    <w:rsid w:val="002773C9"/>
    <w:rsid w:val="00281BB5"/>
    <w:rsid w:val="00284322"/>
    <w:rsid w:val="00286A10"/>
    <w:rsid w:val="002903B9"/>
    <w:rsid w:val="00293B8C"/>
    <w:rsid w:val="002942DB"/>
    <w:rsid w:val="002945F3"/>
    <w:rsid w:val="00295AB7"/>
    <w:rsid w:val="002970D8"/>
    <w:rsid w:val="002A108B"/>
    <w:rsid w:val="002A19D4"/>
    <w:rsid w:val="002A5C9F"/>
    <w:rsid w:val="002A6D5F"/>
    <w:rsid w:val="002A765C"/>
    <w:rsid w:val="002A79E3"/>
    <w:rsid w:val="002A7E90"/>
    <w:rsid w:val="002B1B5E"/>
    <w:rsid w:val="002B312B"/>
    <w:rsid w:val="002C1977"/>
    <w:rsid w:val="002C1A55"/>
    <w:rsid w:val="002C24B3"/>
    <w:rsid w:val="002C41B2"/>
    <w:rsid w:val="002C4805"/>
    <w:rsid w:val="002C5008"/>
    <w:rsid w:val="002D27B0"/>
    <w:rsid w:val="002D35E4"/>
    <w:rsid w:val="002D365F"/>
    <w:rsid w:val="002D47DB"/>
    <w:rsid w:val="002D508D"/>
    <w:rsid w:val="002E0241"/>
    <w:rsid w:val="002E14F8"/>
    <w:rsid w:val="002E391D"/>
    <w:rsid w:val="002E4B23"/>
    <w:rsid w:val="002E538B"/>
    <w:rsid w:val="002E7AE9"/>
    <w:rsid w:val="002F00DA"/>
    <w:rsid w:val="002F244C"/>
    <w:rsid w:val="002F5B42"/>
    <w:rsid w:val="002F5D5C"/>
    <w:rsid w:val="00300059"/>
    <w:rsid w:val="0030011C"/>
    <w:rsid w:val="00301334"/>
    <w:rsid w:val="0030187E"/>
    <w:rsid w:val="003030D3"/>
    <w:rsid w:val="00303B78"/>
    <w:rsid w:val="00306595"/>
    <w:rsid w:val="00306CFA"/>
    <w:rsid w:val="00306D31"/>
    <w:rsid w:val="00306FAB"/>
    <w:rsid w:val="00307019"/>
    <w:rsid w:val="00312ABD"/>
    <w:rsid w:val="00312B48"/>
    <w:rsid w:val="00313027"/>
    <w:rsid w:val="0031447F"/>
    <w:rsid w:val="003150FC"/>
    <w:rsid w:val="003217D5"/>
    <w:rsid w:val="00323F73"/>
    <w:rsid w:val="00324530"/>
    <w:rsid w:val="00327A3C"/>
    <w:rsid w:val="00327DAC"/>
    <w:rsid w:val="00331F5B"/>
    <w:rsid w:val="00332083"/>
    <w:rsid w:val="0033568A"/>
    <w:rsid w:val="0033778D"/>
    <w:rsid w:val="00340783"/>
    <w:rsid w:val="0034361E"/>
    <w:rsid w:val="00343871"/>
    <w:rsid w:val="003440D2"/>
    <w:rsid w:val="00344127"/>
    <w:rsid w:val="003453A8"/>
    <w:rsid w:val="00345805"/>
    <w:rsid w:val="00345D33"/>
    <w:rsid w:val="00346BB7"/>
    <w:rsid w:val="00347931"/>
    <w:rsid w:val="0035202E"/>
    <w:rsid w:val="00352AD1"/>
    <w:rsid w:val="003533E9"/>
    <w:rsid w:val="00353BC5"/>
    <w:rsid w:val="003568EC"/>
    <w:rsid w:val="003604E5"/>
    <w:rsid w:val="00360D0E"/>
    <w:rsid w:val="00362B34"/>
    <w:rsid w:val="003643ED"/>
    <w:rsid w:val="00364878"/>
    <w:rsid w:val="00366E87"/>
    <w:rsid w:val="00367A0B"/>
    <w:rsid w:val="003705CF"/>
    <w:rsid w:val="0037223A"/>
    <w:rsid w:val="00372566"/>
    <w:rsid w:val="0037297E"/>
    <w:rsid w:val="00372DC1"/>
    <w:rsid w:val="0037370E"/>
    <w:rsid w:val="00373D0C"/>
    <w:rsid w:val="00373DA0"/>
    <w:rsid w:val="003766FB"/>
    <w:rsid w:val="00377E13"/>
    <w:rsid w:val="00381B6D"/>
    <w:rsid w:val="0038203A"/>
    <w:rsid w:val="003832D8"/>
    <w:rsid w:val="003839C3"/>
    <w:rsid w:val="00384045"/>
    <w:rsid w:val="003844C9"/>
    <w:rsid w:val="0038523A"/>
    <w:rsid w:val="00385A3A"/>
    <w:rsid w:val="00385F1E"/>
    <w:rsid w:val="00387F2A"/>
    <w:rsid w:val="00390318"/>
    <w:rsid w:val="0039272A"/>
    <w:rsid w:val="00392B92"/>
    <w:rsid w:val="00392ECD"/>
    <w:rsid w:val="00393597"/>
    <w:rsid w:val="00395152"/>
    <w:rsid w:val="0039552B"/>
    <w:rsid w:val="00395B54"/>
    <w:rsid w:val="003963CC"/>
    <w:rsid w:val="00396507"/>
    <w:rsid w:val="0039799B"/>
    <w:rsid w:val="003A04A1"/>
    <w:rsid w:val="003A0BA6"/>
    <w:rsid w:val="003A0DDB"/>
    <w:rsid w:val="003A1013"/>
    <w:rsid w:val="003A3AF5"/>
    <w:rsid w:val="003A3E00"/>
    <w:rsid w:val="003A43A8"/>
    <w:rsid w:val="003A6987"/>
    <w:rsid w:val="003A6F44"/>
    <w:rsid w:val="003B0D36"/>
    <w:rsid w:val="003B3C90"/>
    <w:rsid w:val="003B50BC"/>
    <w:rsid w:val="003B710B"/>
    <w:rsid w:val="003B74E5"/>
    <w:rsid w:val="003C256C"/>
    <w:rsid w:val="003C427B"/>
    <w:rsid w:val="003C42F6"/>
    <w:rsid w:val="003C45AA"/>
    <w:rsid w:val="003C6AB8"/>
    <w:rsid w:val="003C7168"/>
    <w:rsid w:val="003C7ECA"/>
    <w:rsid w:val="003D0486"/>
    <w:rsid w:val="003D29D4"/>
    <w:rsid w:val="003D4178"/>
    <w:rsid w:val="003D69A6"/>
    <w:rsid w:val="003D7968"/>
    <w:rsid w:val="003D7BC0"/>
    <w:rsid w:val="003E072D"/>
    <w:rsid w:val="003E2528"/>
    <w:rsid w:val="003E35B7"/>
    <w:rsid w:val="003E38D0"/>
    <w:rsid w:val="003E3CCE"/>
    <w:rsid w:val="003E405A"/>
    <w:rsid w:val="003E4A6B"/>
    <w:rsid w:val="003E52F4"/>
    <w:rsid w:val="003E7B9F"/>
    <w:rsid w:val="003F010C"/>
    <w:rsid w:val="003F29B9"/>
    <w:rsid w:val="003F4665"/>
    <w:rsid w:val="003F5046"/>
    <w:rsid w:val="003F6253"/>
    <w:rsid w:val="003F785C"/>
    <w:rsid w:val="00401EE1"/>
    <w:rsid w:val="00403A83"/>
    <w:rsid w:val="00404929"/>
    <w:rsid w:val="00405A94"/>
    <w:rsid w:val="00406336"/>
    <w:rsid w:val="004130FA"/>
    <w:rsid w:val="00414CE3"/>
    <w:rsid w:val="004155A0"/>
    <w:rsid w:val="00421738"/>
    <w:rsid w:val="004247AD"/>
    <w:rsid w:val="004248D9"/>
    <w:rsid w:val="00426E1C"/>
    <w:rsid w:val="004316D1"/>
    <w:rsid w:val="00431E14"/>
    <w:rsid w:val="00434414"/>
    <w:rsid w:val="00435CA8"/>
    <w:rsid w:val="00436CE5"/>
    <w:rsid w:val="004371D9"/>
    <w:rsid w:val="00437C0D"/>
    <w:rsid w:val="004448C0"/>
    <w:rsid w:val="004460B0"/>
    <w:rsid w:val="0044654E"/>
    <w:rsid w:val="004522F5"/>
    <w:rsid w:val="00453002"/>
    <w:rsid w:val="00453896"/>
    <w:rsid w:val="00453C12"/>
    <w:rsid w:val="00454288"/>
    <w:rsid w:val="004547F2"/>
    <w:rsid w:val="00454811"/>
    <w:rsid w:val="00456B92"/>
    <w:rsid w:val="004573BF"/>
    <w:rsid w:val="004579C8"/>
    <w:rsid w:val="004705A0"/>
    <w:rsid w:val="004720B7"/>
    <w:rsid w:val="004720D2"/>
    <w:rsid w:val="00474182"/>
    <w:rsid w:val="0047537B"/>
    <w:rsid w:val="00475FF1"/>
    <w:rsid w:val="00477569"/>
    <w:rsid w:val="00481EEC"/>
    <w:rsid w:val="00482819"/>
    <w:rsid w:val="00485341"/>
    <w:rsid w:val="004869DB"/>
    <w:rsid w:val="004870C7"/>
    <w:rsid w:val="00490B8C"/>
    <w:rsid w:val="004925BA"/>
    <w:rsid w:val="004925F8"/>
    <w:rsid w:val="00492E84"/>
    <w:rsid w:val="00493169"/>
    <w:rsid w:val="00495868"/>
    <w:rsid w:val="004961D1"/>
    <w:rsid w:val="00496586"/>
    <w:rsid w:val="004A109E"/>
    <w:rsid w:val="004A146E"/>
    <w:rsid w:val="004A3268"/>
    <w:rsid w:val="004A3609"/>
    <w:rsid w:val="004A364B"/>
    <w:rsid w:val="004A4358"/>
    <w:rsid w:val="004A4C3D"/>
    <w:rsid w:val="004A58A4"/>
    <w:rsid w:val="004A5F6D"/>
    <w:rsid w:val="004B0D4A"/>
    <w:rsid w:val="004B0F36"/>
    <w:rsid w:val="004B1A15"/>
    <w:rsid w:val="004B1A2F"/>
    <w:rsid w:val="004B2684"/>
    <w:rsid w:val="004B4436"/>
    <w:rsid w:val="004B48A9"/>
    <w:rsid w:val="004B4B56"/>
    <w:rsid w:val="004B5A84"/>
    <w:rsid w:val="004B5BDA"/>
    <w:rsid w:val="004B6F5A"/>
    <w:rsid w:val="004B7FCA"/>
    <w:rsid w:val="004C00D3"/>
    <w:rsid w:val="004C12F2"/>
    <w:rsid w:val="004C1977"/>
    <w:rsid w:val="004C2581"/>
    <w:rsid w:val="004C3324"/>
    <w:rsid w:val="004C3EB0"/>
    <w:rsid w:val="004C3F8D"/>
    <w:rsid w:val="004C51B3"/>
    <w:rsid w:val="004C62D5"/>
    <w:rsid w:val="004C66A8"/>
    <w:rsid w:val="004C6DBC"/>
    <w:rsid w:val="004D03C5"/>
    <w:rsid w:val="004D0805"/>
    <w:rsid w:val="004D30DB"/>
    <w:rsid w:val="004D36A0"/>
    <w:rsid w:val="004E0420"/>
    <w:rsid w:val="004E1308"/>
    <w:rsid w:val="004E1CA6"/>
    <w:rsid w:val="004E23CC"/>
    <w:rsid w:val="004E2C0B"/>
    <w:rsid w:val="004E3E3A"/>
    <w:rsid w:val="004E6FB8"/>
    <w:rsid w:val="004F0B9D"/>
    <w:rsid w:val="004F0F50"/>
    <w:rsid w:val="004F15AC"/>
    <w:rsid w:val="004F1786"/>
    <w:rsid w:val="004F25B3"/>
    <w:rsid w:val="004F4193"/>
    <w:rsid w:val="004F4484"/>
    <w:rsid w:val="004F7430"/>
    <w:rsid w:val="004F7B9E"/>
    <w:rsid w:val="004F7DF3"/>
    <w:rsid w:val="005002F9"/>
    <w:rsid w:val="00501739"/>
    <w:rsid w:val="00505FF3"/>
    <w:rsid w:val="005060A5"/>
    <w:rsid w:val="00507807"/>
    <w:rsid w:val="00510167"/>
    <w:rsid w:val="005136BC"/>
    <w:rsid w:val="00515732"/>
    <w:rsid w:val="00516AB1"/>
    <w:rsid w:val="005178F3"/>
    <w:rsid w:val="00520022"/>
    <w:rsid w:val="005215AC"/>
    <w:rsid w:val="005223B2"/>
    <w:rsid w:val="00526644"/>
    <w:rsid w:val="0052779B"/>
    <w:rsid w:val="00527C00"/>
    <w:rsid w:val="00530338"/>
    <w:rsid w:val="00530990"/>
    <w:rsid w:val="00531041"/>
    <w:rsid w:val="00531B6E"/>
    <w:rsid w:val="00532D6A"/>
    <w:rsid w:val="005360F8"/>
    <w:rsid w:val="00536A35"/>
    <w:rsid w:val="0053704A"/>
    <w:rsid w:val="00540745"/>
    <w:rsid w:val="005410C9"/>
    <w:rsid w:val="00541C9C"/>
    <w:rsid w:val="00543248"/>
    <w:rsid w:val="0054429B"/>
    <w:rsid w:val="00544874"/>
    <w:rsid w:val="00544D86"/>
    <w:rsid w:val="005452DB"/>
    <w:rsid w:val="00545C23"/>
    <w:rsid w:val="00547605"/>
    <w:rsid w:val="00552EB4"/>
    <w:rsid w:val="00554A73"/>
    <w:rsid w:val="00554CB4"/>
    <w:rsid w:val="00555C6F"/>
    <w:rsid w:val="00556935"/>
    <w:rsid w:val="00556BFE"/>
    <w:rsid w:val="00556F89"/>
    <w:rsid w:val="0055734A"/>
    <w:rsid w:val="00561534"/>
    <w:rsid w:val="005616E9"/>
    <w:rsid w:val="00561E85"/>
    <w:rsid w:val="00564C1D"/>
    <w:rsid w:val="005659ED"/>
    <w:rsid w:val="0056705A"/>
    <w:rsid w:val="005703FE"/>
    <w:rsid w:val="00570C93"/>
    <w:rsid w:val="005711A4"/>
    <w:rsid w:val="005717B1"/>
    <w:rsid w:val="005727F4"/>
    <w:rsid w:val="00573B82"/>
    <w:rsid w:val="00573EA0"/>
    <w:rsid w:val="00575365"/>
    <w:rsid w:val="005755B0"/>
    <w:rsid w:val="005764D5"/>
    <w:rsid w:val="0057768B"/>
    <w:rsid w:val="00577B5F"/>
    <w:rsid w:val="00577C8D"/>
    <w:rsid w:val="00581184"/>
    <w:rsid w:val="00582895"/>
    <w:rsid w:val="00584B96"/>
    <w:rsid w:val="00585344"/>
    <w:rsid w:val="00585D83"/>
    <w:rsid w:val="00586EE0"/>
    <w:rsid w:val="0059081D"/>
    <w:rsid w:val="0059116D"/>
    <w:rsid w:val="0059234D"/>
    <w:rsid w:val="00594FFD"/>
    <w:rsid w:val="0059644F"/>
    <w:rsid w:val="005A0796"/>
    <w:rsid w:val="005A14AF"/>
    <w:rsid w:val="005A2711"/>
    <w:rsid w:val="005A2CF0"/>
    <w:rsid w:val="005A2F5A"/>
    <w:rsid w:val="005A3719"/>
    <w:rsid w:val="005A378E"/>
    <w:rsid w:val="005A4A6C"/>
    <w:rsid w:val="005A5017"/>
    <w:rsid w:val="005B0B6C"/>
    <w:rsid w:val="005B0D92"/>
    <w:rsid w:val="005B33C7"/>
    <w:rsid w:val="005B43D8"/>
    <w:rsid w:val="005B617F"/>
    <w:rsid w:val="005B75F8"/>
    <w:rsid w:val="005C03E4"/>
    <w:rsid w:val="005C1239"/>
    <w:rsid w:val="005C1647"/>
    <w:rsid w:val="005C3053"/>
    <w:rsid w:val="005C30FF"/>
    <w:rsid w:val="005C39D6"/>
    <w:rsid w:val="005C53E3"/>
    <w:rsid w:val="005C5EAC"/>
    <w:rsid w:val="005C64CF"/>
    <w:rsid w:val="005C6F40"/>
    <w:rsid w:val="005D0BCE"/>
    <w:rsid w:val="005D1092"/>
    <w:rsid w:val="005D3020"/>
    <w:rsid w:val="005D42CF"/>
    <w:rsid w:val="005D5960"/>
    <w:rsid w:val="005D6179"/>
    <w:rsid w:val="005D6A09"/>
    <w:rsid w:val="005D6AC6"/>
    <w:rsid w:val="005E10B6"/>
    <w:rsid w:val="005E13E8"/>
    <w:rsid w:val="005E1EE5"/>
    <w:rsid w:val="005E437B"/>
    <w:rsid w:val="005E46DA"/>
    <w:rsid w:val="005E4D1B"/>
    <w:rsid w:val="005E5474"/>
    <w:rsid w:val="005E5727"/>
    <w:rsid w:val="005F2A7E"/>
    <w:rsid w:val="005F2AF4"/>
    <w:rsid w:val="005F37D6"/>
    <w:rsid w:val="005F4122"/>
    <w:rsid w:val="005F4708"/>
    <w:rsid w:val="005F4874"/>
    <w:rsid w:val="005F5A12"/>
    <w:rsid w:val="005F6D9F"/>
    <w:rsid w:val="00600311"/>
    <w:rsid w:val="006004D5"/>
    <w:rsid w:val="006026A2"/>
    <w:rsid w:val="00602A2E"/>
    <w:rsid w:val="00604939"/>
    <w:rsid w:val="006051B4"/>
    <w:rsid w:val="00605F80"/>
    <w:rsid w:val="0060654B"/>
    <w:rsid w:val="00607590"/>
    <w:rsid w:val="0060759A"/>
    <w:rsid w:val="00607F5B"/>
    <w:rsid w:val="006124F4"/>
    <w:rsid w:val="00613E77"/>
    <w:rsid w:val="006147CA"/>
    <w:rsid w:val="0061484D"/>
    <w:rsid w:val="00614C51"/>
    <w:rsid w:val="00617646"/>
    <w:rsid w:val="006178A0"/>
    <w:rsid w:val="00621DF4"/>
    <w:rsid w:val="0062238C"/>
    <w:rsid w:val="00626459"/>
    <w:rsid w:val="006277C5"/>
    <w:rsid w:val="00630EE6"/>
    <w:rsid w:val="00631CA2"/>
    <w:rsid w:val="00631CC7"/>
    <w:rsid w:val="00632D47"/>
    <w:rsid w:val="00632D4E"/>
    <w:rsid w:val="00635320"/>
    <w:rsid w:val="006356A8"/>
    <w:rsid w:val="00635802"/>
    <w:rsid w:val="00636A4A"/>
    <w:rsid w:val="00640061"/>
    <w:rsid w:val="00641D0F"/>
    <w:rsid w:val="00642478"/>
    <w:rsid w:val="006436F2"/>
    <w:rsid w:val="00643F9A"/>
    <w:rsid w:val="00644AEA"/>
    <w:rsid w:val="006450C4"/>
    <w:rsid w:val="006470B3"/>
    <w:rsid w:val="0064713C"/>
    <w:rsid w:val="00647156"/>
    <w:rsid w:val="00653FF4"/>
    <w:rsid w:val="00654F0B"/>
    <w:rsid w:val="00655149"/>
    <w:rsid w:val="00656AD1"/>
    <w:rsid w:val="006609C5"/>
    <w:rsid w:val="00660EAB"/>
    <w:rsid w:val="006618DB"/>
    <w:rsid w:val="00663055"/>
    <w:rsid w:val="00663F24"/>
    <w:rsid w:val="00667750"/>
    <w:rsid w:val="00667AEC"/>
    <w:rsid w:val="00673747"/>
    <w:rsid w:val="00673E84"/>
    <w:rsid w:val="00674DDA"/>
    <w:rsid w:val="006764A0"/>
    <w:rsid w:val="00680C66"/>
    <w:rsid w:val="006825A4"/>
    <w:rsid w:val="00684052"/>
    <w:rsid w:val="00684A23"/>
    <w:rsid w:val="00685616"/>
    <w:rsid w:val="0068693E"/>
    <w:rsid w:val="006871DF"/>
    <w:rsid w:val="006910D3"/>
    <w:rsid w:val="00693A27"/>
    <w:rsid w:val="006966BB"/>
    <w:rsid w:val="0069754D"/>
    <w:rsid w:val="006A1830"/>
    <w:rsid w:val="006A287D"/>
    <w:rsid w:val="006A28A6"/>
    <w:rsid w:val="006A331A"/>
    <w:rsid w:val="006A5E2F"/>
    <w:rsid w:val="006A74D9"/>
    <w:rsid w:val="006B118C"/>
    <w:rsid w:val="006B1585"/>
    <w:rsid w:val="006B1757"/>
    <w:rsid w:val="006B6256"/>
    <w:rsid w:val="006B7657"/>
    <w:rsid w:val="006C1708"/>
    <w:rsid w:val="006C34A3"/>
    <w:rsid w:val="006C416C"/>
    <w:rsid w:val="006C608A"/>
    <w:rsid w:val="006C60F3"/>
    <w:rsid w:val="006C64C1"/>
    <w:rsid w:val="006D09DF"/>
    <w:rsid w:val="006D109B"/>
    <w:rsid w:val="006D1612"/>
    <w:rsid w:val="006D1C13"/>
    <w:rsid w:val="006D29F9"/>
    <w:rsid w:val="006D3EB9"/>
    <w:rsid w:val="006D440A"/>
    <w:rsid w:val="006D444C"/>
    <w:rsid w:val="006E042E"/>
    <w:rsid w:val="006E05F4"/>
    <w:rsid w:val="006E103F"/>
    <w:rsid w:val="006E19DD"/>
    <w:rsid w:val="006E2311"/>
    <w:rsid w:val="006E2DC8"/>
    <w:rsid w:val="006E3668"/>
    <w:rsid w:val="006E3C47"/>
    <w:rsid w:val="006E43F1"/>
    <w:rsid w:val="006E464D"/>
    <w:rsid w:val="006E600E"/>
    <w:rsid w:val="006E6908"/>
    <w:rsid w:val="006F284D"/>
    <w:rsid w:val="006F2BEA"/>
    <w:rsid w:val="006F5F15"/>
    <w:rsid w:val="006F65D6"/>
    <w:rsid w:val="006F7325"/>
    <w:rsid w:val="00700E8B"/>
    <w:rsid w:val="00704674"/>
    <w:rsid w:val="00706171"/>
    <w:rsid w:val="00707DE3"/>
    <w:rsid w:val="00712204"/>
    <w:rsid w:val="00712F05"/>
    <w:rsid w:val="00713F68"/>
    <w:rsid w:val="00714F24"/>
    <w:rsid w:val="00716078"/>
    <w:rsid w:val="0071708F"/>
    <w:rsid w:val="00720883"/>
    <w:rsid w:val="00723B10"/>
    <w:rsid w:val="007243EA"/>
    <w:rsid w:val="00730B23"/>
    <w:rsid w:val="00730D0B"/>
    <w:rsid w:val="0073113A"/>
    <w:rsid w:val="007311D7"/>
    <w:rsid w:val="00731236"/>
    <w:rsid w:val="0073136C"/>
    <w:rsid w:val="00732832"/>
    <w:rsid w:val="00732D6F"/>
    <w:rsid w:val="0073563B"/>
    <w:rsid w:val="007356CD"/>
    <w:rsid w:val="00736B3E"/>
    <w:rsid w:val="00740841"/>
    <w:rsid w:val="00742990"/>
    <w:rsid w:val="0074347D"/>
    <w:rsid w:val="007436CF"/>
    <w:rsid w:val="00746902"/>
    <w:rsid w:val="0074753E"/>
    <w:rsid w:val="007476D4"/>
    <w:rsid w:val="00747F0A"/>
    <w:rsid w:val="0075059A"/>
    <w:rsid w:val="0075065F"/>
    <w:rsid w:val="007515D4"/>
    <w:rsid w:val="0075195E"/>
    <w:rsid w:val="00751DDE"/>
    <w:rsid w:val="0075283C"/>
    <w:rsid w:val="0075460F"/>
    <w:rsid w:val="00754BD2"/>
    <w:rsid w:val="00754D12"/>
    <w:rsid w:val="00757379"/>
    <w:rsid w:val="00757B48"/>
    <w:rsid w:val="007600A7"/>
    <w:rsid w:val="00762C8C"/>
    <w:rsid w:val="007646DB"/>
    <w:rsid w:val="007653FC"/>
    <w:rsid w:val="007676B7"/>
    <w:rsid w:val="00767B01"/>
    <w:rsid w:val="007717F8"/>
    <w:rsid w:val="0077209B"/>
    <w:rsid w:val="00776CB3"/>
    <w:rsid w:val="0078034C"/>
    <w:rsid w:val="007809FB"/>
    <w:rsid w:val="0078420B"/>
    <w:rsid w:val="00784E5C"/>
    <w:rsid w:val="0078659A"/>
    <w:rsid w:val="007869E9"/>
    <w:rsid w:val="00787BAA"/>
    <w:rsid w:val="007900B7"/>
    <w:rsid w:val="00791C97"/>
    <w:rsid w:val="00791ECE"/>
    <w:rsid w:val="007923A0"/>
    <w:rsid w:val="007926BD"/>
    <w:rsid w:val="00793257"/>
    <w:rsid w:val="00793471"/>
    <w:rsid w:val="00793E7C"/>
    <w:rsid w:val="00796F99"/>
    <w:rsid w:val="007A1787"/>
    <w:rsid w:val="007A1A73"/>
    <w:rsid w:val="007A2561"/>
    <w:rsid w:val="007A3545"/>
    <w:rsid w:val="007A5029"/>
    <w:rsid w:val="007A6322"/>
    <w:rsid w:val="007B08CA"/>
    <w:rsid w:val="007B0CD2"/>
    <w:rsid w:val="007B23C8"/>
    <w:rsid w:val="007B3ECE"/>
    <w:rsid w:val="007B527E"/>
    <w:rsid w:val="007B5A15"/>
    <w:rsid w:val="007B6C1E"/>
    <w:rsid w:val="007B74D6"/>
    <w:rsid w:val="007B78DE"/>
    <w:rsid w:val="007B7DC6"/>
    <w:rsid w:val="007C17BB"/>
    <w:rsid w:val="007C1E28"/>
    <w:rsid w:val="007C222B"/>
    <w:rsid w:val="007C5796"/>
    <w:rsid w:val="007C57A9"/>
    <w:rsid w:val="007C746C"/>
    <w:rsid w:val="007C7DCF"/>
    <w:rsid w:val="007D13E3"/>
    <w:rsid w:val="007D219F"/>
    <w:rsid w:val="007D245B"/>
    <w:rsid w:val="007D2923"/>
    <w:rsid w:val="007D30EE"/>
    <w:rsid w:val="007D4033"/>
    <w:rsid w:val="007D4109"/>
    <w:rsid w:val="007D7518"/>
    <w:rsid w:val="007E001B"/>
    <w:rsid w:val="007E2E9E"/>
    <w:rsid w:val="007E6EB9"/>
    <w:rsid w:val="007E7F35"/>
    <w:rsid w:val="007F1CD4"/>
    <w:rsid w:val="007F3217"/>
    <w:rsid w:val="007F3E39"/>
    <w:rsid w:val="007F4CA4"/>
    <w:rsid w:val="007F5702"/>
    <w:rsid w:val="007F5CD3"/>
    <w:rsid w:val="007F6E5C"/>
    <w:rsid w:val="0080037D"/>
    <w:rsid w:val="00800D84"/>
    <w:rsid w:val="00801A5F"/>
    <w:rsid w:val="00802584"/>
    <w:rsid w:val="00803774"/>
    <w:rsid w:val="00804907"/>
    <w:rsid w:val="00804936"/>
    <w:rsid w:val="008058A0"/>
    <w:rsid w:val="00805A90"/>
    <w:rsid w:val="008066F3"/>
    <w:rsid w:val="00806932"/>
    <w:rsid w:val="00807036"/>
    <w:rsid w:val="00807F94"/>
    <w:rsid w:val="00811E0F"/>
    <w:rsid w:val="00812CAF"/>
    <w:rsid w:val="00813A4F"/>
    <w:rsid w:val="00813AAE"/>
    <w:rsid w:val="00814CA7"/>
    <w:rsid w:val="00815DEC"/>
    <w:rsid w:val="00816FFB"/>
    <w:rsid w:val="00820308"/>
    <w:rsid w:val="008234FA"/>
    <w:rsid w:val="008248DC"/>
    <w:rsid w:val="00825F8F"/>
    <w:rsid w:val="00827B1F"/>
    <w:rsid w:val="00832E74"/>
    <w:rsid w:val="00840BF2"/>
    <w:rsid w:val="00841F73"/>
    <w:rsid w:val="00841FAD"/>
    <w:rsid w:val="00842111"/>
    <w:rsid w:val="0084355E"/>
    <w:rsid w:val="00844458"/>
    <w:rsid w:val="00845217"/>
    <w:rsid w:val="00847F73"/>
    <w:rsid w:val="00852116"/>
    <w:rsid w:val="008521A1"/>
    <w:rsid w:val="008523A1"/>
    <w:rsid w:val="00853C4F"/>
    <w:rsid w:val="00854531"/>
    <w:rsid w:val="0085604C"/>
    <w:rsid w:val="00857A73"/>
    <w:rsid w:val="00857B26"/>
    <w:rsid w:val="00862E21"/>
    <w:rsid w:val="00866E66"/>
    <w:rsid w:val="0087012F"/>
    <w:rsid w:val="00871973"/>
    <w:rsid w:val="008744C7"/>
    <w:rsid w:val="00874979"/>
    <w:rsid w:val="00875FFB"/>
    <w:rsid w:val="00881439"/>
    <w:rsid w:val="0088193F"/>
    <w:rsid w:val="00883077"/>
    <w:rsid w:val="008837E7"/>
    <w:rsid w:val="0088406A"/>
    <w:rsid w:val="00884D56"/>
    <w:rsid w:val="0088612D"/>
    <w:rsid w:val="0088783E"/>
    <w:rsid w:val="00890238"/>
    <w:rsid w:val="008924C6"/>
    <w:rsid w:val="00892C9E"/>
    <w:rsid w:val="008945E2"/>
    <w:rsid w:val="008948E1"/>
    <w:rsid w:val="00894B84"/>
    <w:rsid w:val="00894C9F"/>
    <w:rsid w:val="008A0E42"/>
    <w:rsid w:val="008A4DE3"/>
    <w:rsid w:val="008A758B"/>
    <w:rsid w:val="008B0439"/>
    <w:rsid w:val="008B202A"/>
    <w:rsid w:val="008B26D0"/>
    <w:rsid w:val="008B2DDA"/>
    <w:rsid w:val="008B33A1"/>
    <w:rsid w:val="008B515C"/>
    <w:rsid w:val="008B5D01"/>
    <w:rsid w:val="008C1ADA"/>
    <w:rsid w:val="008C2059"/>
    <w:rsid w:val="008C2186"/>
    <w:rsid w:val="008C2B0A"/>
    <w:rsid w:val="008C2D1C"/>
    <w:rsid w:val="008C4035"/>
    <w:rsid w:val="008C5162"/>
    <w:rsid w:val="008C5E98"/>
    <w:rsid w:val="008C7BC5"/>
    <w:rsid w:val="008D018E"/>
    <w:rsid w:val="008D0BAF"/>
    <w:rsid w:val="008D0FE6"/>
    <w:rsid w:val="008D13E5"/>
    <w:rsid w:val="008D272A"/>
    <w:rsid w:val="008D2B5A"/>
    <w:rsid w:val="008D367B"/>
    <w:rsid w:val="008D3B92"/>
    <w:rsid w:val="008D4674"/>
    <w:rsid w:val="008D4811"/>
    <w:rsid w:val="008D6192"/>
    <w:rsid w:val="008D650D"/>
    <w:rsid w:val="008D666A"/>
    <w:rsid w:val="008D68EB"/>
    <w:rsid w:val="008D69E3"/>
    <w:rsid w:val="008E1453"/>
    <w:rsid w:val="008E14F9"/>
    <w:rsid w:val="008E1B8C"/>
    <w:rsid w:val="008E1F44"/>
    <w:rsid w:val="008E2E1E"/>
    <w:rsid w:val="008E5048"/>
    <w:rsid w:val="008E7D09"/>
    <w:rsid w:val="008F0B7C"/>
    <w:rsid w:val="008F1228"/>
    <w:rsid w:val="008F17CA"/>
    <w:rsid w:val="008F3796"/>
    <w:rsid w:val="008F6064"/>
    <w:rsid w:val="008F740B"/>
    <w:rsid w:val="00901538"/>
    <w:rsid w:val="00902226"/>
    <w:rsid w:val="009026C8"/>
    <w:rsid w:val="00902F1E"/>
    <w:rsid w:val="009038D6"/>
    <w:rsid w:val="009042A2"/>
    <w:rsid w:val="009054E3"/>
    <w:rsid w:val="00906352"/>
    <w:rsid w:val="00907BA9"/>
    <w:rsid w:val="0091098D"/>
    <w:rsid w:val="00912719"/>
    <w:rsid w:val="00914E81"/>
    <w:rsid w:val="00917804"/>
    <w:rsid w:val="00917869"/>
    <w:rsid w:val="00921FCF"/>
    <w:rsid w:val="00922D3F"/>
    <w:rsid w:val="009253D2"/>
    <w:rsid w:val="00926C52"/>
    <w:rsid w:val="00927758"/>
    <w:rsid w:val="00927EA7"/>
    <w:rsid w:val="009300F5"/>
    <w:rsid w:val="00931383"/>
    <w:rsid w:val="00932C48"/>
    <w:rsid w:val="00933540"/>
    <w:rsid w:val="00934481"/>
    <w:rsid w:val="009347E4"/>
    <w:rsid w:val="00936B9E"/>
    <w:rsid w:val="009415EE"/>
    <w:rsid w:val="0094220D"/>
    <w:rsid w:val="00943908"/>
    <w:rsid w:val="00945496"/>
    <w:rsid w:val="00945FEE"/>
    <w:rsid w:val="009502DB"/>
    <w:rsid w:val="00951117"/>
    <w:rsid w:val="00951672"/>
    <w:rsid w:val="00951E3C"/>
    <w:rsid w:val="00952818"/>
    <w:rsid w:val="00953F10"/>
    <w:rsid w:val="009549A7"/>
    <w:rsid w:val="00957815"/>
    <w:rsid w:val="009610FA"/>
    <w:rsid w:val="009624DE"/>
    <w:rsid w:val="00962B04"/>
    <w:rsid w:val="00962D2D"/>
    <w:rsid w:val="009631D7"/>
    <w:rsid w:val="009638B5"/>
    <w:rsid w:val="00965A81"/>
    <w:rsid w:val="00967B87"/>
    <w:rsid w:val="00970814"/>
    <w:rsid w:val="009717F7"/>
    <w:rsid w:val="00972552"/>
    <w:rsid w:val="00972952"/>
    <w:rsid w:val="009739BF"/>
    <w:rsid w:val="0097570E"/>
    <w:rsid w:val="009776F4"/>
    <w:rsid w:val="009814BA"/>
    <w:rsid w:val="0098378A"/>
    <w:rsid w:val="00987289"/>
    <w:rsid w:val="0098740E"/>
    <w:rsid w:val="00990085"/>
    <w:rsid w:val="0099077A"/>
    <w:rsid w:val="00992436"/>
    <w:rsid w:val="009929D5"/>
    <w:rsid w:val="00993BAE"/>
    <w:rsid w:val="009A15AA"/>
    <w:rsid w:val="009A1EF5"/>
    <w:rsid w:val="009A3BED"/>
    <w:rsid w:val="009A6F0B"/>
    <w:rsid w:val="009B349D"/>
    <w:rsid w:val="009B4A32"/>
    <w:rsid w:val="009B5A13"/>
    <w:rsid w:val="009B6027"/>
    <w:rsid w:val="009B60BF"/>
    <w:rsid w:val="009B7999"/>
    <w:rsid w:val="009B7B0C"/>
    <w:rsid w:val="009C0045"/>
    <w:rsid w:val="009C0BC1"/>
    <w:rsid w:val="009C1040"/>
    <w:rsid w:val="009C18C0"/>
    <w:rsid w:val="009C2CD1"/>
    <w:rsid w:val="009C4918"/>
    <w:rsid w:val="009C4FD4"/>
    <w:rsid w:val="009C5692"/>
    <w:rsid w:val="009C72F7"/>
    <w:rsid w:val="009D0289"/>
    <w:rsid w:val="009D0C71"/>
    <w:rsid w:val="009D1381"/>
    <w:rsid w:val="009D2231"/>
    <w:rsid w:val="009D3A43"/>
    <w:rsid w:val="009D3B12"/>
    <w:rsid w:val="009D64EA"/>
    <w:rsid w:val="009D793B"/>
    <w:rsid w:val="009E0D8E"/>
    <w:rsid w:val="009E0D93"/>
    <w:rsid w:val="009E13C3"/>
    <w:rsid w:val="009E3858"/>
    <w:rsid w:val="009E5789"/>
    <w:rsid w:val="009E5AE1"/>
    <w:rsid w:val="009E5F67"/>
    <w:rsid w:val="009E68E5"/>
    <w:rsid w:val="009E7D1B"/>
    <w:rsid w:val="009F1680"/>
    <w:rsid w:val="009F27D4"/>
    <w:rsid w:val="009F2808"/>
    <w:rsid w:val="009F37B5"/>
    <w:rsid w:val="009F6DF0"/>
    <w:rsid w:val="009F72E3"/>
    <w:rsid w:val="00A0091A"/>
    <w:rsid w:val="00A027BE"/>
    <w:rsid w:val="00A02B31"/>
    <w:rsid w:val="00A06611"/>
    <w:rsid w:val="00A109DD"/>
    <w:rsid w:val="00A10DC6"/>
    <w:rsid w:val="00A10E46"/>
    <w:rsid w:val="00A11367"/>
    <w:rsid w:val="00A129FC"/>
    <w:rsid w:val="00A148D7"/>
    <w:rsid w:val="00A14CB0"/>
    <w:rsid w:val="00A15953"/>
    <w:rsid w:val="00A16F77"/>
    <w:rsid w:val="00A20AAA"/>
    <w:rsid w:val="00A2131E"/>
    <w:rsid w:val="00A21F39"/>
    <w:rsid w:val="00A2380F"/>
    <w:rsid w:val="00A238D2"/>
    <w:rsid w:val="00A25CF1"/>
    <w:rsid w:val="00A25E42"/>
    <w:rsid w:val="00A30713"/>
    <w:rsid w:val="00A30D9B"/>
    <w:rsid w:val="00A31795"/>
    <w:rsid w:val="00A32174"/>
    <w:rsid w:val="00A3478C"/>
    <w:rsid w:val="00A3593D"/>
    <w:rsid w:val="00A35D21"/>
    <w:rsid w:val="00A36013"/>
    <w:rsid w:val="00A37169"/>
    <w:rsid w:val="00A4427A"/>
    <w:rsid w:val="00A443E2"/>
    <w:rsid w:val="00A447F6"/>
    <w:rsid w:val="00A45A6F"/>
    <w:rsid w:val="00A46F2A"/>
    <w:rsid w:val="00A51753"/>
    <w:rsid w:val="00A520F1"/>
    <w:rsid w:val="00A52BDE"/>
    <w:rsid w:val="00A54B9F"/>
    <w:rsid w:val="00A55CCD"/>
    <w:rsid w:val="00A57B1B"/>
    <w:rsid w:val="00A61528"/>
    <w:rsid w:val="00A624C2"/>
    <w:rsid w:val="00A62669"/>
    <w:rsid w:val="00A62D47"/>
    <w:rsid w:val="00A6336E"/>
    <w:rsid w:val="00A64EA7"/>
    <w:rsid w:val="00A65190"/>
    <w:rsid w:val="00A66658"/>
    <w:rsid w:val="00A66AAB"/>
    <w:rsid w:val="00A67FDD"/>
    <w:rsid w:val="00A701BA"/>
    <w:rsid w:val="00A70A15"/>
    <w:rsid w:val="00A70F81"/>
    <w:rsid w:val="00A71292"/>
    <w:rsid w:val="00A721D5"/>
    <w:rsid w:val="00A72C7F"/>
    <w:rsid w:val="00A736BA"/>
    <w:rsid w:val="00A73845"/>
    <w:rsid w:val="00A7410F"/>
    <w:rsid w:val="00A74FEA"/>
    <w:rsid w:val="00A776F9"/>
    <w:rsid w:val="00A77DC5"/>
    <w:rsid w:val="00A77E48"/>
    <w:rsid w:val="00A80254"/>
    <w:rsid w:val="00A80A53"/>
    <w:rsid w:val="00A80A6C"/>
    <w:rsid w:val="00A80AB1"/>
    <w:rsid w:val="00A820D4"/>
    <w:rsid w:val="00A8296F"/>
    <w:rsid w:val="00A8536C"/>
    <w:rsid w:val="00A85E37"/>
    <w:rsid w:val="00A85F09"/>
    <w:rsid w:val="00A861C5"/>
    <w:rsid w:val="00A86AA0"/>
    <w:rsid w:val="00A902E3"/>
    <w:rsid w:val="00A905D1"/>
    <w:rsid w:val="00A928F5"/>
    <w:rsid w:val="00A92CAC"/>
    <w:rsid w:val="00A93017"/>
    <w:rsid w:val="00A93500"/>
    <w:rsid w:val="00A93BC1"/>
    <w:rsid w:val="00A94FB3"/>
    <w:rsid w:val="00A94FC9"/>
    <w:rsid w:val="00A95D1E"/>
    <w:rsid w:val="00A96ED4"/>
    <w:rsid w:val="00AA1A01"/>
    <w:rsid w:val="00AA1F90"/>
    <w:rsid w:val="00AA35F7"/>
    <w:rsid w:val="00AA523D"/>
    <w:rsid w:val="00AA68C3"/>
    <w:rsid w:val="00AB0C7D"/>
    <w:rsid w:val="00AB2ECA"/>
    <w:rsid w:val="00AB3DFE"/>
    <w:rsid w:val="00AB7090"/>
    <w:rsid w:val="00AC0068"/>
    <w:rsid w:val="00AC31D9"/>
    <w:rsid w:val="00AC4341"/>
    <w:rsid w:val="00AC4477"/>
    <w:rsid w:val="00AD0115"/>
    <w:rsid w:val="00AD087F"/>
    <w:rsid w:val="00AD24A5"/>
    <w:rsid w:val="00AD27D5"/>
    <w:rsid w:val="00AD5861"/>
    <w:rsid w:val="00AD62BE"/>
    <w:rsid w:val="00AD7FFA"/>
    <w:rsid w:val="00AE099D"/>
    <w:rsid w:val="00AE14DF"/>
    <w:rsid w:val="00AE37A1"/>
    <w:rsid w:val="00AE4C47"/>
    <w:rsid w:val="00AE56EA"/>
    <w:rsid w:val="00AE7C3C"/>
    <w:rsid w:val="00AF0FD9"/>
    <w:rsid w:val="00AF11D0"/>
    <w:rsid w:val="00AF16E7"/>
    <w:rsid w:val="00AF1803"/>
    <w:rsid w:val="00AF2B6D"/>
    <w:rsid w:val="00AF39B3"/>
    <w:rsid w:val="00AF46D1"/>
    <w:rsid w:val="00AF6AFA"/>
    <w:rsid w:val="00B0195E"/>
    <w:rsid w:val="00B020C5"/>
    <w:rsid w:val="00B03D9C"/>
    <w:rsid w:val="00B04217"/>
    <w:rsid w:val="00B049D1"/>
    <w:rsid w:val="00B076B6"/>
    <w:rsid w:val="00B10652"/>
    <w:rsid w:val="00B11E10"/>
    <w:rsid w:val="00B126DC"/>
    <w:rsid w:val="00B128BB"/>
    <w:rsid w:val="00B13907"/>
    <w:rsid w:val="00B13AFA"/>
    <w:rsid w:val="00B13C20"/>
    <w:rsid w:val="00B166B1"/>
    <w:rsid w:val="00B16A41"/>
    <w:rsid w:val="00B17D94"/>
    <w:rsid w:val="00B21383"/>
    <w:rsid w:val="00B22CAE"/>
    <w:rsid w:val="00B23B99"/>
    <w:rsid w:val="00B25CB0"/>
    <w:rsid w:val="00B266FF"/>
    <w:rsid w:val="00B274FE"/>
    <w:rsid w:val="00B316B0"/>
    <w:rsid w:val="00B31DE3"/>
    <w:rsid w:val="00B31FF3"/>
    <w:rsid w:val="00B33879"/>
    <w:rsid w:val="00B36FCB"/>
    <w:rsid w:val="00B371E4"/>
    <w:rsid w:val="00B376FD"/>
    <w:rsid w:val="00B4010C"/>
    <w:rsid w:val="00B4069A"/>
    <w:rsid w:val="00B43A19"/>
    <w:rsid w:val="00B523C4"/>
    <w:rsid w:val="00B52912"/>
    <w:rsid w:val="00B5708A"/>
    <w:rsid w:val="00B612EB"/>
    <w:rsid w:val="00B622F3"/>
    <w:rsid w:val="00B62CE5"/>
    <w:rsid w:val="00B62FBC"/>
    <w:rsid w:val="00B636F2"/>
    <w:rsid w:val="00B641A1"/>
    <w:rsid w:val="00B662CA"/>
    <w:rsid w:val="00B716B4"/>
    <w:rsid w:val="00B73C97"/>
    <w:rsid w:val="00B74B2E"/>
    <w:rsid w:val="00B76C29"/>
    <w:rsid w:val="00B76EF8"/>
    <w:rsid w:val="00B80A6A"/>
    <w:rsid w:val="00B817B7"/>
    <w:rsid w:val="00B8291B"/>
    <w:rsid w:val="00B84430"/>
    <w:rsid w:val="00B87F32"/>
    <w:rsid w:val="00B90360"/>
    <w:rsid w:val="00B906E7"/>
    <w:rsid w:val="00B93087"/>
    <w:rsid w:val="00B95990"/>
    <w:rsid w:val="00B95E82"/>
    <w:rsid w:val="00B96144"/>
    <w:rsid w:val="00B972C1"/>
    <w:rsid w:val="00B975C4"/>
    <w:rsid w:val="00B976B6"/>
    <w:rsid w:val="00BA002E"/>
    <w:rsid w:val="00BA0E8D"/>
    <w:rsid w:val="00BA169C"/>
    <w:rsid w:val="00BA1B4C"/>
    <w:rsid w:val="00BA2717"/>
    <w:rsid w:val="00BA2D43"/>
    <w:rsid w:val="00BB0CA7"/>
    <w:rsid w:val="00BB166D"/>
    <w:rsid w:val="00BB1A5D"/>
    <w:rsid w:val="00BB1D07"/>
    <w:rsid w:val="00BB1D8C"/>
    <w:rsid w:val="00BB2ADF"/>
    <w:rsid w:val="00BB3466"/>
    <w:rsid w:val="00BB6275"/>
    <w:rsid w:val="00BB6BD2"/>
    <w:rsid w:val="00BC0F53"/>
    <w:rsid w:val="00BC1CFA"/>
    <w:rsid w:val="00BC2E96"/>
    <w:rsid w:val="00BC5BE3"/>
    <w:rsid w:val="00BC6876"/>
    <w:rsid w:val="00BC739D"/>
    <w:rsid w:val="00BD0B8F"/>
    <w:rsid w:val="00BD123D"/>
    <w:rsid w:val="00BD1C1F"/>
    <w:rsid w:val="00BD2459"/>
    <w:rsid w:val="00BD3B99"/>
    <w:rsid w:val="00BD47C7"/>
    <w:rsid w:val="00BD5C66"/>
    <w:rsid w:val="00BD7558"/>
    <w:rsid w:val="00BE1552"/>
    <w:rsid w:val="00BE218E"/>
    <w:rsid w:val="00BE3EFF"/>
    <w:rsid w:val="00BE7A9F"/>
    <w:rsid w:val="00BF2000"/>
    <w:rsid w:val="00BF232E"/>
    <w:rsid w:val="00BF432A"/>
    <w:rsid w:val="00BF5FE5"/>
    <w:rsid w:val="00BF72A7"/>
    <w:rsid w:val="00C002BE"/>
    <w:rsid w:val="00C01800"/>
    <w:rsid w:val="00C03C2F"/>
    <w:rsid w:val="00C05315"/>
    <w:rsid w:val="00C06251"/>
    <w:rsid w:val="00C079B6"/>
    <w:rsid w:val="00C12E1B"/>
    <w:rsid w:val="00C14BE4"/>
    <w:rsid w:val="00C14C04"/>
    <w:rsid w:val="00C15387"/>
    <w:rsid w:val="00C1676D"/>
    <w:rsid w:val="00C167B1"/>
    <w:rsid w:val="00C16C54"/>
    <w:rsid w:val="00C200C4"/>
    <w:rsid w:val="00C21CEA"/>
    <w:rsid w:val="00C25DF9"/>
    <w:rsid w:val="00C26DF5"/>
    <w:rsid w:val="00C3009A"/>
    <w:rsid w:val="00C332D9"/>
    <w:rsid w:val="00C337AE"/>
    <w:rsid w:val="00C36359"/>
    <w:rsid w:val="00C36E79"/>
    <w:rsid w:val="00C37514"/>
    <w:rsid w:val="00C41493"/>
    <w:rsid w:val="00C41A3F"/>
    <w:rsid w:val="00C42807"/>
    <w:rsid w:val="00C4359E"/>
    <w:rsid w:val="00C44220"/>
    <w:rsid w:val="00C45A71"/>
    <w:rsid w:val="00C47607"/>
    <w:rsid w:val="00C50A8B"/>
    <w:rsid w:val="00C512F9"/>
    <w:rsid w:val="00C5286C"/>
    <w:rsid w:val="00C56A33"/>
    <w:rsid w:val="00C57143"/>
    <w:rsid w:val="00C62789"/>
    <w:rsid w:val="00C62BFE"/>
    <w:rsid w:val="00C62ED9"/>
    <w:rsid w:val="00C63BE1"/>
    <w:rsid w:val="00C66A51"/>
    <w:rsid w:val="00C67C49"/>
    <w:rsid w:val="00C709C1"/>
    <w:rsid w:val="00C7179F"/>
    <w:rsid w:val="00C72754"/>
    <w:rsid w:val="00C74F47"/>
    <w:rsid w:val="00C758E2"/>
    <w:rsid w:val="00C76351"/>
    <w:rsid w:val="00C82947"/>
    <w:rsid w:val="00C82A02"/>
    <w:rsid w:val="00C82FD5"/>
    <w:rsid w:val="00C8383B"/>
    <w:rsid w:val="00C8424B"/>
    <w:rsid w:val="00C84758"/>
    <w:rsid w:val="00C85047"/>
    <w:rsid w:val="00C87A16"/>
    <w:rsid w:val="00C87ACF"/>
    <w:rsid w:val="00C91E6A"/>
    <w:rsid w:val="00C92ABF"/>
    <w:rsid w:val="00C93E28"/>
    <w:rsid w:val="00C95279"/>
    <w:rsid w:val="00C97AB2"/>
    <w:rsid w:val="00CA3C1C"/>
    <w:rsid w:val="00CA4C5B"/>
    <w:rsid w:val="00CA7568"/>
    <w:rsid w:val="00CB0CEA"/>
    <w:rsid w:val="00CB279C"/>
    <w:rsid w:val="00CB2C92"/>
    <w:rsid w:val="00CB3A2B"/>
    <w:rsid w:val="00CB3C92"/>
    <w:rsid w:val="00CB453E"/>
    <w:rsid w:val="00CB5437"/>
    <w:rsid w:val="00CC3B63"/>
    <w:rsid w:val="00CC6388"/>
    <w:rsid w:val="00CD2B38"/>
    <w:rsid w:val="00CD48E5"/>
    <w:rsid w:val="00CD5540"/>
    <w:rsid w:val="00CD5E42"/>
    <w:rsid w:val="00CD777F"/>
    <w:rsid w:val="00CD7A9A"/>
    <w:rsid w:val="00CE0A5C"/>
    <w:rsid w:val="00CE13CD"/>
    <w:rsid w:val="00CE20C4"/>
    <w:rsid w:val="00CE2EAE"/>
    <w:rsid w:val="00CE6599"/>
    <w:rsid w:val="00CF2130"/>
    <w:rsid w:val="00CF4F64"/>
    <w:rsid w:val="00CF746E"/>
    <w:rsid w:val="00D00F8D"/>
    <w:rsid w:val="00D03243"/>
    <w:rsid w:val="00D03F5F"/>
    <w:rsid w:val="00D0412F"/>
    <w:rsid w:val="00D052AE"/>
    <w:rsid w:val="00D054BB"/>
    <w:rsid w:val="00D06EE6"/>
    <w:rsid w:val="00D0799C"/>
    <w:rsid w:val="00D079BC"/>
    <w:rsid w:val="00D10DF7"/>
    <w:rsid w:val="00D120C4"/>
    <w:rsid w:val="00D12935"/>
    <w:rsid w:val="00D17313"/>
    <w:rsid w:val="00D17493"/>
    <w:rsid w:val="00D20256"/>
    <w:rsid w:val="00D20DB1"/>
    <w:rsid w:val="00D23B58"/>
    <w:rsid w:val="00D27E5C"/>
    <w:rsid w:val="00D32230"/>
    <w:rsid w:val="00D359C8"/>
    <w:rsid w:val="00D35C87"/>
    <w:rsid w:val="00D36293"/>
    <w:rsid w:val="00D409E7"/>
    <w:rsid w:val="00D410C0"/>
    <w:rsid w:val="00D415EB"/>
    <w:rsid w:val="00D434F3"/>
    <w:rsid w:val="00D455FF"/>
    <w:rsid w:val="00D46177"/>
    <w:rsid w:val="00D471F8"/>
    <w:rsid w:val="00D47778"/>
    <w:rsid w:val="00D5063C"/>
    <w:rsid w:val="00D50F1E"/>
    <w:rsid w:val="00D51D15"/>
    <w:rsid w:val="00D51E70"/>
    <w:rsid w:val="00D5271D"/>
    <w:rsid w:val="00D5373B"/>
    <w:rsid w:val="00D53EDE"/>
    <w:rsid w:val="00D5432B"/>
    <w:rsid w:val="00D558D9"/>
    <w:rsid w:val="00D55BB0"/>
    <w:rsid w:val="00D57C61"/>
    <w:rsid w:val="00D605B3"/>
    <w:rsid w:val="00D60D75"/>
    <w:rsid w:val="00D62CF7"/>
    <w:rsid w:val="00D633FD"/>
    <w:rsid w:val="00D63842"/>
    <w:rsid w:val="00D676A2"/>
    <w:rsid w:val="00D67715"/>
    <w:rsid w:val="00D71CBB"/>
    <w:rsid w:val="00D736B4"/>
    <w:rsid w:val="00D737F0"/>
    <w:rsid w:val="00D748CF"/>
    <w:rsid w:val="00D75270"/>
    <w:rsid w:val="00D75450"/>
    <w:rsid w:val="00D7650A"/>
    <w:rsid w:val="00D819CA"/>
    <w:rsid w:val="00D82325"/>
    <w:rsid w:val="00D85E84"/>
    <w:rsid w:val="00D86526"/>
    <w:rsid w:val="00D873F0"/>
    <w:rsid w:val="00D90848"/>
    <w:rsid w:val="00D90DEA"/>
    <w:rsid w:val="00D9144F"/>
    <w:rsid w:val="00D92291"/>
    <w:rsid w:val="00D92530"/>
    <w:rsid w:val="00D9260D"/>
    <w:rsid w:val="00D92A2A"/>
    <w:rsid w:val="00D92E8F"/>
    <w:rsid w:val="00D92E90"/>
    <w:rsid w:val="00D93041"/>
    <w:rsid w:val="00D93C0B"/>
    <w:rsid w:val="00D94D26"/>
    <w:rsid w:val="00D96796"/>
    <w:rsid w:val="00D9747D"/>
    <w:rsid w:val="00D978C8"/>
    <w:rsid w:val="00DA1CF4"/>
    <w:rsid w:val="00DA26E5"/>
    <w:rsid w:val="00DA28A2"/>
    <w:rsid w:val="00DA53F6"/>
    <w:rsid w:val="00DA6587"/>
    <w:rsid w:val="00DA67E1"/>
    <w:rsid w:val="00DA6B8C"/>
    <w:rsid w:val="00DA79AE"/>
    <w:rsid w:val="00DA7DA0"/>
    <w:rsid w:val="00DB30BF"/>
    <w:rsid w:val="00DB31C1"/>
    <w:rsid w:val="00DB5AF8"/>
    <w:rsid w:val="00DB5CB6"/>
    <w:rsid w:val="00DB6C7F"/>
    <w:rsid w:val="00DB74CF"/>
    <w:rsid w:val="00DB7DAB"/>
    <w:rsid w:val="00DC0BE6"/>
    <w:rsid w:val="00DC119D"/>
    <w:rsid w:val="00DC12F1"/>
    <w:rsid w:val="00DC3E25"/>
    <w:rsid w:val="00DC7937"/>
    <w:rsid w:val="00DD09C1"/>
    <w:rsid w:val="00DD0A8E"/>
    <w:rsid w:val="00DD1CE9"/>
    <w:rsid w:val="00DD2B34"/>
    <w:rsid w:val="00DD328A"/>
    <w:rsid w:val="00DD35E6"/>
    <w:rsid w:val="00DD43E2"/>
    <w:rsid w:val="00DD4E2C"/>
    <w:rsid w:val="00DE09FC"/>
    <w:rsid w:val="00DE0F21"/>
    <w:rsid w:val="00DE3B64"/>
    <w:rsid w:val="00DE5131"/>
    <w:rsid w:val="00DE6314"/>
    <w:rsid w:val="00DE733C"/>
    <w:rsid w:val="00DF036E"/>
    <w:rsid w:val="00DF16E1"/>
    <w:rsid w:val="00DF207B"/>
    <w:rsid w:val="00DF23D7"/>
    <w:rsid w:val="00DF307B"/>
    <w:rsid w:val="00DF40B7"/>
    <w:rsid w:val="00DF5058"/>
    <w:rsid w:val="00DF6818"/>
    <w:rsid w:val="00E006FE"/>
    <w:rsid w:val="00E03519"/>
    <w:rsid w:val="00E05081"/>
    <w:rsid w:val="00E051E3"/>
    <w:rsid w:val="00E05874"/>
    <w:rsid w:val="00E05D5A"/>
    <w:rsid w:val="00E1045A"/>
    <w:rsid w:val="00E109EC"/>
    <w:rsid w:val="00E13D10"/>
    <w:rsid w:val="00E147A8"/>
    <w:rsid w:val="00E150F5"/>
    <w:rsid w:val="00E15ADF"/>
    <w:rsid w:val="00E17F5D"/>
    <w:rsid w:val="00E24768"/>
    <w:rsid w:val="00E2506D"/>
    <w:rsid w:val="00E25B8F"/>
    <w:rsid w:val="00E276FA"/>
    <w:rsid w:val="00E31605"/>
    <w:rsid w:val="00E320AA"/>
    <w:rsid w:val="00E34075"/>
    <w:rsid w:val="00E369DE"/>
    <w:rsid w:val="00E40C85"/>
    <w:rsid w:val="00E43B6C"/>
    <w:rsid w:val="00E45971"/>
    <w:rsid w:val="00E45F2D"/>
    <w:rsid w:val="00E50CF2"/>
    <w:rsid w:val="00E50F47"/>
    <w:rsid w:val="00E51226"/>
    <w:rsid w:val="00E52DC1"/>
    <w:rsid w:val="00E543BD"/>
    <w:rsid w:val="00E54A4A"/>
    <w:rsid w:val="00E55E94"/>
    <w:rsid w:val="00E561BA"/>
    <w:rsid w:val="00E570FA"/>
    <w:rsid w:val="00E575E5"/>
    <w:rsid w:val="00E60097"/>
    <w:rsid w:val="00E60675"/>
    <w:rsid w:val="00E621E6"/>
    <w:rsid w:val="00E6489E"/>
    <w:rsid w:val="00E64EA1"/>
    <w:rsid w:val="00E65A67"/>
    <w:rsid w:val="00E65D5A"/>
    <w:rsid w:val="00E65D8E"/>
    <w:rsid w:val="00E669B3"/>
    <w:rsid w:val="00E70E85"/>
    <w:rsid w:val="00E71110"/>
    <w:rsid w:val="00E71792"/>
    <w:rsid w:val="00E71C7A"/>
    <w:rsid w:val="00E726A8"/>
    <w:rsid w:val="00E73614"/>
    <w:rsid w:val="00E73E68"/>
    <w:rsid w:val="00E741EA"/>
    <w:rsid w:val="00E747B7"/>
    <w:rsid w:val="00E74FCE"/>
    <w:rsid w:val="00E754E0"/>
    <w:rsid w:val="00E75601"/>
    <w:rsid w:val="00E7669B"/>
    <w:rsid w:val="00E76929"/>
    <w:rsid w:val="00E76B11"/>
    <w:rsid w:val="00E8051B"/>
    <w:rsid w:val="00E820B9"/>
    <w:rsid w:val="00E83170"/>
    <w:rsid w:val="00E83477"/>
    <w:rsid w:val="00E842DB"/>
    <w:rsid w:val="00E852E5"/>
    <w:rsid w:val="00E878D3"/>
    <w:rsid w:val="00E902EF"/>
    <w:rsid w:val="00E92088"/>
    <w:rsid w:val="00E927FA"/>
    <w:rsid w:val="00E92EEC"/>
    <w:rsid w:val="00E93534"/>
    <w:rsid w:val="00E960E6"/>
    <w:rsid w:val="00E96323"/>
    <w:rsid w:val="00E96D83"/>
    <w:rsid w:val="00EA0E5A"/>
    <w:rsid w:val="00EA23EB"/>
    <w:rsid w:val="00EA2CFF"/>
    <w:rsid w:val="00EA3503"/>
    <w:rsid w:val="00EA4B58"/>
    <w:rsid w:val="00EA58BC"/>
    <w:rsid w:val="00EA729D"/>
    <w:rsid w:val="00EA76E9"/>
    <w:rsid w:val="00EA7BD5"/>
    <w:rsid w:val="00EB08CB"/>
    <w:rsid w:val="00EB1C68"/>
    <w:rsid w:val="00EB34CA"/>
    <w:rsid w:val="00EB3E95"/>
    <w:rsid w:val="00EB5990"/>
    <w:rsid w:val="00EB7574"/>
    <w:rsid w:val="00EB7E1E"/>
    <w:rsid w:val="00EC0CE4"/>
    <w:rsid w:val="00EC0DA5"/>
    <w:rsid w:val="00EC285E"/>
    <w:rsid w:val="00EC2C7C"/>
    <w:rsid w:val="00EC2EF3"/>
    <w:rsid w:val="00EC3C8C"/>
    <w:rsid w:val="00EC4476"/>
    <w:rsid w:val="00EC4E76"/>
    <w:rsid w:val="00EC6632"/>
    <w:rsid w:val="00EC672A"/>
    <w:rsid w:val="00EC7780"/>
    <w:rsid w:val="00ED0DBA"/>
    <w:rsid w:val="00ED2DCE"/>
    <w:rsid w:val="00ED445A"/>
    <w:rsid w:val="00ED5B14"/>
    <w:rsid w:val="00ED763A"/>
    <w:rsid w:val="00ED7A9A"/>
    <w:rsid w:val="00ED7D64"/>
    <w:rsid w:val="00EE03D7"/>
    <w:rsid w:val="00EE12B5"/>
    <w:rsid w:val="00EE1544"/>
    <w:rsid w:val="00EE2D0E"/>
    <w:rsid w:val="00EE3782"/>
    <w:rsid w:val="00EE596A"/>
    <w:rsid w:val="00EE5B89"/>
    <w:rsid w:val="00EE6150"/>
    <w:rsid w:val="00EE6866"/>
    <w:rsid w:val="00EE76B8"/>
    <w:rsid w:val="00EF2087"/>
    <w:rsid w:val="00EF4EB0"/>
    <w:rsid w:val="00F0096A"/>
    <w:rsid w:val="00F0354C"/>
    <w:rsid w:val="00F06E93"/>
    <w:rsid w:val="00F0744A"/>
    <w:rsid w:val="00F07BEB"/>
    <w:rsid w:val="00F11969"/>
    <w:rsid w:val="00F11F33"/>
    <w:rsid w:val="00F1436B"/>
    <w:rsid w:val="00F150A1"/>
    <w:rsid w:val="00F1672F"/>
    <w:rsid w:val="00F20987"/>
    <w:rsid w:val="00F2188C"/>
    <w:rsid w:val="00F224CD"/>
    <w:rsid w:val="00F258B0"/>
    <w:rsid w:val="00F269B7"/>
    <w:rsid w:val="00F2762B"/>
    <w:rsid w:val="00F314BD"/>
    <w:rsid w:val="00F31D8D"/>
    <w:rsid w:val="00F31DE4"/>
    <w:rsid w:val="00F3275C"/>
    <w:rsid w:val="00F327B4"/>
    <w:rsid w:val="00F32E71"/>
    <w:rsid w:val="00F33393"/>
    <w:rsid w:val="00F33EAB"/>
    <w:rsid w:val="00F33EE7"/>
    <w:rsid w:val="00F34202"/>
    <w:rsid w:val="00F34F18"/>
    <w:rsid w:val="00F3613B"/>
    <w:rsid w:val="00F36497"/>
    <w:rsid w:val="00F37299"/>
    <w:rsid w:val="00F408B9"/>
    <w:rsid w:val="00F40CDF"/>
    <w:rsid w:val="00F40F53"/>
    <w:rsid w:val="00F42C77"/>
    <w:rsid w:val="00F44C99"/>
    <w:rsid w:val="00F46CEC"/>
    <w:rsid w:val="00F50BA6"/>
    <w:rsid w:val="00F50EAB"/>
    <w:rsid w:val="00F513FB"/>
    <w:rsid w:val="00F52019"/>
    <w:rsid w:val="00F52249"/>
    <w:rsid w:val="00F5369C"/>
    <w:rsid w:val="00F542BC"/>
    <w:rsid w:val="00F54D1E"/>
    <w:rsid w:val="00F553E8"/>
    <w:rsid w:val="00F55F31"/>
    <w:rsid w:val="00F60A6D"/>
    <w:rsid w:val="00F61E46"/>
    <w:rsid w:val="00F63595"/>
    <w:rsid w:val="00F637C8"/>
    <w:rsid w:val="00F63EF5"/>
    <w:rsid w:val="00F70613"/>
    <w:rsid w:val="00F7416A"/>
    <w:rsid w:val="00F75818"/>
    <w:rsid w:val="00F765DE"/>
    <w:rsid w:val="00F81EA2"/>
    <w:rsid w:val="00F847C2"/>
    <w:rsid w:val="00F86699"/>
    <w:rsid w:val="00F874B4"/>
    <w:rsid w:val="00F87956"/>
    <w:rsid w:val="00F90A61"/>
    <w:rsid w:val="00F92EAF"/>
    <w:rsid w:val="00F93246"/>
    <w:rsid w:val="00F932FF"/>
    <w:rsid w:val="00F95F54"/>
    <w:rsid w:val="00F97594"/>
    <w:rsid w:val="00F975A4"/>
    <w:rsid w:val="00FA0251"/>
    <w:rsid w:val="00FA18EA"/>
    <w:rsid w:val="00FA2F1F"/>
    <w:rsid w:val="00FA3319"/>
    <w:rsid w:val="00FA3897"/>
    <w:rsid w:val="00FA3F93"/>
    <w:rsid w:val="00FA504B"/>
    <w:rsid w:val="00FA54AE"/>
    <w:rsid w:val="00FA58C6"/>
    <w:rsid w:val="00FB010C"/>
    <w:rsid w:val="00FB0499"/>
    <w:rsid w:val="00FB0A12"/>
    <w:rsid w:val="00FB1436"/>
    <w:rsid w:val="00FB1771"/>
    <w:rsid w:val="00FB253F"/>
    <w:rsid w:val="00FB2DD8"/>
    <w:rsid w:val="00FB46E6"/>
    <w:rsid w:val="00FB4E0B"/>
    <w:rsid w:val="00FB6967"/>
    <w:rsid w:val="00FB7970"/>
    <w:rsid w:val="00FC0607"/>
    <w:rsid w:val="00FC1923"/>
    <w:rsid w:val="00FC1DB1"/>
    <w:rsid w:val="00FC39BE"/>
    <w:rsid w:val="00FC3F68"/>
    <w:rsid w:val="00FC41BB"/>
    <w:rsid w:val="00FC535B"/>
    <w:rsid w:val="00FC61DE"/>
    <w:rsid w:val="00FC6C2A"/>
    <w:rsid w:val="00FC6CF7"/>
    <w:rsid w:val="00FC70CD"/>
    <w:rsid w:val="00FC72AC"/>
    <w:rsid w:val="00FC7715"/>
    <w:rsid w:val="00FD0F20"/>
    <w:rsid w:val="00FD0FD2"/>
    <w:rsid w:val="00FD4CBE"/>
    <w:rsid w:val="00FD4DB3"/>
    <w:rsid w:val="00FE2388"/>
    <w:rsid w:val="00FE356E"/>
    <w:rsid w:val="00FE4B01"/>
    <w:rsid w:val="00FE62FE"/>
    <w:rsid w:val="00FE65FE"/>
    <w:rsid w:val="00FF03A6"/>
    <w:rsid w:val="00FF0AFF"/>
    <w:rsid w:val="00FF3012"/>
    <w:rsid w:val="00FF5B05"/>
    <w:rsid w:val="00FF7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C7663"/>
  <w15:chartTrackingRefBased/>
  <w15:docId w15:val="{BE37F221-882C-4CFC-9903-57CE8D487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F99"/>
    <w:rPr>
      <w:lang w:val="en-GB"/>
    </w:rPr>
  </w:style>
  <w:style w:type="paragraph" w:styleId="Heading2">
    <w:name w:val="heading 2"/>
    <w:basedOn w:val="Normal"/>
    <w:next w:val="Normal"/>
    <w:link w:val="Heading2Char"/>
    <w:uiPriority w:val="9"/>
    <w:unhideWhenUsed/>
    <w:qFormat/>
    <w:rsid w:val="0099077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6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E6599"/>
    <w:pPr>
      <w:widowControl w:val="0"/>
      <w:autoSpaceDE w:val="0"/>
      <w:autoSpaceDN w:val="0"/>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1"/>
    <w:rsid w:val="00CE6599"/>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0A1433"/>
    <w:pPr>
      <w:tabs>
        <w:tab w:val="center" w:pos="4680"/>
        <w:tab w:val="right" w:pos="9360"/>
      </w:tabs>
    </w:pPr>
  </w:style>
  <w:style w:type="character" w:customStyle="1" w:styleId="HeaderChar">
    <w:name w:val="Header Char"/>
    <w:basedOn w:val="DefaultParagraphFont"/>
    <w:link w:val="Header"/>
    <w:uiPriority w:val="99"/>
    <w:rsid w:val="000A1433"/>
    <w:rPr>
      <w:lang w:val="en-GB"/>
    </w:rPr>
  </w:style>
  <w:style w:type="paragraph" w:styleId="Footer">
    <w:name w:val="footer"/>
    <w:basedOn w:val="Normal"/>
    <w:link w:val="FooterChar"/>
    <w:uiPriority w:val="99"/>
    <w:unhideWhenUsed/>
    <w:rsid w:val="000A1433"/>
    <w:pPr>
      <w:tabs>
        <w:tab w:val="center" w:pos="4680"/>
        <w:tab w:val="right" w:pos="9360"/>
      </w:tabs>
    </w:pPr>
  </w:style>
  <w:style w:type="character" w:customStyle="1" w:styleId="FooterChar">
    <w:name w:val="Footer Char"/>
    <w:basedOn w:val="DefaultParagraphFont"/>
    <w:link w:val="Footer"/>
    <w:uiPriority w:val="99"/>
    <w:rsid w:val="000A1433"/>
    <w:rPr>
      <w:lang w:val="en-GB"/>
    </w:rPr>
  </w:style>
  <w:style w:type="paragraph" w:styleId="ListParagraph">
    <w:name w:val="List Paragraph"/>
    <w:basedOn w:val="Normal"/>
    <w:uiPriority w:val="34"/>
    <w:qFormat/>
    <w:rsid w:val="005178F3"/>
    <w:pPr>
      <w:ind w:left="720"/>
      <w:contextualSpacing/>
    </w:pPr>
  </w:style>
  <w:style w:type="paragraph" w:styleId="FootnoteText">
    <w:name w:val="footnote text"/>
    <w:basedOn w:val="Normal"/>
    <w:link w:val="FootnoteTextChar"/>
    <w:uiPriority w:val="99"/>
    <w:unhideWhenUsed/>
    <w:rsid w:val="003C7168"/>
    <w:rPr>
      <w:sz w:val="20"/>
      <w:szCs w:val="20"/>
    </w:rPr>
  </w:style>
  <w:style w:type="character" w:customStyle="1" w:styleId="FootnoteTextChar">
    <w:name w:val="Footnote Text Char"/>
    <w:basedOn w:val="DefaultParagraphFont"/>
    <w:link w:val="FootnoteText"/>
    <w:uiPriority w:val="99"/>
    <w:rsid w:val="003C7168"/>
    <w:rPr>
      <w:sz w:val="20"/>
      <w:szCs w:val="20"/>
      <w:lang w:val="en-GB"/>
    </w:rPr>
  </w:style>
  <w:style w:type="character" w:styleId="FootnoteReference">
    <w:name w:val="footnote reference"/>
    <w:basedOn w:val="DefaultParagraphFont"/>
    <w:uiPriority w:val="99"/>
    <w:semiHidden/>
    <w:unhideWhenUsed/>
    <w:rsid w:val="003C7168"/>
    <w:rPr>
      <w:vertAlign w:val="superscript"/>
    </w:rPr>
  </w:style>
  <w:style w:type="numbering" w:customStyle="1" w:styleId="NoList1">
    <w:name w:val="No List1"/>
    <w:next w:val="NoList"/>
    <w:uiPriority w:val="99"/>
    <w:semiHidden/>
    <w:unhideWhenUsed/>
    <w:rsid w:val="001B2290"/>
  </w:style>
  <w:style w:type="paragraph" w:styleId="BalloonText">
    <w:name w:val="Balloon Text"/>
    <w:basedOn w:val="Normal"/>
    <w:link w:val="BalloonTextChar"/>
    <w:uiPriority w:val="99"/>
    <w:semiHidden/>
    <w:unhideWhenUsed/>
    <w:rsid w:val="001B2290"/>
    <w:rPr>
      <w:rFonts w:ascii="Tahoma" w:hAnsi="Tahoma" w:cs="Tahoma"/>
      <w:sz w:val="16"/>
      <w:szCs w:val="16"/>
    </w:rPr>
  </w:style>
  <w:style w:type="character" w:customStyle="1" w:styleId="BalloonTextChar">
    <w:name w:val="Balloon Text Char"/>
    <w:basedOn w:val="DefaultParagraphFont"/>
    <w:link w:val="BalloonText"/>
    <w:uiPriority w:val="99"/>
    <w:semiHidden/>
    <w:rsid w:val="001B2290"/>
    <w:rPr>
      <w:rFonts w:ascii="Tahoma" w:hAnsi="Tahoma" w:cs="Tahoma"/>
      <w:sz w:val="16"/>
      <w:szCs w:val="16"/>
      <w:lang w:val="en-GB"/>
    </w:rPr>
  </w:style>
  <w:style w:type="paragraph" w:customStyle="1" w:styleId="DecimalAligned">
    <w:name w:val="Decimal Aligned"/>
    <w:basedOn w:val="Normal"/>
    <w:uiPriority w:val="40"/>
    <w:qFormat/>
    <w:rsid w:val="001B2290"/>
    <w:pPr>
      <w:tabs>
        <w:tab w:val="decimal" w:pos="360"/>
      </w:tabs>
      <w:spacing w:after="200" w:line="276" w:lineRule="auto"/>
    </w:pPr>
    <w:rPr>
      <w:lang w:val="en-US" w:eastAsia="ja-JP"/>
    </w:rPr>
  </w:style>
  <w:style w:type="character" w:customStyle="1" w:styleId="SubtleEmphasis1">
    <w:name w:val="Subtle Emphasis1"/>
    <w:basedOn w:val="DefaultParagraphFont"/>
    <w:uiPriority w:val="19"/>
    <w:qFormat/>
    <w:rsid w:val="001B2290"/>
    <w:rPr>
      <w:i/>
      <w:iCs/>
      <w:color w:val="7F7F7F"/>
    </w:rPr>
  </w:style>
  <w:style w:type="table" w:customStyle="1" w:styleId="LightShading-Accent11">
    <w:name w:val="Light Shading - Accent 11"/>
    <w:basedOn w:val="TableNormal"/>
    <w:next w:val="LightShading-Accent1"/>
    <w:uiPriority w:val="60"/>
    <w:rsid w:val="001B2290"/>
    <w:rPr>
      <w:rFonts w:eastAsia="Times New Roman"/>
      <w:color w:val="365F91"/>
      <w:lang w:eastAsia="ja-JP"/>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firstCol">
      <w:rPr>
        <w:b/>
        <w:bCs/>
        <w:color w:val="365F91"/>
      </w:rPr>
    </w:tblStylePr>
    <w:tblStylePr w:type="lastCol">
      <w:rPr>
        <w:b/>
        <w:bCs/>
        <w:color w:val="365F91"/>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
    <w:name w:val="Table Grid1"/>
    <w:basedOn w:val="TableNormal"/>
    <w:next w:val="TableGrid"/>
    <w:uiPriority w:val="59"/>
    <w:rsid w:val="001B2290"/>
    <w:rPr>
      <w:rFonts w:ascii="Arial" w:hAnsi="Arial" w:cs="Arial"/>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1B2290"/>
    <w:rPr>
      <w:i/>
      <w:iCs/>
      <w:color w:val="404040" w:themeColor="text1" w:themeTint="BF"/>
    </w:rPr>
  </w:style>
  <w:style w:type="table" w:styleId="LightShading-Accent1">
    <w:name w:val="Light Shading Accent 1"/>
    <w:basedOn w:val="TableNormal"/>
    <w:uiPriority w:val="60"/>
    <w:unhideWhenUsed/>
    <w:rsid w:val="001B2290"/>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styleId="CommentReference">
    <w:name w:val="annotation reference"/>
    <w:basedOn w:val="DefaultParagraphFont"/>
    <w:uiPriority w:val="99"/>
    <w:semiHidden/>
    <w:unhideWhenUsed/>
    <w:rsid w:val="00813AAE"/>
    <w:rPr>
      <w:sz w:val="16"/>
      <w:szCs w:val="16"/>
    </w:rPr>
  </w:style>
  <w:style w:type="paragraph" w:styleId="CommentText">
    <w:name w:val="annotation text"/>
    <w:basedOn w:val="Normal"/>
    <w:link w:val="CommentTextChar"/>
    <w:uiPriority w:val="99"/>
    <w:unhideWhenUsed/>
    <w:rsid w:val="00813AAE"/>
    <w:rPr>
      <w:sz w:val="20"/>
      <w:szCs w:val="20"/>
    </w:rPr>
  </w:style>
  <w:style w:type="character" w:customStyle="1" w:styleId="CommentTextChar">
    <w:name w:val="Comment Text Char"/>
    <w:basedOn w:val="DefaultParagraphFont"/>
    <w:link w:val="CommentText"/>
    <w:uiPriority w:val="99"/>
    <w:rsid w:val="00813AAE"/>
    <w:rPr>
      <w:sz w:val="20"/>
      <w:szCs w:val="20"/>
      <w:lang w:val="en-GB"/>
    </w:rPr>
  </w:style>
  <w:style w:type="paragraph" w:styleId="CommentSubject">
    <w:name w:val="annotation subject"/>
    <w:basedOn w:val="CommentText"/>
    <w:next w:val="CommentText"/>
    <w:link w:val="CommentSubjectChar"/>
    <w:uiPriority w:val="99"/>
    <w:semiHidden/>
    <w:unhideWhenUsed/>
    <w:rsid w:val="00813AAE"/>
    <w:rPr>
      <w:b/>
      <w:bCs/>
    </w:rPr>
  </w:style>
  <w:style w:type="character" w:customStyle="1" w:styleId="CommentSubjectChar">
    <w:name w:val="Comment Subject Char"/>
    <w:basedOn w:val="CommentTextChar"/>
    <w:link w:val="CommentSubject"/>
    <w:uiPriority w:val="99"/>
    <w:semiHidden/>
    <w:rsid w:val="00813AAE"/>
    <w:rPr>
      <w:b/>
      <w:bCs/>
      <w:sz w:val="20"/>
      <w:szCs w:val="20"/>
      <w:lang w:val="en-GB"/>
    </w:rPr>
  </w:style>
  <w:style w:type="paragraph" w:customStyle="1" w:styleId="Default">
    <w:name w:val="Default"/>
    <w:rsid w:val="00D93041"/>
    <w:pPr>
      <w:autoSpaceDE w:val="0"/>
      <w:autoSpaceDN w:val="0"/>
      <w:adjustRightInd w:val="0"/>
    </w:pPr>
    <w:rPr>
      <w:rFonts w:ascii="Arial" w:hAnsi="Arial" w:cs="Arial"/>
      <w:color w:val="000000"/>
      <w:sz w:val="24"/>
      <w:szCs w:val="24"/>
      <w:lang w:val="en-GB"/>
    </w:rPr>
  </w:style>
  <w:style w:type="character" w:customStyle="1" w:styleId="as">
    <w:name w:val="as"/>
    <w:basedOn w:val="DefaultParagraphFont"/>
    <w:rsid w:val="004C3EB0"/>
  </w:style>
  <w:style w:type="paragraph" w:styleId="NormalWeb">
    <w:name w:val="Normal (Web)"/>
    <w:basedOn w:val="Normal"/>
    <w:uiPriority w:val="99"/>
    <w:unhideWhenUsed/>
    <w:rsid w:val="009A6F0B"/>
    <w:pPr>
      <w:spacing w:before="100" w:beforeAutospacing="1" w:after="240"/>
    </w:pPr>
    <w:rPr>
      <w:rFonts w:ascii="Times New Roman" w:eastAsia="Times New Roman" w:hAnsi="Times New Roman" w:cs="Times New Roman"/>
      <w:sz w:val="24"/>
      <w:szCs w:val="24"/>
      <w:lang w:eastAsia="en-GB"/>
    </w:rPr>
  </w:style>
  <w:style w:type="character" w:customStyle="1" w:styleId="od">
    <w:name w:val="od"/>
    <w:basedOn w:val="DefaultParagraphFont"/>
    <w:rsid w:val="008C2186"/>
  </w:style>
  <w:style w:type="character" w:styleId="Hyperlink">
    <w:name w:val="Hyperlink"/>
    <w:basedOn w:val="DefaultParagraphFont"/>
    <w:uiPriority w:val="99"/>
    <w:unhideWhenUsed/>
    <w:rsid w:val="00F224CD"/>
    <w:rPr>
      <w:color w:val="0000FF"/>
      <w:u w:val="single"/>
    </w:rPr>
  </w:style>
  <w:style w:type="character" w:customStyle="1" w:styleId="Heading2Char">
    <w:name w:val="Heading 2 Char"/>
    <w:basedOn w:val="DefaultParagraphFont"/>
    <w:link w:val="Heading2"/>
    <w:uiPriority w:val="9"/>
    <w:rsid w:val="0099077A"/>
    <w:rPr>
      <w:rFonts w:asciiTheme="majorHAnsi" w:eastAsiaTheme="majorEastAsia" w:hAnsiTheme="majorHAnsi" w:cstheme="majorBidi"/>
      <w:color w:val="2F5496" w:themeColor="accent1" w:themeShade="BF"/>
      <w:sz w:val="26"/>
      <w:szCs w:val="26"/>
      <w:lang w:val="en-GB"/>
    </w:rPr>
  </w:style>
  <w:style w:type="paragraph" w:styleId="Revision">
    <w:name w:val="Revision"/>
    <w:hidden/>
    <w:uiPriority w:val="99"/>
    <w:semiHidden/>
    <w:rsid w:val="006764A0"/>
    <w:rPr>
      <w:lang w:val="en-GB"/>
    </w:rPr>
  </w:style>
  <w:style w:type="paragraph" w:customStyle="1" w:styleId="textForfigsover">
    <w:name w:val="_text (For figsover)"/>
    <w:basedOn w:val="Normal"/>
    <w:uiPriority w:val="99"/>
    <w:rsid w:val="00564C1D"/>
    <w:pPr>
      <w:tabs>
        <w:tab w:val="left" w:pos="227"/>
      </w:tabs>
      <w:suppressAutoHyphens/>
      <w:autoSpaceDE w:val="0"/>
      <w:autoSpaceDN w:val="0"/>
      <w:adjustRightInd w:val="0"/>
      <w:spacing w:after="120" w:line="200" w:lineRule="atLeast"/>
    </w:pPr>
    <w:rPr>
      <w:rFonts w:ascii="Arial" w:hAnsi="Arial" w:cs="Arial"/>
      <w:color w:val="000000"/>
      <w:sz w:val="18"/>
      <w:szCs w:val="18"/>
    </w:rPr>
  </w:style>
  <w:style w:type="numbering" w:customStyle="1" w:styleId="NoList2">
    <w:name w:val="No List2"/>
    <w:next w:val="NoList"/>
    <w:uiPriority w:val="99"/>
    <w:semiHidden/>
    <w:unhideWhenUsed/>
    <w:rsid w:val="00A94FC9"/>
  </w:style>
  <w:style w:type="table" w:customStyle="1" w:styleId="LightShading-Accent12">
    <w:name w:val="Light Shading - Accent 12"/>
    <w:basedOn w:val="TableNormal"/>
    <w:next w:val="LightShading-Accent1"/>
    <w:uiPriority w:val="60"/>
    <w:rsid w:val="00A94FC9"/>
    <w:rPr>
      <w:rFonts w:eastAsia="Times New Roman"/>
      <w:color w:val="365F91"/>
      <w:lang w:eastAsia="ja-JP"/>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firstCol">
      <w:rPr>
        <w:b/>
        <w:bCs/>
        <w:color w:val="365F91"/>
      </w:rPr>
    </w:tblStylePr>
    <w:tblStylePr w:type="lastCol">
      <w:rPr>
        <w:b/>
        <w:bCs/>
        <w:color w:val="365F91"/>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2">
    <w:name w:val="Table Grid2"/>
    <w:basedOn w:val="TableNormal"/>
    <w:next w:val="TableGrid"/>
    <w:uiPriority w:val="59"/>
    <w:rsid w:val="00A94FC9"/>
    <w:rPr>
      <w:rFonts w:ascii="Arial" w:hAnsi="Arial" w:cs="Arial"/>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C31D9"/>
    <w:rPr>
      <w:b/>
      <w:bCs/>
    </w:rPr>
  </w:style>
  <w:style w:type="character" w:customStyle="1" w:styleId="an">
    <w:name w:val="an"/>
    <w:basedOn w:val="DefaultParagraphFont"/>
    <w:rsid w:val="003F5046"/>
  </w:style>
  <w:style w:type="character" w:styleId="IntenseEmphasis">
    <w:name w:val="Intense Emphasis"/>
    <w:basedOn w:val="DefaultParagraphFont"/>
    <w:uiPriority w:val="99"/>
    <w:rsid w:val="00A0091A"/>
    <w:rPr>
      <w:i/>
      <w:iCs/>
      <w:color w:val="auto"/>
    </w:rPr>
  </w:style>
  <w:style w:type="paragraph" w:customStyle="1" w:styleId="xmsonormal">
    <w:name w:val="x_msonormal"/>
    <w:basedOn w:val="Normal"/>
    <w:rsid w:val="00B93087"/>
    <w:rPr>
      <w:rFonts w:ascii="Calibri" w:hAnsi="Calibri" w:cs="Calibri"/>
      <w:lang w:eastAsia="en-GB"/>
    </w:rPr>
  </w:style>
  <w:style w:type="paragraph" w:styleId="EndnoteText">
    <w:name w:val="endnote text"/>
    <w:basedOn w:val="Normal"/>
    <w:link w:val="EndnoteTextChar"/>
    <w:uiPriority w:val="99"/>
    <w:semiHidden/>
    <w:unhideWhenUsed/>
    <w:rsid w:val="00B128BB"/>
    <w:rPr>
      <w:sz w:val="20"/>
      <w:szCs w:val="20"/>
    </w:rPr>
  </w:style>
  <w:style w:type="character" w:customStyle="1" w:styleId="EndnoteTextChar">
    <w:name w:val="Endnote Text Char"/>
    <w:basedOn w:val="DefaultParagraphFont"/>
    <w:link w:val="EndnoteText"/>
    <w:uiPriority w:val="99"/>
    <w:semiHidden/>
    <w:rsid w:val="00B128BB"/>
    <w:rPr>
      <w:sz w:val="20"/>
      <w:szCs w:val="20"/>
      <w:lang w:val="en-GB"/>
    </w:rPr>
  </w:style>
  <w:style w:type="character" w:styleId="EndnoteReference">
    <w:name w:val="endnote reference"/>
    <w:basedOn w:val="DefaultParagraphFont"/>
    <w:uiPriority w:val="99"/>
    <w:semiHidden/>
    <w:unhideWhenUsed/>
    <w:rsid w:val="00B128BB"/>
    <w:rPr>
      <w:vertAlign w:val="superscript"/>
    </w:rPr>
  </w:style>
  <w:style w:type="character" w:customStyle="1" w:styleId="aw">
    <w:name w:val="aw"/>
    <w:basedOn w:val="DefaultParagraphFont"/>
    <w:rsid w:val="00655149"/>
  </w:style>
  <w:style w:type="character" w:customStyle="1" w:styleId="av">
    <w:name w:val="av"/>
    <w:basedOn w:val="DefaultParagraphFont"/>
    <w:rsid w:val="00F36497"/>
  </w:style>
  <w:style w:type="numbering" w:customStyle="1" w:styleId="NoList3">
    <w:name w:val="No List3"/>
    <w:next w:val="NoList"/>
    <w:uiPriority w:val="99"/>
    <w:semiHidden/>
    <w:unhideWhenUsed/>
    <w:rsid w:val="00F50BA6"/>
  </w:style>
  <w:style w:type="table" w:customStyle="1" w:styleId="TableGrid3">
    <w:name w:val="Table Grid3"/>
    <w:basedOn w:val="TableNormal"/>
    <w:next w:val="TableGrid"/>
    <w:uiPriority w:val="59"/>
    <w:rsid w:val="00F50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F50BA6"/>
  </w:style>
  <w:style w:type="table" w:customStyle="1" w:styleId="LightShading-Accent111">
    <w:name w:val="Light Shading - Accent 111"/>
    <w:basedOn w:val="TableNormal"/>
    <w:next w:val="LightShading-Accent1"/>
    <w:uiPriority w:val="60"/>
    <w:rsid w:val="00F50BA6"/>
    <w:rPr>
      <w:rFonts w:eastAsia="Times New Roman"/>
      <w:color w:val="365F91"/>
      <w:lang w:eastAsia="ja-JP"/>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firstCol">
      <w:rPr>
        <w:b/>
        <w:bCs/>
        <w:color w:val="365F91"/>
      </w:rPr>
    </w:tblStylePr>
    <w:tblStylePr w:type="lastCol">
      <w:rPr>
        <w:b/>
        <w:bCs/>
        <w:color w:val="365F91"/>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1">
    <w:name w:val="Table Grid11"/>
    <w:basedOn w:val="TableNormal"/>
    <w:next w:val="TableGrid"/>
    <w:uiPriority w:val="59"/>
    <w:rsid w:val="00F50BA6"/>
    <w:rPr>
      <w:rFonts w:ascii="Arial" w:hAnsi="Arial" w:cs="Arial"/>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3">
    <w:name w:val="Light Shading - Accent 13"/>
    <w:basedOn w:val="TableNormal"/>
    <w:next w:val="LightShading-Accent1"/>
    <w:uiPriority w:val="60"/>
    <w:unhideWhenUsed/>
    <w:rsid w:val="00F50BA6"/>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numbering" w:customStyle="1" w:styleId="NoList21">
    <w:name w:val="No List21"/>
    <w:next w:val="NoList"/>
    <w:uiPriority w:val="99"/>
    <w:semiHidden/>
    <w:unhideWhenUsed/>
    <w:rsid w:val="00F50BA6"/>
  </w:style>
  <w:style w:type="table" w:customStyle="1" w:styleId="LightShading-Accent121">
    <w:name w:val="Light Shading - Accent 121"/>
    <w:basedOn w:val="TableNormal"/>
    <w:next w:val="LightShading-Accent1"/>
    <w:uiPriority w:val="60"/>
    <w:rsid w:val="00F50BA6"/>
    <w:rPr>
      <w:rFonts w:eastAsia="Times New Roman"/>
      <w:color w:val="365F91"/>
      <w:lang w:eastAsia="ja-JP"/>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firstCol">
      <w:rPr>
        <w:b/>
        <w:bCs/>
        <w:color w:val="365F91"/>
      </w:rPr>
    </w:tblStylePr>
    <w:tblStylePr w:type="lastCol">
      <w:rPr>
        <w:b/>
        <w:bCs/>
        <w:color w:val="365F91"/>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21">
    <w:name w:val="Table Grid21"/>
    <w:basedOn w:val="TableNormal"/>
    <w:next w:val="TableGrid"/>
    <w:uiPriority w:val="59"/>
    <w:rsid w:val="00F50BA6"/>
    <w:rPr>
      <w:rFonts w:ascii="Arial" w:hAnsi="Arial" w:cs="Arial"/>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37514">
      <w:bodyDiv w:val="1"/>
      <w:marLeft w:val="0"/>
      <w:marRight w:val="0"/>
      <w:marTop w:val="0"/>
      <w:marBottom w:val="0"/>
      <w:divBdr>
        <w:top w:val="none" w:sz="0" w:space="0" w:color="auto"/>
        <w:left w:val="none" w:sz="0" w:space="0" w:color="auto"/>
        <w:bottom w:val="none" w:sz="0" w:space="0" w:color="auto"/>
        <w:right w:val="none" w:sz="0" w:space="0" w:color="auto"/>
      </w:divBdr>
    </w:div>
    <w:div w:id="112872484">
      <w:bodyDiv w:val="1"/>
      <w:marLeft w:val="0"/>
      <w:marRight w:val="0"/>
      <w:marTop w:val="0"/>
      <w:marBottom w:val="0"/>
      <w:divBdr>
        <w:top w:val="none" w:sz="0" w:space="0" w:color="auto"/>
        <w:left w:val="none" w:sz="0" w:space="0" w:color="auto"/>
        <w:bottom w:val="none" w:sz="0" w:space="0" w:color="auto"/>
        <w:right w:val="none" w:sz="0" w:space="0" w:color="auto"/>
      </w:divBdr>
    </w:div>
    <w:div w:id="230434292">
      <w:bodyDiv w:val="1"/>
      <w:marLeft w:val="0"/>
      <w:marRight w:val="0"/>
      <w:marTop w:val="0"/>
      <w:marBottom w:val="0"/>
      <w:divBdr>
        <w:top w:val="none" w:sz="0" w:space="0" w:color="auto"/>
        <w:left w:val="none" w:sz="0" w:space="0" w:color="auto"/>
        <w:bottom w:val="none" w:sz="0" w:space="0" w:color="auto"/>
        <w:right w:val="none" w:sz="0" w:space="0" w:color="auto"/>
      </w:divBdr>
    </w:div>
    <w:div w:id="239172430">
      <w:bodyDiv w:val="1"/>
      <w:marLeft w:val="0"/>
      <w:marRight w:val="0"/>
      <w:marTop w:val="0"/>
      <w:marBottom w:val="0"/>
      <w:divBdr>
        <w:top w:val="none" w:sz="0" w:space="0" w:color="auto"/>
        <w:left w:val="none" w:sz="0" w:space="0" w:color="auto"/>
        <w:bottom w:val="none" w:sz="0" w:space="0" w:color="auto"/>
        <w:right w:val="none" w:sz="0" w:space="0" w:color="auto"/>
      </w:divBdr>
    </w:div>
    <w:div w:id="262299202">
      <w:bodyDiv w:val="1"/>
      <w:marLeft w:val="0"/>
      <w:marRight w:val="0"/>
      <w:marTop w:val="0"/>
      <w:marBottom w:val="0"/>
      <w:divBdr>
        <w:top w:val="none" w:sz="0" w:space="0" w:color="auto"/>
        <w:left w:val="none" w:sz="0" w:space="0" w:color="auto"/>
        <w:bottom w:val="none" w:sz="0" w:space="0" w:color="auto"/>
        <w:right w:val="none" w:sz="0" w:space="0" w:color="auto"/>
      </w:divBdr>
    </w:div>
    <w:div w:id="292562418">
      <w:bodyDiv w:val="1"/>
      <w:marLeft w:val="0"/>
      <w:marRight w:val="0"/>
      <w:marTop w:val="0"/>
      <w:marBottom w:val="0"/>
      <w:divBdr>
        <w:top w:val="none" w:sz="0" w:space="0" w:color="auto"/>
        <w:left w:val="none" w:sz="0" w:space="0" w:color="auto"/>
        <w:bottom w:val="none" w:sz="0" w:space="0" w:color="auto"/>
        <w:right w:val="none" w:sz="0" w:space="0" w:color="auto"/>
      </w:divBdr>
    </w:div>
    <w:div w:id="294919153">
      <w:bodyDiv w:val="1"/>
      <w:marLeft w:val="0"/>
      <w:marRight w:val="0"/>
      <w:marTop w:val="0"/>
      <w:marBottom w:val="0"/>
      <w:divBdr>
        <w:top w:val="none" w:sz="0" w:space="0" w:color="auto"/>
        <w:left w:val="none" w:sz="0" w:space="0" w:color="auto"/>
        <w:bottom w:val="none" w:sz="0" w:space="0" w:color="auto"/>
        <w:right w:val="none" w:sz="0" w:space="0" w:color="auto"/>
      </w:divBdr>
    </w:div>
    <w:div w:id="300155057">
      <w:bodyDiv w:val="1"/>
      <w:marLeft w:val="0"/>
      <w:marRight w:val="0"/>
      <w:marTop w:val="0"/>
      <w:marBottom w:val="0"/>
      <w:divBdr>
        <w:top w:val="none" w:sz="0" w:space="0" w:color="auto"/>
        <w:left w:val="none" w:sz="0" w:space="0" w:color="auto"/>
        <w:bottom w:val="none" w:sz="0" w:space="0" w:color="auto"/>
        <w:right w:val="none" w:sz="0" w:space="0" w:color="auto"/>
      </w:divBdr>
    </w:div>
    <w:div w:id="329992863">
      <w:bodyDiv w:val="1"/>
      <w:marLeft w:val="0"/>
      <w:marRight w:val="0"/>
      <w:marTop w:val="0"/>
      <w:marBottom w:val="0"/>
      <w:divBdr>
        <w:top w:val="none" w:sz="0" w:space="0" w:color="auto"/>
        <w:left w:val="none" w:sz="0" w:space="0" w:color="auto"/>
        <w:bottom w:val="none" w:sz="0" w:space="0" w:color="auto"/>
        <w:right w:val="none" w:sz="0" w:space="0" w:color="auto"/>
      </w:divBdr>
    </w:div>
    <w:div w:id="367799802">
      <w:bodyDiv w:val="1"/>
      <w:marLeft w:val="0"/>
      <w:marRight w:val="0"/>
      <w:marTop w:val="0"/>
      <w:marBottom w:val="0"/>
      <w:divBdr>
        <w:top w:val="none" w:sz="0" w:space="0" w:color="auto"/>
        <w:left w:val="none" w:sz="0" w:space="0" w:color="auto"/>
        <w:bottom w:val="none" w:sz="0" w:space="0" w:color="auto"/>
        <w:right w:val="none" w:sz="0" w:space="0" w:color="auto"/>
      </w:divBdr>
    </w:div>
    <w:div w:id="373308760">
      <w:bodyDiv w:val="1"/>
      <w:marLeft w:val="0"/>
      <w:marRight w:val="0"/>
      <w:marTop w:val="0"/>
      <w:marBottom w:val="0"/>
      <w:divBdr>
        <w:top w:val="none" w:sz="0" w:space="0" w:color="auto"/>
        <w:left w:val="none" w:sz="0" w:space="0" w:color="auto"/>
        <w:bottom w:val="none" w:sz="0" w:space="0" w:color="auto"/>
        <w:right w:val="none" w:sz="0" w:space="0" w:color="auto"/>
      </w:divBdr>
    </w:div>
    <w:div w:id="395516280">
      <w:bodyDiv w:val="1"/>
      <w:marLeft w:val="0"/>
      <w:marRight w:val="0"/>
      <w:marTop w:val="0"/>
      <w:marBottom w:val="0"/>
      <w:divBdr>
        <w:top w:val="none" w:sz="0" w:space="0" w:color="auto"/>
        <w:left w:val="none" w:sz="0" w:space="0" w:color="auto"/>
        <w:bottom w:val="none" w:sz="0" w:space="0" w:color="auto"/>
        <w:right w:val="none" w:sz="0" w:space="0" w:color="auto"/>
      </w:divBdr>
    </w:div>
    <w:div w:id="411243846">
      <w:bodyDiv w:val="1"/>
      <w:marLeft w:val="0"/>
      <w:marRight w:val="0"/>
      <w:marTop w:val="0"/>
      <w:marBottom w:val="0"/>
      <w:divBdr>
        <w:top w:val="none" w:sz="0" w:space="0" w:color="auto"/>
        <w:left w:val="none" w:sz="0" w:space="0" w:color="auto"/>
        <w:bottom w:val="none" w:sz="0" w:space="0" w:color="auto"/>
        <w:right w:val="none" w:sz="0" w:space="0" w:color="auto"/>
      </w:divBdr>
    </w:div>
    <w:div w:id="423379394">
      <w:bodyDiv w:val="1"/>
      <w:marLeft w:val="0"/>
      <w:marRight w:val="0"/>
      <w:marTop w:val="0"/>
      <w:marBottom w:val="0"/>
      <w:divBdr>
        <w:top w:val="none" w:sz="0" w:space="0" w:color="auto"/>
        <w:left w:val="none" w:sz="0" w:space="0" w:color="auto"/>
        <w:bottom w:val="none" w:sz="0" w:space="0" w:color="auto"/>
        <w:right w:val="none" w:sz="0" w:space="0" w:color="auto"/>
      </w:divBdr>
    </w:div>
    <w:div w:id="458762786">
      <w:bodyDiv w:val="1"/>
      <w:marLeft w:val="0"/>
      <w:marRight w:val="0"/>
      <w:marTop w:val="0"/>
      <w:marBottom w:val="0"/>
      <w:divBdr>
        <w:top w:val="none" w:sz="0" w:space="0" w:color="auto"/>
        <w:left w:val="none" w:sz="0" w:space="0" w:color="auto"/>
        <w:bottom w:val="none" w:sz="0" w:space="0" w:color="auto"/>
        <w:right w:val="none" w:sz="0" w:space="0" w:color="auto"/>
      </w:divBdr>
    </w:div>
    <w:div w:id="475537716">
      <w:bodyDiv w:val="1"/>
      <w:marLeft w:val="0"/>
      <w:marRight w:val="0"/>
      <w:marTop w:val="0"/>
      <w:marBottom w:val="0"/>
      <w:divBdr>
        <w:top w:val="none" w:sz="0" w:space="0" w:color="auto"/>
        <w:left w:val="none" w:sz="0" w:space="0" w:color="auto"/>
        <w:bottom w:val="none" w:sz="0" w:space="0" w:color="auto"/>
        <w:right w:val="none" w:sz="0" w:space="0" w:color="auto"/>
      </w:divBdr>
    </w:div>
    <w:div w:id="528615655">
      <w:bodyDiv w:val="1"/>
      <w:marLeft w:val="0"/>
      <w:marRight w:val="0"/>
      <w:marTop w:val="0"/>
      <w:marBottom w:val="0"/>
      <w:divBdr>
        <w:top w:val="none" w:sz="0" w:space="0" w:color="auto"/>
        <w:left w:val="none" w:sz="0" w:space="0" w:color="auto"/>
        <w:bottom w:val="none" w:sz="0" w:space="0" w:color="auto"/>
        <w:right w:val="none" w:sz="0" w:space="0" w:color="auto"/>
      </w:divBdr>
    </w:div>
    <w:div w:id="555507533">
      <w:bodyDiv w:val="1"/>
      <w:marLeft w:val="0"/>
      <w:marRight w:val="0"/>
      <w:marTop w:val="0"/>
      <w:marBottom w:val="0"/>
      <w:divBdr>
        <w:top w:val="none" w:sz="0" w:space="0" w:color="auto"/>
        <w:left w:val="none" w:sz="0" w:space="0" w:color="auto"/>
        <w:bottom w:val="none" w:sz="0" w:space="0" w:color="auto"/>
        <w:right w:val="none" w:sz="0" w:space="0" w:color="auto"/>
      </w:divBdr>
    </w:div>
    <w:div w:id="578638011">
      <w:bodyDiv w:val="1"/>
      <w:marLeft w:val="0"/>
      <w:marRight w:val="0"/>
      <w:marTop w:val="0"/>
      <w:marBottom w:val="0"/>
      <w:divBdr>
        <w:top w:val="none" w:sz="0" w:space="0" w:color="auto"/>
        <w:left w:val="none" w:sz="0" w:space="0" w:color="auto"/>
        <w:bottom w:val="none" w:sz="0" w:space="0" w:color="auto"/>
        <w:right w:val="none" w:sz="0" w:space="0" w:color="auto"/>
      </w:divBdr>
    </w:div>
    <w:div w:id="614604958">
      <w:bodyDiv w:val="1"/>
      <w:marLeft w:val="0"/>
      <w:marRight w:val="0"/>
      <w:marTop w:val="0"/>
      <w:marBottom w:val="0"/>
      <w:divBdr>
        <w:top w:val="none" w:sz="0" w:space="0" w:color="auto"/>
        <w:left w:val="none" w:sz="0" w:space="0" w:color="auto"/>
        <w:bottom w:val="none" w:sz="0" w:space="0" w:color="auto"/>
        <w:right w:val="none" w:sz="0" w:space="0" w:color="auto"/>
      </w:divBdr>
    </w:div>
    <w:div w:id="627442580">
      <w:bodyDiv w:val="1"/>
      <w:marLeft w:val="0"/>
      <w:marRight w:val="0"/>
      <w:marTop w:val="0"/>
      <w:marBottom w:val="0"/>
      <w:divBdr>
        <w:top w:val="none" w:sz="0" w:space="0" w:color="auto"/>
        <w:left w:val="none" w:sz="0" w:space="0" w:color="auto"/>
        <w:bottom w:val="none" w:sz="0" w:space="0" w:color="auto"/>
        <w:right w:val="none" w:sz="0" w:space="0" w:color="auto"/>
      </w:divBdr>
    </w:div>
    <w:div w:id="635795719">
      <w:bodyDiv w:val="1"/>
      <w:marLeft w:val="0"/>
      <w:marRight w:val="0"/>
      <w:marTop w:val="0"/>
      <w:marBottom w:val="0"/>
      <w:divBdr>
        <w:top w:val="none" w:sz="0" w:space="0" w:color="auto"/>
        <w:left w:val="none" w:sz="0" w:space="0" w:color="auto"/>
        <w:bottom w:val="none" w:sz="0" w:space="0" w:color="auto"/>
        <w:right w:val="none" w:sz="0" w:space="0" w:color="auto"/>
      </w:divBdr>
    </w:div>
    <w:div w:id="685987816">
      <w:bodyDiv w:val="1"/>
      <w:marLeft w:val="0"/>
      <w:marRight w:val="0"/>
      <w:marTop w:val="0"/>
      <w:marBottom w:val="0"/>
      <w:divBdr>
        <w:top w:val="none" w:sz="0" w:space="0" w:color="auto"/>
        <w:left w:val="none" w:sz="0" w:space="0" w:color="auto"/>
        <w:bottom w:val="none" w:sz="0" w:space="0" w:color="auto"/>
        <w:right w:val="none" w:sz="0" w:space="0" w:color="auto"/>
      </w:divBdr>
    </w:div>
    <w:div w:id="694963639">
      <w:bodyDiv w:val="1"/>
      <w:marLeft w:val="0"/>
      <w:marRight w:val="0"/>
      <w:marTop w:val="0"/>
      <w:marBottom w:val="0"/>
      <w:divBdr>
        <w:top w:val="none" w:sz="0" w:space="0" w:color="auto"/>
        <w:left w:val="none" w:sz="0" w:space="0" w:color="auto"/>
        <w:bottom w:val="none" w:sz="0" w:space="0" w:color="auto"/>
        <w:right w:val="none" w:sz="0" w:space="0" w:color="auto"/>
      </w:divBdr>
    </w:div>
    <w:div w:id="697001077">
      <w:bodyDiv w:val="1"/>
      <w:marLeft w:val="0"/>
      <w:marRight w:val="0"/>
      <w:marTop w:val="0"/>
      <w:marBottom w:val="0"/>
      <w:divBdr>
        <w:top w:val="none" w:sz="0" w:space="0" w:color="auto"/>
        <w:left w:val="none" w:sz="0" w:space="0" w:color="auto"/>
        <w:bottom w:val="none" w:sz="0" w:space="0" w:color="auto"/>
        <w:right w:val="none" w:sz="0" w:space="0" w:color="auto"/>
      </w:divBdr>
    </w:div>
    <w:div w:id="744179873">
      <w:bodyDiv w:val="1"/>
      <w:marLeft w:val="0"/>
      <w:marRight w:val="0"/>
      <w:marTop w:val="0"/>
      <w:marBottom w:val="0"/>
      <w:divBdr>
        <w:top w:val="none" w:sz="0" w:space="0" w:color="auto"/>
        <w:left w:val="none" w:sz="0" w:space="0" w:color="auto"/>
        <w:bottom w:val="none" w:sz="0" w:space="0" w:color="auto"/>
        <w:right w:val="none" w:sz="0" w:space="0" w:color="auto"/>
      </w:divBdr>
    </w:div>
    <w:div w:id="757755224">
      <w:bodyDiv w:val="1"/>
      <w:marLeft w:val="0"/>
      <w:marRight w:val="0"/>
      <w:marTop w:val="0"/>
      <w:marBottom w:val="0"/>
      <w:divBdr>
        <w:top w:val="none" w:sz="0" w:space="0" w:color="auto"/>
        <w:left w:val="none" w:sz="0" w:space="0" w:color="auto"/>
        <w:bottom w:val="none" w:sz="0" w:space="0" w:color="auto"/>
        <w:right w:val="none" w:sz="0" w:space="0" w:color="auto"/>
      </w:divBdr>
    </w:div>
    <w:div w:id="805053641">
      <w:bodyDiv w:val="1"/>
      <w:marLeft w:val="0"/>
      <w:marRight w:val="0"/>
      <w:marTop w:val="0"/>
      <w:marBottom w:val="0"/>
      <w:divBdr>
        <w:top w:val="none" w:sz="0" w:space="0" w:color="auto"/>
        <w:left w:val="none" w:sz="0" w:space="0" w:color="auto"/>
        <w:bottom w:val="none" w:sz="0" w:space="0" w:color="auto"/>
        <w:right w:val="none" w:sz="0" w:space="0" w:color="auto"/>
      </w:divBdr>
    </w:div>
    <w:div w:id="864057692">
      <w:bodyDiv w:val="1"/>
      <w:marLeft w:val="0"/>
      <w:marRight w:val="0"/>
      <w:marTop w:val="0"/>
      <w:marBottom w:val="0"/>
      <w:divBdr>
        <w:top w:val="none" w:sz="0" w:space="0" w:color="auto"/>
        <w:left w:val="none" w:sz="0" w:space="0" w:color="auto"/>
        <w:bottom w:val="none" w:sz="0" w:space="0" w:color="auto"/>
        <w:right w:val="none" w:sz="0" w:space="0" w:color="auto"/>
      </w:divBdr>
    </w:div>
    <w:div w:id="878511458">
      <w:bodyDiv w:val="1"/>
      <w:marLeft w:val="0"/>
      <w:marRight w:val="0"/>
      <w:marTop w:val="0"/>
      <w:marBottom w:val="0"/>
      <w:divBdr>
        <w:top w:val="none" w:sz="0" w:space="0" w:color="auto"/>
        <w:left w:val="none" w:sz="0" w:space="0" w:color="auto"/>
        <w:bottom w:val="none" w:sz="0" w:space="0" w:color="auto"/>
        <w:right w:val="none" w:sz="0" w:space="0" w:color="auto"/>
      </w:divBdr>
    </w:div>
    <w:div w:id="885527716">
      <w:bodyDiv w:val="1"/>
      <w:marLeft w:val="0"/>
      <w:marRight w:val="0"/>
      <w:marTop w:val="0"/>
      <w:marBottom w:val="0"/>
      <w:divBdr>
        <w:top w:val="none" w:sz="0" w:space="0" w:color="auto"/>
        <w:left w:val="none" w:sz="0" w:space="0" w:color="auto"/>
        <w:bottom w:val="none" w:sz="0" w:space="0" w:color="auto"/>
        <w:right w:val="none" w:sz="0" w:space="0" w:color="auto"/>
      </w:divBdr>
    </w:div>
    <w:div w:id="941644615">
      <w:bodyDiv w:val="1"/>
      <w:marLeft w:val="0"/>
      <w:marRight w:val="0"/>
      <w:marTop w:val="0"/>
      <w:marBottom w:val="0"/>
      <w:divBdr>
        <w:top w:val="none" w:sz="0" w:space="0" w:color="auto"/>
        <w:left w:val="none" w:sz="0" w:space="0" w:color="auto"/>
        <w:bottom w:val="none" w:sz="0" w:space="0" w:color="auto"/>
        <w:right w:val="none" w:sz="0" w:space="0" w:color="auto"/>
      </w:divBdr>
    </w:div>
    <w:div w:id="953293999">
      <w:bodyDiv w:val="1"/>
      <w:marLeft w:val="0"/>
      <w:marRight w:val="0"/>
      <w:marTop w:val="0"/>
      <w:marBottom w:val="0"/>
      <w:divBdr>
        <w:top w:val="none" w:sz="0" w:space="0" w:color="auto"/>
        <w:left w:val="none" w:sz="0" w:space="0" w:color="auto"/>
        <w:bottom w:val="none" w:sz="0" w:space="0" w:color="auto"/>
        <w:right w:val="none" w:sz="0" w:space="0" w:color="auto"/>
      </w:divBdr>
    </w:div>
    <w:div w:id="1027408725">
      <w:bodyDiv w:val="1"/>
      <w:marLeft w:val="0"/>
      <w:marRight w:val="0"/>
      <w:marTop w:val="0"/>
      <w:marBottom w:val="0"/>
      <w:divBdr>
        <w:top w:val="none" w:sz="0" w:space="0" w:color="auto"/>
        <w:left w:val="none" w:sz="0" w:space="0" w:color="auto"/>
        <w:bottom w:val="none" w:sz="0" w:space="0" w:color="auto"/>
        <w:right w:val="none" w:sz="0" w:space="0" w:color="auto"/>
      </w:divBdr>
    </w:div>
    <w:div w:id="1113986416">
      <w:bodyDiv w:val="1"/>
      <w:marLeft w:val="0"/>
      <w:marRight w:val="0"/>
      <w:marTop w:val="0"/>
      <w:marBottom w:val="0"/>
      <w:divBdr>
        <w:top w:val="none" w:sz="0" w:space="0" w:color="auto"/>
        <w:left w:val="none" w:sz="0" w:space="0" w:color="auto"/>
        <w:bottom w:val="none" w:sz="0" w:space="0" w:color="auto"/>
        <w:right w:val="none" w:sz="0" w:space="0" w:color="auto"/>
      </w:divBdr>
    </w:div>
    <w:div w:id="1363627039">
      <w:bodyDiv w:val="1"/>
      <w:marLeft w:val="0"/>
      <w:marRight w:val="0"/>
      <w:marTop w:val="0"/>
      <w:marBottom w:val="0"/>
      <w:divBdr>
        <w:top w:val="none" w:sz="0" w:space="0" w:color="auto"/>
        <w:left w:val="none" w:sz="0" w:space="0" w:color="auto"/>
        <w:bottom w:val="none" w:sz="0" w:space="0" w:color="auto"/>
        <w:right w:val="none" w:sz="0" w:space="0" w:color="auto"/>
      </w:divBdr>
    </w:div>
    <w:div w:id="1388458198">
      <w:bodyDiv w:val="1"/>
      <w:marLeft w:val="0"/>
      <w:marRight w:val="0"/>
      <w:marTop w:val="0"/>
      <w:marBottom w:val="0"/>
      <w:divBdr>
        <w:top w:val="none" w:sz="0" w:space="0" w:color="auto"/>
        <w:left w:val="none" w:sz="0" w:space="0" w:color="auto"/>
        <w:bottom w:val="none" w:sz="0" w:space="0" w:color="auto"/>
        <w:right w:val="none" w:sz="0" w:space="0" w:color="auto"/>
      </w:divBdr>
    </w:div>
    <w:div w:id="1453357750">
      <w:bodyDiv w:val="1"/>
      <w:marLeft w:val="0"/>
      <w:marRight w:val="0"/>
      <w:marTop w:val="0"/>
      <w:marBottom w:val="0"/>
      <w:divBdr>
        <w:top w:val="none" w:sz="0" w:space="0" w:color="auto"/>
        <w:left w:val="none" w:sz="0" w:space="0" w:color="auto"/>
        <w:bottom w:val="none" w:sz="0" w:space="0" w:color="auto"/>
        <w:right w:val="none" w:sz="0" w:space="0" w:color="auto"/>
      </w:divBdr>
    </w:div>
    <w:div w:id="1490058110">
      <w:bodyDiv w:val="1"/>
      <w:marLeft w:val="0"/>
      <w:marRight w:val="0"/>
      <w:marTop w:val="0"/>
      <w:marBottom w:val="0"/>
      <w:divBdr>
        <w:top w:val="none" w:sz="0" w:space="0" w:color="auto"/>
        <w:left w:val="none" w:sz="0" w:space="0" w:color="auto"/>
        <w:bottom w:val="none" w:sz="0" w:space="0" w:color="auto"/>
        <w:right w:val="none" w:sz="0" w:space="0" w:color="auto"/>
      </w:divBdr>
    </w:div>
    <w:div w:id="1514295290">
      <w:bodyDiv w:val="1"/>
      <w:marLeft w:val="0"/>
      <w:marRight w:val="0"/>
      <w:marTop w:val="0"/>
      <w:marBottom w:val="0"/>
      <w:divBdr>
        <w:top w:val="none" w:sz="0" w:space="0" w:color="auto"/>
        <w:left w:val="none" w:sz="0" w:space="0" w:color="auto"/>
        <w:bottom w:val="none" w:sz="0" w:space="0" w:color="auto"/>
        <w:right w:val="none" w:sz="0" w:space="0" w:color="auto"/>
      </w:divBdr>
    </w:div>
    <w:div w:id="1518154939">
      <w:bodyDiv w:val="1"/>
      <w:marLeft w:val="0"/>
      <w:marRight w:val="0"/>
      <w:marTop w:val="0"/>
      <w:marBottom w:val="0"/>
      <w:divBdr>
        <w:top w:val="none" w:sz="0" w:space="0" w:color="auto"/>
        <w:left w:val="none" w:sz="0" w:space="0" w:color="auto"/>
        <w:bottom w:val="none" w:sz="0" w:space="0" w:color="auto"/>
        <w:right w:val="none" w:sz="0" w:space="0" w:color="auto"/>
      </w:divBdr>
    </w:div>
    <w:div w:id="1519540727">
      <w:bodyDiv w:val="1"/>
      <w:marLeft w:val="0"/>
      <w:marRight w:val="0"/>
      <w:marTop w:val="0"/>
      <w:marBottom w:val="0"/>
      <w:divBdr>
        <w:top w:val="none" w:sz="0" w:space="0" w:color="auto"/>
        <w:left w:val="none" w:sz="0" w:space="0" w:color="auto"/>
        <w:bottom w:val="none" w:sz="0" w:space="0" w:color="auto"/>
        <w:right w:val="none" w:sz="0" w:space="0" w:color="auto"/>
      </w:divBdr>
    </w:div>
    <w:div w:id="1536968595">
      <w:bodyDiv w:val="1"/>
      <w:marLeft w:val="0"/>
      <w:marRight w:val="0"/>
      <w:marTop w:val="0"/>
      <w:marBottom w:val="0"/>
      <w:divBdr>
        <w:top w:val="none" w:sz="0" w:space="0" w:color="auto"/>
        <w:left w:val="none" w:sz="0" w:space="0" w:color="auto"/>
        <w:bottom w:val="none" w:sz="0" w:space="0" w:color="auto"/>
        <w:right w:val="none" w:sz="0" w:space="0" w:color="auto"/>
      </w:divBdr>
    </w:div>
    <w:div w:id="1572304947">
      <w:bodyDiv w:val="1"/>
      <w:marLeft w:val="0"/>
      <w:marRight w:val="0"/>
      <w:marTop w:val="0"/>
      <w:marBottom w:val="0"/>
      <w:divBdr>
        <w:top w:val="none" w:sz="0" w:space="0" w:color="auto"/>
        <w:left w:val="none" w:sz="0" w:space="0" w:color="auto"/>
        <w:bottom w:val="none" w:sz="0" w:space="0" w:color="auto"/>
        <w:right w:val="none" w:sz="0" w:space="0" w:color="auto"/>
      </w:divBdr>
    </w:div>
    <w:div w:id="1629361720">
      <w:bodyDiv w:val="1"/>
      <w:marLeft w:val="0"/>
      <w:marRight w:val="0"/>
      <w:marTop w:val="0"/>
      <w:marBottom w:val="0"/>
      <w:divBdr>
        <w:top w:val="none" w:sz="0" w:space="0" w:color="auto"/>
        <w:left w:val="none" w:sz="0" w:space="0" w:color="auto"/>
        <w:bottom w:val="none" w:sz="0" w:space="0" w:color="auto"/>
        <w:right w:val="none" w:sz="0" w:space="0" w:color="auto"/>
      </w:divBdr>
    </w:div>
    <w:div w:id="1634361770">
      <w:bodyDiv w:val="1"/>
      <w:marLeft w:val="0"/>
      <w:marRight w:val="0"/>
      <w:marTop w:val="0"/>
      <w:marBottom w:val="0"/>
      <w:divBdr>
        <w:top w:val="none" w:sz="0" w:space="0" w:color="auto"/>
        <w:left w:val="none" w:sz="0" w:space="0" w:color="auto"/>
        <w:bottom w:val="none" w:sz="0" w:space="0" w:color="auto"/>
        <w:right w:val="none" w:sz="0" w:space="0" w:color="auto"/>
      </w:divBdr>
    </w:div>
    <w:div w:id="1636137072">
      <w:bodyDiv w:val="1"/>
      <w:marLeft w:val="0"/>
      <w:marRight w:val="0"/>
      <w:marTop w:val="0"/>
      <w:marBottom w:val="0"/>
      <w:divBdr>
        <w:top w:val="none" w:sz="0" w:space="0" w:color="auto"/>
        <w:left w:val="none" w:sz="0" w:space="0" w:color="auto"/>
        <w:bottom w:val="none" w:sz="0" w:space="0" w:color="auto"/>
        <w:right w:val="none" w:sz="0" w:space="0" w:color="auto"/>
      </w:divBdr>
    </w:div>
    <w:div w:id="1653677798">
      <w:bodyDiv w:val="1"/>
      <w:marLeft w:val="0"/>
      <w:marRight w:val="0"/>
      <w:marTop w:val="0"/>
      <w:marBottom w:val="0"/>
      <w:divBdr>
        <w:top w:val="none" w:sz="0" w:space="0" w:color="auto"/>
        <w:left w:val="none" w:sz="0" w:space="0" w:color="auto"/>
        <w:bottom w:val="none" w:sz="0" w:space="0" w:color="auto"/>
        <w:right w:val="none" w:sz="0" w:space="0" w:color="auto"/>
      </w:divBdr>
      <w:divsChild>
        <w:div w:id="438523996">
          <w:marLeft w:val="0"/>
          <w:marRight w:val="0"/>
          <w:marTop w:val="100"/>
          <w:marBottom w:val="100"/>
          <w:divBdr>
            <w:top w:val="none" w:sz="0" w:space="0" w:color="auto"/>
            <w:left w:val="none" w:sz="0" w:space="0" w:color="auto"/>
            <w:bottom w:val="none" w:sz="0" w:space="0" w:color="auto"/>
            <w:right w:val="none" w:sz="0" w:space="0" w:color="auto"/>
          </w:divBdr>
          <w:divsChild>
            <w:div w:id="869226796">
              <w:marLeft w:val="0"/>
              <w:marRight w:val="0"/>
              <w:marTop w:val="0"/>
              <w:marBottom w:val="0"/>
              <w:divBdr>
                <w:top w:val="none" w:sz="0" w:space="0" w:color="auto"/>
                <w:left w:val="none" w:sz="0" w:space="0" w:color="auto"/>
                <w:bottom w:val="none" w:sz="0" w:space="0" w:color="auto"/>
                <w:right w:val="none" w:sz="0" w:space="0" w:color="auto"/>
              </w:divBdr>
              <w:divsChild>
                <w:div w:id="690956289">
                  <w:marLeft w:val="0"/>
                  <w:marRight w:val="0"/>
                  <w:marTop w:val="0"/>
                  <w:marBottom w:val="0"/>
                  <w:divBdr>
                    <w:top w:val="none" w:sz="0" w:space="0" w:color="auto"/>
                    <w:left w:val="none" w:sz="0" w:space="0" w:color="auto"/>
                    <w:bottom w:val="none" w:sz="0" w:space="0" w:color="auto"/>
                    <w:right w:val="none" w:sz="0" w:space="0" w:color="auto"/>
                  </w:divBdr>
                  <w:divsChild>
                    <w:div w:id="1445223288">
                      <w:marLeft w:val="-225"/>
                      <w:marRight w:val="-225"/>
                      <w:marTop w:val="0"/>
                      <w:marBottom w:val="0"/>
                      <w:divBdr>
                        <w:top w:val="none" w:sz="0" w:space="0" w:color="auto"/>
                        <w:left w:val="none" w:sz="0" w:space="0" w:color="auto"/>
                        <w:bottom w:val="none" w:sz="0" w:space="0" w:color="auto"/>
                        <w:right w:val="none" w:sz="0" w:space="0" w:color="auto"/>
                      </w:divBdr>
                      <w:divsChild>
                        <w:div w:id="1409570394">
                          <w:marLeft w:val="0"/>
                          <w:marRight w:val="0"/>
                          <w:marTop w:val="0"/>
                          <w:marBottom w:val="0"/>
                          <w:divBdr>
                            <w:top w:val="none" w:sz="0" w:space="0" w:color="auto"/>
                            <w:left w:val="none" w:sz="0" w:space="0" w:color="auto"/>
                            <w:bottom w:val="none" w:sz="0" w:space="0" w:color="auto"/>
                            <w:right w:val="none" w:sz="0" w:space="0" w:color="auto"/>
                          </w:divBdr>
                          <w:divsChild>
                            <w:div w:id="687223146">
                              <w:marLeft w:val="0"/>
                              <w:marRight w:val="0"/>
                              <w:marTop w:val="0"/>
                              <w:marBottom w:val="0"/>
                              <w:divBdr>
                                <w:top w:val="none" w:sz="0" w:space="0" w:color="auto"/>
                                <w:left w:val="none" w:sz="0" w:space="0" w:color="auto"/>
                                <w:bottom w:val="none" w:sz="0" w:space="0" w:color="auto"/>
                                <w:right w:val="none" w:sz="0" w:space="0" w:color="auto"/>
                              </w:divBdr>
                              <w:divsChild>
                                <w:div w:id="168175193">
                                  <w:marLeft w:val="0"/>
                                  <w:marRight w:val="0"/>
                                  <w:marTop w:val="0"/>
                                  <w:marBottom w:val="0"/>
                                  <w:divBdr>
                                    <w:top w:val="none" w:sz="0" w:space="0" w:color="auto"/>
                                    <w:left w:val="none" w:sz="0" w:space="0" w:color="auto"/>
                                    <w:bottom w:val="none" w:sz="0" w:space="0" w:color="auto"/>
                                    <w:right w:val="none" w:sz="0" w:space="0" w:color="auto"/>
                                  </w:divBdr>
                                  <w:divsChild>
                                    <w:div w:id="1504737896">
                                      <w:marLeft w:val="0"/>
                                      <w:marRight w:val="0"/>
                                      <w:marTop w:val="0"/>
                                      <w:marBottom w:val="0"/>
                                      <w:divBdr>
                                        <w:top w:val="none" w:sz="0" w:space="0" w:color="auto"/>
                                        <w:left w:val="none" w:sz="0" w:space="0" w:color="auto"/>
                                        <w:bottom w:val="none" w:sz="0" w:space="0" w:color="auto"/>
                                        <w:right w:val="none" w:sz="0" w:space="0" w:color="auto"/>
                                      </w:divBdr>
                                      <w:divsChild>
                                        <w:div w:id="1834755677">
                                          <w:marLeft w:val="0"/>
                                          <w:marRight w:val="0"/>
                                          <w:marTop w:val="0"/>
                                          <w:marBottom w:val="0"/>
                                          <w:divBdr>
                                            <w:top w:val="none" w:sz="0" w:space="0" w:color="auto"/>
                                            <w:left w:val="none" w:sz="0" w:space="0" w:color="auto"/>
                                            <w:bottom w:val="none" w:sz="0" w:space="0" w:color="auto"/>
                                            <w:right w:val="none" w:sz="0" w:space="0" w:color="auto"/>
                                          </w:divBdr>
                                          <w:divsChild>
                                            <w:div w:id="534001170">
                                              <w:marLeft w:val="0"/>
                                              <w:marRight w:val="0"/>
                                              <w:marTop w:val="0"/>
                                              <w:marBottom w:val="0"/>
                                              <w:divBdr>
                                                <w:top w:val="none" w:sz="0" w:space="0" w:color="auto"/>
                                                <w:left w:val="none" w:sz="0" w:space="0" w:color="auto"/>
                                                <w:bottom w:val="none" w:sz="0" w:space="0" w:color="auto"/>
                                                <w:right w:val="none" w:sz="0" w:space="0" w:color="auto"/>
                                              </w:divBdr>
                                              <w:divsChild>
                                                <w:div w:id="1381977359">
                                                  <w:marLeft w:val="0"/>
                                                  <w:marRight w:val="0"/>
                                                  <w:marTop w:val="0"/>
                                                  <w:marBottom w:val="0"/>
                                                  <w:divBdr>
                                                    <w:top w:val="none" w:sz="0" w:space="0" w:color="auto"/>
                                                    <w:left w:val="none" w:sz="0" w:space="0" w:color="auto"/>
                                                    <w:bottom w:val="none" w:sz="0" w:space="0" w:color="auto"/>
                                                    <w:right w:val="none" w:sz="0" w:space="0" w:color="auto"/>
                                                  </w:divBdr>
                                                </w:div>
                                                <w:div w:id="290552257">
                                                  <w:marLeft w:val="0"/>
                                                  <w:marRight w:val="0"/>
                                                  <w:marTop w:val="0"/>
                                                  <w:marBottom w:val="0"/>
                                                  <w:divBdr>
                                                    <w:top w:val="none" w:sz="0" w:space="0" w:color="auto"/>
                                                    <w:left w:val="none" w:sz="0" w:space="0" w:color="auto"/>
                                                    <w:bottom w:val="none" w:sz="0" w:space="0" w:color="auto"/>
                                                    <w:right w:val="none" w:sz="0" w:space="0" w:color="auto"/>
                                                  </w:divBdr>
                                                  <w:divsChild>
                                                    <w:div w:id="778567900">
                                                      <w:marLeft w:val="0"/>
                                                      <w:marRight w:val="0"/>
                                                      <w:marTop w:val="0"/>
                                                      <w:marBottom w:val="0"/>
                                                      <w:divBdr>
                                                        <w:top w:val="none" w:sz="0" w:space="0" w:color="auto"/>
                                                        <w:left w:val="none" w:sz="0" w:space="0" w:color="auto"/>
                                                        <w:bottom w:val="none" w:sz="0" w:space="0" w:color="auto"/>
                                                        <w:right w:val="none" w:sz="0" w:space="0" w:color="auto"/>
                                                      </w:divBdr>
                                                      <w:divsChild>
                                                        <w:div w:id="44689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12152486">
      <w:bodyDiv w:val="1"/>
      <w:marLeft w:val="0"/>
      <w:marRight w:val="0"/>
      <w:marTop w:val="0"/>
      <w:marBottom w:val="0"/>
      <w:divBdr>
        <w:top w:val="none" w:sz="0" w:space="0" w:color="auto"/>
        <w:left w:val="none" w:sz="0" w:space="0" w:color="auto"/>
        <w:bottom w:val="none" w:sz="0" w:space="0" w:color="auto"/>
        <w:right w:val="none" w:sz="0" w:space="0" w:color="auto"/>
      </w:divBdr>
    </w:div>
    <w:div w:id="1762294020">
      <w:bodyDiv w:val="1"/>
      <w:marLeft w:val="0"/>
      <w:marRight w:val="0"/>
      <w:marTop w:val="0"/>
      <w:marBottom w:val="0"/>
      <w:divBdr>
        <w:top w:val="none" w:sz="0" w:space="0" w:color="auto"/>
        <w:left w:val="none" w:sz="0" w:space="0" w:color="auto"/>
        <w:bottom w:val="none" w:sz="0" w:space="0" w:color="auto"/>
        <w:right w:val="none" w:sz="0" w:space="0" w:color="auto"/>
      </w:divBdr>
    </w:div>
    <w:div w:id="1774469487">
      <w:bodyDiv w:val="1"/>
      <w:marLeft w:val="0"/>
      <w:marRight w:val="0"/>
      <w:marTop w:val="0"/>
      <w:marBottom w:val="0"/>
      <w:divBdr>
        <w:top w:val="none" w:sz="0" w:space="0" w:color="auto"/>
        <w:left w:val="none" w:sz="0" w:space="0" w:color="auto"/>
        <w:bottom w:val="none" w:sz="0" w:space="0" w:color="auto"/>
        <w:right w:val="none" w:sz="0" w:space="0" w:color="auto"/>
      </w:divBdr>
    </w:div>
    <w:div w:id="1843357025">
      <w:bodyDiv w:val="1"/>
      <w:marLeft w:val="0"/>
      <w:marRight w:val="0"/>
      <w:marTop w:val="0"/>
      <w:marBottom w:val="0"/>
      <w:divBdr>
        <w:top w:val="none" w:sz="0" w:space="0" w:color="auto"/>
        <w:left w:val="none" w:sz="0" w:space="0" w:color="auto"/>
        <w:bottom w:val="none" w:sz="0" w:space="0" w:color="auto"/>
        <w:right w:val="none" w:sz="0" w:space="0" w:color="auto"/>
      </w:divBdr>
    </w:div>
    <w:div w:id="1855028202">
      <w:bodyDiv w:val="1"/>
      <w:marLeft w:val="0"/>
      <w:marRight w:val="0"/>
      <w:marTop w:val="0"/>
      <w:marBottom w:val="0"/>
      <w:divBdr>
        <w:top w:val="none" w:sz="0" w:space="0" w:color="auto"/>
        <w:left w:val="none" w:sz="0" w:space="0" w:color="auto"/>
        <w:bottom w:val="none" w:sz="0" w:space="0" w:color="auto"/>
        <w:right w:val="none" w:sz="0" w:space="0" w:color="auto"/>
      </w:divBdr>
    </w:div>
    <w:div w:id="1872298025">
      <w:bodyDiv w:val="1"/>
      <w:marLeft w:val="0"/>
      <w:marRight w:val="0"/>
      <w:marTop w:val="0"/>
      <w:marBottom w:val="0"/>
      <w:divBdr>
        <w:top w:val="none" w:sz="0" w:space="0" w:color="auto"/>
        <w:left w:val="none" w:sz="0" w:space="0" w:color="auto"/>
        <w:bottom w:val="none" w:sz="0" w:space="0" w:color="auto"/>
        <w:right w:val="none" w:sz="0" w:space="0" w:color="auto"/>
      </w:divBdr>
    </w:div>
    <w:div w:id="1887596075">
      <w:bodyDiv w:val="1"/>
      <w:marLeft w:val="0"/>
      <w:marRight w:val="0"/>
      <w:marTop w:val="0"/>
      <w:marBottom w:val="0"/>
      <w:divBdr>
        <w:top w:val="none" w:sz="0" w:space="0" w:color="auto"/>
        <w:left w:val="none" w:sz="0" w:space="0" w:color="auto"/>
        <w:bottom w:val="none" w:sz="0" w:space="0" w:color="auto"/>
        <w:right w:val="none" w:sz="0" w:space="0" w:color="auto"/>
      </w:divBdr>
    </w:div>
    <w:div w:id="1893346065">
      <w:bodyDiv w:val="1"/>
      <w:marLeft w:val="0"/>
      <w:marRight w:val="0"/>
      <w:marTop w:val="0"/>
      <w:marBottom w:val="0"/>
      <w:divBdr>
        <w:top w:val="none" w:sz="0" w:space="0" w:color="auto"/>
        <w:left w:val="none" w:sz="0" w:space="0" w:color="auto"/>
        <w:bottom w:val="none" w:sz="0" w:space="0" w:color="auto"/>
        <w:right w:val="none" w:sz="0" w:space="0" w:color="auto"/>
      </w:divBdr>
    </w:div>
    <w:div w:id="1900169634">
      <w:bodyDiv w:val="1"/>
      <w:marLeft w:val="0"/>
      <w:marRight w:val="0"/>
      <w:marTop w:val="0"/>
      <w:marBottom w:val="0"/>
      <w:divBdr>
        <w:top w:val="none" w:sz="0" w:space="0" w:color="auto"/>
        <w:left w:val="none" w:sz="0" w:space="0" w:color="auto"/>
        <w:bottom w:val="none" w:sz="0" w:space="0" w:color="auto"/>
        <w:right w:val="none" w:sz="0" w:space="0" w:color="auto"/>
      </w:divBdr>
    </w:div>
    <w:div w:id="1932931761">
      <w:bodyDiv w:val="1"/>
      <w:marLeft w:val="0"/>
      <w:marRight w:val="0"/>
      <w:marTop w:val="0"/>
      <w:marBottom w:val="0"/>
      <w:divBdr>
        <w:top w:val="none" w:sz="0" w:space="0" w:color="auto"/>
        <w:left w:val="none" w:sz="0" w:space="0" w:color="auto"/>
        <w:bottom w:val="none" w:sz="0" w:space="0" w:color="auto"/>
        <w:right w:val="none" w:sz="0" w:space="0" w:color="auto"/>
      </w:divBdr>
    </w:div>
    <w:div w:id="1951013115">
      <w:bodyDiv w:val="1"/>
      <w:marLeft w:val="0"/>
      <w:marRight w:val="0"/>
      <w:marTop w:val="0"/>
      <w:marBottom w:val="0"/>
      <w:divBdr>
        <w:top w:val="none" w:sz="0" w:space="0" w:color="auto"/>
        <w:left w:val="none" w:sz="0" w:space="0" w:color="auto"/>
        <w:bottom w:val="none" w:sz="0" w:space="0" w:color="auto"/>
        <w:right w:val="none" w:sz="0" w:space="0" w:color="auto"/>
      </w:divBdr>
    </w:div>
    <w:div w:id="1986229761">
      <w:bodyDiv w:val="1"/>
      <w:marLeft w:val="0"/>
      <w:marRight w:val="0"/>
      <w:marTop w:val="0"/>
      <w:marBottom w:val="0"/>
      <w:divBdr>
        <w:top w:val="none" w:sz="0" w:space="0" w:color="auto"/>
        <w:left w:val="none" w:sz="0" w:space="0" w:color="auto"/>
        <w:bottom w:val="none" w:sz="0" w:space="0" w:color="auto"/>
        <w:right w:val="none" w:sz="0" w:space="0" w:color="auto"/>
      </w:divBdr>
    </w:div>
    <w:div w:id="1997679697">
      <w:bodyDiv w:val="1"/>
      <w:marLeft w:val="0"/>
      <w:marRight w:val="0"/>
      <w:marTop w:val="0"/>
      <w:marBottom w:val="0"/>
      <w:divBdr>
        <w:top w:val="none" w:sz="0" w:space="0" w:color="auto"/>
        <w:left w:val="none" w:sz="0" w:space="0" w:color="auto"/>
        <w:bottom w:val="none" w:sz="0" w:space="0" w:color="auto"/>
        <w:right w:val="none" w:sz="0" w:space="0" w:color="auto"/>
      </w:divBdr>
    </w:div>
    <w:div w:id="1997957374">
      <w:bodyDiv w:val="1"/>
      <w:marLeft w:val="0"/>
      <w:marRight w:val="0"/>
      <w:marTop w:val="0"/>
      <w:marBottom w:val="0"/>
      <w:divBdr>
        <w:top w:val="none" w:sz="0" w:space="0" w:color="auto"/>
        <w:left w:val="none" w:sz="0" w:space="0" w:color="auto"/>
        <w:bottom w:val="none" w:sz="0" w:space="0" w:color="auto"/>
        <w:right w:val="none" w:sz="0" w:space="0" w:color="auto"/>
      </w:divBdr>
    </w:div>
    <w:div w:id="1999377052">
      <w:bodyDiv w:val="1"/>
      <w:marLeft w:val="0"/>
      <w:marRight w:val="0"/>
      <w:marTop w:val="0"/>
      <w:marBottom w:val="0"/>
      <w:divBdr>
        <w:top w:val="none" w:sz="0" w:space="0" w:color="auto"/>
        <w:left w:val="none" w:sz="0" w:space="0" w:color="auto"/>
        <w:bottom w:val="none" w:sz="0" w:space="0" w:color="auto"/>
        <w:right w:val="none" w:sz="0" w:space="0" w:color="auto"/>
      </w:divBdr>
    </w:div>
    <w:div w:id="2050107888">
      <w:bodyDiv w:val="1"/>
      <w:marLeft w:val="0"/>
      <w:marRight w:val="0"/>
      <w:marTop w:val="0"/>
      <w:marBottom w:val="0"/>
      <w:divBdr>
        <w:top w:val="none" w:sz="0" w:space="0" w:color="auto"/>
        <w:left w:val="none" w:sz="0" w:space="0" w:color="auto"/>
        <w:bottom w:val="none" w:sz="0" w:space="0" w:color="auto"/>
        <w:right w:val="none" w:sz="0" w:space="0" w:color="auto"/>
      </w:divBdr>
    </w:div>
    <w:div w:id="212726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26" Type="http://schemas.openxmlformats.org/officeDocument/2006/relationships/hyperlink" Target="https://www.frc.org.uk/auditorsresponsibilities" TargetMode="External"/><Relationship Id="rId3" Type="http://schemas.openxmlformats.org/officeDocument/2006/relationships/styles" Target="styles.xml"/><Relationship Id="rId34" Type="http://schemas.microsoft.com/office/2016/09/relationships/commentsIds" Target="commentsId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customXml" Target="ink/ink1.xml"/><Relationship Id="rId25" Type="http://schemas.openxmlformats.org/officeDocument/2006/relationships/image" Target="media/image8.emf"/><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image" Target="media/image4.png"/><Relationship Id="rId29" Type="http://schemas.openxmlformats.org/officeDocument/2006/relationships/hyperlink" Target="http://www.euroclear.com/site/public/EU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ckwoodstrategic.co.uk"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8" Type="http://schemas.openxmlformats.org/officeDocument/2006/relationships/image" Target="media/image6.png"/><Relationship Id="rId10" Type="http://schemas.openxmlformats.org/officeDocument/2006/relationships/image" Target="media/image1.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7" Type="http://schemas.openxmlformats.org/officeDocument/2006/relationships/image" Target="media/image5.png"/><Relationship Id="rId30" Type="http://schemas.openxmlformats.org/officeDocument/2006/relationships/hyperlink" Target="https://www.rockwoodstrategic.co.uk/"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8-05-23T14:28:06.475"/>
    </inkml:context>
    <inkml:brush xml:id="br0">
      <inkml:brushProperty name="width" value="0.05" units="cm"/>
      <inkml:brushProperty name="height" value="0.05" units="cm"/>
    </inkml:brush>
  </inkml:definitions>
  <inkml:trace contextRef="#ctx0" brushRef="#br0">1 16 8960,'1'-1'234,"1"0"101,0 0 167,1 0 362,0-1 138,0 1-442,-2 0-371,0 0-34,0 1-38,-1-1-43,1 1-49,0-1-37,0 1-38,-1-1-42,1 1-44,0-1-48,0 0-51,-1 1-52,1-1-255,0 1 107,0 0 98,0-1 84,0 1 48,1 0 88,0 1 64,1-1 86,0 1 33,-1 0-59,-1-1-52,1 1-67,-1-1-46,0 1-72,0-1-82,0 1-94,0 0 60,1 1-34,0 0-40,0 0-50,1 3-385,3 4-572</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860D1-7E47-482C-BD53-41AFCAB90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59</Pages>
  <Words>25045</Words>
  <Characters>142759</Characters>
  <Application>Microsoft Office Word</Application>
  <DocSecurity>0</DocSecurity>
  <Lines>1189</Lines>
  <Paragraphs>334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Young</dc:creator>
  <cp:keywords/>
  <dc:description/>
  <cp:lastModifiedBy>Thomas Verlander</cp:lastModifiedBy>
  <cp:revision>3</cp:revision>
  <cp:lastPrinted>2021-05-11T08:21:00Z</cp:lastPrinted>
  <dcterms:created xsi:type="dcterms:W3CDTF">2022-06-30T15:09:00Z</dcterms:created>
  <dcterms:modified xsi:type="dcterms:W3CDTF">2022-07-08T10:45:00Z</dcterms:modified>
</cp:coreProperties>
</file>