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4216A" w14:textId="77777777" w:rsidR="008B4E5A" w:rsidRDefault="008B4E5A" w:rsidP="00265D7D">
      <w:pPr>
        <w:ind w:left="-1276"/>
        <w:rPr>
          <w:rFonts w:ascii="Arial" w:hAnsi="Arial" w:cs="Arial"/>
          <w:b/>
        </w:rPr>
      </w:pPr>
    </w:p>
    <w:p w14:paraId="7DB120D3" w14:textId="4A4394A9" w:rsidR="00780E30" w:rsidRPr="00A74717" w:rsidRDefault="0003656C" w:rsidP="00940C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Maven Income and Growth VCT</w:t>
      </w:r>
      <w:r w:rsidR="00337CDD">
        <w:rPr>
          <w:rFonts w:ascii="Arial" w:hAnsi="Arial" w:cs="Arial"/>
          <w:b/>
        </w:rPr>
        <w:t xml:space="preserve"> </w:t>
      </w:r>
      <w:r w:rsidR="00AD41B8">
        <w:rPr>
          <w:rFonts w:ascii="Arial" w:hAnsi="Arial" w:cs="Arial"/>
          <w:b/>
        </w:rPr>
        <w:t>PL</w:t>
      </w:r>
      <w:r w:rsidR="00780E30" w:rsidRPr="00A74717">
        <w:rPr>
          <w:rFonts w:ascii="Arial" w:hAnsi="Arial" w:cs="Arial"/>
          <w:b/>
        </w:rPr>
        <w:t>C</w:t>
      </w:r>
      <w:r w:rsidR="006963F9" w:rsidRPr="00A74717">
        <w:rPr>
          <w:rFonts w:ascii="Arial" w:hAnsi="Arial" w:cs="Arial"/>
          <w:b/>
        </w:rPr>
        <w:t xml:space="preserve"> (the Company)</w:t>
      </w:r>
    </w:p>
    <w:p w14:paraId="0F45350B" w14:textId="77777777" w:rsidR="00780E30" w:rsidRPr="00A74717" w:rsidRDefault="00780E30" w:rsidP="00940CD7">
      <w:pPr>
        <w:jc w:val="center"/>
        <w:rPr>
          <w:rFonts w:ascii="Arial" w:hAnsi="Arial" w:cs="Arial"/>
        </w:rPr>
      </w:pPr>
    </w:p>
    <w:p w14:paraId="6D109A2B" w14:textId="13BBB4E0" w:rsidR="00EE4069" w:rsidRPr="00A74717" w:rsidRDefault="00EE4069" w:rsidP="00940CD7">
      <w:pPr>
        <w:pStyle w:val="Title"/>
        <w:jc w:val="left"/>
        <w:rPr>
          <w:rFonts w:cs="Arial"/>
          <w:sz w:val="20"/>
        </w:rPr>
      </w:pPr>
      <w:r w:rsidRPr="00A74717">
        <w:rPr>
          <w:rFonts w:cs="Arial"/>
          <w:sz w:val="20"/>
        </w:rPr>
        <w:t>Result of General Meeting</w:t>
      </w:r>
      <w:r w:rsidR="005F29A2">
        <w:rPr>
          <w:rFonts w:cs="Arial"/>
          <w:sz w:val="20"/>
        </w:rPr>
        <w:t xml:space="preserve"> – </w:t>
      </w:r>
      <w:r w:rsidR="004B14BF">
        <w:rPr>
          <w:rFonts w:cs="Arial"/>
          <w:sz w:val="20"/>
        </w:rPr>
        <w:t>14 November 2024</w:t>
      </w:r>
      <w:r w:rsidR="00827EC5">
        <w:rPr>
          <w:rFonts w:cs="Arial"/>
          <w:sz w:val="20"/>
        </w:rPr>
        <w:t xml:space="preserve"> </w:t>
      </w:r>
    </w:p>
    <w:p w14:paraId="30F76626" w14:textId="133E3F2B" w:rsidR="006C465C" w:rsidRPr="006C465C" w:rsidRDefault="006C465C" w:rsidP="00940CD7">
      <w:pPr>
        <w:pStyle w:val="dq"/>
        <w:rPr>
          <w:rFonts w:ascii="Arial" w:hAnsi="Arial" w:cs="Arial"/>
          <w:color w:val="000000"/>
          <w:sz w:val="20"/>
          <w:szCs w:val="20"/>
        </w:rPr>
      </w:pPr>
      <w:r w:rsidRPr="006C465C">
        <w:rPr>
          <w:rFonts w:ascii="Arial" w:hAnsi="Arial" w:cs="Arial"/>
          <w:color w:val="000000"/>
          <w:sz w:val="20"/>
          <w:szCs w:val="20"/>
        </w:rPr>
        <w:t xml:space="preserve">This </w:t>
      </w:r>
      <w:r w:rsidR="005F29A2">
        <w:rPr>
          <w:rFonts w:ascii="Arial" w:hAnsi="Arial" w:cs="Arial"/>
          <w:color w:val="000000"/>
          <w:sz w:val="20"/>
          <w:szCs w:val="20"/>
        </w:rPr>
        <w:t>A</w:t>
      </w:r>
      <w:r w:rsidRPr="006C465C">
        <w:rPr>
          <w:rFonts w:ascii="Arial" w:hAnsi="Arial" w:cs="Arial"/>
          <w:color w:val="000000"/>
          <w:sz w:val="20"/>
          <w:szCs w:val="20"/>
        </w:rPr>
        <w:t xml:space="preserve">nnouncement is made by the Company in connection with </w:t>
      </w:r>
      <w:r w:rsidR="00D719BC" w:rsidRPr="00D719BC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6C465C">
        <w:rPr>
          <w:rFonts w:ascii="Arial" w:hAnsi="Arial" w:cs="Arial"/>
          <w:color w:val="000000"/>
          <w:sz w:val="20"/>
          <w:szCs w:val="20"/>
        </w:rPr>
        <w:t xml:space="preserve">offer </w:t>
      </w:r>
      <w:r w:rsidR="00706737">
        <w:rPr>
          <w:rFonts w:ascii="Arial" w:hAnsi="Arial" w:cs="Arial"/>
          <w:color w:val="000000"/>
          <w:sz w:val="20"/>
          <w:szCs w:val="20"/>
        </w:rPr>
        <w:t>for subscription (Offer</w:t>
      </w:r>
      <w:r w:rsidRPr="006C465C">
        <w:rPr>
          <w:rFonts w:ascii="Arial" w:hAnsi="Arial" w:cs="Arial"/>
          <w:color w:val="000000"/>
          <w:sz w:val="20"/>
          <w:szCs w:val="20"/>
        </w:rPr>
        <w:t xml:space="preserve">) of new ordinary shares of 10p each </w:t>
      </w:r>
      <w:r w:rsidR="00706737">
        <w:rPr>
          <w:rFonts w:ascii="Arial" w:hAnsi="Arial" w:cs="Arial"/>
          <w:color w:val="000000"/>
          <w:sz w:val="20"/>
          <w:szCs w:val="20"/>
        </w:rPr>
        <w:t>in the capital of the Company (New Shares</w:t>
      </w:r>
      <w:r w:rsidRPr="006C465C">
        <w:rPr>
          <w:rFonts w:ascii="Arial" w:hAnsi="Arial" w:cs="Arial"/>
          <w:color w:val="000000"/>
          <w:sz w:val="20"/>
          <w:szCs w:val="20"/>
        </w:rPr>
        <w:t>)</w:t>
      </w:r>
      <w:r w:rsidR="00BE35DD">
        <w:rPr>
          <w:rFonts w:ascii="Arial" w:hAnsi="Arial" w:cs="Arial"/>
          <w:color w:val="000000"/>
          <w:sz w:val="20"/>
          <w:szCs w:val="20"/>
        </w:rPr>
        <w:t>.</w:t>
      </w:r>
    </w:p>
    <w:p w14:paraId="1E168378" w14:textId="1BE9CC76" w:rsidR="006C465C" w:rsidRPr="006C465C" w:rsidRDefault="006C465C" w:rsidP="00940CD7">
      <w:pPr>
        <w:pStyle w:val="dr"/>
        <w:rPr>
          <w:rFonts w:ascii="Arial" w:hAnsi="Arial" w:cs="Arial"/>
          <w:color w:val="000000"/>
          <w:sz w:val="20"/>
          <w:szCs w:val="20"/>
        </w:rPr>
      </w:pPr>
      <w:r w:rsidRPr="006C465C">
        <w:rPr>
          <w:rFonts w:ascii="Arial" w:hAnsi="Arial" w:cs="Arial"/>
          <w:color w:val="000000"/>
          <w:sz w:val="20"/>
          <w:szCs w:val="20"/>
        </w:rPr>
        <w:t>The Board is pleased to announce that</w:t>
      </w:r>
      <w:r w:rsidR="008A1BBB">
        <w:rPr>
          <w:rFonts w:ascii="Arial" w:hAnsi="Arial" w:cs="Arial"/>
          <w:color w:val="000000"/>
          <w:sz w:val="20"/>
          <w:szCs w:val="20"/>
        </w:rPr>
        <w:t>,</w:t>
      </w:r>
      <w:r w:rsidRPr="006C465C">
        <w:rPr>
          <w:rFonts w:ascii="Arial" w:hAnsi="Arial" w:cs="Arial"/>
          <w:color w:val="000000"/>
          <w:sz w:val="20"/>
          <w:szCs w:val="20"/>
        </w:rPr>
        <w:t xml:space="preserve"> at the </w:t>
      </w:r>
      <w:r w:rsidR="005F29A2">
        <w:rPr>
          <w:rFonts w:ascii="Arial" w:hAnsi="Arial" w:cs="Arial"/>
          <w:color w:val="000000"/>
          <w:sz w:val="20"/>
          <w:szCs w:val="20"/>
        </w:rPr>
        <w:t>G</w:t>
      </w:r>
      <w:r w:rsidRPr="006C465C">
        <w:rPr>
          <w:rFonts w:ascii="Arial" w:hAnsi="Arial" w:cs="Arial"/>
          <w:color w:val="000000"/>
          <w:sz w:val="20"/>
          <w:szCs w:val="20"/>
        </w:rPr>
        <w:t xml:space="preserve">eneral </w:t>
      </w:r>
      <w:r w:rsidR="005F29A2">
        <w:rPr>
          <w:rFonts w:ascii="Arial" w:hAnsi="Arial" w:cs="Arial"/>
          <w:color w:val="000000"/>
          <w:sz w:val="20"/>
          <w:szCs w:val="20"/>
        </w:rPr>
        <w:t>M</w:t>
      </w:r>
      <w:r w:rsidRPr="006C465C">
        <w:rPr>
          <w:rFonts w:ascii="Arial" w:hAnsi="Arial" w:cs="Arial"/>
          <w:color w:val="000000"/>
          <w:sz w:val="20"/>
          <w:szCs w:val="20"/>
        </w:rPr>
        <w:t xml:space="preserve">eeting of the Company held on </w:t>
      </w:r>
      <w:r w:rsidR="004B14BF">
        <w:rPr>
          <w:rFonts w:ascii="Arial" w:hAnsi="Arial" w:cs="Arial"/>
          <w:color w:val="000000"/>
          <w:sz w:val="20"/>
          <w:szCs w:val="20"/>
        </w:rPr>
        <w:t xml:space="preserve">14 November </w:t>
      </w:r>
      <w:r w:rsidR="00304793">
        <w:rPr>
          <w:rFonts w:ascii="Arial" w:hAnsi="Arial" w:cs="Arial"/>
          <w:color w:val="000000"/>
          <w:sz w:val="20"/>
          <w:szCs w:val="20"/>
        </w:rPr>
        <w:t xml:space="preserve">2024, </w:t>
      </w:r>
      <w:r w:rsidR="00304793" w:rsidRPr="006C465C">
        <w:rPr>
          <w:rFonts w:ascii="Arial" w:hAnsi="Arial" w:cs="Arial"/>
          <w:color w:val="000000"/>
          <w:sz w:val="20"/>
          <w:szCs w:val="20"/>
        </w:rPr>
        <w:t>the</w:t>
      </w:r>
      <w:r w:rsidRPr="006C465C">
        <w:rPr>
          <w:rFonts w:ascii="Arial" w:hAnsi="Arial" w:cs="Arial"/>
          <w:color w:val="000000"/>
          <w:sz w:val="20"/>
          <w:szCs w:val="20"/>
        </w:rPr>
        <w:t xml:space="preserve"> resolutions proposed, as set out in the</w:t>
      </w:r>
      <w:r w:rsidR="00313375">
        <w:rPr>
          <w:rFonts w:ascii="Arial" w:hAnsi="Arial" w:cs="Arial"/>
          <w:color w:val="000000"/>
          <w:sz w:val="20"/>
          <w:szCs w:val="20"/>
        </w:rPr>
        <w:t xml:space="preserve"> </w:t>
      </w:r>
      <w:r w:rsidR="00827EC5">
        <w:rPr>
          <w:rFonts w:ascii="Arial" w:hAnsi="Arial" w:cs="Arial"/>
          <w:color w:val="000000"/>
          <w:sz w:val="20"/>
          <w:szCs w:val="20"/>
        </w:rPr>
        <w:t>Notice of General Meeting in the</w:t>
      </w:r>
      <w:r w:rsidRPr="006C465C">
        <w:rPr>
          <w:rFonts w:ascii="Arial" w:hAnsi="Arial" w:cs="Arial"/>
          <w:color w:val="000000"/>
          <w:sz w:val="20"/>
          <w:szCs w:val="20"/>
        </w:rPr>
        <w:t xml:space="preserve"> </w:t>
      </w:r>
      <w:r w:rsidR="005F29A2">
        <w:rPr>
          <w:rFonts w:ascii="Arial" w:hAnsi="Arial" w:cs="Arial"/>
          <w:color w:val="000000"/>
          <w:sz w:val="20"/>
          <w:szCs w:val="20"/>
        </w:rPr>
        <w:t>C</w:t>
      </w:r>
      <w:r w:rsidR="00F02175">
        <w:rPr>
          <w:rFonts w:ascii="Arial" w:hAnsi="Arial" w:cs="Arial"/>
          <w:color w:val="000000"/>
          <w:sz w:val="20"/>
          <w:szCs w:val="20"/>
        </w:rPr>
        <w:t xml:space="preserve">ircular to </w:t>
      </w:r>
      <w:r w:rsidR="005F29A2">
        <w:rPr>
          <w:rFonts w:ascii="Arial" w:hAnsi="Arial" w:cs="Arial"/>
          <w:color w:val="000000"/>
          <w:sz w:val="20"/>
          <w:szCs w:val="20"/>
        </w:rPr>
        <w:t>S</w:t>
      </w:r>
      <w:r w:rsidR="00F02175">
        <w:rPr>
          <w:rFonts w:ascii="Arial" w:hAnsi="Arial" w:cs="Arial"/>
          <w:color w:val="000000"/>
          <w:sz w:val="20"/>
          <w:szCs w:val="20"/>
        </w:rPr>
        <w:t>hareholders dated</w:t>
      </w:r>
      <w:r w:rsidRPr="006C465C">
        <w:rPr>
          <w:rFonts w:ascii="Arial" w:hAnsi="Arial" w:cs="Arial"/>
          <w:color w:val="000000"/>
          <w:sz w:val="20"/>
          <w:szCs w:val="20"/>
        </w:rPr>
        <w:t xml:space="preserve"> </w:t>
      </w:r>
      <w:r w:rsidR="004B14BF">
        <w:rPr>
          <w:rFonts w:ascii="Arial" w:hAnsi="Arial" w:cs="Arial"/>
          <w:color w:val="000000"/>
          <w:sz w:val="20"/>
          <w:szCs w:val="20"/>
        </w:rPr>
        <w:t>27 September 2024</w:t>
      </w:r>
      <w:r w:rsidRPr="006C465C">
        <w:rPr>
          <w:rFonts w:ascii="Arial" w:hAnsi="Arial" w:cs="Arial"/>
          <w:color w:val="000000"/>
          <w:sz w:val="20"/>
          <w:szCs w:val="20"/>
        </w:rPr>
        <w:t xml:space="preserve">, </w:t>
      </w:r>
      <w:r w:rsidR="006104EA" w:rsidRPr="006C465C">
        <w:rPr>
          <w:rFonts w:ascii="Arial" w:hAnsi="Arial" w:cs="Arial"/>
          <w:color w:val="000000"/>
          <w:sz w:val="20"/>
          <w:szCs w:val="20"/>
        </w:rPr>
        <w:t>were duly passed as follows</w:t>
      </w:r>
      <w:r w:rsidRPr="006C465C">
        <w:rPr>
          <w:rFonts w:ascii="Arial" w:hAnsi="Arial" w:cs="Arial"/>
          <w:color w:val="000000"/>
          <w:sz w:val="20"/>
          <w:szCs w:val="20"/>
        </w:rPr>
        <w:t>:</w:t>
      </w:r>
    </w:p>
    <w:p w14:paraId="60BE46E4" w14:textId="5D81CDBC" w:rsidR="00C92038" w:rsidRDefault="006C465C" w:rsidP="00940CD7">
      <w:pPr>
        <w:pStyle w:val="ds"/>
        <w:rPr>
          <w:rFonts w:ascii="Arial" w:hAnsi="Arial" w:cs="Arial"/>
          <w:color w:val="000000"/>
          <w:sz w:val="20"/>
          <w:szCs w:val="20"/>
        </w:rPr>
      </w:pPr>
      <w:r w:rsidRPr="006C465C">
        <w:rPr>
          <w:rFonts w:ascii="Arial" w:hAnsi="Arial" w:cs="Arial"/>
          <w:color w:val="000000"/>
          <w:sz w:val="20"/>
          <w:szCs w:val="20"/>
        </w:rPr>
        <w:t xml:space="preserve">Resolution 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6C465C">
        <w:rPr>
          <w:rFonts w:ascii="Arial" w:hAnsi="Arial" w:cs="Arial"/>
          <w:color w:val="000000"/>
          <w:sz w:val="20"/>
          <w:szCs w:val="20"/>
        </w:rPr>
        <w:t xml:space="preserve"> </w:t>
      </w:r>
      <w:r w:rsidR="00C92038">
        <w:rPr>
          <w:rFonts w:ascii="Arial" w:hAnsi="Arial" w:cs="Arial"/>
          <w:color w:val="000000"/>
          <w:sz w:val="20"/>
          <w:szCs w:val="20"/>
        </w:rPr>
        <w:t>–</w:t>
      </w:r>
      <w:r w:rsidRPr="006C465C">
        <w:rPr>
          <w:rFonts w:ascii="Arial" w:hAnsi="Arial" w:cs="Arial"/>
          <w:color w:val="000000"/>
          <w:sz w:val="20"/>
          <w:szCs w:val="20"/>
        </w:rPr>
        <w:t xml:space="preserve"> </w:t>
      </w:r>
      <w:r w:rsidR="00C92038" w:rsidRPr="006C465C">
        <w:rPr>
          <w:rFonts w:ascii="Arial" w:hAnsi="Arial" w:cs="Arial"/>
          <w:color w:val="000000"/>
          <w:sz w:val="20"/>
          <w:szCs w:val="20"/>
        </w:rPr>
        <w:t>to authorise th</w:t>
      </w:r>
      <w:r w:rsidR="00C92038">
        <w:rPr>
          <w:rFonts w:ascii="Arial" w:hAnsi="Arial" w:cs="Arial"/>
          <w:color w:val="000000"/>
          <w:sz w:val="20"/>
          <w:szCs w:val="20"/>
        </w:rPr>
        <w:t>e Directors to allot New Shares;</w:t>
      </w:r>
      <w:r w:rsidR="001A0605">
        <w:rPr>
          <w:rFonts w:ascii="Arial" w:hAnsi="Arial" w:cs="Arial"/>
          <w:color w:val="000000"/>
          <w:sz w:val="20"/>
          <w:szCs w:val="20"/>
        </w:rPr>
        <w:t xml:space="preserve"> </w:t>
      </w:r>
      <w:r w:rsidR="00FF1BC1">
        <w:rPr>
          <w:rFonts w:ascii="Arial" w:hAnsi="Arial" w:cs="Arial"/>
          <w:color w:val="000000"/>
          <w:sz w:val="20"/>
          <w:szCs w:val="20"/>
        </w:rPr>
        <w:t>and</w:t>
      </w:r>
    </w:p>
    <w:p w14:paraId="60A790AB" w14:textId="138A37BC" w:rsidR="00DD3218" w:rsidRDefault="00DD3218" w:rsidP="00337CDD">
      <w:pPr>
        <w:pStyle w:val="ds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Resolution 2 – </w:t>
      </w:r>
      <w:r w:rsidR="00DA0277">
        <w:rPr>
          <w:rFonts w:ascii="Arial" w:hAnsi="Arial" w:cs="Arial"/>
          <w:color w:val="000000"/>
          <w:sz w:val="20"/>
          <w:szCs w:val="20"/>
        </w:rPr>
        <w:t>to authorise the disapplication of pre-emption rights</w:t>
      </w:r>
      <w:r w:rsidR="00FF1BC1">
        <w:rPr>
          <w:rFonts w:ascii="Arial" w:hAnsi="Arial" w:cs="Arial"/>
          <w:color w:val="000000"/>
          <w:sz w:val="20"/>
          <w:szCs w:val="20"/>
        </w:rPr>
        <w:t>.</w:t>
      </w:r>
    </w:p>
    <w:p w14:paraId="15F1250C" w14:textId="35619C7F" w:rsidR="001A0605" w:rsidRPr="004219AC" w:rsidRDefault="005F29A2" w:rsidP="00940CD7">
      <w:pPr>
        <w:rPr>
          <w:rFonts w:ascii="Arial" w:hAnsi="Arial" w:cs="Arial"/>
        </w:rPr>
      </w:pPr>
      <w:r w:rsidRPr="00E154C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the </w:t>
      </w:r>
      <w:r w:rsidRPr="00B31F68">
        <w:rPr>
          <w:rFonts w:ascii="Arial" w:hAnsi="Arial" w:cs="Arial"/>
        </w:rPr>
        <w:t xml:space="preserve">record date for the General Meeting, being </w:t>
      </w:r>
      <w:r w:rsidR="004B14BF">
        <w:rPr>
          <w:rFonts w:ascii="Arial" w:hAnsi="Arial" w:cs="Arial"/>
        </w:rPr>
        <w:t>12 November 2024</w:t>
      </w:r>
      <w:r w:rsidRPr="00B31F68">
        <w:rPr>
          <w:rFonts w:ascii="Arial" w:hAnsi="Arial" w:cs="Arial"/>
        </w:rPr>
        <w:t>, the total number of voting</w:t>
      </w:r>
      <w:r w:rsidR="00D05428" w:rsidRPr="00B31F68">
        <w:rPr>
          <w:rFonts w:ascii="Arial" w:hAnsi="Arial" w:cs="Arial"/>
        </w:rPr>
        <w:t xml:space="preserve"> rights in the </w:t>
      </w:r>
      <w:r w:rsidR="00D05428" w:rsidRPr="0035773F">
        <w:rPr>
          <w:rFonts w:ascii="Arial" w:hAnsi="Arial" w:cs="Arial"/>
        </w:rPr>
        <w:t xml:space="preserve">Company stood </w:t>
      </w:r>
      <w:r w:rsidR="00D05428" w:rsidRPr="004219AC">
        <w:rPr>
          <w:rFonts w:ascii="Arial" w:hAnsi="Arial" w:cs="Arial"/>
        </w:rPr>
        <w:t xml:space="preserve">at </w:t>
      </w:r>
      <w:r w:rsidR="00C82D29" w:rsidRPr="004219AC">
        <w:rPr>
          <w:rFonts w:ascii="Arial" w:hAnsi="Arial" w:cs="Arial"/>
        </w:rPr>
        <w:t>159,169,681</w:t>
      </w:r>
      <w:r w:rsidR="00B74A01" w:rsidRPr="004219AC">
        <w:rPr>
          <w:rFonts w:ascii="Arial" w:hAnsi="Arial" w:cs="Arial"/>
        </w:rPr>
        <w:t xml:space="preserve"> </w:t>
      </w:r>
      <w:r w:rsidRPr="004219AC">
        <w:rPr>
          <w:rFonts w:ascii="Arial" w:hAnsi="Arial" w:cs="Arial"/>
        </w:rPr>
        <w:t xml:space="preserve">and the total number of </w:t>
      </w:r>
      <w:r w:rsidR="00000132" w:rsidRPr="004219AC">
        <w:rPr>
          <w:rFonts w:ascii="Arial" w:hAnsi="Arial" w:cs="Arial"/>
        </w:rPr>
        <w:t xml:space="preserve">ordinary </w:t>
      </w:r>
      <w:r w:rsidRPr="004219AC">
        <w:rPr>
          <w:rFonts w:ascii="Arial" w:hAnsi="Arial" w:cs="Arial"/>
        </w:rPr>
        <w:t xml:space="preserve">shares in issue </w:t>
      </w:r>
      <w:r w:rsidR="00000132" w:rsidRPr="004219AC">
        <w:rPr>
          <w:rFonts w:ascii="Arial" w:hAnsi="Arial" w:cs="Arial"/>
        </w:rPr>
        <w:t>was</w:t>
      </w:r>
      <w:r w:rsidR="00DA0277" w:rsidRPr="004219AC">
        <w:rPr>
          <w:rFonts w:ascii="Arial" w:hAnsi="Arial" w:cs="Arial"/>
        </w:rPr>
        <w:t xml:space="preserve"> </w:t>
      </w:r>
      <w:r w:rsidR="00C82D29" w:rsidRPr="004219AC">
        <w:rPr>
          <w:rFonts w:ascii="Arial" w:hAnsi="Arial" w:cs="Arial"/>
        </w:rPr>
        <w:t>159,169,681</w:t>
      </w:r>
      <w:r w:rsidRPr="004219AC">
        <w:rPr>
          <w:rFonts w:ascii="Arial" w:hAnsi="Arial" w:cs="Arial"/>
        </w:rPr>
        <w:t xml:space="preserve">. </w:t>
      </w:r>
    </w:p>
    <w:p w14:paraId="6F3D441C" w14:textId="77777777" w:rsidR="001A0605" w:rsidRPr="00B31F68" w:rsidRDefault="001A0605" w:rsidP="00940CD7">
      <w:pPr>
        <w:rPr>
          <w:rFonts w:ascii="Arial" w:hAnsi="Arial" w:cs="Arial"/>
        </w:rPr>
      </w:pPr>
    </w:p>
    <w:p w14:paraId="7798EBA3" w14:textId="56CD2A10" w:rsidR="005F29A2" w:rsidRPr="00C82D29" w:rsidRDefault="001A0605" w:rsidP="000E52F2">
      <w:pPr>
        <w:rPr>
          <w:rFonts w:ascii="Arial" w:hAnsi="Arial" w:cs="Arial"/>
        </w:rPr>
      </w:pPr>
      <w:r w:rsidRPr="004219AC">
        <w:rPr>
          <w:rFonts w:ascii="Arial" w:hAnsi="Arial" w:cs="Arial"/>
        </w:rPr>
        <w:t>T</w:t>
      </w:r>
      <w:r w:rsidR="005F29A2" w:rsidRPr="004219AC">
        <w:rPr>
          <w:rFonts w:ascii="Arial" w:hAnsi="Arial" w:cs="Arial"/>
        </w:rPr>
        <w:t>he Company advises that</w:t>
      </w:r>
      <w:r w:rsidR="00000132" w:rsidRPr="004219AC">
        <w:rPr>
          <w:rFonts w:ascii="Arial" w:hAnsi="Arial" w:cs="Arial"/>
        </w:rPr>
        <w:t>,</w:t>
      </w:r>
      <w:r w:rsidR="005F29A2" w:rsidRPr="004219AC">
        <w:rPr>
          <w:rFonts w:ascii="Arial" w:hAnsi="Arial" w:cs="Arial"/>
        </w:rPr>
        <w:t xml:space="preserve"> for the General Meeting, valid proxy appointments were made in respect of</w:t>
      </w:r>
      <w:r w:rsidR="00A56706" w:rsidRPr="004219AC">
        <w:rPr>
          <w:rFonts w:ascii="Arial" w:hAnsi="Arial" w:cs="Arial"/>
        </w:rPr>
        <w:t xml:space="preserve"> </w:t>
      </w:r>
      <w:r w:rsidR="00E659DA" w:rsidRPr="004219AC">
        <w:rPr>
          <w:rFonts w:ascii="Arial" w:hAnsi="Arial" w:cs="Arial"/>
          <w:lang w:val="en-GB"/>
        </w:rPr>
        <w:t>5,343,161</w:t>
      </w:r>
      <w:r w:rsidR="00D35459" w:rsidRPr="004219AC">
        <w:rPr>
          <w:rFonts w:ascii="Arial" w:hAnsi="Arial" w:cs="Arial"/>
          <w:lang w:val="en-GB"/>
        </w:rPr>
        <w:t xml:space="preserve"> </w:t>
      </w:r>
      <w:r w:rsidR="00000132" w:rsidRPr="004219AC">
        <w:rPr>
          <w:rFonts w:ascii="Arial" w:hAnsi="Arial" w:cs="Arial"/>
        </w:rPr>
        <w:t xml:space="preserve">ordinary </w:t>
      </w:r>
      <w:r w:rsidR="005F29A2" w:rsidRPr="00FD24BD">
        <w:rPr>
          <w:rFonts w:ascii="Arial" w:hAnsi="Arial" w:cs="Arial"/>
        </w:rPr>
        <w:t>shares and that the</w:t>
      </w:r>
      <w:r w:rsidR="005F29A2" w:rsidRPr="00E154C2">
        <w:rPr>
          <w:rFonts w:ascii="Arial" w:hAnsi="Arial" w:cs="Arial"/>
        </w:rPr>
        <w:t xml:space="preserve"> number of proxy votes lodged for each Resolution were as follows:</w:t>
      </w:r>
    </w:p>
    <w:p w14:paraId="4094C1C7" w14:textId="77777777" w:rsidR="005F29A2" w:rsidRPr="006C465C" w:rsidRDefault="005F29A2" w:rsidP="00940CD7">
      <w:pPr>
        <w:ind w:right="-716"/>
        <w:rPr>
          <w:rFonts w:ascii="Arial" w:hAnsi="Arial" w:cs="Arial"/>
          <w:color w:val="000000"/>
        </w:rPr>
      </w:pPr>
    </w:p>
    <w:tbl>
      <w:tblPr>
        <w:tblStyle w:val="TableGrid"/>
        <w:tblW w:w="768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305"/>
        <w:gridCol w:w="1276"/>
        <w:gridCol w:w="1417"/>
        <w:gridCol w:w="1276"/>
        <w:gridCol w:w="1134"/>
        <w:gridCol w:w="1276"/>
      </w:tblGrid>
      <w:tr w:rsidR="003B56E7" w:rsidRPr="003B56E7" w14:paraId="1EA9A00A" w14:textId="77777777" w:rsidTr="00FD24BD">
        <w:tc>
          <w:tcPr>
            <w:tcW w:w="1305" w:type="dxa"/>
            <w:shd w:val="clear" w:color="auto" w:fill="CCFFFF"/>
          </w:tcPr>
          <w:p w14:paraId="25DAC8FC" w14:textId="77777777" w:rsidR="006C465C" w:rsidRPr="003B56E7" w:rsidRDefault="006C465C" w:rsidP="00940CD7">
            <w:pPr>
              <w:pStyle w:val="Noparagraphstyle"/>
              <w:suppressAutoHyphens/>
              <w:rPr>
                <w:rFonts w:ascii="Arial" w:hAnsi="Arial" w:cs="Arial"/>
                <w:b/>
                <w:color w:val="auto"/>
                <w:sz w:val="20"/>
              </w:rPr>
            </w:pPr>
            <w:r w:rsidRPr="003B56E7">
              <w:rPr>
                <w:rFonts w:ascii="Arial" w:hAnsi="Arial" w:cs="Arial"/>
                <w:b/>
                <w:color w:val="auto"/>
                <w:sz w:val="20"/>
              </w:rPr>
              <w:t>Resolution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FF"/>
          </w:tcPr>
          <w:p w14:paraId="555D2F48" w14:textId="77777777" w:rsidR="006C465C" w:rsidRPr="003B56E7" w:rsidRDefault="006C465C" w:rsidP="00940CD7">
            <w:pPr>
              <w:pStyle w:val="Noparagraphstyle"/>
              <w:suppressAutoHyphens/>
              <w:jc w:val="right"/>
              <w:rPr>
                <w:rFonts w:ascii="Arial" w:hAnsi="Arial" w:cs="Arial"/>
                <w:b/>
                <w:color w:val="auto"/>
                <w:sz w:val="20"/>
              </w:rPr>
            </w:pPr>
            <w:r w:rsidRPr="003B56E7">
              <w:rPr>
                <w:rFonts w:ascii="Arial" w:hAnsi="Arial" w:cs="Arial"/>
                <w:b/>
                <w:color w:val="auto"/>
                <w:sz w:val="20"/>
              </w:rPr>
              <w:t>For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</w:tcPr>
          <w:p w14:paraId="72EBBEC9" w14:textId="77777777" w:rsidR="006C465C" w:rsidRPr="003B56E7" w:rsidRDefault="006C465C" w:rsidP="00940CD7">
            <w:pPr>
              <w:pStyle w:val="Noparagraphstyle"/>
              <w:suppressAutoHyphens/>
              <w:jc w:val="right"/>
              <w:rPr>
                <w:rFonts w:ascii="Arial" w:hAnsi="Arial" w:cs="Arial"/>
                <w:b/>
                <w:color w:val="auto"/>
                <w:sz w:val="20"/>
              </w:rPr>
            </w:pPr>
            <w:r w:rsidRPr="003B56E7">
              <w:rPr>
                <w:rFonts w:ascii="Arial" w:hAnsi="Arial" w:cs="Arial"/>
                <w:b/>
                <w:color w:val="auto"/>
                <w:sz w:val="20"/>
              </w:rPr>
              <w:t>Discretion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FF"/>
          </w:tcPr>
          <w:p w14:paraId="590318DC" w14:textId="77777777" w:rsidR="006C465C" w:rsidRPr="003B56E7" w:rsidRDefault="006C465C" w:rsidP="00940CD7">
            <w:pPr>
              <w:pStyle w:val="Noparagraphstyle"/>
              <w:suppressAutoHyphens/>
              <w:jc w:val="right"/>
              <w:rPr>
                <w:rFonts w:ascii="Arial" w:hAnsi="Arial" w:cs="Arial"/>
                <w:b/>
                <w:color w:val="auto"/>
                <w:sz w:val="20"/>
              </w:rPr>
            </w:pPr>
            <w:r w:rsidRPr="003B56E7">
              <w:rPr>
                <w:rFonts w:ascii="Arial" w:hAnsi="Arial" w:cs="Arial"/>
                <w:b/>
                <w:color w:val="auto"/>
                <w:sz w:val="20"/>
              </w:rPr>
              <w:t>Against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FF"/>
          </w:tcPr>
          <w:p w14:paraId="66DD82DE" w14:textId="77777777" w:rsidR="006C465C" w:rsidRPr="003B56E7" w:rsidRDefault="006C465C" w:rsidP="00940CD7">
            <w:pPr>
              <w:pStyle w:val="Noparagraphstyle"/>
              <w:suppressAutoHyphens/>
              <w:jc w:val="right"/>
              <w:rPr>
                <w:rFonts w:ascii="Arial" w:hAnsi="Arial" w:cs="Arial"/>
                <w:b/>
                <w:color w:val="auto"/>
                <w:sz w:val="20"/>
              </w:rPr>
            </w:pPr>
            <w:r w:rsidRPr="003B56E7">
              <w:rPr>
                <w:rFonts w:ascii="Arial" w:hAnsi="Arial" w:cs="Arial"/>
                <w:b/>
                <w:color w:val="auto"/>
                <w:sz w:val="20"/>
              </w:rPr>
              <w:t>Withheld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FF"/>
          </w:tcPr>
          <w:p w14:paraId="5AF25B69" w14:textId="77777777" w:rsidR="006C465C" w:rsidRPr="003B56E7" w:rsidRDefault="006C465C" w:rsidP="00940CD7">
            <w:pPr>
              <w:pStyle w:val="Noparagraphstyle"/>
              <w:suppressAutoHyphens/>
              <w:jc w:val="right"/>
              <w:rPr>
                <w:rFonts w:ascii="Arial" w:hAnsi="Arial" w:cs="Arial"/>
                <w:b/>
                <w:color w:val="auto"/>
                <w:sz w:val="20"/>
              </w:rPr>
            </w:pPr>
            <w:r w:rsidRPr="003B56E7">
              <w:rPr>
                <w:rFonts w:ascii="Arial" w:hAnsi="Arial" w:cs="Arial"/>
                <w:b/>
                <w:color w:val="auto"/>
                <w:sz w:val="20"/>
              </w:rPr>
              <w:t>Total</w:t>
            </w:r>
          </w:p>
        </w:tc>
      </w:tr>
      <w:tr w:rsidR="00EA2F95" w:rsidRPr="00EA2F95" w14:paraId="3E5D9C65" w14:textId="77777777" w:rsidTr="00631BC4">
        <w:tc>
          <w:tcPr>
            <w:tcW w:w="1305" w:type="dxa"/>
          </w:tcPr>
          <w:p w14:paraId="6C6D71C0" w14:textId="77777777" w:rsidR="00EA2F95" w:rsidRPr="003B56E7" w:rsidRDefault="00EA2F95" w:rsidP="00EA2F95">
            <w:pPr>
              <w:pStyle w:val="Noparagraphstyle"/>
              <w:suppressAutoHyphens/>
              <w:rPr>
                <w:rFonts w:ascii="Arial" w:hAnsi="Arial" w:cs="Arial"/>
                <w:b/>
                <w:color w:val="auto"/>
                <w:sz w:val="20"/>
              </w:rPr>
            </w:pPr>
            <w:r w:rsidRPr="003B56E7">
              <w:rPr>
                <w:rFonts w:ascii="Arial" w:hAnsi="Arial" w:cs="Arial"/>
                <w:b/>
                <w:color w:val="auto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D5F3" w14:textId="5EC364E6" w:rsidR="00EA2F95" w:rsidRPr="004219AC" w:rsidRDefault="00E659DA" w:rsidP="00E659DA">
            <w:pPr>
              <w:jc w:val="right"/>
              <w:rPr>
                <w:rFonts w:ascii="Arial" w:hAnsi="Arial" w:cs="Arial"/>
                <w:lang w:val="en-GB"/>
              </w:rPr>
            </w:pPr>
            <w:r w:rsidRPr="004219AC">
              <w:rPr>
                <w:rFonts w:ascii="Arial" w:hAnsi="Arial" w:cs="Arial"/>
              </w:rPr>
              <w:t>5,074,356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A736" w14:textId="09168F12" w:rsidR="00EA2F95" w:rsidRPr="004219AC" w:rsidRDefault="00EA2F95" w:rsidP="00E659DA">
            <w:pPr>
              <w:pStyle w:val="Noparagraphstyle"/>
              <w:suppressAutoHyphens/>
              <w:spacing w:line="240" w:lineRule="auto"/>
              <w:jc w:val="right"/>
              <w:rPr>
                <w:rFonts w:ascii="Arial" w:hAnsi="Arial" w:cs="Arial"/>
                <w:bCs/>
                <w:color w:val="auto"/>
                <w:sz w:val="20"/>
              </w:rPr>
            </w:pPr>
            <w:r w:rsidRPr="004219AC">
              <w:rPr>
                <w:rFonts w:ascii="Arial" w:hAnsi="Arial" w:cs="Arial"/>
                <w:bCs/>
                <w:color w:val="auto"/>
                <w:sz w:val="20"/>
              </w:rPr>
              <w:t xml:space="preserve"> 140,176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BDF2" w14:textId="0902BCED" w:rsidR="00EA2F95" w:rsidRPr="004219AC" w:rsidRDefault="00E659DA" w:rsidP="00E659DA">
            <w:pPr>
              <w:jc w:val="right"/>
              <w:rPr>
                <w:rFonts w:ascii="Arial" w:hAnsi="Arial" w:cs="Arial"/>
                <w:lang w:val="en-GB"/>
              </w:rPr>
            </w:pPr>
            <w:r w:rsidRPr="004219AC">
              <w:rPr>
                <w:rFonts w:ascii="Arial" w:hAnsi="Arial" w:cs="Arial"/>
              </w:rPr>
              <w:t>128,629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EC5E" w14:textId="2D6DDD0C" w:rsidR="00EA2F95" w:rsidRPr="004219AC" w:rsidRDefault="00764CF5" w:rsidP="00E659DA">
            <w:pPr>
              <w:pStyle w:val="Noparagraphstyle"/>
              <w:suppressAutoHyphens/>
              <w:spacing w:line="240" w:lineRule="auto"/>
              <w:jc w:val="right"/>
              <w:rPr>
                <w:rFonts w:ascii="Arial" w:hAnsi="Arial" w:cs="Arial"/>
                <w:bCs/>
                <w:color w:val="auto"/>
                <w:sz w:val="20"/>
              </w:rPr>
            </w:pPr>
            <w:r w:rsidRPr="004219AC">
              <w:rPr>
                <w:rFonts w:ascii="Arial" w:hAnsi="Arial" w:cs="Arial"/>
                <w:bCs/>
                <w:color w:val="auto"/>
                <w:sz w:val="20"/>
              </w:rPr>
              <w:t>0</w:t>
            </w:r>
            <w:r w:rsidR="00EA2F95" w:rsidRPr="004219AC">
              <w:rPr>
                <w:rFonts w:ascii="Arial" w:hAnsi="Arial" w:cs="Arial"/>
                <w:bCs/>
                <w:color w:val="auto"/>
                <w:sz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AAF0" w14:textId="10F04129" w:rsidR="00EA2F95" w:rsidRPr="004219AC" w:rsidRDefault="00E659DA" w:rsidP="00E659DA">
            <w:pPr>
              <w:jc w:val="right"/>
              <w:rPr>
                <w:rFonts w:ascii="Arial" w:hAnsi="Arial" w:cs="Arial"/>
                <w:bCs/>
              </w:rPr>
            </w:pPr>
            <w:r w:rsidRPr="004219AC">
              <w:rPr>
                <w:rFonts w:ascii="Arial" w:hAnsi="Arial" w:cs="Arial"/>
              </w:rPr>
              <w:t>5,343,161</w:t>
            </w:r>
          </w:p>
        </w:tc>
      </w:tr>
      <w:tr w:rsidR="00EA2F95" w:rsidRPr="00EA2F95" w14:paraId="2126B53E" w14:textId="77777777" w:rsidTr="00631BC4">
        <w:tc>
          <w:tcPr>
            <w:tcW w:w="1305" w:type="dxa"/>
          </w:tcPr>
          <w:p w14:paraId="2845950D" w14:textId="177F14F6" w:rsidR="00EA2F95" w:rsidRPr="003B56E7" w:rsidRDefault="00EA2F95" w:rsidP="00EA2F95">
            <w:pPr>
              <w:pStyle w:val="Noparagraphstyle"/>
              <w:suppressAutoHyphens/>
              <w:rPr>
                <w:rFonts w:ascii="Arial" w:hAnsi="Arial" w:cs="Arial"/>
                <w:b/>
                <w:color w:val="auto"/>
                <w:sz w:val="20"/>
              </w:rPr>
            </w:pPr>
            <w:r w:rsidRPr="003B56E7">
              <w:rPr>
                <w:rFonts w:ascii="Arial" w:hAnsi="Arial" w:cs="Arial"/>
                <w:b/>
                <w:color w:val="auto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DCB5" w14:textId="2D10B0F4" w:rsidR="00EA2F95" w:rsidRPr="004219AC" w:rsidRDefault="00E659DA" w:rsidP="00E659DA">
            <w:pPr>
              <w:jc w:val="right"/>
              <w:rPr>
                <w:rFonts w:ascii="Arial" w:hAnsi="Arial" w:cs="Arial"/>
                <w:lang w:val="en-GB"/>
              </w:rPr>
            </w:pPr>
            <w:r w:rsidRPr="004219AC">
              <w:rPr>
                <w:rFonts w:ascii="Arial" w:hAnsi="Arial" w:cs="Arial"/>
              </w:rPr>
              <w:t>4,998,826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BC15" w14:textId="320A7789" w:rsidR="00EA2F95" w:rsidRPr="004219AC" w:rsidRDefault="00EA2F95" w:rsidP="00EA2F95">
            <w:pPr>
              <w:pStyle w:val="Noparagraphstyle"/>
              <w:suppressAutoHyphens/>
              <w:jc w:val="right"/>
              <w:rPr>
                <w:rFonts w:ascii="Arial" w:hAnsi="Arial" w:cs="Arial"/>
                <w:bCs/>
                <w:color w:val="auto"/>
                <w:sz w:val="20"/>
              </w:rPr>
            </w:pPr>
            <w:r w:rsidRPr="004219AC">
              <w:rPr>
                <w:rFonts w:ascii="Arial" w:hAnsi="Arial" w:cs="Arial"/>
                <w:bCs/>
                <w:color w:val="auto"/>
                <w:sz w:val="20"/>
              </w:rPr>
              <w:t xml:space="preserve"> 142,168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5189" w14:textId="4F8D272F" w:rsidR="00EA2F95" w:rsidRPr="004219AC" w:rsidRDefault="00E659DA" w:rsidP="00E659DA">
            <w:pPr>
              <w:jc w:val="right"/>
              <w:rPr>
                <w:rFonts w:ascii="Arial" w:hAnsi="Arial" w:cs="Arial"/>
                <w:lang w:val="en-GB"/>
              </w:rPr>
            </w:pPr>
            <w:r w:rsidRPr="004219AC">
              <w:rPr>
                <w:rFonts w:ascii="Arial" w:hAnsi="Arial" w:cs="Arial"/>
              </w:rPr>
              <w:t>182,612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E1CA" w14:textId="492F133F" w:rsidR="00EA2F95" w:rsidRPr="004219AC" w:rsidRDefault="00EA2F95" w:rsidP="00EA2F95">
            <w:pPr>
              <w:pStyle w:val="Noparagraphstyle"/>
              <w:suppressAutoHyphens/>
              <w:jc w:val="right"/>
              <w:rPr>
                <w:rFonts w:ascii="Arial" w:hAnsi="Arial" w:cs="Arial"/>
                <w:bCs/>
                <w:color w:val="auto"/>
                <w:sz w:val="20"/>
              </w:rPr>
            </w:pPr>
            <w:r w:rsidRPr="004219AC">
              <w:rPr>
                <w:rFonts w:ascii="Arial" w:hAnsi="Arial" w:cs="Arial"/>
                <w:bCs/>
                <w:color w:val="auto"/>
                <w:sz w:val="20"/>
              </w:rPr>
              <w:t xml:space="preserve"> 19,555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E74F" w14:textId="7F49DC16" w:rsidR="00EA2F95" w:rsidRPr="004219AC" w:rsidRDefault="00E659DA" w:rsidP="00E659DA">
            <w:pPr>
              <w:jc w:val="right"/>
              <w:rPr>
                <w:rFonts w:ascii="Arial" w:hAnsi="Arial" w:cs="Arial"/>
                <w:lang w:val="en-GB"/>
              </w:rPr>
            </w:pPr>
            <w:r w:rsidRPr="004219AC">
              <w:rPr>
                <w:rFonts w:ascii="Arial" w:hAnsi="Arial" w:cs="Arial"/>
              </w:rPr>
              <w:t>5,343,161</w:t>
            </w:r>
          </w:p>
        </w:tc>
      </w:tr>
    </w:tbl>
    <w:p w14:paraId="06CF577F" w14:textId="77777777" w:rsidR="00A74717" w:rsidRPr="00A74717" w:rsidRDefault="00A74717" w:rsidP="00DD3218">
      <w:pPr>
        <w:ind w:right="-75"/>
        <w:jc w:val="right"/>
        <w:rPr>
          <w:rFonts w:ascii="Arial" w:hAnsi="Arial" w:cs="Arial"/>
        </w:rPr>
      </w:pPr>
    </w:p>
    <w:p w14:paraId="5B5C4F45" w14:textId="78386E3E" w:rsidR="00E338BD" w:rsidRDefault="00E338BD" w:rsidP="00940CD7">
      <w:pPr>
        <w:ind w:right="327"/>
        <w:rPr>
          <w:rFonts w:ascii="Arial" w:hAnsi="Arial"/>
        </w:rPr>
      </w:pPr>
      <w:r w:rsidRPr="0043506F">
        <w:rPr>
          <w:rFonts w:ascii="Arial" w:hAnsi="Arial"/>
        </w:rPr>
        <w:t>A vote withheld is not a vote in law and any such votes have not been included in the votes for or against the respective Resolutions.</w:t>
      </w:r>
    </w:p>
    <w:p w14:paraId="27EA28E6" w14:textId="5D2FDA71" w:rsidR="00BF0BBF" w:rsidRDefault="00BF0BBF" w:rsidP="00940CD7">
      <w:pPr>
        <w:ind w:right="327"/>
        <w:rPr>
          <w:rFonts w:ascii="Arial" w:hAnsi="Arial"/>
        </w:rPr>
      </w:pPr>
    </w:p>
    <w:p w14:paraId="3674EDDC" w14:textId="77777777" w:rsidR="00B77D8C" w:rsidRPr="00E154C2" w:rsidRDefault="00B77D8C" w:rsidP="00940CD7">
      <w:pPr>
        <w:pStyle w:val="Title"/>
        <w:jc w:val="left"/>
        <w:rPr>
          <w:rFonts w:cs="Arial"/>
          <w:sz w:val="20"/>
        </w:rPr>
      </w:pPr>
      <w:r w:rsidRPr="00E154C2">
        <w:rPr>
          <w:rFonts w:cs="Arial"/>
          <w:sz w:val="20"/>
        </w:rPr>
        <w:t xml:space="preserve">Passing of Resolutions </w:t>
      </w:r>
    </w:p>
    <w:p w14:paraId="3ED5E0DF" w14:textId="77777777" w:rsidR="00E338BD" w:rsidRPr="0043506F" w:rsidRDefault="00E338BD" w:rsidP="00940CD7">
      <w:pPr>
        <w:rPr>
          <w:rFonts w:ascii="Arial" w:hAnsi="Arial" w:cs="Arial"/>
          <w:spacing w:val="-2"/>
        </w:rPr>
      </w:pPr>
    </w:p>
    <w:p w14:paraId="2E209D96" w14:textId="37C5020B" w:rsidR="00B77D8C" w:rsidRPr="00E154C2" w:rsidRDefault="005F29A2" w:rsidP="00940CD7">
      <w:p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 copy of t</w:t>
      </w:r>
      <w:r w:rsidR="00B77D8C" w:rsidRPr="00E154C2">
        <w:rPr>
          <w:rFonts w:ascii="Arial" w:hAnsi="Arial" w:cs="Arial"/>
          <w:spacing w:val="-2"/>
        </w:rPr>
        <w:t xml:space="preserve">he Resolutions passed </w:t>
      </w:r>
      <w:r w:rsidR="00D05428">
        <w:rPr>
          <w:rFonts w:ascii="Arial" w:hAnsi="Arial" w:cs="Arial"/>
          <w:spacing w:val="-2"/>
        </w:rPr>
        <w:t xml:space="preserve">at the General Meeting held on </w:t>
      </w:r>
      <w:r w:rsidR="004B14BF">
        <w:rPr>
          <w:rFonts w:ascii="Arial" w:hAnsi="Arial" w:cs="Arial"/>
          <w:spacing w:val="-2"/>
        </w:rPr>
        <w:t>14 November 2024</w:t>
      </w:r>
      <w:r>
        <w:rPr>
          <w:rFonts w:ascii="Arial" w:hAnsi="Arial" w:cs="Arial"/>
          <w:spacing w:val="-2"/>
        </w:rPr>
        <w:t xml:space="preserve"> </w:t>
      </w:r>
      <w:r w:rsidR="00B77D8C" w:rsidRPr="00E154C2">
        <w:rPr>
          <w:rFonts w:ascii="Arial" w:hAnsi="Arial" w:cs="Arial"/>
          <w:spacing w:val="-2"/>
        </w:rPr>
        <w:t>ha</w:t>
      </w:r>
      <w:r w:rsidR="00137391">
        <w:rPr>
          <w:rFonts w:ascii="Arial" w:hAnsi="Arial" w:cs="Arial"/>
          <w:spacing w:val="-2"/>
        </w:rPr>
        <w:t>s</w:t>
      </w:r>
      <w:r w:rsidR="00B77D8C" w:rsidRPr="00E154C2">
        <w:rPr>
          <w:rFonts w:ascii="Arial" w:hAnsi="Arial" w:cs="Arial"/>
          <w:spacing w:val="-2"/>
        </w:rPr>
        <w:t xml:space="preserve"> been submitted to the National Storage Mechanism and will shortly be available for inspection at: </w:t>
      </w:r>
    </w:p>
    <w:p w14:paraId="6C22E30B" w14:textId="77777777" w:rsidR="001A0605" w:rsidRDefault="001A0605" w:rsidP="001A0605">
      <w:pPr>
        <w:rPr>
          <w:rFonts w:ascii="Arial" w:hAnsi="Arial" w:cs="Arial"/>
          <w:spacing w:val="-2"/>
        </w:rPr>
      </w:pPr>
    </w:p>
    <w:p w14:paraId="36F1D7FA" w14:textId="5195D010" w:rsidR="001A0605" w:rsidRPr="001A0605" w:rsidRDefault="001A0605" w:rsidP="001A0605">
      <w:pPr>
        <w:rPr>
          <w:rFonts w:ascii="Arial" w:hAnsi="Arial" w:cs="Arial"/>
          <w:spacing w:val="-2"/>
        </w:rPr>
      </w:pPr>
      <w:hyperlink r:id="rId7" w:history="1">
        <w:r w:rsidRPr="001A0605">
          <w:rPr>
            <w:rStyle w:val="Hyperlink"/>
            <w:rFonts w:ascii="Arial" w:hAnsi="Arial" w:cs="Arial"/>
            <w:spacing w:val="-2"/>
          </w:rPr>
          <w:t>https://www.fca.org.uk/markets/primary-markets/regulatory-disclosures/national-storage-mechanism</w:t>
        </w:r>
      </w:hyperlink>
    </w:p>
    <w:p w14:paraId="344A3D6A" w14:textId="77777777" w:rsidR="00E338BD" w:rsidRPr="0043506F" w:rsidRDefault="00E338BD" w:rsidP="00940CD7">
      <w:pPr>
        <w:rPr>
          <w:rFonts w:ascii="Arial" w:hAnsi="Arial" w:cs="Arial"/>
          <w:spacing w:val="-2"/>
        </w:rPr>
      </w:pPr>
    </w:p>
    <w:p w14:paraId="1F22CEA5" w14:textId="77777777" w:rsidR="00583068" w:rsidRDefault="00583068" w:rsidP="00940CD7">
      <w:pPr>
        <w:rPr>
          <w:rFonts w:ascii="Arial" w:hAnsi="Arial" w:cs="Arial"/>
          <w:spacing w:val="-2"/>
        </w:rPr>
      </w:pPr>
      <w:r w:rsidRPr="00A74717">
        <w:rPr>
          <w:rFonts w:ascii="Arial" w:hAnsi="Arial" w:cs="Arial"/>
          <w:spacing w:val="-2"/>
        </w:rPr>
        <w:t>Issued on behalf of the Board</w:t>
      </w:r>
    </w:p>
    <w:p w14:paraId="155E6031" w14:textId="77777777" w:rsidR="00706737" w:rsidRPr="00A74717" w:rsidRDefault="00706737" w:rsidP="00940CD7">
      <w:pPr>
        <w:rPr>
          <w:rFonts w:ascii="Arial" w:hAnsi="Arial" w:cs="Arial"/>
          <w:spacing w:val="-2"/>
        </w:rPr>
      </w:pPr>
    </w:p>
    <w:p w14:paraId="609CFFE1" w14:textId="77777777" w:rsidR="002D4898" w:rsidRPr="00706737" w:rsidRDefault="00BC7868" w:rsidP="00940CD7">
      <w:pPr>
        <w:rPr>
          <w:rFonts w:ascii="Arial" w:hAnsi="Arial" w:cs="Arial"/>
          <w:b/>
          <w:spacing w:val="-2"/>
        </w:rPr>
      </w:pPr>
      <w:r w:rsidRPr="00706737">
        <w:rPr>
          <w:rFonts w:ascii="Arial" w:hAnsi="Arial" w:cs="Arial"/>
          <w:b/>
          <w:spacing w:val="-2"/>
        </w:rPr>
        <w:t>Maven Capital Partners UK LLP</w:t>
      </w:r>
    </w:p>
    <w:p w14:paraId="021150E8" w14:textId="77777777" w:rsidR="00EA3572" w:rsidRPr="00706737" w:rsidRDefault="00583068" w:rsidP="00940CD7">
      <w:pPr>
        <w:rPr>
          <w:rFonts w:ascii="Arial" w:hAnsi="Arial" w:cs="Arial"/>
          <w:b/>
          <w:spacing w:val="-2"/>
        </w:rPr>
      </w:pPr>
      <w:r w:rsidRPr="00706737">
        <w:rPr>
          <w:rFonts w:ascii="Arial" w:hAnsi="Arial" w:cs="Arial"/>
          <w:b/>
          <w:spacing w:val="-2"/>
        </w:rPr>
        <w:t>Secretary</w:t>
      </w:r>
    </w:p>
    <w:p w14:paraId="6D59728D" w14:textId="77777777" w:rsidR="00EA3572" w:rsidRPr="00706737" w:rsidRDefault="00EA3572" w:rsidP="00940CD7">
      <w:pPr>
        <w:rPr>
          <w:rFonts w:ascii="Arial" w:hAnsi="Arial" w:cs="Arial"/>
          <w:b/>
          <w:spacing w:val="-2"/>
        </w:rPr>
      </w:pPr>
    </w:p>
    <w:p w14:paraId="77470453" w14:textId="6B42B9E9" w:rsidR="00DA0277" w:rsidRPr="00706737" w:rsidRDefault="004B14BF" w:rsidP="00940CD7">
      <w:pPr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14 November 2024</w:t>
      </w:r>
    </w:p>
    <w:sectPr w:rsidR="00DA0277" w:rsidRPr="00706737" w:rsidSect="00940CD7">
      <w:headerReference w:type="even" r:id="rId8"/>
      <w:headerReference w:type="default" r:id="rId9"/>
      <w:pgSz w:w="11907" w:h="16839" w:code="9"/>
      <w:pgMar w:top="568" w:right="1134" w:bottom="1440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AC4C4" w14:textId="77777777" w:rsidR="007B4520" w:rsidRDefault="007B4520">
      <w:r>
        <w:separator/>
      </w:r>
    </w:p>
  </w:endnote>
  <w:endnote w:type="continuationSeparator" w:id="0">
    <w:p w14:paraId="19873C11" w14:textId="77777777" w:rsidR="007B4520" w:rsidRDefault="007B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16623" w14:textId="77777777" w:rsidR="007B4520" w:rsidRDefault="007B4520">
      <w:r>
        <w:separator/>
      </w:r>
    </w:p>
  </w:footnote>
  <w:footnote w:type="continuationSeparator" w:id="0">
    <w:p w14:paraId="5FEE1916" w14:textId="77777777" w:rsidR="007B4520" w:rsidRDefault="007B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D4E9A" w14:textId="77777777" w:rsidR="00936D43" w:rsidRDefault="00795314">
    <w:pPr>
      <w:pStyle w:val="Header"/>
    </w:pPr>
    <w:r>
      <w:rPr>
        <w:noProof/>
      </w:rPr>
      <w:pict w14:anchorId="269023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8440" type="#_x0000_t136" style="position:absolute;margin-left:0;margin-top:0;width:487.5pt;height:1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7D9A" w14:textId="77777777" w:rsidR="00936D43" w:rsidRDefault="00795314">
    <w:pPr>
      <w:pStyle w:val="Header"/>
    </w:pPr>
    <w:r>
      <w:rPr>
        <w:noProof/>
      </w:rPr>
      <w:pict w14:anchorId="02B1B4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8441" type="#_x0000_t136" style="position:absolute;margin-left:0;margin-top:0;width:487.5pt;height:19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42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EF"/>
    <w:rsid w:val="00000132"/>
    <w:rsid w:val="00002154"/>
    <w:rsid w:val="000251EB"/>
    <w:rsid w:val="0003656C"/>
    <w:rsid w:val="000572DD"/>
    <w:rsid w:val="00072A10"/>
    <w:rsid w:val="0009444D"/>
    <w:rsid w:val="000A0CF3"/>
    <w:rsid w:val="000A5E59"/>
    <w:rsid w:val="000B7853"/>
    <w:rsid w:val="000E03DF"/>
    <w:rsid w:val="000E52F2"/>
    <w:rsid w:val="000F07F3"/>
    <w:rsid w:val="00116F9E"/>
    <w:rsid w:val="00127553"/>
    <w:rsid w:val="00134E5D"/>
    <w:rsid w:val="00137391"/>
    <w:rsid w:val="0014778D"/>
    <w:rsid w:val="00192DDE"/>
    <w:rsid w:val="00197F4B"/>
    <w:rsid w:val="001A0605"/>
    <w:rsid w:val="001A06A6"/>
    <w:rsid w:val="001C1539"/>
    <w:rsid w:val="001C5073"/>
    <w:rsid w:val="001D2906"/>
    <w:rsid w:val="00206A16"/>
    <w:rsid w:val="00216557"/>
    <w:rsid w:val="00221B3F"/>
    <w:rsid w:val="00225D75"/>
    <w:rsid w:val="00235999"/>
    <w:rsid w:val="00237E54"/>
    <w:rsid w:val="00254AB1"/>
    <w:rsid w:val="00265D7D"/>
    <w:rsid w:val="00280B1E"/>
    <w:rsid w:val="00283249"/>
    <w:rsid w:val="00293B72"/>
    <w:rsid w:val="002A02ED"/>
    <w:rsid w:val="002D4898"/>
    <w:rsid w:val="002D7549"/>
    <w:rsid w:val="002E09EB"/>
    <w:rsid w:val="00304793"/>
    <w:rsid w:val="00313375"/>
    <w:rsid w:val="00313A47"/>
    <w:rsid w:val="00315126"/>
    <w:rsid w:val="003314AC"/>
    <w:rsid w:val="00337CDD"/>
    <w:rsid w:val="003474E3"/>
    <w:rsid w:val="0035451B"/>
    <w:rsid w:val="0035773F"/>
    <w:rsid w:val="00364BFC"/>
    <w:rsid w:val="003726FC"/>
    <w:rsid w:val="00380E55"/>
    <w:rsid w:val="0038301D"/>
    <w:rsid w:val="003B1D75"/>
    <w:rsid w:val="003B56E7"/>
    <w:rsid w:val="003B75CE"/>
    <w:rsid w:val="003D01CC"/>
    <w:rsid w:val="003D4413"/>
    <w:rsid w:val="003D496F"/>
    <w:rsid w:val="003D7294"/>
    <w:rsid w:val="003E6271"/>
    <w:rsid w:val="004219AC"/>
    <w:rsid w:val="0043393D"/>
    <w:rsid w:val="00443BC6"/>
    <w:rsid w:val="00493755"/>
    <w:rsid w:val="004974AE"/>
    <w:rsid w:val="004A1FC6"/>
    <w:rsid w:val="004B14BF"/>
    <w:rsid w:val="004C13CC"/>
    <w:rsid w:val="004E0974"/>
    <w:rsid w:val="004E4C22"/>
    <w:rsid w:val="0053000D"/>
    <w:rsid w:val="00563694"/>
    <w:rsid w:val="0057684E"/>
    <w:rsid w:val="00583068"/>
    <w:rsid w:val="005B0214"/>
    <w:rsid w:val="005C1525"/>
    <w:rsid w:val="005C75B7"/>
    <w:rsid w:val="005D2570"/>
    <w:rsid w:val="005E74EE"/>
    <w:rsid w:val="005F29A2"/>
    <w:rsid w:val="00605E3F"/>
    <w:rsid w:val="006104EA"/>
    <w:rsid w:val="00617399"/>
    <w:rsid w:val="00631BC4"/>
    <w:rsid w:val="00635946"/>
    <w:rsid w:val="0065370D"/>
    <w:rsid w:val="00673452"/>
    <w:rsid w:val="006912E0"/>
    <w:rsid w:val="0069263D"/>
    <w:rsid w:val="00695753"/>
    <w:rsid w:val="006963F9"/>
    <w:rsid w:val="006A3582"/>
    <w:rsid w:val="006B1D4C"/>
    <w:rsid w:val="006C465C"/>
    <w:rsid w:val="006D154E"/>
    <w:rsid w:val="006D53F7"/>
    <w:rsid w:val="006D7046"/>
    <w:rsid w:val="006F7357"/>
    <w:rsid w:val="007006C4"/>
    <w:rsid w:val="00706737"/>
    <w:rsid w:val="0073749D"/>
    <w:rsid w:val="00751684"/>
    <w:rsid w:val="00764CF5"/>
    <w:rsid w:val="00780E30"/>
    <w:rsid w:val="00795314"/>
    <w:rsid w:val="007A3B8E"/>
    <w:rsid w:val="007B4520"/>
    <w:rsid w:val="007C1BAA"/>
    <w:rsid w:val="007C4581"/>
    <w:rsid w:val="0081545E"/>
    <w:rsid w:val="00827EC5"/>
    <w:rsid w:val="00886CB3"/>
    <w:rsid w:val="0089536E"/>
    <w:rsid w:val="008A0AD6"/>
    <w:rsid w:val="008A1BBB"/>
    <w:rsid w:val="008A73A2"/>
    <w:rsid w:val="008B0244"/>
    <w:rsid w:val="008B1666"/>
    <w:rsid w:val="008B4E5A"/>
    <w:rsid w:val="008B6075"/>
    <w:rsid w:val="008C4904"/>
    <w:rsid w:val="008D30CA"/>
    <w:rsid w:val="008F4683"/>
    <w:rsid w:val="00915A82"/>
    <w:rsid w:val="0092394A"/>
    <w:rsid w:val="00934B98"/>
    <w:rsid w:val="00934DE1"/>
    <w:rsid w:val="00936D43"/>
    <w:rsid w:val="009375C4"/>
    <w:rsid w:val="00940CD7"/>
    <w:rsid w:val="00952B2C"/>
    <w:rsid w:val="00956E6D"/>
    <w:rsid w:val="00966BEB"/>
    <w:rsid w:val="009967D5"/>
    <w:rsid w:val="009A2033"/>
    <w:rsid w:val="009B2012"/>
    <w:rsid w:val="009C4EA2"/>
    <w:rsid w:val="009D061A"/>
    <w:rsid w:val="009D5979"/>
    <w:rsid w:val="009E0848"/>
    <w:rsid w:val="009F7D05"/>
    <w:rsid w:val="00A175CD"/>
    <w:rsid w:val="00A47951"/>
    <w:rsid w:val="00A5333E"/>
    <w:rsid w:val="00A53852"/>
    <w:rsid w:val="00A56706"/>
    <w:rsid w:val="00A61541"/>
    <w:rsid w:val="00A74717"/>
    <w:rsid w:val="00A82AD7"/>
    <w:rsid w:val="00A90D50"/>
    <w:rsid w:val="00A92472"/>
    <w:rsid w:val="00AC0DE5"/>
    <w:rsid w:val="00AD41B8"/>
    <w:rsid w:val="00AF5458"/>
    <w:rsid w:val="00B02E5B"/>
    <w:rsid w:val="00B31F68"/>
    <w:rsid w:val="00B55E4B"/>
    <w:rsid w:val="00B60C27"/>
    <w:rsid w:val="00B61DA5"/>
    <w:rsid w:val="00B6253B"/>
    <w:rsid w:val="00B74A01"/>
    <w:rsid w:val="00B77D8C"/>
    <w:rsid w:val="00B87DAF"/>
    <w:rsid w:val="00B91181"/>
    <w:rsid w:val="00BB2197"/>
    <w:rsid w:val="00BC2A25"/>
    <w:rsid w:val="00BC6040"/>
    <w:rsid w:val="00BC7868"/>
    <w:rsid w:val="00BE35DD"/>
    <w:rsid w:val="00BE5EE4"/>
    <w:rsid w:val="00BF0BBF"/>
    <w:rsid w:val="00BF35C0"/>
    <w:rsid w:val="00C14A72"/>
    <w:rsid w:val="00C443B4"/>
    <w:rsid w:val="00C62ECA"/>
    <w:rsid w:val="00C647EF"/>
    <w:rsid w:val="00C82D29"/>
    <w:rsid w:val="00C85A33"/>
    <w:rsid w:val="00C90CB9"/>
    <w:rsid w:val="00C92038"/>
    <w:rsid w:val="00C9328B"/>
    <w:rsid w:val="00CB5496"/>
    <w:rsid w:val="00CC49DC"/>
    <w:rsid w:val="00CD3CB9"/>
    <w:rsid w:val="00CE4435"/>
    <w:rsid w:val="00CE7EC6"/>
    <w:rsid w:val="00D01F4B"/>
    <w:rsid w:val="00D05428"/>
    <w:rsid w:val="00D062C4"/>
    <w:rsid w:val="00D35459"/>
    <w:rsid w:val="00D369DA"/>
    <w:rsid w:val="00D6344F"/>
    <w:rsid w:val="00D654E8"/>
    <w:rsid w:val="00D670DD"/>
    <w:rsid w:val="00D719BC"/>
    <w:rsid w:val="00D73F53"/>
    <w:rsid w:val="00DA0277"/>
    <w:rsid w:val="00DB486F"/>
    <w:rsid w:val="00DD01C4"/>
    <w:rsid w:val="00DD3218"/>
    <w:rsid w:val="00DF0BFD"/>
    <w:rsid w:val="00E064D8"/>
    <w:rsid w:val="00E312C0"/>
    <w:rsid w:val="00E338BD"/>
    <w:rsid w:val="00E43208"/>
    <w:rsid w:val="00E43A49"/>
    <w:rsid w:val="00E474F6"/>
    <w:rsid w:val="00E505C5"/>
    <w:rsid w:val="00E60179"/>
    <w:rsid w:val="00E659DA"/>
    <w:rsid w:val="00E76E78"/>
    <w:rsid w:val="00E86D9F"/>
    <w:rsid w:val="00EA2F95"/>
    <w:rsid w:val="00EA3572"/>
    <w:rsid w:val="00ED2E69"/>
    <w:rsid w:val="00EE4069"/>
    <w:rsid w:val="00EF5E22"/>
    <w:rsid w:val="00F02175"/>
    <w:rsid w:val="00F37FA9"/>
    <w:rsid w:val="00F530AE"/>
    <w:rsid w:val="00F7457E"/>
    <w:rsid w:val="00F92A10"/>
    <w:rsid w:val="00F9496B"/>
    <w:rsid w:val="00FA283A"/>
    <w:rsid w:val="00FA77D3"/>
    <w:rsid w:val="00FC43E9"/>
    <w:rsid w:val="00FC5624"/>
    <w:rsid w:val="00FD1E9D"/>
    <w:rsid w:val="00FD24BD"/>
    <w:rsid w:val="00FD7F31"/>
    <w:rsid w:val="00FE3DBD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42"/>
    <o:shapelayout v:ext="edit">
      <o:idmap v:ext="edit" data="1"/>
    </o:shapelayout>
  </w:shapeDefaults>
  <w:decimalSymbol w:val="."/>
  <w:listSeparator w:val=","/>
  <w14:docId w14:val="69FEDDC9"/>
  <w15:docId w15:val="{38441674-9CB2-44A6-AB6D-5353CAED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83068"/>
    <w:pPr>
      <w:jc w:val="center"/>
    </w:pPr>
    <w:rPr>
      <w:rFonts w:ascii="Arial" w:hAnsi="Arial"/>
      <w:b/>
      <w:sz w:val="21"/>
    </w:rPr>
  </w:style>
  <w:style w:type="paragraph" w:styleId="BalloonText">
    <w:name w:val="Balloon Text"/>
    <w:basedOn w:val="Normal"/>
    <w:semiHidden/>
    <w:rsid w:val="006963F9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EE406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</w:rPr>
  </w:style>
  <w:style w:type="table" w:styleId="TableGrid">
    <w:name w:val="Table Grid"/>
    <w:basedOn w:val="TableNormal"/>
    <w:rsid w:val="00EE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78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786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338BD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E74EE"/>
    <w:rPr>
      <w:color w:val="800080" w:themeColor="followedHyperlink"/>
      <w:u w:val="single"/>
    </w:rPr>
  </w:style>
  <w:style w:type="paragraph" w:customStyle="1" w:styleId="dq">
    <w:name w:val="dq"/>
    <w:basedOn w:val="Normal"/>
    <w:rsid w:val="006C465C"/>
    <w:pPr>
      <w:spacing w:before="100" w:beforeAutospacing="1" w:after="100" w:afterAutospacing="1"/>
    </w:pPr>
    <w:rPr>
      <w:sz w:val="24"/>
      <w:szCs w:val="24"/>
      <w:lang w:val="en-GB"/>
    </w:rPr>
  </w:style>
  <w:style w:type="character" w:customStyle="1" w:styleId="dm">
    <w:name w:val="dm"/>
    <w:basedOn w:val="DefaultParagraphFont"/>
    <w:rsid w:val="006C465C"/>
  </w:style>
  <w:style w:type="paragraph" w:customStyle="1" w:styleId="dr">
    <w:name w:val="dr"/>
    <w:basedOn w:val="Normal"/>
    <w:rsid w:val="006C465C"/>
    <w:pP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ds">
    <w:name w:val="ds"/>
    <w:basedOn w:val="Normal"/>
    <w:rsid w:val="006C465C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A06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1BC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ca.org.uk/markets/primary-markets/regulatory-disclosures/national-storage-mechanis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BE08-1966-40C9-BF00-334480A5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272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INTERNATIONAL TRUST PLC</vt:lpstr>
    </vt:vector>
  </TitlesOfParts>
  <Company>Aberdeen Asset Management</Company>
  <LinksUpToDate>false</LinksUpToDate>
  <CharactersWithSpaces>1865</CharactersWithSpaces>
  <SharedDoc>false</SharedDoc>
  <HLinks>
    <vt:vector size="12" baseType="variant">
      <vt:variant>
        <vt:i4>4849736</vt:i4>
      </vt:variant>
      <vt:variant>
        <vt:i4>3</vt:i4>
      </vt:variant>
      <vt:variant>
        <vt:i4>0</vt:i4>
      </vt:variant>
      <vt:variant>
        <vt:i4>5</vt:i4>
      </vt:variant>
      <vt:variant>
        <vt:lpwstr>http://www.mavencp.com/talismanfirst</vt:lpwstr>
      </vt:variant>
      <vt:variant>
        <vt:lpwstr/>
      </vt:variant>
      <vt:variant>
        <vt:i4>4849691</vt:i4>
      </vt:variant>
      <vt:variant>
        <vt:i4>0</vt:i4>
      </vt:variant>
      <vt:variant>
        <vt:i4>0</vt:i4>
      </vt:variant>
      <vt:variant>
        <vt:i4>5</vt:i4>
      </vt:variant>
      <vt:variant>
        <vt:lpwstr>http://www.//hemscott.com/nsm.do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INTERNATIONAL TRUST PLC</dc:title>
  <dc:creator>Administrator</dc:creator>
  <cp:lastModifiedBy>David Russell</cp:lastModifiedBy>
  <cp:revision>28</cp:revision>
  <cp:lastPrinted>2021-10-20T08:33:00Z</cp:lastPrinted>
  <dcterms:created xsi:type="dcterms:W3CDTF">2022-11-02T16:36:00Z</dcterms:created>
  <dcterms:modified xsi:type="dcterms:W3CDTF">2024-11-14T09:10:00Z</dcterms:modified>
</cp:coreProperties>
</file>