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31C9" w14:textId="77777777" w:rsidR="007340EF" w:rsidRPr="00122D2B" w:rsidRDefault="0017511A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  <w:r w:rsidRPr="00122D2B">
        <w:rPr>
          <w:rFonts w:ascii="Arial" w:hAnsi="Arial"/>
          <w:b/>
          <w:spacing w:val="-2"/>
        </w:rPr>
        <w:t>Maven Income and Growth</w:t>
      </w:r>
      <w:r w:rsidR="007340EF" w:rsidRPr="00122D2B">
        <w:rPr>
          <w:rFonts w:ascii="Arial" w:hAnsi="Arial"/>
          <w:b/>
          <w:spacing w:val="-2"/>
        </w:rPr>
        <w:t xml:space="preserve"> VCT PLC (the Company)</w:t>
      </w:r>
    </w:p>
    <w:p w14:paraId="250ED033" w14:textId="77777777" w:rsidR="007340EF" w:rsidRPr="00122D2B" w:rsidRDefault="007340EF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</w:p>
    <w:p w14:paraId="445608BF" w14:textId="4F906F5E" w:rsidR="007340EF" w:rsidRPr="00122D2B" w:rsidRDefault="007340EF" w:rsidP="0098410A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  <w:r w:rsidRPr="00122D2B">
        <w:rPr>
          <w:rFonts w:ascii="Arial" w:hAnsi="Arial"/>
          <w:b/>
          <w:spacing w:val="-2"/>
        </w:rPr>
        <w:t>Registered in England &amp; Wales</w:t>
      </w:r>
      <w:r w:rsidR="0098410A" w:rsidRPr="00122D2B">
        <w:rPr>
          <w:rFonts w:ascii="Arial" w:hAnsi="Arial"/>
          <w:b/>
          <w:spacing w:val="-2"/>
        </w:rPr>
        <w:t xml:space="preserve"> </w:t>
      </w:r>
      <w:r w:rsidR="00FA7FF9">
        <w:rPr>
          <w:rFonts w:ascii="Arial" w:hAnsi="Arial"/>
          <w:b/>
          <w:spacing w:val="-2"/>
        </w:rPr>
        <w:t>(</w:t>
      </w:r>
      <w:r w:rsidRPr="00122D2B">
        <w:rPr>
          <w:rFonts w:ascii="Arial" w:hAnsi="Arial"/>
          <w:b/>
          <w:spacing w:val="-2"/>
        </w:rPr>
        <w:t xml:space="preserve">Company No. </w:t>
      </w:r>
      <w:r w:rsidR="00341BCD">
        <w:rPr>
          <w:rFonts w:ascii="Arial" w:hAnsi="Arial"/>
          <w:b/>
          <w:spacing w:val="-2"/>
        </w:rPr>
        <w:t>0</w:t>
      </w:r>
      <w:r w:rsidRPr="00122D2B">
        <w:rPr>
          <w:rFonts w:ascii="Arial" w:hAnsi="Arial"/>
          <w:b/>
          <w:spacing w:val="-2"/>
        </w:rPr>
        <w:t>3</w:t>
      </w:r>
      <w:r w:rsidR="005C7D84" w:rsidRPr="00122D2B">
        <w:rPr>
          <w:rFonts w:ascii="Arial" w:hAnsi="Arial"/>
          <w:b/>
          <w:spacing w:val="-2"/>
        </w:rPr>
        <w:t>90</w:t>
      </w:r>
      <w:r w:rsidRPr="00122D2B">
        <w:rPr>
          <w:rFonts w:ascii="Arial" w:hAnsi="Arial"/>
          <w:b/>
          <w:spacing w:val="-2"/>
        </w:rPr>
        <w:t>82</w:t>
      </w:r>
      <w:r w:rsidR="005C7D84" w:rsidRPr="00122D2B">
        <w:rPr>
          <w:rFonts w:ascii="Arial" w:hAnsi="Arial"/>
          <w:b/>
          <w:spacing w:val="-2"/>
        </w:rPr>
        <w:t>20</w:t>
      </w:r>
      <w:r w:rsidR="00FA7FF9">
        <w:rPr>
          <w:rFonts w:ascii="Arial" w:hAnsi="Arial"/>
          <w:b/>
          <w:spacing w:val="-2"/>
        </w:rPr>
        <w:t>)</w:t>
      </w:r>
    </w:p>
    <w:p w14:paraId="339A6785" w14:textId="77777777" w:rsidR="007340EF" w:rsidRPr="009954B2" w:rsidRDefault="007340EF" w:rsidP="00335DAE">
      <w:pPr>
        <w:tabs>
          <w:tab w:val="left" w:pos="-720"/>
        </w:tabs>
        <w:suppressAutoHyphens/>
        <w:rPr>
          <w:rFonts w:ascii="Arial" w:hAnsi="Arial"/>
          <w:spacing w:val="-2"/>
        </w:rPr>
      </w:pPr>
    </w:p>
    <w:p w14:paraId="458234E1" w14:textId="77777777" w:rsidR="00323D13" w:rsidRDefault="00323D13" w:rsidP="00335DAE">
      <w:pPr>
        <w:autoSpaceDE w:val="0"/>
        <w:autoSpaceDN w:val="0"/>
        <w:adjustRightInd w:val="0"/>
        <w:rPr>
          <w:rFonts w:ascii="Arial" w:hAnsi="Arial"/>
          <w:spacing w:val="-2"/>
        </w:rPr>
      </w:pPr>
    </w:p>
    <w:p w14:paraId="2F33743B" w14:textId="542E7772" w:rsidR="009954B2" w:rsidRDefault="007340EF" w:rsidP="00335DAE">
      <w:pPr>
        <w:autoSpaceDE w:val="0"/>
        <w:autoSpaceDN w:val="0"/>
        <w:adjustRightInd w:val="0"/>
        <w:ind w:right="-284"/>
        <w:rPr>
          <w:rFonts w:ascii="Arial" w:hAnsi="Arial"/>
          <w:spacing w:val="-2"/>
        </w:rPr>
      </w:pPr>
      <w:r w:rsidRPr="009954B2">
        <w:rPr>
          <w:rFonts w:ascii="Arial" w:hAnsi="Arial"/>
          <w:spacing w:val="-2"/>
        </w:rPr>
        <w:t xml:space="preserve">At the Annual General Meeting of the Company held </w:t>
      </w:r>
      <w:r w:rsidR="00D5608C" w:rsidRPr="009954B2">
        <w:rPr>
          <w:rFonts w:ascii="Arial" w:hAnsi="Arial"/>
          <w:spacing w:val="-2"/>
        </w:rPr>
        <w:t>at</w:t>
      </w:r>
      <w:r w:rsidRPr="009954B2">
        <w:rPr>
          <w:rFonts w:ascii="Arial" w:hAnsi="Arial"/>
          <w:spacing w:val="-2"/>
        </w:rPr>
        <w:t xml:space="preserve"> </w:t>
      </w:r>
      <w:r w:rsidR="00257F20">
        <w:rPr>
          <w:rFonts w:ascii="Arial" w:hAnsi="Arial"/>
          <w:spacing w:val="-2"/>
        </w:rPr>
        <w:t>Kintyre House, 205 West George Street, Glasgow, G2 2LW, on Thursday, 10 July 2025 at 12.0</w:t>
      </w:r>
      <w:r w:rsidR="000D7134" w:rsidRPr="009954B2">
        <w:rPr>
          <w:rFonts w:ascii="Arial" w:hAnsi="Arial"/>
          <w:spacing w:val="-2"/>
        </w:rPr>
        <w:t>0 noon</w:t>
      </w:r>
      <w:r w:rsidRPr="009954B2">
        <w:rPr>
          <w:rFonts w:ascii="Arial" w:hAnsi="Arial"/>
          <w:spacing w:val="-2"/>
        </w:rPr>
        <w:t xml:space="preserve">, the following Resolutions </w:t>
      </w:r>
      <w:r w:rsidR="00CE6232">
        <w:rPr>
          <w:rFonts w:ascii="Arial" w:hAnsi="Arial"/>
          <w:spacing w:val="-2"/>
        </w:rPr>
        <w:t>were duly passed</w:t>
      </w:r>
      <w:r w:rsidR="00BB194F">
        <w:rPr>
          <w:rFonts w:ascii="Arial" w:hAnsi="Arial"/>
          <w:spacing w:val="-2"/>
        </w:rPr>
        <w:t xml:space="preserve"> under Special Business</w:t>
      </w:r>
      <w:r w:rsidR="0074571C" w:rsidRPr="006D130F">
        <w:rPr>
          <w:rFonts w:ascii="Arial" w:hAnsi="Arial"/>
          <w:spacing w:val="-2"/>
        </w:rPr>
        <w:t>:</w:t>
      </w:r>
      <w:r w:rsidR="0074571C" w:rsidRPr="006D130F">
        <w:rPr>
          <w:rFonts w:ascii="Arial" w:hAnsi="Arial"/>
          <w:spacing w:val="-2"/>
        </w:rPr>
        <w:br/>
      </w:r>
    </w:p>
    <w:p w14:paraId="63FEC2C3" w14:textId="628DB85D" w:rsidR="00CE6232" w:rsidRPr="006C630E" w:rsidRDefault="001261F7" w:rsidP="00335DAE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</w:rPr>
      </w:pPr>
      <w:r>
        <w:rPr>
          <w:rFonts w:ascii="Arial" w:hAnsi="Arial" w:cs="Arial"/>
          <w:b/>
          <w:color w:val="231F20"/>
          <w:lang w:val="en-GB"/>
        </w:rPr>
        <w:t>9</w:t>
      </w:r>
      <w:r w:rsidR="00CE6232" w:rsidRPr="006C630E">
        <w:rPr>
          <w:rFonts w:ascii="Arial" w:hAnsi="Arial" w:cs="Arial"/>
          <w:b/>
          <w:color w:val="231F20"/>
          <w:lang w:val="en-GB"/>
        </w:rPr>
        <w:t>.</w:t>
      </w:r>
      <w:r w:rsidR="00CE6232" w:rsidRPr="006C630E">
        <w:rPr>
          <w:rFonts w:ascii="Arial" w:hAnsi="Arial" w:cs="Arial"/>
          <w:color w:val="231F20"/>
          <w:lang w:val="en-GB"/>
        </w:rPr>
        <w:t xml:space="preserve"> </w:t>
      </w:r>
      <w:r w:rsidR="006650DF">
        <w:rPr>
          <w:rFonts w:ascii="Arial" w:hAnsi="Arial" w:cs="Arial"/>
          <w:color w:val="231F20"/>
          <w:lang w:val="en-GB"/>
        </w:rPr>
        <w:tab/>
      </w:r>
      <w:r w:rsidR="00CE6232" w:rsidRPr="006C630E">
        <w:rPr>
          <w:rFonts w:ascii="Arial" w:hAnsi="Arial" w:cs="Arial"/>
          <w:b/>
          <w:spacing w:val="-2"/>
        </w:rPr>
        <w:t>Authority to allot shares (Ordinary Resolution)</w:t>
      </w:r>
    </w:p>
    <w:p w14:paraId="3F82B00C" w14:textId="77777777" w:rsidR="00CE6232" w:rsidRDefault="00CE6232" w:rsidP="00335DAE">
      <w:pPr>
        <w:autoSpaceDE w:val="0"/>
        <w:autoSpaceDN w:val="0"/>
        <w:adjustRightInd w:val="0"/>
        <w:rPr>
          <w:rFonts w:ascii="Arial" w:hAnsi="Arial"/>
          <w:spacing w:val="-2"/>
        </w:rPr>
      </w:pPr>
    </w:p>
    <w:p w14:paraId="3F52457F" w14:textId="15A92875" w:rsidR="00531EC9" w:rsidRDefault="00335DAE" w:rsidP="009B6D94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>That the Directors be and are hereby generally and unconditionally authorised under Section 551 of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Companies Act 2006 (the Act) to exercise all the powers of the Company to allot Ordinary Shares, or grant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rights to subscribe for or convert any security into Ordinary Shares, up to an aggregate nominal amount of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£</w:t>
      </w:r>
      <w:r w:rsidR="00257F20">
        <w:rPr>
          <w:rFonts w:ascii="Arial" w:hAnsi="Arial" w:cs="Arial"/>
          <w:lang w:val="en-GB"/>
        </w:rPr>
        <w:t>1,814,410</w:t>
      </w:r>
      <w:r w:rsidRPr="00335DAE">
        <w:rPr>
          <w:rFonts w:ascii="Arial" w:hAnsi="Arial" w:cs="Arial"/>
          <w:lang w:val="en-GB"/>
        </w:rPr>
        <w:t xml:space="preserve"> provided that this authority shall expire at the conclusion of the next AGM of the Company or on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the expiry of 15 months from the passing of this Resolution, whichever is the first to occur, and so that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Company may before such expiry, make an offer or agreement that would or might require relevant securities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to be allotted after such expiry and the Directors may allot relevant securities in pursuance of such offer or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agreements as if the authority conferred had not expired.</w:t>
      </w:r>
    </w:p>
    <w:p w14:paraId="1B09B800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color w:val="1A171B"/>
          <w:lang w:val="en-GB"/>
        </w:rPr>
      </w:pPr>
    </w:p>
    <w:p w14:paraId="72FBFD1F" w14:textId="3D2B8B3D" w:rsidR="0070488A" w:rsidRPr="006C630E" w:rsidRDefault="009648C0" w:rsidP="00335DAE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>1</w:t>
      </w:r>
      <w:r w:rsidR="001261F7">
        <w:rPr>
          <w:rFonts w:ascii="Arial" w:hAnsi="Arial" w:cs="Arial"/>
          <w:b/>
          <w:lang w:val="en-GB"/>
        </w:rPr>
        <w:t>0</w:t>
      </w:r>
      <w:r w:rsidR="0070488A" w:rsidRPr="006C630E">
        <w:rPr>
          <w:rFonts w:ascii="Arial" w:hAnsi="Arial" w:cs="Arial"/>
          <w:b/>
          <w:lang w:val="en-GB"/>
        </w:rPr>
        <w:t>.</w:t>
      </w:r>
      <w:r w:rsidR="0070488A" w:rsidRPr="006C630E">
        <w:rPr>
          <w:rFonts w:ascii="Arial" w:hAnsi="Arial" w:cs="Arial"/>
          <w:lang w:val="en-GB"/>
        </w:rPr>
        <w:t xml:space="preserve"> </w:t>
      </w:r>
      <w:r w:rsidR="006650DF">
        <w:rPr>
          <w:rFonts w:ascii="Arial" w:hAnsi="Arial" w:cs="Arial"/>
          <w:lang w:val="en-GB"/>
        </w:rPr>
        <w:tab/>
      </w:r>
      <w:r w:rsidR="0070488A" w:rsidRPr="006C630E">
        <w:rPr>
          <w:rFonts w:ascii="Arial" w:hAnsi="Arial" w:cs="Arial"/>
          <w:b/>
        </w:rPr>
        <w:t>Disapplication of pre-emption rights (Special Resolution)</w:t>
      </w:r>
    </w:p>
    <w:p w14:paraId="482A9236" w14:textId="77777777" w:rsidR="0070488A" w:rsidRPr="008411E7" w:rsidRDefault="0070488A" w:rsidP="00335DAE">
      <w:pPr>
        <w:autoSpaceDE w:val="0"/>
        <w:autoSpaceDN w:val="0"/>
        <w:adjustRightInd w:val="0"/>
        <w:rPr>
          <w:rFonts w:ascii="Arial" w:hAnsi="Arial" w:cs="Arial"/>
          <w:color w:val="1A171B"/>
          <w:lang w:val="en-GB"/>
        </w:rPr>
      </w:pPr>
    </w:p>
    <w:p w14:paraId="43F09683" w14:textId="16BE43FC" w:rsidR="00335DAE" w:rsidRDefault="00335DAE" w:rsidP="009B6D94">
      <w:pPr>
        <w:autoSpaceDE w:val="0"/>
        <w:autoSpaceDN w:val="0"/>
        <w:adjustRightInd w:val="0"/>
        <w:ind w:left="-14" w:firstLine="14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That, subject to the passing of Resolution </w:t>
      </w:r>
      <w:r w:rsidR="001261F7">
        <w:rPr>
          <w:rFonts w:ascii="Arial" w:hAnsi="Arial" w:cs="Arial"/>
          <w:lang w:val="en-GB"/>
        </w:rPr>
        <w:t>9</w:t>
      </w:r>
      <w:r w:rsidRPr="00335DAE">
        <w:rPr>
          <w:rFonts w:ascii="Arial" w:hAnsi="Arial" w:cs="Arial"/>
          <w:lang w:val="en-GB"/>
        </w:rPr>
        <w:t>, the Directors be and hereby are empowered, under Section 571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the Act, to allot equity securities (as defined in Section 560 of the Act) under the authority conferred by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 xml:space="preserve">Resolution </w:t>
      </w:r>
      <w:r w:rsidR="001261F7">
        <w:rPr>
          <w:rFonts w:ascii="Arial" w:hAnsi="Arial" w:cs="Arial"/>
          <w:lang w:val="en-GB"/>
        </w:rPr>
        <w:t>9</w:t>
      </w:r>
      <w:r w:rsidRPr="00335DAE">
        <w:rPr>
          <w:rFonts w:ascii="Arial" w:hAnsi="Arial" w:cs="Arial"/>
          <w:lang w:val="en-GB"/>
        </w:rPr>
        <w:t xml:space="preserve"> for cash as if Section 561(1) of the Act did not apply to the allotment, provided that this power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shall be limited to the allotment:</w:t>
      </w:r>
    </w:p>
    <w:p w14:paraId="2A4519B3" w14:textId="77777777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900" w:hanging="900"/>
        <w:rPr>
          <w:rFonts w:ascii="Arial" w:hAnsi="Arial" w:cs="Arial"/>
          <w:lang w:val="en-GB"/>
        </w:rPr>
      </w:pPr>
    </w:p>
    <w:p w14:paraId="3667F83C" w14:textId="0E991CBF" w:rsid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a)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of equity securities in connection with an offer of such securities by way of a rights issue only to holders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Ordinary Shares in proportion (as nearly as practicable) to their respective holdings of such Ordinary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Shares, but subject to such exclusions or other arrangements as the Directors may deem necessary or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expedient in relation to fractional entitlements or any legal or practical problems under the laws of any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territory, or the requirements of any regulatory body or stock exchange;</w:t>
      </w:r>
      <w:r>
        <w:rPr>
          <w:rFonts w:ascii="Arial" w:hAnsi="Arial" w:cs="Arial"/>
          <w:lang w:val="en-GB"/>
        </w:rPr>
        <w:t xml:space="preserve"> </w:t>
      </w:r>
    </w:p>
    <w:p w14:paraId="1385C9BD" w14:textId="77777777" w:rsid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</w:p>
    <w:p w14:paraId="1AFF2B53" w14:textId="40FBC3E9" w:rsidR="00335DAE" w:rsidRP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b)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(other than under paragraph (a) above) of equity securities up to an aggregate nominal amount not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exceeding £</w:t>
      </w:r>
      <w:r w:rsidR="00257F20">
        <w:rPr>
          <w:rFonts w:ascii="Arial" w:hAnsi="Arial" w:cs="Arial"/>
          <w:lang w:val="en-GB"/>
        </w:rPr>
        <w:t>1,814,410</w:t>
      </w:r>
      <w:r w:rsidRPr="00335DAE">
        <w:rPr>
          <w:rFonts w:ascii="Arial" w:hAnsi="Arial" w:cs="Arial"/>
          <w:lang w:val="en-GB"/>
        </w:rPr>
        <w:t xml:space="preserve"> (equivalent to </w:t>
      </w:r>
      <w:r w:rsidR="00257F20">
        <w:rPr>
          <w:rFonts w:ascii="Arial" w:hAnsi="Arial" w:cs="Arial"/>
          <w:lang w:val="en-GB"/>
        </w:rPr>
        <w:t>18,144,100</w:t>
      </w:r>
      <w:r w:rsidR="001261F7"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Ordinary Shares); and</w:t>
      </w:r>
    </w:p>
    <w:p w14:paraId="321F8D3B" w14:textId="77777777" w:rsid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</w:p>
    <w:p w14:paraId="11B90C14" w14:textId="7D434119" w:rsidR="00531EC9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b/>
          <w:lang w:val="en-GB"/>
        </w:rPr>
      </w:pPr>
      <w:r w:rsidRPr="00335DAE">
        <w:rPr>
          <w:rFonts w:ascii="Arial" w:hAnsi="Arial" w:cs="Arial"/>
          <w:lang w:val="en-GB"/>
        </w:rPr>
        <w:t xml:space="preserve">c)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shall expire at the conclusion of the next AGM of the Company or on the expiry of 15 months from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passing of this Resolution, whichever is the first to occur, save that the Company may, before such expiry,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make an offer or agreement that would or might require equity securities to be allotted after such expiry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and the Directors may allot equity securities in pursuance of such offer or agreement as if the power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conferred hereby had not expired.</w:t>
      </w:r>
    </w:p>
    <w:p w14:paraId="03CF8916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900" w:hanging="900"/>
        <w:rPr>
          <w:rFonts w:ascii="Arial" w:hAnsi="Arial" w:cs="Arial"/>
          <w:b/>
          <w:lang w:val="en-GB"/>
        </w:rPr>
      </w:pPr>
    </w:p>
    <w:p w14:paraId="56091C7A" w14:textId="0EA1C922" w:rsidR="004E4E26" w:rsidRDefault="00FD597A" w:rsidP="009B6D94">
      <w:pPr>
        <w:tabs>
          <w:tab w:val="left" w:pos="426"/>
        </w:tabs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en-GB"/>
        </w:rPr>
        <w:t>1</w:t>
      </w:r>
      <w:r w:rsidR="001261F7">
        <w:rPr>
          <w:rFonts w:ascii="Arial" w:hAnsi="Arial" w:cs="Arial"/>
          <w:b/>
          <w:lang w:val="en-GB"/>
        </w:rPr>
        <w:t>1</w:t>
      </w:r>
      <w:r w:rsidR="004E4E26" w:rsidRPr="006C630E">
        <w:rPr>
          <w:rFonts w:ascii="Arial" w:hAnsi="Arial" w:cs="Arial"/>
          <w:b/>
          <w:lang w:val="en-GB"/>
        </w:rPr>
        <w:t xml:space="preserve">. </w:t>
      </w:r>
      <w:r w:rsidR="006650DF">
        <w:rPr>
          <w:rFonts w:ascii="Arial" w:hAnsi="Arial" w:cs="Arial"/>
          <w:b/>
          <w:lang w:val="en-GB"/>
        </w:rPr>
        <w:tab/>
      </w:r>
      <w:r w:rsidR="004E4E26" w:rsidRPr="006C630E">
        <w:rPr>
          <w:rFonts w:ascii="Arial" w:hAnsi="Arial" w:cs="Arial"/>
          <w:b/>
          <w:color w:val="000000"/>
        </w:rPr>
        <w:t>Authority to make market purchases of shares (Special Resolution)</w:t>
      </w:r>
    </w:p>
    <w:p w14:paraId="523ECC8D" w14:textId="77777777" w:rsidR="00335DAE" w:rsidRDefault="00335DAE" w:rsidP="009B6D94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78B9E377" w14:textId="4A87AE84" w:rsidR="00335DAE" w:rsidRPr="00335DAE" w:rsidRDefault="00335DAE" w:rsidP="009B6D94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>That the Company be and hereby is generally and, subject as hereinafter appears, unconditionally authorised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in accordance with Section 701 of the Act to make market purchases (within the meaning of Section 693(4) of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the Act) of Ordinary Shares, provided always that:</w:t>
      </w:r>
    </w:p>
    <w:p w14:paraId="4CCFAA8B" w14:textId="77777777" w:rsidR="00335DAE" w:rsidRDefault="00335DAE" w:rsidP="009B6D94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0E585594" w14:textId="15978981" w:rsidR="00335DAE" w:rsidRP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a)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 xml:space="preserve">the maximum number of Ordinary Shares hereby authorised to be purchased is </w:t>
      </w:r>
      <w:r w:rsidR="00341BCD">
        <w:rPr>
          <w:rFonts w:ascii="Arial" w:hAnsi="Arial" w:cs="Arial"/>
          <w:lang w:val="en-GB"/>
        </w:rPr>
        <w:t>27,198,012</w:t>
      </w:r>
      <w:r w:rsidRPr="00335DAE">
        <w:rPr>
          <w:rFonts w:ascii="Arial" w:hAnsi="Arial" w:cs="Arial"/>
          <w:lang w:val="en-GB"/>
        </w:rPr>
        <w:t>;</w:t>
      </w:r>
    </w:p>
    <w:p w14:paraId="6CB55988" w14:textId="77777777" w:rsid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</w:p>
    <w:p w14:paraId="6DD7C04A" w14:textId="03ACD988" w:rsidR="00335DAE" w:rsidRP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b)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minimum price, exclusive of expenses, that may be paid for an Ordinary Share shall be 10p per share;</w:t>
      </w:r>
    </w:p>
    <w:p w14:paraId="0C162F34" w14:textId="77777777" w:rsid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</w:p>
    <w:p w14:paraId="4DBF1465" w14:textId="0A73B584" w:rsidR="00335DAE" w:rsidRPr="00335DAE" w:rsidRDefault="00335DAE" w:rsidP="009B6D94">
      <w:pPr>
        <w:tabs>
          <w:tab w:val="left" w:pos="42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c)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maximum price, exclusive of expenses, that may be paid for an Ordinary Share shall be not more than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an amount equal to the higher of:</w:t>
      </w:r>
    </w:p>
    <w:p w14:paraId="69DA8647" w14:textId="77777777" w:rsidR="00335DAE" w:rsidRDefault="00335DAE" w:rsidP="009B6D94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6A8184D5" w14:textId="06C5443F" w:rsidR="00335DAE" w:rsidRPr="00335DAE" w:rsidRDefault="00335DAE" w:rsidP="009B6D94">
      <w:pPr>
        <w:tabs>
          <w:tab w:val="left" w:pos="840"/>
        </w:tabs>
        <w:autoSpaceDE w:val="0"/>
        <w:autoSpaceDN w:val="0"/>
        <w:adjustRightInd w:val="0"/>
        <w:ind w:left="826" w:hanging="448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(i)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105% of the average of the closing middle market price for the Ordinary Shares as derived from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London Stock Exchange’s Daily Official List for the five business days immediately preceding the date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on which the Ordinary Shares are purchased; and</w:t>
      </w:r>
    </w:p>
    <w:p w14:paraId="39413BB4" w14:textId="77777777" w:rsidR="00335DAE" w:rsidRDefault="00335DAE" w:rsidP="009B6D94">
      <w:pPr>
        <w:tabs>
          <w:tab w:val="left" w:pos="840"/>
        </w:tabs>
        <w:autoSpaceDE w:val="0"/>
        <w:autoSpaceDN w:val="0"/>
        <w:adjustRightInd w:val="0"/>
        <w:ind w:left="826" w:hanging="448"/>
        <w:jc w:val="both"/>
        <w:rPr>
          <w:rFonts w:ascii="Arial" w:hAnsi="Arial" w:cs="Arial"/>
          <w:lang w:val="en-GB"/>
        </w:rPr>
      </w:pPr>
    </w:p>
    <w:p w14:paraId="5EFCAE7D" w14:textId="209A64DA" w:rsidR="00335DAE" w:rsidRPr="00335DAE" w:rsidRDefault="00335DAE" w:rsidP="009B6D94">
      <w:pPr>
        <w:tabs>
          <w:tab w:val="left" w:pos="840"/>
        </w:tabs>
        <w:autoSpaceDE w:val="0"/>
        <w:autoSpaceDN w:val="0"/>
        <w:adjustRightInd w:val="0"/>
        <w:ind w:left="826" w:hanging="448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(ii)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price stipulated by Article 5(1) of Commission Regulation (EC) No. 273/2003 (the Buy-back and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Stabilisation Regulation); and</w:t>
      </w:r>
    </w:p>
    <w:p w14:paraId="7FE58E4C" w14:textId="5C1B49E8" w:rsidR="00335DAE" w:rsidRDefault="00335DAE" w:rsidP="00335DA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1DEF352E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B8BDE10" w14:textId="4ED853FF" w:rsidR="00335DAE" w:rsidRPr="00335DAE" w:rsidRDefault="00335DAE" w:rsidP="009B6D94">
      <w:pPr>
        <w:tabs>
          <w:tab w:val="left" w:pos="406"/>
        </w:tabs>
        <w:autoSpaceDE w:val="0"/>
        <w:autoSpaceDN w:val="0"/>
        <w:adjustRightInd w:val="0"/>
        <w:ind w:left="392" w:hanging="392"/>
        <w:jc w:val="both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d)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unless previously renewed, varied or revoked, the authority hereby conferred shall expire at the conclusion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the next AGM of the Company or, if earlier, on the expiry of 15 months from the passing of this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Resolution, save that the Company may before such expiry enter into a contract to purchase Ordinary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Shares which will or may be completed wholly or partly after such expiry.</w:t>
      </w:r>
    </w:p>
    <w:p w14:paraId="3FA1FA3A" w14:textId="31C60C9F" w:rsidR="006650DF" w:rsidRDefault="006650DF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DEF8FE3" w14:textId="7182D4C1" w:rsidR="00003FAC" w:rsidRDefault="00FD597A" w:rsidP="00335DA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en-GB"/>
        </w:rPr>
        <w:t>1</w:t>
      </w:r>
      <w:r w:rsidR="00F237C6">
        <w:rPr>
          <w:rFonts w:ascii="Arial" w:hAnsi="Arial" w:cs="Arial"/>
          <w:b/>
          <w:lang w:val="en-GB"/>
        </w:rPr>
        <w:t>2</w:t>
      </w:r>
      <w:r w:rsidR="00003FAC" w:rsidRPr="006C630E">
        <w:rPr>
          <w:rFonts w:ascii="Arial" w:hAnsi="Arial" w:cs="Arial"/>
          <w:b/>
          <w:lang w:val="en-GB"/>
        </w:rPr>
        <w:t>.</w:t>
      </w:r>
      <w:r w:rsidR="00003FAC" w:rsidRPr="006C630E">
        <w:rPr>
          <w:rFonts w:ascii="Arial" w:hAnsi="Arial" w:cs="Arial"/>
          <w:lang w:val="en-GB"/>
        </w:rPr>
        <w:t xml:space="preserve"> </w:t>
      </w:r>
      <w:r w:rsidR="00003FAC" w:rsidRPr="006C630E">
        <w:rPr>
          <w:rFonts w:ascii="Arial" w:hAnsi="Arial" w:cs="Arial"/>
          <w:b/>
          <w:color w:val="000000"/>
        </w:rPr>
        <w:t xml:space="preserve"> Notice of </w:t>
      </w:r>
      <w:r w:rsidR="004F49C8">
        <w:rPr>
          <w:rFonts w:ascii="Arial" w:hAnsi="Arial" w:cs="Arial"/>
          <w:b/>
          <w:color w:val="000000"/>
        </w:rPr>
        <w:t>g</w:t>
      </w:r>
      <w:r w:rsidR="00003FAC" w:rsidRPr="006C630E">
        <w:rPr>
          <w:rFonts w:ascii="Arial" w:hAnsi="Arial" w:cs="Arial"/>
          <w:b/>
          <w:color w:val="000000"/>
        </w:rPr>
        <w:t xml:space="preserve">eneral </w:t>
      </w:r>
      <w:r w:rsidR="004F49C8">
        <w:rPr>
          <w:rFonts w:ascii="Arial" w:hAnsi="Arial" w:cs="Arial"/>
          <w:b/>
          <w:color w:val="000000"/>
        </w:rPr>
        <w:t>m</w:t>
      </w:r>
      <w:r w:rsidR="00003FAC" w:rsidRPr="006C630E">
        <w:rPr>
          <w:rFonts w:ascii="Arial" w:hAnsi="Arial" w:cs="Arial"/>
          <w:b/>
          <w:color w:val="000000"/>
        </w:rPr>
        <w:t>eeting (Special Resolution)</w:t>
      </w:r>
    </w:p>
    <w:p w14:paraId="5A6FC5FD" w14:textId="77777777" w:rsidR="00003FAC" w:rsidRDefault="00003FAC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D0B628A" w14:textId="77777777" w:rsidR="00003FAC" w:rsidRPr="00003FAC" w:rsidRDefault="00003FAC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003FAC">
        <w:rPr>
          <w:rFonts w:ascii="Arial" w:hAnsi="Arial" w:cs="Arial"/>
          <w:lang w:val="en-GB"/>
        </w:rPr>
        <w:t>That a genera</w:t>
      </w:r>
      <w:r>
        <w:rPr>
          <w:rFonts w:ascii="Arial" w:hAnsi="Arial" w:cs="Arial"/>
          <w:lang w:val="en-GB"/>
        </w:rPr>
        <w:t xml:space="preserve">l meeting, other than an annual </w:t>
      </w:r>
      <w:r w:rsidRPr="00003FAC">
        <w:rPr>
          <w:rFonts w:ascii="Arial" w:hAnsi="Arial" w:cs="Arial"/>
          <w:lang w:val="en-GB"/>
        </w:rPr>
        <w:t>general meeting, may be called on not less than</w:t>
      </w:r>
      <w:r>
        <w:rPr>
          <w:rFonts w:ascii="Arial" w:hAnsi="Arial" w:cs="Arial"/>
          <w:lang w:val="en-GB"/>
        </w:rPr>
        <w:t xml:space="preserve"> </w:t>
      </w:r>
      <w:r w:rsidRPr="00003FAC">
        <w:rPr>
          <w:rFonts w:ascii="Arial" w:hAnsi="Arial" w:cs="Arial"/>
          <w:lang w:val="en-GB"/>
        </w:rPr>
        <w:t>14 days’ clear notice.</w:t>
      </w:r>
    </w:p>
    <w:p w14:paraId="08D003A1" w14:textId="77777777" w:rsidR="00EF301B" w:rsidRDefault="00EF301B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BB202E9" w14:textId="77777777" w:rsidR="00335DAE" w:rsidRDefault="00335DAE" w:rsidP="00335DAE">
      <w:pPr>
        <w:rPr>
          <w:rFonts w:ascii="Arial" w:hAnsi="Arial" w:cs="Arial"/>
          <w:b/>
          <w:spacing w:val="-2"/>
        </w:rPr>
      </w:pPr>
    </w:p>
    <w:p w14:paraId="11488B59" w14:textId="59D6ACDA" w:rsidR="00003FAC" w:rsidRPr="006C630E" w:rsidRDefault="00003FAC" w:rsidP="00335DAE">
      <w:pPr>
        <w:rPr>
          <w:rFonts w:ascii="Arial" w:hAnsi="Arial" w:cs="Arial"/>
          <w:b/>
          <w:spacing w:val="-2"/>
        </w:rPr>
      </w:pPr>
      <w:r w:rsidRPr="006C630E">
        <w:rPr>
          <w:rFonts w:ascii="Arial" w:hAnsi="Arial" w:cs="Arial"/>
          <w:b/>
          <w:spacing w:val="-2"/>
        </w:rPr>
        <w:t>F</w:t>
      </w:r>
      <w:r>
        <w:rPr>
          <w:rFonts w:ascii="Arial" w:hAnsi="Arial" w:cs="Arial"/>
          <w:b/>
          <w:spacing w:val="-2"/>
        </w:rPr>
        <w:t>or Maven Income and Growth VCT</w:t>
      </w:r>
      <w:r w:rsidRPr="006C630E">
        <w:rPr>
          <w:rFonts w:ascii="Arial" w:hAnsi="Arial" w:cs="Arial"/>
          <w:b/>
          <w:spacing w:val="-2"/>
        </w:rPr>
        <w:t xml:space="preserve"> PLC</w:t>
      </w:r>
    </w:p>
    <w:p w14:paraId="2716818B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b/>
          <w:spacing w:val="-2"/>
        </w:rPr>
      </w:pPr>
      <w:r w:rsidRPr="006C630E">
        <w:rPr>
          <w:rFonts w:ascii="Arial" w:hAnsi="Arial" w:cs="Arial"/>
          <w:b/>
          <w:spacing w:val="-2"/>
        </w:rPr>
        <w:t>Maven Capital Partners UK LLP, Secretary</w:t>
      </w:r>
    </w:p>
    <w:p w14:paraId="7E49AB01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</w:p>
    <w:p w14:paraId="72AD751D" w14:textId="2DB67C24" w:rsidR="00CF4627" w:rsidRPr="006C630E" w:rsidRDefault="00E24FDF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noProof/>
          <w:spacing w:val="-2"/>
        </w:rPr>
        <w:drawing>
          <wp:inline distT="0" distB="0" distL="0" distR="0" wp14:anchorId="4BA20B5E" wp14:editId="616BB9C3">
            <wp:extent cx="789709" cy="438785"/>
            <wp:effectExtent l="0" t="0" r="0" b="0"/>
            <wp:docPr id="531546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26" cy="44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3ADFB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</w:p>
    <w:p w14:paraId="7939A1ED" w14:textId="77777777" w:rsidR="00FA7FF9" w:rsidRPr="003F5302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b/>
          <w:bCs/>
          <w:spacing w:val="-2"/>
        </w:rPr>
      </w:pPr>
      <w:proofErr w:type="spellStart"/>
      <w:r w:rsidRPr="003F5302">
        <w:rPr>
          <w:rFonts w:ascii="Arial" w:hAnsi="Arial" w:cs="Arial"/>
          <w:b/>
          <w:bCs/>
          <w:spacing w:val="-2"/>
        </w:rPr>
        <w:t>Authorised</w:t>
      </w:r>
      <w:proofErr w:type="spellEnd"/>
      <w:r w:rsidRPr="003F5302">
        <w:rPr>
          <w:rFonts w:ascii="Arial" w:hAnsi="Arial" w:cs="Arial"/>
          <w:b/>
          <w:bCs/>
          <w:spacing w:val="-2"/>
        </w:rPr>
        <w:t xml:space="preserve"> Signatory</w:t>
      </w:r>
    </w:p>
    <w:p w14:paraId="3BC03610" w14:textId="2A49EC67" w:rsidR="00335DAE" w:rsidRPr="009954B2" w:rsidRDefault="00341BCD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/>
        </w:rPr>
      </w:pPr>
      <w:r>
        <w:rPr>
          <w:rFonts w:ascii="Arial" w:hAnsi="Arial" w:cs="Arial"/>
          <w:b/>
          <w:bCs/>
          <w:spacing w:val="-2"/>
        </w:rPr>
        <w:t>10 July 2025</w:t>
      </w:r>
    </w:p>
    <w:sectPr w:rsidR="00335DAE" w:rsidRPr="009954B2" w:rsidSect="00BB1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758" w:bottom="142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B709" w14:textId="77777777" w:rsidR="00E53B54" w:rsidRDefault="00E53B54">
      <w:r>
        <w:separator/>
      </w:r>
    </w:p>
  </w:endnote>
  <w:endnote w:type="continuationSeparator" w:id="0">
    <w:p w14:paraId="72066A69" w14:textId="77777777" w:rsidR="00E53B54" w:rsidRDefault="00E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459F" w14:textId="77777777" w:rsidR="00D51469" w:rsidRDefault="00D51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6938" w14:textId="77777777" w:rsidR="00D51469" w:rsidRDefault="00D51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AEDC" w14:textId="77777777" w:rsidR="00D51469" w:rsidRDefault="00D51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5800" w14:textId="77777777" w:rsidR="00E53B54" w:rsidRDefault="00E53B54">
      <w:r>
        <w:separator/>
      </w:r>
    </w:p>
  </w:footnote>
  <w:footnote w:type="continuationSeparator" w:id="0">
    <w:p w14:paraId="5E481D3A" w14:textId="77777777" w:rsidR="00E53B54" w:rsidRDefault="00E5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53FA" w14:textId="77777777" w:rsidR="00D51469" w:rsidRDefault="00D51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95DD" w14:textId="77777777" w:rsidR="00D51469" w:rsidRDefault="00D51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B6B9" w14:textId="77777777" w:rsidR="00D51469" w:rsidRDefault="00D51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D87"/>
    <w:multiLevelType w:val="singleLevel"/>
    <w:tmpl w:val="57CEE1C2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9EE10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44878"/>
    <w:multiLevelType w:val="hybridMultilevel"/>
    <w:tmpl w:val="8492544E"/>
    <w:lvl w:ilvl="0" w:tplc="D242D1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17655F"/>
    <w:multiLevelType w:val="singleLevel"/>
    <w:tmpl w:val="075C94D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1482B9C"/>
    <w:multiLevelType w:val="hybridMultilevel"/>
    <w:tmpl w:val="A10CE53C"/>
    <w:lvl w:ilvl="0" w:tplc="11F2F2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A1811"/>
    <w:multiLevelType w:val="hybridMultilevel"/>
    <w:tmpl w:val="856AAA92"/>
    <w:lvl w:ilvl="0" w:tplc="6750D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5C9D"/>
    <w:multiLevelType w:val="hybridMultilevel"/>
    <w:tmpl w:val="132CE2E0"/>
    <w:lvl w:ilvl="0" w:tplc="5CB26E0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96E1B"/>
    <w:multiLevelType w:val="hybridMultilevel"/>
    <w:tmpl w:val="931C4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253F"/>
    <w:multiLevelType w:val="hybridMultilevel"/>
    <w:tmpl w:val="69684180"/>
    <w:lvl w:ilvl="0" w:tplc="B756F5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2002D4"/>
    <w:multiLevelType w:val="hybridMultilevel"/>
    <w:tmpl w:val="14EABB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4A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C047D5"/>
    <w:multiLevelType w:val="singleLevel"/>
    <w:tmpl w:val="D0EEB2C4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 w15:restartNumberingAfterBreak="0">
    <w:nsid w:val="2689076B"/>
    <w:multiLevelType w:val="hybridMultilevel"/>
    <w:tmpl w:val="D16C985A"/>
    <w:lvl w:ilvl="0" w:tplc="CFD6F4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915B5"/>
    <w:multiLevelType w:val="hybridMultilevel"/>
    <w:tmpl w:val="9A06638A"/>
    <w:lvl w:ilvl="0" w:tplc="F6F0EB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160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921128"/>
    <w:multiLevelType w:val="hybridMultilevel"/>
    <w:tmpl w:val="A23C60C0"/>
    <w:lvl w:ilvl="0" w:tplc="7FBE27AE">
      <w:start w:val="1"/>
      <w:numFmt w:val="lowerLetter"/>
      <w:lvlText w:val="%1)"/>
      <w:lvlJc w:val="left"/>
      <w:pPr>
        <w:ind w:left="1080" w:hanging="360"/>
      </w:pPr>
      <w:rPr>
        <w:rFonts w:ascii="Bliss-Light" w:hAnsi="Bliss-Light" w:cs="Bliss-Light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80A40"/>
    <w:multiLevelType w:val="singleLevel"/>
    <w:tmpl w:val="C52A506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FEC12D0"/>
    <w:multiLevelType w:val="hybridMultilevel"/>
    <w:tmpl w:val="360CE2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750D0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0BC4"/>
    <w:multiLevelType w:val="hybridMultilevel"/>
    <w:tmpl w:val="35741A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1234A"/>
    <w:multiLevelType w:val="singleLevel"/>
    <w:tmpl w:val="179AE2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FF04F3"/>
    <w:multiLevelType w:val="singleLevel"/>
    <w:tmpl w:val="14E4C4CE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21" w15:restartNumberingAfterBreak="0">
    <w:nsid w:val="4D404491"/>
    <w:multiLevelType w:val="hybridMultilevel"/>
    <w:tmpl w:val="CE540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486D"/>
    <w:multiLevelType w:val="hybridMultilevel"/>
    <w:tmpl w:val="CE540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350B"/>
    <w:multiLevelType w:val="hybridMultilevel"/>
    <w:tmpl w:val="322061B2"/>
    <w:lvl w:ilvl="0" w:tplc="24A426F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12CF"/>
    <w:multiLevelType w:val="hybridMultilevel"/>
    <w:tmpl w:val="6130D984"/>
    <w:lvl w:ilvl="0" w:tplc="948A1B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3C0D33"/>
    <w:multiLevelType w:val="singleLevel"/>
    <w:tmpl w:val="075C94D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61A84512"/>
    <w:multiLevelType w:val="hybridMultilevel"/>
    <w:tmpl w:val="F5880046"/>
    <w:lvl w:ilvl="0" w:tplc="3CDC53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1C71AA"/>
    <w:multiLevelType w:val="hybridMultilevel"/>
    <w:tmpl w:val="469A0A6A"/>
    <w:lvl w:ilvl="0" w:tplc="9866EEF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15E8"/>
    <w:multiLevelType w:val="hybridMultilevel"/>
    <w:tmpl w:val="5142C2A0"/>
    <w:lvl w:ilvl="0" w:tplc="9A12532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2404082">
    <w:abstractNumId w:val="10"/>
  </w:num>
  <w:num w:numId="2" w16cid:durableId="1849831439">
    <w:abstractNumId w:val="1"/>
  </w:num>
  <w:num w:numId="3" w16cid:durableId="822895264">
    <w:abstractNumId w:val="14"/>
  </w:num>
  <w:num w:numId="4" w16cid:durableId="638608600">
    <w:abstractNumId w:val="16"/>
  </w:num>
  <w:num w:numId="5" w16cid:durableId="619000192">
    <w:abstractNumId w:val="20"/>
  </w:num>
  <w:num w:numId="6" w16cid:durableId="1547065690">
    <w:abstractNumId w:val="25"/>
  </w:num>
  <w:num w:numId="7" w16cid:durableId="556622770">
    <w:abstractNumId w:val="3"/>
  </w:num>
  <w:num w:numId="8" w16cid:durableId="1049652038">
    <w:abstractNumId w:val="11"/>
  </w:num>
  <w:num w:numId="9" w16cid:durableId="1536193904">
    <w:abstractNumId w:val="19"/>
  </w:num>
  <w:num w:numId="10" w16cid:durableId="594171274">
    <w:abstractNumId w:val="0"/>
  </w:num>
  <w:num w:numId="11" w16cid:durableId="1558275973">
    <w:abstractNumId w:val="12"/>
  </w:num>
  <w:num w:numId="12" w16cid:durableId="401296119">
    <w:abstractNumId w:val="24"/>
  </w:num>
  <w:num w:numId="13" w16cid:durableId="329139397">
    <w:abstractNumId w:val="28"/>
  </w:num>
  <w:num w:numId="14" w16cid:durableId="1802650947">
    <w:abstractNumId w:val="4"/>
  </w:num>
  <w:num w:numId="15" w16cid:durableId="1005471357">
    <w:abstractNumId w:val="13"/>
  </w:num>
  <w:num w:numId="16" w16cid:durableId="1580561357">
    <w:abstractNumId w:val="8"/>
  </w:num>
  <w:num w:numId="17" w16cid:durableId="1512645024">
    <w:abstractNumId w:val="7"/>
  </w:num>
  <w:num w:numId="18" w16cid:durableId="367923174">
    <w:abstractNumId w:val="22"/>
  </w:num>
  <w:num w:numId="19" w16cid:durableId="2116367375">
    <w:abstractNumId w:val="26"/>
  </w:num>
  <w:num w:numId="20" w16cid:durableId="2085488563">
    <w:abstractNumId w:val="21"/>
  </w:num>
  <w:num w:numId="21" w16cid:durableId="160782025">
    <w:abstractNumId w:val="6"/>
  </w:num>
  <w:num w:numId="22" w16cid:durableId="1657221249">
    <w:abstractNumId w:val="2"/>
  </w:num>
  <w:num w:numId="23" w16cid:durableId="638846076">
    <w:abstractNumId w:val="15"/>
  </w:num>
  <w:num w:numId="24" w16cid:durableId="718437295">
    <w:abstractNumId w:val="27"/>
  </w:num>
  <w:num w:numId="25" w16cid:durableId="1641377923">
    <w:abstractNumId w:val="23"/>
  </w:num>
  <w:num w:numId="26" w16cid:durableId="1166477403">
    <w:abstractNumId w:val="5"/>
  </w:num>
  <w:num w:numId="27" w16cid:durableId="1486122099">
    <w:abstractNumId w:val="18"/>
  </w:num>
  <w:num w:numId="28" w16cid:durableId="1022586203">
    <w:abstractNumId w:val="9"/>
  </w:num>
  <w:num w:numId="29" w16cid:durableId="20331419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81"/>
    <w:rsid w:val="00003FAC"/>
    <w:rsid w:val="00052F0E"/>
    <w:rsid w:val="000B0224"/>
    <w:rsid w:val="000D2EDC"/>
    <w:rsid w:val="000D7134"/>
    <w:rsid w:val="000E70FD"/>
    <w:rsid w:val="00105AC7"/>
    <w:rsid w:val="00121AFE"/>
    <w:rsid w:val="00122D2B"/>
    <w:rsid w:val="001261F7"/>
    <w:rsid w:val="001308FB"/>
    <w:rsid w:val="00132A54"/>
    <w:rsid w:val="0017511A"/>
    <w:rsid w:val="00191BA6"/>
    <w:rsid w:val="001B5DAB"/>
    <w:rsid w:val="001D2F81"/>
    <w:rsid w:val="001E6E37"/>
    <w:rsid w:val="001E724B"/>
    <w:rsid w:val="001F7A70"/>
    <w:rsid w:val="002048E6"/>
    <w:rsid w:val="00257F20"/>
    <w:rsid w:val="00282C03"/>
    <w:rsid w:val="002A1E3A"/>
    <w:rsid w:val="002D2780"/>
    <w:rsid w:val="002F5A2B"/>
    <w:rsid w:val="0030455C"/>
    <w:rsid w:val="00323D13"/>
    <w:rsid w:val="00335DAE"/>
    <w:rsid w:val="00341BCD"/>
    <w:rsid w:val="00365810"/>
    <w:rsid w:val="0039514C"/>
    <w:rsid w:val="003B5211"/>
    <w:rsid w:val="003F5302"/>
    <w:rsid w:val="00444E76"/>
    <w:rsid w:val="00472AA4"/>
    <w:rsid w:val="00490A1A"/>
    <w:rsid w:val="004C3070"/>
    <w:rsid w:val="004E4E26"/>
    <w:rsid w:val="004F49C8"/>
    <w:rsid w:val="00531EC9"/>
    <w:rsid w:val="005379DB"/>
    <w:rsid w:val="00560D98"/>
    <w:rsid w:val="005822BC"/>
    <w:rsid w:val="005C2B88"/>
    <w:rsid w:val="005C7D84"/>
    <w:rsid w:val="005D74FB"/>
    <w:rsid w:val="00624AB7"/>
    <w:rsid w:val="006423F5"/>
    <w:rsid w:val="006650DF"/>
    <w:rsid w:val="00692F09"/>
    <w:rsid w:val="00696FE8"/>
    <w:rsid w:val="006A6925"/>
    <w:rsid w:val="006D130F"/>
    <w:rsid w:val="006E632D"/>
    <w:rsid w:val="0070488A"/>
    <w:rsid w:val="007340EF"/>
    <w:rsid w:val="0074571C"/>
    <w:rsid w:val="0075393A"/>
    <w:rsid w:val="00755E5E"/>
    <w:rsid w:val="0077727B"/>
    <w:rsid w:val="007E5441"/>
    <w:rsid w:val="007E7680"/>
    <w:rsid w:val="00834D84"/>
    <w:rsid w:val="008411E7"/>
    <w:rsid w:val="00861FEC"/>
    <w:rsid w:val="00866A46"/>
    <w:rsid w:val="008829B0"/>
    <w:rsid w:val="008C6003"/>
    <w:rsid w:val="00911768"/>
    <w:rsid w:val="00947A91"/>
    <w:rsid w:val="009648C0"/>
    <w:rsid w:val="009713FD"/>
    <w:rsid w:val="0098410A"/>
    <w:rsid w:val="00990EBA"/>
    <w:rsid w:val="009954B2"/>
    <w:rsid w:val="009A5830"/>
    <w:rsid w:val="009B6D94"/>
    <w:rsid w:val="009D5064"/>
    <w:rsid w:val="009E694D"/>
    <w:rsid w:val="00A15FF9"/>
    <w:rsid w:val="00A418CE"/>
    <w:rsid w:val="00A52FEE"/>
    <w:rsid w:val="00A55376"/>
    <w:rsid w:val="00A67CE3"/>
    <w:rsid w:val="00AB4798"/>
    <w:rsid w:val="00AE3308"/>
    <w:rsid w:val="00B252C2"/>
    <w:rsid w:val="00B502D3"/>
    <w:rsid w:val="00B5714F"/>
    <w:rsid w:val="00BA233C"/>
    <w:rsid w:val="00BB194F"/>
    <w:rsid w:val="00BD1B13"/>
    <w:rsid w:val="00BF5F51"/>
    <w:rsid w:val="00C05526"/>
    <w:rsid w:val="00C229C2"/>
    <w:rsid w:val="00C4756D"/>
    <w:rsid w:val="00C60E25"/>
    <w:rsid w:val="00C655D2"/>
    <w:rsid w:val="00C700FA"/>
    <w:rsid w:val="00C72402"/>
    <w:rsid w:val="00C83320"/>
    <w:rsid w:val="00C91438"/>
    <w:rsid w:val="00CE6232"/>
    <w:rsid w:val="00CF4627"/>
    <w:rsid w:val="00D03472"/>
    <w:rsid w:val="00D51469"/>
    <w:rsid w:val="00D5608C"/>
    <w:rsid w:val="00D62721"/>
    <w:rsid w:val="00DD198A"/>
    <w:rsid w:val="00DE1EBD"/>
    <w:rsid w:val="00DF46F4"/>
    <w:rsid w:val="00E01D5B"/>
    <w:rsid w:val="00E24FDF"/>
    <w:rsid w:val="00E27BC2"/>
    <w:rsid w:val="00E375CF"/>
    <w:rsid w:val="00E53B54"/>
    <w:rsid w:val="00EF301B"/>
    <w:rsid w:val="00F237C6"/>
    <w:rsid w:val="00F24C77"/>
    <w:rsid w:val="00F544EC"/>
    <w:rsid w:val="00F62BB2"/>
    <w:rsid w:val="00F8673E"/>
    <w:rsid w:val="00FA7FF9"/>
    <w:rsid w:val="00FC17DA"/>
    <w:rsid w:val="00FD597A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232B4808"/>
  <w15:docId w15:val="{9359A4ED-53DC-4CAF-B542-0D4680C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60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A69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6925"/>
    <w:pPr>
      <w:tabs>
        <w:tab w:val="center" w:pos="4153"/>
        <w:tab w:val="right" w:pos="8306"/>
      </w:tabs>
    </w:pPr>
  </w:style>
  <w:style w:type="paragraph" w:customStyle="1" w:styleId="Pa1">
    <w:name w:val="Pa1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character" w:customStyle="1" w:styleId="A4">
    <w:name w:val="A4"/>
    <w:rsid w:val="009954B2"/>
    <w:rPr>
      <w:rFonts w:cs="Helvetica 45 Light"/>
      <w:color w:val="211D1E"/>
      <w:sz w:val="18"/>
      <w:szCs w:val="18"/>
    </w:rPr>
  </w:style>
  <w:style w:type="paragraph" w:customStyle="1" w:styleId="Pa25">
    <w:name w:val="Pa25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customStyle="1" w:styleId="Pa42">
    <w:name w:val="Pa42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customStyle="1" w:styleId="Pa47">
    <w:name w:val="Pa47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55E5E"/>
    <w:pPr>
      <w:ind w:left="720"/>
      <w:contextualSpacing/>
    </w:pPr>
  </w:style>
  <w:style w:type="paragraph" w:styleId="Revision">
    <w:name w:val="Revision"/>
    <w:hidden/>
    <w:uiPriority w:val="99"/>
    <w:semiHidden/>
    <w:rsid w:val="001261F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GLOBAL RETURN TRUST PLC</vt:lpstr>
    </vt:vector>
  </TitlesOfParts>
  <Company>Aberdeen Asset Management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GLOBAL RETURN TRUST PLC</dc:title>
  <dc:creator>IT</dc:creator>
  <cp:lastModifiedBy>David Russell</cp:lastModifiedBy>
  <cp:revision>3</cp:revision>
  <cp:lastPrinted>2016-06-29T16:11:00Z</cp:lastPrinted>
  <dcterms:created xsi:type="dcterms:W3CDTF">2025-06-30T15:57:00Z</dcterms:created>
  <dcterms:modified xsi:type="dcterms:W3CDTF">2025-06-30T15:57:00Z</dcterms:modified>
</cp:coreProperties>
</file>