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9214F" w14:textId="0BC90DFE" w:rsidR="00850A9F" w:rsidRPr="00A71A6C" w:rsidRDefault="0000460D" w:rsidP="00410729">
      <w:pPr>
        <w:spacing w:before="82" w:line="256" w:lineRule="auto"/>
        <w:ind w:left="1701" w:right="2455"/>
        <w:jc w:val="center"/>
        <w:rPr>
          <w:b/>
          <w:sz w:val="20"/>
          <w:szCs w:val="20"/>
        </w:rPr>
      </w:pPr>
      <w:r>
        <w:rPr>
          <w:noProof/>
          <w:sz w:val="20"/>
          <w:szCs w:val="20"/>
        </w:rPr>
        <mc:AlternateContent>
          <mc:Choice Requires="wps">
            <w:drawing>
              <wp:anchor distT="0" distB="0" distL="114300" distR="114300" simplePos="0" relativeHeight="15729152" behindDoc="0" locked="0" layoutInCell="1" allowOverlap="1" wp14:anchorId="02DD97E8" wp14:editId="485BCA9C">
                <wp:simplePos x="0" y="0"/>
                <wp:positionH relativeFrom="page">
                  <wp:posOffset>0</wp:posOffset>
                </wp:positionH>
                <wp:positionV relativeFrom="page">
                  <wp:posOffset>7005955</wp:posOffset>
                </wp:positionV>
                <wp:extent cx="8890" cy="367982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36798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B38B2" id="Rectangle 4" o:spid="_x0000_s1026" style="position:absolute;margin-left:0;margin-top:551.65pt;width:.7pt;height:289.7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GB5QEAALMDAAAOAAAAZHJzL2Uyb0RvYy54bWysU9tu2zAMfR+wfxD0vjjJ0jYx4hRFig4D&#10;ugvQ9QMUWbaFyaJGKnGyrx+lpGmwvRXzgyCK1BHP4fHydt87sTNIFnwlJ6OxFMZrqK1vK/n84+HD&#10;XAqKytfKgTeVPBiSt6v375ZDKM0UOnC1QcEgnsohVLKLMZRFQbozvaIRBOM52QD2KnKIbVGjGhi9&#10;d8V0PL4uBsA6IGhDxKf3x6RcZfymMTp+axoyUbhKcm8xr5jXTVqL1VKVLarQWX1qQ72hi15Zz4+e&#10;oe5VVGKL9h+o3moEgiaONPQFNI3VJnNgNpPxX2yeOhVM5sLiUDjLRP8PVn/dPYXvmFqn8Aj6JwkP&#10;60751twhwtAZVfNzkyRUMQQqzxdSQHxVbIYvUPNo1TZC1mDfYJ8AmZ3YZ6kPZ6nNPgrNh/P5gseh&#10;OfHx+mYxn17lB1T5cjcgxU8GepE2lUQeZMZWu0eKqRdVvpTk3sHZ+sE6lwNsN2uHYqfS0PN3QqfL&#10;MudTsYd07YiYTjLJxCtZiMoN1AfmiHB0DjudNx3gbykGdk0l6ddWoZHCffas02IymyWb5WB2dTPl&#10;AC8zm8uM8pqhKhmlOG7X8WjNbUDbdvzSJJP2cMfaNjYTf+3q1Cw7I+txcnGy3mWcq17/tdUfAAAA&#10;//8DAFBLAwQUAAYACAAAACEA2wWzx98AAAAIAQAADwAAAGRycy9kb3ducmV2LnhtbEyPQU/DMAyF&#10;70j8h8hI3Fiybkxd13RiSByR2ODAbmlj2mqNU5psK/x6vNM4WfZ7ev5evh5dJ044hNaThulEgUCq&#10;vG2p1vDx/vKQggjRkDWdJ9TwgwHWxe1NbjLrz7TF0y7WgkMoZEZDE2OfSRmqBp0JE98jsfblB2ci&#10;r0Mt7WDOHO46mSi1kM60xB8a0+Nzg9Vhd3QaNst08/02p9ffbbnH/Wd5eEwGpfX93fi0AhFxjFcz&#10;XPAZHQpmKv2RbBCdBi4S+TpVsxmIiz4HUfJYpEkKssjl/wLFHwAAAP//AwBQSwECLQAUAAYACAAA&#10;ACEAtoM4kv4AAADhAQAAEwAAAAAAAAAAAAAAAAAAAAAAW0NvbnRlbnRfVHlwZXNdLnhtbFBLAQIt&#10;ABQABgAIAAAAIQA4/SH/1gAAAJQBAAALAAAAAAAAAAAAAAAAAC8BAABfcmVscy8ucmVsc1BLAQIt&#10;ABQABgAIAAAAIQBYkNGB5QEAALMDAAAOAAAAAAAAAAAAAAAAAC4CAABkcnMvZTJvRG9jLnhtbFBL&#10;AQItABQABgAIAAAAIQDbBbPH3wAAAAgBAAAPAAAAAAAAAAAAAAAAAD8EAABkcnMvZG93bnJldi54&#10;bWxQSwUGAAAAAAQABADzAAAASwUAAAAA&#10;" fillcolor="black" stroked="f">
                <w10:wrap anchorx="page" anchory="page"/>
              </v:rect>
            </w:pict>
          </mc:Fallback>
        </mc:AlternateContent>
      </w:r>
      <w:r w:rsidR="00B6752C" w:rsidRPr="00A71A6C">
        <w:rPr>
          <w:b/>
          <w:color w:val="0F0F0F"/>
          <w:w w:val="105"/>
          <w:sz w:val="20"/>
          <w:szCs w:val="20"/>
        </w:rPr>
        <w:t>Maven Income and Growth VCT</w:t>
      </w:r>
      <w:r w:rsidR="00F72A48">
        <w:rPr>
          <w:b/>
          <w:color w:val="0F0F0F"/>
          <w:w w:val="105"/>
          <w:sz w:val="20"/>
          <w:szCs w:val="20"/>
        </w:rPr>
        <w:t xml:space="preserve"> </w:t>
      </w:r>
      <w:r w:rsidR="003A6711">
        <w:rPr>
          <w:b/>
          <w:color w:val="0F0F0F"/>
          <w:w w:val="105"/>
          <w:sz w:val="20"/>
          <w:szCs w:val="20"/>
        </w:rPr>
        <w:t xml:space="preserve">5 </w:t>
      </w:r>
      <w:r w:rsidR="00B6752C" w:rsidRPr="00A71A6C">
        <w:rPr>
          <w:b/>
          <w:color w:val="0F0F0F"/>
          <w:w w:val="105"/>
          <w:sz w:val="20"/>
          <w:szCs w:val="20"/>
        </w:rPr>
        <w:t xml:space="preserve">PLC (the Company) Registered in England &amp; Wales; Company No. </w:t>
      </w:r>
      <w:r w:rsidR="003A6711" w:rsidRPr="003A6711">
        <w:rPr>
          <w:b/>
          <w:color w:val="0F0F0F"/>
          <w:w w:val="105"/>
          <w:sz w:val="20"/>
          <w:szCs w:val="20"/>
        </w:rPr>
        <w:t>04084875</w:t>
      </w:r>
    </w:p>
    <w:p w14:paraId="344FBE06" w14:textId="77777777" w:rsidR="00850A9F" w:rsidRPr="00A71A6C" w:rsidRDefault="00850A9F">
      <w:pPr>
        <w:pStyle w:val="BodyText"/>
        <w:rPr>
          <w:b/>
          <w:sz w:val="20"/>
          <w:szCs w:val="20"/>
        </w:rPr>
      </w:pPr>
    </w:p>
    <w:p w14:paraId="7239BC6D" w14:textId="77777777" w:rsidR="00850A9F" w:rsidRPr="00A71A6C" w:rsidRDefault="00850A9F">
      <w:pPr>
        <w:pStyle w:val="BodyText"/>
        <w:spacing w:before="9"/>
        <w:rPr>
          <w:b/>
          <w:sz w:val="20"/>
          <w:szCs w:val="20"/>
        </w:rPr>
      </w:pPr>
    </w:p>
    <w:p w14:paraId="2BFE900B" w14:textId="666E3587" w:rsidR="00850A9F" w:rsidRPr="00A71A6C" w:rsidRDefault="00B6752C" w:rsidP="005145A6">
      <w:pPr>
        <w:pStyle w:val="BodyText"/>
        <w:spacing w:line="242" w:lineRule="auto"/>
        <w:ind w:left="173"/>
        <w:rPr>
          <w:sz w:val="20"/>
          <w:szCs w:val="20"/>
        </w:rPr>
      </w:pPr>
      <w:r w:rsidRPr="00A71A6C">
        <w:rPr>
          <w:color w:val="0F0F0F"/>
          <w:sz w:val="20"/>
          <w:szCs w:val="20"/>
        </w:rPr>
        <w:t xml:space="preserve">At the General Meeting of the Company held at </w:t>
      </w:r>
      <w:r w:rsidR="005145A6" w:rsidRPr="005145A6">
        <w:rPr>
          <w:color w:val="0F0F0F"/>
          <w:sz w:val="20"/>
          <w:szCs w:val="20"/>
        </w:rPr>
        <w:t xml:space="preserve">Maven Capital Partners UK LLP, </w:t>
      </w:r>
      <w:r w:rsidR="00B81BE0">
        <w:rPr>
          <w:color w:val="0F0F0F"/>
          <w:sz w:val="20"/>
          <w:szCs w:val="20"/>
        </w:rPr>
        <w:t>6</w:t>
      </w:r>
      <w:r w:rsidR="00B81BE0" w:rsidRPr="00D455BD">
        <w:rPr>
          <w:color w:val="0F0F0F"/>
          <w:sz w:val="20"/>
          <w:szCs w:val="20"/>
          <w:vertAlign w:val="superscript"/>
        </w:rPr>
        <w:t>th</w:t>
      </w:r>
      <w:r w:rsidR="00B81BE0">
        <w:rPr>
          <w:color w:val="0F0F0F"/>
          <w:sz w:val="20"/>
          <w:szCs w:val="20"/>
        </w:rPr>
        <w:t xml:space="preserve"> Floor, Saddlers House, </w:t>
      </w:r>
      <w:r w:rsidR="00ED52A0">
        <w:rPr>
          <w:color w:val="0F0F0F"/>
          <w:sz w:val="20"/>
          <w:szCs w:val="20"/>
        </w:rPr>
        <w:t>44 Gutter Lane, London</w:t>
      </w:r>
      <w:r w:rsidR="006E1E87">
        <w:rPr>
          <w:color w:val="0F0F0F"/>
          <w:sz w:val="20"/>
          <w:szCs w:val="20"/>
        </w:rPr>
        <w:t xml:space="preserve"> </w:t>
      </w:r>
      <w:r w:rsidR="00ED52A0">
        <w:rPr>
          <w:color w:val="0F0F0F"/>
          <w:sz w:val="20"/>
          <w:szCs w:val="20"/>
        </w:rPr>
        <w:t>EC2V 6BR</w:t>
      </w:r>
      <w:r w:rsidR="005145A6" w:rsidRPr="005145A6">
        <w:rPr>
          <w:color w:val="0F0F0F"/>
          <w:sz w:val="20"/>
          <w:szCs w:val="20"/>
        </w:rPr>
        <w:t xml:space="preserve"> </w:t>
      </w:r>
      <w:r w:rsidRPr="006E1E87">
        <w:rPr>
          <w:sz w:val="20"/>
          <w:szCs w:val="20"/>
        </w:rPr>
        <w:t xml:space="preserve">on </w:t>
      </w:r>
      <w:r w:rsidR="00B81BE0">
        <w:rPr>
          <w:sz w:val="20"/>
          <w:szCs w:val="20"/>
        </w:rPr>
        <w:t>1</w:t>
      </w:r>
      <w:r w:rsidR="003304C1">
        <w:rPr>
          <w:sz w:val="20"/>
          <w:szCs w:val="20"/>
        </w:rPr>
        <w:t>3</w:t>
      </w:r>
      <w:r w:rsidR="005145A6" w:rsidRPr="006E1E87">
        <w:rPr>
          <w:sz w:val="20"/>
          <w:szCs w:val="20"/>
        </w:rPr>
        <w:t xml:space="preserve"> November 202</w:t>
      </w:r>
      <w:r w:rsidR="003304C1">
        <w:rPr>
          <w:sz w:val="20"/>
          <w:szCs w:val="20"/>
        </w:rPr>
        <w:t>5</w:t>
      </w:r>
      <w:r w:rsidRPr="006E1E87">
        <w:rPr>
          <w:sz w:val="20"/>
          <w:szCs w:val="20"/>
        </w:rPr>
        <w:t xml:space="preserve"> at </w:t>
      </w:r>
      <w:r w:rsidR="00F72A48" w:rsidRPr="006E1E87">
        <w:rPr>
          <w:sz w:val="20"/>
          <w:szCs w:val="20"/>
        </w:rPr>
        <w:t>2.</w:t>
      </w:r>
      <w:r w:rsidR="003A6711">
        <w:rPr>
          <w:sz w:val="20"/>
          <w:szCs w:val="20"/>
        </w:rPr>
        <w:t>3</w:t>
      </w:r>
      <w:r w:rsidR="00F72A48" w:rsidRPr="006E1E87">
        <w:rPr>
          <w:sz w:val="20"/>
          <w:szCs w:val="20"/>
        </w:rPr>
        <w:t>0p</w:t>
      </w:r>
      <w:r w:rsidRPr="006E1E87">
        <w:rPr>
          <w:sz w:val="20"/>
          <w:szCs w:val="20"/>
        </w:rPr>
        <w:t xml:space="preserve">m, </w:t>
      </w:r>
      <w:r w:rsidRPr="00A71A6C">
        <w:rPr>
          <w:color w:val="0F0F0F"/>
          <w:sz w:val="20"/>
          <w:szCs w:val="20"/>
        </w:rPr>
        <w:t>the following Resolutions were duly passed</w:t>
      </w:r>
      <w:r w:rsidRPr="00A71A6C">
        <w:rPr>
          <w:color w:val="4F4F4F"/>
          <w:sz w:val="20"/>
          <w:szCs w:val="20"/>
        </w:rPr>
        <w:t>:</w:t>
      </w:r>
    </w:p>
    <w:p w14:paraId="5FE8C5F1" w14:textId="77777777" w:rsidR="00850A9F" w:rsidRPr="00A71A6C" w:rsidRDefault="00850A9F">
      <w:pPr>
        <w:pStyle w:val="BodyText"/>
        <w:spacing w:before="8"/>
        <w:rPr>
          <w:sz w:val="20"/>
          <w:szCs w:val="20"/>
        </w:rPr>
      </w:pPr>
    </w:p>
    <w:p w14:paraId="7FFEA77B" w14:textId="7440D669" w:rsidR="00850A9F" w:rsidRPr="00A71A6C" w:rsidRDefault="00B6752C">
      <w:pPr>
        <w:ind w:left="170"/>
        <w:rPr>
          <w:b/>
          <w:sz w:val="20"/>
          <w:szCs w:val="20"/>
        </w:rPr>
      </w:pPr>
      <w:r w:rsidRPr="00A71A6C">
        <w:rPr>
          <w:b/>
          <w:color w:val="0F0F0F"/>
          <w:w w:val="105"/>
          <w:sz w:val="20"/>
          <w:szCs w:val="20"/>
        </w:rPr>
        <w:t>Ordinary Resolution</w:t>
      </w:r>
    </w:p>
    <w:p w14:paraId="676C2054" w14:textId="77777777" w:rsidR="00850A9F" w:rsidRPr="00A71A6C" w:rsidRDefault="00850A9F">
      <w:pPr>
        <w:pStyle w:val="BodyText"/>
        <w:spacing w:before="3"/>
        <w:rPr>
          <w:b/>
          <w:sz w:val="20"/>
          <w:szCs w:val="20"/>
        </w:rPr>
      </w:pPr>
    </w:p>
    <w:p w14:paraId="64D14507" w14:textId="6666CC91" w:rsidR="006E2E1D" w:rsidRPr="005145A6" w:rsidRDefault="005C202D" w:rsidP="005145A6">
      <w:pPr>
        <w:pStyle w:val="BodyText"/>
        <w:numPr>
          <w:ilvl w:val="0"/>
          <w:numId w:val="6"/>
        </w:numPr>
        <w:tabs>
          <w:tab w:val="left" w:pos="728"/>
        </w:tabs>
        <w:ind w:hanging="538"/>
        <w:rPr>
          <w:color w:val="0F0F0F"/>
          <w:sz w:val="20"/>
          <w:szCs w:val="20"/>
        </w:rPr>
      </w:pPr>
      <w:r w:rsidRPr="005C202D">
        <w:rPr>
          <w:color w:val="0F0F0F"/>
          <w:sz w:val="20"/>
          <w:szCs w:val="20"/>
        </w:rPr>
        <w:t xml:space="preserve">That, in addition to existing authorities, the directors of the Company be and are hereby generally and unconditionally </w:t>
      </w:r>
      <w:proofErr w:type="spellStart"/>
      <w:r w:rsidRPr="005C202D">
        <w:rPr>
          <w:color w:val="0F0F0F"/>
          <w:sz w:val="20"/>
          <w:szCs w:val="20"/>
        </w:rPr>
        <w:t>authorised</w:t>
      </w:r>
      <w:proofErr w:type="spellEnd"/>
      <w:r w:rsidRPr="005C202D">
        <w:rPr>
          <w:color w:val="0F0F0F"/>
          <w:sz w:val="20"/>
          <w:szCs w:val="20"/>
        </w:rPr>
        <w:t xml:space="preserve"> pursuant to section 551 of the Companies Act 2006 ("CA 2006") to exercise all the powers of the Company to allot and issue shares in the capital of the Company and to grant rights to subscribe for, or to convert any security into, shares in the capital of the Company (“Rights”) up to an aggregate nominal amount of </w:t>
      </w:r>
      <w:r w:rsidR="003A6711" w:rsidRPr="003A6711">
        <w:rPr>
          <w:color w:val="0F0F0F"/>
          <w:sz w:val="20"/>
          <w:szCs w:val="20"/>
        </w:rPr>
        <w:t>£4,560,000</w:t>
      </w:r>
      <w:r w:rsidRPr="005C202D">
        <w:rPr>
          <w:color w:val="0F0F0F"/>
          <w:sz w:val="20"/>
          <w:szCs w:val="20"/>
        </w:rPr>
        <w:t xml:space="preserve"> provided that the authority conferred by this resolution shall expire on the date falling 18 months from the passing of this resolution (unless renewed, varied or revoked by the Company in a general meeting), but so that this authority shall allow the Company to make before the expiry of this authority offers or agreements that would or might require shares to be allotted or Rights to be granted after such expiry and the directors shall be entitled to allot shares and grant Rights pursuant to any such offers or agreements as if the authority conferred by this resolution had not expired.</w:t>
      </w:r>
    </w:p>
    <w:p w14:paraId="3767A704" w14:textId="77777777" w:rsidR="005145A6" w:rsidRPr="00A71A6C" w:rsidRDefault="005145A6" w:rsidP="005145A6">
      <w:pPr>
        <w:pStyle w:val="BodyText"/>
        <w:rPr>
          <w:sz w:val="20"/>
          <w:szCs w:val="20"/>
        </w:rPr>
      </w:pPr>
    </w:p>
    <w:p w14:paraId="5385705D" w14:textId="7CAF4B1D" w:rsidR="00850A9F" w:rsidRPr="00A71A6C" w:rsidRDefault="00B6752C">
      <w:pPr>
        <w:ind w:left="161"/>
        <w:rPr>
          <w:b/>
          <w:color w:val="0F0F0F"/>
          <w:w w:val="105"/>
          <w:sz w:val="20"/>
          <w:szCs w:val="20"/>
        </w:rPr>
      </w:pPr>
      <w:r w:rsidRPr="00A71A6C">
        <w:rPr>
          <w:b/>
          <w:color w:val="0F0F0F"/>
          <w:w w:val="105"/>
          <w:sz w:val="20"/>
          <w:szCs w:val="20"/>
        </w:rPr>
        <w:t>Special Resolution</w:t>
      </w:r>
      <w:r w:rsidR="003304C1">
        <w:rPr>
          <w:b/>
          <w:color w:val="0F0F0F"/>
          <w:w w:val="105"/>
          <w:sz w:val="20"/>
          <w:szCs w:val="20"/>
        </w:rPr>
        <w:t>s</w:t>
      </w:r>
    </w:p>
    <w:p w14:paraId="0A250D1F" w14:textId="77777777" w:rsidR="00086773" w:rsidRPr="00A71A6C" w:rsidRDefault="00086773">
      <w:pPr>
        <w:ind w:left="161"/>
        <w:rPr>
          <w:b/>
          <w:sz w:val="20"/>
          <w:szCs w:val="20"/>
        </w:rPr>
      </w:pPr>
    </w:p>
    <w:p w14:paraId="13B7F17C" w14:textId="0374B0D2" w:rsidR="00850A9F" w:rsidRPr="005145A6" w:rsidRDefault="005C202D" w:rsidP="005145A6">
      <w:pPr>
        <w:pStyle w:val="ListParagraph"/>
        <w:numPr>
          <w:ilvl w:val="0"/>
          <w:numId w:val="6"/>
        </w:numPr>
        <w:tabs>
          <w:tab w:val="left" w:pos="728"/>
        </w:tabs>
        <w:spacing w:before="11" w:line="247" w:lineRule="auto"/>
        <w:ind w:right="108" w:hanging="538"/>
        <w:rPr>
          <w:sz w:val="20"/>
          <w:szCs w:val="20"/>
        </w:rPr>
      </w:pPr>
      <w:r w:rsidRPr="005C202D">
        <w:rPr>
          <w:color w:val="0F0F0F"/>
          <w:sz w:val="20"/>
          <w:szCs w:val="20"/>
        </w:rPr>
        <w:t xml:space="preserve">That, in addition to existing authorities, the directors of the Company be and hereby are empowered in accordance with sections 570 and 573 of CA 2006 to allot or make offers to or agreements to allot equity securities (which expression shall have the meaning ascribed to it in section 560(1) of the CA 2006) for cash pursuant to the authority given pursuant to resolution 1 set out above, as if section 561(1) of CA 2006 did not apply to such allotment and issue, provided that the power conferred by this resolution shall be limited to the allotment and issue of shares up to an aggregate nominal value of </w:t>
      </w:r>
      <w:r w:rsidR="003A6711" w:rsidRPr="003A6711">
        <w:rPr>
          <w:color w:val="0F0F0F"/>
          <w:sz w:val="20"/>
          <w:szCs w:val="20"/>
        </w:rPr>
        <w:t>£4,560,000</w:t>
      </w:r>
      <w:r w:rsidRPr="005C202D">
        <w:rPr>
          <w:color w:val="0F0F0F"/>
          <w:sz w:val="20"/>
          <w:szCs w:val="20"/>
        </w:rPr>
        <w:t xml:space="preserve"> in connection with offer(s) for subscription and provided further that the proceeds may be used, in whole or in part, to purchase the Company’s shares in the market and provided further that the authority conferred by this resolution shall expire on the date falling 18 months from the passing of this resolution (unless renewed, varied or revoked by the Company in a general meeting), but so that this authority shall allow the Company to make before the expiry of this authority offers or agreements that would or might require shares to be allotted or Rights to be granted after such expiry and the directors shall be entitled to allot shares and grant Rights pursuant to any such offers or agreements as if the authority conferred by this resolution had not expired.</w:t>
      </w:r>
    </w:p>
    <w:p w14:paraId="399609B3" w14:textId="77777777" w:rsidR="005145A6" w:rsidRDefault="005145A6" w:rsidP="005145A6">
      <w:pPr>
        <w:tabs>
          <w:tab w:val="left" w:pos="728"/>
        </w:tabs>
        <w:spacing w:before="11" w:line="247" w:lineRule="auto"/>
        <w:ind w:left="182" w:right="108"/>
        <w:rPr>
          <w:sz w:val="20"/>
          <w:szCs w:val="20"/>
        </w:rPr>
      </w:pPr>
    </w:p>
    <w:p w14:paraId="22B09308" w14:textId="7F142F80" w:rsidR="005C202D" w:rsidRPr="005C202D" w:rsidRDefault="005C202D" w:rsidP="005C202D">
      <w:pPr>
        <w:pStyle w:val="ListParagraph"/>
        <w:numPr>
          <w:ilvl w:val="0"/>
          <w:numId w:val="6"/>
        </w:numPr>
        <w:tabs>
          <w:tab w:val="left" w:pos="728"/>
        </w:tabs>
        <w:spacing w:before="11" w:line="247" w:lineRule="auto"/>
        <w:ind w:right="108" w:hanging="538"/>
        <w:rPr>
          <w:sz w:val="20"/>
          <w:szCs w:val="20"/>
        </w:rPr>
      </w:pPr>
      <w:r w:rsidRPr="005C202D">
        <w:rPr>
          <w:color w:val="0F0F0F"/>
          <w:sz w:val="20"/>
          <w:szCs w:val="20"/>
        </w:rPr>
        <w:t xml:space="preserve">That, subject to the sanction of the High Court of Justice, the amount of </w:t>
      </w:r>
      <w:r w:rsidR="003A6711" w:rsidRPr="003A6711">
        <w:rPr>
          <w:color w:val="0F0F0F"/>
          <w:sz w:val="20"/>
          <w:szCs w:val="20"/>
        </w:rPr>
        <w:t>£31,700,000</w:t>
      </w:r>
      <w:r w:rsidRPr="005C202D">
        <w:rPr>
          <w:color w:val="0F0F0F"/>
          <w:sz w:val="20"/>
          <w:szCs w:val="20"/>
        </w:rPr>
        <w:t xml:space="preserve"> standing to the credit of the share premium account of the Company, at the date an order is made confirming such cancellation by the Court, be and hereby is cancelled, and the amount by which the share capital is so reduced be credited to a reserve of the Company.</w:t>
      </w:r>
    </w:p>
    <w:p w14:paraId="41F0B248" w14:textId="77777777" w:rsidR="005C202D" w:rsidRPr="005145A6" w:rsidRDefault="005C202D" w:rsidP="005C202D">
      <w:pPr>
        <w:pStyle w:val="ListParagraph"/>
        <w:tabs>
          <w:tab w:val="left" w:pos="728"/>
        </w:tabs>
        <w:spacing w:before="11" w:line="247" w:lineRule="auto"/>
        <w:ind w:left="720" w:right="108" w:firstLine="0"/>
        <w:rPr>
          <w:sz w:val="20"/>
          <w:szCs w:val="20"/>
        </w:rPr>
      </w:pPr>
    </w:p>
    <w:p w14:paraId="6B054C7B" w14:textId="2B06FDE2" w:rsidR="005C202D" w:rsidRPr="005145A6" w:rsidRDefault="005C202D" w:rsidP="005C202D">
      <w:pPr>
        <w:pStyle w:val="ListParagraph"/>
        <w:numPr>
          <w:ilvl w:val="0"/>
          <w:numId w:val="6"/>
        </w:numPr>
        <w:tabs>
          <w:tab w:val="left" w:pos="728"/>
        </w:tabs>
        <w:spacing w:before="11" w:line="247" w:lineRule="auto"/>
        <w:ind w:right="108" w:hanging="538"/>
        <w:rPr>
          <w:sz w:val="20"/>
          <w:szCs w:val="20"/>
        </w:rPr>
      </w:pPr>
      <w:r w:rsidRPr="005C202D">
        <w:rPr>
          <w:color w:val="0F0F0F"/>
          <w:sz w:val="20"/>
          <w:szCs w:val="20"/>
        </w:rPr>
        <w:t>That, subject to the sanction of the High Court of Justice, the amount standing to the credit of the capital redemption reserve of the Company, at the date an order is made confirming such cancellation by the Court, be and hereby is cancelled, and the amount by which the share capital is so reduced be credited to a reserve of the Company.</w:t>
      </w:r>
    </w:p>
    <w:p w14:paraId="1A10CFB0" w14:textId="77777777" w:rsidR="00D81CD0" w:rsidRDefault="00D81CD0">
      <w:pPr>
        <w:pStyle w:val="BodyText"/>
        <w:ind w:left="120"/>
        <w:rPr>
          <w:b/>
          <w:bCs/>
          <w:color w:val="0F0F0F"/>
          <w:sz w:val="20"/>
          <w:szCs w:val="20"/>
        </w:rPr>
      </w:pPr>
    </w:p>
    <w:p w14:paraId="2D12AE7A" w14:textId="718518AE" w:rsidR="00850A9F" w:rsidRPr="00A71A6C" w:rsidRDefault="00B6752C">
      <w:pPr>
        <w:pStyle w:val="BodyText"/>
        <w:ind w:left="120"/>
        <w:rPr>
          <w:b/>
          <w:bCs/>
          <w:sz w:val="20"/>
          <w:szCs w:val="20"/>
        </w:rPr>
      </w:pPr>
      <w:r w:rsidRPr="00A71A6C">
        <w:rPr>
          <w:b/>
          <w:bCs/>
          <w:color w:val="0F0F0F"/>
          <w:sz w:val="20"/>
          <w:szCs w:val="20"/>
        </w:rPr>
        <w:t>Maven Capital Partners UK LLP, Secretary</w:t>
      </w:r>
    </w:p>
    <w:p w14:paraId="40F6B2DF" w14:textId="4C7FC802" w:rsidR="00922F71" w:rsidRPr="00A71A6C" w:rsidRDefault="00DE5239">
      <w:pPr>
        <w:pStyle w:val="BodyText"/>
        <w:rPr>
          <w:b/>
          <w:bCs/>
          <w:sz w:val="20"/>
          <w:szCs w:val="20"/>
        </w:rPr>
      </w:pPr>
      <w:r>
        <w:rPr>
          <w:b/>
          <w:bCs/>
          <w:noProof/>
          <w:sz w:val="20"/>
          <w:szCs w:val="20"/>
        </w:rPr>
        <w:drawing>
          <wp:inline distT="0" distB="0" distL="0" distR="0" wp14:anchorId="5D28E51E" wp14:editId="7AB8E72F">
            <wp:extent cx="904875" cy="580390"/>
            <wp:effectExtent l="0" t="0" r="9525" b="0"/>
            <wp:docPr id="17147295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729537" name="Picture 1714729537"/>
                    <pic:cNvPicPr/>
                  </pic:nvPicPr>
                  <pic:blipFill>
                    <a:blip r:embed="rId7">
                      <a:extLst>
                        <a:ext uri="{28A0092B-C50C-407E-A947-70E740481C1C}">
                          <a14:useLocalDpi xmlns:a14="http://schemas.microsoft.com/office/drawing/2010/main" val="0"/>
                        </a:ext>
                      </a:extLst>
                    </a:blip>
                    <a:stretch>
                      <a:fillRect/>
                    </a:stretch>
                  </pic:blipFill>
                  <pic:spPr>
                    <a:xfrm>
                      <a:off x="0" y="0"/>
                      <a:ext cx="924339" cy="592874"/>
                    </a:xfrm>
                    <a:prstGeom prst="rect">
                      <a:avLst/>
                    </a:prstGeom>
                  </pic:spPr>
                </pic:pic>
              </a:graphicData>
            </a:graphic>
          </wp:inline>
        </w:drawing>
      </w:r>
    </w:p>
    <w:p w14:paraId="67ECC337" w14:textId="77777777" w:rsidR="009B63EC" w:rsidRPr="00A71A6C" w:rsidRDefault="00B6752C" w:rsidP="009B63EC">
      <w:pPr>
        <w:pStyle w:val="BodyText"/>
        <w:spacing w:before="1" w:line="254" w:lineRule="auto"/>
        <w:ind w:left="114" w:right="7742"/>
        <w:rPr>
          <w:b/>
          <w:bCs/>
          <w:color w:val="0F0F0F"/>
          <w:sz w:val="20"/>
          <w:szCs w:val="20"/>
        </w:rPr>
      </w:pPr>
      <w:proofErr w:type="spellStart"/>
      <w:r w:rsidRPr="00A71A6C">
        <w:rPr>
          <w:b/>
          <w:bCs/>
          <w:color w:val="0F0F0F"/>
          <w:sz w:val="20"/>
          <w:szCs w:val="20"/>
        </w:rPr>
        <w:t>Authorised</w:t>
      </w:r>
      <w:proofErr w:type="spellEnd"/>
      <w:r w:rsidR="009B63EC" w:rsidRPr="00A71A6C">
        <w:rPr>
          <w:b/>
          <w:bCs/>
          <w:color w:val="0F0F0F"/>
          <w:sz w:val="20"/>
          <w:szCs w:val="20"/>
        </w:rPr>
        <w:t xml:space="preserve"> S</w:t>
      </w:r>
      <w:r w:rsidRPr="00A71A6C">
        <w:rPr>
          <w:b/>
          <w:bCs/>
          <w:color w:val="0F0F0F"/>
          <w:sz w:val="20"/>
          <w:szCs w:val="20"/>
        </w:rPr>
        <w:t>ignatory</w:t>
      </w:r>
    </w:p>
    <w:p w14:paraId="43C64AD4" w14:textId="342D0ABE" w:rsidR="006E2E1D" w:rsidRDefault="00B81BE0">
      <w:pPr>
        <w:pStyle w:val="BodyText"/>
        <w:spacing w:before="1" w:line="254" w:lineRule="auto"/>
        <w:ind w:left="114" w:right="8112"/>
        <w:rPr>
          <w:b/>
          <w:bCs/>
          <w:color w:val="0F0F0F"/>
          <w:sz w:val="20"/>
          <w:szCs w:val="20"/>
        </w:rPr>
      </w:pPr>
      <w:r>
        <w:rPr>
          <w:b/>
          <w:bCs/>
          <w:color w:val="0F0F0F"/>
          <w:sz w:val="20"/>
          <w:szCs w:val="20"/>
        </w:rPr>
        <w:t>1</w:t>
      </w:r>
      <w:r w:rsidR="003304C1">
        <w:rPr>
          <w:b/>
          <w:bCs/>
          <w:color w:val="0F0F0F"/>
          <w:sz w:val="20"/>
          <w:szCs w:val="20"/>
        </w:rPr>
        <w:t>3</w:t>
      </w:r>
      <w:r>
        <w:rPr>
          <w:b/>
          <w:bCs/>
          <w:color w:val="0F0F0F"/>
          <w:sz w:val="20"/>
          <w:szCs w:val="20"/>
        </w:rPr>
        <w:t xml:space="preserve"> November 202</w:t>
      </w:r>
      <w:r w:rsidR="003304C1">
        <w:rPr>
          <w:b/>
          <w:bCs/>
          <w:color w:val="0F0F0F"/>
          <w:sz w:val="20"/>
          <w:szCs w:val="20"/>
        </w:rPr>
        <w:t>5</w:t>
      </w:r>
    </w:p>
    <w:sectPr w:rsidR="006E2E1D" w:rsidSect="00670736">
      <w:type w:val="continuous"/>
      <w:pgSz w:w="11910" w:h="16830"/>
      <w:pgMar w:top="993" w:right="900" w:bottom="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44481" w14:textId="77777777" w:rsidR="00360C55" w:rsidRDefault="00360C55" w:rsidP="006E2E1D">
      <w:r>
        <w:separator/>
      </w:r>
    </w:p>
  </w:endnote>
  <w:endnote w:type="continuationSeparator" w:id="0">
    <w:p w14:paraId="15C7C9F1" w14:textId="77777777" w:rsidR="00360C55" w:rsidRDefault="00360C55" w:rsidP="006E2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FDC42" w14:textId="77777777" w:rsidR="00360C55" w:rsidRDefault="00360C55" w:rsidP="006E2E1D">
      <w:r>
        <w:separator/>
      </w:r>
    </w:p>
  </w:footnote>
  <w:footnote w:type="continuationSeparator" w:id="0">
    <w:p w14:paraId="1AACBE83" w14:textId="77777777" w:rsidR="00360C55" w:rsidRDefault="00360C55" w:rsidP="006E2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2D9"/>
    <w:multiLevelType w:val="hybridMultilevel"/>
    <w:tmpl w:val="8DDA7AE6"/>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abstractNum w:abstractNumId="1" w15:restartNumberingAfterBreak="0">
    <w:nsid w:val="2AF2415B"/>
    <w:multiLevelType w:val="hybridMultilevel"/>
    <w:tmpl w:val="62CA7562"/>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abstractNum w:abstractNumId="2" w15:restartNumberingAfterBreak="0">
    <w:nsid w:val="2EE13110"/>
    <w:multiLevelType w:val="hybridMultilevel"/>
    <w:tmpl w:val="1D280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2A438D"/>
    <w:multiLevelType w:val="multilevel"/>
    <w:tmpl w:val="765634D8"/>
    <w:name w:val="Main Numbering"/>
    <w:styleLink w:val="MainNumbering"/>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1984" w:hanging="1134"/>
      </w:pPr>
      <w:rPr>
        <w:color w:val="auto"/>
      </w:rPr>
    </w:lvl>
    <w:lvl w:ilvl="3">
      <w:start w:val="1"/>
      <w:numFmt w:val="decimal"/>
      <w:pStyle w:val="Level4"/>
      <w:lvlText w:val="%1.%2.%3.%4"/>
      <w:lvlJc w:val="left"/>
      <w:pPr>
        <w:ind w:left="3402" w:hanging="1418"/>
      </w:pPr>
      <w:rPr>
        <w:color w:val="auto"/>
      </w:rPr>
    </w:lvl>
    <w:lvl w:ilvl="4">
      <w:start w:val="1"/>
      <w:numFmt w:val="lowerLetter"/>
      <w:pStyle w:val="Level5"/>
      <w:lvlText w:val="(%5)"/>
      <w:lvlJc w:val="left"/>
      <w:pPr>
        <w:ind w:left="3969" w:hanging="567"/>
      </w:pPr>
      <w:rPr>
        <w:color w:val="auto"/>
      </w:rPr>
    </w:lvl>
    <w:lvl w:ilvl="5">
      <w:start w:val="1"/>
      <w:numFmt w:val="lowerRoman"/>
      <w:pStyle w:val="Level6"/>
      <w:lvlText w:val="(%6)"/>
      <w:lvlJc w:val="left"/>
      <w:pPr>
        <w:ind w:left="4535" w:hanging="566"/>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931508B"/>
    <w:multiLevelType w:val="hybridMultilevel"/>
    <w:tmpl w:val="8DDA7AE6"/>
    <w:lvl w:ilvl="0" w:tplc="AC12D4A0">
      <w:start w:val="1"/>
      <w:numFmt w:val="decimal"/>
      <w:lvlText w:val="%1."/>
      <w:lvlJc w:val="left"/>
      <w:pPr>
        <w:ind w:left="857" w:hanging="348"/>
      </w:pPr>
      <w:rPr>
        <w:rFonts w:ascii="Arial" w:eastAsia="Arial" w:hAnsi="Arial" w:cs="Arial" w:hint="default"/>
        <w:color w:val="0F0F0F"/>
        <w:spacing w:val="-1"/>
        <w:w w:val="97"/>
        <w:sz w:val="19"/>
        <w:szCs w:val="19"/>
      </w:rPr>
    </w:lvl>
    <w:lvl w:ilvl="1" w:tplc="AF723896">
      <w:numFmt w:val="bullet"/>
      <w:lvlText w:val="•"/>
      <w:lvlJc w:val="left"/>
      <w:pPr>
        <w:ind w:left="1774" w:hanging="348"/>
      </w:pPr>
      <w:rPr>
        <w:rFonts w:hint="default"/>
      </w:rPr>
    </w:lvl>
    <w:lvl w:ilvl="2" w:tplc="33D28CE0">
      <w:numFmt w:val="bullet"/>
      <w:lvlText w:val="•"/>
      <w:lvlJc w:val="left"/>
      <w:pPr>
        <w:ind w:left="2688" w:hanging="348"/>
      </w:pPr>
      <w:rPr>
        <w:rFonts w:hint="default"/>
      </w:rPr>
    </w:lvl>
    <w:lvl w:ilvl="3" w:tplc="E3BC5D7A">
      <w:numFmt w:val="bullet"/>
      <w:lvlText w:val="•"/>
      <w:lvlJc w:val="left"/>
      <w:pPr>
        <w:ind w:left="3603" w:hanging="348"/>
      </w:pPr>
      <w:rPr>
        <w:rFonts w:hint="default"/>
      </w:rPr>
    </w:lvl>
    <w:lvl w:ilvl="4" w:tplc="A3E0402E">
      <w:numFmt w:val="bullet"/>
      <w:lvlText w:val="•"/>
      <w:lvlJc w:val="left"/>
      <w:pPr>
        <w:ind w:left="4517" w:hanging="348"/>
      </w:pPr>
      <w:rPr>
        <w:rFonts w:hint="default"/>
      </w:rPr>
    </w:lvl>
    <w:lvl w:ilvl="5" w:tplc="B7583086">
      <w:numFmt w:val="bullet"/>
      <w:lvlText w:val="•"/>
      <w:lvlJc w:val="left"/>
      <w:pPr>
        <w:ind w:left="5432" w:hanging="348"/>
      </w:pPr>
      <w:rPr>
        <w:rFonts w:hint="default"/>
      </w:rPr>
    </w:lvl>
    <w:lvl w:ilvl="6" w:tplc="D876CC08">
      <w:numFmt w:val="bullet"/>
      <w:lvlText w:val="•"/>
      <w:lvlJc w:val="left"/>
      <w:pPr>
        <w:ind w:left="6346" w:hanging="348"/>
      </w:pPr>
      <w:rPr>
        <w:rFonts w:hint="default"/>
      </w:rPr>
    </w:lvl>
    <w:lvl w:ilvl="7" w:tplc="D62E5862">
      <w:numFmt w:val="bullet"/>
      <w:lvlText w:val="•"/>
      <w:lvlJc w:val="left"/>
      <w:pPr>
        <w:ind w:left="7260" w:hanging="348"/>
      </w:pPr>
      <w:rPr>
        <w:rFonts w:hint="default"/>
      </w:rPr>
    </w:lvl>
    <w:lvl w:ilvl="8" w:tplc="360E37DC">
      <w:numFmt w:val="bullet"/>
      <w:lvlText w:val="•"/>
      <w:lvlJc w:val="left"/>
      <w:pPr>
        <w:ind w:left="8175" w:hanging="348"/>
      </w:pPr>
      <w:rPr>
        <w:rFonts w:hint="default"/>
      </w:rPr>
    </w:lvl>
  </w:abstractNum>
  <w:num w:numId="1" w16cid:durableId="1976830874">
    <w:abstractNumId w:val="4"/>
  </w:num>
  <w:num w:numId="2" w16cid:durableId="1689333567">
    <w:abstractNumId w:val="3"/>
  </w:num>
  <w:num w:numId="3" w16cid:durableId="400548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8670419">
    <w:abstractNumId w:val="1"/>
  </w:num>
  <w:num w:numId="5" w16cid:durableId="466355897">
    <w:abstractNumId w:val="0"/>
  </w:num>
  <w:num w:numId="6" w16cid:durableId="1374498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9F"/>
    <w:rsid w:val="0000460D"/>
    <w:rsid w:val="00086773"/>
    <w:rsid w:val="000D0DBD"/>
    <w:rsid w:val="00115B3D"/>
    <w:rsid w:val="00124FF7"/>
    <w:rsid w:val="003304C1"/>
    <w:rsid w:val="00360C55"/>
    <w:rsid w:val="00395C67"/>
    <w:rsid w:val="003A6711"/>
    <w:rsid w:val="00410729"/>
    <w:rsid w:val="005145A6"/>
    <w:rsid w:val="00573607"/>
    <w:rsid w:val="005C202D"/>
    <w:rsid w:val="00670736"/>
    <w:rsid w:val="006E1E87"/>
    <w:rsid w:val="006E2E1D"/>
    <w:rsid w:val="006E3489"/>
    <w:rsid w:val="007E677C"/>
    <w:rsid w:val="00850A9F"/>
    <w:rsid w:val="008C7135"/>
    <w:rsid w:val="0091049F"/>
    <w:rsid w:val="00922F71"/>
    <w:rsid w:val="009B63EC"/>
    <w:rsid w:val="00A0207B"/>
    <w:rsid w:val="00A10328"/>
    <w:rsid w:val="00A71A6C"/>
    <w:rsid w:val="00A81A50"/>
    <w:rsid w:val="00B6752C"/>
    <w:rsid w:val="00B81BE0"/>
    <w:rsid w:val="00B87DAF"/>
    <w:rsid w:val="00C9268A"/>
    <w:rsid w:val="00D455BD"/>
    <w:rsid w:val="00D81CD0"/>
    <w:rsid w:val="00DE5239"/>
    <w:rsid w:val="00ED52A0"/>
    <w:rsid w:val="00F4022F"/>
    <w:rsid w:val="00F40ABD"/>
    <w:rsid w:val="00F72A48"/>
    <w:rsid w:val="00F84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FF355"/>
  <w15:docId w15:val="{698889D3-7FDF-4700-AEC4-2E6838B6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819" w:right="102" w:hanging="34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2E1D"/>
    <w:pPr>
      <w:tabs>
        <w:tab w:val="center" w:pos="4513"/>
        <w:tab w:val="right" w:pos="9026"/>
      </w:tabs>
    </w:pPr>
  </w:style>
  <w:style w:type="character" w:customStyle="1" w:styleId="HeaderChar">
    <w:name w:val="Header Char"/>
    <w:basedOn w:val="DefaultParagraphFont"/>
    <w:link w:val="Header"/>
    <w:uiPriority w:val="99"/>
    <w:rsid w:val="006E2E1D"/>
    <w:rPr>
      <w:rFonts w:ascii="Arial" w:eastAsia="Arial" w:hAnsi="Arial" w:cs="Arial"/>
    </w:rPr>
  </w:style>
  <w:style w:type="paragraph" w:styleId="Footer">
    <w:name w:val="footer"/>
    <w:basedOn w:val="Normal"/>
    <w:link w:val="FooterChar"/>
    <w:uiPriority w:val="99"/>
    <w:unhideWhenUsed/>
    <w:rsid w:val="006E2E1D"/>
    <w:pPr>
      <w:tabs>
        <w:tab w:val="center" w:pos="4513"/>
        <w:tab w:val="right" w:pos="9026"/>
      </w:tabs>
    </w:pPr>
  </w:style>
  <w:style w:type="character" w:customStyle="1" w:styleId="FooterChar">
    <w:name w:val="Footer Char"/>
    <w:basedOn w:val="DefaultParagraphFont"/>
    <w:link w:val="Footer"/>
    <w:uiPriority w:val="99"/>
    <w:rsid w:val="006E2E1D"/>
    <w:rPr>
      <w:rFonts w:ascii="Arial" w:eastAsia="Arial" w:hAnsi="Arial" w:cs="Arial"/>
    </w:rPr>
  </w:style>
  <w:style w:type="paragraph" w:styleId="TOC1">
    <w:name w:val="toc 1"/>
    <w:basedOn w:val="Normal"/>
    <w:next w:val="Normal"/>
    <w:autoRedefine/>
    <w:uiPriority w:val="39"/>
    <w:semiHidden/>
    <w:unhideWhenUsed/>
    <w:rsid w:val="006E2E1D"/>
    <w:pPr>
      <w:spacing w:after="100"/>
    </w:pPr>
  </w:style>
  <w:style w:type="paragraph" w:customStyle="1" w:styleId="Body">
    <w:name w:val="Body"/>
    <w:basedOn w:val="Normal"/>
    <w:uiPriority w:val="99"/>
    <w:qFormat/>
    <w:rsid w:val="006E2E1D"/>
    <w:pPr>
      <w:widowControl/>
      <w:autoSpaceDE/>
      <w:autoSpaceDN/>
      <w:spacing w:after="220"/>
      <w:jc w:val="both"/>
    </w:pPr>
    <w:rPr>
      <w:rFonts w:asciiTheme="minorHAnsi" w:eastAsiaTheme="minorHAnsi" w:hAnsiTheme="minorHAnsi" w:cstheme="minorBidi"/>
      <w:lang w:val="en-GB"/>
    </w:rPr>
  </w:style>
  <w:style w:type="numbering" w:customStyle="1" w:styleId="MainNumbering">
    <w:name w:val="Main Numbering"/>
    <w:basedOn w:val="NoList"/>
    <w:rsid w:val="006E2E1D"/>
    <w:pPr>
      <w:numPr>
        <w:numId w:val="2"/>
      </w:numPr>
    </w:pPr>
  </w:style>
  <w:style w:type="paragraph" w:customStyle="1" w:styleId="Level1">
    <w:name w:val="Level 1"/>
    <w:basedOn w:val="Normal"/>
    <w:uiPriority w:val="1"/>
    <w:qFormat/>
    <w:rsid w:val="006E2E1D"/>
    <w:pPr>
      <w:widowControl/>
      <w:numPr>
        <w:numId w:val="2"/>
      </w:numPr>
      <w:autoSpaceDE/>
      <w:autoSpaceDN/>
      <w:spacing w:after="220"/>
      <w:jc w:val="both"/>
    </w:pPr>
    <w:rPr>
      <w:rFonts w:asciiTheme="minorHAnsi" w:eastAsiaTheme="minorHAnsi" w:hAnsiTheme="minorHAnsi" w:cstheme="minorBidi"/>
      <w:lang w:val="en-GB"/>
    </w:rPr>
  </w:style>
  <w:style w:type="paragraph" w:customStyle="1" w:styleId="Level2">
    <w:name w:val="Level 2"/>
    <w:basedOn w:val="Normal"/>
    <w:uiPriority w:val="1"/>
    <w:qFormat/>
    <w:rsid w:val="006E2E1D"/>
    <w:pPr>
      <w:widowControl/>
      <w:numPr>
        <w:ilvl w:val="1"/>
        <w:numId w:val="2"/>
      </w:numPr>
      <w:autoSpaceDE/>
      <w:autoSpaceDN/>
      <w:spacing w:after="220"/>
      <w:jc w:val="both"/>
    </w:pPr>
    <w:rPr>
      <w:rFonts w:asciiTheme="minorHAnsi" w:eastAsiaTheme="minorHAnsi" w:hAnsiTheme="minorHAnsi" w:cstheme="minorBidi"/>
      <w:lang w:val="en-GB"/>
    </w:rPr>
  </w:style>
  <w:style w:type="paragraph" w:customStyle="1" w:styleId="Level3">
    <w:name w:val="Level 3"/>
    <w:basedOn w:val="Normal"/>
    <w:uiPriority w:val="1"/>
    <w:qFormat/>
    <w:rsid w:val="006E2E1D"/>
    <w:pPr>
      <w:widowControl/>
      <w:numPr>
        <w:ilvl w:val="2"/>
        <w:numId w:val="2"/>
      </w:numPr>
      <w:autoSpaceDE/>
      <w:autoSpaceDN/>
      <w:spacing w:after="220"/>
      <w:jc w:val="both"/>
    </w:pPr>
    <w:rPr>
      <w:rFonts w:asciiTheme="minorHAnsi" w:eastAsiaTheme="minorHAnsi" w:hAnsiTheme="minorHAnsi" w:cstheme="minorBidi"/>
      <w:lang w:val="en-GB"/>
    </w:rPr>
  </w:style>
  <w:style w:type="paragraph" w:customStyle="1" w:styleId="Level4">
    <w:name w:val="Level 4"/>
    <w:basedOn w:val="Normal"/>
    <w:uiPriority w:val="1"/>
    <w:qFormat/>
    <w:rsid w:val="006E2E1D"/>
    <w:pPr>
      <w:widowControl/>
      <w:numPr>
        <w:ilvl w:val="3"/>
        <w:numId w:val="2"/>
      </w:numPr>
      <w:autoSpaceDE/>
      <w:autoSpaceDN/>
      <w:spacing w:after="220"/>
      <w:jc w:val="both"/>
    </w:pPr>
    <w:rPr>
      <w:rFonts w:asciiTheme="minorHAnsi" w:eastAsiaTheme="minorHAnsi" w:hAnsiTheme="minorHAnsi" w:cstheme="minorBidi"/>
      <w:lang w:val="en-GB"/>
    </w:rPr>
  </w:style>
  <w:style w:type="paragraph" w:customStyle="1" w:styleId="Level5">
    <w:name w:val="Level 5"/>
    <w:basedOn w:val="Normal"/>
    <w:uiPriority w:val="1"/>
    <w:qFormat/>
    <w:rsid w:val="006E2E1D"/>
    <w:pPr>
      <w:widowControl/>
      <w:numPr>
        <w:ilvl w:val="4"/>
        <w:numId w:val="2"/>
      </w:numPr>
      <w:autoSpaceDE/>
      <w:autoSpaceDN/>
      <w:spacing w:after="220"/>
      <w:jc w:val="both"/>
    </w:pPr>
    <w:rPr>
      <w:rFonts w:asciiTheme="minorHAnsi" w:eastAsiaTheme="minorHAnsi" w:hAnsiTheme="minorHAnsi" w:cstheme="minorBidi"/>
      <w:lang w:val="en-GB"/>
    </w:rPr>
  </w:style>
  <w:style w:type="paragraph" w:customStyle="1" w:styleId="Level6">
    <w:name w:val="Level 6"/>
    <w:basedOn w:val="Normal"/>
    <w:uiPriority w:val="1"/>
    <w:qFormat/>
    <w:rsid w:val="006E2E1D"/>
    <w:pPr>
      <w:widowControl/>
      <w:numPr>
        <w:ilvl w:val="5"/>
        <w:numId w:val="2"/>
      </w:numPr>
      <w:autoSpaceDE/>
      <w:autoSpaceDN/>
      <w:spacing w:after="220"/>
      <w:jc w:val="both"/>
    </w:pPr>
    <w:rPr>
      <w:rFonts w:asciiTheme="minorHAnsi" w:eastAsiaTheme="minorHAnsi" w:hAnsiTheme="minorHAnsi" w:cstheme="minorBidi"/>
      <w:lang w:val="en-GB"/>
    </w:rPr>
  </w:style>
  <w:style w:type="paragraph" w:styleId="BalloonText">
    <w:name w:val="Balloon Text"/>
    <w:basedOn w:val="Normal"/>
    <w:link w:val="BalloonTextChar"/>
    <w:uiPriority w:val="99"/>
    <w:semiHidden/>
    <w:unhideWhenUsed/>
    <w:rsid w:val="00F84449"/>
    <w:rPr>
      <w:rFonts w:ascii="Tahoma" w:hAnsi="Tahoma" w:cs="Tahoma"/>
      <w:sz w:val="16"/>
      <w:szCs w:val="16"/>
    </w:rPr>
  </w:style>
  <w:style w:type="character" w:customStyle="1" w:styleId="BalloonTextChar">
    <w:name w:val="Balloon Text Char"/>
    <w:basedOn w:val="DefaultParagraphFont"/>
    <w:link w:val="BalloonText"/>
    <w:uiPriority w:val="99"/>
    <w:semiHidden/>
    <w:rsid w:val="00F84449"/>
    <w:rPr>
      <w:rFonts w:ascii="Tahoma" w:eastAsia="Arial" w:hAnsi="Tahoma" w:cs="Tahoma"/>
      <w:sz w:val="16"/>
      <w:szCs w:val="16"/>
    </w:rPr>
  </w:style>
  <w:style w:type="paragraph" w:styleId="Revision">
    <w:name w:val="Revision"/>
    <w:hidden/>
    <w:uiPriority w:val="99"/>
    <w:semiHidden/>
    <w:rsid w:val="00B81BE0"/>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616</Words>
  <Characters>2960</Characters>
  <Application>Microsoft Office Word</Application>
  <DocSecurity>0</DocSecurity>
  <Lines>54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Scalley</dc:creator>
  <cp:lastModifiedBy>David Russell</cp:lastModifiedBy>
  <cp:revision>3</cp:revision>
  <dcterms:created xsi:type="dcterms:W3CDTF">2025-11-05T16:07:00Z</dcterms:created>
  <dcterms:modified xsi:type="dcterms:W3CDTF">2025-11-05T16:09:00Z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2018-10-26T00:00:00Z</vt:filetime>
  </property>
  <property fmtid="{D5CDD505-2E9C-101B-9397-08002B2CF9AE}" pid="3" name="Creator">
    <vt:lpwstr>Canon iR-ADV C5560  PDF</vt:lpwstr>
  </property>
  <property fmtid="{D5CDD505-2E9C-101B-9397-08002B2CF9AE}" pid="4" name="LastSaved">
    <vt:filetime>2018-10-26T00:00:00Z</vt:filetime>
  </property>
</Properties>
</file>