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4951B" w14:textId="2627A105" w:rsidR="003A520D" w:rsidRDefault="003A520D" w:rsidP="00E21C0A">
      <w:pPr>
        <w:jc w:val="center"/>
        <w:rPr>
          <w:rFonts w:ascii="Arial" w:hAnsi="Arial" w:cs="Arial"/>
          <w:b/>
          <w:sz w:val="24"/>
          <w:szCs w:val="24"/>
        </w:rPr>
      </w:pPr>
      <w:bookmarkStart w:id="0" w:name="_GoBack"/>
      <w:bookmarkEnd w:id="0"/>
      <w:r>
        <w:rPr>
          <w:rFonts w:ascii="Arial" w:hAnsi="Arial" w:cs="Arial"/>
          <w:b/>
          <w:sz w:val="24"/>
          <w:szCs w:val="24"/>
        </w:rPr>
        <w:t>COMPANIES ACT 2006</w:t>
      </w:r>
    </w:p>
    <w:p w14:paraId="59590BB7" w14:textId="2139A0AF" w:rsidR="003A520D" w:rsidRPr="003A520D" w:rsidRDefault="003A520D" w:rsidP="00E21C0A">
      <w:pPr>
        <w:jc w:val="center"/>
        <w:rPr>
          <w:rFonts w:ascii="Arial" w:hAnsi="Arial" w:cs="Arial"/>
          <w:b/>
          <w:sz w:val="24"/>
          <w:szCs w:val="24"/>
        </w:rPr>
      </w:pPr>
      <w:r>
        <w:rPr>
          <w:rFonts w:ascii="Arial" w:hAnsi="Arial" w:cs="Arial"/>
          <w:b/>
          <w:sz w:val="24"/>
          <w:szCs w:val="24"/>
        </w:rPr>
        <w:t>PUBLIC COMPANY LIMITED BY SHARES</w:t>
      </w:r>
    </w:p>
    <w:p w14:paraId="483A413C" w14:textId="0C9CD7EF" w:rsidR="002F7ED1" w:rsidRPr="00412CE6" w:rsidRDefault="00E21C0A" w:rsidP="00E21C0A">
      <w:pPr>
        <w:jc w:val="center"/>
        <w:rPr>
          <w:rFonts w:ascii="Arial" w:hAnsi="Arial" w:cs="Arial"/>
          <w:b/>
          <w:sz w:val="28"/>
          <w:szCs w:val="28"/>
        </w:rPr>
      </w:pPr>
      <w:r w:rsidRPr="00412CE6">
        <w:rPr>
          <w:rFonts w:ascii="Arial" w:hAnsi="Arial" w:cs="Arial"/>
          <w:b/>
          <w:sz w:val="28"/>
          <w:szCs w:val="28"/>
        </w:rPr>
        <w:t>TULLOW OIL PLC</w:t>
      </w:r>
    </w:p>
    <w:p w14:paraId="7DE5881D" w14:textId="77777777" w:rsidR="00E21C0A" w:rsidRPr="00E21C0A" w:rsidRDefault="00E21C0A" w:rsidP="00E21C0A">
      <w:pPr>
        <w:jc w:val="center"/>
        <w:rPr>
          <w:rFonts w:ascii="Arial" w:hAnsi="Arial" w:cs="Arial"/>
          <w:sz w:val="24"/>
          <w:szCs w:val="24"/>
        </w:rPr>
      </w:pPr>
      <w:r w:rsidRPr="00E21C0A">
        <w:rPr>
          <w:rFonts w:ascii="Arial" w:hAnsi="Arial" w:cs="Arial"/>
          <w:sz w:val="24"/>
          <w:szCs w:val="24"/>
        </w:rPr>
        <w:t>(Registered no. 03919249)</w:t>
      </w:r>
    </w:p>
    <w:p w14:paraId="69A3C142" w14:textId="77777777" w:rsidR="00E21C0A" w:rsidRDefault="00E21C0A" w:rsidP="00E21C0A">
      <w:pPr>
        <w:jc w:val="center"/>
        <w:rPr>
          <w:rFonts w:ascii="Arial" w:hAnsi="Arial" w:cs="Arial"/>
          <w:sz w:val="24"/>
          <w:szCs w:val="24"/>
        </w:rPr>
      </w:pPr>
      <w:r w:rsidRPr="00E21C0A">
        <w:rPr>
          <w:rFonts w:ascii="Arial" w:hAnsi="Arial" w:cs="Arial"/>
          <w:sz w:val="24"/>
          <w:szCs w:val="24"/>
        </w:rPr>
        <w:t>(the “Company”)</w:t>
      </w:r>
    </w:p>
    <w:p w14:paraId="4A3A0394" w14:textId="77777777" w:rsidR="00E21C0A" w:rsidRDefault="00E21C0A" w:rsidP="00E21C0A">
      <w:pPr>
        <w:jc w:val="center"/>
        <w:rPr>
          <w:rFonts w:ascii="Arial" w:hAnsi="Arial" w:cs="Arial"/>
          <w:sz w:val="24"/>
          <w:szCs w:val="24"/>
        </w:rPr>
      </w:pPr>
    </w:p>
    <w:p w14:paraId="2EA80F3F" w14:textId="642724A1" w:rsidR="00E21C0A" w:rsidRDefault="00E21C0A" w:rsidP="00E21C0A">
      <w:pPr>
        <w:rPr>
          <w:rFonts w:ascii="Arial" w:hAnsi="Arial" w:cs="Arial"/>
          <w:sz w:val="20"/>
          <w:szCs w:val="20"/>
        </w:rPr>
      </w:pPr>
      <w:r>
        <w:rPr>
          <w:rFonts w:ascii="Arial" w:hAnsi="Arial" w:cs="Arial"/>
          <w:sz w:val="20"/>
          <w:szCs w:val="20"/>
        </w:rPr>
        <w:t>At the General Meeting of the Company held on 15 July 2020 at 9 Chiswick Park, 566 Chiswick High Road, London, W4 5XT, the shareholders of the Company passed the following resolution (other than ord</w:t>
      </w:r>
      <w:r w:rsidR="003A520D">
        <w:rPr>
          <w:rFonts w:ascii="Arial" w:hAnsi="Arial" w:cs="Arial"/>
          <w:sz w:val="20"/>
          <w:szCs w:val="20"/>
        </w:rPr>
        <w:t>inary business):</w:t>
      </w:r>
    </w:p>
    <w:p w14:paraId="005DAC7F" w14:textId="77777777" w:rsidR="00E21C0A" w:rsidRDefault="00E21C0A" w:rsidP="00E21C0A">
      <w:pPr>
        <w:rPr>
          <w:rFonts w:ascii="Arial" w:hAnsi="Arial" w:cs="Arial"/>
          <w:b/>
          <w:i/>
          <w:sz w:val="20"/>
          <w:szCs w:val="20"/>
        </w:rPr>
      </w:pPr>
      <w:r>
        <w:rPr>
          <w:rFonts w:ascii="Arial" w:hAnsi="Arial" w:cs="Arial"/>
          <w:b/>
          <w:i/>
          <w:sz w:val="20"/>
          <w:szCs w:val="20"/>
        </w:rPr>
        <w:t>Ordinary resolution</w:t>
      </w:r>
    </w:p>
    <w:p w14:paraId="24AF37FD" w14:textId="77777777" w:rsidR="00E21C0A" w:rsidRDefault="00E21C0A" w:rsidP="00E21C0A">
      <w:pPr>
        <w:jc w:val="both"/>
        <w:rPr>
          <w:rFonts w:ascii="Arial" w:hAnsi="Arial" w:cs="Arial"/>
          <w:sz w:val="20"/>
          <w:szCs w:val="20"/>
        </w:rPr>
      </w:pPr>
      <w:r>
        <w:rPr>
          <w:rFonts w:ascii="Arial" w:hAnsi="Arial" w:cs="Arial"/>
          <w:sz w:val="20"/>
          <w:szCs w:val="20"/>
        </w:rPr>
        <w:t>THAT:</w:t>
      </w:r>
    </w:p>
    <w:p w14:paraId="7103B30F" w14:textId="77777777" w:rsidR="00E21C0A" w:rsidRDefault="00E21C0A" w:rsidP="00E21C0A">
      <w:pPr>
        <w:pStyle w:val="ListParagraph"/>
        <w:numPr>
          <w:ilvl w:val="0"/>
          <w:numId w:val="1"/>
        </w:numPr>
        <w:jc w:val="both"/>
        <w:rPr>
          <w:rFonts w:ascii="Arial" w:hAnsi="Arial" w:cs="Arial"/>
          <w:sz w:val="20"/>
          <w:szCs w:val="20"/>
        </w:rPr>
      </w:pPr>
      <w:r w:rsidRPr="00E21C0A">
        <w:rPr>
          <w:rFonts w:ascii="Arial" w:hAnsi="Arial" w:cs="Arial"/>
          <w:sz w:val="20"/>
          <w:szCs w:val="20"/>
        </w:rPr>
        <w:t xml:space="preserve">the proposed sale by the Company of its entire interests in: (i) the production sharing agreements for Block 1, Block 1A, Block 2 and Block 3A in Uganda and the licences and certain other contracts related thereto; and (ii) the proposed East African Crude Oil Pipeline (EACOP) System and associated facilities, as described in the Circular and substantially on the terms and subject to the conditions of the agreement for the sale and purchase dated 23 April 2020 between Tullow Uganda Limited, Tullow Uganda Operations Pty Ltd, the Company and Total E&amp;P Uganda B.V. (the “SPA”) and all other agreements and ancillary documents contemplated by the SPA, be and are hereby approved for the purposes of Chapter 10 of the </w:t>
      </w:r>
      <w:r>
        <w:rPr>
          <w:rFonts w:ascii="Arial" w:hAnsi="Arial" w:cs="Arial"/>
          <w:sz w:val="20"/>
          <w:szCs w:val="20"/>
        </w:rPr>
        <w:t>Listing Rules; and</w:t>
      </w:r>
    </w:p>
    <w:p w14:paraId="35F93FFC" w14:textId="77777777" w:rsidR="00E21C0A" w:rsidRPr="00E21C0A" w:rsidRDefault="00E21C0A" w:rsidP="00E21C0A">
      <w:pPr>
        <w:pStyle w:val="ListParagraph"/>
        <w:jc w:val="both"/>
        <w:rPr>
          <w:rFonts w:ascii="Arial" w:hAnsi="Arial" w:cs="Arial"/>
          <w:sz w:val="20"/>
          <w:szCs w:val="20"/>
        </w:rPr>
      </w:pPr>
    </w:p>
    <w:p w14:paraId="36187200" w14:textId="77777777" w:rsidR="00E21C0A" w:rsidRDefault="00E21C0A" w:rsidP="00E21C0A">
      <w:pPr>
        <w:pStyle w:val="ListParagraph"/>
        <w:numPr>
          <w:ilvl w:val="0"/>
          <w:numId w:val="1"/>
        </w:numPr>
        <w:jc w:val="both"/>
        <w:rPr>
          <w:rFonts w:ascii="Arial" w:hAnsi="Arial" w:cs="Arial"/>
          <w:sz w:val="20"/>
          <w:szCs w:val="20"/>
        </w:rPr>
      </w:pPr>
      <w:r w:rsidRPr="00E21C0A">
        <w:rPr>
          <w:rFonts w:ascii="Arial" w:hAnsi="Arial" w:cs="Arial"/>
          <w:sz w:val="20"/>
          <w:szCs w:val="20"/>
        </w:rPr>
        <w:t>the directors of the Company (the “Directors”) (or any duly authorised committee thereof) be and are hereby authorised to take all necessary, expedient or desirable steps and to do all necessary, expedient or desirable things to implement, complete or to procure the implementation or completion of the Transaction and any matters incidental to the Transaction and to give effect thereto with such modifications, variations, revisions, waivers or amendments (not being modifications, variations, revisions, waivers or amendments of a material nature by reference to Listing Rule 10.5.2) as the Directors (or any duly authorised committee thereof) may deem necessary, expedient or desirable in connection with the Transaction and any matters incidental to the Transaction.</w:t>
      </w:r>
    </w:p>
    <w:p w14:paraId="62DA4077" w14:textId="77777777" w:rsidR="00E21C0A" w:rsidRPr="00E21C0A" w:rsidRDefault="00E21C0A" w:rsidP="00E21C0A">
      <w:pPr>
        <w:pStyle w:val="ListParagraph"/>
        <w:rPr>
          <w:rFonts w:ascii="Arial" w:hAnsi="Arial" w:cs="Arial"/>
          <w:sz w:val="20"/>
          <w:szCs w:val="20"/>
        </w:rPr>
      </w:pPr>
    </w:p>
    <w:p w14:paraId="69E80698" w14:textId="77777777" w:rsidR="00E21C0A" w:rsidRPr="00716E07" w:rsidRDefault="00716E07" w:rsidP="00716E07">
      <w:pPr>
        <w:jc w:val="right"/>
        <w:rPr>
          <w:rFonts w:ascii="Arial" w:hAnsi="Arial" w:cs="Arial"/>
          <w:sz w:val="20"/>
          <w:szCs w:val="20"/>
        </w:rPr>
      </w:pPr>
      <w:r>
        <w:rPr>
          <w:rFonts w:ascii="Arial" w:hAnsi="Arial" w:cs="Arial"/>
          <w:sz w:val="20"/>
          <w:szCs w:val="20"/>
        </w:rPr>
        <w:t>Adam Holland</w:t>
      </w:r>
      <w:r>
        <w:rPr>
          <w:rFonts w:ascii="Arial" w:hAnsi="Arial" w:cs="Arial"/>
          <w:sz w:val="20"/>
          <w:szCs w:val="20"/>
        </w:rPr>
        <w:br/>
        <w:t>Company Secretary</w:t>
      </w:r>
      <w:r>
        <w:rPr>
          <w:rFonts w:ascii="Arial" w:hAnsi="Arial" w:cs="Arial"/>
          <w:sz w:val="20"/>
          <w:szCs w:val="20"/>
        </w:rPr>
        <w:br/>
        <w:t>Tullow Oil plc</w:t>
      </w:r>
    </w:p>
    <w:sectPr w:rsidR="00E21C0A" w:rsidRPr="00716E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CD910" w14:textId="77777777" w:rsidR="00716E07" w:rsidRDefault="00716E07" w:rsidP="00716E07">
      <w:pPr>
        <w:spacing w:after="0" w:line="240" w:lineRule="auto"/>
      </w:pPr>
      <w:r>
        <w:separator/>
      </w:r>
    </w:p>
  </w:endnote>
  <w:endnote w:type="continuationSeparator" w:id="0">
    <w:p w14:paraId="1C2DB18D" w14:textId="77777777" w:rsidR="00716E07" w:rsidRDefault="00716E07" w:rsidP="00716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A4D30" w14:textId="77777777" w:rsidR="00716E07" w:rsidRDefault="00716E07" w:rsidP="00716E07">
      <w:pPr>
        <w:spacing w:after="0" w:line="240" w:lineRule="auto"/>
      </w:pPr>
      <w:r>
        <w:separator/>
      </w:r>
    </w:p>
  </w:footnote>
  <w:footnote w:type="continuationSeparator" w:id="0">
    <w:p w14:paraId="003E30DB" w14:textId="77777777" w:rsidR="00716E07" w:rsidRDefault="00716E07" w:rsidP="00716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A7ECE"/>
    <w:multiLevelType w:val="hybridMultilevel"/>
    <w:tmpl w:val="D4D448E0"/>
    <w:lvl w:ilvl="0" w:tplc="4CEA2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0A"/>
    <w:rsid w:val="002F7ED1"/>
    <w:rsid w:val="003A520D"/>
    <w:rsid w:val="00412CE6"/>
    <w:rsid w:val="004D0694"/>
    <w:rsid w:val="00716E07"/>
    <w:rsid w:val="00E21C0A"/>
    <w:rsid w:val="00FC45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78DAF5"/>
  <w15:chartTrackingRefBased/>
  <w15:docId w15:val="{65B82F06-D4CD-4ED5-8F6C-033E234E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FA88249A632F489CC2FEA3B022569C" ma:contentTypeVersion="11" ma:contentTypeDescription="Create a new document." ma:contentTypeScope="" ma:versionID="885f051a2ecd27924af80bbda67178f9">
  <xsd:schema xmlns:xsd="http://www.w3.org/2001/XMLSchema" xmlns:xs="http://www.w3.org/2001/XMLSchema" xmlns:p="http://schemas.microsoft.com/office/2006/metadata/properties" xmlns:ns2="038c7a5e-b02d-4c80-b607-2c269a54e201" xmlns:ns3="67169640-eb43-4435-91f8-ac27f25b8fcc" targetNamespace="http://schemas.microsoft.com/office/2006/metadata/properties" ma:root="true" ma:fieldsID="e05477e621834e9b00b64ff4164ee03b" ns2:_="" ns3:_="">
    <xsd:import namespace="038c7a5e-b02d-4c80-b607-2c269a54e201"/>
    <xsd:import namespace="67169640-eb43-4435-91f8-ac27f25b8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c7a5e-b02d-4c80-b607-2c269a54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69640-eb43-4435-91f8-ac27f25b8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8472F-98E8-4AE3-9B2C-857CEE690929}">
  <ds:schemaRefs>
    <ds:schemaRef ds:uri="http://schemas.microsoft.com/office/2006/metadata/properties"/>
    <ds:schemaRef ds:uri="http://purl.org/dc/terms/"/>
    <ds:schemaRef ds:uri="038c7a5e-b02d-4c80-b607-2c269a54e201"/>
    <ds:schemaRef ds:uri="67169640-eb43-4435-91f8-ac27f25b8fcc"/>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286EA1E-6D34-4424-A1CC-99AB72DEA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c7a5e-b02d-4c80-b607-2c269a54e201"/>
    <ds:schemaRef ds:uri="67169640-eb43-4435-91f8-ac27f25b8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ADE3C-B27B-4AD0-90F6-9B3708A41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284</Words>
  <Characters>1624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Kareem Moustafa</dc:creator>
  <cp:keywords/>
  <dc:description/>
  <cp:lastModifiedBy>Joan Ikemefuna</cp:lastModifiedBy>
  <cp:revision>2</cp:revision>
  <dcterms:created xsi:type="dcterms:W3CDTF">2020-07-15T13:14:00Z</dcterms:created>
  <dcterms:modified xsi:type="dcterms:W3CDTF">2020-07-15T13:14:00Z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92a918-4731-4037-9dd6-53d43aa17903_Enabled">
    <vt:lpwstr>True</vt:lpwstr>
  </property>
  <property fmtid="{D5CDD505-2E9C-101B-9397-08002B2CF9AE}" pid="3" name="MSIP_Label_0f92a918-4731-4037-9dd6-53d43aa17903_SiteId">
    <vt:lpwstr>9d5a858e-e6c7-46a7-a63c-da2023c57cf8</vt:lpwstr>
  </property>
  <property fmtid="{D5CDD505-2E9C-101B-9397-08002B2CF9AE}" pid="4" name="MSIP_Label_0f92a918-4731-4037-9dd6-53d43aa17903_Owner">
    <vt:lpwstr>Kareem.Moustafa@tullowoil.com</vt:lpwstr>
  </property>
  <property fmtid="{D5CDD505-2E9C-101B-9397-08002B2CF9AE}" pid="5" name="MSIP_Label_0f92a918-4731-4037-9dd6-53d43aa17903_SetDate">
    <vt:lpwstr>2020-07-15T09:27:36.8223376Z</vt:lpwstr>
  </property>
  <property fmtid="{D5CDD505-2E9C-101B-9397-08002B2CF9AE}" pid="6" name="MSIP_Label_0f92a918-4731-4037-9dd6-53d43aa17903_Name">
    <vt:lpwstr>Internal</vt:lpwstr>
  </property>
  <property fmtid="{D5CDD505-2E9C-101B-9397-08002B2CF9AE}" pid="7" name="MSIP_Label_0f92a918-4731-4037-9dd6-53d43aa17903_Application">
    <vt:lpwstr>Microsoft Azure Information Protection</vt:lpwstr>
  </property>
  <property fmtid="{D5CDD505-2E9C-101B-9397-08002B2CF9AE}" pid="8" name="MSIP_Label_0f92a918-4731-4037-9dd6-53d43aa17903_Extended_MSFT_Method">
    <vt:lpwstr>Automatic</vt:lpwstr>
  </property>
  <property fmtid="{D5CDD505-2E9C-101B-9397-08002B2CF9AE}" pid="9" name="Sensitivity">
    <vt:lpwstr>Internal</vt:lpwstr>
  </property>
  <property fmtid="{D5CDD505-2E9C-101B-9397-08002B2CF9AE}" pid="10" name="ContentTypeId">
    <vt:lpwstr>0x0101000FFA88249A632F489CC2FEA3B022569C</vt:lpwstr>
  </property>
</Properties>
</file>