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3FA93" w14:textId="50D0E31F" w:rsidR="000F50FF" w:rsidRDefault="000F50FF" w:rsidP="000F50FF">
      <w:pPr>
        <w:pStyle w:val="Textoindependiente"/>
        <w:jc w:val="center"/>
        <w:rPr>
          <w:b/>
          <w:bCs/>
          <w:i/>
          <w:iCs/>
          <w:sz w:val="18"/>
          <w:szCs w:val="18"/>
        </w:rPr>
      </w:pPr>
      <w:bookmarkStart w:id="0" w:name="_DV_M113"/>
      <w:bookmarkStart w:id="1" w:name="_DV_M114"/>
      <w:bookmarkStart w:id="2" w:name="_DV_M115"/>
      <w:bookmarkStart w:id="3" w:name="_DV_M116"/>
      <w:bookmarkEnd w:id="0"/>
      <w:bookmarkEnd w:id="1"/>
      <w:bookmarkEnd w:id="2"/>
      <w:bookmarkEnd w:id="3"/>
      <w:r w:rsidRPr="002F7086">
        <w:rPr>
          <w:b/>
          <w:noProof/>
          <w:color w:val="000000"/>
          <w:lang w:eastAsia="es-PE"/>
        </w:rPr>
        <w:drawing>
          <wp:inline distT="0" distB="0" distL="0" distR="0" wp14:anchorId="78A5F0B4" wp14:editId="7F4A01C8">
            <wp:extent cx="866692" cy="1216607"/>
            <wp:effectExtent l="0" t="0" r="0" b="3175"/>
            <wp:docPr id="271009713" name="Imagen 3" descr="Un letrero de color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09713" name="Imagen 3" descr="Un letrero de color blanco&#10;&#10;El contenido generado por IA puede ser incorrec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0785" cy="1222352"/>
                    </a:xfrm>
                    <a:prstGeom prst="rect">
                      <a:avLst/>
                    </a:prstGeom>
                    <a:noFill/>
                  </pic:spPr>
                </pic:pic>
              </a:graphicData>
            </a:graphic>
          </wp:inline>
        </w:drawing>
      </w:r>
    </w:p>
    <w:p w14:paraId="2BCC8044" w14:textId="33AC9A30" w:rsidR="00853B6F" w:rsidRDefault="00853B6F" w:rsidP="00853B6F">
      <w:pPr>
        <w:pStyle w:val="Textoindependiente"/>
        <w:rPr>
          <w:b/>
          <w:bCs/>
          <w:i/>
          <w:iCs/>
          <w:sz w:val="18"/>
          <w:szCs w:val="18"/>
        </w:rPr>
      </w:pPr>
      <w:r>
        <w:rPr>
          <w:b/>
          <w:bCs/>
          <w:i/>
          <w:iCs/>
          <w:sz w:val="18"/>
          <w:szCs w:val="18"/>
        </w:rPr>
        <w:t>THIS NEWS RELEASE IS INTENDED FOR DISTRIBUTION IN CANADA ONLY AND IS NOT FOR DISTRIBUTION TO UNITED STATES NEWSWIRE SERVICES OR DISSEMINATION IN THE UNITED STATES</w:t>
      </w:r>
    </w:p>
    <w:p w14:paraId="4A740A83" w14:textId="063E1A45" w:rsidR="00300988" w:rsidRDefault="002B3AE0" w:rsidP="002B3AE0">
      <w:pPr>
        <w:pStyle w:val="Textoindependiente"/>
        <w:jc w:val="center"/>
        <w:rPr>
          <w:b/>
          <w:bCs/>
          <w:i/>
          <w:iCs/>
          <w:sz w:val="18"/>
          <w:szCs w:val="18"/>
        </w:rPr>
      </w:pPr>
      <w:r w:rsidRPr="002B3AE0">
        <w:rPr>
          <w:b/>
          <w:bCs/>
          <w:i/>
          <w:iCs/>
          <w:sz w:val="18"/>
          <w:szCs w:val="18"/>
        </w:rPr>
        <w:t>THE SHELF PROSPECTUS SUPPLEMENT, THE CORRESPONDING BASE SHELF PROSPECTUS</w:t>
      </w:r>
      <w:r>
        <w:rPr>
          <w:b/>
          <w:bCs/>
          <w:i/>
          <w:iCs/>
          <w:sz w:val="18"/>
          <w:szCs w:val="18"/>
        </w:rPr>
        <w:t xml:space="preserve"> </w:t>
      </w:r>
      <w:r w:rsidRPr="002B3AE0">
        <w:rPr>
          <w:b/>
          <w:bCs/>
          <w:i/>
          <w:iCs/>
          <w:sz w:val="18"/>
          <w:szCs w:val="18"/>
        </w:rPr>
        <w:t xml:space="preserve">AND ANY AMENDMENT TO THE DOCUMENTS </w:t>
      </w:r>
      <w:r>
        <w:rPr>
          <w:b/>
          <w:bCs/>
          <w:i/>
          <w:iCs/>
          <w:sz w:val="18"/>
          <w:szCs w:val="18"/>
        </w:rPr>
        <w:t>ARE</w:t>
      </w:r>
      <w:r w:rsidRPr="002B3AE0">
        <w:rPr>
          <w:b/>
          <w:bCs/>
          <w:i/>
          <w:iCs/>
          <w:sz w:val="18"/>
          <w:szCs w:val="18"/>
        </w:rPr>
        <w:t xml:space="preserve"> ACCESSIBLE THROUGH SEDAR+ OR WILL BE</w:t>
      </w:r>
      <w:r>
        <w:rPr>
          <w:b/>
          <w:bCs/>
          <w:i/>
          <w:iCs/>
          <w:sz w:val="18"/>
          <w:szCs w:val="18"/>
        </w:rPr>
        <w:t xml:space="preserve"> </w:t>
      </w:r>
      <w:r w:rsidRPr="002B3AE0">
        <w:rPr>
          <w:b/>
          <w:bCs/>
          <w:i/>
          <w:iCs/>
          <w:sz w:val="18"/>
          <w:szCs w:val="18"/>
        </w:rPr>
        <w:t>ACCESSIBLE THROUGH SEDAR+ WITHIN 2 BUSINESS DAYS, AS APPLICABLE</w:t>
      </w:r>
    </w:p>
    <w:p w14:paraId="5F6187D8" w14:textId="4FC46322" w:rsidR="00853B6F" w:rsidRDefault="00564E31" w:rsidP="00853B6F">
      <w:pPr>
        <w:pStyle w:val="Textoindependiente"/>
        <w:jc w:val="center"/>
        <w:rPr>
          <w:b/>
          <w:lang w:val="en-US"/>
        </w:rPr>
      </w:pPr>
      <w:r>
        <w:rPr>
          <w:b/>
          <w:lang w:val="en-US"/>
        </w:rPr>
        <w:t>SILVER MOUNTAIN</w:t>
      </w:r>
      <w:r w:rsidR="00853B6F">
        <w:rPr>
          <w:b/>
          <w:lang w:val="en-US"/>
        </w:rPr>
        <w:t xml:space="preserve"> </w:t>
      </w:r>
      <w:r w:rsidR="00766714">
        <w:rPr>
          <w:b/>
          <w:lang w:val="en-US"/>
        </w:rPr>
        <w:t xml:space="preserve">INCREASES PREVIOUSLY ANNOUNCED BOUGHT DEAL FINANCING TO </w:t>
      </w:r>
      <w:r w:rsidR="00853B6F">
        <w:rPr>
          <w:b/>
          <w:lang w:val="en-US"/>
        </w:rPr>
        <w:t>C$</w:t>
      </w:r>
      <w:r w:rsidR="00DD77AA">
        <w:rPr>
          <w:b/>
          <w:lang w:val="en-US"/>
        </w:rPr>
        <w:t>26</w:t>
      </w:r>
      <w:r w:rsidR="00D60C32" w:rsidRPr="00D60C32">
        <w:rPr>
          <w:rStyle w:val="Prompt"/>
          <w:color w:val="0000FF"/>
        </w:rPr>
        <w:t xml:space="preserve"> </w:t>
      </w:r>
      <w:r w:rsidR="000F78DB">
        <w:rPr>
          <w:b/>
          <w:lang w:val="en-US"/>
        </w:rPr>
        <w:t>MILLION</w:t>
      </w:r>
    </w:p>
    <w:p w14:paraId="576B7A33" w14:textId="0BA575BF" w:rsidR="001E5AC8" w:rsidRDefault="00853B6F" w:rsidP="00853B6F">
      <w:pPr>
        <w:rPr>
          <w:rFonts w:eastAsia="Batang"/>
          <w:color w:val="000000"/>
          <w:sz w:val="20"/>
          <w:szCs w:val="20"/>
        </w:rPr>
      </w:pPr>
      <w:bookmarkStart w:id="4" w:name="_DV_M117"/>
      <w:bookmarkEnd w:id="4"/>
      <w:r w:rsidRPr="000F50FF">
        <w:rPr>
          <w:rFonts w:eastAsia="Batang"/>
          <w:b/>
          <w:bCs/>
          <w:color w:val="000000"/>
          <w:sz w:val="20"/>
          <w:szCs w:val="20"/>
        </w:rPr>
        <w:t xml:space="preserve">Toronto, Ontario – </w:t>
      </w:r>
      <w:r w:rsidR="00D60C32" w:rsidRPr="000F50FF">
        <w:rPr>
          <w:b/>
          <w:bCs/>
          <w:sz w:val="20"/>
          <w:szCs w:val="20"/>
        </w:rPr>
        <w:t>November 10</w:t>
      </w:r>
      <w:r w:rsidRPr="000F50FF">
        <w:rPr>
          <w:b/>
          <w:bCs/>
          <w:sz w:val="20"/>
          <w:szCs w:val="20"/>
        </w:rPr>
        <w:t>, 202</w:t>
      </w:r>
      <w:r w:rsidR="00564E31" w:rsidRPr="000F50FF">
        <w:rPr>
          <w:b/>
          <w:bCs/>
          <w:sz w:val="20"/>
          <w:szCs w:val="20"/>
        </w:rPr>
        <w:t>5</w:t>
      </w:r>
      <w:r w:rsidR="00564E31">
        <w:rPr>
          <w:sz w:val="20"/>
          <w:szCs w:val="20"/>
        </w:rPr>
        <w:t xml:space="preserve"> </w:t>
      </w:r>
      <w:r w:rsidRPr="00564E31">
        <w:rPr>
          <w:sz w:val="20"/>
          <w:szCs w:val="20"/>
        </w:rPr>
        <w:t xml:space="preserve">– </w:t>
      </w:r>
      <w:r w:rsidR="00564E31">
        <w:rPr>
          <w:sz w:val="20"/>
          <w:szCs w:val="20"/>
        </w:rPr>
        <w:t>Silver Mountain Resources Inc.</w:t>
      </w:r>
      <w:r w:rsidRPr="00564E31">
        <w:rPr>
          <w:sz w:val="20"/>
          <w:szCs w:val="20"/>
        </w:rPr>
        <w:t xml:space="preserve"> </w:t>
      </w:r>
      <w:r w:rsidRPr="00564E31">
        <w:rPr>
          <w:rFonts w:eastAsia="Batang"/>
          <w:color w:val="000000"/>
          <w:sz w:val="20"/>
          <w:szCs w:val="20"/>
        </w:rPr>
        <w:t>(“</w:t>
      </w:r>
      <w:r w:rsidR="00564E31">
        <w:rPr>
          <w:rFonts w:eastAsia="Batang"/>
          <w:b/>
          <w:bCs/>
          <w:color w:val="000000"/>
          <w:sz w:val="20"/>
          <w:szCs w:val="20"/>
        </w:rPr>
        <w:t>Silver Mountain</w:t>
      </w:r>
      <w:r w:rsidRPr="00564E31">
        <w:rPr>
          <w:rFonts w:eastAsia="Batang"/>
          <w:color w:val="000000"/>
          <w:sz w:val="20"/>
          <w:szCs w:val="20"/>
        </w:rPr>
        <w:t>” or the “</w:t>
      </w:r>
      <w:r w:rsidRPr="00564E31">
        <w:rPr>
          <w:rFonts w:eastAsia="Batang"/>
          <w:b/>
          <w:bCs/>
          <w:color w:val="000000"/>
          <w:sz w:val="20"/>
          <w:szCs w:val="20"/>
        </w:rPr>
        <w:t>Company</w:t>
      </w:r>
      <w:r w:rsidRPr="00564E31">
        <w:rPr>
          <w:rFonts w:eastAsia="Batang"/>
          <w:color w:val="000000"/>
          <w:sz w:val="20"/>
          <w:szCs w:val="20"/>
        </w:rPr>
        <w:t xml:space="preserve">”) (TSXV: </w:t>
      </w:r>
      <w:r w:rsidR="00564E31">
        <w:rPr>
          <w:rFonts w:eastAsia="Batang"/>
          <w:color w:val="000000"/>
          <w:sz w:val="20"/>
          <w:szCs w:val="20"/>
        </w:rPr>
        <w:t>AGMR</w:t>
      </w:r>
      <w:r w:rsidRPr="00564E31">
        <w:rPr>
          <w:rFonts w:eastAsia="Batang"/>
          <w:color w:val="000000"/>
          <w:sz w:val="20"/>
          <w:szCs w:val="20"/>
        </w:rPr>
        <w:t xml:space="preserve">) </w:t>
      </w:r>
      <w:r w:rsidR="00766714" w:rsidRPr="00766714">
        <w:rPr>
          <w:rFonts w:eastAsia="Batang"/>
          <w:color w:val="000000"/>
          <w:sz w:val="20"/>
          <w:szCs w:val="20"/>
        </w:rPr>
        <w:t>is pleased to announce that</w:t>
      </w:r>
      <w:r w:rsidR="00050198">
        <w:rPr>
          <w:rFonts w:eastAsia="Batang"/>
          <w:color w:val="000000"/>
          <w:sz w:val="20"/>
          <w:szCs w:val="20"/>
        </w:rPr>
        <w:t xml:space="preserve">, </w:t>
      </w:r>
      <w:r w:rsidR="00766714" w:rsidRPr="00766714">
        <w:rPr>
          <w:rFonts w:eastAsia="Batang"/>
          <w:color w:val="000000"/>
          <w:sz w:val="20"/>
          <w:szCs w:val="20"/>
        </w:rPr>
        <w:t xml:space="preserve">due to strong demand, it has increased the size of the previously announced bought deal </w:t>
      </w:r>
      <w:r w:rsidR="00050198">
        <w:rPr>
          <w:rFonts w:eastAsia="Batang"/>
          <w:color w:val="000000"/>
          <w:sz w:val="20"/>
          <w:szCs w:val="20"/>
        </w:rPr>
        <w:t xml:space="preserve">offering </w:t>
      </w:r>
      <w:r w:rsidR="00766714" w:rsidRPr="00766714">
        <w:rPr>
          <w:rFonts w:eastAsia="Batang"/>
          <w:color w:val="000000"/>
          <w:sz w:val="20"/>
          <w:szCs w:val="20"/>
        </w:rPr>
        <w:t xml:space="preserve">of </w:t>
      </w:r>
      <w:r w:rsidR="00766714">
        <w:rPr>
          <w:rFonts w:eastAsia="Batang"/>
          <w:color w:val="000000"/>
          <w:sz w:val="20"/>
          <w:szCs w:val="20"/>
        </w:rPr>
        <w:t>units</w:t>
      </w:r>
      <w:r w:rsidR="00766714" w:rsidRPr="00766714">
        <w:rPr>
          <w:rFonts w:eastAsia="Batang"/>
          <w:color w:val="000000"/>
          <w:sz w:val="20"/>
          <w:szCs w:val="20"/>
        </w:rPr>
        <w:t xml:space="preserve"> to </w:t>
      </w:r>
      <w:r w:rsidR="00DD77AA">
        <w:rPr>
          <w:rFonts w:eastAsia="Batang"/>
          <w:color w:val="000000"/>
          <w:sz w:val="20"/>
          <w:szCs w:val="20"/>
        </w:rPr>
        <w:t>10,000,000</w:t>
      </w:r>
      <w:r w:rsidR="00D60C32">
        <w:rPr>
          <w:rFonts w:eastAsia="Batang"/>
          <w:color w:val="000000"/>
          <w:sz w:val="20"/>
          <w:szCs w:val="20"/>
        </w:rPr>
        <w:t xml:space="preserve"> </w:t>
      </w:r>
      <w:r w:rsidR="00766714">
        <w:rPr>
          <w:rFonts w:eastAsia="Batang"/>
          <w:color w:val="000000"/>
          <w:sz w:val="20"/>
          <w:szCs w:val="20"/>
        </w:rPr>
        <w:t xml:space="preserve">units </w:t>
      </w:r>
      <w:r w:rsidR="00766714" w:rsidRPr="00766714">
        <w:rPr>
          <w:rFonts w:eastAsia="Batang"/>
          <w:color w:val="000000"/>
          <w:sz w:val="20"/>
          <w:szCs w:val="20"/>
        </w:rPr>
        <w:t>(the “</w:t>
      </w:r>
      <w:r w:rsidR="00766714" w:rsidRPr="00766714">
        <w:rPr>
          <w:rFonts w:eastAsia="Batang"/>
          <w:b/>
          <w:bCs/>
          <w:color w:val="000000"/>
          <w:sz w:val="20"/>
          <w:szCs w:val="20"/>
        </w:rPr>
        <w:t>Units</w:t>
      </w:r>
      <w:r w:rsidR="00766714" w:rsidRPr="00766714">
        <w:rPr>
          <w:rFonts w:eastAsia="Batang"/>
          <w:color w:val="000000"/>
          <w:sz w:val="20"/>
          <w:szCs w:val="20"/>
        </w:rPr>
        <w:t>”) at a price of C</w:t>
      </w:r>
      <w:r w:rsidR="00766714" w:rsidRPr="001E5AC8">
        <w:rPr>
          <w:rFonts w:eastAsia="Batang"/>
          <w:color w:val="000000"/>
          <w:sz w:val="20"/>
          <w:szCs w:val="20"/>
        </w:rPr>
        <w:t>$</w:t>
      </w:r>
      <w:r w:rsidR="00D60C32" w:rsidRPr="001E5AC8">
        <w:rPr>
          <w:rFonts w:eastAsia="Batang"/>
          <w:color w:val="000000"/>
          <w:sz w:val="20"/>
          <w:szCs w:val="20"/>
        </w:rPr>
        <w:t>2.60</w:t>
      </w:r>
      <w:r w:rsidR="001E5AC8">
        <w:rPr>
          <w:rFonts w:eastAsia="Batang"/>
          <w:color w:val="000000"/>
          <w:sz w:val="20"/>
          <w:szCs w:val="20"/>
        </w:rPr>
        <w:t xml:space="preserve"> </w:t>
      </w:r>
      <w:r w:rsidR="00766714" w:rsidRPr="00766714">
        <w:rPr>
          <w:rFonts w:eastAsia="Batang"/>
          <w:color w:val="000000"/>
          <w:sz w:val="20"/>
          <w:szCs w:val="20"/>
        </w:rPr>
        <w:t>for gross proceeds of C$</w:t>
      </w:r>
      <w:r w:rsidR="00DD77AA">
        <w:rPr>
          <w:rFonts w:eastAsia="Batang"/>
          <w:color w:val="000000"/>
          <w:sz w:val="20"/>
          <w:szCs w:val="20"/>
        </w:rPr>
        <w:t>26,000,000</w:t>
      </w:r>
      <w:r w:rsidR="00C4779A" w:rsidRPr="00C4779A">
        <w:rPr>
          <w:sz w:val="20"/>
          <w:szCs w:val="20"/>
        </w:rPr>
        <w:t xml:space="preserve"> </w:t>
      </w:r>
      <w:r w:rsidR="00766714" w:rsidRPr="00766714">
        <w:rPr>
          <w:rFonts w:eastAsia="Batang"/>
          <w:color w:val="000000"/>
          <w:sz w:val="20"/>
          <w:szCs w:val="20"/>
        </w:rPr>
        <w:t>(the “</w:t>
      </w:r>
      <w:r w:rsidR="00766714" w:rsidRPr="00766714">
        <w:rPr>
          <w:rFonts w:eastAsia="Batang"/>
          <w:b/>
          <w:bCs/>
          <w:color w:val="000000"/>
          <w:sz w:val="20"/>
          <w:szCs w:val="20"/>
        </w:rPr>
        <w:t>Offering</w:t>
      </w:r>
      <w:r w:rsidR="00766714" w:rsidRPr="00766714">
        <w:rPr>
          <w:rFonts w:eastAsia="Batang"/>
          <w:color w:val="000000"/>
          <w:sz w:val="20"/>
          <w:szCs w:val="20"/>
        </w:rPr>
        <w:t xml:space="preserve">”). </w:t>
      </w:r>
      <w:r w:rsidR="001E5AC8">
        <w:rPr>
          <w:rFonts w:eastAsia="Batang"/>
          <w:sz w:val="20"/>
          <w:szCs w:val="20"/>
        </w:rPr>
        <w:t>Each Unit will consist of one class A common share in the capital of the Company (each, a “</w:t>
      </w:r>
      <w:r w:rsidR="001E5AC8">
        <w:rPr>
          <w:rFonts w:eastAsia="Batang"/>
          <w:b/>
          <w:bCs/>
          <w:sz w:val="20"/>
          <w:szCs w:val="20"/>
        </w:rPr>
        <w:t>Common Share</w:t>
      </w:r>
      <w:r w:rsidR="001E5AC8">
        <w:rPr>
          <w:rFonts w:eastAsia="Batang"/>
          <w:sz w:val="20"/>
          <w:szCs w:val="20"/>
        </w:rPr>
        <w:t>”), one-half (½) of one 6-month Common Share purchase warrant (each whole 6-month warrant, a “</w:t>
      </w:r>
      <w:r w:rsidR="001E5AC8">
        <w:rPr>
          <w:rFonts w:eastAsia="Batang"/>
          <w:b/>
          <w:bCs/>
          <w:sz w:val="20"/>
          <w:szCs w:val="20"/>
        </w:rPr>
        <w:t>Series</w:t>
      </w:r>
      <w:r w:rsidR="001E5AC8" w:rsidRPr="007A3BB7">
        <w:rPr>
          <w:rFonts w:eastAsia="Batang"/>
          <w:b/>
          <w:bCs/>
          <w:sz w:val="20"/>
          <w:szCs w:val="20"/>
        </w:rPr>
        <w:t xml:space="preserve"> A</w:t>
      </w:r>
      <w:r w:rsidR="001E5AC8">
        <w:rPr>
          <w:rFonts w:eastAsia="Batang"/>
          <w:sz w:val="20"/>
          <w:szCs w:val="20"/>
        </w:rPr>
        <w:t xml:space="preserve"> </w:t>
      </w:r>
      <w:r w:rsidR="001E5AC8">
        <w:rPr>
          <w:rFonts w:eastAsia="Batang"/>
          <w:b/>
          <w:bCs/>
          <w:sz w:val="20"/>
          <w:szCs w:val="20"/>
        </w:rPr>
        <w:t>Warrant</w:t>
      </w:r>
      <w:r w:rsidR="001E5AC8">
        <w:rPr>
          <w:rFonts w:eastAsia="Batang"/>
          <w:sz w:val="20"/>
          <w:szCs w:val="20"/>
        </w:rPr>
        <w:t>”) and one-half (½) of one 24-month Common Share purchase warrant (each whole 24-month warrant, a “</w:t>
      </w:r>
      <w:r w:rsidR="001E5AC8">
        <w:rPr>
          <w:rFonts w:eastAsia="Batang"/>
          <w:b/>
          <w:bCs/>
          <w:sz w:val="20"/>
          <w:szCs w:val="20"/>
        </w:rPr>
        <w:t>Series</w:t>
      </w:r>
      <w:r w:rsidR="001E5AC8" w:rsidRPr="007A3BB7">
        <w:rPr>
          <w:rFonts w:eastAsia="Batang"/>
          <w:b/>
          <w:bCs/>
          <w:sz w:val="20"/>
          <w:szCs w:val="20"/>
        </w:rPr>
        <w:t xml:space="preserve"> B Warrant</w:t>
      </w:r>
      <w:r w:rsidR="001E5AC8">
        <w:rPr>
          <w:rFonts w:eastAsia="Batang"/>
          <w:sz w:val="20"/>
          <w:szCs w:val="20"/>
        </w:rPr>
        <w:t>”). Each Series A Warrant will entitle the holder thereof to purchase one Common Share at an exercise price of C$3.25</w:t>
      </w:r>
      <w:r w:rsidR="001E5AC8" w:rsidRPr="007A3BB7">
        <w:rPr>
          <w:rStyle w:val="Prompt"/>
          <w:color w:val="0000FF"/>
          <w:sz w:val="20"/>
          <w:szCs w:val="20"/>
        </w:rPr>
        <w:t xml:space="preserve"> </w:t>
      </w:r>
      <w:r w:rsidR="001E5AC8">
        <w:rPr>
          <w:rFonts w:eastAsia="Batang"/>
          <w:sz w:val="20"/>
          <w:szCs w:val="20"/>
        </w:rPr>
        <w:t>for six (6) months following the Closing Date (as defined herein), and each Series B Warrant will entitle the holder to purchase one Common Share at an exercise price of C$3.90</w:t>
      </w:r>
      <w:r w:rsidR="001E5AC8" w:rsidRPr="007A3BB7">
        <w:rPr>
          <w:rStyle w:val="Prompt"/>
          <w:color w:val="0000FF"/>
          <w:sz w:val="20"/>
          <w:szCs w:val="20"/>
        </w:rPr>
        <w:t xml:space="preserve"> </w:t>
      </w:r>
      <w:r w:rsidR="001E5AC8">
        <w:rPr>
          <w:rFonts w:eastAsia="Batang"/>
          <w:sz w:val="20"/>
          <w:szCs w:val="20"/>
        </w:rPr>
        <w:t>for 24 months following the Closing Date</w:t>
      </w:r>
      <w:r w:rsidR="001E5AC8">
        <w:rPr>
          <w:sz w:val="20"/>
          <w:szCs w:val="20"/>
          <w:shd w:val="clear" w:color="auto" w:fill="FFFFFF"/>
        </w:rPr>
        <w:t>.</w:t>
      </w:r>
    </w:p>
    <w:p w14:paraId="4D6E19D6" w14:textId="4C819DBA" w:rsidR="00D60C32" w:rsidRDefault="00D60C32" w:rsidP="00D60C32">
      <w:pPr>
        <w:rPr>
          <w:rFonts w:eastAsia="Batang"/>
          <w:sz w:val="20"/>
          <w:szCs w:val="20"/>
        </w:rPr>
      </w:pPr>
      <w:r>
        <w:rPr>
          <w:rFonts w:eastAsia="Batang"/>
          <w:sz w:val="20"/>
          <w:szCs w:val="20"/>
        </w:rPr>
        <w:t>The Company has granted the Underwriters an option (the “</w:t>
      </w:r>
      <w:r>
        <w:rPr>
          <w:rFonts w:eastAsia="Batang"/>
          <w:b/>
          <w:sz w:val="20"/>
          <w:szCs w:val="20"/>
        </w:rPr>
        <w:t>Over-allotment Option</w:t>
      </w:r>
      <w:r>
        <w:rPr>
          <w:rFonts w:eastAsia="Batang"/>
          <w:sz w:val="20"/>
          <w:szCs w:val="20"/>
        </w:rPr>
        <w:t xml:space="preserve">”), exercisable in whole or in part, to purchase up to an additional </w:t>
      </w:r>
      <w:r w:rsidR="00DD77AA">
        <w:rPr>
          <w:rFonts w:eastAsia="Batang"/>
          <w:sz w:val="20"/>
          <w:szCs w:val="20"/>
        </w:rPr>
        <w:t>1,500,000</w:t>
      </w:r>
      <w:r w:rsidRPr="000F78DB">
        <w:rPr>
          <w:color w:val="000000"/>
          <w:sz w:val="20"/>
          <w:szCs w:val="20"/>
        </w:rPr>
        <w:t xml:space="preserve"> </w:t>
      </w:r>
      <w:r>
        <w:rPr>
          <w:rFonts w:eastAsia="Batang"/>
          <w:sz w:val="20"/>
          <w:szCs w:val="20"/>
        </w:rPr>
        <w:t>Units for a period of 30 days from and including the Closing Date to cover over-allotments, if any, and for market stabilization purposes. The Underwriters shall be under no obligation whatsoever to exercise the Over-allotment Option in whole or in part. If the Over-allotment Option is exercised in full, the aggregate gross proceeds of the Offering will be C$</w:t>
      </w:r>
      <w:r w:rsidR="00DD77AA">
        <w:rPr>
          <w:rFonts w:eastAsia="Batang"/>
          <w:sz w:val="20"/>
          <w:szCs w:val="20"/>
        </w:rPr>
        <w:t>29,900,000</w:t>
      </w:r>
      <w:r>
        <w:rPr>
          <w:rFonts w:eastAsia="Batang"/>
          <w:sz w:val="20"/>
          <w:szCs w:val="20"/>
        </w:rPr>
        <w:t xml:space="preserve">. </w:t>
      </w:r>
    </w:p>
    <w:p w14:paraId="61D7D3A1" w14:textId="77777777" w:rsidR="00D354D0" w:rsidRDefault="00D354D0" w:rsidP="00D354D0">
      <w:pPr>
        <w:spacing w:after="0"/>
        <w:rPr>
          <w:rFonts w:eastAsia="Batang"/>
          <w:sz w:val="20"/>
          <w:szCs w:val="20"/>
        </w:rPr>
      </w:pPr>
      <w:r>
        <w:rPr>
          <w:rFonts w:eastAsia="Batang"/>
          <w:sz w:val="20"/>
          <w:szCs w:val="20"/>
        </w:rPr>
        <w:t>The Units will be offered by way of: (</w:t>
      </w:r>
      <w:proofErr w:type="spellStart"/>
      <w:r>
        <w:rPr>
          <w:rFonts w:eastAsia="Batang"/>
          <w:sz w:val="20"/>
          <w:szCs w:val="20"/>
        </w:rPr>
        <w:t>i</w:t>
      </w:r>
      <w:proofErr w:type="spellEnd"/>
      <w:r>
        <w:rPr>
          <w:rFonts w:eastAsia="Batang"/>
          <w:sz w:val="20"/>
          <w:szCs w:val="20"/>
        </w:rPr>
        <w:t>) a prospectus supplement (the “</w:t>
      </w:r>
      <w:r>
        <w:rPr>
          <w:rFonts w:eastAsia="Batang"/>
          <w:b/>
          <w:bCs/>
          <w:sz w:val="20"/>
          <w:szCs w:val="20"/>
        </w:rPr>
        <w:t>Prospectus Supplement</w:t>
      </w:r>
      <w:r>
        <w:rPr>
          <w:rFonts w:eastAsia="Batang"/>
          <w:sz w:val="20"/>
          <w:szCs w:val="20"/>
        </w:rPr>
        <w:t>”) to Silver Mountain’s short form base shelf prospectus dated October 16, 2025 (the “</w:t>
      </w:r>
      <w:r w:rsidRPr="00E30C13">
        <w:rPr>
          <w:rFonts w:eastAsia="Batang"/>
          <w:b/>
          <w:bCs/>
          <w:sz w:val="20"/>
          <w:szCs w:val="20"/>
        </w:rPr>
        <w:t>Base Shelf Prospectus</w:t>
      </w:r>
      <w:r>
        <w:rPr>
          <w:rFonts w:eastAsia="Batang"/>
          <w:sz w:val="20"/>
          <w:szCs w:val="20"/>
        </w:rPr>
        <w:t>”) in each of the provinces and territories of Canada, except Québec; (ii) in the United States or to or for the account or benefit of “U.S. persons” as defined by Regulation S under the United States Securities Act of 1933, as amended (the “</w:t>
      </w:r>
      <w:r>
        <w:rPr>
          <w:rFonts w:eastAsia="Batang"/>
          <w:b/>
          <w:bCs/>
          <w:sz w:val="20"/>
          <w:szCs w:val="20"/>
        </w:rPr>
        <w:t>U.S. Securities Act</w:t>
      </w:r>
      <w:r>
        <w:rPr>
          <w:rFonts w:eastAsia="Batang"/>
          <w:sz w:val="20"/>
          <w:szCs w:val="20"/>
        </w:rPr>
        <w:t xml:space="preserve">”), by way of private placement pursuant to the exemptions from registration provided for under Section 4(a)(2) </w:t>
      </w:r>
      <w:r w:rsidRPr="00D76965">
        <w:rPr>
          <w:rFonts w:eastAsia="Batang"/>
          <w:sz w:val="20"/>
          <w:szCs w:val="20"/>
          <w:lang w:val="en-US"/>
        </w:rPr>
        <w:t xml:space="preserve">of the U.S. Securities Act and Rule 506(b) of Regulation D thereunder </w:t>
      </w:r>
      <w:r>
        <w:rPr>
          <w:rFonts w:eastAsia="Batang"/>
          <w:sz w:val="20"/>
          <w:szCs w:val="20"/>
        </w:rPr>
        <w:t xml:space="preserve">and/or by way of Rule 144A under the U.S. Securities Act, and </w:t>
      </w:r>
      <w:r w:rsidRPr="00D76965">
        <w:rPr>
          <w:rFonts w:eastAsia="Batang"/>
          <w:sz w:val="20"/>
          <w:szCs w:val="20"/>
        </w:rPr>
        <w:t xml:space="preserve">in transactions not subject to, or exempt from, </w:t>
      </w:r>
      <w:r>
        <w:rPr>
          <w:rFonts w:eastAsia="Batang"/>
          <w:sz w:val="20"/>
          <w:szCs w:val="20"/>
        </w:rPr>
        <w:t>the applicable securities laws of any states of the United States; and (iii) in jurisdictions outside of Canada and the United States as are agreed to by the Company and the Underwriters on a private placement or equivalent basis.</w:t>
      </w:r>
    </w:p>
    <w:p w14:paraId="6E377160" w14:textId="77777777" w:rsidR="00050198" w:rsidRDefault="00050198" w:rsidP="00853B6F">
      <w:pPr>
        <w:spacing w:after="0"/>
        <w:rPr>
          <w:rFonts w:eastAsia="Batang"/>
          <w:sz w:val="20"/>
          <w:szCs w:val="20"/>
        </w:rPr>
      </w:pPr>
    </w:p>
    <w:p w14:paraId="527A4F43" w14:textId="5D8EA58D" w:rsidR="00D60C32" w:rsidRDefault="00D60C32" w:rsidP="00D60C32">
      <w:pPr>
        <w:rPr>
          <w:color w:val="000000"/>
          <w:sz w:val="20"/>
          <w:szCs w:val="20"/>
        </w:rPr>
      </w:pPr>
      <w:r>
        <w:rPr>
          <w:color w:val="000000"/>
          <w:sz w:val="20"/>
          <w:szCs w:val="20"/>
        </w:rPr>
        <w:t xml:space="preserve">The Company intends to use the net proceeds from the Offering to </w:t>
      </w:r>
      <w:r>
        <w:rPr>
          <w:color w:val="000000"/>
          <w:sz w:val="20"/>
          <w:szCs w:val="20"/>
          <w:lang w:val="en-US"/>
        </w:rPr>
        <w:t>conduct exploration activities on its</w:t>
      </w:r>
      <w:r w:rsidRPr="00B03C6F">
        <w:rPr>
          <w:color w:val="000000"/>
          <w:sz w:val="20"/>
          <w:szCs w:val="20"/>
          <w:lang w:val="en-US"/>
        </w:rPr>
        <w:t xml:space="preserve"> </w:t>
      </w:r>
      <w:r>
        <w:rPr>
          <w:color w:val="000000"/>
          <w:sz w:val="20"/>
          <w:szCs w:val="20"/>
          <w:lang w:val="en-US"/>
        </w:rPr>
        <w:t>mineral properties</w:t>
      </w:r>
      <w:r w:rsidR="00CB638C">
        <w:rPr>
          <w:color w:val="000000"/>
          <w:sz w:val="20"/>
          <w:szCs w:val="20"/>
          <w:lang w:val="en-US"/>
        </w:rPr>
        <w:t>, and</w:t>
      </w:r>
      <w:r w:rsidRPr="00B03C6F">
        <w:rPr>
          <w:color w:val="000000"/>
          <w:sz w:val="20"/>
          <w:szCs w:val="20"/>
          <w:lang w:val="en-US"/>
        </w:rPr>
        <w:t xml:space="preserve"> for working capital and general corporate purposes</w:t>
      </w:r>
      <w:r>
        <w:rPr>
          <w:color w:val="000000"/>
          <w:sz w:val="20"/>
          <w:szCs w:val="20"/>
        </w:rPr>
        <w:t>.</w:t>
      </w:r>
    </w:p>
    <w:p w14:paraId="6F984C35" w14:textId="77777777" w:rsidR="00D354D0" w:rsidRDefault="00D354D0" w:rsidP="00D354D0">
      <w:pPr>
        <w:rPr>
          <w:rFonts w:eastAsia="Batang"/>
          <w:sz w:val="20"/>
          <w:szCs w:val="20"/>
          <w:lang w:val="en-US"/>
        </w:rPr>
      </w:pPr>
      <w:bookmarkStart w:id="5" w:name="_DV_M127"/>
      <w:bookmarkStart w:id="6" w:name="_DV_M128"/>
      <w:bookmarkEnd w:id="5"/>
      <w:bookmarkEnd w:id="6"/>
      <w:r>
        <w:rPr>
          <w:rFonts w:eastAsia="Batang"/>
          <w:sz w:val="20"/>
          <w:szCs w:val="20"/>
          <w:lang w:val="en-US"/>
        </w:rPr>
        <w:lastRenderedPageBreak/>
        <w:t>The Offering is expected to close on or about November 18</w:t>
      </w:r>
      <w:r>
        <w:rPr>
          <w:sz w:val="20"/>
          <w:szCs w:val="20"/>
        </w:rPr>
        <w:t>, 2025 (</w:t>
      </w:r>
      <w:r w:rsidRPr="00FB4C9D">
        <w:rPr>
          <w:sz w:val="20"/>
          <w:szCs w:val="20"/>
        </w:rPr>
        <w:t>the “</w:t>
      </w:r>
      <w:r>
        <w:rPr>
          <w:b/>
          <w:sz w:val="20"/>
          <w:szCs w:val="20"/>
        </w:rPr>
        <w:t>Closing Date</w:t>
      </w:r>
      <w:r w:rsidRPr="00FB4C9D">
        <w:rPr>
          <w:sz w:val="20"/>
          <w:szCs w:val="20"/>
        </w:rPr>
        <w:t>”)</w:t>
      </w:r>
      <w:r>
        <w:rPr>
          <w:sz w:val="20"/>
          <w:szCs w:val="20"/>
        </w:rPr>
        <w:t xml:space="preserve"> </w:t>
      </w:r>
      <w:r>
        <w:rPr>
          <w:rFonts w:eastAsia="Batang"/>
          <w:sz w:val="20"/>
          <w:szCs w:val="20"/>
          <w:lang w:val="en-US"/>
        </w:rPr>
        <w:t xml:space="preserve">and is subject to certain conditions including, but not limited to, the receipt of all necessary approvals, including the approval of the TSX Venture Exchange (the </w:t>
      </w:r>
      <w:r w:rsidRPr="00A458C7">
        <w:rPr>
          <w:sz w:val="20"/>
          <w:szCs w:val="20"/>
        </w:rPr>
        <w:t>“</w:t>
      </w:r>
      <w:r>
        <w:rPr>
          <w:b/>
          <w:bCs/>
          <w:sz w:val="20"/>
          <w:szCs w:val="20"/>
        </w:rPr>
        <w:t>TSXV</w:t>
      </w:r>
      <w:r w:rsidRPr="00A458C7">
        <w:rPr>
          <w:sz w:val="20"/>
          <w:szCs w:val="20"/>
        </w:rPr>
        <w:t>”</w:t>
      </w:r>
      <w:r>
        <w:rPr>
          <w:sz w:val="20"/>
          <w:szCs w:val="20"/>
        </w:rPr>
        <w:t>)</w:t>
      </w:r>
      <w:r>
        <w:rPr>
          <w:rFonts w:eastAsia="Batang"/>
          <w:sz w:val="20"/>
          <w:szCs w:val="20"/>
          <w:lang w:val="en-US"/>
        </w:rPr>
        <w:t>.</w:t>
      </w:r>
    </w:p>
    <w:p w14:paraId="32E92655" w14:textId="69E62A1C" w:rsidR="00327891" w:rsidRPr="00327891" w:rsidRDefault="002B3AE0" w:rsidP="002B3AE0">
      <w:pPr>
        <w:rPr>
          <w:rFonts w:eastAsia="Batang"/>
          <w:sz w:val="20"/>
          <w:szCs w:val="20"/>
          <w:lang w:val="x-none"/>
        </w:rPr>
      </w:pPr>
      <w:r w:rsidRPr="002B3AE0">
        <w:rPr>
          <w:rFonts w:eastAsia="Batang"/>
          <w:sz w:val="20"/>
          <w:szCs w:val="20"/>
          <w:lang w:val="x-none"/>
        </w:rPr>
        <w:t>Access to the Prospectus Supplement, the Base Shelf Prospectus and any amendment to such</w:t>
      </w:r>
      <w:r>
        <w:rPr>
          <w:rFonts w:eastAsia="Batang"/>
          <w:sz w:val="20"/>
          <w:szCs w:val="20"/>
          <w:lang w:val="x-none"/>
        </w:rPr>
        <w:t xml:space="preserve"> </w:t>
      </w:r>
      <w:r w:rsidRPr="002B3AE0">
        <w:rPr>
          <w:rFonts w:eastAsia="Batang"/>
          <w:sz w:val="20"/>
          <w:szCs w:val="20"/>
          <w:lang w:val="x-none"/>
        </w:rPr>
        <w:t>documents is provided in accordance with securities legislation relating to the procedures for</w:t>
      </w:r>
      <w:r>
        <w:rPr>
          <w:rFonts w:eastAsia="Batang"/>
          <w:sz w:val="20"/>
          <w:szCs w:val="20"/>
          <w:lang w:val="x-none"/>
        </w:rPr>
        <w:t xml:space="preserve"> </w:t>
      </w:r>
      <w:r w:rsidRPr="002B3AE0">
        <w:rPr>
          <w:rFonts w:eastAsia="Batang"/>
          <w:sz w:val="20"/>
          <w:szCs w:val="20"/>
          <w:lang w:val="x-none"/>
        </w:rPr>
        <w:t>providing access to a shelf prospectus supplement, a base shelf prospectus and any amendment.</w:t>
      </w:r>
      <w:r>
        <w:rPr>
          <w:rFonts w:eastAsia="Batang"/>
          <w:sz w:val="20"/>
          <w:szCs w:val="20"/>
          <w:lang w:val="x-none"/>
        </w:rPr>
        <w:t xml:space="preserve"> </w:t>
      </w:r>
      <w:r w:rsidRPr="002B3AE0">
        <w:rPr>
          <w:rFonts w:eastAsia="Batang"/>
          <w:sz w:val="20"/>
          <w:szCs w:val="20"/>
          <w:lang w:val="x-none"/>
        </w:rPr>
        <w:t>The Base Shelf Prospectus is, and the Prospectus Supplement will be (within two business days</w:t>
      </w:r>
      <w:r>
        <w:rPr>
          <w:rFonts w:eastAsia="Batang"/>
          <w:sz w:val="20"/>
          <w:szCs w:val="20"/>
          <w:lang w:val="x-none"/>
        </w:rPr>
        <w:t xml:space="preserve"> </w:t>
      </w:r>
      <w:r w:rsidRPr="002B3AE0">
        <w:rPr>
          <w:rFonts w:eastAsia="Batang"/>
          <w:sz w:val="20"/>
          <w:szCs w:val="20"/>
          <w:lang w:val="x-none"/>
        </w:rPr>
        <w:t>from the date hereof), accessible on SEDAR+ at www.sedarplus.com. An electronic or paper copy</w:t>
      </w:r>
      <w:r>
        <w:rPr>
          <w:rFonts w:eastAsia="Batang"/>
          <w:sz w:val="20"/>
          <w:szCs w:val="20"/>
          <w:lang w:val="x-none"/>
        </w:rPr>
        <w:t xml:space="preserve"> </w:t>
      </w:r>
      <w:r w:rsidRPr="002B3AE0">
        <w:rPr>
          <w:rFonts w:eastAsia="Batang"/>
          <w:sz w:val="20"/>
          <w:szCs w:val="20"/>
          <w:lang w:val="x-none"/>
        </w:rPr>
        <w:t>of the Prospectus Supplement, Base Shelf Prospectus, and any amendment to such documents</w:t>
      </w:r>
      <w:r>
        <w:rPr>
          <w:rFonts w:eastAsia="Batang"/>
          <w:sz w:val="20"/>
          <w:szCs w:val="20"/>
          <w:lang w:val="x-none"/>
        </w:rPr>
        <w:t xml:space="preserve"> </w:t>
      </w:r>
      <w:r w:rsidRPr="002B3AE0">
        <w:rPr>
          <w:rFonts w:eastAsia="Batang"/>
          <w:sz w:val="20"/>
          <w:szCs w:val="20"/>
          <w:lang w:val="x-none"/>
        </w:rPr>
        <w:t>may be obtained, without charge, from</w:t>
      </w:r>
      <w:r w:rsidR="00327891" w:rsidRPr="00327891">
        <w:rPr>
          <w:rFonts w:eastAsia="Batang"/>
          <w:sz w:val="20"/>
          <w:szCs w:val="20"/>
          <w:lang w:val="x-none"/>
        </w:rPr>
        <w:t xml:space="preserve"> </w:t>
      </w:r>
      <w:r w:rsidR="00327891">
        <w:rPr>
          <w:rFonts w:eastAsia="Batang"/>
          <w:sz w:val="20"/>
          <w:szCs w:val="20"/>
          <w:lang w:val="en-US"/>
        </w:rPr>
        <w:t>Velocity Trade Capital Ltd</w:t>
      </w:r>
      <w:r w:rsidR="00327891" w:rsidRPr="00327891">
        <w:rPr>
          <w:rFonts w:eastAsia="Batang"/>
          <w:sz w:val="20"/>
          <w:szCs w:val="20"/>
          <w:lang w:val="x-none"/>
        </w:rPr>
        <w:t>. by mail at 100 Yonge Street, Suite 1800, Toronto, Ontario</w:t>
      </w:r>
      <w:r w:rsidR="00327891">
        <w:rPr>
          <w:rFonts w:eastAsia="Batang"/>
          <w:sz w:val="20"/>
          <w:szCs w:val="20"/>
          <w:lang w:val="x-none"/>
        </w:rPr>
        <w:t xml:space="preserve"> </w:t>
      </w:r>
      <w:r w:rsidR="00327891" w:rsidRPr="00327891">
        <w:rPr>
          <w:rFonts w:eastAsia="Batang"/>
          <w:sz w:val="20"/>
          <w:szCs w:val="20"/>
          <w:lang w:val="x-none"/>
        </w:rPr>
        <w:t>M5C 2W1,</w:t>
      </w:r>
      <w:r w:rsidR="00327891">
        <w:rPr>
          <w:rFonts w:eastAsia="Batang"/>
          <w:sz w:val="20"/>
          <w:szCs w:val="20"/>
          <w:lang w:val="x-none"/>
        </w:rPr>
        <w:t xml:space="preserve"> </w:t>
      </w:r>
      <w:r w:rsidR="00327891" w:rsidRPr="00327891">
        <w:rPr>
          <w:rFonts w:eastAsia="Batang"/>
          <w:sz w:val="20"/>
          <w:szCs w:val="20"/>
          <w:lang w:val="x-none"/>
        </w:rPr>
        <w:t xml:space="preserve">by telephone at </w:t>
      </w:r>
      <w:r w:rsidR="00D90E71" w:rsidRPr="00D90E71">
        <w:rPr>
          <w:rFonts w:eastAsia="Batang"/>
          <w:sz w:val="20"/>
          <w:szCs w:val="20"/>
          <w:lang w:val="x-none"/>
        </w:rPr>
        <w:t>(416) 323-2154</w:t>
      </w:r>
      <w:r w:rsidR="00327891" w:rsidRPr="00327891">
        <w:rPr>
          <w:rFonts w:eastAsia="Batang"/>
          <w:sz w:val="20"/>
          <w:szCs w:val="20"/>
          <w:lang w:val="x-none"/>
        </w:rPr>
        <w:t xml:space="preserve">, or by email at </w:t>
      </w:r>
      <w:hyperlink r:id="rId11" w:history="1">
        <w:r w:rsidR="00D90E71" w:rsidRPr="00D53714">
          <w:rPr>
            <w:rStyle w:val="Hipervnculo"/>
            <w:rFonts w:eastAsia="Batang"/>
            <w:sz w:val="20"/>
            <w:szCs w:val="20"/>
            <w:lang w:val="x-none"/>
          </w:rPr>
          <w:t>syndication@velocitytradecapital.com</w:t>
        </w:r>
      </w:hyperlink>
      <w:r>
        <w:rPr>
          <w:rFonts w:eastAsia="Batang"/>
          <w:sz w:val="20"/>
          <w:szCs w:val="20"/>
          <w:lang w:val="x-none"/>
        </w:rPr>
        <w:t>,</w:t>
      </w:r>
      <w:r w:rsidRPr="002B3AE0">
        <w:t xml:space="preserve"> </w:t>
      </w:r>
      <w:r w:rsidRPr="002B3AE0">
        <w:rPr>
          <w:rFonts w:eastAsia="Batang"/>
          <w:sz w:val="20"/>
          <w:szCs w:val="20"/>
        </w:rPr>
        <w:t>by providing the contact with an email address or address, as applicable</w:t>
      </w:r>
      <w:r>
        <w:rPr>
          <w:rFonts w:eastAsia="Batang"/>
          <w:sz w:val="20"/>
          <w:szCs w:val="20"/>
        </w:rPr>
        <w:t>.</w:t>
      </w:r>
    </w:p>
    <w:p w14:paraId="66030E31" w14:textId="77777777" w:rsidR="00D354D0" w:rsidRDefault="00D354D0" w:rsidP="00D354D0">
      <w:pPr>
        <w:rPr>
          <w:rFonts w:eastAsia="Batang"/>
          <w:sz w:val="20"/>
          <w:szCs w:val="20"/>
          <w:lang w:val="en-US"/>
        </w:rPr>
      </w:pPr>
      <w:bookmarkStart w:id="7" w:name="_DV_M129"/>
      <w:bookmarkStart w:id="8" w:name="_DV_M130"/>
      <w:bookmarkStart w:id="9" w:name="_DV_M131"/>
      <w:bookmarkEnd w:id="7"/>
      <w:bookmarkEnd w:id="8"/>
      <w:bookmarkEnd w:id="9"/>
      <w:r>
        <w:rPr>
          <w:rFonts w:eastAsia="Batang"/>
          <w:sz w:val="20"/>
          <w:szCs w:val="20"/>
          <w:lang w:val="en-US"/>
        </w:rPr>
        <w:t>The securities being offered have not been, nor will they be, registered under the U.S. Securities Act, and may not be offered or sold in the United States or to, or for the account or benefit of, U.S. persons absent U.S. registration or an applicable exemption from the U.S. registration requirements. This news release shall not constitute an offer to sell or the solicitation of an offer to buy nor shall there be any sale of the securities in any jurisdiction in which such offer, solicitation or sale would be unlawful.</w:t>
      </w:r>
    </w:p>
    <w:p w14:paraId="75EA61D6" w14:textId="77DADA47" w:rsidR="00853B6F" w:rsidRDefault="00853B6F" w:rsidP="00300988">
      <w:pPr>
        <w:keepNext/>
        <w:rPr>
          <w:rFonts w:eastAsia="Batang"/>
          <w:b/>
          <w:color w:val="262626"/>
          <w:sz w:val="20"/>
          <w:szCs w:val="20"/>
        </w:rPr>
      </w:pPr>
      <w:r>
        <w:rPr>
          <w:rFonts w:eastAsia="Batang"/>
          <w:b/>
          <w:color w:val="262626"/>
          <w:sz w:val="20"/>
          <w:szCs w:val="20"/>
        </w:rPr>
        <w:t xml:space="preserve">About </w:t>
      </w:r>
      <w:r w:rsidR="00327891">
        <w:rPr>
          <w:rFonts w:eastAsia="Batang"/>
          <w:b/>
          <w:color w:val="262626"/>
          <w:sz w:val="20"/>
          <w:szCs w:val="20"/>
        </w:rPr>
        <w:t>Silver Mountain</w:t>
      </w:r>
    </w:p>
    <w:p w14:paraId="21E40C07" w14:textId="77777777" w:rsidR="00D60C32" w:rsidRDefault="00D60C32" w:rsidP="00D60C32">
      <w:pPr>
        <w:keepNext/>
        <w:rPr>
          <w:sz w:val="20"/>
          <w:szCs w:val="20"/>
        </w:rPr>
      </w:pPr>
      <w:bookmarkStart w:id="10" w:name="_DV_M135"/>
      <w:bookmarkEnd w:id="10"/>
      <w:r w:rsidRPr="00E30C13">
        <w:rPr>
          <w:sz w:val="20"/>
          <w:szCs w:val="20"/>
        </w:rPr>
        <w:t>Silver Mountain Resources Inc. is a Canadian mining company focused on the exploration and</w:t>
      </w:r>
      <w:r>
        <w:rPr>
          <w:sz w:val="20"/>
          <w:szCs w:val="20"/>
        </w:rPr>
        <w:t xml:space="preserve"> </w:t>
      </w:r>
      <w:r w:rsidRPr="00E30C13">
        <w:rPr>
          <w:sz w:val="20"/>
          <w:szCs w:val="20"/>
        </w:rPr>
        <w:t>development of silver projects in Peru. The Company</w:t>
      </w:r>
      <w:r>
        <w:rPr>
          <w:sz w:val="20"/>
          <w:szCs w:val="20"/>
        </w:rPr>
        <w:t>’</w:t>
      </w:r>
      <w:r w:rsidRPr="00E30C13">
        <w:rPr>
          <w:sz w:val="20"/>
          <w:szCs w:val="20"/>
        </w:rPr>
        <w:t xml:space="preserve">s principal asset is the </w:t>
      </w:r>
      <w:proofErr w:type="spellStart"/>
      <w:r w:rsidRPr="00E30C13">
        <w:rPr>
          <w:sz w:val="20"/>
          <w:szCs w:val="20"/>
        </w:rPr>
        <w:t>Reliquias</w:t>
      </w:r>
      <w:proofErr w:type="spellEnd"/>
      <w:r w:rsidRPr="00E30C13">
        <w:rPr>
          <w:sz w:val="20"/>
          <w:szCs w:val="20"/>
        </w:rPr>
        <w:t xml:space="preserve"> Project, a</w:t>
      </w:r>
      <w:r>
        <w:rPr>
          <w:sz w:val="20"/>
          <w:szCs w:val="20"/>
        </w:rPr>
        <w:t xml:space="preserve"> </w:t>
      </w:r>
      <w:r w:rsidRPr="00E30C13">
        <w:rPr>
          <w:sz w:val="20"/>
          <w:szCs w:val="20"/>
        </w:rPr>
        <w:t xml:space="preserve">past-producing silver mine located in the </w:t>
      </w:r>
      <w:proofErr w:type="spellStart"/>
      <w:r w:rsidRPr="00E30C13">
        <w:rPr>
          <w:sz w:val="20"/>
          <w:szCs w:val="20"/>
        </w:rPr>
        <w:t>Castrovirreyna</w:t>
      </w:r>
      <w:proofErr w:type="spellEnd"/>
      <w:r w:rsidRPr="00E30C13">
        <w:rPr>
          <w:sz w:val="20"/>
          <w:szCs w:val="20"/>
        </w:rPr>
        <w:t xml:space="preserve"> district of Huancavelica. Silver Mountain is</w:t>
      </w:r>
      <w:r>
        <w:rPr>
          <w:sz w:val="20"/>
          <w:szCs w:val="20"/>
        </w:rPr>
        <w:t xml:space="preserve"> </w:t>
      </w:r>
      <w:r w:rsidRPr="00E30C13">
        <w:rPr>
          <w:sz w:val="20"/>
          <w:szCs w:val="20"/>
        </w:rPr>
        <w:t>committed to creating long-term value for its shareholders through responsible mining, strong</w:t>
      </w:r>
      <w:r>
        <w:rPr>
          <w:sz w:val="20"/>
          <w:szCs w:val="20"/>
        </w:rPr>
        <w:t xml:space="preserve"> </w:t>
      </w:r>
      <w:r w:rsidRPr="00E30C13">
        <w:rPr>
          <w:sz w:val="20"/>
          <w:szCs w:val="20"/>
        </w:rPr>
        <w:t>community engagement, and sustainable development practices.</w:t>
      </w:r>
    </w:p>
    <w:p w14:paraId="1F2A2634" w14:textId="77777777" w:rsidR="00853B6F" w:rsidRDefault="00853B6F" w:rsidP="00853B6F">
      <w:pPr>
        <w:widowControl w:val="0"/>
        <w:rPr>
          <w:b/>
          <w:bCs/>
          <w:sz w:val="20"/>
          <w:szCs w:val="20"/>
        </w:rPr>
      </w:pPr>
      <w:r>
        <w:rPr>
          <w:b/>
          <w:bCs/>
          <w:sz w:val="20"/>
          <w:szCs w:val="20"/>
        </w:rPr>
        <w:t>Contact Information</w:t>
      </w:r>
    </w:p>
    <w:p w14:paraId="301B81A9" w14:textId="2E3B8136" w:rsidR="000E078C" w:rsidRDefault="000E078C" w:rsidP="000E078C">
      <w:pPr>
        <w:widowControl w:val="0"/>
        <w:spacing w:after="0"/>
        <w:rPr>
          <w:sz w:val="20"/>
          <w:szCs w:val="20"/>
        </w:rPr>
      </w:pPr>
      <w:r w:rsidRPr="000E078C">
        <w:rPr>
          <w:sz w:val="20"/>
          <w:szCs w:val="20"/>
        </w:rPr>
        <w:t>Alvaro Espinoza, Chief Executive Officer</w:t>
      </w:r>
    </w:p>
    <w:p w14:paraId="6705E4D4" w14:textId="77777777" w:rsidR="000E078C" w:rsidRDefault="000E078C" w:rsidP="000E078C">
      <w:pPr>
        <w:widowControl w:val="0"/>
        <w:spacing w:after="0"/>
        <w:rPr>
          <w:sz w:val="20"/>
          <w:szCs w:val="20"/>
        </w:rPr>
      </w:pPr>
      <w:r>
        <w:rPr>
          <w:sz w:val="20"/>
          <w:szCs w:val="20"/>
        </w:rPr>
        <w:t>Silver Mountain Resources Inc.</w:t>
      </w:r>
      <w:r w:rsidRPr="000E078C">
        <w:rPr>
          <w:sz w:val="20"/>
          <w:szCs w:val="20"/>
        </w:rPr>
        <w:t xml:space="preserve"> </w:t>
      </w:r>
    </w:p>
    <w:p w14:paraId="5BB7C020" w14:textId="77777777" w:rsidR="000E078C" w:rsidRDefault="000E078C" w:rsidP="000E078C">
      <w:pPr>
        <w:widowControl w:val="0"/>
        <w:spacing w:after="0"/>
        <w:rPr>
          <w:sz w:val="20"/>
          <w:szCs w:val="20"/>
        </w:rPr>
      </w:pPr>
      <w:r w:rsidRPr="000E078C">
        <w:rPr>
          <w:sz w:val="20"/>
          <w:szCs w:val="20"/>
        </w:rPr>
        <w:t>82 Richmond Street East, Toronto, ON M5C 1P1</w:t>
      </w:r>
    </w:p>
    <w:p w14:paraId="2A4A012B" w14:textId="31386642" w:rsidR="000E078C" w:rsidRPr="000E078C" w:rsidRDefault="000E078C" w:rsidP="000E078C">
      <w:pPr>
        <w:widowControl w:val="0"/>
        <w:spacing w:after="0"/>
        <w:rPr>
          <w:sz w:val="20"/>
          <w:szCs w:val="20"/>
        </w:rPr>
      </w:pPr>
      <w:r w:rsidRPr="000E078C">
        <w:rPr>
          <w:sz w:val="20"/>
          <w:szCs w:val="20"/>
        </w:rPr>
        <w:t>+51 997 377 968,</w:t>
      </w:r>
    </w:p>
    <w:p w14:paraId="3AEE5C2A" w14:textId="21A9F910" w:rsidR="000E078C" w:rsidRDefault="000E078C" w:rsidP="000E078C">
      <w:pPr>
        <w:widowControl w:val="0"/>
        <w:spacing w:after="0"/>
        <w:rPr>
          <w:sz w:val="20"/>
          <w:szCs w:val="20"/>
        </w:rPr>
      </w:pPr>
      <w:hyperlink r:id="rId12" w:history="1">
        <w:r w:rsidRPr="00005247">
          <w:rPr>
            <w:rStyle w:val="Hipervnculo"/>
            <w:sz w:val="20"/>
            <w:szCs w:val="20"/>
          </w:rPr>
          <w:t>info@agmr.ca</w:t>
        </w:r>
      </w:hyperlink>
    </w:p>
    <w:p w14:paraId="3B43013C" w14:textId="64872585" w:rsidR="000E078C" w:rsidRDefault="000E078C" w:rsidP="000E078C">
      <w:pPr>
        <w:widowControl w:val="0"/>
        <w:spacing w:after="0"/>
        <w:rPr>
          <w:sz w:val="20"/>
          <w:szCs w:val="20"/>
        </w:rPr>
      </w:pPr>
      <w:hyperlink r:id="rId13" w:history="1">
        <w:r w:rsidRPr="00005247">
          <w:rPr>
            <w:rStyle w:val="Hipervnculo"/>
            <w:sz w:val="20"/>
            <w:szCs w:val="20"/>
          </w:rPr>
          <w:t>www.agmr.ca</w:t>
        </w:r>
      </w:hyperlink>
      <w:r>
        <w:rPr>
          <w:sz w:val="20"/>
          <w:szCs w:val="20"/>
        </w:rPr>
        <w:t xml:space="preserve"> </w:t>
      </w:r>
    </w:p>
    <w:p w14:paraId="223FC1D8" w14:textId="77777777" w:rsidR="00853B6F" w:rsidRDefault="00853B6F" w:rsidP="00853B6F">
      <w:pPr>
        <w:widowControl w:val="0"/>
        <w:spacing w:after="0"/>
        <w:rPr>
          <w:sz w:val="20"/>
          <w:szCs w:val="20"/>
        </w:rPr>
      </w:pPr>
    </w:p>
    <w:p w14:paraId="02FC4D98" w14:textId="77777777" w:rsidR="00853B6F" w:rsidRDefault="00853B6F" w:rsidP="00853B6F">
      <w:pPr>
        <w:widowControl w:val="0"/>
        <w:rPr>
          <w:rFonts w:eastAsia="Batang"/>
          <w:b/>
          <w:bCs/>
          <w:color w:val="262626"/>
          <w:sz w:val="18"/>
          <w:szCs w:val="18"/>
        </w:rPr>
      </w:pPr>
      <w:r>
        <w:rPr>
          <w:rFonts w:eastAsia="Batang"/>
          <w:b/>
          <w:bCs/>
          <w:color w:val="262626"/>
          <w:sz w:val="18"/>
          <w:szCs w:val="18"/>
        </w:rPr>
        <w:t>Forward looking and other cautionary statements</w:t>
      </w:r>
    </w:p>
    <w:p w14:paraId="577AC1DB" w14:textId="77777777" w:rsidR="00D354D0" w:rsidRPr="000E078C" w:rsidRDefault="00D354D0" w:rsidP="00D354D0">
      <w:pPr>
        <w:widowControl w:val="0"/>
        <w:rPr>
          <w:rFonts w:eastAsia="Batang"/>
          <w:i/>
          <w:iCs/>
          <w:color w:val="262626"/>
          <w:sz w:val="18"/>
          <w:szCs w:val="18"/>
          <w:lang w:val="x-none"/>
        </w:rPr>
      </w:pPr>
      <w:r w:rsidRPr="000E078C">
        <w:rPr>
          <w:rFonts w:eastAsia="Batang"/>
          <w:i/>
          <w:iCs/>
          <w:color w:val="262626"/>
          <w:sz w:val="18"/>
          <w:szCs w:val="18"/>
          <w:lang w:val="x-none"/>
        </w:rPr>
        <w:t xml:space="preserve">This news release contains “forward-looking statements” and “forward-looking information” within the meaning of applicable securities legislation (collectively, “forward-looking statements”). All statements, other than statements of historical fact, are forward-looking statements and are based on expectations, estimates and projections as at the date of this news release. Any statement that involves discussion with respect to predictions, expectations, beliefs, plans, projections, objectives, assumptions, future events or performance (often, but not always using phrases such as “plans”, “expects”, “is expected”, “budget”, “scheduled”, “estimates”, “forecasts”, “intends”, “anticipates”, or “believes” or variations (including negative variations) of such words and phrases, or state that certain actions, events or results “may”, “could”, “would”, “might” or “will” be taken, occur or be achieved) are not statements of historical fact and may be forward-looking statements. In this news release, forward-looking statements relate, among other things, to: filing of the Prospectus Supplement; receipt of all regulatory approvals in connection with the Offering; the completion of the Offering and the proposed use of the net proceeds therefrom; the anticipated advancement of mineral properties or programs; future operations; future discoveries; future growth potential of </w:t>
      </w:r>
      <w:r>
        <w:rPr>
          <w:rFonts w:eastAsia="Batang"/>
          <w:i/>
          <w:iCs/>
          <w:color w:val="262626"/>
          <w:sz w:val="18"/>
          <w:szCs w:val="18"/>
          <w:lang w:val="x-none"/>
        </w:rPr>
        <w:t>the Company</w:t>
      </w:r>
      <w:r w:rsidRPr="000E078C">
        <w:rPr>
          <w:rFonts w:eastAsia="Batang"/>
          <w:i/>
          <w:iCs/>
          <w:color w:val="262626"/>
          <w:sz w:val="18"/>
          <w:szCs w:val="18"/>
          <w:lang w:val="x-none"/>
        </w:rPr>
        <w:t>; and future development plans.</w:t>
      </w:r>
    </w:p>
    <w:p w14:paraId="1B6BC28E" w14:textId="77777777" w:rsidR="00D354D0" w:rsidRPr="00F8097B" w:rsidRDefault="00D354D0" w:rsidP="00D354D0">
      <w:pPr>
        <w:widowControl w:val="0"/>
        <w:rPr>
          <w:rFonts w:eastAsia="Batang"/>
          <w:i/>
          <w:iCs/>
          <w:color w:val="262626"/>
          <w:sz w:val="18"/>
          <w:szCs w:val="18"/>
          <w:lang w:val="x-none"/>
        </w:rPr>
      </w:pPr>
      <w:r w:rsidRPr="00F8097B">
        <w:rPr>
          <w:rFonts w:eastAsia="Batang"/>
          <w:i/>
          <w:iCs/>
          <w:color w:val="262626"/>
          <w:sz w:val="18"/>
          <w:szCs w:val="18"/>
          <w:lang w:val="x-none"/>
        </w:rPr>
        <w:t>These forward-looking statements, and any assumptions upon which they are based, are made in good faith and reflect our current judgment regarding future events including the direction of our business</w:t>
      </w:r>
      <w:r>
        <w:rPr>
          <w:rFonts w:eastAsia="Batang"/>
          <w:i/>
          <w:iCs/>
          <w:color w:val="262626"/>
          <w:sz w:val="18"/>
          <w:szCs w:val="18"/>
          <w:lang w:val="x-none"/>
        </w:rPr>
        <w:t xml:space="preserve">. </w:t>
      </w:r>
      <w:r w:rsidRPr="00F8097B">
        <w:rPr>
          <w:rFonts w:eastAsia="Batang"/>
          <w:i/>
          <w:iCs/>
          <w:color w:val="262626"/>
          <w:sz w:val="18"/>
          <w:szCs w:val="18"/>
          <w:lang w:val="x-none"/>
        </w:rPr>
        <w:t xml:space="preserve">Management believes that these assumptions are </w:t>
      </w:r>
      <w:r w:rsidRPr="00F8097B">
        <w:rPr>
          <w:rFonts w:eastAsia="Batang"/>
          <w:i/>
          <w:iCs/>
          <w:color w:val="262626"/>
          <w:sz w:val="18"/>
          <w:szCs w:val="18"/>
          <w:lang w:val="x-none"/>
        </w:rPr>
        <w:lastRenderedPageBreak/>
        <w:t xml:space="preserve">reasonable. Forward-looking statements involve known and unknown risks, uncertainties and other factors which may cause the actual results, performance or achievements of the Company to be materially different from any future results, performance or achievements expressed or implied by the forward-looking statements. Such factors include, among others: </w:t>
      </w:r>
      <w:r w:rsidRPr="00FB4C9D">
        <w:rPr>
          <w:rFonts w:eastAsia="Batang"/>
          <w:i/>
          <w:iCs/>
          <w:color w:val="262626"/>
          <w:sz w:val="18"/>
          <w:szCs w:val="18"/>
          <w:lang w:val="en-US"/>
        </w:rPr>
        <w:t>risks relating to the ability of the parties to complete the Offering on the terms described in this news release or timing currently expected, or at all</w:t>
      </w:r>
      <w:r>
        <w:rPr>
          <w:rFonts w:eastAsia="Batang"/>
          <w:i/>
          <w:iCs/>
          <w:color w:val="262626"/>
          <w:sz w:val="18"/>
          <w:szCs w:val="18"/>
          <w:lang w:val="x-none"/>
        </w:rPr>
        <w:t xml:space="preserve">; </w:t>
      </w:r>
      <w:r w:rsidRPr="00F8097B">
        <w:rPr>
          <w:rFonts w:eastAsia="Batang"/>
          <w:i/>
          <w:iCs/>
          <w:color w:val="262626"/>
          <w:sz w:val="18"/>
          <w:szCs w:val="18"/>
          <w:lang w:val="x-none"/>
        </w:rPr>
        <w:t xml:space="preserve">risks related to the speculative nature of the Company’s business; the Company’s formative stage of development; the Company’s financial position; possible variations in mineralization, grade or recovery rates; actual results of current exploration activities; conclusions of future economic evaluations; fluctuations in general macroeconomic conditions; fluctuations in securities markets; fluctuations in spot and forward prices of </w:t>
      </w:r>
      <w:r>
        <w:rPr>
          <w:rFonts w:eastAsia="Batang"/>
          <w:i/>
          <w:iCs/>
          <w:color w:val="262626"/>
          <w:sz w:val="18"/>
          <w:szCs w:val="18"/>
          <w:lang w:val="x-none"/>
        </w:rPr>
        <w:t>silver</w:t>
      </w:r>
      <w:r w:rsidRPr="00F8097B">
        <w:rPr>
          <w:rFonts w:eastAsia="Batang"/>
          <w:i/>
          <w:iCs/>
          <w:color w:val="262626"/>
          <w:sz w:val="18"/>
          <w:szCs w:val="18"/>
          <w:lang w:val="x-none"/>
        </w:rPr>
        <w:t>, precious and base metals or certain other commodities; fluctuations in currency markets; change in national and local government, legislation, taxation, controls regulations and political or economic developments; risks and hazards associated with the business of mineral exploration, development and mining (including environmental hazards, industrial accidents, unusual or unexpected formation pressures, cave-ins and flooding); inability to obtain adequate insurance to cover risks and hazards; the presence of laws and regulations that may impose restrictions on mining; employee relations; relationships with and claims by local communities and indigenous</w:t>
      </w:r>
      <w:r>
        <w:rPr>
          <w:rFonts w:eastAsia="Batang"/>
          <w:i/>
          <w:iCs/>
          <w:color w:val="262626"/>
          <w:sz w:val="18"/>
          <w:szCs w:val="18"/>
          <w:lang w:val="x-none"/>
        </w:rPr>
        <w:t xml:space="preserve"> </w:t>
      </w:r>
      <w:r w:rsidRPr="00F8097B">
        <w:rPr>
          <w:rFonts w:eastAsia="Batang"/>
          <w:i/>
          <w:iCs/>
          <w:color w:val="262626"/>
          <w:sz w:val="18"/>
          <w:szCs w:val="18"/>
          <w:lang w:val="x-none"/>
        </w:rPr>
        <w:t xml:space="preserve">populations; availability of increasing costs associated with </w:t>
      </w:r>
      <w:proofErr w:type="spellStart"/>
      <w:r w:rsidRPr="00F8097B">
        <w:rPr>
          <w:rFonts w:eastAsia="Batang"/>
          <w:i/>
          <w:iCs/>
          <w:color w:val="262626"/>
          <w:sz w:val="18"/>
          <w:szCs w:val="18"/>
          <w:lang w:val="x-none"/>
        </w:rPr>
        <w:t>mining</w:t>
      </w:r>
      <w:proofErr w:type="spellEnd"/>
      <w:r w:rsidRPr="00F8097B">
        <w:rPr>
          <w:rFonts w:eastAsia="Batang"/>
          <w:i/>
          <w:iCs/>
          <w:color w:val="262626"/>
          <w:sz w:val="18"/>
          <w:szCs w:val="18"/>
          <w:lang w:val="x-none"/>
        </w:rPr>
        <w:t xml:space="preserve"> inputs and </w:t>
      </w:r>
      <w:proofErr w:type="spellStart"/>
      <w:r w:rsidRPr="00F8097B">
        <w:rPr>
          <w:rFonts w:eastAsia="Batang"/>
          <w:i/>
          <w:iCs/>
          <w:color w:val="262626"/>
          <w:sz w:val="18"/>
          <w:szCs w:val="18"/>
          <w:lang w:val="x-none"/>
        </w:rPr>
        <w:t>labour</w:t>
      </w:r>
      <w:proofErr w:type="spellEnd"/>
      <w:r w:rsidRPr="00F8097B">
        <w:rPr>
          <w:rFonts w:eastAsia="Batang"/>
          <w:i/>
          <w:iCs/>
          <w:color w:val="262626"/>
          <w:sz w:val="18"/>
          <w:szCs w:val="18"/>
          <w:lang w:val="x-none"/>
        </w:rPr>
        <w:t xml:space="preserve">; </w:t>
      </w:r>
      <w:proofErr w:type="spellStart"/>
      <w:r w:rsidRPr="00F8097B">
        <w:rPr>
          <w:rFonts w:eastAsia="Batang"/>
          <w:i/>
          <w:iCs/>
          <w:color w:val="262626"/>
          <w:sz w:val="18"/>
          <w:szCs w:val="18"/>
          <w:lang w:val="x-none"/>
        </w:rPr>
        <w:t>the</w:t>
      </w:r>
      <w:proofErr w:type="spellEnd"/>
      <w:r w:rsidRPr="00F8097B">
        <w:rPr>
          <w:rFonts w:eastAsia="Batang"/>
          <w:i/>
          <w:iCs/>
          <w:color w:val="262626"/>
          <w:sz w:val="18"/>
          <w:szCs w:val="18"/>
          <w:lang w:val="x-none"/>
        </w:rPr>
        <w:t xml:space="preserve"> </w:t>
      </w:r>
      <w:proofErr w:type="spellStart"/>
      <w:r w:rsidRPr="00F8097B">
        <w:rPr>
          <w:rFonts w:eastAsia="Batang"/>
          <w:i/>
          <w:iCs/>
          <w:color w:val="262626"/>
          <w:sz w:val="18"/>
          <w:szCs w:val="18"/>
          <w:lang w:val="x-none"/>
        </w:rPr>
        <w:t>speculative</w:t>
      </w:r>
      <w:proofErr w:type="spellEnd"/>
      <w:r w:rsidRPr="00F8097B">
        <w:rPr>
          <w:rFonts w:eastAsia="Batang"/>
          <w:i/>
          <w:iCs/>
          <w:color w:val="262626"/>
          <w:sz w:val="18"/>
          <w:szCs w:val="18"/>
          <w:lang w:val="x-none"/>
        </w:rPr>
        <w:t xml:space="preserve"> </w:t>
      </w:r>
      <w:proofErr w:type="spellStart"/>
      <w:r w:rsidRPr="00F8097B">
        <w:rPr>
          <w:rFonts w:eastAsia="Batang"/>
          <w:i/>
          <w:iCs/>
          <w:color w:val="262626"/>
          <w:sz w:val="18"/>
          <w:szCs w:val="18"/>
          <w:lang w:val="x-none"/>
        </w:rPr>
        <w:t>nature</w:t>
      </w:r>
      <w:proofErr w:type="spellEnd"/>
      <w:r w:rsidRPr="00F8097B">
        <w:rPr>
          <w:rFonts w:eastAsia="Batang"/>
          <w:i/>
          <w:iCs/>
          <w:color w:val="262626"/>
          <w:sz w:val="18"/>
          <w:szCs w:val="18"/>
          <w:lang w:val="x-none"/>
        </w:rPr>
        <w:t xml:space="preserve"> of mineral exploration and development (including the risks of obtaining necessary licenses, permits and approvals from government authorities); and title to properties, as well as those risk factors discussed or referred to in the annual information form of the Company dated </w:t>
      </w:r>
      <w:r>
        <w:rPr>
          <w:rFonts w:eastAsia="Batang"/>
          <w:i/>
          <w:iCs/>
          <w:color w:val="262626"/>
          <w:sz w:val="18"/>
          <w:szCs w:val="18"/>
          <w:lang w:val="x-none"/>
        </w:rPr>
        <w:t>July 17</w:t>
      </w:r>
      <w:r w:rsidRPr="00F8097B">
        <w:rPr>
          <w:rFonts w:eastAsia="Batang"/>
          <w:i/>
          <w:iCs/>
          <w:color w:val="262626"/>
          <w:sz w:val="18"/>
          <w:szCs w:val="18"/>
          <w:lang w:val="x-none"/>
        </w:rPr>
        <w:t>, 202</w:t>
      </w:r>
      <w:r>
        <w:rPr>
          <w:rFonts w:eastAsia="Batang"/>
          <w:i/>
          <w:iCs/>
          <w:color w:val="262626"/>
          <w:sz w:val="18"/>
          <w:szCs w:val="18"/>
          <w:lang w:val="x-none"/>
        </w:rPr>
        <w:t>5</w:t>
      </w:r>
      <w:r w:rsidRPr="00F8097B">
        <w:rPr>
          <w:rFonts w:eastAsia="Batang"/>
          <w:i/>
          <w:iCs/>
          <w:color w:val="262626"/>
          <w:sz w:val="18"/>
          <w:szCs w:val="18"/>
          <w:lang w:val="x-none"/>
        </w:rPr>
        <w:t>. Forward-looking statements contained herein are made as of the date of this news release and the Company disclaims any obligation to update any forward-looking statements, whether as a result of new information, future events or results, except as may be required by applicable securities laws. There can be no assurance that forward-looking statements will prove to be accurate, as actual results and future events could differ materially from those anticipated in such statements and there may be other factors that cause results not to be anticipated, estimated or intended. Accordingly, readers should not place undue reliance on forward-looking statements.</w:t>
      </w:r>
    </w:p>
    <w:p w14:paraId="6381B20D" w14:textId="3280A386" w:rsidR="005F142A" w:rsidRPr="00D354D0" w:rsidRDefault="00D354D0" w:rsidP="00D354D0">
      <w:pPr>
        <w:widowControl w:val="0"/>
        <w:rPr>
          <w:rFonts w:eastAsia="Batang"/>
        </w:rPr>
      </w:pPr>
      <w:r>
        <w:rPr>
          <w:rFonts w:eastAsia="Batang"/>
          <w:i/>
          <w:iCs/>
          <w:color w:val="262626"/>
          <w:sz w:val="18"/>
          <w:szCs w:val="18"/>
        </w:rPr>
        <w:t>Neither the TSXV nor its regulation services provider (as that term is defined in the policies of the TSXV) accepts responsibility for the adequacy or accuracy of this release.</w:t>
      </w:r>
    </w:p>
    <w:sectPr w:rsidR="005F142A" w:rsidRPr="00D354D0" w:rsidSect="000F50FF">
      <w:headerReference w:type="default" r:id="rId14"/>
      <w:footerReference w:type="default" r:id="rId15"/>
      <w:pgSz w:w="12240" w:h="15840"/>
      <w:pgMar w:top="1440" w:right="1440" w:bottom="1440" w:left="1440" w:header="720" w:footer="56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13BC7" w14:textId="77777777" w:rsidR="00531B97" w:rsidRDefault="00531B97">
      <w:r>
        <w:separator/>
      </w:r>
    </w:p>
  </w:endnote>
  <w:endnote w:type="continuationSeparator" w:id="0">
    <w:p w14:paraId="067F58B2" w14:textId="77777777" w:rsidR="00531B97" w:rsidRDefault="0053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ngravrsRoman BT">
    <w:altName w:val="Georg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venir">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30" w:type="dxa"/>
      <w:tblBorders>
        <w:top w:val="none" w:sz="0" w:space="0" w:color="auto"/>
        <w:left w:val="single" w:sz="24" w:space="0" w:color="548DD4" w:themeColor="text2" w:themeTint="99"/>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0"/>
    </w:tblGrid>
    <w:tr w:rsidR="000F50FF" w:rsidRPr="00024C75" w14:paraId="6F1B9A39" w14:textId="77777777" w:rsidTr="00E2383E">
      <w:trPr>
        <w:trHeight w:val="147"/>
      </w:trPr>
      <w:tc>
        <w:tcPr>
          <w:tcW w:w="9330" w:type="dxa"/>
          <w:tcBorders>
            <w:left w:val="single" w:sz="24" w:space="0" w:color="203864"/>
            <w:bottom w:val="nil"/>
          </w:tcBorders>
        </w:tcPr>
        <w:p w14:paraId="63D14A48" w14:textId="77777777" w:rsidR="000F50FF" w:rsidRPr="000F50FF" w:rsidRDefault="000F50FF" w:rsidP="000F50FF">
          <w:pPr>
            <w:pStyle w:val="Piedepgina"/>
            <w:ind w:right="-108"/>
            <w:rPr>
              <w:rFonts w:ascii="Avenir" w:hAnsi="Avenir"/>
              <w:sz w:val="20"/>
              <w:szCs w:val="20"/>
            </w:rPr>
          </w:pPr>
          <w:r w:rsidRPr="000F50FF">
            <w:rPr>
              <w:rFonts w:ascii="Avenir" w:hAnsi="Avenir"/>
              <w:b/>
              <w:bCs/>
              <w:color w:val="203864"/>
              <w:sz w:val="20"/>
              <w:szCs w:val="20"/>
            </w:rPr>
            <w:t xml:space="preserve">SILVER MOUNTAIN RESOURCES INC.  TSX.V | AGMR                                                      www.agmr.ca </w:t>
          </w:r>
        </w:p>
      </w:tc>
    </w:tr>
    <w:tr w:rsidR="000F50FF" w:rsidRPr="009762BA" w14:paraId="620FA853" w14:textId="77777777" w:rsidTr="00E2383E">
      <w:tc>
        <w:tcPr>
          <w:tcW w:w="9330" w:type="dxa"/>
          <w:tcBorders>
            <w:left w:val="single" w:sz="24" w:space="0" w:color="203864"/>
          </w:tcBorders>
        </w:tcPr>
        <w:p w14:paraId="10F87665" w14:textId="77777777" w:rsidR="000F50FF" w:rsidRPr="00024C75" w:rsidRDefault="000F50FF" w:rsidP="000F50FF">
          <w:pPr>
            <w:spacing w:line="276" w:lineRule="auto"/>
            <w:rPr>
              <w:rFonts w:ascii="Arial" w:eastAsia="Arial Unicode MS" w:hAnsi="Arial" w:cs="Arial"/>
              <w:bCs/>
              <w:sz w:val="18"/>
              <w:szCs w:val="18"/>
              <w:bdr w:val="nil"/>
            </w:rPr>
          </w:pPr>
          <w:r w:rsidRPr="00024C75">
            <w:rPr>
              <w:rFonts w:ascii="Arial" w:eastAsia="Arial Unicode MS" w:hAnsi="Arial" w:cs="Arial"/>
              <w:bCs/>
              <w:sz w:val="18"/>
              <w:szCs w:val="18"/>
              <w:bdr w:val="nil"/>
            </w:rPr>
            <w:t>82 Richmond Street East Toronto, ON M5C 1P1</w:t>
          </w:r>
        </w:p>
        <w:p w14:paraId="26E2B392" w14:textId="77777777" w:rsidR="000F50FF" w:rsidRPr="009762BA" w:rsidRDefault="000F50FF" w:rsidP="000F50FF">
          <w:pPr>
            <w:pStyle w:val="Piedepgina"/>
            <w:tabs>
              <w:tab w:val="left" w:pos="1430"/>
            </w:tabs>
            <w:rPr>
              <w:rFonts w:ascii="Avenir" w:hAnsi="Avenir"/>
              <w:sz w:val="18"/>
              <w:szCs w:val="18"/>
            </w:rPr>
          </w:pPr>
          <w:r w:rsidRPr="009762BA">
            <w:rPr>
              <w:rFonts w:ascii="Avenir" w:hAnsi="Avenir"/>
              <w:sz w:val="18"/>
              <w:szCs w:val="18"/>
            </w:rPr>
            <w:tab/>
          </w:r>
        </w:p>
      </w:tc>
    </w:tr>
  </w:tbl>
  <w:p w14:paraId="0F4EB10C" w14:textId="7EFFC475" w:rsidR="00A32C35" w:rsidRDefault="003C7843" w:rsidP="000F50FF">
    <w:pPr>
      <w:pStyle w:val="Piedepgina"/>
    </w:pPr>
    <w:r>
      <w:rPr>
        <w:b/>
        <w:noProof/>
        <w:color w:val="800000"/>
        <w:sz w:val="28"/>
      </w:rPr>
      <mc:AlternateContent>
        <mc:Choice Requires="wps">
          <w:drawing>
            <wp:anchor distT="0" distB="0" distL="114300" distR="114300" simplePos="0" relativeHeight="251681792" behindDoc="1" locked="1" layoutInCell="0" allowOverlap="1" wp14:anchorId="3A05B9BA" wp14:editId="08B2F5E8">
              <wp:simplePos x="0" y="0"/>
              <wp:positionH relativeFrom="margin">
                <wp:align>left</wp:align>
              </wp:positionH>
              <wp:positionV relativeFrom="paragraph">
                <wp:posOffset>0</wp:posOffset>
              </wp:positionV>
              <wp:extent cx="1828800" cy="228600"/>
              <wp:effectExtent l="0" t="0" r="0" b="0"/>
              <wp:wrapTight wrapText="bothSides">
                <wp:wrapPolygon edited="0">
                  <wp:start x="0" y="0"/>
                  <wp:lineTo x="0" y="19800"/>
                  <wp:lineTo x="21375" y="19800"/>
                  <wp:lineTo x="21375" y="0"/>
                  <wp:lineTo x="0" y="0"/>
                </wp:wrapPolygon>
              </wp:wrapTight>
              <wp:docPr id="54907832" name="DocsID_PF4302469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78A60" w14:textId="77777777" w:rsidR="003C7843" w:rsidRPr="009E6440" w:rsidRDefault="003C7843" w:rsidP="002737ED">
                          <w:pPr>
                            <w:rPr>
                              <w:rFonts w:ascii="Arial" w:hAnsi="Arial" w:cs="Arial"/>
                              <w:sz w:val="12"/>
                            </w:rPr>
                          </w:pP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5B9BA" id="_x0000_t202" coordsize="21600,21600" o:spt="202" path="m,l,21600r21600,l21600,xe">
              <v:stroke joinstyle="miter"/>
              <v:path gradientshapeok="t" o:connecttype="rect"/>
            </v:shapetype>
            <v:shape id="DocsID_PF4302469691" o:spid="_x0000_s1026" type="#_x0000_t202" style="position:absolute;margin-left:0;margin-top:0;width:2in;height:18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" o:allowincell="f" filled="f" stroked="f">
              <v:textbox inset="0,,0,0">
                <w:txbxContent>
                  <w:p w14:paraId="34778A60" w14:textId="77777777" w:rsidR="003C7843" w:rsidRPr="009E6440" w:rsidRDefault="003C7843" w:rsidP="002737ED">
                    <w:pPr>
                      <w:rPr>
                        <w:rFonts w:ascii="Arial" w:hAnsi="Arial" w:cs="Arial"/>
                        <w:sz w:val="12"/>
                      </w:rPr>
                    </w:pPr>
                  </w:p>
                </w:txbxContent>
              </v:textbox>
              <w10:wrap type="tight" anchorx="margin"/>
              <w10:anchorlock/>
            </v:shape>
          </w:pict>
        </mc:Fallback>
      </mc:AlternateContent>
    </w:r>
    <w:r w:rsidR="000901C6">
      <w:rPr>
        <w:b/>
        <w:noProof/>
        <w:color w:val="800000"/>
        <w:sz w:val="28"/>
      </w:rPr>
      <mc:AlternateContent>
        <mc:Choice Requires="wps">
          <w:drawing>
            <wp:anchor distT="0" distB="0" distL="114300" distR="114300" simplePos="0" relativeHeight="251691008" behindDoc="1" locked="1" layoutInCell="0" allowOverlap="1" wp14:anchorId="11EEF81D" wp14:editId="17B131BA">
              <wp:simplePos x="0" y="0"/>
              <wp:positionH relativeFrom="margin">
                <wp:align>left</wp:align>
              </wp:positionH>
              <wp:positionV relativeFrom="paragraph">
                <wp:posOffset>0</wp:posOffset>
              </wp:positionV>
              <wp:extent cx="1828800" cy="228600"/>
              <wp:effectExtent l="0" t="0" r="0" b="0"/>
              <wp:wrapTight wrapText="bothSides">
                <wp:wrapPolygon edited="0">
                  <wp:start x="0" y="0"/>
                  <wp:lineTo x="0" y="19800"/>
                  <wp:lineTo x="21375" y="19800"/>
                  <wp:lineTo x="21375" y="0"/>
                  <wp:lineTo x="0" y="0"/>
                </wp:wrapPolygon>
              </wp:wrapTight>
              <wp:docPr id="307920404" name="DocsID_PF4302469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D27EE" w14:textId="77777777" w:rsidR="000901C6" w:rsidRPr="009E6440" w:rsidRDefault="000901C6" w:rsidP="00004715">
                          <w:pPr>
                            <w:rPr>
                              <w:rFonts w:ascii="Arial" w:hAnsi="Arial" w:cs="Arial"/>
                              <w:sz w:val="12"/>
                            </w:rPr>
                          </w:pP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EF81D" id="_x0000_s1027" type="#_x0000_t202" style="position:absolute;margin-left:0;margin-top:0;width:2in;height:18pt;z-index:-25162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" o:allowincell="f" filled="f" stroked="f">
              <v:textbox inset="0,,0,0">
                <w:txbxContent>
                  <w:p w14:paraId="22CD27EE" w14:textId="77777777" w:rsidR="000901C6" w:rsidRPr="009E6440" w:rsidRDefault="000901C6" w:rsidP="00004715">
                    <w:pPr>
                      <w:rPr>
                        <w:rFonts w:ascii="Arial" w:hAnsi="Arial" w:cs="Arial"/>
                        <w:sz w:val="12"/>
                      </w:rPr>
                    </w:pPr>
                  </w:p>
                </w:txbxContent>
              </v:textbox>
              <w10:wrap type="tight" anchorx="margin"/>
              <w10:anchorlock/>
            </v:shape>
          </w:pict>
        </mc:Fallback>
      </mc:AlternateContent>
    </w:r>
    <w:r w:rsidR="00A32C35">
      <w:rPr>
        <w:b/>
        <w:noProof/>
        <w:color w:val="800000"/>
        <w:sz w:val="28"/>
      </w:rPr>
      <mc:AlternateContent>
        <mc:Choice Requires="wps">
          <w:drawing>
            <wp:anchor distT="0" distB="0" distL="114300" distR="114300" simplePos="0" relativeHeight="251672576" behindDoc="1" locked="1" layoutInCell="0" allowOverlap="1" wp14:anchorId="58EAC830" wp14:editId="420EC76F">
              <wp:simplePos x="0" y="0"/>
              <wp:positionH relativeFrom="margin">
                <wp:align>left</wp:align>
              </wp:positionH>
              <wp:positionV relativeFrom="paragraph">
                <wp:posOffset>0</wp:posOffset>
              </wp:positionV>
              <wp:extent cx="1828800" cy="228600"/>
              <wp:effectExtent l="0" t="0" r="0" b="0"/>
              <wp:wrapTight wrapText="bothSides">
                <wp:wrapPolygon edited="0">
                  <wp:start x="0" y="0"/>
                  <wp:lineTo x="0" y="19800"/>
                  <wp:lineTo x="21375" y="19800"/>
                  <wp:lineTo x="21375" y="0"/>
                  <wp:lineTo x="0" y="0"/>
                </wp:wrapPolygon>
              </wp:wrapTight>
              <wp:docPr id="1551406308" name="DocsID_PF4302469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8242B" w14:textId="77777777" w:rsidR="00A32C35" w:rsidRPr="009E6440" w:rsidRDefault="00A32C35" w:rsidP="00ED0076">
                          <w:pPr>
                            <w:rPr>
                              <w:rFonts w:ascii="Arial" w:hAnsi="Arial" w:cs="Arial"/>
                              <w:sz w:val="12"/>
                            </w:rPr>
                          </w:pP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AC830" id="_x0000_s1028" type="#_x0000_t202" style="position:absolute;margin-left:0;margin-top:0;width:2in;height:18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" o:allowincell="f" filled="f" stroked="f">
              <v:textbox inset="0,,0,0">
                <w:txbxContent>
                  <w:p w14:paraId="58B8242B" w14:textId="77777777" w:rsidR="00A32C35" w:rsidRPr="009E6440" w:rsidRDefault="00A32C35" w:rsidP="00ED0076">
                    <w:pPr>
                      <w:rPr>
                        <w:rFonts w:ascii="Arial" w:hAnsi="Arial" w:cs="Arial"/>
                        <w:sz w:val="12"/>
                      </w:rPr>
                    </w:pPr>
                  </w:p>
                </w:txbxContent>
              </v:textbox>
              <w10:wrap type="tight"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064F" w14:textId="77777777" w:rsidR="00531B97" w:rsidRDefault="00531B97">
      <w:pPr>
        <w:spacing w:line="80" w:lineRule="exact"/>
      </w:pPr>
      <w:r>
        <w:separator/>
      </w:r>
    </w:p>
  </w:footnote>
  <w:footnote w:type="continuationSeparator" w:id="0">
    <w:p w14:paraId="03606B3E" w14:textId="77777777" w:rsidR="00531B97" w:rsidRDefault="00531B97">
      <w:pPr>
        <w:spacing w:line="80" w:lineRule="exac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single" w:sz="24" w:space="0" w:color="203864"/>
        <w:insideH w:val="none" w:sz="0" w:space="0" w:color="auto"/>
        <w:insideV w:val="none" w:sz="0" w:space="0" w:color="auto"/>
      </w:tblBorders>
      <w:tblLook w:val="04A0" w:firstRow="1" w:lastRow="0" w:firstColumn="1" w:lastColumn="0" w:noHBand="0" w:noVBand="1"/>
    </w:tblPr>
    <w:tblGrid>
      <w:gridCol w:w="9330"/>
    </w:tblGrid>
    <w:tr w:rsidR="000F50FF" w:rsidRPr="000F50FF" w14:paraId="04D5A61C" w14:textId="77777777" w:rsidTr="00E2383E">
      <w:tc>
        <w:tcPr>
          <w:tcW w:w="9330" w:type="dxa"/>
        </w:tcPr>
        <w:p w14:paraId="1E7E1F22" w14:textId="77777777" w:rsidR="000F50FF" w:rsidRPr="000F50FF" w:rsidRDefault="000F50FF" w:rsidP="000F50FF">
          <w:pPr>
            <w:pStyle w:val="Piedepgina"/>
            <w:ind w:right="153"/>
            <w:jc w:val="right"/>
            <w:rPr>
              <w:rFonts w:ascii="Arial" w:hAnsi="Arial" w:cs="Arial"/>
              <w:b/>
              <w:bCs/>
              <w:color w:val="203864"/>
              <w:sz w:val="20"/>
              <w:szCs w:val="20"/>
            </w:rPr>
          </w:pPr>
          <w:bookmarkStart w:id="11" w:name="_Hlk213666101"/>
          <w:r w:rsidRPr="000F50FF">
            <w:rPr>
              <w:rFonts w:ascii="Avenir" w:hAnsi="Avenir"/>
              <w:b/>
              <w:bCs/>
              <w:color w:val="203864"/>
              <w:sz w:val="20"/>
              <w:szCs w:val="20"/>
            </w:rPr>
            <w:t xml:space="preserve">SILVER MOUNTAIN RESOURCES INC.                                                                                                                                                                     </w:t>
          </w:r>
          <w:r w:rsidRPr="000F50FF">
            <w:rPr>
              <w:rFonts w:ascii="Arial" w:hAnsi="Arial" w:cs="Arial"/>
              <w:b/>
              <w:bCs/>
              <w:color w:val="203864"/>
              <w:sz w:val="20"/>
              <w:szCs w:val="20"/>
            </w:rPr>
            <w:t>TSX.V | AGMR</w:t>
          </w:r>
        </w:p>
        <w:p w14:paraId="677D2B13" w14:textId="77777777" w:rsidR="000F50FF" w:rsidRPr="000F50FF" w:rsidRDefault="000F50FF" w:rsidP="000F50FF">
          <w:pPr>
            <w:pStyle w:val="Piedepgina"/>
            <w:ind w:right="153"/>
            <w:jc w:val="right"/>
            <w:rPr>
              <w:rFonts w:ascii="Arial" w:hAnsi="Arial" w:cs="Arial"/>
              <w:b/>
              <w:bCs/>
              <w:color w:val="203864"/>
              <w:sz w:val="20"/>
              <w:szCs w:val="20"/>
            </w:rPr>
          </w:pPr>
          <w:r w:rsidRPr="000F50FF">
            <w:rPr>
              <w:rFonts w:ascii="Arial" w:hAnsi="Arial" w:cs="Arial"/>
              <w:b/>
              <w:bCs/>
              <w:color w:val="203864"/>
              <w:sz w:val="20"/>
              <w:szCs w:val="20"/>
            </w:rPr>
            <w:t>OTCQB | AGMRF</w:t>
          </w:r>
        </w:p>
        <w:p w14:paraId="47EA5BEE" w14:textId="77777777" w:rsidR="000F50FF" w:rsidRPr="000F50FF" w:rsidRDefault="000F50FF" w:rsidP="000F50FF">
          <w:pPr>
            <w:pStyle w:val="Piedepgina"/>
            <w:ind w:right="153"/>
            <w:jc w:val="right"/>
            <w:rPr>
              <w:b/>
              <w:bCs/>
              <w:color w:val="203864"/>
              <w:sz w:val="20"/>
              <w:szCs w:val="20"/>
            </w:rPr>
          </w:pPr>
          <w:r w:rsidRPr="000F50FF">
            <w:rPr>
              <w:rFonts w:ascii="Arial" w:hAnsi="Arial" w:cs="Arial"/>
              <w:b/>
              <w:bCs/>
              <w:color w:val="203864"/>
              <w:sz w:val="20"/>
              <w:szCs w:val="20"/>
            </w:rPr>
            <w:t>BVL | AGMR</w:t>
          </w:r>
          <w:bookmarkEnd w:id="11"/>
        </w:p>
      </w:tc>
    </w:tr>
  </w:tbl>
  <w:p w14:paraId="13524230" w14:textId="77777777" w:rsidR="000F50FF" w:rsidRDefault="000F50FF" w:rsidP="000F50FF">
    <w:pPr>
      <w:spacing w:after="0"/>
      <w:jc w:val="left"/>
    </w:pPr>
  </w:p>
  <w:p w14:paraId="69BE53FA" w14:textId="77777777" w:rsidR="00C05F24" w:rsidRDefault="00C05F24">
    <w:pP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E285F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1E96DF92"/>
    <w:name w:val="ORGeneral2"/>
    <w:lvl w:ilvl="0" w:tplc="8A684042">
      <w:start w:val="1"/>
      <w:numFmt w:val="lowerLetter"/>
      <w:lvlText w:val="%1)"/>
      <w:lvlJc w:val="left"/>
      <w:pPr>
        <w:tabs>
          <w:tab w:val="num" w:pos="720"/>
        </w:tabs>
        <w:ind w:left="720" w:hanging="720"/>
      </w:pPr>
      <w:rPr>
        <w:rFonts w:cs="Times New Roman" w:hint="eastAsia"/>
      </w:rPr>
    </w:lvl>
    <w:lvl w:ilvl="1" w:tplc="10090019">
      <w:start w:val="1"/>
      <w:numFmt w:val="lowerLetter"/>
      <w:lvlText w:val="%2."/>
      <w:lvlJc w:val="left"/>
      <w:pPr>
        <w:tabs>
          <w:tab w:val="num" w:pos="1440"/>
        </w:tabs>
        <w:ind w:left="1440" w:hanging="360"/>
      </w:pPr>
      <w:rPr>
        <w:rFonts w:cs="Times New Roman"/>
      </w:rPr>
    </w:lvl>
    <w:lvl w:ilvl="2" w:tplc="1009001B">
      <w:start w:val="1"/>
      <w:numFmt w:val="lowerRoman"/>
      <w:lvlText w:val="%3."/>
      <w:lvlJc w:val="right"/>
      <w:pPr>
        <w:tabs>
          <w:tab w:val="num" w:pos="2160"/>
        </w:tabs>
        <w:ind w:left="2160" w:hanging="180"/>
      </w:pPr>
      <w:rPr>
        <w:rFonts w:cs="Times New Roman"/>
      </w:rPr>
    </w:lvl>
    <w:lvl w:ilvl="3" w:tplc="1009000F">
      <w:start w:val="1"/>
      <w:numFmt w:val="decimal"/>
      <w:lvlText w:val="%4."/>
      <w:lvlJc w:val="left"/>
      <w:pPr>
        <w:tabs>
          <w:tab w:val="num" w:pos="2880"/>
        </w:tabs>
        <w:ind w:left="2880" w:hanging="360"/>
      </w:pPr>
      <w:rPr>
        <w:rFonts w:cs="Times New Roman"/>
      </w:rPr>
    </w:lvl>
    <w:lvl w:ilvl="4" w:tplc="10090019">
      <w:start w:val="1"/>
      <w:numFmt w:val="lowerLetter"/>
      <w:lvlText w:val="%5."/>
      <w:lvlJc w:val="left"/>
      <w:pPr>
        <w:tabs>
          <w:tab w:val="num" w:pos="3600"/>
        </w:tabs>
        <w:ind w:left="3600" w:hanging="360"/>
      </w:pPr>
      <w:rPr>
        <w:rFonts w:cs="Times New Roman"/>
      </w:rPr>
    </w:lvl>
    <w:lvl w:ilvl="5" w:tplc="1009001B">
      <w:start w:val="1"/>
      <w:numFmt w:val="lowerRoman"/>
      <w:lvlText w:val="%6."/>
      <w:lvlJc w:val="right"/>
      <w:pPr>
        <w:tabs>
          <w:tab w:val="num" w:pos="4320"/>
        </w:tabs>
        <w:ind w:left="4320" w:hanging="180"/>
      </w:pPr>
      <w:rPr>
        <w:rFonts w:cs="Times New Roman"/>
      </w:rPr>
    </w:lvl>
    <w:lvl w:ilvl="6" w:tplc="1009000F">
      <w:start w:val="1"/>
      <w:numFmt w:val="decimal"/>
      <w:lvlText w:val="%7."/>
      <w:lvlJc w:val="left"/>
      <w:pPr>
        <w:tabs>
          <w:tab w:val="num" w:pos="5040"/>
        </w:tabs>
        <w:ind w:left="5040" w:hanging="360"/>
      </w:pPr>
      <w:rPr>
        <w:rFonts w:cs="Times New Roman"/>
      </w:rPr>
    </w:lvl>
    <w:lvl w:ilvl="7" w:tplc="10090019">
      <w:start w:val="1"/>
      <w:numFmt w:val="lowerLetter"/>
      <w:lvlText w:val="%8."/>
      <w:lvlJc w:val="left"/>
      <w:pPr>
        <w:tabs>
          <w:tab w:val="num" w:pos="5760"/>
        </w:tabs>
        <w:ind w:left="5760" w:hanging="360"/>
      </w:pPr>
      <w:rPr>
        <w:rFonts w:cs="Times New Roman"/>
      </w:rPr>
    </w:lvl>
    <w:lvl w:ilvl="8" w:tplc="1009001B">
      <w:start w:val="1"/>
      <w:numFmt w:val="lowerRoman"/>
      <w:lvlText w:val="%9."/>
      <w:lvlJc w:val="right"/>
      <w:pPr>
        <w:tabs>
          <w:tab w:val="num" w:pos="6480"/>
        </w:tabs>
        <w:ind w:left="6480" w:hanging="180"/>
      </w:pPr>
      <w:rPr>
        <w:rFonts w:cs="Times New Roman"/>
      </w:rPr>
    </w:lvl>
  </w:abstractNum>
  <w:abstractNum w:abstractNumId="2" w15:restartNumberingAfterBreak="0">
    <w:nsid w:val="00000002"/>
    <w:multiLevelType w:val="singleLevel"/>
    <w:tmpl w:val="A7665CFC"/>
    <w:lvl w:ilvl="0">
      <w:start w:val="1"/>
      <w:numFmt w:val="decimal"/>
      <w:lvlText w:val="%1."/>
      <w:legacy w:legacy="1" w:legacySpace="0" w:legacyIndent="283"/>
      <w:lvlJc w:val="left"/>
      <w:pPr>
        <w:ind w:left="283" w:hanging="283"/>
      </w:pPr>
      <w:rPr>
        <w:rFonts w:cs="Times New Roman"/>
      </w:rPr>
    </w:lvl>
  </w:abstractNum>
  <w:abstractNum w:abstractNumId="3" w15:restartNumberingAfterBreak="0">
    <w:nsid w:val="00000003"/>
    <w:multiLevelType w:val="multilevel"/>
    <w:tmpl w:val="F4BEA7EA"/>
    <w:lvl w:ilvl="0">
      <w:start w:val="1"/>
      <w:numFmt w:val="decimal"/>
      <w:pStyle w:val="1"/>
      <w:lvlText w:val="%1."/>
      <w:lvlJc w:val="left"/>
      <w:pPr>
        <w:tabs>
          <w:tab w:val="num" w:pos="720"/>
        </w:tabs>
        <w:ind w:left="720" w:hanging="720"/>
      </w:pPr>
      <w:rPr>
        <w:rFonts w:ascii="Times New Roman" w:hAnsi="Times New Roman" w:cs="Times New Roman" w:hint="default"/>
        <w:b/>
        <w:i w:val="0"/>
        <w:sz w:val="22"/>
        <w:szCs w:val="22"/>
        <w:u w:val="none"/>
      </w:rPr>
    </w:lvl>
    <w:lvl w:ilvl="1">
      <w:start w:val="1"/>
      <w:numFmt w:val="lowerLetter"/>
      <w:pStyle w:val="2"/>
      <w:lvlText w:val="(%2)"/>
      <w:lvlJc w:val="left"/>
      <w:pPr>
        <w:tabs>
          <w:tab w:val="num" w:pos="720"/>
        </w:tabs>
        <w:ind w:left="720" w:hanging="720"/>
      </w:pPr>
      <w:rPr>
        <w:rFonts w:ascii="Times New Roman" w:hAnsi="Times New Roman" w:cs="Times New Roman" w:hint="default"/>
        <w:b w:val="0"/>
        <w:i w:val="0"/>
      </w:rPr>
    </w:lvl>
    <w:lvl w:ilvl="2">
      <w:start w:val="1"/>
      <w:numFmt w:val="lowerRoman"/>
      <w:pStyle w:val="3"/>
      <w:lvlText w:val="(%3)"/>
      <w:lvlJc w:val="left"/>
      <w:pPr>
        <w:tabs>
          <w:tab w:val="num" w:pos="2160"/>
        </w:tabs>
        <w:ind w:left="2160" w:hanging="720"/>
      </w:pPr>
      <w:rPr>
        <w:rFonts w:cs="Times New Roman" w:hint="eastAsia"/>
      </w:rPr>
    </w:lvl>
    <w:lvl w:ilvl="3">
      <w:start w:val="1"/>
      <w:numFmt w:val="upperLetter"/>
      <w:pStyle w:val="4"/>
      <w:lvlText w:val="(%4)"/>
      <w:lvlJc w:val="left"/>
      <w:pPr>
        <w:tabs>
          <w:tab w:val="num" w:pos="2880"/>
        </w:tabs>
        <w:ind w:left="2880" w:hanging="720"/>
      </w:pPr>
      <w:rPr>
        <w:rFonts w:cs="Times New Roman" w:hint="eastAsia"/>
      </w:rPr>
    </w:lvl>
    <w:lvl w:ilvl="4">
      <w:start w:val="1"/>
      <w:numFmt w:val="upperRoman"/>
      <w:pStyle w:val="5"/>
      <w:lvlText w:val="(%5)"/>
      <w:lvlJc w:val="left"/>
      <w:pPr>
        <w:tabs>
          <w:tab w:val="num" w:pos="3600"/>
        </w:tabs>
        <w:ind w:left="3600" w:hanging="720"/>
      </w:pPr>
      <w:rPr>
        <w:rFonts w:cs="Times New Roman" w:hint="eastAsia"/>
      </w:rPr>
    </w:lvl>
    <w:lvl w:ilvl="5">
      <w:start w:val="1"/>
      <w:numFmt w:val="lowerRoman"/>
      <w:lvlText w:val="(%6)"/>
      <w:lvlJc w:val="left"/>
      <w:pPr>
        <w:tabs>
          <w:tab w:val="num" w:pos="3960"/>
        </w:tabs>
        <w:ind w:left="3960" w:hanging="360"/>
      </w:pPr>
      <w:rPr>
        <w:rFonts w:cs="Times New Roman" w:hint="eastAsia"/>
      </w:rPr>
    </w:lvl>
    <w:lvl w:ilvl="6">
      <w:start w:val="1"/>
      <w:numFmt w:val="decimal"/>
      <w:lvlText w:val="%7."/>
      <w:lvlJc w:val="left"/>
      <w:pPr>
        <w:tabs>
          <w:tab w:val="num" w:pos="4320"/>
        </w:tabs>
        <w:ind w:left="4320" w:hanging="360"/>
      </w:pPr>
      <w:rPr>
        <w:rFonts w:cs="Times New Roman" w:hint="eastAsia"/>
      </w:rPr>
    </w:lvl>
    <w:lvl w:ilvl="7">
      <w:start w:val="1"/>
      <w:numFmt w:val="lowerLetter"/>
      <w:lvlText w:val="%8."/>
      <w:lvlJc w:val="left"/>
      <w:pPr>
        <w:tabs>
          <w:tab w:val="num" w:pos="4680"/>
        </w:tabs>
        <w:ind w:left="4680" w:hanging="360"/>
      </w:pPr>
      <w:rPr>
        <w:rFonts w:cs="Times New Roman" w:hint="eastAsia"/>
      </w:rPr>
    </w:lvl>
    <w:lvl w:ilvl="8">
      <w:start w:val="1"/>
      <w:numFmt w:val="lowerRoman"/>
      <w:lvlText w:val="%9."/>
      <w:lvlJc w:val="left"/>
      <w:pPr>
        <w:tabs>
          <w:tab w:val="num" w:pos="5040"/>
        </w:tabs>
        <w:ind w:left="5040" w:hanging="360"/>
      </w:pPr>
      <w:rPr>
        <w:rFonts w:cs="Times New Roman" w:hint="eastAsia"/>
      </w:rPr>
    </w:lvl>
  </w:abstractNum>
  <w:abstractNum w:abstractNumId="4" w15:restartNumberingAfterBreak="0">
    <w:nsid w:val="00000004"/>
    <w:multiLevelType w:val="multilevel"/>
    <w:tmpl w:val="B1BAA6C6"/>
    <w:name w:val="Standard2"/>
    <w:lvl w:ilvl="0">
      <w:start w:val="4"/>
      <w:numFmt w:val="decimal"/>
      <w:lvlText w:val="%1)"/>
      <w:lvlJc w:val="left"/>
      <w:pPr>
        <w:tabs>
          <w:tab w:val="num" w:pos="360"/>
        </w:tabs>
        <w:ind w:left="360" w:hanging="360"/>
      </w:pPr>
      <w:rPr>
        <w:rFonts w:cs="Times New Roman" w:hint="default"/>
      </w:rPr>
    </w:lvl>
    <w:lvl w:ilvl="1">
      <w:start w:val="3"/>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eastAsia"/>
      </w:rPr>
    </w:lvl>
    <w:lvl w:ilvl="3">
      <w:start w:val="1"/>
      <w:numFmt w:val="decimal"/>
      <w:lvlText w:val="(%4)"/>
      <w:lvlJc w:val="left"/>
      <w:pPr>
        <w:tabs>
          <w:tab w:val="num" w:pos="1440"/>
        </w:tabs>
        <w:ind w:left="1440" w:hanging="360"/>
      </w:pPr>
      <w:rPr>
        <w:rFonts w:cs="Times New Roman" w:hint="eastAsia"/>
      </w:rPr>
    </w:lvl>
    <w:lvl w:ilvl="4">
      <w:start w:val="1"/>
      <w:numFmt w:val="lowerLetter"/>
      <w:lvlText w:val="(%5)"/>
      <w:lvlJc w:val="left"/>
      <w:pPr>
        <w:tabs>
          <w:tab w:val="num" w:pos="1800"/>
        </w:tabs>
        <w:ind w:left="1800" w:hanging="360"/>
      </w:pPr>
      <w:rPr>
        <w:rFonts w:cs="Times New Roman" w:hint="eastAsia"/>
      </w:rPr>
    </w:lvl>
    <w:lvl w:ilvl="5">
      <w:start w:val="1"/>
      <w:numFmt w:val="lowerRoman"/>
      <w:lvlText w:val="(%6)"/>
      <w:lvlJc w:val="left"/>
      <w:pPr>
        <w:tabs>
          <w:tab w:val="num" w:pos="2160"/>
        </w:tabs>
        <w:ind w:left="2160" w:hanging="360"/>
      </w:pPr>
      <w:rPr>
        <w:rFonts w:cs="Times New Roman" w:hint="eastAsia"/>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5" w15:restartNumberingAfterBreak="0">
    <w:nsid w:val="00000005"/>
    <w:multiLevelType w:val="multilevel"/>
    <w:tmpl w:val="420C48F0"/>
    <w:lvl w:ilvl="0">
      <w:start w:val="1"/>
      <w:numFmt w:val="decimal"/>
      <w:pStyle w:val="StandardL1"/>
      <w:lvlText w:val="%1."/>
      <w:lvlJc w:val="left"/>
      <w:pPr>
        <w:tabs>
          <w:tab w:val="num" w:pos="720"/>
        </w:tabs>
        <w:ind w:left="720" w:hanging="720"/>
      </w:pPr>
      <w:rPr>
        <w:rFonts w:cs="Times New Roman"/>
        <w:b/>
        <w:i w:val="0"/>
        <w:caps w:val="0"/>
        <w:strike w:val="0"/>
        <w:dstrike w:val="0"/>
        <w:vanish w:val="0"/>
        <w:color w:val="000000"/>
        <w:u w:val="none"/>
        <w:effect w:val="none"/>
        <w:vertAlign w:val="baseline"/>
      </w:rPr>
    </w:lvl>
    <w:lvl w:ilvl="1">
      <w:start w:val="1"/>
      <w:numFmt w:val="lowerLetter"/>
      <w:pStyle w:val="StandardL2"/>
      <w:lvlText w:val="(%2)"/>
      <w:lvlJc w:val="left"/>
      <w:pPr>
        <w:tabs>
          <w:tab w:val="num" w:pos="1440"/>
        </w:tabs>
        <w:ind w:left="1440" w:hanging="720"/>
      </w:pPr>
      <w:rPr>
        <w:rFonts w:cs="Times New Roman"/>
        <w:b w:val="0"/>
        <w:i w:val="0"/>
        <w:caps w:val="0"/>
        <w:smallCaps w:val="0"/>
        <w:strike w:val="0"/>
        <w:dstrike w:val="0"/>
        <w:vanish w:val="0"/>
        <w:color w:val="000000"/>
        <w:u w:val="none"/>
        <w:effect w:val="none"/>
        <w:vertAlign w:val="baseline"/>
      </w:rPr>
    </w:lvl>
    <w:lvl w:ilvl="2">
      <w:start w:val="1"/>
      <w:numFmt w:val="lowerRoman"/>
      <w:pStyle w:val="StandardL3"/>
      <w:lvlText w:val="(%3)"/>
      <w:lvlJc w:val="left"/>
      <w:pPr>
        <w:tabs>
          <w:tab w:val="num" w:pos="2160"/>
        </w:tabs>
        <w:ind w:left="2160" w:hanging="720"/>
      </w:pPr>
      <w:rPr>
        <w:rFonts w:cs="Times New Roman"/>
        <w:b w:val="0"/>
        <w:i w:val="0"/>
        <w:caps w:val="0"/>
        <w:smallCaps w:val="0"/>
        <w:strike w:val="0"/>
        <w:dstrike w:val="0"/>
        <w:vanish w:val="0"/>
        <w:color w:val="000000"/>
        <w:u w:val="none"/>
        <w:effect w:val="none"/>
        <w:vertAlign w:val="baseline"/>
      </w:rPr>
    </w:lvl>
    <w:lvl w:ilvl="3">
      <w:start w:val="1"/>
      <w:numFmt w:val="decimal"/>
      <w:pStyle w:val="StandardL4"/>
      <w:lvlText w:val="(%4)"/>
      <w:lvlJc w:val="left"/>
      <w:pPr>
        <w:tabs>
          <w:tab w:val="num" w:pos="2880"/>
        </w:tabs>
        <w:ind w:left="2880" w:hanging="720"/>
      </w:pPr>
      <w:rPr>
        <w:rFonts w:cs="Times New Roman"/>
        <w:b w:val="0"/>
        <w:i w:val="0"/>
        <w:caps w:val="0"/>
        <w:smallCaps w:val="0"/>
        <w:strike w:val="0"/>
        <w:dstrike w:val="0"/>
        <w:vanish w:val="0"/>
        <w:color w:val="000000"/>
        <w:u w:val="none"/>
        <w:effect w:val="none"/>
        <w:vertAlign w:val="baseline"/>
      </w:rPr>
    </w:lvl>
    <w:lvl w:ilvl="4">
      <w:start w:val="1"/>
      <w:numFmt w:val="lowerLetter"/>
      <w:pStyle w:val="StandardL5"/>
      <w:lvlText w:val="%5."/>
      <w:lvlJc w:val="left"/>
      <w:pPr>
        <w:tabs>
          <w:tab w:val="num" w:pos="3600"/>
        </w:tabs>
        <w:ind w:left="3600" w:hanging="720"/>
      </w:pPr>
      <w:rPr>
        <w:rFonts w:cs="Times New Roman"/>
        <w:b w:val="0"/>
        <w:i w:val="0"/>
        <w:caps w:val="0"/>
        <w:smallCaps w:val="0"/>
        <w:strike w:val="0"/>
        <w:dstrike w:val="0"/>
        <w:vanish w:val="0"/>
        <w:color w:val="000000"/>
        <w:u w:val="none"/>
        <w:effect w:val="none"/>
        <w:vertAlign w:val="baseline"/>
      </w:rPr>
    </w:lvl>
    <w:lvl w:ilvl="5">
      <w:start w:val="1"/>
      <w:numFmt w:val="lowerRoman"/>
      <w:pStyle w:val="StandardL6"/>
      <w:lvlText w:val="%6."/>
      <w:lvlJc w:val="left"/>
      <w:pPr>
        <w:tabs>
          <w:tab w:val="num" w:pos="4320"/>
        </w:tabs>
        <w:ind w:left="4320" w:hanging="720"/>
      </w:pPr>
      <w:rPr>
        <w:rFonts w:cs="Times New Roman"/>
        <w:b w:val="0"/>
        <w:i w:val="0"/>
        <w:caps w:val="0"/>
        <w:smallCaps w:val="0"/>
        <w:strike w:val="0"/>
        <w:dstrike w:val="0"/>
        <w:vanish w:val="0"/>
        <w:color w:val="000000"/>
        <w:u w:val="none"/>
        <w:effect w:val="none"/>
        <w:vertAlign w:val="baseline"/>
      </w:rPr>
    </w:lvl>
    <w:lvl w:ilvl="6">
      <w:start w:val="1"/>
      <w:numFmt w:val="decimal"/>
      <w:pStyle w:val="StandardL7"/>
      <w:lvlText w:val="%7)"/>
      <w:lvlJc w:val="left"/>
      <w:pPr>
        <w:tabs>
          <w:tab w:val="num" w:pos="5040"/>
        </w:tabs>
        <w:ind w:left="5040" w:hanging="720"/>
      </w:pPr>
      <w:rPr>
        <w:rFonts w:cs="Times New Roman"/>
        <w:b w:val="0"/>
        <w:i w:val="0"/>
        <w:caps w:val="0"/>
        <w:smallCaps w:val="0"/>
        <w:strike w:val="0"/>
        <w:dstrike w:val="0"/>
        <w:vanish w:val="0"/>
        <w:color w:val="000000"/>
        <w:u w:val="none"/>
        <w:effect w:val="none"/>
        <w:vertAlign w:val="baseline"/>
      </w:rPr>
    </w:lvl>
    <w:lvl w:ilvl="7">
      <w:start w:val="1"/>
      <w:numFmt w:val="lowerLetter"/>
      <w:pStyle w:val="StandardL8"/>
      <w:lvlText w:val="%8)"/>
      <w:lvlJc w:val="left"/>
      <w:pPr>
        <w:tabs>
          <w:tab w:val="num" w:pos="5760"/>
        </w:tabs>
        <w:ind w:left="5760" w:hanging="720"/>
      </w:pPr>
      <w:rPr>
        <w:rFonts w:cs="Times New Roman"/>
        <w:b w:val="0"/>
        <w:i w:val="0"/>
        <w:caps w:val="0"/>
        <w:smallCaps w:val="0"/>
        <w:strike w:val="0"/>
        <w:dstrike w:val="0"/>
        <w:vanish w:val="0"/>
        <w:color w:val="000000"/>
        <w:u w:val="none"/>
        <w:effect w:val="none"/>
        <w:vertAlign w:val="baseline"/>
      </w:rPr>
    </w:lvl>
    <w:lvl w:ilvl="8">
      <w:start w:val="1"/>
      <w:numFmt w:val="lowerLetter"/>
      <w:lvlText w:val="%9)"/>
      <w:lvlJc w:val="left"/>
      <w:pPr>
        <w:tabs>
          <w:tab w:val="num" w:pos="360"/>
        </w:tabs>
        <w:ind w:left="360" w:hanging="360"/>
      </w:pPr>
      <w:rPr>
        <w:rFonts w:cs="Times New Roman" w:hint="eastAsia"/>
        <w:b w:val="0"/>
        <w:i w:val="0"/>
      </w:rPr>
    </w:lvl>
  </w:abstractNum>
  <w:abstractNum w:abstractNumId="6" w15:restartNumberingAfterBreak="0">
    <w:nsid w:val="00000006"/>
    <w:multiLevelType w:val="multilevel"/>
    <w:tmpl w:val="F9862F70"/>
    <w:name w:val="DWPV General"/>
    <w:lvl w:ilvl="0">
      <w:start w:val="1"/>
      <w:numFmt w:val="decimal"/>
      <w:lvlRestart w:val="0"/>
      <w:pStyle w:val="DWPVL1"/>
      <w:lvlText w:val="%1."/>
      <w:lvlJc w:val="left"/>
      <w:pPr>
        <w:tabs>
          <w:tab w:val="num" w:pos="720"/>
        </w:tabs>
        <w:ind w:left="720" w:hanging="720"/>
      </w:pPr>
      <w:rPr>
        <w:rFonts w:cs="Times New Roman" w:hint="eastAsia"/>
      </w:rPr>
    </w:lvl>
    <w:lvl w:ilvl="1">
      <w:start w:val="1"/>
      <w:numFmt w:val="lowerLetter"/>
      <w:pStyle w:val="DWPVL2"/>
      <w:lvlText w:val="(%2)"/>
      <w:lvlJc w:val="left"/>
      <w:pPr>
        <w:tabs>
          <w:tab w:val="num" w:pos="1440"/>
        </w:tabs>
        <w:ind w:left="1440" w:hanging="720"/>
      </w:pPr>
      <w:rPr>
        <w:rFonts w:cs="Times New Roman" w:hint="eastAsia"/>
      </w:rPr>
    </w:lvl>
    <w:lvl w:ilvl="2">
      <w:start w:val="1"/>
      <w:numFmt w:val="lowerLetter"/>
      <w:pStyle w:val="DWPVL3"/>
      <w:lvlText w:val="(%3)"/>
      <w:lvlJc w:val="left"/>
      <w:pPr>
        <w:tabs>
          <w:tab w:val="num" w:pos="1440"/>
        </w:tabs>
        <w:ind w:firstLine="720"/>
      </w:pPr>
      <w:rPr>
        <w:rFonts w:cs="Times New Roman" w:hint="eastAsia"/>
      </w:rPr>
    </w:lvl>
    <w:lvl w:ilvl="3">
      <w:start w:val="1"/>
      <w:numFmt w:val="lowerRoman"/>
      <w:pStyle w:val="DWPVL4"/>
      <w:lvlText w:val="(%4)"/>
      <w:lvlJc w:val="right"/>
      <w:pPr>
        <w:tabs>
          <w:tab w:val="num" w:pos="2160"/>
        </w:tabs>
        <w:ind w:left="2160" w:hanging="360"/>
      </w:pPr>
      <w:rPr>
        <w:rFonts w:cs="Times New Roman" w:hint="eastAsia"/>
      </w:rPr>
    </w:lvl>
    <w:lvl w:ilvl="4">
      <w:start w:val="1"/>
      <w:numFmt w:val="upperLetter"/>
      <w:pStyle w:val="DWPVL5"/>
      <w:lvlText w:val="(%5)"/>
      <w:lvlJc w:val="left"/>
      <w:pPr>
        <w:tabs>
          <w:tab w:val="num" w:pos="2880"/>
        </w:tabs>
        <w:ind w:left="2880" w:hanging="720"/>
      </w:pPr>
      <w:rPr>
        <w:rFonts w:cs="Times New Roman" w:hint="eastAsia"/>
      </w:rPr>
    </w:lvl>
    <w:lvl w:ilvl="5">
      <w:numFmt w:val="none"/>
      <w:pStyle w:val="DWPVL6"/>
      <w:lvlText w:val=""/>
      <w:lvlJc w:val="left"/>
      <w:pPr>
        <w:tabs>
          <w:tab w:val="num" w:pos="360"/>
        </w:tabs>
      </w:pPr>
      <w:rPr>
        <w:rFonts w:cs="Times New Roman"/>
      </w:rPr>
    </w:lvl>
    <w:lvl w:ilvl="6">
      <w:start w:val="1"/>
      <w:numFmt w:val="decimal"/>
      <w:pStyle w:val="DWPVL7"/>
      <w:lvlText w:val="%7)"/>
      <w:lvlJc w:val="left"/>
      <w:pPr>
        <w:tabs>
          <w:tab w:val="num" w:pos="4320"/>
        </w:tabs>
        <w:ind w:left="4320" w:hanging="720"/>
      </w:pPr>
      <w:rPr>
        <w:rFonts w:cs="Times New Roman" w:hint="eastAsia"/>
      </w:rPr>
    </w:lvl>
    <w:lvl w:ilvl="7">
      <w:start w:val="1"/>
      <w:numFmt w:val="lowerLetter"/>
      <w:pStyle w:val="DWPVL8"/>
      <w:lvlText w:val="%8)"/>
      <w:lvlJc w:val="left"/>
      <w:pPr>
        <w:tabs>
          <w:tab w:val="num" w:pos="5040"/>
        </w:tabs>
        <w:ind w:left="5040" w:hanging="720"/>
      </w:pPr>
      <w:rPr>
        <w:rFonts w:cs="Times New Roman" w:hint="eastAsia"/>
      </w:rPr>
    </w:lvl>
    <w:lvl w:ilvl="8">
      <w:start w:val="1"/>
      <w:numFmt w:val="lowerRoman"/>
      <w:pStyle w:val="DWPVL9"/>
      <w:lvlText w:val="%9)"/>
      <w:lvlJc w:val="right"/>
      <w:pPr>
        <w:tabs>
          <w:tab w:val="num" w:pos="5760"/>
        </w:tabs>
        <w:ind w:left="5760" w:hanging="360"/>
      </w:pPr>
      <w:rPr>
        <w:rFonts w:cs="Times New Roman" w:hint="eastAsia"/>
      </w:rPr>
    </w:lvl>
  </w:abstractNum>
  <w:abstractNum w:abstractNumId="7" w15:restartNumberingAfterBreak="0">
    <w:nsid w:val="00000007"/>
    <w:multiLevelType w:val="hybridMultilevel"/>
    <w:tmpl w:val="B958E0EC"/>
    <w:lvl w:ilvl="0" w:tplc="BE984476">
      <w:start w:val="1"/>
      <w:numFmt w:val="decimal"/>
      <w:lvlText w:val="(%1)"/>
      <w:lvlJc w:val="left"/>
      <w:pPr>
        <w:ind w:left="480" w:hanging="360"/>
      </w:pPr>
      <w:rPr>
        <w:rFonts w:cs="Times New Roman" w:hint="eastAsia"/>
      </w:rPr>
    </w:lvl>
    <w:lvl w:ilvl="1" w:tplc="10090019">
      <w:start w:val="1"/>
      <w:numFmt w:val="lowerLetter"/>
      <w:lvlText w:val="%2."/>
      <w:lvlJc w:val="left"/>
      <w:pPr>
        <w:ind w:left="1200" w:hanging="360"/>
      </w:pPr>
      <w:rPr>
        <w:rFonts w:cs="Times New Roman"/>
      </w:rPr>
    </w:lvl>
    <w:lvl w:ilvl="2" w:tplc="1009001B">
      <w:start w:val="1"/>
      <w:numFmt w:val="lowerRoman"/>
      <w:lvlText w:val="%3."/>
      <w:lvlJc w:val="right"/>
      <w:pPr>
        <w:ind w:left="1920" w:hanging="180"/>
      </w:pPr>
      <w:rPr>
        <w:rFonts w:cs="Times New Roman"/>
      </w:rPr>
    </w:lvl>
    <w:lvl w:ilvl="3" w:tplc="1009000F">
      <w:start w:val="1"/>
      <w:numFmt w:val="decimal"/>
      <w:lvlText w:val="%4."/>
      <w:lvlJc w:val="left"/>
      <w:pPr>
        <w:ind w:left="2640" w:hanging="360"/>
      </w:pPr>
      <w:rPr>
        <w:rFonts w:cs="Times New Roman"/>
      </w:rPr>
    </w:lvl>
    <w:lvl w:ilvl="4" w:tplc="10090019">
      <w:start w:val="1"/>
      <w:numFmt w:val="lowerLetter"/>
      <w:lvlText w:val="%5."/>
      <w:lvlJc w:val="left"/>
      <w:pPr>
        <w:ind w:left="3360" w:hanging="360"/>
      </w:pPr>
      <w:rPr>
        <w:rFonts w:cs="Times New Roman"/>
      </w:rPr>
    </w:lvl>
    <w:lvl w:ilvl="5" w:tplc="1009001B">
      <w:start w:val="1"/>
      <w:numFmt w:val="lowerRoman"/>
      <w:lvlText w:val="%6."/>
      <w:lvlJc w:val="right"/>
      <w:pPr>
        <w:ind w:left="4080" w:hanging="180"/>
      </w:pPr>
      <w:rPr>
        <w:rFonts w:cs="Times New Roman"/>
      </w:rPr>
    </w:lvl>
    <w:lvl w:ilvl="6" w:tplc="1009000F">
      <w:start w:val="1"/>
      <w:numFmt w:val="decimal"/>
      <w:lvlText w:val="%7."/>
      <w:lvlJc w:val="left"/>
      <w:pPr>
        <w:ind w:left="4800" w:hanging="360"/>
      </w:pPr>
      <w:rPr>
        <w:rFonts w:cs="Times New Roman"/>
      </w:rPr>
    </w:lvl>
    <w:lvl w:ilvl="7" w:tplc="10090019">
      <w:start w:val="1"/>
      <w:numFmt w:val="lowerLetter"/>
      <w:lvlText w:val="%8."/>
      <w:lvlJc w:val="left"/>
      <w:pPr>
        <w:ind w:left="5520" w:hanging="360"/>
      </w:pPr>
      <w:rPr>
        <w:rFonts w:cs="Times New Roman"/>
      </w:rPr>
    </w:lvl>
    <w:lvl w:ilvl="8" w:tplc="1009001B">
      <w:start w:val="1"/>
      <w:numFmt w:val="lowerRoman"/>
      <w:lvlText w:val="%9."/>
      <w:lvlJc w:val="right"/>
      <w:pPr>
        <w:ind w:left="6240" w:hanging="180"/>
      </w:pPr>
      <w:rPr>
        <w:rFonts w:cs="Times New Roman"/>
      </w:rPr>
    </w:lvl>
  </w:abstractNum>
  <w:abstractNum w:abstractNumId="8" w15:restartNumberingAfterBreak="0">
    <w:nsid w:val="00000008"/>
    <w:multiLevelType w:val="multilevel"/>
    <w:tmpl w:val="C068C9A8"/>
    <w:name w:val="Outline"/>
    <w:lvl w:ilvl="0">
      <w:start w:val="1"/>
      <w:numFmt w:val="decimal"/>
      <w:pStyle w:val="Outline1"/>
      <w:lvlText w:val="%1."/>
      <w:lvlJc w:val="left"/>
      <w:pPr>
        <w:ind w:left="1260" w:hanging="720"/>
      </w:pPr>
      <w:rPr>
        <w:rFonts w:ascii="Book Antiqua" w:hAnsi="Book Antiqua" w:cs="Times New Roman"/>
      </w:rPr>
    </w:lvl>
    <w:lvl w:ilvl="1">
      <w:start w:val="1"/>
      <w:numFmt w:val="lowerLetter"/>
      <w:pStyle w:val="Outline2"/>
      <w:lvlText w:val="(%2)"/>
      <w:lvlJc w:val="left"/>
      <w:pPr>
        <w:ind w:left="1980" w:hanging="720"/>
      </w:pPr>
      <w:rPr>
        <w:rFonts w:ascii="Book Antiqua" w:hAnsi="Book Antiqua" w:cs="Times New Roman"/>
      </w:rPr>
    </w:lvl>
    <w:lvl w:ilvl="2">
      <w:start w:val="1"/>
      <w:numFmt w:val="lowerRoman"/>
      <w:pStyle w:val="Outline3"/>
      <w:lvlText w:val="(%3)"/>
      <w:lvlJc w:val="left"/>
      <w:pPr>
        <w:ind w:left="2700" w:hanging="720"/>
      </w:pPr>
      <w:rPr>
        <w:rFonts w:ascii="Book Antiqua" w:hAnsi="Book Antiqua" w:cs="Times New Roman"/>
      </w:rPr>
    </w:lvl>
    <w:lvl w:ilvl="3">
      <w:start w:val="1"/>
      <w:numFmt w:val="upperLetter"/>
      <w:pStyle w:val="Outline4"/>
      <w:lvlText w:val="(%4)"/>
      <w:lvlJc w:val="left"/>
      <w:pPr>
        <w:ind w:left="3420" w:hanging="720"/>
      </w:pPr>
      <w:rPr>
        <w:rFonts w:ascii="Book Antiqua" w:hAnsi="Book Antiqua" w:cs="Times New Roman"/>
      </w:rPr>
    </w:lvl>
    <w:lvl w:ilvl="4">
      <w:start w:val="1"/>
      <w:numFmt w:val="upperRoman"/>
      <w:pStyle w:val="Outline5"/>
      <w:lvlText w:val="(%5)"/>
      <w:lvlJc w:val="left"/>
      <w:pPr>
        <w:ind w:left="4140" w:hanging="720"/>
      </w:pPr>
      <w:rPr>
        <w:rFonts w:ascii="Book Antiqua" w:hAnsi="Book Antiqua" w:cs="Times New Roman"/>
      </w:rPr>
    </w:lvl>
    <w:lvl w:ilvl="5">
      <w:start w:val="1"/>
      <w:numFmt w:val="decimal"/>
      <w:pStyle w:val="Outline6"/>
      <w:lvlText w:val="(%6)"/>
      <w:lvlJc w:val="left"/>
      <w:pPr>
        <w:ind w:left="4860" w:hanging="720"/>
      </w:pPr>
      <w:rPr>
        <w:rFonts w:ascii="Book Antiqua" w:hAnsi="Book Antiqua" w:cs="Times New Roman"/>
      </w:rPr>
    </w:lvl>
    <w:lvl w:ilvl="6">
      <w:start w:val="1"/>
      <w:numFmt w:val="lowerRoman"/>
      <w:pStyle w:val="Lnum1"/>
      <w:lvlText w:val="(%7)"/>
      <w:lvlJc w:val="left"/>
      <w:pPr>
        <w:ind w:left="5580" w:hanging="720"/>
      </w:pPr>
      <w:rPr>
        <w:rFonts w:ascii="Book Antiqua" w:hAnsi="Book Antiqua" w:cs="Times New Roman"/>
      </w:rPr>
    </w:lvl>
    <w:lvl w:ilvl="7">
      <w:start w:val="1"/>
      <w:numFmt w:val="upperLetter"/>
      <w:pStyle w:val="Lnum2"/>
      <w:lvlText w:val="(%8)"/>
      <w:lvlJc w:val="left"/>
      <w:pPr>
        <w:ind w:left="6300" w:hanging="720"/>
      </w:pPr>
      <w:rPr>
        <w:rFonts w:ascii="Book Antiqua" w:hAnsi="Book Antiqua" w:cs="Times New Roman"/>
      </w:rPr>
    </w:lvl>
    <w:lvl w:ilvl="8">
      <w:start w:val="1"/>
      <w:numFmt w:val="upperRoman"/>
      <w:pStyle w:val="Lnum3"/>
      <w:lvlText w:val="(%9)"/>
      <w:lvlJc w:val="left"/>
      <w:pPr>
        <w:ind w:left="7020" w:hanging="720"/>
      </w:pPr>
      <w:rPr>
        <w:rFonts w:ascii="Book Antiqua" w:hAnsi="Book Antiqua" w:cs="Times New Roman"/>
      </w:rPr>
    </w:lvl>
  </w:abstractNum>
  <w:abstractNum w:abstractNumId="9" w15:restartNumberingAfterBreak="0">
    <w:nsid w:val="00000009"/>
    <w:multiLevelType w:val="singleLevel"/>
    <w:tmpl w:val="345C1B18"/>
    <w:name w:val="OR BulletList"/>
    <w:lvl w:ilvl="0">
      <w:start w:val="1"/>
      <w:numFmt w:val="bullet"/>
      <w:lvlText w:val=""/>
      <w:lvlJc w:val="left"/>
      <w:pPr>
        <w:tabs>
          <w:tab w:val="num" w:pos="1440"/>
        </w:tabs>
        <w:ind w:left="1440" w:hanging="720"/>
      </w:pPr>
      <w:rPr>
        <w:rFonts w:ascii="Symbol" w:hAnsi="Symbol" w:hint="default"/>
        <w:b w:val="0"/>
        <w:i w:val="0"/>
        <w:sz w:val="24"/>
      </w:rPr>
    </w:lvl>
  </w:abstractNum>
  <w:abstractNum w:abstractNumId="10" w15:restartNumberingAfterBreak="0">
    <w:nsid w:val="16CA6E43"/>
    <w:multiLevelType w:val="hybridMultilevel"/>
    <w:tmpl w:val="FB6C07E6"/>
    <w:lvl w:ilvl="0" w:tplc="63E27234">
      <w:start w:val="1"/>
      <w:numFmt w:val="decimal"/>
      <w:pStyle w:val="NumberedParagraph"/>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0407F0"/>
    <w:multiLevelType w:val="hybridMultilevel"/>
    <w:tmpl w:val="9752C746"/>
    <w:lvl w:ilvl="0" w:tplc="0CD45CF0">
      <w:start w:val="1"/>
      <w:numFmt w:val="decimal"/>
      <w:lvlText w:val="%1)"/>
      <w:lvlJc w:val="left"/>
      <w:pPr>
        <w:ind w:left="720" w:hanging="360"/>
      </w:pPr>
      <w:rPr>
        <w:rFonts w:hint="default"/>
      </w:rPr>
    </w:lvl>
    <w:lvl w:ilvl="1" w:tplc="BABA071E">
      <w:start w:val="1"/>
      <w:numFmt w:val="lowerLetter"/>
      <w:lvlText w:val="%2."/>
      <w:lvlJc w:val="left"/>
      <w:pPr>
        <w:ind w:left="1440" w:hanging="360"/>
      </w:pPr>
    </w:lvl>
    <w:lvl w:ilvl="2" w:tplc="46326E1C" w:tentative="1">
      <w:start w:val="1"/>
      <w:numFmt w:val="lowerRoman"/>
      <w:lvlText w:val="%3."/>
      <w:lvlJc w:val="right"/>
      <w:pPr>
        <w:ind w:left="2160" w:hanging="180"/>
      </w:pPr>
    </w:lvl>
    <w:lvl w:ilvl="3" w:tplc="9CFAA4D8" w:tentative="1">
      <w:start w:val="1"/>
      <w:numFmt w:val="decimal"/>
      <w:lvlText w:val="%4."/>
      <w:lvlJc w:val="left"/>
      <w:pPr>
        <w:ind w:left="2880" w:hanging="360"/>
      </w:pPr>
    </w:lvl>
    <w:lvl w:ilvl="4" w:tplc="97262E86" w:tentative="1">
      <w:start w:val="1"/>
      <w:numFmt w:val="lowerLetter"/>
      <w:lvlText w:val="%5."/>
      <w:lvlJc w:val="left"/>
      <w:pPr>
        <w:ind w:left="3600" w:hanging="360"/>
      </w:pPr>
    </w:lvl>
    <w:lvl w:ilvl="5" w:tplc="2D3808C0" w:tentative="1">
      <w:start w:val="1"/>
      <w:numFmt w:val="lowerRoman"/>
      <w:lvlText w:val="%6."/>
      <w:lvlJc w:val="right"/>
      <w:pPr>
        <w:ind w:left="4320" w:hanging="180"/>
      </w:pPr>
    </w:lvl>
    <w:lvl w:ilvl="6" w:tplc="0DD4F790" w:tentative="1">
      <w:start w:val="1"/>
      <w:numFmt w:val="decimal"/>
      <w:lvlText w:val="%7."/>
      <w:lvlJc w:val="left"/>
      <w:pPr>
        <w:ind w:left="5040" w:hanging="360"/>
      </w:pPr>
    </w:lvl>
    <w:lvl w:ilvl="7" w:tplc="1AD6DEF6" w:tentative="1">
      <w:start w:val="1"/>
      <w:numFmt w:val="lowerLetter"/>
      <w:lvlText w:val="%8."/>
      <w:lvlJc w:val="left"/>
      <w:pPr>
        <w:ind w:left="5760" w:hanging="360"/>
      </w:pPr>
    </w:lvl>
    <w:lvl w:ilvl="8" w:tplc="40FA2EF4" w:tentative="1">
      <w:start w:val="1"/>
      <w:numFmt w:val="lowerRoman"/>
      <w:lvlText w:val="%9."/>
      <w:lvlJc w:val="right"/>
      <w:pPr>
        <w:ind w:left="6480" w:hanging="180"/>
      </w:pPr>
    </w:lvl>
  </w:abstractNum>
  <w:num w:numId="1" w16cid:durableId="1110508630">
    <w:abstractNumId w:val="5"/>
  </w:num>
  <w:num w:numId="2" w16cid:durableId="1431509205">
    <w:abstractNumId w:val="8"/>
  </w:num>
  <w:num w:numId="3" w16cid:durableId="791437836">
    <w:abstractNumId w:val="6"/>
  </w:num>
  <w:num w:numId="4" w16cid:durableId="2003002706">
    <w:abstractNumId w:val="3"/>
  </w:num>
  <w:num w:numId="5" w16cid:durableId="675040869">
    <w:abstractNumId w:val="1"/>
  </w:num>
  <w:num w:numId="6" w16cid:durableId="894898139">
    <w:abstractNumId w:val="9"/>
  </w:num>
  <w:num w:numId="7" w16cid:durableId="243271792">
    <w:abstractNumId w:val="2"/>
    <w:lvlOverride w:ilvl="0">
      <w:lvl w:ilvl="0">
        <w:start w:val="1"/>
        <w:numFmt w:val="decimal"/>
        <w:lvlText w:val="%1."/>
        <w:legacy w:legacy="1" w:legacySpace="0" w:legacyIndent="283"/>
        <w:lvlJc w:val="left"/>
        <w:pPr>
          <w:ind w:left="283" w:hanging="283"/>
        </w:pPr>
        <w:rPr>
          <w:rFonts w:cs="Times New Roman"/>
        </w:rPr>
      </w:lvl>
    </w:lvlOverride>
  </w:num>
  <w:num w:numId="8" w16cid:durableId="1958101989">
    <w:abstractNumId w:val="7"/>
  </w:num>
  <w:num w:numId="9" w16cid:durableId="515578200">
    <w:abstractNumId w:val="0"/>
  </w:num>
  <w:num w:numId="10" w16cid:durableId="76053837">
    <w:abstractNumId w:val="10"/>
  </w:num>
  <w:num w:numId="11" w16cid:durableId="1744259626">
    <w:abstractNumId w:val="11"/>
  </w:num>
  <w:num w:numId="12" w16cid:durableId="763377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ADMIN||1~4197435||2~3||3~Silver Mountain - Upsize Bought Deal Letter||5~DGARDOS||6~DGARDOS||7~WORDX||8~DOC||10~11/10/2025 1:37:55 PM||11~11/10/2025 11:50:17 AM||13~113757||14~False||17~public||18~DGARDOS||19~DGARDOS||21~True||22~True||23~False||25~USERS||26~DGARDOS||60~CASSELS BROCK USERS||61~DGARDOS||74~Gardos, David||75~Gardos, David||76~Microsoft Word DOCX||77~Document||82~docx||85~11/10/2025 1:37:59 PM||99~1/1/0001 12:00:00 AM||106~C:\Users\dgardos\AppData\Roaming\iManage\Work\Recent\DGARDOS\Silver Mountain - Upsize Bought Deal Letter(4197435.3).docx||107~1/1/0001 12:00:00 AM||109~11/10/2025 2:28:27 PM||113~11/10/2025 11:50:17 AM||114~11/10/2025 1:37:55 PM||124~False||"/>
    <w:docVar w:name="ForteTempFile" w:val="C:\Users\Natalie\AppData\Local\Temp\4230e271-e7f3-4da7-8153-6599d259be9e.docx"/>
    <w:docVar w:name="zzmp10LastTrailerInserted" w:val="^`~#mp!@&quot;E⌉#⌖┚┤466~~œm5j0b6g²fÐ⌇pØŠ⌎Ŧ⌌ƀ⌔y⌐Ï⌎!;⌔¥⌐/⌎«⌔.⌐K⌎@′⌔i⌐+⌎M⌠Ü₮²⌞•6h êC⌈v[‰B⌝©zÛ„:2j2æhU⌇h⌗⌅ûÃNw⌆⌉Ţ¾⌃W­⌄W« ª]Tr⌌ªô$⌍êô⌋ºÙ․ÁÇ⌔ê|⌕⌊i⌈OU&amp;ß⌜.⌑⌄⌓((MX[;FF5F011"/>
    <w:docVar w:name="zzmp10LastTrailerInserted_1078" w:val="^`~#mp!@&quot;E⌉#⌖┚┤466~~œm5j0b6g²fÐ⌇pØŠ⌎Ŧ⌌ƀ⌔y⌐Ï⌎!;⌔¥⌐/⌎«⌔.⌐K⌎@′⌔i⌐+⌎M⌠Ü₮²⌞•6h êC⌈v[‰B⌝©zÛ„:2j2æhU⌇h⌗⌅ûÃNw⌆⌉Ţ¾⌃W­⌄W« ª]Tr⌌ªô$⌍êô⌋ºÙ․ÁÇ⌔ê|⌕⌊i⌈OU&amp;ß⌜.⌑⌄⌓((MX[;FF5F011"/>
    <w:docVar w:name="zzmp10mSEGsValidated" w:val="1"/>
    <w:docVar w:name="zzmpCompatibilityMode" w:val="15"/>
    <w:docVar w:name="zzmpLegacyTrailerRemoved" w:val="True"/>
  </w:docVars>
  <w:rsids>
    <w:rsidRoot w:val="00BA1873"/>
    <w:rsid w:val="0000058C"/>
    <w:rsid w:val="0000066D"/>
    <w:rsid w:val="00001203"/>
    <w:rsid w:val="000076B2"/>
    <w:rsid w:val="00011A3D"/>
    <w:rsid w:val="00011E4E"/>
    <w:rsid w:val="000162C9"/>
    <w:rsid w:val="000165E2"/>
    <w:rsid w:val="0001692C"/>
    <w:rsid w:val="00021D11"/>
    <w:rsid w:val="00024733"/>
    <w:rsid w:val="00026741"/>
    <w:rsid w:val="00027A15"/>
    <w:rsid w:val="000309EE"/>
    <w:rsid w:val="000314EE"/>
    <w:rsid w:val="00034A25"/>
    <w:rsid w:val="00035645"/>
    <w:rsid w:val="00036623"/>
    <w:rsid w:val="000371A3"/>
    <w:rsid w:val="00043151"/>
    <w:rsid w:val="00047549"/>
    <w:rsid w:val="00050198"/>
    <w:rsid w:val="00051455"/>
    <w:rsid w:val="0005297E"/>
    <w:rsid w:val="00054084"/>
    <w:rsid w:val="00055ACC"/>
    <w:rsid w:val="00055FBD"/>
    <w:rsid w:val="00057F1A"/>
    <w:rsid w:val="00060AD6"/>
    <w:rsid w:val="00063518"/>
    <w:rsid w:val="000640C6"/>
    <w:rsid w:val="00065867"/>
    <w:rsid w:val="00065924"/>
    <w:rsid w:val="00067447"/>
    <w:rsid w:val="00071396"/>
    <w:rsid w:val="00073309"/>
    <w:rsid w:val="00073F11"/>
    <w:rsid w:val="000752D6"/>
    <w:rsid w:val="00075DF3"/>
    <w:rsid w:val="00076DFD"/>
    <w:rsid w:val="00081D23"/>
    <w:rsid w:val="00083791"/>
    <w:rsid w:val="000837F5"/>
    <w:rsid w:val="00083E97"/>
    <w:rsid w:val="000852F9"/>
    <w:rsid w:val="00087536"/>
    <w:rsid w:val="000901C6"/>
    <w:rsid w:val="00094DCE"/>
    <w:rsid w:val="00095A62"/>
    <w:rsid w:val="00097FD5"/>
    <w:rsid w:val="000A25D2"/>
    <w:rsid w:val="000B0C1F"/>
    <w:rsid w:val="000B3907"/>
    <w:rsid w:val="000B5180"/>
    <w:rsid w:val="000B626F"/>
    <w:rsid w:val="000B6C97"/>
    <w:rsid w:val="000C00A7"/>
    <w:rsid w:val="000C3100"/>
    <w:rsid w:val="000C425F"/>
    <w:rsid w:val="000C4F49"/>
    <w:rsid w:val="000C5D0E"/>
    <w:rsid w:val="000C6A33"/>
    <w:rsid w:val="000D39D3"/>
    <w:rsid w:val="000D3FE3"/>
    <w:rsid w:val="000D62C4"/>
    <w:rsid w:val="000D62EB"/>
    <w:rsid w:val="000D79F4"/>
    <w:rsid w:val="000E055E"/>
    <w:rsid w:val="000E078C"/>
    <w:rsid w:val="000E1474"/>
    <w:rsid w:val="000E2D1D"/>
    <w:rsid w:val="000E3523"/>
    <w:rsid w:val="000E5F51"/>
    <w:rsid w:val="000F0009"/>
    <w:rsid w:val="000F0375"/>
    <w:rsid w:val="000F1ABB"/>
    <w:rsid w:val="000F28FA"/>
    <w:rsid w:val="000F2AEC"/>
    <w:rsid w:val="000F3329"/>
    <w:rsid w:val="000F4584"/>
    <w:rsid w:val="000F50F0"/>
    <w:rsid w:val="000F50FF"/>
    <w:rsid w:val="000F78DB"/>
    <w:rsid w:val="00121759"/>
    <w:rsid w:val="001219F7"/>
    <w:rsid w:val="0012403D"/>
    <w:rsid w:val="001263A9"/>
    <w:rsid w:val="00126F51"/>
    <w:rsid w:val="00134A88"/>
    <w:rsid w:val="00137604"/>
    <w:rsid w:val="00137749"/>
    <w:rsid w:val="00140154"/>
    <w:rsid w:val="00141225"/>
    <w:rsid w:val="00142131"/>
    <w:rsid w:val="00143412"/>
    <w:rsid w:val="001472C3"/>
    <w:rsid w:val="0015252A"/>
    <w:rsid w:val="0015411D"/>
    <w:rsid w:val="00154A33"/>
    <w:rsid w:val="00154FA0"/>
    <w:rsid w:val="00155D97"/>
    <w:rsid w:val="001637C1"/>
    <w:rsid w:val="0016536C"/>
    <w:rsid w:val="00165E8E"/>
    <w:rsid w:val="0017014F"/>
    <w:rsid w:val="00170CFB"/>
    <w:rsid w:val="001729E9"/>
    <w:rsid w:val="00174198"/>
    <w:rsid w:val="00175A5C"/>
    <w:rsid w:val="00175A97"/>
    <w:rsid w:val="00175F21"/>
    <w:rsid w:val="00176C6F"/>
    <w:rsid w:val="00177748"/>
    <w:rsid w:val="001811AB"/>
    <w:rsid w:val="00181D8A"/>
    <w:rsid w:val="00183FB2"/>
    <w:rsid w:val="001859F9"/>
    <w:rsid w:val="001872DD"/>
    <w:rsid w:val="0019230F"/>
    <w:rsid w:val="00193290"/>
    <w:rsid w:val="00194CE8"/>
    <w:rsid w:val="00194FA0"/>
    <w:rsid w:val="001A0982"/>
    <w:rsid w:val="001A375F"/>
    <w:rsid w:val="001A4CC1"/>
    <w:rsid w:val="001A5785"/>
    <w:rsid w:val="001A69FD"/>
    <w:rsid w:val="001A6CF6"/>
    <w:rsid w:val="001B267D"/>
    <w:rsid w:val="001B269A"/>
    <w:rsid w:val="001B47AA"/>
    <w:rsid w:val="001B5E46"/>
    <w:rsid w:val="001B776C"/>
    <w:rsid w:val="001B7C7D"/>
    <w:rsid w:val="001C1D8D"/>
    <w:rsid w:val="001C3C18"/>
    <w:rsid w:val="001C557B"/>
    <w:rsid w:val="001C6313"/>
    <w:rsid w:val="001D2F23"/>
    <w:rsid w:val="001D7D9A"/>
    <w:rsid w:val="001E2090"/>
    <w:rsid w:val="001E4729"/>
    <w:rsid w:val="001E52D0"/>
    <w:rsid w:val="001E5671"/>
    <w:rsid w:val="001E5AA6"/>
    <w:rsid w:val="001E5AC8"/>
    <w:rsid w:val="001E6754"/>
    <w:rsid w:val="001F263B"/>
    <w:rsid w:val="001F466F"/>
    <w:rsid w:val="002056D0"/>
    <w:rsid w:val="00206A9A"/>
    <w:rsid w:val="002101B3"/>
    <w:rsid w:val="00210689"/>
    <w:rsid w:val="00211028"/>
    <w:rsid w:val="002158D7"/>
    <w:rsid w:val="00220E1B"/>
    <w:rsid w:val="00223AB6"/>
    <w:rsid w:val="00224AD7"/>
    <w:rsid w:val="00224C66"/>
    <w:rsid w:val="002259EE"/>
    <w:rsid w:val="002322DA"/>
    <w:rsid w:val="0023498A"/>
    <w:rsid w:val="00235875"/>
    <w:rsid w:val="0023621E"/>
    <w:rsid w:val="002362DE"/>
    <w:rsid w:val="0023788D"/>
    <w:rsid w:val="0024056B"/>
    <w:rsid w:val="002409B7"/>
    <w:rsid w:val="00240C89"/>
    <w:rsid w:val="00243F09"/>
    <w:rsid w:val="00244AF7"/>
    <w:rsid w:val="00252184"/>
    <w:rsid w:val="0025319C"/>
    <w:rsid w:val="0025669D"/>
    <w:rsid w:val="00260B94"/>
    <w:rsid w:val="0026155B"/>
    <w:rsid w:val="00272A80"/>
    <w:rsid w:val="00276CF7"/>
    <w:rsid w:val="00283817"/>
    <w:rsid w:val="00287013"/>
    <w:rsid w:val="0028756D"/>
    <w:rsid w:val="0029176C"/>
    <w:rsid w:val="00292AF3"/>
    <w:rsid w:val="002A0742"/>
    <w:rsid w:val="002A1268"/>
    <w:rsid w:val="002A1682"/>
    <w:rsid w:val="002A2EAA"/>
    <w:rsid w:val="002A4528"/>
    <w:rsid w:val="002A7EA8"/>
    <w:rsid w:val="002B0D7F"/>
    <w:rsid w:val="002B3AE0"/>
    <w:rsid w:val="002B6E7E"/>
    <w:rsid w:val="002C00B1"/>
    <w:rsid w:val="002C0768"/>
    <w:rsid w:val="002C339A"/>
    <w:rsid w:val="002C4AE7"/>
    <w:rsid w:val="002C4E9D"/>
    <w:rsid w:val="002C59E6"/>
    <w:rsid w:val="002C5FA1"/>
    <w:rsid w:val="002D2031"/>
    <w:rsid w:val="002D2D1F"/>
    <w:rsid w:val="002D4683"/>
    <w:rsid w:val="002E03CA"/>
    <w:rsid w:val="002E18C9"/>
    <w:rsid w:val="002E3E6D"/>
    <w:rsid w:val="002E7855"/>
    <w:rsid w:val="002E78F9"/>
    <w:rsid w:val="002E7A7F"/>
    <w:rsid w:val="002E7B58"/>
    <w:rsid w:val="002F3BCF"/>
    <w:rsid w:val="002F3C3B"/>
    <w:rsid w:val="00300988"/>
    <w:rsid w:val="00301A66"/>
    <w:rsid w:val="00304B4A"/>
    <w:rsid w:val="00307850"/>
    <w:rsid w:val="00307972"/>
    <w:rsid w:val="003109B1"/>
    <w:rsid w:val="00311582"/>
    <w:rsid w:val="003143A9"/>
    <w:rsid w:val="00314CD2"/>
    <w:rsid w:val="003151D4"/>
    <w:rsid w:val="00325D46"/>
    <w:rsid w:val="00327891"/>
    <w:rsid w:val="00337809"/>
    <w:rsid w:val="00337965"/>
    <w:rsid w:val="00342926"/>
    <w:rsid w:val="003449F7"/>
    <w:rsid w:val="00344CCF"/>
    <w:rsid w:val="00346785"/>
    <w:rsid w:val="003508E3"/>
    <w:rsid w:val="00362CFC"/>
    <w:rsid w:val="00376EFE"/>
    <w:rsid w:val="00377F23"/>
    <w:rsid w:val="00380208"/>
    <w:rsid w:val="003817EF"/>
    <w:rsid w:val="0038546A"/>
    <w:rsid w:val="00386D6A"/>
    <w:rsid w:val="003903B5"/>
    <w:rsid w:val="00390EEA"/>
    <w:rsid w:val="00393D8E"/>
    <w:rsid w:val="00394DB5"/>
    <w:rsid w:val="003950CF"/>
    <w:rsid w:val="003A4143"/>
    <w:rsid w:val="003A4310"/>
    <w:rsid w:val="003A4969"/>
    <w:rsid w:val="003A59FC"/>
    <w:rsid w:val="003B0A04"/>
    <w:rsid w:val="003B0E5A"/>
    <w:rsid w:val="003B1075"/>
    <w:rsid w:val="003B35D6"/>
    <w:rsid w:val="003B4769"/>
    <w:rsid w:val="003B4E34"/>
    <w:rsid w:val="003B4EFF"/>
    <w:rsid w:val="003B54D6"/>
    <w:rsid w:val="003C0A86"/>
    <w:rsid w:val="003C3B45"/>
    <w:rsid w:val="003C3E48"/>
    <w:rsid w:val="003C7843"/>
    <w:rsid w:val="003D317A"/>
    <w:rsid w:val="003D4260"/>
    <w:rsid w:val="003D444F"/>
    <w:rsid w:val="003E1780"/>
    <w:rsid w:val="003E72AD"/>
    <w:rsid w:val="003F1FC6"/>
    <w:rsid w:val="003F4829"/>
    <w:rsid w:val="003F77C8"/>
    <w:rsid w:val="004028FA"/>
    <w:rsid w:val="00405C20"/>
    <w:rsid w:val="004069FE"/>
    <w:rsid w:val="004073EE"/>
    <w:rsid w:val="004074FE"/>
    <w:rsid w:val="00410730"/>
    <w:rsid w:val="00410820"/>
    <w:rsid w:val="00410D64"/>
    <w:rsid w:val="004130A9"/>
    <w:rsid w:val="00417899"/>
    <w:rsid w:val="004215BB"/>
    <w:rsid w:val="004241EA"/>
    <w:rsid w:val="00432106"/>
    <w:rsid w:val="00434189"/>
    <w:rsid w:val="004376D8"/>
    <w:rsid w:val="00440130"/>
    <w:rsid w:val="00440626"/>
    <w:rsid w:val="004535C5"/>
    <w:rsid w:val="00455DD6"/>
    <w:rsid w:val="0046026F"/>
    <w:rsid w:val="00461AEB"/>
    <w:rsid w:val="00462A4E"/>
    <w:rsid w:val="0046429E"/>
    <w:rsid w:val="0046501D"/>
    <w:rsid w:val="004660A2"/>
    <w:rsid w:val="0046634B"/>
    <w:rsid w:val="00466643"/>
    <w:rsid w:val="00466AC7"/>
    <w:rsid w:val="0047211E"/>
    <w:rsid w:val="0047292E"/>
    <w:rsid w:val="00473758"/>
    <w:rsid w:val="0048112A"/>
    <w:rsid w:val="00482A60"/>
    <w:rsid w:val="0048396A"/>
    <w:rsid w:val="004841E4"/>
    <w:rsid w:val="0048572D"/>
    <w:rsid w:val="00493963"/>
    <w:rsid w:val="004949A9"/>
    <w:rsid w:val="00494D71"/>
    <w:rsid w:val="004A1470"/>
    <w:rsid w:val="004A199D"/>
    <w:rsid w:val="004A6F15"/>
    <w:rsid w:val="004B069F"/>
    <w:rsid w:val="004B0B66"/>
    <w:rsid w:val="004B41B9"/>
    <w:rsid w:val="004B4464"/>
    <w:rsid w:val="004B5732"/>
    <w:rsid w:val="004C0695"/>
    <w:rsid w:val="004C1867"/>
    <w:rsid w:val="004C2950"/>
    <w:rsid w:val="004C2A6E"/>
    <w:rsid w:val="004C53BB"/>
    <w:rsid w:val="004C563B"/>
    <w:rsid w:val="004D0041"/>
    <w:rsid w:val="004D2EF2"/>
    <w:rsid w:val="004D6B87"/>
    <w:rsid w:val="004E1D59"/>
    <w:rsid w:val="004E4424"/>
    <w:rsid w:val="004F51DE"/>
    <w:rsid w:val="004F6AEC"/>
    <w:rsid w:val="0050073F"/>
    <w:rsid w:val="00501666"/>
    <w:rsid w:val="005048DE"/>
    <w:rsid w:val="005106B8"/>
    <w:rsid w:val="0051334C"/>
    <w:rsid w:val="00515260"/>
    <w:rsid w:val="00515909"/>
    <w:rsid w:val="00517657"/>
    <w:rsid w:val="00520333"/>
    <w:rsid w:val="0052293D"/>
    <w:rsid w:val="00525691"/>
    <w:rsid w:val="00525A66"/>
    <w:rsid w:val="00530D8C"/>
    <w:rsid w:val="005317B5"/>
    <w:rsid w:val="00531A71"/>
    <w:rsid w:val="00531B97"/>
    <w:rsid w:val="00532C41"/>
    <w:rsid w:val="00532EC4"/>
    <w:rsid w:val="00534A3E"/>
    <w:rsid w:val="00542DA2"/>
    <w:rsid w:val="00543746"/>
    <w:rsid w:val="005449A9"/>
    <w:rsid w:val="005459E2"/>
    <w:rsid w:val="00546960"/>
    <w:rsid w:val="005470B6"/>
    <w:rsid w:val="00547DA6"/>
    <w:rsid w:val="00551FC3"/>
    <w:rsid w:val="00557679"/>
    <w:rsid w:val="00560212"/>
    <w:rsid w:val="005623F9"/>
    <w:rsid w:val="00562C0A"/>
    <w:rsid w:val="00564E31"/>
    <w:rsid w:val="005661D8"/>
    <w:rsid w:val="0057160E"/>
    <w:rsid w:val="00572C98"/>
    <w:rsid w:val="00573975"/>
    <w:rsid w:val="005742F6"/>
    <w:rsid w:val="00574FDB"/>
    <w:rsid w:val="00581C24"/>
    <w:rsid w:val="00582ABE"/>
    <w:rsid w:val="00586278"/>
    <w:rsid w:val="00587F8D"/>
    <w:rsid w:val="00591218"/>
    <w:rsid w:val="00591666"/>
    <w:rsid w:val="00593231"/>
    <w:rsid w:val="00593633"/>
    <w:rsid w:val="005940A2"/>
    <w:rsid w:val="00594887"/>
    <w:rsid w:val="00594C71"/>
    <w:rsid w:val="005958F7"/>
    <w:rsid w:val="00596AB1"/>
    <w:rsid w:val="00596E46"/>
    <w:rsid w:val="005A3836"/>
    <w:rsid w:val="005A5611"/>
    <w:rsid w:val="005A5E0C"/>
    <w:rsid w:val="005B1C59"/>
    <w:rsid w:val="005B39C6"/>
    <w:rsid w:val="005B5E96"/>
    <w:rsid w:val="005C1112"/>
    <w:rsid w:val="005C1597"/>
    <w:rsid w:val="005C1E7C"/>
    <w:rsid w:val="005C237A"/>
    <w:rsid w:val="005C35A6"/>
    <w:rsid w:val="005C4940"/>
    <w:rsid w:val="005C6D2A"/>
    <w:rsid w:val="005D1860"/>
    <w:rsid w:val="005D485B"/>
    <w:rsid w:val="005D51A8"/>
    <w:rsid w:val="005E02CA"/>
    <w:rsid w:val="005E374B"/>
    <w:rsid w:val="005E4A28"/>
    <w:rsid w:val="005E5F7B"/>
    <w:rsid w:val="005E5FD5"/>
    <w:rsid w:val="005E6DB4"/>
    <w:rsid w:val="005F0E7A"/>
    <w:rsid w:val="005F142A"/>
    <w:rsid w:val="005F2754"/>
    <w:rsid w:val="005F6642"/>
    <w:rsid w:val="005F6C76"/>
    <w:rsid w:val="00600A5C"/>
    <w:rsid w:val="00602A34"/>
    <w:rsid w:val="00603C7E"/>
    <w:rsid w:val="00604CCD"/>
    <w:rsid w:val="00610E50"/>
    <w:rsid w:val="006145FD"/>
    <w:rsid w:val="00615FDF"/>
    <w:rsid w:val="006203F9"/>
    <w:rsid w:val="00620E15"/>
    <w:rsid w:val="00621805"/>
    <w:rsid w:val="006222AB"/>
    <w:rsid w:val="00631D9B"/>
    <w:rsid w:val="0063400F"/>
    <w:rsid w:val="0064095D"/>
    <w:rsid w:val="00642A48"/>
    <w:rsid w:val="00642E2A"/>
    <w:rsid w:val="00645E0D"/>
    <w:rsid w:val="00646912"/>
    <w:rsid w:val="0064721B"/>
    <w:rsid w:val="00653644"/>
    <w:rsid w:val="00656442"/>
    <w:rsid w:val="00661DC5"/>
    <w:rsid w:val="00662A49"/>
    <w:rsid w:val="0066499F"/>
    <w:rsid w:val="0066682E"/>
    <w:rsid w:val="00670FAA"/>
    <w:rsid w:val="006716A2"/>
    <w:rsid w:val="00672376"/>
    <w:rsid w:val="006736FB"/>
    <w:rsid w:val="00675739"/>
    <w:rsid w:val="006816A0"/>
    <w:rsid w:val="00681FC6"/>
    <w:rsid w:val="00683B7A"/>
    <w:rsid w:val="0068521C"/>
    <w:rsid w:val="0068669E"/>
    <w:rsid w:val="0068713D"/>
    <w:rsid w:val="00687686"/>
    <w:rsid w:val="006879CD"/>
    <w:rsid w:val="00690FBC"/>
    <w:rsid w:val="00692FB5"/>
    <w:rsid w:val="0069390E"/>
    <w:rsid w:val="0069683C"/>
    <w:rsid w:val="00697334"/>
    <w:rsid w:val="00697797"/>
    <w:rsid w:val="006A7962"/>
    <w:rsid w:val="006B13C0"/>
    <w:rsid w:val="006B2CEF"/>
    <w:rsid w:val="006C0A0C"/>
    <w:rsid w:val="006C16DE"/>
    <w:rsid w:val="006C2B41"/>
    <w:rsid w:val="006C3F47"/>
    <w:rsid w:val="006C5D39"/>
    <w:rsid w:val="006C6DC4"/>
    <w:rsid w:val="006C7F52"/>
    <w:rsid w:val="006D4FBA"/>
    <w:rsid w:val="006D5BD6"/>
    <w:rsid w:val="006E151A"/>
    <w:rsid w:val="006E3486"/>
    <w:rsid w:val="006E785A"/>
    <w:rsid w:val="006F3D1D"/>
    <w:rsid w:val="006F4059"/>
    <w:rsid w:val="006F7DA2"/>
    <w:rsid w:val="00703B27"/>
    <w:rsid w:val="0070416D"/>
    <w:rsid w:val="00705FE9"/>
    <w:rsid w:val="00706393"/>
    <w:rsid w:val="00706A93"/>
    <w:rsid w:val="007110F3"/>
    <w:rsid w:val="00711807"/>
    <w:rsid w:val="00714C4B"/>
    <w:rsid w:val="00717B62"/>
    <w:rsid w:val="00717CA7"/>
    <w:rsid w:val="00720AB6"/>
    <w:rsid w:val="007261CA"/>
    <w:rsid w:val="00726ECE"/>
    <w:rsid w:val="007306D5"/>
    <w:rsid w:val="00730BB1"/>
    <w:rsid w:val="007448E8"/>
    <w:rsid w:val="007456C0"/>
    <w:rsid w:val="00747A11"/>
    <w:rsid w:val="00751A7A"/>
    <w:rsid w:val="0076492A"/>
    <w:rsid w:val="007661AE"/>
    <w:rsid w:val="00766714"/>
    <w:rsid w:val="00771BBC"/>
    <w:rsid w:val="0077300C"/>
    <w:rsid w:val="007816C7"/>
    <w:rsid w:val="00781988"/>
    <w:rsid w:val="00782872"/>
    <w:rsid w:val="00783CC0"/>
    <w:rsid w:val="00784EB1"/>
    <w:rsid w:val="00787741"/>
    <w:rsid w:val="0079158F"/>
    <w:rsid w:val="007958A3"/>
    <w:rsid w:val="007A3A62"/>
    <w:rsid w:val="007A56AD"/>
    <w:rsid w:val="007A58F5"/>
    <w:rsid w:val="007A611F"/>
    <w:rsid w:val="007B0C27"/>
    <w:rsid w:val="007C0F44"/>
    <w:rsid w:val="007C4D00"/>
    <w:rsid w:val="007D0796"/>
    <w:rsid w:val="007D1DEB"/>
    <w:rsid w:val="007D7F3A"/>
    <w:rsid w:val="007E1EDB"/>
    <w:rsid w:val="007E3E50"/>
    <w:rsid w:val="007E6C8F"/>
    <w:rsid w:val="007E6CC2"/>
    <w:rsid w:val="007E7A2A"/>
    <w:rsid w:val="007F28D3"/>
    <w:rsid w:val="007F48B0"/>
    <w:rsid w:val="007F75A1"/>
    <w:rsid w:val="0080511D"/>
    <w:rsid w:val="008066D6"/>
    <w:rsid w:val="00810F3C"/>
    <w:rsid w:val="00816869"/>
    <w:rsid w:val="00817B76"/>
    <w:rsid w:val="00822155"/>
    <w:rsid w:val="008235C0"/>
    <w:rsid w:val="00824971"/>
    <w:rsid w:val="0082613B"/>
    <w:rsid w:val="00835A19"/>
    <w:rsid w:val="0083731D"/>
    <w:rsid w:val="0084438B"/>
    <w:rsid w:val="00852750"/>
    <w:rsid w:val="00853B6F"/>
    <w:rsid w:val="00853BEB"/>
    <w:rsid w:val="00857218"/>
    <w:rsid w:val="00861121"/>
    <w:rsid w:val="00862B78"/>
    <w:rsid w:val="00865F7F"/>
    <w:rsid w:val="00871D61"/>
    <w:rsid w:val="00872252"/>
    <w:rsid w:val="008729DC"/>
    <w:rsid w:val="0087308C"/>
    <w:rsid w:val="00873353"/>
    <w:rsid w:val="00876322"/>
    <w:rsid w:val="00883C53"/>
    <w:rsid w:val="00885580"/>
    <w:rsid w:val="00886D44"/>
    <w:rsid w:val="00890C94"/>
    <w:rsid w:val="008912CD"/>
    <w:rsid w:val="00894F7A"/>
    <w:rsid w:val="008970FE"/>
    <w:rsid w:val="0089720D"/>
    <w:rsid w:val="008A1A46"/>
    <w:rsid w:val="008A1B1B"/>
    <w:rsid w:val="008A3FCA"/>
    <w:rsid w:val="008B1362"/>
    <w:rsid w:val="008B2897"/>
    <w:rsid w:val="008B3377"/>
    <w:rsid w:val="008B4B22"/>
    <w:rsid w:val="008B628E"/>
    <w:rsid w:val="008C01ED"/>
    <w:rsid w:val="008C0961"/>
    <w:rsid w:val="008C6925"/>
    <w:rsid w:val="008D1609"/>
    <w:rsid w:val="008D19CF"/>
    <w:rsid w:val="008D1C64"/>
    <w:rsid w:val="008D2445"/>
    <w:rsid w:val="008D45E0"/>
    <w:rsid w:val="008D5134"/>
    <w:rsid w:val="008D5C0C"/>
    <w:rsid w:val="008D7090"/>
    <w:rsid w:val="008E2789"/>
    <w:rsid w:val="008E43AA"/>
    <w:rsid w:val="008E7557"/>
    <w:rsid w:val="008F0B44"/>
    <w:rsid w:val="008F0ECD"/>
    <w:rsid w:val="008F3FD8"/>
    <w:rsid w:val="008F64A3"/>
    <w:rsid w:val="00906A2F"/>
    <w:rsid w:val="009111A5"/>
    <w:rsid w:val="00914B90"/>
    <w:rsid w:val="00914F66"/>
    <w:rsid w:val="00915118"/>
    <w:rsid w:val="009166F5"/>
    <w:rsid w:val="00920A53"/>
    <w:rsid w:val="00924753"/>
    <w:rsid w:val="00926EAA"/>
    <w:rsid w:val="009305E7"/>
    <w:rsid w:val="00935975"/>
    <w:rsid w:val="0094327A"/>
    <w:rsid w:val="0094346B"/>
    <w:rsid w:val="009508F0"/>
    <w:rsid w:val="0095324D"/>
    <w:rsid w:val="00953508"/>
    <w:rsid w:val="00954EB3"/>
    <w:rsid w:val="00955565"/>
    <w:rsid w:val="00956B2B"/>
    <w:rsid w:val="00960B80"/>
    <w:rsid w:val="009620DB"/>
    <w:rsid w:val="009637F1"/>
    <w:rsid w:val="00963D54"/>
    <w:rsid w:val="009711AA"/>
    <w:rsid w:val="00972447"/>
    <w:rsid w:val="0097454E"/>
    <w:rsid w:val="00974841"/>
    <w:rsid w:val="00975937"/>
    <w:rsid w:val="00982204"/>
    <w:rsid w:val="009839EB"/>
    <w:rsid w:val="0098477B"/>
    <w:rsid w:val="00984844"/>
    <w:rsid w:val="00987162"/>
    <w:rsid w:val="009A3988"/>
    <w:rsid w:val="009A5CCE"/>
    <w:rsid w:val="009A73CD"/>
    <w:rsid w:val="009B39FB"/>
    <w:rsid w:val="009B541A"/>
    <w:rsid w:val="009B6966"/>
    <w:rsid w:val="009B7B08"/>
    <w:rsid w:val="009C153F"/>
    <w:rsid w:val="009C1C21"/>
    <w:rsid w:val="009D3E99"/>
    <w:rsid w:val="009D63C9"/>
    <w:rsid w:val="009D7BA9"/>
    <w:rsid w:val="009E060C"/>
    <w:rsid w:val="009E138D"/>
    <w:rsid w:val="009E48AB"/>
    <w:rsid w:val="009F14C3"/>
    <w:rsid w:val="009F1A7C"/>
    <w:rsid w:val="009F3B78"/>
    <w:rsid w:val="009F57D6"/>
    <w:rsid w:val="009F61CF"/>
    <w:rsid w:val="009F7A02"/>
    <w:rsid w:val="00A04BA8"/>
    <w:rsid w:val="00A117EE"/>
    <w:rsid w:val="00A12C2F"/>
    <w:rsid w:val="00A1419F"/>
    <w:rsid w:val="00A145A4"/>
    <w:rsid w:val="00A16783"/>
    <w:rsid w:val="00A20161"/>
    <w:rsid w:val="00A21796"/>
    <w:rsid w:val="00A22201"/>
    <w:rsid w:val="00A31C97"/>
    <w:rsid w:val="00A32C35"/>
    <w:rsid w:val="00A33559"/>
    <w:rsid w:val="00A33DE4"/>
    <w:rsid w:val="00A34A71"/>
    <w:rsid w:val="00A411FB"/>
    <w:rsid w:val="00A41636"/>
    <w:rsid w:val="00A43E21"/>
    <w:rsid w:val="00A44566"/>
    <w:rsid w:val="00A44FA3"/>
    <w:rsid w:val="00A458C7"/>
    <w:rsid w:val="00A46015"/>
    <w:rsid w:val="00A505A5"/>
    <w:rsid w:val="00A5102E"/>
    <w:rsid w:val="00A5681D"/>
    <w:rsid w:val="00A56C16"/>
    <w:rsid w:val="00A62830"/>
    <w:rsid w:val="00A6350D"/>
    <w:rsid w:val="00A67B5E"/>
    <w:rsid w:val="00A710D2"/>
    <w:rsid w:val="00A74EB7"/>
    <w:rsid w:val="00A74EDE"/>
    <w:rsid w:val="00A75C2F"/>
    <w:rsid w:val="00A76C6A"/>
    <w:rsid w:val="00A8442E"/>
    <w:rsid w:val="00A85111"/>
    <w:rsid w:val="00A907DB"/>
    <w:rsid w:val="00A91DEA"/>
    <w:rsid w:val="00A91FF5"/>
    <w:rsid w:val="00A92A0A"/>
    <w:rsid w:val="00A92E27"/>
    <w:rsid w:val="00A944AB"/>
    <w:rsid w:val="00A94E0A"/>
    <w:rsid w:val="00A95CF8"/>
    <w:rsid w:val="00A95E94"/>
    <w:rsid w:val="00AA09CD"/>
    <w:rsid w:val="00AA1427"/>
    <w:rsid w:val="00AA35C4"/>
    <w:rsid w:val="00AA3F4D"/>
    <w:rsid w:val="00AA3F58"/>
    <w:rsid w:val="00AB36EF"/>
    <w:rsid w:val="00AB3E59"/>
    <w:rsid w:val="00AB723A"/>
    <w:rsid w:val="00AC0E16"/>
    <w:rsid w:val="00AC0EF2"/>
    <w:rsid w:val="00AC1D2B"/>
    <w:rsid w:val="00AC2ABB"/>
    <w:rsid w:val="00AC4518"/>
    <w:rsid w:val="00AC7719"/>
    <w:rsid w:val="00AD0D61"/>
    <w:rsid w:val="00AD16D0"/>
    <w:rsid w:val="00AD5685"/>
    <w:rsid w:val="00AE02E0"/>
    <w:rsid w:val="00AE5F03"/>
    <w:rsid w:val="00AF10C9"/>
    <w:rsid w:val="00AF2F18"/>
    <w:rsid w:val="00AF4C9F"/>
    <w:rsid w:val="00AF712E"/>
    <w:rsid w:val="00B03C6F"/>
    <w:rsid w:val="00B1131C"/>
    <w:rsid w:val="00B11FEA"/>
    <w:rsid w:val="00B14FD4"/>
    <w:rsid w:val="00B168D8"/>
    <w:rsid w:val="00B17413"/>
    <w:rsid w:val="00B17ECA"/>
    <w:rsid w:val="00B21DAD"/>
    <w:rsid w:val="00B25B1F"/>
    <w:rsid w:val="00B25E7F"/>
    <w:rsid w:val="00B33D71"/>
    <w:rsid w:val="00B348EA"/>
    <w:rsid w:val="00B44962"/>
    <w:rsid w:val="00B45398"/>
    <w:rsid w:val="00B46F66"/>
    <w:rsid w:val="00B479C1"/>
    <w:rsid w:val="00B47F86"/>
    <w:rsid w:val="00B503A3"/>
    <w:rsid w:val="00B50916"/>
    <w:rsid w:val="00B5403C"/>
    <w:rsid w:val="00B54C13"/>
    <w:rsid w:val="00B577B0"/>
    <w:rsid w:val="00B6172C"/>
    <w:rsid w:val="00B62D4F"/>
    <w:rsid w:val="00B64322"/>
    <w:rsid w:val="00B654D1"/>
    <w:rsid w:val="00B65F1B"/>
    <w:rsid w:val="00B7257E"/>
    <w:rsid w:val="00B72925"/>
    <w:rsid w:val="00B73B0D"/>
    <w:rsid w:val="00B74996"/>
    <w:rsid w:val="00B77B02"/>
    <w:rsid w:val="00B80BB3"/>
    <w:rsid w:val="00B85ACC"/>
    <w:rsid w:val="00B92B6E"/>
    <w:rsid w:val="00B95249"/>
    <w:rsid w:val="00B9603D"/>
    <w:rsid w:val="00BA1873"/>
    <w:rsid w:val="00BA1A0D"/>
    <w:rsid w:val="00BA58D7"/>
    <w:rsid w:val="00BA5DDE"/>
    <w:rsid w:val="00BA630B"/>
    <w:rsid w:val="00BA6B0D"/>
    <w:rsid w:val="00BB1AC1"/>
    <w:rsid w:val="00BB40F9"/>
    <w:rsid w:val="00BB56A4"/>
    <w:rsid w:val="00BB70EA"/>
    <w:rsid w:val="00BB77F3"/>
    <w:rsid w:val="00BC1E2A"/>
    <w:rsid w:val="00BC2172"/>
    <w:rsid w:val="00BC6361"/>
    <w:rsid w:val="00BD0275"/>
    <w:rsid w:val="00BD149A"/>
    <w:rsid w:val="00BD1EA6"/>
    <w:rsid w:val="00BD1EAE"/>
    <w:rsid w:val="00BD226B"/>
    <w:rsid w:val="00BD2C1E"/>
    <w:rsid w:val="00BD4E86"/>
    <w:rsid w:val="00BD73BA"/>
    <w:rsid w:val="00BE74FF"/>
    <w:rsid w:val="00BF090B"/>
    <w:rsid w:val="00BF1545"/>
    <w:rsid w:val="00BF1C05"/>
    <w:rsid w:val="00BF326E"/>
    <w:rsid w:val="00BF3FF5"/>
    <w:rsid w:val="00BF618C"/>
    <w:rsid w:val="00C00CD2"/>
    <w:rsid w:val="00C018A4"/>
    <w:rsid w:val="00C05F24"/>
    <w:rsid w:val="00C07495"/>
    <w:rsid w:val="00C200BB"/>
    <w:rsid w:val="00C225C6"/>
    <w:rsid w:val="00C23FAC"/>
    <w:rsid w:val="00C26798"/>
    <w:rsid w:val="00C273E1"/>
    <w:rsid w:val="00C31BBB"/>
    <w:rsid w:val="00C35319"/>
    <w:rsid w:val="00C3582D"/>
    <w:rsid w:val="00C37471"/>
    <w:rsid w:val="00C37FC4"/>
    <w:rsid w:val="00C40185"/>
    <w:rsid w:val="00C41751"/>
    <w:rsid w:val="00C42F9E"/>
    <w:rsid w:val="00C46EBC"/>
    <w:rsid w:val="00C4779A"/>
    <w:rsid w:val="00C5346E"/>
    <w:rsid w:val="00C60C9C"/>
    <w:rsid w:val="00C61060"/>
    <w:rsid w:val="00C616E6"/>
    <w:rsid w:val="00C621E9"/>
    <w:rsid w:val="00C64633"/>
    <w:rsid w:val="00C71EF3"/>
    <w:rsid w:val="00C745F3"/>
    <w:rsid w:val="00C77F23"/>
    <w:rsid w:val="00C8270E"/>
    <w:rsid w:val="00C86EC9"/>
    <w:rsid w:val="00C91896"/>
    <w:rsid w:val="00C922D9"/>
    <w:rsid w:val="00C930FB"/>
    <w:rsid w:val="00C9340D"/>
    <w:rsid w:val="00C94050"/>
    <w:rsid w:val="00CA02D8"/>
    <w:rsid w:val="00CA1FE1"/>
    <w:rsid w:val="00CA3B78"/>
    <w:rsid w:val="00CA4CE5"/>
    <w:rsid w:val="00CA63AF"/>
    <w:rsid w:val="00CB0C29"/>
    <w:rsid w:val="00CB2B1B"/>
    <w:rsid w:val="00CB514C"/>
    <w:rsid w:val="00CB51BA"/>
    <w:rsid w:val="00CB638C"/>
    <w:rsid w:val="00CC10FC"/>
    <w:rsid w:val="00CC3024"/>
    <w:rsid w:val="00CC3A9F"/>
    <w:rsid w:val="00CC4601"/>
    <w:rsid w:val="00CC5EE9"/>
    <w:rsid w:val="00CD0911"/>
    <w:rsid w:val="00CE01BD"/>
    <w:rsid w:val="00CE1501"/>
    <w:rsid w:val="00CE2424"/>
    <w:rsid w:val="00CE2567"/>
    <w:rsid w:val="00CE4951"/>
    <w:rsid w:val="00CE5C7E"/>
    <w:rsid w:val="00CE6054"/>
    <w:rsid w:val="00CF23C6"/>
    <w:rsid w:val="00CF3560"/>
    <w:rsid w:val="00CF36AB"/>
    <w:rsid w:val="00CF45CD"/>
    <w:rsid w:val="00CF6437"/>
    <w:rsid w:val="00D02A15"/>
    <w:rsid w:val="00D03C5E"/>
    <w:rsid w:val="00D07982"/>
    <w:rsid w:val="00D07990"/>
    <w:rsid w:val="00D12DA4"/>
    <w:rsid w:val="00D15891"/>
    <w:rsid w:val="00D16D9F"/>
    <w:rsid w:val="00D17021"/>
    <w:rsid w:val="00D239B4"/>
    <w:rsid w:val="00D25DA5"/>
    <w:rsid w:val="00D27964"/>
    <w:rsid w:val="00D32159"/>
    <w:rsid w:val="00D33D8E"/>
    <w:rsid w:val="00D351AA"/>
    <w:rsid w:val="00D354D0"/>
    <w:rsid w:val="00D3738B"/>
    <w:rsid w:val="00D373B9"/>
    <w:rsid w:val="00D37CAC"/>
    <w:rsid w:val="00D420D2"/>
    <w:rsid w:val="00D4334D"/>
    <w:rsid w:val="00D501E1"/>
    <w:rsid w:val="00D51DFE"/>
    <w:rsid w:val="00D548E2"/>
    <w:rsid w:val="00D54B83"/>
    <w:rsid w:val="00D55485"/>
    <w:rsid w:val="00D60C32"/>
    <w:rsid w:val="00D6308C"/>
    <w:rsid w:val="00D63408"/>
    <w:rsid w:val="00D637AA"/>
    <w:rsid w:val="00D63C17"/>
    <w:rsid w:val="00D65498"/>
    <w:rsid w:val="00D6714D"/>
    <w:rsid w:val="00D74088"/>
    <w:rsid w:val="00D758EA"/>
    <w:rsid w:val="00D819E6"/>
    <w:rsid w:val="00D84499"/>
    <w:rsid w:val="00D90E71"/>
    <w:rsid w:val="00D91CBF"/>
    <w:rsid w:val="00D91E16"/>
    <w:rsid w:val="00D930E8"/>
    <w:rsid w:val="00D96450"/>
    <w:rsid w:val="00D965FD"/>
    <w:rsid w:val="00DA13CB"/>
    <w:rsid w:val="00DA30FF"/>
    <w:rsid w:val="00DA389F"/>
    <w:rsid w:val="00DA5AD6"/>
    <w:rsid w:val="00DB3F93"/>
    <w:rsid w:val="00DB4D31"/>
    <w:rsid w:val="00DB54C2"/>
    <w:rsid w:val="00DB5C15"/>
    <w:rsid w:val="00DC0708"/>
    <w:rsid w:val="00DC086B"/>
    <w:rsid w:val="00DC2E92"/>
    <w:rsid w:val="00DC34FB"/>
    <w:rsid w:val="00DC447C"/>
    <w:rsid w:val="00DC5CF3"/>
    <w:rsid w:val="00DD3550"/>
    <w:rsid w:val="00DD5BF5"/>
    <w:rsid w:val="00DD77AA"/>
    <w:rsid w:val="00DE048C"/>
    <w:rsid w:val="00DE2F92"/>
    <w:rsid w:val="00DE5557"/>
    <w:rsid w:val="00DE77FA"/>
    <w:rsid w:val="00DF528D"/>
    <w:rsid w:val="00DF744A"/>
    <w:rsid w:val="00DF76FD"/>
    <w:rsid w:val="00DF78F1"/>
    <w:rsid w:val="00E02775"/>
    <w:rsid w:val="00E02FB4"/>
    <w:rsid w:val="00E1483B"/>
    <w:rsid w:val="00E17D39"/>
    <w:rsid w:val="00E221FA"/>
    <w:rsid w:val="00E22321"/>
    <w:rsid w:val="00E23D7B"/>
    <w:rsid w:val="00E25CC2"/>
    <w:rsid w:val="00E33A96"/>
    <w:rsid w:val="00E40505"/>
    <w:rsid w:val="00E47CDA"/>
    <w:rsid w:val="00E5224B"/>
    <w:rsid w:val="00E52CF0"/>
    <w:rsid w:val="00E52DC0"/>
    <w:rsid w:val="00E53010"/>
    <w:rsid w:val="00E54570"/>
    <w:rsid w:val="00E54BFB"/>
    <w:rsid w:val="00E57CE1"/>
    <w:rsid w:val="00E651D0"/>
    <w:rsid w:val="00E6644D"/>
    <w:rsid w:val="00E66B74"/>
    <w:rsid w:val="00E7244A"/>
    <w:rsid w:val="00E74E0B"/>
    <w:rsid w:val="00E74EB4"/>
    <w:rsid w:val="00E77CDC"/>
    <w:rsid w:val="00E80A1F"/>
    <w:rsid w:val="00E82CC7"/>
    <w:rsid w:val="00E87200"/>
    <w:rsid w:val="00E87744"/>
    <w:rsid w:val="00E93434"/>
    <w:rsid w:val="00E942FF"/>
    <w:rsid w:val="00E946E8"/>
    <w:rsid w:val="00E9511F"/>
    <w:rsid w:val="00E973DE"/>
    <w:rsid w:val="00E97F15"/>
    <w:rsid w:val="00EA4DA4"/>
    <w:rsid w:val="00EB4691"/>
    <w:rsid w:val="00EB4A97"/>
    <w:rsid w:val="00EC12B1"/>
    <w:rsid w:val="00EC5BF3"/>
    <w:rsid w:val="00EC6040"/>
    <w:rsid w:val="00EC6D8B"/>
    <w:rsid w:val="00EC7D99"/>
    <w:rsid w:val="00ED05C9"/>
    <w:rsid w:val="00ED58CF"/>
    <w:rsid w:val="00ED5D6A"/>
    <w:rsid w:val="00ED7D27"/>
    <w:rsid w:val="00EE03EB"/>
    <w:rsid w:val="00EE0DC7"/>
    <w:rsid w:val="00EE0FA5"/>
    <w:rsid w:val="00EE2E7C"/>
    <w:rsid w:val="00EE52D5"/>
    <w:rsid w:val="00EE5636"/>
    <w:rsid w:val="00EE6370"/>
    <w:rsid w:val="00EE6F20"/>
    <w:rsid w:val="00EE764A"/>
    <w:rsid w:val="00EE7A38"/>
    <w:rsid w:val="00EF2807"/>
    <w:rsid w:val="00EF3E44"/>
    <w:rsid w:val="00EF4F4E"/>
    <w:rsid w:val="00EF51E4"/>
    <w:rsid w:val="00F02B22"/>
    <w:rsid w:val="00F02D19"/>
    <w:rsid w:val="00F06A3E"/>
    <w:rsid w:val="00F1383E"/>
    <w:rsid w:val="00F13F81"/>
    <w:rsid w:val="00F14337"/>
    <w:rsid w:val="00F16C1F"/>
    <w:rsid w:val="00F178D6"/>
    <w:rsid w:val="00F17F1D"/>
    <w:rsid w:val="00F2140A"/>
    <w:rsid w:val="00F2238A"/>
    <w:rsid w:val="00F342B6"/>
    <w:rsid w:val="00F36435"/>
    <w:rsid w:val="00F45058"/>
    <w:rsid w:val="00F4571A"/>
    <w:rsid w:val="00F466D1"/>
    <w:rsid w:val="00F473FD"/>
    <w:rsid w:val="00F50731"/>
    <w:rsid w:val="00F56AF1"/>
    <w:rsid w:val="00F61B6F"/>
    <w:rsid w:val="00F6372B"/>
    <w:rsid w:val="00F660B1"/>
    <w:rsid w:val="00F674CB"/>
    <w:rsid w:val="00F71ED6"/>
    <w:rsid w:val="00F729B7"/>
    <w:rsid w:val="00F8097B"/>
    <w:rsid w:val="00F8223F"/>
    <w:rsid w:val="00F822A2"/>
    <w:rsid w:val="00F852E0"/>
    <w:rsid w:val="00F86A76"/>
    <w:rsid w:val="00F86F9F"/>
    <w:rsid w:val="00F87BC1"/>
    <w:rsid w:val="00F91BF3"/>
    <w:rsid w:val="00FA3864"/>
    <w:rsid w:val="00FA3BBD"/>
    <w:rsid w:val="00FA4A77"/>
    <w:rsid w:val="00FA6CC8"/>
    <w:rsid w:val="00FB3B81"/>
    <w:rsid w:val="00FB4EC2"/>
    <w:rsid w:val="00FB5E32"/>
    <w:rsid w:val="00FB70E7"/>
    <w:rsid w:val="00FB759D"/>
    <w:rsid w:val="00FC1BA0"/>
    <w:rsid w:val="00FC1C86"/>
    <w:rsid w:val="00FC22E1"/>
    <w:rsid w:val="00FC3AFD"/>
    <w:rsid w:val="00FD35D6"/>
    <w:rsid w:val="00FD3B72"/>
    <w:rsid w:val="00FD4FFA"/>
    <w:rsid w:val="00FD5001"/>
    <w:rsid w:val="00FD6B3A"/>
    <w:rsid w:val="00FE0903"/>
    <w:rsid w:val="00FE2A88"/>
    <w:rsid w:val="00FE2F7D"/>
    <w:rsid w:val="00FE4F59"/>
    <w:rsid w:val="00FE7019"/>
    <w:rsid w:val="00FF2E59"/>
    <w:rsid w:val="00FF4254"/>
    <w:rsid w:val="00FF54BC"/>
    <w:rsid w:val="00FF5D7A"/>
    <w:rsid w:val="00FF77D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5A3854"/>
  <w15:docId w15:val="{DC51AE7F-4B5B-453F-B6F8-9FD66B16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40" w:line="240" w:lineRule="auto"/>
      <w:jc w:val="both"/>
    </w:pPr>
    <w:rPr>
      <w:rFonts w:ascii="Times New Roman" w:hAnsi="Times New Roman" w:cs="Times New Roman"/>
      <w:sz w:val="24"/>
      <w:szCs w:val="24"/>
    </w:rPr>
  </w:style>
  <w:style w:type="paragraph" w:styleId="Ttulo1">
    <w:name w:val="heading 1"/>
    <w:basedOn w:val="Normal"/>
    <w:next w:val="ORPara"/>
    <w:link w:val="Ttulo1Car"/>
    <w:uiPriority w:val="9"/>
    <w:qFormat/>
    <w:pPr>
      <w:keepNext/>
      <w:spacing w:before="120"/>
      <w:jc w:val="left"/>
      <w:outlineLvl w:val="0"/>
    </w:pPr>
    <w:rPr>
      <w:b/>
    </w:rPr>
  </w:style>
  <w:style w:type="paragraph" w:styleId="Ttulo2">
    <w:name w:val="heading 2"/>
    <w:basedOn w:val="Normal"/>
    <w:next w:val="ORPara"/>
    <w:link w:val="Ttulo2Car"/>
    <w:uiPriority w:val="9"/>
    <w:qFormat/>
    <w:pPr>
      <w:keepNext/>
      <w:spacing w:before="120"/>
      <w:jc w:val="left"/>
      <w:outlineLvl w:val="1"/>
    </w:pPr>
    <w:rPr>
      <w:b/>
      <w:i/>
    </w:rPr>
  </w:style>
  <w:style w:type="paragraph" w:styleId="Ttulo3">
    <w:name w:val="heading 3"/>
    <w:aliases w:val="Subs"/>
    <w:basedOn w:val="Normal"/>
    <w:next w:val="ORPara"/>
    <w:link w:val="Ttulo3Car"/>
    <w:uiPriority w:val="9"/>
    <w:qFormat/>
    <w:pPr>
      <w:keepNext/>
      <w:spacing w:before="120"/>
      <w:jc w:val="left"/>
      <w:outlineLvl w:val="2"/>
    </w:pPr>
    <w:rPr>
      <w:u w:val="single"/>
    </w:rPr>
  </w:style>
  <w:style w:type="paragraph" w:styleId="Ttulo4">
    <w:name w:val="heading 4"/>
    <w:basedOn w:val="Normal"/>
    <w:next w:val="ORPara"/>
    <w:link w:val="Ttulo4Car"/>
    <w:uiPriority w:val="9"/>
    <w:qFormat/>
    <w:pPr>
      <w:keepNext/>
      <w:spacing w:before="120"/>
      <w:jc w:val="left"/>
      <w:outlineLvl w:val="3"/>
    </w:pPr>
    <w:rPr>
      <w:i/>
    </w:rPr>
  </w:style>
  <w:style w:type="paragraph" w:styleId="Ttulo5">
    <w:name w:val="heading 5"/>
    <w:basedOn w:val="Normal"/>
    <w:next w:val="ORPara"/>
    <w:link w:val="Ttulo5Car"/>
    <w:uiPriority w:val="9"/>
    <w:qFormat/>
    <w:pPr>
      <w:keepNext/>
      <w:spacing w:before="120"/>
      <w:jc w:val="left"/>
      <w:outlineLvl w:val="4"/>
    </w:pPr>
  </w:style>
  <w:style w:type="paragraph" w:styleId="Ttulo6">
    <w:name w:val="heading 6"/>
    <w:basedOn w:val="Normal"/>
    <w:next w:val="ORPara"/>
    <w:link w:val="Ttulo6Car"/>
    <w:uiPriority w:val="9"/>
    <w:qFormat/>
    <w:pPr>
      <w:keepNext/>
      <w:spacing w:before="120"/>
      <w:jc w:val="left"/>
      <w:outlineLvl w:val="5"/>
    </w:pPr>
  </w:style>
  <w:style w:type="paragraph" w:styleId="Ttulo7">
    <w:name w:val="heading 7"/>
    <w:basedOn w:val="Normal"/>
    <w:next w:val="ORPara"/>
    <w:link w:val="Ttulo7Car"/>
    <w:uiPriority w:val="9"/>
    <w:qFormat/>
    <w:pPr>
      <w:keepNext/>
      <w:spacing w:before="120"/>
      <w:jc w:val="left"/>
      <w:outlineLvl w:val="6"/>
    </w:pPr>
  </w:style>
  <w:style w:type="paragraph" w:styleId="Ttulo8">
    <w:name w:val="heading 8"/>
    <w:basedOn w:val="Normal"/>
    <w:next w:val="ORPara"/>
    <w:link w:val="Ttulo8Car"/>
    <w:uiPriority w:val="9"/>
    <w:qFormat/>
    <w:pPr>
      <w:keepNext/>
      <w:spacing w:before="120"/>
      <w:jc w:val="left"/>
      <w:outlineLvl w:val="7"/>
    </w:pPr>
  </w:style>
  <w:style w:type="paragraph" w:styleId="Ttulo9">
    <w:name w:val="heading 9"/>
    <w:basedOn w:val="Normal"/>
    <w:next w:val="ORPara"/>
    <w:link w:val="Ttulo9Car"/>
    <w:uiPriority w:val="9"/>
    <w:qFormat/>
    <w:pPr>
      <w:keepNext/>
      <w:spacing w:before="120"/>
      <w:jc w:val="left"/>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Pr>
      <w:rFonts w:asciiTheme="majorHAnsi" w:eastAsiaTheme="majorEastAsia" w:hAnsiTheme="majorHAnsi" w:cstheme="majorBidi"/>
      <w:b/>
      <w:bCs/>
      <w:i/>
      <w:iCs/>
      <w:sz w:val="28"/>
      <w:szCs w:val="28"/>
    </w:rPr>
  </w:style>
  <w:style w:type="character" w:customStyle="1" w:styleId="Ttulo3Car">
    <w:name w:val="Título 3 Car"/>
    <w:aliases w:val="Subs Car"/>
    <w:basedOn w:val="Fuentedeprrafopredeter"/>
    <w:link w:val="Ttulo3"/>
    <w:uiPriority w:val="9"/>
    <w:semiHidden/>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Pr>
      <w:b/>
      <w:bCs/>
      <w:sz w:val="28"/>
      <w:szCs w:val="28"/>
    </w:rPr>
  </w:style>
  <w:style w:type="character" w:customStyle="1" w:styleId="Ttulo5Car">
    <w:name w:val="Título 5 Car"/>
    <w:basedOn w:val="Fuentedeprrafopredeter"/>
    <w:link w:val="Ttulo5"/>
    <w:uiPriority w:val="9"/>
    <w:semiHidden/>
    <w:rPr>
      <w:b/>
      <w:bCs/>
      <w:i/>
      <w:iCs/>
      <w:sz w:val="26"/>
      <w:szCs w:val="26"/>
    </w:rPr>
  </w:style>
  <w:style w:type="character" w:customStyle="1" w:styleId="Ttulo6Car">
    <w:name w:val="Título 6 Car"/>
    <w:basedOn w:val="Fuentedeprrafopredeter"/>
    <w:link w:val="Ttulo6"/>
    <w:uiPriority w:val="9"/>
    <w:semiHidden/>
    <w:rPr>
      <w:b/>
      <w:bCs/>
    </w:rPr>
  </w:style>
  <w:style w:type="character" w:customStyle="1" w:styleId="Ttulo7Car">
    <w:name w:val="Título 7 Car"/>
    <w:basedOn w:val="Fuentedeprrafopredeter"/>
    <w:link w:val="Ttulo7"/>
    <w:uiPriority w:val="9"/>
    <w:semiHidden/>
    <w:rPr>
      <w:sz w:val="24"/>
      <w:szCs w:val="24"/>
    </w:rPr>
  </w:style>
  <w:style w:type="character" w:customStyle="1" w:styleId="Ttulo8Car">
    <w:name w:val="Título 8 Car"/>
    <w:basedOn w:val="Fuentedeprrafopredeter"/>
    <w:link w:val="Ttulo8"/>
    <w:uiPriority w:val="9"/>
    <w:semiHidden/>
    <w:rPr>
      <w:i/>
      <w:iCs/>
      <w:sz w:val="24"/>
      <w:szCs w:val="24"/>
    </w:rPr>
  </w:style>
  <w:style w:type="character" w:customStyle="1" w:styleId="Ttulo9Car">
    <w:name w:val="Título 9 Car"/>
    <w:basedOn w:val="Fuentedeprrafopredeter"/>
    <w:link w:val="Ttulo9"/>
    <w:uiPriority w:val="9"/>
    <w:semiHidden/>
    <w:rPr>
      <w:rFonts w:asciiTheme="majorHAnsi" w:eastAsiaTheme="majorEastAsia" w:hAnsiTheme="majorHAnsi" w:cstheme="majorBidi"/>
    </w:rPr>
  </w:style>
  <w:style w:type="paragraph" w:styleId="Textoindependiente">
    <w:name w:val="Body Text"/>
    <w:basedOn w:val="Normal"/>
    <w:link w:val="TextoindependienteCar"/>
    <w:uiPriority w:val="99"/>
  </w:style>
  <w:style w:type="character" w:customStyle="1" w:styleId="TextoindependienteCar">
    <w:name w:val="Texto independiente Car"/>
    <w:basedOn w:val="Fuentedeprrafopredeter"/>
    <w:link w:val="Textoindependiente"/>
    <w:uiPriority w:val="99"/>
    <w:rPr>
      <w:rFonts w:cs="Times New Roman"/>
      <w:sz w:val="24"/>
      <w:szCs w:val="24"/>
      <w:lang w:val="en-CA" w:bidi="ar-SA"/>
    </w:rPr>
  </w:style>
  <w:style w:type="paragraph" w:styleId="Encabezado">
    <w:name w:val="header"/>
    <w:basedOn w:val="NormalSingle"/>
    <w:link w:val="EncabezadoCar"/>
    <w:uiPriority w:val="99"/>
    <w:pPr>
      <w:tabs>
        <w:tab w:val="center" w:pos="4680"/>
        <w:tab w:val="right" w:pos="9360"/>
      </w:tabs>
      <w:spacing w:after="0"/>
      <w:jc w:val="left"/>
    </w:pPr>
  </w:style>
  <w:style w:type="character" w:customStyle="1" w:styleId="EncabezadoCar">
    <w:name w:val="Encabezado Car"/>
    <w:basedOn w:val="Fuentedeprrafopredeter"/>
    <w:link w:val="Encabezado"/>
    <w:uiPriority w:val="99"/>
    <w:rPr>
      <w:rFonts w:cs="Times New Roman"/>
      <w:sz w:val="24"/>
      <w:szCs w:val="24"/>
      <w:lang w:val="en-CA"/>
    </w:rPr>
  </w:style>
  <w:style w:type="paragraph" w:styleId="Piedepgina">
    <w:name w:val="footer"/>
    <w:basedOn w:val="NormalSingle"/>
    <w:link w:val="PiedepginaCar"/>
    <w:uiPriority w:val="99"/>
    <w:pPr>
      <w:tabs>
        <w:tab w:val="center" w:pos="4680"/>
        <w:tab w:val="right" w:pos="9360"/>
      </w:tabs>
      <w:spacing w:after="0"/>
      <w:jc w:val="left"/>
    </w:pPr>
  </w:style>
  <w:style w:type="character" w:customStyle="1" w:styleId="PiedepginaCar">
    <w:name w:val="Pie de página Car"/>
    <w:basedOn w:val="Fuentedeprrafopredeter"/>
    <w:link w:val="Piedepgina"/>
    <w:uiPriority w:val="99"/>
    <w:rPr>
      <w:rFonts w:ascii="Times New Roman" w:hAnsi="Times New Roman" w:cs="Times New Roman"/>
      <w:sz w:val="24"/>
      <w:szCs w:val="24"/>
    </w:rPr>
  </w:style>
  <w:style w:type="character" w:styleId="Nmerodepgina">
    <w:name w:val="page number"/>
    <w:basedOn w:val="Fuentedeprrafopredeter"/>
    <w:uiPriority w:val="99"/>
    <w:rPr>
      <w:rFonts w:cs="Times New Roman"/>
      <w:sz w:val="24"/>
      <w:szCs w:val="24"/>
      <w:lang w:val="en-CA" w:bidi="ar-SA"/>
    </w:rPr>
  </w:style>
  <w:style w:type="paragraph" w:styleId="Sangradetextonormal">
    <w:name w:val="Body Text Indent"/>
    <w:basedOn w:val="Textoindependiente"/>
    <w:link w:val="SangradetextonormalCar"/>
    <w:uiPriority w:val="99"/>
    <w:pPr>
      <w:ind w:left="720"/>
    </w:pPr>
  </w:style>
  <w:style w:type="character" w:customStyle="1" w:styleId="SangradetextonormalCar">
    <w:name w:val="Sangría de texto normal Car"/>
    <w:basedOn w:val="Fuentedeprrafopredeter"/>
    <w:link w:val="Sangradetextonormal"/>
    <w:uiPriority w:val="99"/>
    <w:semiHidden/>
    <w:rPr>
      <w:rFonts w:ascii="Times New Roman" w:hAnsi="Times New Roman" w:cs="Times New Roman"/>
      <w:sz w:val="24"/>
      <w:szCs w:val="24"/>
    </w:rPr>
  </w:style>
  <w:style w:type="paragraph" w:customStyle="1" w:styleId="LHFirmName">
    <w:name w:val="LH Firm Name"/>
    <w:basedOn w:val="Normal"/>
    <w:pPr>
      <w:spacing w:after="120"/>
      <w:ind w:left="-720"/>
    </w:pPr>
    <w:rPr>
      <w:rFonts w:ascii="EngravrsRoman BT" w:hAnsi="EngravrsRoman BT"/>
      <w:b/>
      <w:spacing w:val="10"/>
      <w:sz w:val="15"/>
    </w:rPr>
  </w:style>
  <w:style w:type="paragraph" w:customStyle="1" w:styleId="BodyTextContinued">
    <w:name w:val="Body Text Continued"/>
    <w:basedOn w:val="Textoindependiente"/>
    <w:next w:val="Textoindependiente"/>
  </w:style>
  <w:style w:type="character" w:styleId="Refdenotaalpie">
    <w:name w:val="footnote reference"/>
    <w:basedOn w:val="Fuentedeprrafopredeter"/>
    <w:uiPriority w:val="99"/>
    <w:rPr>
      <w:rFonts w:cs="Times New Roman"/>
      <w:vertAlign w:val="superscript"/>
    </w:rPr>
  </w:style>
  <w:style w:type="paragraph" w:styleId="Textonotapie">
    <w:name w:val="footnote text"/>
    <w:basedOn w:val="Normal"/>
    <w:link w:val="TextonotapieCar"/>
    <w:uiPriority w:val="99"/>
    <w:rPr>
      <w:sz w:val="22"/>
    </w:rPr>
  </w:style>
  <w:style w:type="character" w:customStyle="1" w:styleId="TextonotapieCar">
    <w:name w:val="Texto nota pie Car"/>
    <w:basedOn w:val="Fuentedeprrafopredeter"/>
    <w:link w:val="Textonotapie"/>
    <w:uiPriority w:val="99"/>
    <w:semiHidden/>
    <w:rPr>
      <w:rFonts w:ascii="Times New Roman" w:hAnsi="Times New Roman" w:cs="Times New Roman"/>
      <w:sz w:val="20"/>
      <w:szCs w:val="20"/>
    </w:rPr>
  </w:style>
  <w:style w:type="paragraph" w:customStyle="1" w:styleId="LetterClosing">
    <w:name w:val="LetterClosing"/>
    <w:basedOn w:val="Normal"/>
    <w:next w:val="Normal"/>
  </w:style>
  <w:style w:type="paragraph" w:styleId="Textomacro">
    <w:name w:val="macro"/>
    <w:link w:val="TextomacroC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Times New Roman" w:hAnsi="Times New Roman" w:cs="Times New Roman"/>
      <w:sz w:val="18"/>
      <w:szCs w:val="20"/>
      <w:lang w:val="en-US"/>
    </w:rPr>
  </w:style>
  <w:style w:type="character" w:customStyle="1" w:styleId="TextomacroCar">
    <w:name w:val="Texto macro Car"/>
    <w:basedOn w:val="Fuentedeprrafopredeter"/>
    <w:link w:val="Textomacro"/>
    <w:uiPriority w:val="99"/>
    <w:semiHidden/>
    <w:rPr>
      <w:rFonts w:ascii="Courier New" w:hAnsi="Courier New" w:cs="Courier New"/>
      <w:sz w:val="20"/>
      <w:szCs w:val="20"/>
    </w:rPr>
  </w:style>
  <w:style w:type="paragraph" w:styleId="Sangranormal">
    <w:name w:val="Normal Indent"/>
    <w:basedOn w:val="Normal"/>
    <w:uiPriority w:val="99"/>
    <w:pPr>
      <w:widowControl w:val="0"/>
      <w:spacing w:line="240" w:lineRule="exact"/>
      <w:ind w:left="720" w:right="720"/>
    </w:pPr>
  </w:style>
  <w:style w:type="paragraph" w:customStyle="1" w:styleId="PleadingSignature">
    <w:name w:val="Pleading Signature"/>
    <w:basedOn w:val="Normal"/>
    <w:pPr>
      <w:keepNext/>
      <w:keepLines/>
      <w:widowControl w:val="0"/>
      <w:tabs>
        <w:tab w:val="left" w:pos="5040"/>
        <w:tab w:val="right" w:pos="9360"/>
      </w:tabs>
      <w:spacing w:line="240" w:lineRule="exact"/>
      <w:ind w:left="4680"/>
    </w:pPr>
  </w:style>
  <w:style w:type="paragraph" w:styleId="Direccinsobre">
    <w:name w:val="envelope address"/>
    <w:basedOn w:val="Normal"/>
    <w:uiPriority w:val="99"/>
    <w:pPr>
      <w:framePr w:w="5760" w:h="2160" w:hRule="exact" w:wrap="auto" w:vAnchor="page" w:hAnchor="page" w:x="6481" w:y="3068"/>
    </w:pPr>
  </w:style>
  <w:style w:type="paragraph" w:customStyle="1" w:styleId="LetterDate">
    <w:name w:val="Letter Date"/>
    <w:basedOn w:val="Normal"/>
    <w:next w:val="Textoindependiente"/>
  </w:style>
  <w:style w:type="paragraph" w:styleId="Textoconsangra">
    <w:name w:val="table of authorities"/>
    <w:basedOn w:val="Normal"/>
    <w:next w:val="Normal"/>
    <w:uiPriority w:val="99"/>
    <w:pPr>
      <w:widowControl w:val="0"/>
      <w:tabs>
        <w:tab w:val="right" w:leader="dot" w:pos="9216"/>
      </w:tabs>
      <w:spacing w:after="120" w:line="240" w:lineRule="exact"/>
      <w:ind w:left="360" w:right="1440" w:hanging="360"/>
    </w:pPr>
  </w:style>
  <w:style w:type="paragraph" w:styleId="Encabezadodelista">
    <w:name w:val="toa heading"/>
    <w:basedOn w:val="Normal"/>
    <w:next w:val="Textoconsangra"/>
    <w:uiPriority w:val="99"/>
    <w:pPr>
      <w:keepNext/>
      <w:widowControl w:val="0"/>
      <w:spacing w:before="120" w:after="120" w:line="240" w:lineRule="exact"/>
      <w:jc w:val="center"/>
    </w:pPr>
    <w:rPr>
      <w:b/>
      <w:caps/>
    </w:rPr>
  </w:style>
  <w:style w:type="character" w:customStyle="1" w:styleId="ParagraphNumber">
    <w:name w:val="ParagraphNumber"/>
    <w:basedOn w:val="Fuentedeprrafopredeter"/>
    <w:rPr>
      <w:rFonts w:cs="Times New Roman"/>
    </w:rPr>
  </w:style>
  <w:style w:type="paragraph" w:styleId="TDC1">
    <w:name w:val="toc 1"/>
    <w:basedOn w:val="Normal"/>
    <w:next w:val="Normal"/>
    <w:autoRedefine/>
    <w:uiPriority w:val="39"/>
    <w:pPr>
      <w:tabs>
        <w:tab w:val="left" w:pos="720"/>
        <w:tab w:val="right" w:leader="dot" w:pos="9360"/>
      </w:tabs>
      <w:jc w:val="left"/>
    </w:pPr>
  </w:style>
  <w:style w:type="paragraph" w:styleId="TDC2">
    <w:name w:val="toc 2"/>
    <w:basedOn w:val="Normal"/>
    <w:next w:val="Normal"/>
    <w:autoRedefine/>
    <w:uiPriority w:val="39"/>
    <w:pPr>
      <w:tabs>
        <w:tab w:val="left" w:pos="1440"/>
        <w:tab w:val="right" w:leader="dot" w:pos="9360"/>
      </w:tabs>
      <w:ind w:left="720"/>
      <w:jc w:val="left"/>
    </w:pPr>
  </w:style>
  <w:style w:type="paragraph" w:styleId="TDC3">
    <w:name w:val="toc 3"/>
    <w:basedOn w:val="Normal"/>
    <w:next w:val="TDC4"/>
    <w:uiPriority w:val="39"/>
    <w:pPr>
      <w:keepLines/>
      <w:tabs>
        <w:tab w:val="right" w:leader="dot" w:pos="9288"/>
      </w:tabs>
      <w:ind w:left="2160" w:right="720" w:hanging="720"/>
    </w:pPr>
  </w:style>
  <w:style w:type="paragraph" w:styleId="TDC4">
    <w:name w:val="toc 4"/>
    <w:basedOn w:val="Normal"/>
    <w:next w:val="TDC5"/>
    <w:uiPriority w:val="39"/>
    <w:pPr>
      <w:keepLines/>
      <w:tabs>
        <w:tab w:val="right" w:leader="dot" w:pos="9288"/>
      </w:tabs>
      <w:ind w:left="2880" w:right="720" w:hanging="720"/>
    </w:pPr>
  </w:style>
  <w:style w:type="paragraph" w:styleId="TDC5">
    <w:name w:val="toc 5"/>
    <w:basedOn w:val="Normal"/>
    <w:next w:val="TDC6"/>
    <w:uiPriority w:val="39"/>
    <w:pPr>
      <w:keepLines/>
      <w:tabs>
        <w:tab w:val="right" w:leader="dot" w:pos="9288"/>
      </w:tabs>
      <w:ind w:left="3600" w:right="720" w:hanging="720"/>
    </w:pPr>
  </w:style>
  <w:style w:type="paragraph" w:styleId="TDC6">
    <w:name w:val="toc 6"/>
    <w:basedOn w:val="Normal"/>
    <w:next w:val="TDC7"/>
    <w:uiPriority w:val="39"/>
    <w:pPr>
      <w:keepLines/>
      <w:tabs>
        <w:tab w:val="right" w:leader="dot" w:pos="9288"/>
      </w:tabs>
      <w:ind w:left="4320" w:right="720" w:hanging="720"/>
    </w:pPr>
  </w:style>
  <w:style w:type="paragraph" w:styleId="TDC7">
    <w:name w:val="toc 7"/>
    <w:basedOn w:val="Normal"/>
    <w:next w:val="TDC8"/>
    <w:uiPriority w:val="39"/>
    <w:pPr>
      <w:keepLines/>
      <w:tabs>
        <w:tab w:val="right" w:leader="dot" w:pos="9288"/>
      </w:tabs>
      <w:ind w:left="5040" w:right="720" w:hanging="720"/>
    </w:pPr>
  </w:style>
  <w:style w:type="paragraph" w:styleId="TDC8">
    <w:name w:val="toc 8"/>
    <w:basedOn w:val="Normal"/>
    <w:next w:val="TDC9"/>
    <w:uiPriority w:val="39"/>
    <w:pPr>
      <w:keepLines/>
      <w:tabs>
        <w:tab w:val="right" w:leader="dot" w:pos="9288"/>
      </w:tabs>
      <w:ind w:left="5760" w:right="720" w:hanging="720"/>
    </w:pPr>
  </w:style>
  <w:style w:type="paragraph" w:styleId="TDC9">
    <w:name w:val="toc 9"/>
    <w:basedOn w:val="Normal"/>
    <w:uiPriority w:val="39"/>
    <w:pPr>
      <w:keepLines/>
      <w:tabs>
        <w:tab w:val="right" w:leader="dot" w:pos="9288"/>
      </w:tabs>
      <w:ind w:left="6480" w:right="720" w:hanging="720"/>
    </w:pPr>
  </w:style>
  <w:style w:type="paragraph" w:customStyle="1" w:styleId="DeliveryPhrase">
    <w:name w:val="Delivery Phrase"/>
    <w:basedOn w:val="Normal"/>
    <w:next w:val="Normal"/>
    <w:pPr>
      <w:spacing w:before="240"/>
    </w:pPr>
    <w:rPr>
      <w:b/>
    </w:rPr>
  </w:style>
  <w:style w:type="paragraph" w:customStyle="1" w:styleId="SDP">
    <w:name w:val="SDP"/>
    <w:basedOn w:val="Normal"/>
    <w:next w:val="Normal"/>
    <w:pPr>
      <w:spacing w:before="240"/>
    </w:pPr>
    <w:rPr>
      <w:b/>
      <w:caps/>
    </w:rPr>
  </w:style>
  <w:style w:type="paragraph" w:styleId="Cita">
    <w:name w:val="Quote"/>
    <w:basedOn w:val="Normal"/>
    <w:next w:val="BodyTextContinued"/>
    <w:link w:val="CitaCar"/>
    <w:uiPriority w:val="29"/>
    <w:qFormat/>
    <w:pPr>
      <w:ind w:left="1440" w:right="1440"/>
    </w:pPr>
  </w:style>
  <w:style w:type="character" w:customStyle="1" w:styleId="CitaCar">
    <w:name w:val="Cita Car"/>
    <w:basedOn w:val="Fuentedeprrafopredeter"/>
    <w:link w:val="Cita"/>
    <w:uiPriority w:val="29"/>
    <w:rPr>
      <w:rFonts w:ascii="Times New Roman" w:hAnsi="Times New Roman" w:cs="Times New Roman"/>
      <w:i/>
      <w:iCs/>
      <w:color w:val="000000" w:themeColor="text1"/>
      <w:sz w:val="24"/>
      <w:szCs w:val="24"/>
    </w:rPr>
  </w:style>
  <w:style w:type="paragraph" w:customStyle="1" w:styleId="Centered">
    <w:name w:val="Centered"/>
    <w:basedOn w:val="Normal"/>
    <w:next w:val="Textoindependiente"/>
    <w:pPr>
      <w:spacing w:line="240" w:lineRule="exact"/>
      <w:jc w:val="center"/>
    </w:pPr>
  </w:style>
  <w:style w:type="paragraph" w:customStyle="1" w:styleId="HeaderNumbers">
    <w:name w:val="HeaderNumbers"/>
    <w:basedOn w:val="Normal"/>
    <w:pPr>
      <w:spacing w:before="720" w:line="480" w:lineRule="exact"/>
      <w:ind w:right="144"/>
      <w:jc w:val="right"/>
    </w:pPr>
  </w:style>
  <w:style w:type="paragraph" w:customStyle="1" w:styleId="LeftHeading">
    <w:name w:val="Left Heading"/>
    <w:basedOn w:val="Normal"/>
    <w:next w:val="Normal"/>
    <w:pPr>
      <w:keepNext/>
    </w:pPr>
    <w:rPr>
      <w:b/>
    </w:rPr>
  </w:style>
  <w:style w:type="paragraph" w:styleId="Textosinformato">
    <w:name w:val="Plain Text"/>
    <w:basedOn w:val="Normal"/>
    <w:link w:val="TextosinformatoCar"/>
    <w:uiPriority w:val="99"/>
    <w:rPr>
      <w:rFonts w:ascii="Courier New" w:hAnsi="Courier New"/>
      <w:sz w:val="20"/>
    </w:rPr>
  </w:style>
  <w:style w:type="character" w:customStyle="1" w:styleId="TextosinformatoCar">
    <w:name w:val="Texto sin formato Car"/>
    <w:basedOn w:val="Fuentedeprrafopredeter"/>
    <w:link w:val="Textosinformato"/>
    <w:uiPriority w:val="99"/>
    <w:semiHidden/>
    <w:rPr>
      <w:rFonts w:ascii="Courier New" w:hAnsi="Courier New" w:cs="Courier New"/>
      <w:sz w:val="20"/>
      <w:szCs w:val="20"/>
    </w:rPr>
  </w:style>
  <w:style w:type="paragraph" w:customStyle="1" w:styleId="BlakesDocID">
    <w:name w:val="Blakes DocID"/>
    <w:basedOn w:val="Normal"/>
    <w:uiPriority w:val="99"/>
    <w:pPr>
      <w:spacing w:after="200"/>
      <w:jc w:val="left"/>
    </w:pPr>
    <w:rPr>
      <w:rFonts w:asciiTheme="minorHAnsi" w:hAnsiTheme="minorHAnsi" w:cstheme="minorBidi"/>
      <w:sz w:val="16"/>
      <w:szCs w:val="21"/>
    </w:rPr>
  </w:style>
  <w:style w:type="paragraph" w:customStyle="1" w:styleId="NumContinue">
    <w:name w:val="Num Continue"/>
    <w:basedOn w:val="Textoindependiente"/>
  </w:style>
  <w:style w:type="paragraph" w:customStyle="1" w:styleId="StandardL9">
    <w:name w:val="Standard_L9"/>
    <w:basedOn w:val="Normal"/>
    <w:pPr>
      <w:outlineLvl w:val="8"/>
    </w:pPr>
    <w:rPr>
      <w:lang w:val="en-US"/>
    </w:rPr>
  </w:style>
  <w:style w:type="paragraph" w:customStyle="1" w:styleId="StandardL8">
    <w:name w:val="Standard_L8"/>
    <w:basedOn w:val="Normal"/>
    <w:pPr>
      <w:numPr>
        <w:ilvl w:val="7"/>
        <w:numId w:val="1"/>
      </w:numPr>
      <w:outlineLvl w:val="7"/>
    </w:pPr>
    <w:rPr>
      <w:lang w:val="en-US"/>
    </w:rPr>
  </w:style>
  <w:style w:type="paragraph" w:customStyle="1" w:styleId="StandardL7">
    <w:name w:val="Standard_L7"/>
    <w:basedOn w:val="Normal"/>
    <w:pPr>
      <w:numPr>
        <w:ilvl w:val="6"/>
        <w:numId w:val="1"/>
      </w:numPr>
      <w:outlineLvl w:val="6"/>
    </w:pPr>
    <w:rPr>
      <w:lang w:val="en-US"/>
    </w:rPr>
  </w:style>
  <w:style w:type="paragraph" w:customStyle="1" w:styleId="StandardL6">
    <w:name w:val="Standard_L6"/>
    <w:basedOn w:val="Normal"/>
    <w:pPr>
      <w:numPr>
        <w:ilvl w:val="5"/>
        <w:numId w:val="1"/>
      </w:numPr>
      <w:outlineLvl w:val="5"/>
    </w:pPr>
    <w:rPr>
      <w:lang w:val="en-US"/>
    </w:rPr>
  </w:style>
  <w:style w:type="paragraph" w:customStyle="1" w:styleId="StandardL5">
    <w:name w:val="Standard_L5"/>
    <w:basedOn w:val="Normal"/>
    <w:pPr>
      <w:numPr>
        <w:ilvl w:val="4"/>
        <w:numId w:val="1"/>
      </w:numPr>
      <w:outlineLvl w:val="4"/>
    </w:pPr>
    <w:rPr>
      <w:lang w:val="en-US"/>
    </w:rPr>
  </w:style>
  <w:style w:type="paragraph" w:customStyle="1" w:styleId="StandardL4">
    <w:name w:val="Standard_L4"/>
    <w:basedOn w:val="Normal"/>
    <w:pPr>
      <w:numPr>
        <w:ilvl w:val="3"/>
        <w:numId w:val="1"/>
      </w:numPr>
      <w:outlineLvl w:val="3"/>
    </w:pPr>
    <w:rPr>
      <w:lang w:val="en-US"/>
    </w:rPr>
  </w:style>
  <w:style w:type="paragraph" w:customStyle="1" w:styleId="StandardL3">
    <w:name w:val="Standard_L3"/>
    <w:basedOn w:val="Normal"/>
    <w:pPr>
      <w:numPr>
        <w:ilvl w:val="2"/>
        <w:numId w:val="1"/>
      </w:numPr>
      <w:outlineLvl w:val="2"/>
    </w:pPr>
    <w:rPr>
      <w:lang w:val="en-US"/>
    </w:rPr>
  </w:style>
  <w:style w:type="paragraph" w:customStyle="1" w:styleId="StandardL2">
    <w:name w:val="Standard_L2"/>
    <w:basedOn w:val="Normal"/>
    <w:pPr>
      <w:numPr>
        <w:ilvl w:val="1"/>
        <w:numId w:val="1"/>
      </w:numPr>
      <w:outlineLvl w:val="1"/>
    </w:pPr>
  </w:style>
  <w:style w:type="paragraph" w:customStyle="1" w:styleId="StandardL1">
    <w:name w:val="Standard_L1"/>
    <w:basedOn w:val="Normal"/>
    <w:next w:val="Sangradetextonormal"/>
    <w:pPr>
      <w:keepNext/>
      <w:numPr>
        <w:numId w:val="1"/>
      </w:numPr>
      <w:outlineLvl w:val="0"/>
    </w:pPr>
    <w:rPr>
      <w:b/>
      <w:u w:val="single"/>
    </w:rPr>
  </w:style>
  <w:style w:type="character" w:customStyle="1" w:styleId="zzmpTCEntryL1">
    <w:name w:val="zzmpTCEntryL1"/>
    <w:basedOn w:val="Fuentedeprrafopredeter"/>
    <w:rPr>
      <w:rFonts w:cs="Times New Roman"/>
      <w:b/>
      <w:caps/>
      <w:color w:val="0000FF"/>
    </w:rPr>
  </w:style>
  <w:style w:type="character" w:customStyle="1" w:styleId="zzmpTCEntryL2">
    <w:name w:val="zzmpTCEntryL2"/>
    <w:basedOn w:val="Fuentedeprrafopredeter"/>
    <w:rPr>
      <w:rFonts w:cs="Times New Roman"/>
      <w:b/>
      <w:color w:val="0000FF"/>
    </w:rPr>
  </w:style>
  <w:style w:type="character" w:customStyle="1" w:styleId="zzmpTCEntryL3">
    <w:name w:val="zzmpTCEntryL3"/>
    <w:basedOn w:val="Fuentedeprrafopredeter"/>
    <w:rPr>
      <w:rFonts w:cs="Times New Roman"/>
      <w:b/>
      <w:color w:val="0000FF"/>
    </w:rPr>
  </w:style>
  <w:style w:type="character" w:customStyle="1" w:styleId="zzmpTCEntryL4">
    <w:name w:val="zzmpTCEntryL4"/>
    <w:basedOn w:val="Fuentedeprrafopredeter"/>
    <w:rPr>
      <w:rFonts w:cs="Times New Roman"/>
      <w:b/>
      <w:color w:val="0000FF"/>
    </w:rPr>
  </w:style>
  <w:style w:type="character" w:customStyle="1" w:styleId="zzmpTCEntryL5">
    <w:name w:val="zzmpTCEntryL5"/>
    <w:basedOn w:val="Fuentedeprrafopredeter"/>
    <w:rPr>
      <w:rFonts w:cs="Times New Roman"/>
      <w:color w:val="0000FF"/>
    </w:rPr>
  </w:style>
  <w:style w:type="character" w:customStyle="1" w:styleId="zzmpTCEntryL6">
    <w:name w:val="zzmpTCEntryL6"/>
    <w:basedOn w:val="Fuentedeprrafopredeter"/>
    <w:rPr>
      <w:rFonts w:cs="Times New Roman"/>
      <w:color w:val="0000FF"/>
    </w:rPr>
  </w:style>
  <w:style w:type="character" w:customStyle="1" w:styleId="zzmpTCEntryL7">
    <w:name w:val="zzmpTCEntryL7"/>
    <w:basedOn w:val="Fuentedeprrafopredeter"/>
    <w:rPr>
      <w:rFonts w:cs="Times New Roman"/>
      <w:color w:val="0000FF"/>
    </w:rPr>
  </w:style>
  <w:style w:type="character" w:customStyle="1" w:styleId="zzmpTCEntryL8">
    <w:name w:val="zzmpTCEntryL8"/>
    <w:basedOn w:val="Fuentedeprrafopredeter"/>
    <w:rPr>
      <w:rFonts w:cs="Times New Roman"/>
      <w:color w:val="0000FF"/>
    </w:rPr>
  </w:style>
  <w:style w:type="character" w:customStyle="1" w:styleId="zzmpTCEntryL9">
    <w:name w:val="zzmpTCEntryL9"/>
    <w:basedOn w:val="Fuentedeprrafopredeter"/>
    <w:rPr>
      <w:rFonts w:cs="Times New Roman"/>
      <w:color w:val="0000FF"/>
    </w:rPr>
  </w:style>
  <w:style w:type="paragraph" w:styleId="Sangra3detindependiente">
    <w:name w:val="Body Text Indent 3"/>
    <w:basedOn w:val="Normal"/>
    <w:link w:val="Sangra3detindependienteCar"/>
    <w:uiPriority w:val="99"/>
    <w:pPr>
      <w:ind w:left="720"/>
      <w:jc w:val="left"/>
    </w:pPr>
    <w:rPr>
      <w:lang w:val="en-US"/>
    </w:rPr>
  </w:style>
  <w:style w:type="character" w:customStyle="1" w:styleId="Sangra3detindependienteCar">
    <w:name w:val="Sangría 3 de t. independiente Car"/>
    <w:basedOn w:val="Fuentedeprrafopredeter"/>
    <w:link w:val="Sangra3detindependiente"/>
    <w:uiPriority w:val="99"/>
    <w:semiHidden/>
    <w:rPr>
      <w:rFonts w:ascii="Times New Roman" w:hAnsi="Times New Roman" w:cs="Times New Roman"/>
      <w:sz w:val="16"/>
      <w:szCs w:val="16"/>
    </w:rPr>
  </w:style>
  <w:style w:type="paragraph" w:customStyle="1" w:styleId="TenPointFont">
    <w:name w:val="Ten Point Font"/>
    <w:basedOn w:val="Normal"/>
    <w:rPr>
      <w:sz w:val="20"/>
    </w:rPr>
  </w:style>
  <w:style w:type="paragraph" w:customStyle="1" w:styleId="NinePointFont">
    <w:name w:val="Nine Point Font"/>
    <w:basedOn w:val="TenPointFont"/>
    <w:rPr>
      <w:sz w:val="18"/>
    </w:rPr>
  </w:style>
  <w:style w:type="paragraph" w:customStyle="1" w:styleId="EightPointFont">
    <w:name w:val="Eight Point Font"/>
    <w:basedOn w:val="NinePointFont"/>
    <w:rPr>
      <w:sz w:val="17"/>
    </w:rPr>
  </w:style>
  <w:style w:type="paragraph" w:styleId="Ttulo">
    <w:name w:val="Title"/>
    <w:basedOn w:val="Normal"/>
    <w:next w:val="ORPara"/>
    <w:link w:val="TtuloCar"/>
    <w:uiPriority w:val="10"/>
    <w:qFormat/>
    <w:pPr>
      <w:jc w:val="center"/>
    </w:pPr>
    <w:rPr>
      <w:b/>
      <w:sz w:val="28"/>
      <w:szCs w:val="28"/>
    </w:rPr>
  </w:style>
  <w:style w:type="character" w:customStyle="1" w:styleId="TtuloCar">
    <w:name w:val="Título Car"/>
    <w:basedOn w:val="Fuentedeprrafopredeter"/>
    <w:link w:val="Ttulo"/>
    <w:uiPriority w:val="10"/>
    <w:rPr>
      <w:rFonts w:asciiTheme="majorHAnsi" w:eastAsiaTheme="majorEastAsia" w:hAnsiTheme="majorHAnsi" w:cstheme="majorBidi"/>
      <w:b/>
      <w:bCs/>
      <w:kern w:val="28"/>
      <w:sz w:val="32"/>
      <w:szCs w:val="32"/>
    </w:rPr>
  </w:style>
  <w:style w:type="paragraph" w:styleId="Textoindependienteprimerasangra">
    <w:name w:val="Body Text First Indent"/>
    <w:aliases w:val="(.5&quot;)"/>
    <w:basedOn w:val="Textoindependiente"/>
    <w:link w:val="TextoindependienteprimerasangraCar"/>
    <w:uiPriority w:val="99"/>
    <w:pPr>
      <w:ind w:firstLine="720"/>
    </w:pPr>
    <w:rPr>
      <w:sz w:val="22"/>
    </w:rPr>
  </w:style>
  <w:style w:type="character" w:customStyle="1" w:styleId="TextoindependienteprimerasangraCar">
    <w:name w:val="Texto independiente primera sangría Car"/>
    <w:aliases w:val="(.5&quot;) Car"/>
    <w:basedOn w:val="TextoindependienteCar"/>
    <w:link w:val="Textoindependienteprimerasangra"/>
    <w:uiPriority w:val="99"/>
    <w:semiHidden/>
    <w:rPr>
      <w:rFonts w:ascii="Times New Roman" w:hAnsi="Times New Roman" w:cs="Times New Roman"/>
      <w:sz w:val="24"/>
      <w:szCs w:val="24"/>
      <w:lang w:val="en-CA" w:bidi="ar-SA"/>
    </w:rPr>
  </w:style>
  <w:style w:type="paragraph" w:customStyle="1" w:styleId="Outline1">
    <w:name w:val="Outline1"/>
    <w:basedOn w:val="Normal"/>
    <w:pPr>
      <w:numPr>
        <w:numId w:val="2"/>
      </w:numPr>
      <w:outlineLvl w:val="0"/>
    </w:pPr>
    <w:rPr>
      <w:rFonts w:ascii="Book Antiqua" w:hAnsi="Book Antiqua"/>
    </w:rPr>
  </w:style>
  <w:style w:type="paragraph" w:customStyle="1" w:styleId="Outline2">
    <w:name w:val="Outline2"/>
    <w:basedOn w:val="Normal"/>
    <w:pPr>
      <w:numPr>
        <w:ilvl w:val="1"/>
        <w:numId w:val="2"/>
      </w:numPr>
      <w:outlineLvl w:val="1"/>
    </w:pPr>
    <w:rPr>
      <w:rFonts w:ascii="Book Antiqua" w:hAnsi="Book Antiqua"/>
    </w:rPr>
  </w:style>
  <w:style w:type="paragraph" w:customStyle="1" w:styleId="Outline3">
    <w:name w:val="Outline3"/>
    <w:basedOn w:val="Normal"/>
    <w:pPr>
      <w:numPr>
        <w:ilvl w:val="2"/>
        <w:numId w:val="2"/>
      </w:numPr>
      <w:outlineLvl w:val="2"/>
    </w:pPr>
    <w:rPr>
      <w:rFonts w:ascii="Book Antiqua" w:hAnsi="Book Antiqua"/>
    </w:rPr>
  </w:style>
  <w:style w:type="paragraph" w:customStyle="1" w:styleId="Outline4">
    <w:name w:val="Outline4"/>
    <w:basedOn w:val="Normal"/>
    <w:pPr>
      <w:numPr>
        <w:ilvl w:val="3"/>
        <w:numId w:val="2"/>
      </w:numPr>
      <w:outlineLvl w:val="3"/>
    </w:pPr>
    <w:rPr>
      <w:rFonts w:ascii="Book Antiqua" w:hAnsi="Book Antiqua"/>
    </w:rPr>
  </w:style>
  <w:style w:type="paragraph" w:customStyle="1" w:styleId="Outline5">
    <w:name w:val="Outline5"/>
    <w:basedOn w:val="Normal"/>
    <w:pPr>
      <w:numPr>
        <w:ilvl w:val="4"/>
        <w:numId w:val="2"/>
      </w:numPr>
      <w:outlineLvl w:val="4"/>
    </w:pPr>
    <w:rPr>
      <w:rFonts w:ascii="Book Antiqua" w:hAnsi="Book Antiqua"/>
    </w:rPr>
  </w:style>
  <w:style w:type="paragraph" w:customStyle="1" w:styleId="Outline6">
    <w:name w:val="Outline6"/>
    <w:basedOn w:val="Normal"/>
    <w:pPr>
      <w:numPr>
        <w:ilvl w:val="5"/>
        <w:numId w:val="2"/>
      </w:numPr>
      <w:outlineLvl w:val="5"/>
    </w:pPr>
    <w:rPr>
      <w:rFonts w:ascii="Book Antiqua" w:hAnsi="Book Antiqua"/>
    </w:rPr>
  </w:style>
  <w:style w:type="paragraph" w:customStyle="1" w:styleId="Lnum1">
    <w:name w:val="Lnum1"/>
    <w:basedOn w:val="Normal"/>
    <w:pPr>
      <w:numPr>
        <w:ilvl w:val="6"/>
        <w:numId w:val="2"/>
      </w:numPr>
      <w:jc w:val="left"/>
    </w:pPr>
    <w:rPr>
      <w:rFonts w:ascii="Book Antiqua" w:hAnsi="Book Antiqua"/>
    </w:rPr>
  </w:style>
  <w:style w:type="paragraph" w:customStyle="1" w:styleId="Lnum2">
    <w:name w:val="Lnum2"/>
    <w:basedOn w:val="Normal"/>
    <w:pPr>
      <w:numPr>
        <w:ilvl w:val="7"/>
        <w:numId w:val="2"/>
      </w:numPr>
      <w:jc w:val="left"/>
    </w:pPr>
    <w:rPr>
      <w:rFonts w:ascii="Book Antiqua" w:hAnsi="Book Antiqua"/>
    </w:rPr>
  </w:style>
  <w:style w:type="paragraph" w:customStyle="1" w:styleId="Lnum3">
    <w:name w:val="Lnum3"/>
    <w:basedOn w:val="Normal"/>
    <w:pPr>
      <w:numPr>
        <w:ilvl w:val="8"/>
        <w:numId w:val="2"/>
      </w:numPr>
      <w:jc w:val="left"/>
    </w:pPr>
    <w:rPr>
      <w:rFonts w:ascii="Book Antiqua" w:hAnsi="Book Antiqua"/>
    </w:rPr>
  </w:style>
  <w:style w:type="paragraph" w:styleId="Textoindependiente2">
    <w:name w:val="Body Text 2"/>
    <w:basedOn w:val="Normal"/>
    <w:link w:val="Textoindependiente2Car"/>
    <w:uiPriority w:val="99"/>
    <w:pPr>
      <w:jc w:val="left"/>
    </w:pPr>
    <w:rPr>
      <w:rFonts w:ascii="Verdana" w:hAnsi="Verdana"/>
      <w:sz w:val="20"/>
    </w:rPr>
  </w:style>
  <w:style w:type="character" w:customStyle="1" w:styleId="Textoindependiente2Car">
    <w:name w:val="Texto independiente 2 Car"/>
    <w:basedOn w:val="Fuentedeprrafopredeter"/>
    <w:link w:val="Textoindependiente2"/>
    <w:uiPriority w:val="99"/>
    <w:semiHidden/>
    <w:rPr>
      <w:rFonts w:ascii="Times New Roman" w:hAnsi="Times New Roman" w:cs="Times New Roman"/>
      <w:sz w:val="24"/>
      <w:szCs w:val="24"/>
    </w:rPr>
  </w:style>
  <w:style w:type="paragraph" w:styleId="HTMLconformatoprevio">
    <w:name w:val="HTML Preformatted"/>
    <w:basedOn w:val="Normal"/>
    <w:link w:val="HTMLconformatoprevio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US"/>
    </w:rPr>
  </w:style>
  <w:style w:type="character" w:customStyle="1" w:styleId="HTMLconformatoprevioCar">
    <w:name w:val="HTML con formato previo Car"/>
    <w:basedOn w:val="Fuentedeprrafopredeter"/>
    <w:link w:val="HTMLconformatoprevio"/>
    <w:uiPriority w:val="99"/>
    <w:semiHidden/>
    <w:rPr>
      <w:rFonts w:ascii="Courier New" w:hAnsi="Courier New" w:cs="Courier New"/>
      <w:sz w:val="20"/>
      <w:szCs w:val="20"/>
    </w:rPr>
  </w:style>
  <w:style w:type="paragraph" w:styleId="Textodeglobo">
    <w:name w:val="Balloon Text"/>
    <w:basedOn w:val="Normal"/>
    <w:link w:val="TextodegloboCar"/>
    <w:uiPriority w:val="99"/>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customStyle="1" w:styleId="DocsID">
    <w:name w:val="DocsID"/>
    <w:basedOn w:val="Normal"/>
    <w:pPr>
      <w:jc w:val="left"/>
    </w:pPr>
    <w:rPr>
      <w:sz w:val="16"/>
    </w:rPr>
  </w:style>
  <w:style w:type="paragraph" w:customStyle="1" w:styleId="DWPVL1">
    <w:name w:val="DWPV L1"/>
    <w:aliases w:val="G1"/>
    <w:basedOn w:val="Normal"/>
    <w:pPr>
      <w:numPr>
        <w:numId w:val="3"/>
      </w:numPr>
      <w:outlineLvl w:val="0"/>
    </w:pPr>
    <w:rPr>
      <w:lang w:val="en-US"/>
    </w:rPr>
  </w:style>
  <w:style w:type="paragraph" w:customStyle="1" w:styleId="DWPVL2">
    <w:name w:val="DWPV L2"/>
    <w:aliases w:val="G2"/>
    <w:basedOn w:val="Normal"/>
    <w:pPr>
      <w:numPr>
        <w:ilvl w:val="1"/>
        <w:numId w:val="3"/>
      </w:numPr>
      <w:jc w:val="left"/>
      <w:outlineLvl w:val="1"/>
    </w:pPr>
    <w:rPr>
      <w:lang w:val="en-US"/>
    </w:rPr>
  </w:style>
  <w:style w:type="paragraph" w:customStyle="1" w:styleId="DWPVL3">
    <w:name w:val="DWPV L3"/>
    <w:aliases w:val="G3"/>
    <w:basedOn w:val="Normal"/>
    <w:pPr>
      <w:numPr>
        <w:ilvl w:val="2"/>
        <w:numId w:val="3"/>
      </w:numPr>
      <w:jc w:val="left"/>
      <w:outlineLvl w:val="2"/>
    </w:pPr>
    <w:rPr>
      <w:lang w:val="en-US"/>
    </w:rPr>
  </w:style>
  <w:style w:type="paragraph" w:customStyle="1" w:styleId="DWPVL4">
    <w:name w:val="DWPV L4"/>
    <w:aliases w:val="G4"/>
    <w:basedOn w:val="Normal"/>
    <w:pPr>
      <w:numPr>
        <w:ilvl w:val="3"/>
        <w:numId w:val="3"/>
      </w:numPr>
      <w:jc w:val="left"/>
      <w:outlineLvl w:val="3"/>
    </w:pPr>
    <w:rPr>
      <w:lang w:val="en-US"/>
    </w:rPr>
  </w:style>
  <w:style w:type="paragraph" w:customStyle="1" w:styleId="DWPVL5">
    <w:name w:val="DWPV L5"/>
    <w:aliases w:val="G5"/>
    <w:basedOn w:val="Normal"/>
    <w:pPr>
      <w:numPr>
        <w:ilvl w:val="4"/>
        <w:numId w:val="3"/>
      </w:numPr>
      <w:jc w:val="left"/>
    </w:pPr>
    <w:rPr>
      <w:lang w:val="en-US"/>
    </w:rPr>
  </w:style>
  <w:style w:type="paragraph" w:customStyle="1" w:styleId="DWPVL6">
    <w:name w:val="DWPV L6"/>
    <w:aliases w:val="G6"/>
    <w:basedOn w:val="Normal"/>
    <w:pPr>
      <w:numPr>
        <w:ilvl w:val="5"/>
        <w:numId w:val="3"/>
      </w:numPr>
      <w:jc w:val="left"/>
    </w:pPr>
    <w:rPr>
      <w:lang w:val="en-US"/>
    </w:rPr>
  </w:style>
  <w:style w:type="paragraph" w:customStyle="1" w:styleId="DWPVL7">
    <w:name w:val="DWPV L7"/>
    <w:aliases w:val="G7"/>
    <w:basedOn w:val="Normal"/>
    <w:pPr>
      <w:numPr>
        <w:ilvl w:val="6"/>
        <w:numId w:val="3"/>
      </w:numPr>
      <w:jc w:val="left"/>
    </w:pPr>
    <w:rPr>
      <w:lang w:val="en-US"/>
    </w:rPr>
  </w:style>
  <w:style w:type="paragraph" w:customStyle="1" w:styleId="DWPVL8">
    <w:name w:val="DWPV L8"/>
    <w:aliases w:val="G8"/>
    <w:basedOn w:val="Normal"/>
    <w:pPr>
      <w:numPr>
        <w:ilvl w:val="7"/>
        <w:numId w:val="3"/>
      </w:numPr>
      <w:jc w:val="left"/>
    </w:pPr>
    <w:rPr>
      <w:lang w:val="en-US"/>
    </w:rPr>
  </w:style>
  <w:style w:type="paragraph" w:customStyle="1" w:styleId="DWPVL9">
    <w:name w:val="DWPV L9"/>
    <w:aliases w:val="G9"/>
    <w:basedOn w:val="Normal"/>
    <w:pPr>
      <w:numPr>
        <w:ilvl w:val="8"/>
        <w:numId w:val="3"/>
      </w:numPr>
      <w:jc w:val="left"/>
    </w:pPr>
    <w:rPr>
      <w:lang w:val="en-US"/>
    </w:rPr>
  </w:style>
  <w:style w:type="paragraph" w:styleId="Textoindependiente3">
    <w:name w:val="Body Text 3"/>
    <w:basedOn w:val="Normal"/>
    <w:link w:val="Textoindependiente3Car"/>
    <w:uiPriority w:val="99"/>
    <w:rPr>
      <w:sz w:val="22"/>
      <w:lang w:val="en-US"/>
    </w:rPr>
  </w:style>
  <w:style w:type="character" w:customStyle="1" w:styleId="Textoindependiente3Car">
    <w:name w:val="Texto independiente 3 Car"/>
    <w:basedOn w:val="Fuentedeprrafopredeter"/>
    <w:link w:val="Textoindependiente3"/>
    <w:uiPriority w:val="99"/>
    <w:semiHidden/>
    <w:rPr>
      <w:rFonts w:ascii="Times New Roman" w:hAnsi="Times New Roman" w:cs="Times New Roman"/>
      <w:sz w:val="16"/>
      <w:szCs w:val="16"/>
    </w:rPr>
  </w:style>
  <w:style w:type="paragraph" w:customStyle="1" w:styleId="ttl">
    <w:name w:val="ttl"/>
    <w:basedOn w:val="Ttulo3"/>
    <w:pPr>
      <w:spacing w:before="0" w:after="0" w:line="360" w:lineRule="auto"/>
      <w:jc w:val="center"/>
    </w:pPr>
    <w:rPr>
      <w:rFonts w:ascii="Times New Roman Bold" w:hAnsi="Times New Roman Bold"/>
      <w:b/>
      <w:smallCaps/>
      <w:sz w:val="28"/>
      <w:lang w:val="en-US"/>
    </w:rPr>
  </w:style>
  <w:style w:type="paragraph" w:customStyle="1" w:styleId="TableText">
    <w:name w:val="TableText"/>
    <w:basedOn w:val="Normal"/>
    <w:pPr>
      <w:keepNext/>
      <w:keepLines/>
      <w:jc w:val="left"/>
    </w:pPr>
    <w:rPr>
      <w:rFonts w:ascii="Arial" w:hAnsi="Arial"/>
      <w:sz w:val="20"/>
      <w:lang w:val="en-US"/>
    </w:rPr>
  </w:style>
  <w:style w:type="character" w:styleId="Hipervnculo">
    <w:name w:val="Hyperlink"/>
    <w:basedOn w:val="Fuentedeprrafopredeter"/>
    <w:uiPriority w:val="99"/>
    <w:rPr>
      <w:rFonts w:cs="Times New Roman"/>
      <w:color w:val="0000FF"/>
      <w:u w:val="single"/>
    </w:rPr>
  </w:style>
  <w:style w:type="paragraph" w:customStyle="1" w:styleId="TableTextNames">
    <w:name w:val="Table Text (Names)"/>
    <w:basedOn w:val="Normal"/>
    <w:pPr>
      <w:spacing w:before="20" w:after="20"/>
      <w:jc w:val="left"/>
    </w:pPr>
    <w:rPr>
      <w:rFonts w:ascii="Verdana" w:hAnsi="Verdana"/>
      <w:sz w:val="20"/>
    </w:rPr>
  </w:style>
  <w:style w:type="character" w:customStyle="1" w:styleId="Prompt">
    <w:name w:val="Prompt"/>
    <w:basedOn w:val="Fuentedeprrafopredeter"/>
    <w:rPr>
      <w:rFonts w:ascii="Times New Roman" w:hAnsi="Times New Roman" w:cs="Times New Roman"/>
      <w:color w:val="auto"/>
      <w:spacing w:val="0"/>
      <w:w w:val="100"/>
      <w:kern w:val="0"/>
      <w:position w:val="0"/>
      <w:sz w:val="24"/>
      <w:u w:val="none"/>
      <w:effect w:val="none"/>
      <w:vertAlign w:val="baseline"/>
    </w:rPr>
  </w:style>
  <w:style w:type="character" w:customStyle="1" w:styleId="DeltaViewInsertion">
    <w:name w:val="DeltaView Insertion"/>
    <w:rPr>
      <w:color w:val="0000FF"/>
      <w:u w:val="double"/>
    </w:rPr>
  </w:style>
  <w:style w:type="paragraph" w:customStyle="1" w:styleId="1">
    <w:name w:val="1"/>
    <w:basedOn w:val="Textoindependiente"/>
    <w:pPr>
      <w:keepNext/>
      <w:numPr>
        <w:numId w:val="4"/>
      </w:numPr>
      <w:outlineLvl w:val="0"/>
    </w:pPr>
    <w:rPr>
      <w:rFonts w:ascii="Times New Roman Bold" w:hAnsi="Times New Roman Bold"/>
      <w:b/>
      <w:u w:val="single"/>
    </w:rPr>
  </w:style>
  <w:style w:type="paragraph" w:customStyle="1" w:styleId="2">
    <w:name w:val="2"/>
    <w:basedOn w:val="1"/>
    <w:pPr>
      <w:keepNext w:val="0"/>
      <w:numPr>
        <w:ilvl w:val="1"/>
      </w:numPr>
      <w:outlineLvl w:val="1"/>
    </w:pPr>
    <w:rPr>
      <w:rFonts w:ascii="Times New Roman" w:hAnsi="Times New Roman"/>
      <w:b w:val="0"/>
      <w:u w:val="none"/>
    </w:rPr>
  </w:style>
  <w:style w:type="paragraph" w:customStyle="1" w:styleId="3">
    <w:name w:val="3"/>
    <w:basedOn w:val="2"/>
    <w:pPr>
      <w:numPr>
        <w:ilvl w:val="2"/>
      </w:numPr>
      <w:outlineLvl w:val="2"/>
    </w:pPr>
  </w:style>
  <w:style w:type="paragraph" w:customStyle="1" w:styleId="4">
    <w:name w:val="4"/>
    <w:basedOn w:val="3"/>
    <w:pPr>
      <w:numPr>
        <w:ilvl w:val="3"/>
      </w:numPr>
      <w:outlineLvl w:val="3"/>
    </w:pPr>
  </w:style>
  <w:style w:type="paragraph" w:customStyle="1" w:styleId="5">
    <w:name w:val="5"/>
    <w:basedOn w:val="4"/>
    <w:pPr>
      <w:numPr>
        <w:ilvl w:val="4"/>
      </w:numPr>
      <w:outlineLvl w:val="4"/>
    </w:pPr>
  </w:style>
  <w:style w:type="character" w:customStyle="1" w:styleId="1Char">
    <w:name w:val="1 Char"/>
    <w:basedOn w:val="TextoindependienteCar"/>
    <w:rPr>
      <w:rFonts w:ascii="Times New Roman Bold" w:hAnsi="Times New Roman Bold" w:cs="Times New Roman"/>
      <w:b/>
      <w:sz w:val="24"/>
      <w:szCs w:val="24"/>
      <w:u w:val="single"/>
      <w:lang w:val="en-CA" w:bidi="ar-SA"/>
    </w:rPr>
  </w:style>
  <w:style w:type="character" w:customStyle="1" w:styleId="2Char">
    <w:name w:val="2 Char"/>
    <w:basedOn w:val="1Char"/>
    <w:rPr>
      <w:rFonts w:ascii="Times New Roman Bold" w:hAnsi="Times New Roman Bold" w:cs="Times New Roman"/>
      <w:b/>
      <w:sz w:val="24"/>
      <w:szCs w:val="24"/>
      <w:u w:val="single"/>
      <w:lang w:val="en-CA" w:bidi="ar-SA"/>
    </w:rPr>
  </w:style>
  <w:style w:type="paragraph" w:customStyle="1" w:styleId="ORPara">
    <w:name w:val="ORPara"/>
    <w:aliases w:val="P"/>
    <w:basedOn w:val="Normal"/>
  </w:style>
  <w:style w:type="paragraph" w:customStyle="1" w:styleId="ORMainHeading">
    <w:name w:val="ORMainHeading"/>
    <w:aliases w:val="MH"/>
    <w:basedOn w:val="NormalSingle"/>
    <w:next w:val="ORPara"/>
    <w:pPr>
      <w:keepNext/>
      <w:keepLines/>
      <w:jc w:val="left"/>
      <w:outlineLvl w:val="0"/>
    </w:pPr>
    <w:rPr>
      <w:b/>
      <w:caps/>
      <w:u w:val="single"/>
    </w:rPr>
  </w:style>
  <w:style w:type="paragraph" w:customStyle="1" w:styleId="ORSubHeading">
    <w:name w:val="ORSubHeading"/>
    <w:aliases w:val="SH"/>
    <w:basedOn w:val="NormalSingle"/>
    <w:next w:val="ORPara"/>
    <w:pPr>
      <w:keepNext/>
      <w:keepLines/>
      <w:spacing w:before="120" w:after="120"/>
      <w:jc w:val="left"/>
      <w:outlineLvl w:val="1"/>
    </w:pPr>
    <w:rPr>
      <w:b/>
    </w:rPr>
  </w:style>
  <w:style w:type="paragraph" w:customStyle="1" w:styleId="ORBulletList">
    <w:name w:val="ORBulletList"/>
    <w:aliases w:val="BL"/>
    <w:basedOn w:val="Normal"/>
    <w:pPr>
      <w:ind w:left="720" w:hanging="720"/>
    </w:pPr>
  </w:style>
  <w:style w:type="paragraph" w:customStyle="1" w:styleId="ORBlock">
    <w:name w:val="ORBlock"/>
    <w:aliases w:val="B"/>
    <w:basedOn w:val="Normal"/>
    <w:pPr>
      <w:ind w:left="720" w:right="720"/>
    </w:pPr>
  </w:style>
  <w:style w:type="paragraph" w:customStyle="1" w:styleId="ORBlock1">
    <w:name w:val="ORBlock1"/>
    <w:aliases w:val="B1"/>
    <w:basedOn w:val="Normal"/>
    <w:pPr>
      <w:ind w:left="1440" w:right="1440"/>
    </w:pPr>
  </w:style>
  <w:style w:type="paragraph" w:customStyle="1" w:styleId="ORCentre">
    <w:name w:val="ORCentre"/>
    <w:aliases w:val="C"/>
    <w:basedOn w:val="Normal"/>
    <w:pPr>
      <w:jc w:val="center"/>
    </w:pPr>
  </w:style>
  <w:style w:type="paragraph" w:customStyle="1" w:styleId="ORHanging">
    <w:name w:val="ORHanging"/>
    <w:aliases w:val="H"/>
    <w:basedOn w:val="Normal"/>
    <w:pPr>
      <w:ind w:left="720" w:hanging="720"/>
    </w:pPr>
  </w:style>
  <w:style w:type="paragraph" w:customStyle="1" w:styleId="ORIndent1">
    <w:name w:val="ORIndent1"/>
    <w:aliases w:val="I1"/>
    <w:basedOn w:val="Normal"/>
    <w:pPr>
      <w:ind w:left="720"/>
    </w:pPr>
  </w:style>
  <w:style w:type="paragraph" w:customStyle="1" w:styleId="ORIndent2">
    <w:name w:val="ORIndent2"/>
    <w:aliases w:val="I2"/>
    <w:basedOn w:val="Normal"/>
    <w:pPr>
      <w:ind w:left="1440"/>
    </w:pPr>
  </w:style>
  <w:style w:type="paragraph" w:customStyle="1" w:styleId="ORIndent3">
    <w:name w:val="ORIndent3"/>
    <w:aliases w:val="I3"/>
    <w:basedOn w:val="Normal"/>
    <w:pPr>
      <w:ind w:left="2160"/>
    </w:pPr>
  </w:style>
  <w:style w:type="paragraph" w:customStyle="1" w:styleId="ORIndent4">
    <w:name w:val="ORIndent4"/>
    <w:aliases w:val="I4"/>
    <w:basedOn w:val="Normal"/>
    <w:pPr>
      <w:ind w:left="2880"/>
    </w:pPr>
  </w:style>
  <w:style w:type="paragraph" w:customStyle="1" w:styleId="ORIndent5">
    <w:name w:val="ORIndent5"/>
    <w:aliases w:val="I5"/>
    <w:basedOn w:val="Normal"/>
    <w:pPr>
      <w:ind w:left="3600"/>
    </w:pPr>
  </w:style>
  <w:style w:type="paragraph" w:customStyle="1" w:styleId="ORLeft">
    <w:name w:val="ORLeft"/>
    <w:aliases w:val="L,G"/>
    <w:basedOn w:val="Normal"/>
    <w:pPr>
      <w:jc w:val="left"/>
    </w:pPr>
  </w:style>
  <w:style w:type="paragraph" w:customStyle="1" w:styleId="ORPlain">
    <w:name w:val="ORPlain"/>
    <w:basedOn w:val="Normal"/>
    <w:pPr>
      <w:spacing w:after="0"/>
      <w:jc w:val="left"/>
    </w:pPr>
  </w:style>
  <w:style w:type="paragraph" w:customStyle="1" w:styleId="ORReference">
    <w:name w:val="ORReference"/>
    <w:aliases w:val="Ref"/>
    <w:basedOn w:val="Normal"/>
    <w:rPr>
      <w:b/>
    </w:rPr>
  </w:style>
  <w:style w:type="paragraph" w:customStyle="1" w:styleId="ORRight">
    <w:name w:val="ORRight"/>
    <w:aliases w:val="R,D"/>
    <w:basedOn w:val="Normal"/>
    <w:pPr>
      <w:jc w:val="right"/>
    </w:pPr>
  </w:style>
  <w:style w:type="paragraph" w:customStyle="1" w:styleId="ORSubHeadingNoToc">
    <w:name w:val="ORSubHeadingNoToc"/>
    <w:aliases w:val="SHNT"/>
    <w:basedOn w:val="ORSubHeading"/>
    <w:next w:val="ORPara"/>
    <w:pPr>
      <w:outlineLvl w:val="9"/>
    </w:pPr>
  </w:style>
  <w:style w:type="paragraph" w:customStyle="1" w:styleId="ORTableHeading">
    <w:name w:val="ORTableHeading"/>
    <w:aliases w:val="TH"/>
    <w:basedOn w:val="NormalSingle"/>
    <w:pPr>
      <w:keepNext/>
      <w:keepLines/>
      <w:spacing w:before="120" w:after="120"/>
      <w:jc w:val="center"/>
    </w:pPr>
    <w:rPr>
      <w:b/>
    </w:rPr>
  </w:style>
  <w:style w:type="paragraph" w:customStyle="1" w:styleId="ORTableText">
    <w:name w:val="ORTableText"/>
    <w:aliases w:val="TT"/>
    <w:basedOn w:val="Normal"/>
    <w:pPr>
      <w:spacing w:before="60" w:after="60"/>
      <w:jc w:val="left"/>
    </w:pPr>
  </w:style>
  <w:style w:type="paragraph" w:customStyle="1" w:styleId="Address">
    <w:name w:val="Address"/>
    <w:basedOn w:val="NormalSingle"/>
    <w:pPr>
      <w:keepNext/>
      <w:keepLines/>
      <w:spacing w:after="280"/>
      <w:jc w:val="left"/>
    </w:pPr>
  </w:style>
  <w:style w:type="paragraph" w:customStyle="1" w:styleId="ORCitation">
    <w:name w:val="ORCitation"/>
    <w:basedOn w:val="Normal"/>
    <w:next w:val="ORPara"/>
    <w:pPr>
      <w:ind w:left="1440" w:right="1440"/>
    </w:pPr>
    <w:rPr>
      <w:sz w:val="22"/>
      <w:szCs w:val="22"/>
    </w:rPr>
  </w:style>
  <w:style w:type="paragraph" w:styleId="Subttulo">
    <w:name w:val="Subtitle"/>
    <w:basedOn w:val="Normal"/>
    <w:next w:val="ORPara"/>
    <w:link w:val="SubttuloCar"/>
    <w:uiPriority w:val="11"/>
    <w:qFormat/>
    <w:pPr>
      <w:jc w:val="center"/>
    </w:pPr>
    <w:rPr>
      <w:b/>
    </w:rPr>
  </w:style>
  <w:style w:type="character" w:customStyle="1" w:styleId="SubttuloCar">
    <w:name w:val="Subtítulo Car"/>
    <w:basedOn w:val="Fuentedeprrafopredeter"/>
    <w:link w:val="Subttulo"/>
    <w:uiPriority w:val="11"/>
    <w:rPr>
      <w:rFonts w:asciiTheme="majorHAnsi" w:eastAsiaTheme="majorEastAsia" w:hAnsiTheme="majorHAnsi" w:cstheme="majorBidi"/>
      <w:sz w:val="24"/>
      <w:szCs w:val="24"/>
    </w:rPr>
  </w:style>
  <w:style w:type="paragraph" w:customStyle="1" w:styleId="ORTab">
    <w:name w:val="ORTab"/>
    <w:aliases w:val="T"/>
    <w:basedOn w:val="Normal"/>
    <w:pPr>
      <w:ind w:firstLine="720"/>
    </w:pPr>
  </w:style>
  <w:style w:type="paragraph" w:customStyle="1" w:styleId="AttnLine">
    <w:name w:val="AttnLine"/>
    <w:basedOn w:val="NormalSingle"/>
    <w:next w:val="Saludo"/>
    <w:pPr>
      <w:keepNext/>
      <w:keepLines/>
      <w:tabs>
        <w:tab w:val="left" w:pos="1080"/>
      </w:tabs>
      <w:ind w:left="1080" w:hanging="1080"/>
      <w:jc w:val="left"/>
    </w:pPr>
  </w:style>
  <w:style w:type="paragraph" w:customStyle="1" w:styleId="NormalSingle">
    <w:name w:val="Normal Single"/>
    <w:pPr>
      <w:autoSpaceDE w:val="0"/>
      <w:autoSpaceDN w:val="0"/>
      <w:adjustRightInd w:val="0"/>
      <w:spacing w:after="240" w:line="240" w:lineRule="auto"/>
      <w:jc w:val="both"/>
    </w:pPr>
    <w:rPr>
      <w:rFonts w:ascii="Times New Roman" w:hAnsi="Times New Roman" w:cs="Times New Roman"/>
      <w:sz w:val="24"/>
      <w:szCs w:val="24"/>
    </w:rPr>
  </w:style>
  <w:style w:type="paragraph" w:styleId="Saludo">
    <w:name w:val="Salutation"/>
    <w:basedOn w:val="NormalSingle"/>
    <w:next w:val="ReLine"/>
    <w:link w:val="SaludoCar"/>
    <w:uiPriority w:val="99"/>
    <w:pPr>
      <w:keepNext/>
      <w:spacing w:before="120" w:after="480"/>
      <w:jc w:val="left"/>
    </w:pPr>
  </w:style>
  <w:style w:type="character" w:customStyle="1" w:styleId="SaludoCar">
    <w:name w:val="Saludo Car"/>
    <w:basedOn w:val="Fuentedeprrafopredeter"/>
    <w:link w:val="Saludo"/>
    <w:uiPriority w:val="99"/>
    <w:semiHidden/>
    <w:rPr>
      <w:rFonts w:ascii="Times New Roman" w:hAnsi="Times New Roman" w:cs="Times New Roman"/>
      <w:sz w:val="24"/>
      <w:szCs w:val="24"/>
    </w:rPr>
  </w:style>
  <w:style w:type="paragraph" w:customStyle="1" w:styleId="bcclist">
    <w:name w:val="bcclist"/>
    <w:basedOn w:val="NormalSingle"/>
    <w:next w:val="Normal"/>
    <w:pPr>
      <w:spacing w:after="0"/>
      <w:ind w:left="720" w:hanging="720"/>
      <w:jc w:val="left"/>
    </w:pPr>
    <w:rPr>
      <w:vanish/>
    </w:rPr>
  </w:style>
  <w:style w:type="paragraph" w:customStyle="1" w:styleId="cclist">
    <w:name w:val="cclist"/>
    <w:basedOn w:val="NormalSingle"/>
    <w:pPr>
      <w:spacing w:after="0"/>
      <w:ind w:left="720" w:hanging="720"/>
      <w:jc w:val="left"/>
    </w:pPr>
  </w:style>
  <w:style w:type="paragraph" w:styleId="Cierre">
    <w:name w:val="Closing"/>
    <w:basedOn w:val="NormalSingle"/>
    <w:next w:val="Normal"/>
    <w:link w:val="CierreCar"/>
    <w:uiPriority w:val="99"/>
    <w:pPr>
      <w:keepNext/>
      <w:keepLines/>
      <w:tabs>
        <w:tab w:val="left" w:pos="4674"/>
      </w:tabs>
      <w:spacing w:before="240" w:after="160"/>
      <w:jc w:val="left"/>
    </w:pPr>
  </w:style>
  <w:style w:type="character" w:customStyle="1" w:styleId="CierreCar">
    <w:name w:val="Cierre Car"/>
    <w:basedOn w:val="Fuentedeprrafopredeter"/>
    <w:link w:val="Cierre"/>
    <w:uiPriority w:val="99"/>
    <w:semiHidden/>
    <w:rPr>
      <w:rFonts w:ascii="Times New Roman" w:hAnsi="Times New Roman" w:cs="Times New Roman"/>
      <w:sz w:val="24"/>
      <w:szCs w:val="24"/>
    </w:rPr>
  </w:style>
  <w:style w:type="paragraph" w:styleId="Fecha">
    <w:name w:val="Date"/>
    <w:basedOn w:val="NormalSingle"/>
    <w:next w:val="Address"/>
    <w:link w:val="FechaCar"/>
    <w:uiPriority w:val="99"/>
    <w:pPr>
      <w:spacing w:before="480" w:after="360"/>
      <w:jc w:val="left"/>
    </w:pPr>
  </w:style>
  <w:style w:type="character" w:customStyle="1" w:styleId="FechaCar">
    <w:name w:val="Fecha Car"/>
    <w:basedOn w:val="Fuentedeprrafopredeter"/>
    <w:link w:val="Fecha"/>
    <w:uiPriority w:val="99"/>
    <w:semiHidden/>
    <w:rPr>
      <w:rFonts w:ascii="Times New Roman" w:hAnsi="Times New Roman" w:cs="Times New Roman"/>
      <w:sz w:val="24"/>
      <w:szCs w:val="24"/>
    </w:rPr>
  </w:style>
  <w:style w:type="paragraph" w:customStyle="1" w:styleId="DirectLine">
    <w:name w:val="Direct Line"/>
    <w:next w:val="email"/>
    <w:pPr>
      <w:autoSpaceDE w:val="0"/>
      <w:autoSpaceDN w:val="0"/>
      <w:adjustRightInd w:val="0"/>
      <w:spacing w:after="0" w:line="240" w:lineRule="auto"/>
    </w:pPr>
    <w:rPr>
      <w:rFonts w:ascii="Times New Roman" w:hAnsi="Times New Roman" w:cs="Times New Roman"/>
      <w:noProof/>
      <w:sz w:val="18"/>
      <w:szCs w:val="18"/>
    </w:rPr>
  </w:style>
  <w:style w:type="paragraph" w:customStyle="1" w:styleId="DirectFax">
    <w:name w:val="Direct Fax"/>
    <w:basedOn w:val="DirectLine"/>
  </w:style>
  <w:style w:type="paragraph" w:customStyle="1" w:styleId="email">
    <w:name w:val="email"/>
    <w:basedOn w:val="DirectLine"/>
    <w:rPr>
      <w:lang w:bidi="he-IL"/>
    </w:rPr>
  </w:style>
  <w:style w:type="paragraph" w:customStyle="1" w:styleId="Enclosure">
    <w:name w:val="Enclosure"/>
    <w:basedOn w:val="NormalSingle"/>
    <w:next w:val="Normal"/>
  </w:style>
  <w:style w:type="paragraph" w:customStyle="1" w:styleId="FileNo">
    <w:name w:val="FileNo"/>
    <w:pPr>
      <w:autoSpaceDE w:val="0"/>
      <w:autoSpaceDN w:val="0"/>
      <w:adjustRightInd w:val="0"/>
      <w:spacing w:after="0" w:line="240" w:lineRule="auto"/>
    </w:pPr>
    <w:rPr>
      <w:rFonts w:ascii="Times New Roman" w:hAnsi="Times New Roman" w:cs="Times New Roman"/>
      <w:sz w:val="24"/>
      <w:szCs w:val="20"/>
    </w:rPr>
  </w:style>
  <w:style w:type="paragraph" w:customStyle="1" w:styleId="Handling">
    <w:name w:val="Handling"/>
    <w:basedOn w:val="NormalSingle"/>
    <w:next w:val="Fecha"/>
    <w:pPr>
      <w:keepNext/>
      <w:keepLines/>
      <w:spacing w:before="240" w:after="0"/>
    </w:pPr>
    <w:rPr>
      <w:u w:val="single"/>
    </w:rPr>
  </w:style>
  <w:style w:type="paragraph" w:customStyle="1" w:styleId="InfoBlock">
    <w:name w:val="InfoBlock"/>
    <w:next w:val="email"/>
    <w:pPr>
      <w:autoSpaceDE w:val="0"/>
      <w:autoSpaceDN w:val="0"/>
      <w:adjustRightInd w:val="0"/>
      <w:spacing w:after="0" w:line="240" w:lineRule="auto"/>
    </w:pPr>
    <w:rPr>
      <w:rFonts w:ascii="Times New Roman" w:hAnsi="Times New Roman" w:cs="Times New Roman"/>
      <w:sz w:val="16"/>
      <w:szCs w:val="20"/>
    </w:rPr>
  </w:style>
  <w:style w:type="paragraph" w:customStyle="1" w:styleId="Initials">
    <w:name w:val="Initials"/>
    <w:basedOn w:val="NormalSingle"/>
    <w:next w:val="Normal"/>
    <w:pPr>
      <w:keepNext/>
      <w:spacing w:before="240"/>
    </w:pPr>
    <w:rPr>
      <w:noProof/>
    </w:rPr>
  </w:style>
  <w:style w:type="paragraph" w:customStyle="1" w:styleId="ReLine">
    <w:name w:val="Re: Line"/>
    <w:basedOn w:val="NormalSingle"/>
    <w:next w:val="ORPara"/>
    <w:pPr>
      <w:tabs>
        <w:tab w:val="left" w:pos="720"/>
      </w:tabs>
      <w:spacing w:after="0"/>
      <w:ind w:left="720" w:hanging="720"/>
    </w:pPr>
    <w:rPr>
      <w:b/>
    </w:rPr>
  </w:style>
  <w:style w:type="paragraph" w:customStyle="1" w:styleId="ReturnAddress">
    <w:name w:val="ReturnAddress"/>
    <w:basedOn w:val="Normal"/>
    <w:pPr>
      <w:spacing w:before="160" w:after="0" w:line="160" w:lineRule="exact"/>
      <w:jc w:val="left"/>
    </w:pPr>
    <w:rPr>
      <w:rFonts w:ascii="Arial Narrow" w:hAnsi="Arial Narrow"/>
      <w:noProof/>
      <w:spacing w:val="10"/>
      <w:sz w:val="13"/>
      <w:szCs w:val="13"/>
      <w:lang w:bidi="he-IL"/>
    </w:rPr>
  </w:style>
  <w:style w:type="character" w:customStyle="1" w:styleId="CharChar">
    <w:name w:val="Char Char"/>
    <w:basedOn w:val="Fuentedeprrafopredeter"/>
    <w:rPr>
      <w:rFonts w:cs="Times New Roman"/>
      <w:sz w:val="24"/>
      <w:szCs w:val="24"/>
      <w:lang w:val="en-CA" w:bidi="ar-SA"/>
    </w:rPr>
  </w:style>
  <w:style w:type="paragraph" w:customStyle="1" w:styleId="Addressee">
    <w:name w:val="Addressee"/>
    <w:basedOn w:val="Normal"/>
    <w:pPr>
      <w:contextualSpacing/>
    </w:pPr>
    <w:rPr>
      <w:lang w:val="en-US"/>
    </w:rPr>
  </w:style>
  <w:style w:type="paragraph" w:customStyle="1" w:styleId="TermSheet-BodyText">
    <w:name w:val="Term Sheet - Body Text"/>
    <w:basedOn w:val="Normal"/>
    <w:rPr>
      <w:color w:val="000000"/>
      <w:sz w:val="22"/>
    </w:rPr>
  </w:style>
  <w:style w:type="paragraph" w:styleId="Sangra2detindependiente">
    <w:name w:val="Body Text Indent 2"/>
    <w:basedOn w:val="Normal"/>
    <w:link w:val="Sangra2detindependienteCar"/>
    <w:uiPriority w:val="99"/>
    <w:pPr>
      <w:spacing w:after="120" w:line="480" w:lineRule="auto"/>
      <w:ind w:left="360"/>
    </w:pPr>
  </w:style>
  <w:style w:type="character" w:customStyle="1" w:styleId="Sangra2detindependienteCar">
    <w:name w:val="Sangría 2 de t. independiente Car"/>
    <w:basedOn w:val="Fuentedeprrafopredeter"/>
    <w:link w:val="Sangra2detindependiente"/>
    <w:uiPriority w:val="99"/>
    <w:rPr>
      <w:rFonts w:cs="Times New Roman"/>
      <w:sz w:val="24"/>
      <w:szCs w:val="24"/>
      <w:lang w:val="en-CA"/>
    </w:rPr>
  </w:style>
  <w:style w:type="paragraph" w:styleId="Prrafodelista">
    <w:name w:val="List Paragraph"/>
    <w:basedOn w:val="Normal"/>
    <w:uiPriority w:val="34"/>
    <w:qFormat/>
    <w:pPr>
      <w:ind w:left="720"/>
      <w:contextualSpacing/>
    </w:pPr>
  </w:style>
  <w:style w:type="paragraph" w:customStyle="1" w:styleId="DeltaViewTableHeading">
    <w:name w:val="DeltaView Table Heading"/>
    <w:basedOn w:val="Normal"/>
    <w:uiPriority w:val="99"/>
    <w:pPr>
      <w:spacing w:after="120"/>
      <w:jc w:val="left"/>
    </w:pPr>
    <w:rPr>
      <w:rFonts w:ascii="Arial" w:hAnsi="Arial"/>
      <w:b/>
      <w:lang w:val="en-US"/>
    </w:rPr>
  </w:style>
  <w:style w:type="paragraph" w:customStyle="1" w:styleId="DeltaViewTableBody">
    <w:name w:val="DeltaView Table Body"/>
    <w:basedOn w:val="Normal"/>
    <w:uiPriority w:val="99"/>
    <w:pPr>
      <w:spacing w:after="0"/>
      <w:jc w:val="left"/>
    </w:pPr>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Refdecomentario">
    <w:name w:val="annotation reference"/>
    <w:basedOn w:val="Fuentedeprrafopredeter"/>
    <w:uiPriority w:val="99"/>
    <w:rPr>
      <w:sz w:val="16"/>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Textocomentario">
    <w:name w:val="annotation text"/>
    <w:basedOn w:val="Normal"/>
    <w:next w:val="LetterClosing"/>
    <w:link w:val="TextocomentarioCar"/>
    <w:uiPriority w:val="99"/>
    <w:pPr>
      <w:spacing w:after="0"/>
      <w:jc w:val="left"/>
    </w:pPr>
    <w:rPr>
      <w:sz w:val="20"/>
      <w:lang w:val="en-US"/>
    </w:rPr>
  </w:style>
  <w:style w:type="character" w:customStyle="1" w:styleId="TextocomentarioCar">
    <w:name w:val="Texto comentario Car"/>
    <w:basedOn w:val="Fuentedeprrafopredeter"/>
    <w:link w:val="Textocomentario"/>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Mapadeldocumento">
    <w:name w:val="Document Map"/>
    <w:basedOn w:val="Normal"/>
    <w:next w:val="PleadingSignature"/>
    <w:link w:val="MapadeldocumentoCar"/>
    <w:uiPriority w:val="99"/>
    <w:pPr>
      <w:shd w:val="clear" w:color="auto" w:fill="000080"/>
      <w:spacing w:after="0"/>
      <w:jc w:val="left"/>
    </w:pPr>
    <w:rPr>
      <w:rFonts w:ascii="Tahoma" w:hAnsi="Tahoma"/>
      <w:lang w:val="en-US"/>
    </w:rPr>
  </w:style>
  <w:style w:type="character" w:customStyle="1" w:styleId="MapadeldocumentoCar">
    <w:name w:val="Mapa del documento Car"/>
    <w:basedOn w:val="Fuentedeprrafopredeter"/>
    <w:link w:val="Mapadeldocumento"/>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Fuentedeprrafopredeter"/>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character" w:styleId="Textodelmarcadordeposicin">
    <w:name w:val="Placeholder Text"/>
    <w:basedOn w:val="Fuentedeprrafopredeter"/>
    <w:uiPriority w:val="99"/>
    <w:semiHidden/>
    <w:rsid w:val="00517657"/>
    <w:rPr>
      <w:color w:val="808080"/>
    </w:rPr>
  </w:style>
  <w:style w:type="table" w:styleId="Tablaconcuadrcula">
    <w:name w:val="Table Grid"/>
    <w:basedOn w:val="Tablanormal"/>
    <w:uiPriority w:val="39"/>
    <w:rsid w:val="00F82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2D4F"/>
    <w:pPr>
      <w:autoSpaceDE w:val="0"/>
      <w:autoSpaceDN w:val="0"/>
      <w:adjustRightInd w:val="0"/>
      <w:spacing w:after="0" w:line="240" w:lineRule="auto"/>
    </w:pPr>
    <w:rPr>
      <w:rFonts w:ascii="Arial" w:hAnsi="Arial" w:cs="Arial"/>
      <w:color w:val="000000"/>
      <w:sz w:val="24"/>
      <w:szCs w:val="24"/>
    </w:rPr>
  </w:style>
  <w:style w:type="character" w:customStyle="1" w:styleId="prompt0">
    <w:name w:val="prompt"/>
    <w:basedOn w:val="Fuentedeprrafopredeter"/>
    <w:uiPriority w:val="99"/>
    <w:rsid w:val="00060AD6"/>
    <w:rPr>
      <w:rFonts w:cs="Times New Roman"/>
    </w:rPr>
  </w:style>
  <w:style w:type="paragraph" w:customStyle="1" w:styleId="MacPacTrailer">
    <w:name w:val="MacPac Trailer"/>
    <w:rsid w:val="00311582"/>
    <w:pPr>
      <w:widowControl w:val="0"/>
      <w:spacing w:after="0" w:line="200" w:lineRule="exact"/>
    </w:pPr>
    <w:rPr>
      <w:rFonts w:ascii="Arial" w:eastAsia="Times New Roman" w:hAnsi="Arial" w:cs="Times New Roman"/>
      <w:sz w:val="16"/>
      <w:lang w:val="en-US" w:eastAsia="en-US"/>
    </w:rPr>
  </w:style>
  <w:style w:type="paragraph" w:styleId="Listaconvietas">
    <w:name w:val="List Bullet"/>
    <w:basedOn w:val="Normal"/>
    <w:uiPriority w:val="99"/>
    <w:unhideWhenUsed/>
    <w:rsid w:val="00EB4A97"/>
    <w:pPr>
      <w:numPr>
        <w:numId w:val="9"/>
      </w:numPr>
      <w:contextualSpacing/>
    </w:pPr>
  </w:style>
  <w:style w:type="paragraph" w:customStyle="1" w:styleId="NumberedParagraph">
    <w:name w:val="Numbered Paragraph"/>
    <w:basedOn w:val="Normal"/>
    <w:link w:val="NumberedParagraphChar"/>
    <w:qFormat/>
    <w:rsid w:val="003B4EFF"/>
    <w:pPr>
      <w:numPr>
        <w:numId w:val="10"/>
      </w:numPr>
    </w:pPr>
    <w:rPr>
      <w:rFonts w:eastAsia="Times New Roman"/>
      <w:lang w:val="en-US"/>
    </w:rPr>
  </w:style>
  <w:style w:type="character" w:customStyle="1" w:styleId="NumberedParagraphChar">
    <w:name w:val="Numbered Paragraph Char"/>
    <w:link w:val="NumberedParagraph"/>
    <w:rsid w:val="003B4EFF"/>
    <w:rPr>
      <w:rFonts w:ascii="Times New Roman" w:eastAsia="Times New Roman" w:hAnsi="Times New Roman" w:cs="Times New Roman"/>
      <w:sz w:val="24"/>
      <w:szCs w:val="24"/>
      <w:lang w:val="en-US"/>
    </w:rPr>
  </w:style>
  <w:style w:type="character" w:styleId="Mencinsinresolver">
    <w:name w:val="Unresolved Mention"/>
    <w:basedOn w:val="Fuentedeprrafopredeter"/>
    <w:uiPriority w:val="99"/>
    <w:semiHidden/>
    <w:unhideWhenUsed/>
    <w:rsid w:val="00287013"/>
    <w:rPr>
      <w:color w:val="605E5C"/>
      <w:shd w:val="clear" w:color="auto" w:fill="E1DFDD"/>
    </w:rPr>
  </w:style>
  <w:style w:type="paragraph" w:styleId="Revisin">
    <w:name w:val="Revision"/>
    <w:hidden/>
    <w:uiPriority w:val="99"/>
    <w:semiHidden/>
    <w:rsid w:val="004241EA"/>
    <w:pPr>
      <w:spacing w:after="0" w:line="240" w:lineRule="auto"/>
    </w:pPr>
    <w:rPr>
      <w:rFonts w:ascii="Times New Roman" w:hAnsi="Times New Roman" w:cs="Times New Roman"/>
      <w:sz w:val="24"/>
      <w:szCs w:val="24"/>
    </w:rPr>
  </w:style>
  <w:style w:type="paragraph" w:customStyle="1" w:styleId="DocID">
    <w:name w:val="DocID"/>
    <w:rsid w:val="00A20161"/>
    <w:pPr>
      <w:spacing w:after="0" w:line="240" w:lineRule="auto"/>
    </w:pPr>
    <w:rPr>
      <w:rFonts w:ascii="Times New Roman" w:eastAsia="Times New Roman" w:hAnsi="Times New Roman" w:cs="Times New Roman"/>
      <w:sz w:val="18"/>
      <w:szCs w:val="24"/>
      <w:lang w:val="en-US" w:eastAsia="en-US"/>
    </w:rPr>
  </w:style>
  <w:style w:type="character" w:styleId="Textoennegrita">
    <w:name w:val="Strong"/>
    <w:basedOn w:val="Fuentedeprrafopredeter"/>
    <w:uiPriority w:val="22"/>
    <w:qFormat/>
    <w:rsid w:val="00BB7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730">
      <w:bodyDiv w:val="1"/>
      <w:marLeft w:val="0"/>
      <w:marRight w:val="0"/>
      <w:marTop w:val="0"/>
      <w:marBottom w:val="0"/>
      <w:divBdr>
        <w:top w:val="none" w:sz="0" w:space="0" w:color="auto"/>
        <w:left w:val="none" w:sz="0" w:space="0" w:color="auto"/>
        <w:bottom w:val="none" w:sz="0" w:space="0" w:color="auto"/>
        <w:right w:val="none" w:sz="0" w:space="0" w:color="auto"/>
      </w:divBdr>
    </w:div>
    <w:div w:id="344937308">
      <w:bodyDiv w:val="1"/>
      <w:marLeft w:val="0"/>
      <w:marRight w:val="0"/>
      <w:marTop w:val="0"/>
      <w:marBottom w:val="0"/>
      <w:divBdr>
        <w:top w:val="none" w:sz="0" w:space="0" w:color="auto"/>
        <w:left w:val="none" w:sz="0" w:space="0" w:color="auto"/>
        <w:bottom w:val="none" w:sz="0" w:space="0" w:color="auto"/>
        <w:right w:val="none" w:sz="0" w:space="0" w:color="auto"/>
      </w:divBdr>
    </w:div>
    <w:div w:id="787160431">
      <w:bodyDiv w:val="1"/>
      <w:marLeft w:val="0"/>
      <w:marRight w:val="0"/>
      <w:marTop w:val="0"/>
      <w:marBottom w:val="0"/>
      <w:divBdr>
        <w:top w:val="none" w:sz="0" w:space="0" w:color="auto"/>
        <w:left w:val="none" w:sz="0" w:space="0" w:color="auto"/>
        <w:bottom w:val="none" w:sz="0" w:space="0" w:color="auto"/>
        <w:right w:val="none" w:sz="0" w:space="0" w:color="auto"/>
      </w:divBdr>
    </w:div>
    <w:div w:id="810514549">
      <w:bodyDiv w:val="1"/>
      <w:marLeft w:val="0"/>
      <w:marRight w:val="0"/>
      <w:marTop w:val="0"/>
      <w:marBottom w:val="0"/>
      <w:divBdr>
        <w:top w:val="none" w:sz="0" w:space="0" w:color="auto"/>
        <w:left w:val="none" w:sz="0" w:space="0" w:color="auto"/>
        <w:bottom w:val="none" w:sz="0" w:space="0" w:color="auto"/>
        <w:right w:val="none" w:sz="0" w:space="0" w:color="auto"/>
      </w:divBdr>
    </w:div>
    <w:div w:id="1273169595">
      <w:bodyDiv w:val="1"/>
      <w:marLeft w:val="0"/>
      <w:marRight w:val="0"/>
      <w:marTop w:val="0"/>
      <w:marBottom w:val="0"/>
      <w:divBdr>
        <w:top w:val="none" w:sz="0" w:space="0" w:color="auto"/>
        <w:left w:val="none" w:sz="0" w:space="0" w:color="auto"/>
        <w:bottom w:val="none" w:sz="0" w:space="0" w:color="auto"/>
        <w:right w:val="none" w:sz="0" w:space="0" w:color="auto"/>
      </w:divBdr>
    </w:div>
    <w:div w:id="1395665903">
      <w:bodyDiv w:val="1"/>
      <w:marLeft w:val="0"/>
      <w:marRight w:val="0"/>
      <w:marTop w:val="0"/>
      <w:marBottom w:val="0"/>
      <w:divBdr>
        <w:top w:val="none" w:sz="0" w:space="0" w:color="auto"/>
        <w:left w:val="none" w:sz="0" w:space="0" w:color="auto"/>
        <w:bottom w:val="none" w:sz="0" w:space="0" w:color="auto"/>
        <w:right w:val="none" w:sz="0" w:space="0" w:color="auto"/>
      </w:divBdr>
    </w:div>
    <w:div w:id="2129928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gmr.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gmr.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yndication@velocitytradecapita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ACTIVE!531299562.4</documentid>
  <senderid>MIMRIE</senderid>
  <senderemail>MIMRIE@MINTZ.COM</senderemail>
  <lastmodified>2025-07-18T09:06:00.0000000-04:00</lastmodified>
  <database>ACTIVE</database>
</properties>
</file>

<file path=customXml/item3.xml><?xml version="1.0" encoding="utf-8"?>
<properties xmlns="http://www.imanage.com/work/xmlschema">
  <documentid>ADMIN!4197435.3</documentid>
  <senderid>DGARDOS</senderid>
  <senderemail>DGARDOS@CASSELS.COM</senderemail>
  <lastmodified>2025-11-10T09:32:00.0000000-05:00</lastmodified>
  <database>ADMIN</database>
</properties>
</file>

<file path=customXml/itemProps1.xml><?xml version="1.0" encoding="utf-8"?>
<ds:datastoreItem xmlns:ds="http://schemas.openxmlformats.org/officeDocument/2006/customXml" ds:itemID="{F91C82F9-312E-4855-93AE-3080174156EC}">
  <ds:schemaRefs>
    <ds:schemaRef ds:uri="http://schemas.openxmlformats.org/officeDocument/2006/bibliography"/>
  </ds:schemaRefs>
</ds:datastoreItem>
</file>

<file path=customXml/itemProps2.xml><?xml version="1.0" encoding="utf-8"?>
<ds:datastoreItem xmlns:ds="http://schemas.openxmlformats.org/officeDocument/2006/customXml" ds:itemID="{6A48BCA9-9EFD-4693-9D2C-C7166D1CF5DE}">
  <ds:schemaRefs>
    <ds:schemaRef ds:uri="http://www.imanage.com/work/xmlschema"/>
  </ds:schemaRefs>
</ds:datastoreItem>
</file>

<file path=customXml/itemProps3.xml><?xml version="1.0" encoding="utf-8"?>
<ds:datastoreItem xmlns:ds="http://schemas.openxmlformats.org/officeDocument/2006/customXml" ds:itemID="{688D9C37-9896-48D0-943F-3D09BE23802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1491</Words>
  <Characters>8679</Characters>
  <Application>Microsoft Office Word</Application>
  <DocSecurity>0</DocSecurity>
  <Lines>122</Lines>
  <Paragraphs>39</Paragraphs>
  <ScaleCrop>false</ScaleCrop>
  <HeadingPairs>
    <vt:vector size="2" baseType="variant">
      <vt:variant>
        <vt:lpstr>Title</vt:lpstr>
      </vt:variant>
      <vt:variant>
        <vt:i4>1</vt:i4>
      </vt:variant>
    </vt:vector>
  </HeadingPairs>
  <TitlesOfParts>
    <vt:vector size="1" baseType="lpstr">
      <vt:lpstr/>
    </vt:vector>
  </TitlesOfParts>
  <Company>Cassels Lawyers</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R5 3600</dc:creator>
  <cp:lastModifiedBy>Cesar  Marallano</cp:lastModifiedBy>
  <cp:revision>2</cp:revision>
  <cp:lastPrinted>1900-01-01T05:00:00Z</cp:lastPrinted>
  <dcterms:created xsi:type="dcterms:W3CDTF">2025-11-10T23:11:00Z</dcterms:created>
  <dcterms:modified xsi:type="dcterms:W3CDTF">2025-11-10T23:11:00Z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531299562v.4</vt:lpwstr>
  </property>
</Properties>
</file>