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3C52C21" w14:textId="77777777" w:rsidR="003A2452" w:rsidRPr="00CA3407" w:rsidRDefault="003A2452" w:rsidP="003A2452">
      <w:pPr>
        <w:ind w:left="6480"/>
        <w:rPr>
          <w:rFonts w:ascii="Arial" w:hAnsi="Arial" w:cs="Arial"/>
          <w:b/>
          <w:color w:val="000000"/>
          <w:sz w:val="22"/>
          <w:szCs w:val="22"/>
          <w:lang w:val="en-GB"/>
        </w:rPr>
      </w:pPr>
      <w:r w:rsidRPr="00CA3407">
        <w:rPr>
          <w:rFonts w:ascii="Arial" w:hAnsi="Arial" w:cs="Arial"/>
          <w:b/>
          <w:color w:val="000000"/>
          <w:sz w:val="22"/>
          <w:szCs w:val="22"/>
          <w:lang w:val="en-GB"/>
        </w:rPr>
        <w:t xml:space="preserve">Company No. </w:t>
      </w:r>
      <w:r w:rsidRPr="00CA3407">
        <w:rPr>
          <w:rFonts w:ascii="Arial" w:hAnsi="Arial" w:cs="Arial"/>
          <w:b/>
          <w:sz w:val="22"/>
          <w:szCs w:val="22"/>
        </w:rPr>
        <w:t>4031152</w:t>
      </w:r>
      <w:r w:rsidRPr="00CA3407">
        <w:rPr>
          <w:rFonts w:ascii="Arial" w:hAnsi="Arial" w:cs="Arial"/>
          <w:b/>
          <w:color w:val="000000"/>
          <w:sz w:val="22"/>
          <w:szCs w:val="22"/>
          <w:lang w:val="en-GB"/>
        </w:rPr>
        <w:t xml:space="preserve"> </w:t>
      </w:r>
    </w:p>
    <w:p w14:paraId="2946DB82" w14:textId="77777777" w:rsidR="003A2452" w:rsidRPr="003A2452" w:rsidRDefault="003A2452" w:rsidP="003A2452">
      <w:pPr>
        <w:pStyle w:val="MdRLevel1"/>
        <w:numPr>
          <w:ilvl w:val="0"/>
          <w:numId w:val="0"/>
        </w:numPr>
        <w:tabs>
          <w:tab w:val="left" w:pos="720"/>
        </w:tabs>
        <w:spacing w:after="0" w:line="240" w:lineRule="auto"/>
        <w:jc w:val="center"/>
        <w:rPr>
          <w:rFonts w:ascii="Arial" w:eastAsia="Arial Unicode MS" w:hAnsi="Arial" w:cs="Arial"/>
          <w:b/>
          <w:sz w:val="22"/>
          <w:szCs w:val="22"/>
          <w:u w:val="single"/>
        </w:rPr>
      </w:pPr>
    </w:p>
    <w:p w14:paraId="5997CC1D" w14:textId="77777777" w:rsidR="003A2452" w:rsidRPr="003A2452" w:rsidRDefault="003A2452" w:rsidP="003A2452">
      <w:pPr>
        <w:pStyle w:val="MdRLevel1"/>
        <w:numPr>
          <w:ilvl w:val="0"/>
          <w:numId w:val="0"/>
        </w:numPr>
        <w:tabs>
          <w:tab w:val="left" w:pos="720"/>
        </w:tabs>
        <w:spacing w:after="0" w:line="240" w:lineRule="auto"/>
        <w:ind w:left="360"/>
        <w:jc w:val="center"/>
        <w:rPr>
          <w:rFonts w:ascii="Arial" w:eastAsia="Arial Unicode MS" w:hAnsi="Arial" w:cs="Arial"/>
          <w:sz w:val="22"/>
          <w:szCs w:val="22"/>
          <w:u w:val="single"/>
        </w:rPr>
      </w:pPr>
    </w:p>
    <w:p w14:paraId="1E84543E" w14:textId="77777777" w:rsidR="003A2452" w:rsidRPr="003A2452" w:rsidRDefault="003A2452" w:rsidP="003A2452">
      <w:pPr>
        <w:jc w:val="center"/>
        <w:rPr>
          <w:rFonts w:ascii="Arial" w:hAnsi="Arial" w:cs="Arial"/>
          <w:b/>
          <w:caps/>
          <w:sz w:val="22"/>
          <w:szCs w:val="22"/>
          <w:lang w:val="en-GB"/>
        </w:rPr>
      </w:pPr>
      <w:r w:rsidRPr="003A2452">
        <w:rPr>
          <w:rFonts w:ascii="Arial" w:hAnsi="Arial" w:cs="Arial"/>
          <w:b/>
          <w:caps/>
          <w:sz w:val="22"/>
          <w:szCs w:val="22"/>
          <w:lang w:val="en-GB"/>
        </w:rPr>
        <w:t>National GRID PLC</w:t>
      </w:r>
    </w:p>
    <w:p w14:paraId="750DDF08" w14:textId="77777777" w:rsidR="003A2452" w:rsidRPr="003A2452" w:rsidRDefault="003A2452" w:rsidP="003A2452">
      <w:pPr>
        <w:jc w:val="center"/>
        <w:rPr>
          <w:rFonts w:ascii="Arial" w:hAnsi="Arial" w:cs="Arial"/>
          <w:b/>
          <w:caps/>
          <w:sz w:val="22"/>
          <w:szCs w:val="22"/>
          <w:lang w:val="en-GB"/>
        </w:rPr>
      </w:pPr>
      <w:r w:rsidRPr="003A2452">
        <w:rPr>
          <w:rFonts w:ascii="Arial" w:hAnsi="Arial" w:cs="Arial"/>
          <w:b/>
          <w:caps/>
          <w:sz w:val="22"/>
          <w:szCs w:val="22"/>
          <w:lang w:val="en-GB"/>
        </w:rPr>
        <w:t xml:space="preserve"> (THE “COMPANY”)</w:t>
      </w:r>
    </w:p>
    <w:p w14:paraId="110FFD37" w14:textId="77777777" w:rsidR="003A2452" w:rsidRPr="003A2452" w:rsidRDefault="003A2452" w:rsidP="003A2452">
      <w:pPr>
        <w:pStyle w:val="MdRLevel1"/>
        <w:numPr>
          <w:ilvl w:val="0"/>
          <w:numId w:val="0"/>
        </w:numPr>
        <w:tabs>
          <w:tab w:val="left" w:pos="720"/>
        </w:tabs>
        <w:spacing w:after="0" w:line="240" w:lineRule="auto"/>
        <w:rPr>
          <w:rFonts w:ascii="Arial" w:eastAsia="Arial Unicode MS" w:hAnsi="Arial" w:cs="Arial"/>
          <w:b/>
          <w:sz w:val="22"/>
          <w:szCs w:val="22"/>
          <w:u w:val="single"/>
        </w:rPr>
      </w:pPr>
    </w:p>
    <w:p w14:paraId="71DA67A5" w14:textId="77777777" w:rsidR="003A2452" w:rsidRDefault="003A2452" w:rsidP="003A2452">
      <w:pPr>
        <w:pStyle w:val="MdRLevel1"/>
        <w:numPr>
          <w:ilvl w:val="0"/>
          <w:numId w:val="0"/>
        </w:numPr>
        <w:tabs>
          <w:tab w:val="left" w:pos="720"/>
        </w:tabs>
        <w:spacing w:after="0" w:line="240" w:lineRule="auto"/>
        <w:jc w:val="center"/>
        <w:rPr>
          <w:rFonts w:ascii="Arial" w:eastAsia="Arial Unicode MS" w:hAnsi="Arial" w:cs="Arial"/>
          <w:b/>
          <w:sz w:val="22"/>
          <w:szCs w:val="22"/>
        </w:rPr>
      </w:pPr>
      <w:r w:rsidRPr="003A2452">
        <w:rPr>
          <w:rFonts w:ascii="Arial" w:eastAsia="Arial Unicode MS" w:hAnsi="Arial" w:cs="Arial"/>
          <w:b/>
          <w:sz w:val="22"/>
          <w:szCs w:val="22"/>
        </w:rPr>
        <w:t>PUBLIC COMPANY LIMITED BY SHARES</w:t>
      </w:r>
    </w:p>
    <w:p w14:paraId="6B699379" w14:textId="77777777" w:rsidR="00103B85" w:rsidRPr="003A2452" w:rsidRDefault="00103B85" w:rsidP="003A2452">
      <w:pPr>
        <w:pStyle w:val="MdRLevel1"/>
        <w:numPr>
          <w:ilvl w:val="0"/>
          <w:numId w:val="0"/>
        </w:numPr>
        <w:tabs>
          <w:tab w:val="left" w:pos="720"/>
        </w:tabs>
        <w:spacing w:after="0" w:line="240" w:lineRule="auto"/>
        <w:jc w:val="center"/>
        <w:rPr>
          <w:rFonts w:ascii="Arial" w:eastAsia="Arial Unicode MS" w:hAnsi="Arial" w:cs="Arial"/>
          <w:b/>
          <w:sz w:val="22"/>
          <w:szCs w:val="22"/>
        </w:rPr>
      </w:pPr>
    </w:p>
    <w:p w14:paraId="7BD1DEFE" w14:textId="02A2E0DF" w:rsidR="449201A2" w:rsidRDefault="449201A2" w:rsidP="1B1325B0">
      <w:pPr>
        <w:jc w:val="center"/>
        <w:rPr>
          <w:rFonts w:ascii="Arial" w:eastAsia="Arial" w:hAnsi="Arial" w:cs="Arial"/>
          <w:b/>
          <w:bCs/>
          <w:caps/>
          <w:color w:val="000000" w:themeColor="text1"/>
          <w:sz w:val="22"/>
          <w:szCs w:val="22"/>
          <w:lang w:val="en-GB"/>
        </w:rPr>
      </w:pPr>
      <w:r w:rsidRPr="1B1325B0">
        <w:rPr>
          <w:rFonts w:ascii="Arial" w:eastAsia="Arial" w:hAnsi="Arial" w:cs="Arial"/>
          <w:b/>
          <w:bCs/>
          <w:caps/>
          <w:color w:val="000000" w:themeColor="text1"/>
          <w:sz w:val="22"/>
          <w:szCs w:val="22"/>
        </w:rPr>
        <w:t xml:space="preserve">RESOLUTIONS </w:t>
      </w:r>
      <w:r w:rsidRPr="1B1325B0">
        <w:rPr>
          <w:rFonts w:ascii="Arial" w:eastAsia="Arial" w:hAnsi="Arial" w:cs="Arial"/>
          <w:b/>
          <w:bCs/>
          <w:caps/>
          <w:color w:val="000000" w:themeColor="text1"/>
          <w:sz w:val="22"/>
          <w:szCs w:val="22"/>
          <w:lang w:val="en-GB"/>
        </w:rPr>
        <w:t xml:space="preserve">PASSED ON </w:t>
      </w:r>
      <w:r w:rsidR="002F5E4D" w:rsidRPr="1B1325B0">
        <w:rPr>
          <w:rFonts w:ascii="Arial" w:eastAsia="Arial" w:hAnsi="Arial" w:cs="Arial"/>
          <w:b/>
          <w:bCs/>
          <w:caps/>
          <w:color w:val="000000" w:themeColor="text1"/>
          <w:sz w:val="22"/>
          <w:szCs w:val="22"/>
          <w:lang w:val="en-GB"/>
        </w:rPr>
        <w:t>1</w:t>
      </w:r>
      <w:r w:rsidR="4E46AD30" w:rsidRPr="1B1325B0">
        <w:rPr>
          <w:rFonts w:ascii="Arial" w:eastAsia="Arial" w:hAnsi="Arial" w:cs="Arial"/>
          <w:b/>
          <w:bCs/>
          <w:caps/>
          <w:color w:val="000000" w:themeColor="text1"/>
          <w:sz w:val="22"/>
          <w:szCs w:val="22"/>
          <w:lang w:val="en-GB"/>
        </w:rPr>
        <w:t>0</w:t>
      </w:r>
      <w:r w:rsidRPr="1B1325B0">
        <w:rPr>
          <w:rFonts w:ascii="Arial" w:eastAsia="Arial" w:hAnsi="Arial" w:cs="Arial"/>
          <w:b/>
          <w:bCs/>
          <w:caps/>
          <w:color w:val="000000" w:themeColor="text1"/>
          <w:sz w:val="22"/>
          <w:szCs w:val="22"/>
          <w:lang w:val="en-GB"/>
        </w:rPr>
        <w:t xml:space="preserve"> JULY 202</w:t>
      </w:r>
      <w:r w:rsidR="00584A83">
        <w:rPr>
          <w:rFonts w:ascii="Arial" w:eastAsia="Arial" w:hAnsi="Arial" w:cs="Arial"/>
          <w:b/>
          <w:bCs/>
          <w:caps/>
          <w:color w:val="000000" w:themeColor="text1"/>
          <w:sz w:val="22"/>
          <w:szCs w:val="22"/>
          <w:lang w:val="en-GB"/>
        </w:rPr>
        <w:t>4</w:t>
      </w:r>
    </w:p>
    <w:p w14:paraId="5CA6665B" w14:textId="55BEF816" w:rsidR="2C60CE5E" w:rsidRDefault="2C60CE5E" w:rsidP="2C60CE5E">
      <w:pPr>
        <w:tabs>
          <w:tab w:val="left" w:pos="9540"/>
        </w:tabs>
        <w:jc w:val="both"/>
        <w:rPr>
          <w:rFonts w:ascii="Arial" w:eastAsia="Arial" w:hAnsi="Arial" w:cs="Arial"/>
          <w:color w:val="000000" w:themeColor="text1"/>
          <w:sz w:val="22"/>
          <w:szCs w:val="22"/>
        </w:rPr>
      </w:pPr>
    </w:p>
    <w:p w14:paraId="4F02B42D" w14:textId="44BE014C" w:rsidR="449201A2" w:rsidRPr="00141716" w:rsidRDefault="7A7A86C9" w:rsidP="00A03033">
      <w:pPr>
        <w:pStyle w:val="BodyText"/>
        <w:rPr>
          <w:rFonts w:ascii="Arial" w:eastAsia="Arial" w:hAnsi="Arial" w:cs="Arial"/>
          <w:color w:val="000000" w:themeColor="text1"/>
          <w:sz w:val="22"/>
          <w:szCs w:val="22"/>
        </w:rPr>
      </w:pPr>
      <w:r w:rsidRPr="324FFCA2">
        <w:rPr>
          <w:rFonts w:ascii="Arial" w:eastAsia="Arial" w:hAnsi="Arial" w:cs="Arial"/>
          <w:color w:val="000000" w:themeColor="text1"/>
          <w:sz w:val="22"/>
          <w:szCs w:val="22"/>
        </w:rPr>
        <w:t>At an Annual General Meeting (</w:t>
      </w:r>
      <w:r w:rsidR="0E3220E0" w:rsidRPr="324FFCA2">
        <w:rPr>
          <w:rFonts w:ascii="Arial" w:eastAsia="Arial" w:hAnsi="Arial" w:cs="Arial"/>
          <w:color w:val="000000" w:themeColor="text1"/>
          <w:sz w:val="22"/>
          <w:szCs w:val="22"/>
        </w:rPr>
        <w:t>“</w:t>
      </w:r>
      <w:r w:rsidRPr="324FFCA2">
        <w:rPr>
          <w:rFonts w:ascii="Arial" w:eastAsia="Arial" w:hAnsi="Arial" w:cs="Arial"/>
          <w:color w:val="000000" w:themeColor="text1"/>
          <w:sz w:val="22"/>
          <w:szCs w:val="22"/>
        </w:rPr>
        <w:t>AGM</w:t>
      </w:r>
      <w:r w:rsidR="56A8D265" w:rsidRPr="324FFCA2">
        <w:rPr>
          <w:rFonts w:ascii="Arial" w:eastAsia="Arial" w:hAnsi="Arial" w:cs="Arial"/>
          <w:color w:val="000000" w:themeColor="text1"/>
          <w:sz w:val="22"/>
          <w:szCs w:val="22"/>
        </w:rPr>
        <w:t>”</w:t>
      </w:r>
      <w:r w:rsidRPr="324FFCA2">
        <w:rPr>
          <w:rFonts w:ascii="Arial" w:eastAsia="Arial" w:hAnsi="Arial" w:cs="Arial"/>
          <w:color w:val="000000" w:themeColor="text1"/>
          <w:sz w:val="22"/>
          <w:szCs w:val="22"/>
        </w:rPr>
        <w:t>) of the Company, duly convened and held at 1</w:t>
      </w:r>
      <w:r w:rsidR="00AC00F2" w:rsidRPr="324FFCA2">
        <w:rPr>
          <w:rFonts w:ascii="Arial" w:eastAsia="Arial" w:hAnsi="Arial" w:cs="Arial"/>
          <w:color w:val="000000" w:themeColor="text1"/>
          <w:sz w:val="22"/>
          <w:szCs w:val="22"/>
        </w:rPr>
        <w:t>1</w:t>
      </w:r>
      <w:r w:rsidRPr="324FFCA2">
        <w:rPr>
          <w:rFonts w:ascii="Arial" w:eastAsia="Arial" w:hAnsi="Arial" w:cs="Arial"/>
          <w:color w:val="000000" w:themeColor="text1"/>
          <w:sz w:val="22"/>
          <w:szCs w:val="22"/>
        </w:rPr>
        <w:t>.</w:t>
      </w:r>
      <w:r w:rsidR="002F5E4D" w:rsidRPr="324FFCA2">
        <w:rPr>
          <w:rFonts w:ascii="Arial" w:eastAsia="Arial" w:hAnsi="Arial" w:cs="Arial"/>
          <w:color w:val="000000" w:themeColor="text1"/>
          <w:sz w:val="22"/>
          <w:szCs w:val="22"/>
        </w:rPr>
        <w:t>0</w:t>
      </w:r>
      <w:r w:rsidRPr="324FFCA2">
        <w:rPr>
          <w:rFonts w:ascii="Arial" w:eastAsia="Arial" w:hAnsi="Arial" w:cs="Arial"/>
          <w:color w:val="000000" w:themeColor="text1"/>
          <w:sz w:val="22"/>
          <w:szCs w:val="22"/>
        </w:rPr>
        <w:t>0am on</w:t>
      </w:r>
      <w:r w:rsidR="3A0217CA" w:rsidRPr="324FFCA2">
        <w:rPr>
          <w:rFonts w:ascii="Arial" w:eastAsia="Arial" w:hAnsi="Arial" w:cs="Arial"/>
          <w:color w:val="000000" w:themeColor="text1"/>
          <w:sz w:val="22"/>
          <w:szCs w:val="22"/>
        </w:rPr>
        <w:t xml:space="preserve"> </w:t>
      </w:r>
      <w:r w:rsidR="00A03033" w:rsidRPr="324FFCA2">
        <w:rPr>
          <w:rFonts w:ascii="Arial" w:eastAsia="Arial" w:hAnsi="Arial" w:cs="Arial"/>
          <w:color w:val="000000" w:themeColor="text1"/>
          <w:sz w:val="22"/>
          <w:szCs w:val="22"/>
        </w:rPr>
        <w:t>Wednesday 10 July 2024 at The Slate, Warwick Conferences, The University of Warwick, Scarman Road, Coventry, CV4 7SH</w:t>
      </w:r>
      <w:r w:rsidRPr="324FFCA2">
        <w:rPr>
          <w:rFonts w:ascii="Arial" w:eastAsia="Arial" w:hAnsi="Arial" w:cs="Arial"/>
          <w:color w:val="000000" w:themeColor="text1"/>
          <w:sz w:val="22"/>
          <w:szCs w:val="22"/>
        </w:rPr>
        <w:t xml:space="preserve">, the following resolutions were duly passed by means of a poll. Resolution </w:t>
      </w:r>
      <w:r w:rsidR="00AC00F2" w:rsidRPr="324FFCA2">
        <w:rPr>
          <w:rFonts w:ascii="Arial" w:eastAsia="Arial" w:hAnsi="Arial" w:cs="Arial"/>
          <w:color w:val="000000" w:themeColor="text1"/>
          <w:sz w:val="22"/>
          <w:szCs w:val="22"/>
        </w:rPr>
        <w:t>19</w:t>
      </w:r>
      <w:r w:rsidRPr="324FFCA2">
        <w:rPr>
          <w:rFonts w:ascii="Arial" w:eastAsia="Arial" w:hAnsi="Arial" w:cs="Arial"/>
          <w:color w:val="000000" w:themeColor="text1"/>
          <w:sz w:val="22"/>
          <w:szCs w:val="22"/>
        </w:rPr>
        <w:t xml:space="preserve"> w</w:t>
      </w:r>
      <w:r w:rsidR="00AC00F2" w:rsidRPr="324FFCA2">
        <w:rPr>
          <w:rFonts w:ascii="Arial" w:eastAsia="Arial" w:hAnsi="Arial" w:cs="Arial"/>
          <w:color w:val="000000" w:themeColor="text1"/>
          <w:sz w:val="22"/>
          <w:szCs w:val="22"/>
        </w:rPr>
        <w:t>as</w:t>
      </w:r>
      <w:r w:rsidRPr="324FFCA2">
        <w:rPr>
          <w:rFonts w:ascii="Arial" w:eastAsia="Arial" w:hAnsi="Arial" w:cs="Arial"/>
          <w:color w:val="000000" w:themeColor="text1"/>
          <w:sz w:val="22"/>
          <w:szCs w:val="22"/>
        </w:rPr>
        <w:t xml:space="preserve"> passed </w:t>
      </w:r>
      <w:r w:rsidR="00AC00F2" w:rsidRPr="324FFCA2">
        <w:rPr>
          <w:rFonts w:ascii="Arial" w:eastAsia="Arial" w:hAnsi="Arial" w:cs="Arial"/>
          <w:color w:val="000000" w:themeColor="text1"/>
          <w:sz w:val="22"/>
          <w:szCs w:val="22"/>
        </w:rPr>
        <w:t xml:space="preserve">as an </w:t>
      </w:r>
      <w:r w:rsidRPr="324FFCA2">
        <w:rPr>
          <w:rFonts w:ascii="Arial" w:eastAsia="Arial" w:hAnsi="Arial" w:cs="Arial"/>
          <w:color w:val="000000" w:themeColor="text1"/>
          <w:sz w:val="22"/>
          <w:szCs w:val="22"/>
        </w:rPr>
        <w:t>ordinary resolution and resolutions 2</w:t>
      </w:r>
      <w:r w:rsidR="00AC00F2" w:rsidRPr="324FFCA2">
        <w:rPr>
          <w:rFonts w:ascii="Arial" w:eastAsia="Arial" w:hAnsi="Arial" w:cs="Arial"/>
          <w:color w:val="000000" w:themeColor="text1"/>
          <w:sz w:val="22"/>
          <w:szCs w:val="22"/>
        </w:rPr>
        <w:t>0</w:t>
      </w:r>
      <w:r w:rsidRPr="324FFCA2">
        <w:rPr>
          <w:rFonts w:ascii="Arial" w:eastAsia="Arial" w:hAnsi="Arial" w:cs="Arial"/>
          <w:color w:val="000000" w:themeColor="text1"/>
          <w:sz w:val="22"/>
          <w:szCs w:val="22"/>
        </w:rPr>
        <w:t xml:space="preserve"> - 2</w:t>
      </w:r>
      <w:r w:rsidR="00AC00F2" w:rsidRPr="324FFCA2">
        <w:rPr>
          <w:rFonts w:ascii="Arial" w:eastAsia="Arial" w:hAnsi="Arial" w:cs="Arial"/>
          <w:color w:val="000000" w:themeColor="text1"/>
          <w:sz w:val="22"/>
          <w:szCs w:val="22"/>
        </w:rPr>
        <w:t>3</w:t>
      </w:r>
      <w:r w:rsidRPr="324FFCA2">
        <w:rPr>
          <w:rFonts w:ascii="Arial" w:eastAsia="Arial" w:hAnsi="Arial" w:cs="Arial"/>
          <w:color w:val="000000" w:themeColor="text1"/>
          <w:sz w:val="22"/>
          <w:szCs w:val="22"/>
        </w:rPr>
        <w:t xml:space="preserve"> were passed as special resolutions of the Company:</w:t>
      </w:r>
    </w:p>
    <w:p w14:paraId="56095E52" w14:textId="283C9899"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b/>
          <w:bCs/>
          <w:color w:val="000000" w:themeColor="text1"/>
          <w:sz w:val="22"/>
          <w:szCs w:val="22"/>
        </w:rPr>
        <w:t>ORDINARY RESOLUTION</w:t>
      </w:r>
      <w:r w:rsidR="00DF542B">
        <w:rPr>
          <w:rFonts w:ascii="Arial" w:eastAsia="Arial" w:hAnsi="Arial" w:cs="Arial"/>
          <w:b/>
          <w:bCs/>
          <w:color w:val="000000" w:themeColor="text1"/>
          <w:sz w:val="22"/>
          <w:szCs w:val="22"/>
        </w:rPr>
        <w:t>S</w:t>
      </w:r>
    </w:p>
    <w:p w14:paraId="5AED18B0" w14:textId="03DBF210" w:rsidR="2C60CE5E" w:rsidRDefault="2C60CE5E" w:rsidP="2C60CE5E">
      <w:pPr>
        <w:jc w:val="both"/>
        <w:rPr>
          <w:rFonts w:ascii="Arial" w:eastAsia="Arial" w:hAnsi="Arial" w:cs="Arial"/>
          <w:color w:val="000000" w:themeColor="text1"/>
          <w:sz w:val="22"/>
          <w:szCs w:val="22"/>
        </w:rPr>
      </w:pPr>
    </w:p>
    <w:p w14:paraId="765B3660" w14:textId="07C2FE62"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color w:val="000000" w:themeColor="text1"/>
          <w:sz w:val="22"/>
          <w:szCs w:val="22"/>
          <w:u w:val="single"/>
        </w:rPr>
        <w:t xml:space="preserve">Renewal of authority to allot shares </w:t>
      </w:r>
    </w:p>
    <w:p w14:paraId="5F3F77C2" w14:textId="79A4E6F8" w:rsidR="2C60CE5E" w:rsidRDefault="2C60CE5E" w:rsidP="2C60CE5E">
      <w:pPr>
        <w:jc w:val="both"/>
        <w:rPr>
          <w:rFonts w:ascii="Arial" w:eastAsia="Arial" w:hAnsi="Arial" w:cs="Arial"/>
          <w:color w:val="000000" w:themeColor="text1"/>
          <w:sz w:val="22"/>
          <w:szCs w:val="22"/>
        </w:rPr>
      </w:pPr>
    </w:p>
    <w:p w14:paraId="2362E613" w14:textId="1B2B072D" w:rsidR="00CD216E" w:rsidRDefault="00CD216E" w:rsidP="00CD216E">
      <w:pPr>
        <w:pStyle w:val="BodyText"/>
        <w:rPr>
          <w:rFonts w:ascii="Arial" w:hAnsi="Arial" w:cs="Arial"/>
          <w:sz w:val="22"/>
          <w:szCs w:val="22"/>
        </w:rPr>
      </w:pPr>
      <w:r>
        <w:rPr>
          <w:rFonts w:ascii="Arial" w:eastAsia="Arial" w:hAnsi="Arial" w:cs="Arial"/>
          <w:color w:val="000000" w:themeColor="text1"/>
          <w:sz w:val="22"/>
          <w:szCs w:val="22"/>
          <w:lang w:val="en-US"/>
        </w:rPr>
        <w:t>19</w:t>
      </w:r>
      <w:r w:rsidR="449201A2" w:rsidRPr="2C60CE5E">
        <w:rPr>
          <w:rFonts w:ascii="Arial" w:eastAsia="Arial" w:hAnsi="Arial" w:cs="Arial"/>
          <w:color w:val="000000" w:themeColor="text1"/>
          <w:sz w:val="22"/>
          <w:szCs w:val="22"/>
          <w:lang w:val="en-US"/>
        </w:rPr>
        <w:t xml:space="preserve">. </w:t>
      </w:r>
      <w:r w:rsidRPr="00CD216E">
        <w:rPr>
          <w:rFonts w:ascii="Arial" w:hAnsi="Arial" w:cs="Arial"/>
          <w:sz w:val="22"/>
          <w:szCs w:val="22"/>
        </w:rPr>
        <w:t>To authorise the Directors generally and unconditionally, in accordance with section 551 of the 2006 Act, to allot shares in the Company or to grant rights to subscribe for or convert any security into shares in the Company up to an aggregate nominal amount of £15</w:t>
      </w:r>
      <w:r w:rsidR="00A03033">
        <w:rPr>
          <w:rFonts w:ascii="Arial" w:hAnsi="Arial" w:cs="Arial"/>
          <w:sz w:val="22"/>
          <w:szCs w:val="22"/>
        </w:rPr>
        <w:t>4,211,779</w:t>
      </w:r>
      <w:r w:rsidRPr="00CD216E">
        <w:rPr>
          <w:rFonts w:ascii="Arial" w:hAnsi="Arial" w:cs="Arial"/>
          <w:sz w:val="22"/>
          <w:szCs w:val="22"/>
        </w:rPr>
        <w:t xml:space="preserve">. </w:t>
      </w:r>
    </w:p>
    <w:p w14:paraId="672DB239" w14:textId="5CBF0A75" w:rsidR="00AC00F2" w:rsidRPr="00CD216E" w:rsidRDefault="00CD216E" w:rsidP="00CD216E">
      <w:pPr>
        <w:pStyle w:val="BodyText"/>
        <w:rPr>
          <w:rFonts w:ascii="Arial" w:eastAsia="Arial" w:hAnsi="Arial" w:cs="Arial"/>
          <w:color w:val="000000" w:themeColor="text1"/>
          <w:sz w:val="22"/>
          <w:szCs w:val="22"/>
        </w:rPr>
      </w:pPr>
      <w:r w:rsidRPr="00CD216E">
        <w:rPr>
          <w:rFonts w:ascii="Arial" w:hAnsi="Arial" w:cs="Arial"/>
          <w:sz w:val="22"/>
          <w:szCs w:val="22"/>
        </w:rPr>
        <w:t>This authority shall expire at the earlier of the close of the next annual general meeting or 30 September 202</w:t>
      </w:r>
      <w:r w:rsidR="00A03033">
        <w:rPr>
          <w:rFonts w:ascii="Arial" w:hAnsi="Arial" w:cs="Arial"/>
          <w:sz w:val="22"/>
          <w:szCs w:val="22"/>
        </w:rPr>
        <w:t>5</w:t>
      </w:r>
      <w:r w:rsidRPr="00CD216E">
        <w:rPr>
          <w:rFonts w:ascii="Arial" w:hAnsi="Arial" w:cs="Arial"/>
          <w:sz w:val="22"/>
          <w:szCs w:val="22"/>
        </w:rPr>
        <w:t xml:space="preserve"> except that the Directors shall be entitled, at any time prior to the expiry of this authority, to make an offer or enter into an agreement which would, or might, require shares to be allotted or subscription or conversion rights to be granted after such expiry, and the Directors may allot shares or grant rights in accordance with such offer or agreement as if the authority conferred had not expired.</w:t>
      </w:r>
    </w:p>
    <w:p w14:paraId="2BD46019" w14:textId="3D581366"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b/>
          <w:bCs/>
          <w:color w:val="000000" w:themeColor="text1"/>
          <w:sz w:val="22"/>
          <w:szCs w:val="22"/>
        </w:rPr>
        <w:t>SPECIAL RESOLUTIONS</w:t>
      </w:r>
    </w:p>
    <w:p w14:paraId="76304031" w14:textId="394DBA79" w:rsidR="2C60CE5E" w:rsidRDefault="2C60CE5E" w:rsidP="2C60CE5E">
      <w:pPr>
        <w:jc w:val="both"/>
        <w:rPr>
          <w:rFonts w:ascii="Arial" w:eastAsia="Arial" w:hAnsi="Arial" w:cs="Arial"/>
          <w:color w:val="000000" w:themeColor="text1"/>
          <w:sz w:val="22"/>
          <w:szCs w:val="22"/>
        </w:rPr>
      </w:pPr>
    </w:p>
    <w:p w14:paraId="5AD850FC" w14:textId="0A571DAD"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color w:val="000000" w:themeColor="text1"/>
          <w:sz w:val="22"/>
          <w:szCs w:val="22"/>
          <w:u w:val="single"/>
        </w:rPr>
        <w:t xml:space="preserve">Disapplication of pre-emption rights </w:t>
      </w:r>
    </w:p>
    <w:p w14:paraId="0E58C00F" w14:textId="72C6A556" w:rsidR="2C60CE5E" w:rsidRDefault="2C60CE5E" w:rsidP="2C60CE5E">
      <w:pPr>
        <w:jc w:val="both"/>
        <w:rPr>
          <w:rFonts w:ascii="Arial" w:eastAsia="Arial" w:hAnsi="Arial" w:cs="Arial"/>
          <w:color w:val="000000" w:themeColor="text1"/>
          <w:sz w:val="22"/>
          <w:szCs w:val="22"/>
        </w:rPr>
      </w:pPr>
    </w:p>
    <w:p w14:paraId="14F05EE7" w14:textId="72EE4ABF" w:rsidR="00CD216E" w:rsidRPr="00CD216E" w:rsidRDefault="449201A2" w:rsidP="00CD216E">
      <w:pPr>
        <w:jc w:val="both"/>
        <w:rPr>
          <w:rFonts w:ascii="Arial" w:hAnsi="Arial" w:cs="Arial"/>
          <w:sz w:val="22"/>
          <w:szCs w:val="22"/>
        </w:rPr>
      </w:pPr>
      <w:r w:rsidRPr="00CD216E">
        <w:rPr>
          <w:rFonts w:ascii="Arial" w:eastAsia="Arial" w:hAnsi="Arial" w:cs="Arial"/>
          <w:color w:val="000000" w:themeColor="text1"/>
          <w:sz w:val="22"/>
          <w:szCs w:val="22"/>
        </w:rPr>
        <w:t>2</w:t>
      </w:r>
      <w:r w:rsidR="00CD216E" w:rsidRPr="00CD216E">
        <w:rPr>
          <w:rFonts w:ascii="Arial" w:eastAsia="Arial" w:hAnsi="Arial" w:cs="Arial"/>
          <w:color w:val="000000" w:themeColor="text1"/>
          <w:sz w:val="22"/>
          <w:szCs w:val="22"/>
        </w:rPr>
        <w:t>0</w:t>
      </w:r>
      <w:r w:rsidRPr="00CD216E">
        <w:rPr>
          <w:rFonts w:ascii="Arial" w:eastAsia="Arial" w:hAnsi="Arial" w:cs="Arial"/>
          <w:color w:val="000000" w:themeColor="text1"/>
          <w:sz w:val="22"/>
          <w:szCs w:val="22"/>
        </w:rPr>
        <w:t xml:space="preserve">. </w:t>
      </w:r>
      <w:r w:rsidR="00CD216E" w:rsidRPr="00CD216E">
        <w:rPr>
          <w:rFonts w:ascii="Arial" w:hAnsi="Arial" w:cs="Arial"/>
          <w:sz w:val="22"/>
          <w:szCs w:val="22"/>
        </w:rPr>
        <w:t xml:space="preserve">Subject to the passing of resolution 19, to authorise the Directors, in accordance with section 570 of the 2006 Act, to allot equity securities (as defined in section 560(1) of the 2006 Act) wholly for cash, including a sale of treasury shares, as if section 561 of the 2006 Act did not apply to any such allotment or sale, provided that this authority shall be limited to: </w:t>
      </w:r>
    </w:p>
    <w:p w14:paraId="3AB67141" w14:textId="77777777" w:rsidR="00CD216E" w:rsidRPr="00CD216E" w:rsidRDefault="00CD216E" w:rsidP="00CD216E">
      <w:pPr>
        <w:jc w:val="both"/>
        <w:rPr>
          <w:rFonts w:ascii="Arial" w:hAnsi="Arial" w:cs="Arial"/>
          <w:sz w:val="22"/>
          <w:szCs w:val="22"/>
        </w:rPr>
      </w:pPr>
    </w:p>
    <w:p w14:paraId="298821BB" w14:textId="54DEDBB4" w:rsidR="00C076DD" w:rsidRDefault="00CD216E" w:rsidP="003B7FD9">
      <w:pPr>
        <w:pStyle w:val="ListParagraph"/>
        <w:numPr>
          <w:ilvl w:val="0"/>
          <w:numId w:val="16"/>
        </w:numPr>
        <w:jc w:val="both"/>
        <w:rPr>
          <w:rFonts w:ascii="Arial" w:hAnsi="Arial" w:cs="Arial"/>
          <w:sz w:val="22"/>
          <w:szCs w:val="22"/>
        </w:rPr>
      </w:pPr>
      <w:r w:rsidRPr="001E1F2D">
        <w:rPr>
          <w:rFonts w:ascii="Arial" w:hAnsi="Arial" w:cs="Arial"/>
          <w:sz w:val="22"/>
          <w:szCs w:val="22"/>
        </w:rPr>
        <w:t>any such allotment or sale in connection with a pre-emptive offer; an</w:t>
      </w:r>
      <w:r w:rsidR="00C076DD">
        <w:rPr>
          <w:rFonts w:ascii="Arial" w:hAnsi="Arial" w:cs="Arial"/>
          <w:sz w:val="22"/>
          <w:szCs w:val="22"/>
        </w:rPr>
        <w:t>d</w:t>
      </w:r>
    </w:p>
    <w:p w14:paraId="5C93EB79" w14:textId="77777777" w:rsidR="00FE0E91" w:rsidRDefault="00FE0E91" w:rsidP="001E1F2D">
      <w:pPr>
        <w:pStyle w:val="ListParagraph"/>
        <w:ind w:left="1080"/>
        <w:jc w:val="both"/>
        <w:rPr>
          <w:rFonts w:ascii="Arial" w:hAnsi="Arial" w:cs="Arial"/>
          <w:sz w:val="22"/>
          <w:szCs w:val="22"/>
        </w:rPr>
      </w:pPr>
    </w:p>
    <w:p w14:paraId="2F9D1AA0" w14:textId="280124CA" w:rsidR="00FE0E91" w:rsidRDefault="00FE0E91" w:rsidP="003B7FD9">
      <w:pPr>
        <w:pStyle w:val="ListParagraph"/>
        <w:numPr>
          <w:ilvl w:val="0"/>
          <w:numId w:val="16"/>
        </w:numPr>
        <w:jc w:val="both"/>
        <w:rPr>
          <w:rFonts w:ascii="Arial" w:hAnsi="Arial" w:cs="Arial"/>
          <w:sz w:val="22"/>
          <w:szCs w:val="22"/>
        </w:rPr>
      </w:pPr>
      <w:r w:rsidRPr="1B36D826">
        <w:rPr>
          <w:rFonts w:ascii="Arial" w:hAnsi="Arial" w:cs="Arial"/>
          <w:sz w:val="22"/>
          <w:szCs w:val="22"/>
        </w:rPr>
        <w:t>any such allotment or sale, otherwise than pursuant to a pre</w:t>
      </w:r>
      <w:r w:rsidR="5A5A1C9B" w:rsidRPr="1B36D826">
        <w:rPr>
          <w:rFonts w:ascii="Arial" w:hAnsi="Arial" w:cs="Arial"/>
          <w:sz w:val="22"/>
          <w:szCs w:val="22"/>
        </w:rPr>
        <w:t>-</w:t>
      </w:r>
      <w:r w:rsidRPr="1B36D826">
        <w:rPr>
          <w:rFonts w:ascii="Arial" w:hAnsi="Arial" w:cs="Arial"/>
          <w:sz w:val="22"/>
          <w:szCs w:val="22"/>
        </w:rPr>
        <w:t>emptive offer, of equity securities up to an aggregate nominal amount of £2</w:t>
      </w:r>
      <w:r w:rsidR="00A03033">
        <w:rPr>
          <w:rFonts w:ascii="Arial" w:hAnsi="Arial" w:cs="Arial"/>
          <w:sz w:val="22"/>
          <w:szCs w:val="22"/>
        </w:rPr>
        <w:t>3,131,766</w:t>
      </w:r>
      <w:r w:rsidRPr="1B36D826">
        <w:rPr>
          <w:rFonts w:ascii="Arial" w:hAnsi="Arial" w:cs="Arial"/>
          <w:sz w:val="22"/>
          <w:szCs w:val="22"/>
        </w:rPr>
        <w:t>.</w:t>
      </w:r>
    </w:p>
    <w:p w14:paraId="67827B23" w14:textId="1048494C" w:rsidR="00CD216E" w:rsidRPr="00CD216E" w:rsidRDefault="00CD216E" w:rsidP="001E1F2D">
      <w:pPr>
        <w:pStyle w:val="ListParagraph"/>
        <w:ind w:left="1080"/>
        <w:jc w:val="both"/>
      </w:pPr>
    </w:p>
    <w:p w14:paraId="022CC5BE" w14:textId="77777777" w:rsidR="00CD216E" w:rsidRPr="00CD216E" w:rsidRDefault="00CD216E" w:rsidP="00CD216E">
      <w:pPr>
        <w:jc w:val="both"/>
        <w:rPr>
          <w:rFonts w:ascii="Arial" w:hAnsi="Arial" w:cs="Arial"/>
          <w:sz w:val="22"/>
          <w:szCs w:val="22"/>
        </w:rPr>
      </w:pPr>
    </w:p>
    <w:p w14:paraId="29936180" w14:textId="4EED1DA4" w:rsidR="2C60CE5E" w:rsidRPr="00CD216E" w:rsidRDefault="00CD216E" w:rsidP="00CD216E">
      <w:pPr>
        <w:jc w:val="both"/>
        <w:rPr>
          <w:rFonts w:ascii="Arial" w:eastAsia="Arial" w:hAnsi="Arial" w:cs="Arial"/>
          <w:color w:val="000000" w:themeColor="text1"/>
          <w:sz w:val="22"/>
          <w:szCs w:val="22"/>
        </w:rPr>
      </w:pPr>
      <w:r w:rsidRPr="00CD216E">
        <w:rPr>
          <w:rFonts w:ascii="Arial" w:hAnsi="Arial" w:cs="Arial"/>
          <w:sz w:val="22"/>
          <w:szCs w:val="22"/>
        </w:rPr>
        <w:t>This authority shall expire at the earlier of the close of the next annual general meeting or 30 September 202</w:t>
      </w:r>
      <w:r w:rsidR="00A03033">
        <w:rPr>
          <w:rFonts w:ascii="Arial" w:hAnsi="Arial" w:cs="Arial"/>
          <w:sz w:val="22"/>
          <w:szCs w:val="22"/>
        </w:rPr>
        <w:t>5</w:t>
      </w:r>
      <w:r w:rsidRPr="00CD216E">
        <w:rPr>
          <w:rFonts w:ascii="Arial" w:hAnsi="Arial" w:cs="Arial"/>
          <w:sz w:val="22"/>
          <w:szCs w:val="22"/>
        </w:rPr>
        <w:t xml:space="preserve"> except that the Directors shall be entitled, at any time prior to the expiry of this authority, to make an offer or enter into an agreement which would, or might, require equity securities to be allotted wholly or partly and treasury shares to be sold after such expiry, and the Directors may allot equity securities and sell treasury shares in accordance with such offer or agreement as if the authority conferred had not expired.</w:t>
      </w:r>
    </w:p>
    <w:p w14:paraId="256889D3" w14:textId="0047BDF1" w:rsidR="2C60CE5E" w:rsidRDefault="2C60CE5E" w:rsidP="2C60CE5E">
      <w:pPr>
        <w:jc w:val="both"/>
        <w:rPr>
          <w:rFonts w:ascii="Arial" w:eastAsia="Arial" w:hAnsi="Arial" w:cs="Arial"/>
          <w:color w:val="000000" w:themeColor="text1"/>
          <w:sz w:val="22"/>
          <w:szCs w:val="22"/>
        </w:rPr>
      </w:pPr>
    </w:p>
    <w:p w14:paraId="5182DEE1" w14:textId="4926844E" w:rsidR="00CD216E" w:rsidRDefault="449201A2" w:rsidP="00CD216E">
      <w:pPr>
        <w:jc w:val="both"/>
        <w:rPr>
          <w:rFonts w:ascii="Arial" w:hAnsi="Arial" w:cs="Arial"/>
          <w:sz w:val="22"/>
          <w:szCs w:val="22"/>
        </w:rPr>
      </w:pPr>
      <w:r w:rsidRPr="2C60CE5E">
        <w:rPr>
          <w:rFonts w:ascii="Arial" w:eastAsia="Arial" w:hAnsi="Arial" w:cs="Arial"/>
          <w:color w:val="000000" w:themeColor="text1"/>
          <w:sz w:val="22"/>
          <w:szCs w:val="22"/>
        </w:rPr>
        <w:t>2</w:t>
      </w:r>
      <w:r w:rsidR="00CD216E">
        <w:rPr>
          <w:rFonts w:ascii="Arial" w:eastAsia="Arial" w:hAnsi="Arial" w:cs="Arial"/>
          <w:color w:val="000000" w:themeColor="text1"/>
          <w:sz w:val="22"/>
          <w:szCs w:val="22"/>
        </w:rPr>
        <w:t>1</w:t>
      </w:r>
      <w:r w:rsidRPr="2C60CE5E">
        <w:rPr>
          <w:rFonts w:ascii="Arial" w:eastAsia="Arial" w:hAnsi="Arial" w:cs="Arial"/>
          <w:color w:val="000000" w:themeColor="text1"/>
          <w:sz w:val="22"/>
          <w:szCs w:val="22"/>
        </w:rPr>
        <w:t xml:space="preserve">. </w:t>
      </w:r>
      <w:r w:rsidR="00CD216E" w:rsidRPr="00CD216E">
        <w:rPr>
          <w:rFonts w:ascii="Arial" w:hAnsi="Arial" w:cs="Arial"/>
          <w:sz w:val="22"/>
          <w:szCs w:val="22"/>
        </w:rPr>
        <w:t xml:space="preserve">Subject to the passing of resolution 19, and in addition to any authority granted under resolution 20, to authorise the Directors, in accordance with section 570 of the 2006 Act, to allot equity securities wholly for cash, including a sale of treasury shares, as if section 561 of the 2006 Act did not apply to any such allotment or sale, provided that this authority shall be: </w:t>
      </w:r>
    </w:p>
    <w:p w14:paraId="65AE84FE" w14:textId="77777777" w:rsidR="00CD216E" w:rsidRDefault="00CD216E" w:rsidP="00CD216E">
      <w:pPr>
        <w:jc w:val="both"/>
        <w:rPr>
          <w:rFonts w:ascii="Arial" w:hAnsi="Arial" w:cs="Arial"/>
          <w:sz w:val="22"/>
          <w:szCs w:val="22"/>
        </w:rPr>
      </w:pPr>
    </w:p>
    <w:p w14:paraId="54834C76" w14:textId="7997089F" w:rsidR="003B7FD9" w:rsidRDefault="00CD216E" w:rsidP="003B7FD9">
      <w:pPr>
        <w:pStyle w:val="ListParagraph"/>
        <w:numPr>
          <w:ilvl w:val="0"/>
          <w:numId w:val="13"/>
        </w:numPr>
        <w:jc w:val="both"/>
        <w:rPr>
          <w:rFonts w:ascii="Arial" w:hAnsi="Arial" w:cs="Arial"/>
          <w:sz w:val="22"/>
          <w:szCs w:val="22"/>
        </w:rPr>
      </w:pPr>
      <w:r w:rsidRPr="00CD216E">
        <w:rPr>
          <w:rFonts w:ascii="Arial" w:hAnsi="Arial" w:cs="Arial"/>
          <w:sz w:val="22"/>
          <w:szCs w:val="22"/>
        </w:rPr>
        <w:t>limited to the allotment of equity securities or sale of treasury shares up to an aggregate nominal amount of £2</w:t>
      </w:r>
      <w:r w:rsidR="00A03033">
        <w:rPr>
          <w:rFonts w:ascii="Arial" w:hAnsi="Arial" w:cs="Arial"/>
          <w:sz w:val="22"/>
          <w:szCs w:val="22"/>
        </w:rPr>
        <w:t>3,131,766</w:t>
      </w:r>
      <w:r w:rsidRPr="00CD216E">
        <w:rPr>
          <w:rFonts w:ascii="Arial" w:hAnsi="Arial" w:cs="Arial"/>
          <w:sz w:val="22"/>
          <w:szCs w:val="22"/>
        </w:rPr>
        <w:t>; and</w:t>
      </w:r>
    </w:p>
    <w:p w14:paraId="30B4B559" w14:textId="77777777" w:rsidR="003B7FD9" w:rsidRPr="001E1F2D" w:rsidRDefault="003B7FD9" w:rsidP="001E1F2D">
      <w:pPr>
        <w:pStyle w:val="ListParagraph"/>
        <w:jc w:val="both"/>
        <w:rPr>
          <w:rFonts w:ascii="Arial" w:hAnsi="Arial" w:cs="Arial"/>
          <w:sz w:val="22"/>
          <w:szCs w:val="22"/>
        </w:rPr>
      </w:pPr>
    </w:p>
    <w:p w14:paraId="7B9C45AE" w14:textId="1BE9B6AD" w:rsidR="00CD216E" w:rsidRDefault="00CD216E" w:rsidP="00CD216E">
      <w:pPr>
        <w:pStyle w:val="ListParagraph"/>
        <w:numPr>
          <w:ilvl w:val="0"/>
          <w:numId w:val="13"/>
        </w:numPr>
        <w:jc w:val="both"/>
        <w:rPr>
          <w:rFonts w:ascii="Arial" w:hAnsi="Arial" w:cs="Arial"/>
          <w:sz w:val="22"/>
          <w:szCs w:val="22"/>
        </w:rPr>
      </w:pPr>
      <w:r w:rsidRPr="00CD216E">
        <w:rPr>
          <w:rFonts w:ascii="Arial" w:hAnsi="Arial" w:cs="Arial"/>
          <w:sz w:val="22"/>
          <w:szCs w:val="22"/>
        </w:rPr>
        <w:t xml:space="preserve">used only for the purposes of financing (or refinancing, if the authority is to be used within six months after the original transaction) a transaction which the Directors determine to be an acquisition or other capital investment of a kind contemplated by the Statement of Principles on Disapplying Pre-Emption Rights published by the Pre-Emption Group in 2015. </w:t>
      </w:r>
    </w:p>
    <w:p w14:paraId="466D0991" w14:textId="77777777" w:rsidR="00CD216E" w:rsidRDefault="00CD216E" w:rsidP="00CD216E">
      <w:pPr>
        <w:jc w:val="both"/>
        <w:rPr>
          <w:rFonts w:ascii="Arial" w:hAnsi="Arial" w:cs="Arial"/>
          <w:sz w:val="22"/>
          <w:szCs w:val="22"/>
        </w:rPr>
      </w:pPr>
    </w:p>
    <w:p w14:paraId="6EA699EC" w14:textId="3232B91E" w:rsidR="2C60CE5E" w:rsidRPr="00CD216E" w:rsidRDefault="00CD216E" w:rsidP="00CD216E">
      <w:pPr>
        <w:jc w:val="both"/>
        <w:rPr>
          <w:rFonts w:ascii="Arial" w:hAnsi="Arial" w:cs="Arial"/>
          <w:sz w:val="22"/>
          <w:szCs w:val="22"/>
        </w:rPr>
      </w:pPr>
      <w:r w:rsidRPr="00CD216E">
        <w:rPr>
          <w:rFonts w:ascii="Arial" w:hAnsi="Arial" w:cs="Arial"/>
          <w:sz w:val="22"/>
          <w:szCs w:val="22"/>
        </w:rPr>
        <w:t>This authority shall expire at the earlier of the close of the next annual general meeting or 30 September 202</w:t>
      </w:r>
      <w:r w:rsidR="00A03033">
        <w:rPr>
          <w:rFonts w:ascii="Arial" w:hAnsi="Arial" w:cs="Arial"/>
          <w:sz w:val="22"/>
          <w:szCs w:val="22"/>
        </w:rPr>
        <w:t>5</w:t>
      </w:r>
      <w:r w:rsidRPr="00CD216E">
        <w:rPr>
          <w:rFonts w:ascii="Arial" w:hAnsi="Arial" w:cs="Arial"/>
          <w:sz w:val="22"/>
          <w:szCs w:val="22"/>
        </w:rPr>
        <w:t xml:space="preserve"> except that the Directors shall be entitled, at any time prior to the expiry of this authority, to make an offer or enter into an agreement which would, or might, require equity securities to be allotted wholly or partly and treasury shares to be sold after such expiry, and the Directors may allot equity securities and sell treasury shares in accordance with such offer or agreement as if the authority conferred had not expired.</w:t>
      </w:r>
    </w:p>
    <w:p w14:paraId="0F430470" w14:textId="77777777" w:rsidR="00536743" w:rsidRDefault="00536743" w:rsidP="2C60CE5E">
      <w:pPr>
        <w:jc w:val="both"/>
        <w:rPr>
          <w:rFonts w:ascii="Arial" w:eastAsia="Arial" w:hAnsi="Arial" w:cs="Arial"/>
          <w:color w:val="000000" w:themeColor="text1"/>
          <w:sz w:val="22"/>
          <w:szCs w:val="22"/>
        </w:rPr>
      </w:pPr>
    </w:p>
    <w:p w14:paraId="59CF1BBA" w14:textId="2D015C8B"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color w:val="000000" w:themeColor="text1"/>
          <w:sz w:val="22"/>
          <w:szCs w:val="22"/>
          <w:u w:val="single"/>
        </w:rPr>
        <w:t xml:space="preserve">Purchase of own shares </w:t>
      </w:r>
    </w:p>
    <w:p w14:paraId="7B2E64D3" w14:textId="5598391D" w:rsidR="2C60CE5E" w:rsidRDefault="2C60CE5E" w:rsidP="2C60CE5E">
      <w:pPr>
        <w:jc w:val="both"/>
        <w:rPr>
          <w:rFonts w:ascii="Arial" w:eastAsia="Arial" w:hAnsi="Arial" w:cs="Arial"/>
          <w:color w:val="000000" w:themeColor="text1"/>
          <w:sz w:val="22"/>
          <w:szCs w:val="22"/>
        </w:rPr>
      </w:pPr>
    </w:p>
    <w:p w14:paraId="4A46A1FB" w14:textId="77777777" w:rsidR="00CD216E" w:rsidRDefault="449201A2" w:rsidP="00CD216E">
      <w:pPr>
        <w:jc w:val="both"/>
        <w:rPr>
          <w:rFonts w:ascii="Arial" w:hAnsi="Arial" w:cs="Arial"/>
          <w:sz w:val="22"/>
          <w:szCs w:val="22"/>
        </w:rPr>
      </w:pPr>
      <w:r w:rsidRPr="2C60CE5E">
        <w:rPr>
          <w:rFonts w:ascii="Arial" w:eastAsia="Arial" w:hAnsi="Arial" w:cs="Arial"/>
          <w:color w:val="000000" w:themeColor="text1"/>
          <w:sz w:val="22"/>
          <w:szCs w:val="22"/>
        </w:rPr>
        <w:t>2</w:t>
      </w:r>
      <w:r w:rsidR="00CD216E">
        <w:rPr>
          <w:rFonts w:ascii="Arial" w:eastAsia="Arial" w:hAnsi="Arial" w:cs="Arial"/>
          <w:color w:val="000000" w:themeColor="text1"/>
          <w:sz w:val="22"/>
          <w:szCs w:val="22"/>
        </w:rPr>
        <w:t>2</w:t>
      </w:r>
      <w:r w:rsidRPr="2C60CE5E">
        <w:rPr>
          <w:rFonts w:ascii="Arial" w:eastAsia="Arial" w:hAnsi="Arial" w:cs="Arial"/>
          <w:color w:val="000000" w:themeColor="text1"/>
          <w:sz w:val="22"/>
          <w:szCs w:val="22"/>
        </w:rPr>
        <w:t xml:space="preserve">. </w:t>
      </w:r>
      <w:r w:rsidR="00CD216E" w:rsidRPr="00CD216E">
        <w:rPr>
          <w:rFonts w:ascii="Arial" w:hAnsi="Arial" w:cs="Arial"/>
          <w:sz w:val="22"/>
          <w:szCs w:val="22"/>
        </w:rPr>
        <w:t xml:space="preserve">To authorise the Company generally and unconditionally, for the purpose of section 701 of the 2006 Act, to make market purchases of its ordinary shares provided that: </w:t>
      </w:r>
    </w:p>
    <w:p w14:paraId="125539B6" w14:textId="77777777" w:rsidR="00CD216E" w:rsidRDefault="00CD216E" w:rsidP="00CD216E">
      <w:pPr>
        <w:jc w:val="both"/>
        <w:rPr>
          <w:rFonts w:ascii="Arial" w:hAnsi="Arial" w:cs="Arial"/>
          <w:sz w:val="22"/>
          <w:szCs w:val="22"/>
        </w:rPr>
      </w:pPr>
    </w:p>
    <w:p w14:paraId="423B653F" w14:textId="658B619C" w:rsidR="00CD216E" w:rsidRDefault="00CD216E" w:rsidP="00CD216E">
      <w:pPr>
        <w:pStyle w:val="ListParagraph"/>
        <w:numPr>
          <w:ilvl w:val="0"/>
          <w:numId w:val="14"/>
        </w:numPr>
        <w:ind w:left="720"/>
        <w:jc w:val="both"/>
        <w:rPr>
          <w:rFonts w:ascii="Arial" w:hAnsi="Arial" w:cs="Arial"/>
          <w:sz w:val="22"/>
          <w:szCs w:val="22"/>
        </w:rPr>
      </w:pPr>
      <w:r w:rsidRPr="00CD216E">
        <w:rPr>
          <w:rFonts w:ascii="Arial" w:hAnsi="Arial" w:cs="Arial"/>
          <w:sz w:val="22"/>
          <w:szCs w:val="22"/>
        </w:rPr>
        <w:t>the maximum number of ordinary shares that may be acquired is 3</w:t>
      </w:r>
      <w:r w:rsidR="00A03033">
        <w:rPr>
          <w:rFonts w:ascii="Arial" w:hAnsi="Arial" w:cs="Arial"/>
          <w:sz w:val="22"/>
          <w:szCs w:val="22"/>
        </w:rPr>
        <w:t>72,153,936</w:t>
      </w:r>
      <w:r w:rsidRPr="00CD216E">
        <w:rPr>
          <w:rFonts w:ascii="Arial" w:hAnsi="Arial" w:cs="Arial"/>
          <w:sz w:val="22"/>
          <w:szCs w:val="22"/>
        </w:rPr>
        <w:t xml:space="preserve"> being 10% of the Company’s issued share capital (excluding treasury shares) as at </w:t>
      </w:r>
      <w:r w:rsidR="00A03033">
        <w:rPr>
          <w:rFonts w:ascii="Arial" w:hAnsi="Arial" w:cs="Arial"/>
          <w:sz w:val="22"/>
          <w:szCs w:val="22"/>
        </w:rPr>
        <w:t>22</w:t>
      </w:r>
      <w:r w:rsidRPr="00CD216E">
        <w:rPr>
          <w:rFonts w:ascii="Arial" w:hAnsi="Arial" w:cs="Arial"/>
          <w:sz w:val="22"/>
          <w:szCs w:val="22"/>
        </w:rPr>
        <w:t xml:space="preserve"> May 202</w:t>
      </w:r>
      <w:r w:rsidR="00A03033">
        <w:rPr>
          <w:rFonts w:ascii="Arial" w:hAnsi="Arial" w:cs="Arial"/>
          <w:sz w:val="22"/>
          <w:szCs w:val="22"/>
        </w:rPr>
        <w:t>4</w:t>
      </w:r>
      <w:r w:rsidRPr="00CD216E">
        <w:rPr>
          <w:rFonts w:ascii="Arial" w:hAnsi="Arial" w:cs="Arial"/>
          <w:sz w:val="22"/>
          <w:szCs w:val="22"/>
        </w:rPr>
        <w:t xml:space="preserve">; </w:t>
      </w:r>
    </w:p>
    <w:p w14:paraId="00F37449" w14:textId="77777777" w:rsidR="001805D5" w:rsidRPr="00CD216E" w:rsidRDefault="001805D5" w:rsidP="001805D5">
      <w:pPr>
        <w:pStyle w:val="ListParagraph"/>
        <w:jc w:val="both"/>
        <w:rPr>
          <w:rFonts w:ascii="Arial" w:hAnsi="Arial" w:cs="Arial"/>
          <w:sz w:val="22"/>
          <w:szCs w:val="22"/>
        </w:rPr>
      </w:pPr>
    </w:p>
    <w:p w14:paraId="3EA79A40" w14:textId="40AD316D" w:rsidR="00CD216E" w:rsidRDefault="00CD216E" w:rsidP="00CD216E">
      <w:pPr>
        <w:pStyle w:val="ListParagraph"/>
        <w:numPr>
          <w:ilvl w:val="0"/>
          <w:numId w:val="14"/>
        </w:numPr>
        <w:ind w:left="720"/>
        <w:jc w:val="both"/>
        <w:rPr>
          <w:rFonts w:ascii="Arial" w:hAnsi="Arial" w:cs="Arial"/>
          <w:sz w:val="22"/>
          <w:szCs w:val="22"/>
        </w:rPr>
      </w:pPr>
      <w:r w:rsidRPr="00CD216E">
        <w:rPr>
          <w:rFonts w:ascii="Arial" w:hAnsi="Arial" w:cs="Arial"/>
          <w:sz w:val="22"/>
          <w:szCs w:val="22"/>
        </w:rPr>
        <w:t xml:space="preserve">the minimum price per ordinary share that may be paid for any such shares is 12 </w:t>
      </w:r>
      <w:r w:rsidR="00C667E7">
        <w:rPr>
          <w:noProof/>
        </w:rPr>
        <w:drawing>
          <wp:inline distT="0" distB="0" distL="0" distR="0" wp14:anchorId="75BD715A" wp14:editId="7FB28FD0">
            <wp:extent cx="504825" cy="3143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04825" cy="314325"/>
                    </a:xfrm>
                    <a:prstGeom prst="rect">
                      <a:avLst/>
                    </a:prstGeom>
                  </pic:spPr>
                </pic:pic>
              </a:graphicData>
            </a:graphic>
          </wp:inline>
        </w:drawing>
      </w:r>
      <w:r w:rsidRPr="00CD216E">
        <w:rPr>
          <w:rFonts w:ascii="Arial" w:hAnsi="Arial" w:cs="Arial"/>
          <w:sz w:val="22"/>
          <w:szCs w:val="22"/>
        </w:rPr>
        <w:t xml:space="preserve"> pence; and </w:t>
      </w:r>
    </w:p>
    <w:p w14:paraId="20F05863" w14:textId="77777777" w:rsidR="001805D5" w:rsidRDefault="001805D5" w:rsidP="001805D5">
      <w:pPr>
        <w:pStyle w:val="ListParagraph"/>
        <w:jc w:val="both"/>
        <w:rPr>
          <w:rFonts w:ascii="Arial" w:hAnsi="Arial" w:cs="Arial"/>
          <w:sz w:val="22"/>
          <w:szCs w:val="22"/>
        </w:rPr>
      </w:pPr>
    </w:p>
    <w:p w14:paraId="20B4F5BD" w14:textId="59A1B1C8" w:rsidR="00CD216E" w:rsidRDefault="00CD216E" w:rsidP="00CD216E">
      <w:pPr>
        <w:pStyle w:val="ListParagraph"/>
        <w:numPr>
          <w:ilvl w:val="0"/>
          <w:numId w:val="14"/>
        </w:numPr>
        <w:ind w:left="720"/>
        <w:jc w:val="both"/>
        <w:rPr>
          <w:rFonts w:ascii="Arial" w:hAnsi="Arial" w:cs="Arial"/>
          <w:sz w:val="22"/>
          <w:szCs w:val="22"/>
        </w:rPr>
      </w:pPr>
      <w:r w:rsidRPr="00CD216E">
        <w:rPr>
          <w:rFonts w:ascii="Arial" w:hAnsi="Arial" w:cs="Arial"/>
          <w:sz w:val="22"/>
          <w:szCs w:val="22"/>
        </w:rPr>
        <w:t xml:space="preserve">the maximum price per share that may be paid for any such shares is not more than the higher of: </w:t>
      </w:r>
    </w:p>
    <w:p w14:paraId="2B2E2DCF" w14:textId="77777777" w:rsidR="001805D5" w:rsidRDefault="001805D5" w:rsidP="001805D5">
      <w:pPr>
        <w:pStyle w:val="ListParagraph"/>
        <w:jc w:val="both"/>
        <w:rPr>
          <w:rFonts w:ascii="Arial" w:hAnsi="Arial" w:cs="Arial"/>
          <w:sz w:val="22"/>
          <w:szCs w:val="22"/>
        </w:rPr>
      </w:pPr>
    </w:p>
    <w:p w14:paraId="2173BFA8" w14:textId="61CE4CB5" w:rsidR="00CD216E" w:rsidRDefault="00CD216E" w:rsidP="001805D5">
      <w:pPr>
        <w:pStyle w:val="ListParagraph"/>
        <w:numPr>
          <w:ilvl w:val="0"/>
          <w:numId w:val="15"/>
        </w:numPr>
        <w:jc w:val="both"/>
        <w:rPr>
          <w:rFonts w:ascii="Arial" w:hAnsi="Arial" w:cs="Arial"/>
          <w:sz w:val="22"/>
          <w:szCs w:val="22"/>
        </w:rPr>
      </w:pPr>
      <w:r w:rsidRPr="00CD216E">
        <w:rPr>
          <w:rFonts w:ascii="Arial" w:hAnsi="Arial" w:cs="Arial"/>
          <w:sz w:val="22"/>
          <w:szCs w:val="22"/>
        </w:rPr>
        <w:t xml:space="preserve">an amount equal to 105% of the average closing price for an ordinary share, as derived from the London Stock Exchange Official List, for the five business days immediately prior to the day on which the purchase is made; and </w:t>
      </w:r>
    </w:p>
    <w:p w14:paraId="7908CDDB" w14:textId="77777777" w:rsidR="001805D5" w:rsidRDefault="001805D5" w:rsidP="001805D5">
      <w:pPr>
        <w:pStyle w:val="ListParagraph"/>
        <w:ind w:left="1080"/>
        <w:jc w:val="both"/>
        <w:rPr>
          <w:rFonts w:ascii="Arial" w:hAnsi="Arial" w:cs="Arial"/>
          <w:sz w:val="22"/>
          <w:szCs w:val="22"/>
        </w:rPr>
      </w:pPr>
    </w:p>
    <w:p w14:paraId="53176097" w14:textId="5DCE73E8" w:rsidR="00CD216E" w:rsidRDefault="00CD216E" w:rsidP="001E1F2D">
      <w:pPr>
        <w:pStyle w:val="ListParagraph"/>
        <w:ind w:left="1080" w:hanging="360"/>
        <w:jc w:val="both"/>
        <w:rPr>
          <w:rFonts w:ascii="Arial" w:hAnsi="Arial" w:cs="Arial"/>
          <w:sz w:val="22"/>
          <w:szCs w:val="22"/>
        </w:rPr>
      </w:pPr>
      <w:r w:rsidRPr="1B36D826">
        <w:rPr>
          <w:rFonts w:ascii="Arial" w:hAnsi="Arial" w:cs="Arial"/>
          <w:sz w:val="22"/>
          <w:szCs w:val="22"/>
        </w:rPr>
        <w:t xml:space="preserve">(b) an amount equal to the higher of the </w:t>
      </w:r>
      <w:r w:rsidR="34DAB24D" w:rsidRPr="1B36D826">
        <w:rPr>
          <w:rFonts w:ascii="Arial" w:hAnsi="Arial" w:cs="Arial"/>
          <w:sz w:val="22"/>
          <w:szCs w:val="22"/>
        </w:rPr>
        <w:t>p</w:t>
      </w:r>
      <w:r w:rsidRPr="1B36D826">
        <w:rPr>
          <w:rFonts w:ascii="Arial" w:hAnsi="Arial" w:cs="Arial"/>
          <w:sz w:val="22"/>
          <w:szCs w:val="22"/>
        </w:rPr>
        <w:t xml:space="preserve">rice of the last independent trade of an ordinary share and the highest current independent bid for an ordinary share on the trading venue where the market purchase pursuant to the authority conferred by this resolution will be carried out. </w:t>
      </w:r>
    </w:p>
    <w:p w14:paraId="0B960BB5" w14:textId="77777777" w:rsidR="001805D5" w:rsidRDefault="001805D5" w:rsidP="00CD216E">
      <w:pPr>
        <w:pStyle w:val="ListParagraph"/>
        <w:jc w:val="both"/>
        <w:rPr>
          <w:rFonts w:ascii="Arial" w:hAnsi="Arial" w:cs="Arial"/>
          <w:sz w:val="22"/>
          <w:szCs w:val="22"/>
        </w:rPr>
      </w:pPr>
    </w:p>
    <w:p w14:paraId="3CEB1F48" w14:textId="2F2C7C88" w:rsidR="006F2BE3" w:rsidRPr="00CD216E" w:rsidRDefault="00CD216E" w:rsidP="00CD216E">
      <w:pPr>
        <w:jc w:val="both"/>
        <w:rPr>
          <w:rFonts w:ascii="Arial" w:hAnsi="Arial" w:cs="Arial"/>
          <w:sz w:val="22"/>
          <w:szCs w:val="22"/>
        </w:rPr>
      </w:pPr>
      <w:r w:rsidRPr="00CD216E">
        <w:rPr>
          <w:rFonts w:ascii="Arial" w:hAnsi="Arial" w:cs="Arial"/>
          <w:sz w:val="22"/>
          <w:szCs w:val="22"/>
        </w:rPr>
        <w:t>This authority shall expire at the earlier of the close of the next annual general meeting or 30 September 202</w:t>
      </w:r>
      <w:r w:rsidR="00A03033">
        <w:rPr>
          <w:rFonts w:ascii="Arial" w:hAnsi="Arial" w:cs="Arial"/>
          <w:sz w:val="22"/>
          <w:szCs w:val="22"/>
        </w:rPr>
        <w:t>5</w:t>
      </w:r>
      <w:r w:rsidRPr="00CD216E">
        <w:rPr>
          <w:rFonts w:ascii="Arial" w:hAnsi="Arial" w:cs="Arial"/>
          <w:sz w:val="22"/>
          <w:szCs w:val="22"/>
        </w:rPr>
        <w:t xml:space="preserve"> except that the Company shall be entitled, at any time prior to the expiry of this authority, to make a contract of purchase which would, or might, be executed wholly or partly after such expiry and to purchase ordinary shares in accordance with such contract as if the authority conferred had not expired.</w:t>
      </w:r>
    </w:p>
    <w:p w14:paraId="291C86D7" w14:textId="77777777" w:rsidR="006F2BE3" w:rsidRDefault="006F2BE3" w:rsidP="2C60CE5E">
      <w:pPr>
        <w:jc w:val="both"/>
        <w:rPr>
          <w:rFonts w:ascii="Arial" w:eastAsia="Arial" w:hAnsi="Arial" w:cs="Arial"/>
          <w:color w:val="000000" w:themeColor="text1"/>
          <w:sz w:val="22"/>
          <w:szCs w:val="22"/>
        </w:rPr>
      </w:pPr>
    </w:p>
    <w:p w14:paraId="4C904399" w14:textId="2243AC09" w:rsidR="2C60CE5E" w:rsidRDefault="2C60CE5E" w:rsidP="2C60CE5E">
      <w:pPr>
        <w:jc w:val="both"/>
        <w:rPr>
          <w:color w:val="000000" w:themeColor="text1"/>
        </w:rPr>
      </w:pPr>
    </w:p>
    <w:p w14:paraId="71BE2B5F" w14:textId="59023134" w:rsidR="449201A2" w:rsidRDefault="449201A2" w:rsidP="2C60CE5E">
      <w:pPr>
        <w:jc w:val="both"/>
        <w:rPr>
          <w:rFonts w:ascii="Arial" w:eastAsia="Arial" w:hAnsi="Arial" w:cs="Arial"/>
          <w:color w:val="000000" w:themeColor="text1"/>
          <w:sz w:val="22"/>
          <w:szCs w:val="22"/>
        </w:rPr>
      </w:pPr>
      <w:r w:rsidRPr="2C60CE5E">
        <w:rPr>
          <w:rFonts w:ascii="Arial" w:eastAsia="Arial" w:hAnsi="Arial" w:cs="Arial"/>
          <w:color w:val="000000" w:themeColor="text1"/>
          <w:sz w:val="22"/>
          <w:szCs w:val="22"/>
          <w:u w:val="single"/>
        </w:rPr>
        <w:t xml:space="preserve">General meetings </w:t>
      </w:r>
    </w:p>
    <w:p w14:paraId="40DC2D53" w14:textId="0FD68951" w:rsidR="2C60CE5E" w:rsidRDefault="2C60CE5E" w:rsidP="2C60CE5E">
      <w:pPr>
        <w:jc w:val="both"/>
        <w:rPr>
          <w:rFonts w:ascii="Arial" w:eastAsia="Arial" w:hAnsi="Arial" w:cs="Arial"/>
          <w:color w:val="000000" w:themeColor="text1"/>
          <w:sz w:val="22"/>
          <w:szCs w:val="22"/>
        </w:rPr>
      </w:pPr>
    </w:p>
    <w:p w14:paraId="773D2062" w14:textId="4F4DF877" w:rsidR="2C60CE5E" w:rsidRDefault="449201A2" w:rsidP="2C60CE5E">
      <w:pPr>
        <w:jc w:val="both"/>
        <w:rPr>
          <w:color w:val="000000" w:themeColor="text1"/>
        </w:rPr>
      </w:pPr>
      <w:r w:rsidRPr="1B36D826">
        <w:rPr>
          <w:rFonts w:ascii="Arial" w:eastAsia="Arial" w:hAnsi="Arial" w:cs="Arial"/>
          <w:color w:val="000000" w:themeColor="text1"/>
          <w:sz w:val="22"/>
          <w:szCs w:val="22"/>
        </w:rPr>
        <w:t>2</w:t>
      </w:r>
      <w:r w:rsidR="05C5C77A" w:rsidRPr="1B36D826">
        <w:rPr>
          <w:rFonts w:ascii="Arial" w:eastAsia="Arial" w:hAnsi="Arial" w:cs="Arial"/>
          <w:color w:val="000000" w:themeColor="text1"/>
          <w:sz w:val="22"/>
          <w:szCs w:val="22"/>
        </w:rPr>
        <w:t>3</w:t>
      </w:r>
      <w:r w:rsidRPr="1B36D826">
        <w:rPr>
          <w:rFonts w:ascii="Arial" w:eastAsia="Arial" w:hAnsi="Arial" w:cs="Arial"/>
          <w:color w:val="000000" w:themeColor="text1"/>
          <w:sz w:val="22"/>
          <w:szCs w:val="22"/>
        </w:rPr>
        <w:t xml:space="preserve">. </w:t>
      </w:r>
      <w:r w:rsidR="00B245A8" w:rsidRPr="1B36D826">
        <w:rPr>
          <w:rFonts w:ascii="Arial" w:eastAsia="Arial" w:hAnsi="Arial" w:cs="Arial"/>
          <w:color w:val="000000" w:themeColor="text1"/>
          <w:sz w:val="22"/>
          <w:szCs w:val="22"/>
        </w:rPr>
        <w:t xml:space="preserve">To authorise the Directors, in accordance with the </w:t>
      </w:r>
      <w:r w:rsidR="4A458A78" w:rsidRPr="1B36D826">
        <w:rPr>
          <w:rFonts w:ascii="Arial" w:eastAsia="Arial" w:hAnsi="Arial" w:cs="Arial"/>
          <w:color w:val="000000" w:themeColor="text1"/>
          <w:sz w:val="22"/>
          <w:szCs w:val="22"/>
        </w:rPr>
        <w:t>Company’s articles of association (‘</w:t>
      </w:r>
      <w:r w:rsidR="00B245A8" w:rsidRPr="1B36D826">
        <w:rPr>
          <w:rFonts w:ascii="Arial" w:eastAsia="Arial" w:hAnsi="Arial" w:cs="Arial"/>
          <w:color w:val="000000" w:themeColor="text1"/>
          <w:sz w:val="22"/>
          <w:szCs w:val="22"/>
        </w:rPr>
        <w:t>Articles</w:t>
      </w:r>
      <w:r w:rsidR="36ECFAD3" w:rsidRPr="1B36D826">
        <w:rPr>
          <w:rFonts w:ascii="Arial" w:eastAsia="Arial" w:hAnsi="Arial" w:cs="Arial"/>
          <w:color w:val="000000" w:themeColor="text1"/>
          <w:sz w:val="22"/>
          <w:szCs w:val="22"/>
        </w:rPr>
        <w:t>’)</w:t>
      </w:r>
      <w:r w:rsidR="00B245A8" w:rsidRPr="1B36D826">
        <w:rPr>
          <w:rFonts w:ascii="Arial" w:eastAsia="Arial" w:hAnsi="Arial" w:cs="Arial"/>
          <w:color w:val="000000" w:themeColor="text1"/>
          <w:sz w:val="22"/>
          <w:szCs w:val="22"/>
        </w:rPr>
        <w:t>, to call a general meeting of the Company, other than an annual general meeting, on not less than 14 clear days’ notice.</w:t>
      </w:r>
    </w:p>
    <w:p w14:paraId="6D5545B6" w14:textId="07CF9BD5" w:rsidR="2C60CE5E" w:rsidRDefault="2C60CE5E" w:rsidP="2C60CE5E">
      <w:pPr>
        <w:jc w:val="both"/>
        <w:rPr>
          <w:color w:val="000000" w:themeColor="text1"/>
        </w:rPr>
      </w:pPr>
    </w:p>
    <w:p w14:paraId="735FF586" w14:textId="1A72E27B" w:rsidR="2C60CE5E" w:rsidRDefault="2C60CE5E" w:rsidP="2C60CE5E">
      <w:pPr>
        <w:jc w:val="both"/>
      </w:pPr>
    </w:p>
    <w:sectPr w:rsidR="2C60CE5E" w:rsidSect="00647ECC">
      <w:pgSz w:w="12240" w:h="15840"/>
      <w:pgMar w:top="1276" w:right="1440" w:bottom="1135"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541BEE"/>
    <w:multiLevelType w:val="hybridMultilevel"/>
    <w:tmpl w:val="25D4A8C6"/>
    <w:lvl w:ilvl="0" w:tplc="4516DB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0D6B7909"/>
    <w:multiLevelType w:val="hybridMultilevel"/>
    <w:tmpl w:val="55C856AC"/>
    <w:lvl w:ilvl="0" w:tplc="A1026F02">
      <w:start w:val="1"/>
      <w:numFmt w:val="lowerRoman"/>
      <w:lvlText w:val="(%1)"/>
      <w:lvlJc w:val="right"/>
      <w:pPr>
        <w:ind w:left="720" w:hanging="360"/>
      </w:pPr>
    </w:lvl>
    <w:lvl w:ilvl="1" w:tplc="1DCCA5F0">
      <w:start w:val="1"/>
      <w:numFmt w:val="lowerLetter"/>
      <w:lvlText w:val="%2."/>
      <w:lvlJc w:val="left"/>
      <w:pPr>
        <w:ind w:left="1440" w:hanging="360"/>
      </w:pPr>
    </w:lvl>
    <w:lvl w:ilvl="2" w:tplc="7B584320">
      <w:start w:val="1"/>
      <w:numFmt w:val="lowerRoman"/>
      <w:lvlText w:val="%3."/>
      <w:lvlJc w:val="right"/>
      <w:pPr>
        <w:ind w:left="2160" w:hanging="180"/>
      </w:pPr>
    </w:lvl>
    <w:lvl w:ilvl="3" w:tplc="753CD9A6">
      <w:start w:val="1"/>
      <w:numFmt w:val="decimal"/>
      <w:lvlText w:val="%4."/>
      <w:lvlJc w:val="left"/>
      <w:pPr>
        <w:ind w:left="2880" w:hanging="360"/>
      </w:pPr>
    </w:lvl>
    <w:lvl w:ilvl="4" w:tplc="5ECC35F2">
      <w:start w:val="1"/>
      <w:numFmt w:val="lowerLetter"/>
      <w:lvlText w:val="%5."/>
      <w:lvlJc w:val="left"/>
      <w:pPr>
        <w:ind w:left="3600" w:hanging="360"/>
      </w:pPr>
    </w:lvl>
    <w:lvl w:ilvl="5" w:tplc="EEB43444">
      <w:start w:val="1"/>
      <w:numFmt w:val="lowerRoman"/>
      <w:lvlText w:val="%6."/>
      <w:lvlJc w:val="right"/>
      <w:pPr>
        <w:ind w:left="4320" w:hanging="180"/>
      </w:pPr>
    </w:lvl>
    <w:lvl w:ilvl="6" w:tplc="64F8EAAA">
      <w:start w:val="1"/>
      <w:numFmt w:val="decimal"/>
      <w:lvlText w:val="%7."/>
      <w:lvlJc w:val="left"/>
      <w:pPr>
        <w:ind w:left="5040" w:hanging="360"/>
      </w:pPr>
    </w:lvl>
    <w:lvl w:ilvl="7" w:tplc="3A5ADA1E">
      <w:start w:val="1"/>
      <w:numFmt w:val="lowerLetter"/>
      <w:lvlText w:val="%8."/>
      <w:lvlJc w:val="left"/>
      <w:pPr>
        <w:ind w:left="5760" w:hanging="360"/>
      </w:pPr>
    </w:lvl>
    <w:lvl w:ilvl="8" w:tplc="6EBA70CE">
      <w:start w:val="1"/>
      <w:numFmt w:val="lowerRoman"/>
      <w:lvlText w:val="%9."/>
      <w:lvlJc w:val="right"/>
      <w:pPr>
        <w:ind w:left="6480" w:hanging="180"/>
      </w:pPr>
    </w:lvl>
  </w:abstractNum>
  <w:abstractNum w:abstractNumId="2" w15:restartNumberingAfterBreak="0">
    <w:nsid w:val="124A6072"/>
    <w:multiLevelType w:val="hybridMultilevel"/>
    <w:tmpl w:val="90F6D3CE"/>
    <w:lvl w:ilvl="0" w:tplc="1712682A">
      <w:start w:val="1"/>
      <w:numFmt w:val="lowerRoman"/>
      <w:lvlText w:val="(%1)"/>
      <w:lvlJc w:val="right"/>
      <w:pPr>
        <w:ind w:left="720" w:hanging="360"/>
      </w:pPr>
    </w:lvl>
    <w:lvl w:ilvl="1" w:tplc="7D967292">
      <w:start w:val="1"/>
      <w:numFmt w:val="lowerLetter"/>
      <w:lvlText w:val="%2."/>
      <w:lvlJc w:val="left"/>
      <w:pPr>
        <w:ind w:left="1440" w:hanging="360"/>
      </w:pPr>
    </w:lvl>
    <w:lvl w:ilvl="2" w:tplc="B76A0914">
      <w:start w:val="1"/>
      <w:numFmt w:val="lowerRoman"/>
      <w:lvlText w:val="%3."/>
      <w:lvlJc w:val="right"/>
      <w:pPr>
        <w:ind w:left="2160" w:hanging="180"/>
      </w:pPr>
    </w:lvl>
    <w:lvl w:ilvl="3" w:tplc="A8D8D63C">
      <w:start w:val="1"/>
      <w:numFmt w:val="decimal"/>
      <w:lvlText w:val="%4."/>
      <w:lvlJc w:val="left"/>
      <w:pPr>
        <w:ind w:left="2880" w:hanging="360"/>
      </w:pPr>
    </w:lvl>
    <w:lvl w:ilvl="4" w:tplc="515EFDD0">
      <w:start w:val="1"/>
      <w:numFmt w:val="lowerLetter"/>
      <w:lvlText w:val="%5."/>
      <w:lvlJc w:val="left"/>
      <w:pPr>
        <w:ind w:left="3600" w:hanging="360"/>
      </w:pPr>
    </w:lvl>
    <w:lvl w:ilvl="5" w:tplc="99EEC1E0">
      <w:start w:val="1"/>
      <w:numFmt w:val="lowerRoman"/>
      <w:lvlText w:val="%6."/>
      <w:lvlJc w:val="right"/>
      <w:pPr>
        <w:ind w:left="4320" w:hanging="180"/>
      </w:pPr>
    </w:lvl>
    <w:lvl w:ilvl="6" w:tplc="36D011F4">
      <w:start w:val="1"/>
      <w:numFmt w:val="decimal"/>
      <w:lvlText w:val="%7."/>
      <w:lvlJc w:val="left"/>
      <w:pPr>
        <w:ind w:left="5040" w:hanging="360"/>
      </w:pPr>
    </w:lvl>
    <w:lvl w:ilvl="7" w:tplc="1ED66E28">
      <w:start w:val="1"/>
      <w:numFmt w:val="lowerLetter"/>
      <w:lvlText w:val="%8."/>
      <w:lvlJc w:val="left"/>
      <w:pPr>
        <w:ind w:left="5760" w:hanging="360"/>
      </w:pPr>
    </w:lvl>
    <w:lvl w:ilvl="8" w:tplc="73947D98">
      <w:start w:val="1"/>
      <w:numFmt w:val="lowerRoman"/>
      <w:lvlText w:val="%9."/>
      <w:lvlJc w:val="right"/>
      <w:pPr>
        <w:ind w:left="6480" w:hanging="180"/>
      </w:pPr>
    </w:lvl>
  </w:abstractNum>
  <w:abstractNum w:abstractNumId="3" w15:restartNumberingAfterBreak="0">
    <w:nsid w:val="1C46712E"/>
    <w:multiLevelType w:val="hybridMultilevel"/>
    <w:tmpl w:val="6EC85CDA"/>
    <w:lvl w:ilvl="0" w:tplc="6A9A0062">
      <w:start w:val="1"/>
      <w:numFmt w:val="lowerRoman"/>
      <w:lvlText w:val="(%1)"/>
      <w:lvlJc w:val="left"/>
      <w:pPr>
        <w:ind w:left="1800" w:hanging="1080"/>
      </w:pPr>
      <w:rPr>
        <w:rFonts w:ascii="Arial" w:hAnsi="Arial" w:cs="Arial"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FB50D24"/>
    <w:multiLevelType w:val="hybridMultilevel"/>
    <w:tmpl w:val="DAB03C76"/>
    <w:lvl w:ilvl="0" w:tplc="F5C2CE9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3FF3887"/>
    <w:multiLevelType w:val="hybridMultilevel"/>
    <w:tmpl w:val="DAB03C76"/>
    <w:lvl w:ilvl="0" w:tplc="F5C2CE9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7CC5B78"/>
    <w:multiLevelType w:val="hybridMultilevel"/>
    <w:tmpl w:val="DAB03C76"/>
    <w:lvl w:ilvl="0" w:tplc="F5C2CE9C">
      <w:start w:val="1"/>
      <w:numFmt w:val="lowerRoman"/>
      <w:lvlText w:val="(%1)"/>
      <w:lvlJc w:val="left"/>
      <w:pPr>
        <w:ind w:left="1080" w:hanging="720"/>
      </w:pPr>
      <w:rPr>
        <w:rFonts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A8F374E"/>
    <w:multiLevelType w:val="hybridMultilevel"/>
    <w:tmpl w:val="6EC85CDA"/>
    <w:lvl w:ilvl="0" w:tplc="6A9A0062">
      <w:start w:val="1"/>
      <w:numFmt w:val="lowerRoman"/>
      <w:lvlText w:val="(%1)"/>
      <w:lvlJc w:val="left"/>
      <w:pPr>
        <w:ind w:left="1800" w:hanging="1080"/>
      </w:pPr>
      <w:rPr>
        <w:rFonts w:ascii="Arial" w:hAnsi="Arial" w:cs="Arial"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B544700"/>
    <w:multiLevelType w:val="hybridMultilevel"/>
    <w:tmpl w:val="0EA8A326"/>
    <w:lvl w:ilvl="0" w:tplc="6A9A0062">
      <w:start w:val="1"/>
      <w:numFmt w:val="lowerRoman"/>
      <w:lvlText w:val="(%1)"/>
      <w:lvlJc w:val="left"/>
      <w:pPr>
        <w:ind w:left="1800" w:hanging="1080"/>
      </w:pPr>
      <w:rPr>
        <w:rFonts w:ascii="Arial" w:hAnsi="Arial" w:cs="Arial" w:hint="default"/>
        <w:b w:val="0"/>
        <w:sz w:val="22"/>
        <w:szCs w:val="22"/>
      </w:rPr>
    </w:lvl>
    <w:lvl w:ilvl="1" w:tplc="6E948D18">
      <w:start w:val="1"/>
      <w:numFmt w:val="lowerLetter"/>
      <w:lvlText w:val="%2."/>
      <w:lvlJc w:val="left"/>
      <w:pPr>
        <w:ind w:left="1800" w:hanging="360"/>
      </w:pPr>
      <w:rPr>
        <w:b w:val="0"/>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3F321D82"/>
    <w:multiLevelType w:val="hybridMultilevel"/>
    <w:tmpl w:val="C2804600"/>
    <w:lvl w:ilvl="0" w:tplc="B5FE3E9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5C7B247F"/>
    <w:multiLevelType w:val="multilevel"/>
    <w:tmpl w:val="1B4229A8"/>
    <w:lvl w:ilvl="0">
      <w:start w:val="1"/>
      <w:numFmt w:val="decimal"/>
      <w:pStyle w:val="MdRLevel1"/>
      <w:lvlText w:val="%1."/>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1">
      <w:start w:val="1"/>
      <w:numFmt w:val="decimal"/>
      <w:pStyle w:val="MdRLevel2"/>
      <w:lvlText w:val="%1.%2"/>
      <w:lvlJc w:val="left"/>
      <w:pPr>
        <w:tabs>
          <w:tab w:val="num" w:pos="720"/>
        </w:tabs>
        <w:ind w:left="720" w:hanging="72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2">
      <w:start w:val="1"/>
      <w:numFmt w:val="decimal"/>
      <w:pStyle w:val="MdRLevel3"/>
      <w:lvlText w:val="%1.%2.%3"/>
      <w:lvlJc w:val="left"/>
      <w:pPr>
        <w:tabs>
          <w:tab w:val="num" w:pos="1800"/>
        </w:tabs>
        <w:ind w:left="1800" w:hanging="108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3">
      <w:start w:val="1"/>
      <w:numFmt w:val="lowerLetter"/>
      <w:pStyle w:val="MdRLevel4"/>
      <w:lvlText w:val="(%4)"/>
      <w:lvlJc w:val="left"/>
      <w:pPr>
        <w:tabs>
          <w:tab w:val="num" w:pos="2520"/>
        </w:tabs>
        <w:ind w:left="2520" w:hanging="72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4">
      <w:start w:val="1"/>
      <w:numFmt w:val="lowerRoman"/>
      <w:pStyle w:val="MdRLevel5"/>
      <w:lvlText w:val="(%5)"/>
      <w:lvlJc w:val="left"/>
      <w:pPr>
        <w:tabs>
          <w:tab w:val="num" w:pos="3240"/>
        </w:tabs>
        <w:ind w:left="3240" w:hanging="72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5">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6">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7">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effect w:val="none"/>
        <w:vertAlign w:val="baseline"/>
        <w:specVanish w:val="0"/>
      </w:rPr>
    </w:lvl>
    <w:lvl w:ilvl="8">
      <w:start w:val="1"/>
      <w:numFmt w:val="none"/>
      <w:suff w:val="nothing"/>
      <w:lvlText w:val="Not Defined"/>
      <w:lvlJc w:val="left"/>
      <w:pPr>
        <w:tabs>
          <w:tab w:val="num" w:pos="0"/>
        </w:tabs>
        <w:ind w:left="0" w:firstLine="0"/>
      </w:pPr>
      <w:rPr>
        <w:b w:val="0"/>
        <w:i w:val="0"/>
        <w:caps w:val="0"/>
        <w:smallCaps w:val="0"/>
        <w:strike w:val="0"/>
        <w:dstrike w:val="0"/>
        <w:outline w:val="0"/>
        <w:shadow w:val="0"/>
        <w:emboss w:val="0"/>
        <w:imprint w:val="0"/>
        <w:vanish w:val="0"/>
        <w:webHidden w:val="0"/>
        <w:color w:val="auto"/>
        <w:u w:val="none"/>
        <w:effect w:val="none"/>
        <w:vertAlign w:val="baseline"/>
        <w:specVanish w:val="0"/>
      </w:rPr>
    </w:lvl>
  </w:abstractNum>
  <w:abstractNum w:abstractNumId="11" w15:restartNumberingAfterBreak="0">
    <w:nsid w:val="5DCA524C"/>
    <w:multiLevelType w:val="hybridMultilevel"/>
    <w:tmpl w:val="6EC85CDA"/>
    <w:lvl w:ilvl="0" w:tplc="6A9A0062">
      <w:start w:val="1"/>
      <w:numFmt w:val="lowerRoman"/>
      <w:lvlText w:val="(%1)"/>
      <w:lvlJc w:val="left"/>
      <w:pPr>
        <w:ind w:left="1800" w:hanging="1080"/>
      </w:pPr>
      <w:rPr>
        <w:rFonts w:ascii="Arial" w:hAnsi="Arial" w:cs="Arial"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61C2246F"/>
    <w:multiLevelType w:val="hybridMultilevel"/>
    <w:tmpl w:val="33DA937E"/>
    <w:lvl w:ilvl="0" w:tplc="EAF4404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36F5F95"/>
    <w:multiLevelType w:val="hybridMultilevel"/>
    <w:tmpl w:val="664CCAA8"/>
    <w:lvl w:ilvl="0" w:tplc="475C1B8E">
      <w:start w:val="1"/>
      <w:numFmt w:val="lowerRoman"/>
      <w:lvlText w:val="(%1)"/>
      <w:lvlJc w:val="right"/>
      <w:pPr>
        <w:ind w:left="720" w:hanging="360"/>
      </w:pPr>
    </w:lvl>
    <w:lvl w:ilvl="1" w:tplc="76CE4A8A">
      <w:start w:val="1"/>
      <w:numFmt w:val="lowerLetter"/>
      <w:lvlText w:val="%2."/>
      <w:lvlJc w:val="left"/>
      <w:pPr>
        <w:ind w:left="1440" w:hanging="360"/>
      </w:pPr>
    </w:lvl>
    <w:lvl w:ilvl="2" w:tplc="0D4ED37E">
      <w:start w:val="1"/>
      <w:numFmt w:val="lowerRoman"/>
      <w:lvlText w:val="%3."/>
      <w:lvlJc w:val="right"/>
      <w:pPr>
        <w:ind w:left="2160" w:hanging="180"/>
      </w:pPr>
    </w:lvl>
    <w:lvl w:ilvl="3" w:tplc="06CADE48">
      <w:start w:val="1"/>
      <w:numFmt w:val="decimal"/>
      <w:lvlText w:val="%4."/>
      <w:lvlJc w:val="left"/>
      <w:pPr>
        <w:ind w:left="2880" w:hanging="360"/>
      </w:pPr>
    </w:lvl>
    <w:lvl w:ilvl="4" w:tplc="072A51E6">
      <w:start w:val="1"/>
      <w:numFmt w:val="lowerLetter"/>
      <w:lvlText w:val="%5."/>
      <w:lvlJc w:val="left"/>
      <w:pPr>
        <w:ind w:left="3600" w:hanging="360"/>
      </w:pPr>
    </w:lvl>
    <w:lvl w:ilvl="5" w:tplc="74FEB6CE">
      <w:start w:val="1"/>
      <w:numFmt w:val="lowerRoman"/>
      <w:lvlText w:val="%6."/>
      <w:lvlJc w:val="right"/>
      <w:pPr>
        <w:ind w:left="4320" w:hanging="180"/>
      </w:pPr>
    </w:lvl>
    <w:lvl w:ilvl="6" w:tplc="99526CEA">
      <w:start w:val="1"/>
      <w:numFmt w:val="decimal"/>
      <w:lvlText w:val="%7."/>
      <w:lvlJc w:val="left"/>
      <w:pPr>
        <w:ind w:left="5040" w:hanging="360"/>
      </w:pPr>
    </w:lvl>
    <w:lvl w:ilvl="7" w:tplc="E9D4142E">
      <w:start w:val="1"/>
      <w:numFmt w:val="lowerLetter"/>
      <w:lvlText w:val="%8."/>
      <w:lvlJc w:val="left"/>
      <w:pPr>
        <w:ind w:left="5760" w:hanging="360"/>
      </w:pPr>
    </w:lvl>
    <w:lvl w:ilvl="8" w:tplc="71449EE2">
      <w:start w:val="1"/>
      <w:numFmt w:val="lowerRoman"/>
      <w:lvlText w:val="%9."/>
      <w:lvlJc w:val="right"/>
      <w:pPr>
        <w:ind w:left="6480" w:hanging="180"/>
      </w:pPr>
    </w:lvl>
  </w:abstractNum>
  <w:abstractNum w:abstractNumId="14" w15:restartNumberingAfterBreak="0">
    <w:nsid w:val="6A3D67A5"/>
    <w:multiLevelType w:val="hybridMultilevel"/>
    <w:tmpl w:val="F364CF34"/>
    <w:lvl w:ilvl="0" w:tplc="EC922176">
      <w:start w:val="1"/>
      <w:numFmt w:val="lowerRoman"/>
      <w:lvlText w:val="(%1)"/>
      <w:lvlJc w:val="left"/>
      <w:pPr>
        <w:ind w:left="720" w:hanging="72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6E0B598B"/>
    <w:multiLevelType w:val="hybridMultilevel"/>
    <w:tmpl w:val="6EC85CDA"/>
    <w:lvl w:ilvl="0" w:tplc="6A9A0062">
      <w:start w:val="1"/>
      <w:numFmt w:val="lowerRoman"/>
      <w:lvlText w:val="(%1)"/>
      <w:lvlJc w:val="left"/>
      <w:pPr>
        <w:ind w:left="1800" w:hanging="1080"/>
      </w:pPr>
      <w:rPr>
        <w:rFonts w:ascii="Arial" w:hAnsi="Arial" w:cs="Arial" w:hint="default"/>
        <w:b w:val="0"/>
        <w:sz w:val="22"/>
        <w:szCs w:val="22"/>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552083898">
    <w:abstractNumId w:val="1"/>
  </w:num>
  <w:num w:numId="2" w16cid:durableId="282201385">
    <w:abstractNumId w:val="2"/>
  </w:num>
  <w:num w:numId="3" w16cid:durableId="499740948">
    <w:abstractNumId w:val="13"/>
  </w:num>
  <w:num w:numId="4" w16cid:durableId="133916276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31022943">
    <w:abstractNumId w:val="11"/>
  </w:num>
  <w:num w:numId="6" w16cid:durableId="1221985462">
    <w:abstractNumId w:val="8"/>
  </w:num>
  <w:num w:numId="7" w16cid:durableId="1985154582">
    <w:abstractNumId w:val="3"/>
  </w:num>
  <w:num w:numId="8" w16cid:durableId="243340163">
    <w:abstractNumId w:val="7"/>
  </w:num>
  <w:num w:numId="9" w16cid:durableId="792289318">
    <w:abstractNumId w:val="15"/>
  </w:num>
  <w:num w:numId="10" w16cid:durableId="1727140077">
    <w:abstractNumId w:val="5"/>
  </w:num>
  <w:num w:numId="11" w16cid:durableId="179705284">
    <w:abstractNumId w:val="6"/>
  </w:num>
  <w:num w:numId="12" w16cid:durableId="1038432839">
    <w:abstractNumId w:val="4"/>
  </w:num>
  <w:num w:numId="13" w16cid:durableId="58403882">
    <w:abstractNumId w:val="14"/>
  </w:num>
  <w:num w:numId="14" w16cid:durableId="319970345">
    <w:abstractNumId w:val="9"/>
  </w:num>
  <w:num w:numId="15" w16cid:durableId="1530752008">
    <w:abstractNumId w:val="0"/>
  </w:num>
  <w:num w:numId="16" w16cid:durableId="10653023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A2452"/>
    <w:rsid w:val="00011BF3"/>
    <w:rsid w:val="00027C24"/>
    <w:rsid w:val="00046F4F"/>
    <w:rsid w:val="0010149D"/>
    <w:rsid w:val="00103B85"/>
    <w:rsid w:val="00141716"/>
    <w:rsid w:val="001805D5"/>
    <w:rsid w:val="001E1F2D"/>
    <w:rsid w:val="002077DB"/>
    <w:rsid w:val="00217D03"/>
    <w:rsid w:val="002C1185"/>
    <w:rsid w:val="002E6E5A"/>
    <w:rsid w:val="002F5E4D"/>
    <w:rsid w:val="0036550A"/>
    <w:rsid w:val="003A2452"/>
    <w:rsid w:val="003B7FD9"/>
    <w:rsid w:val="003D6D20"/>
    <w:rsid w:val="003F4B79"/>
    <w:rsid w:val="004A74E8"/>
    <w:rsid w:val="004D03BF"/>
    <w:rsid w:val="004D5C53"/>
    <w:rsid w:val="00536743"/>
    <w:rsid w:val="00584A83"/>
    <w:rsid w:val="00647ECC"/>
    <w:rsid w:val="00672D87"/>
    <w:rsid w:val="00691406"/>
    <w:rsid w:val="006E4B38"/>
    <w:rsid w:val="006F2BE3"/>
    <w:rsid w:val="006F2EDC"/>
    <w:rsid w:val="007332FE"/>
    <w:rsid w:val="00783028"/>
    <w:rsid w:val="007A0827"/>
    <w:rsid w:val="007A5CF6"/>
    <w:rsid w:val="008848D7"/>
    <w:rsid w:val="008B5B1A"/>
    <w:rsid w:val="00901159"/>
    <w:rsid w:val="00956EFE"/>
    <w:rsid w:val="0097492B"/>
    <w:rsid w:val="009B5FC4"/>
    <w:rsid w:val="00A03033"/>
    <w:rsid w:val="00A04FB2"/>
    <w:rsid w:val="00AC00F2"/>
    <w:rsid w:val="00B245A8"/>
    <w:rsid w:val="00B7204A"/>
    <w:rsid w:val="00C076DD"/>
    <w:rsid w:val="00C11F47"/>
    <w:rsid w:val="00C16912"/>
    <w:rsid w:val="00C40BCD"/>
    <w:rsid w:val="00C46F86"/>
    <w:rsid w:val="00C667E7"/>
    <w:rsid w:val="00CA3407"/>
    <w:rsid w:val="00CB61FD"/>
    <w:rsid w:val="00CD216E"/>
    <w:rsid w:val="00D84D4D"/>
    <w:rsid w:val="00DC166C"/>
    <w:rsid w:val="00DF542B"/>
    <w:rsid w:val="00E25623"/>
    <w:rsid w:val="00E57944"/>
    <w:rsid w:val="00E70700"/>
    <w:rsid w:val="00F71061"/>
    <w:rsid w:val="00FA34D3"/>
    <w:rsid w:val="00FE0E91"/>
    <w:rsid w:val="055C69C0"/>
    <w:rsid w:val="05C5C77A"/>
    <w:rsid w:val="080B079C"/>
    <w:rsid w:val="0ADD5E14"/>
    <w:rsid w:val="0B5F2A4B"/>
    <w:rsid w:val="0DCCDEDD"/>
    <w:rsid w:val="0E3220E0"/>
    <w:rsid w:val="10A54A3F"/>
    <w:rsid w:val="14801B31"/>
    <w:rsid w:val="14B9E4CA"/>
    <w:rsid w:val="166215AB"/>
    <w:rsid w:val="187C373B"/>
    <w:rsid w:val="193B6016"/>
    <w:rsid w:val="1B1325B0"/>
    <w:rsid w:val="1B36D826"/>
    <w:rsid w:val="1B5A2DE9"/>
    <w:rsid w:val="1DD5D318"/>
    <w:rsid w:val="1E0A117A"/>
    <w:rsid w:val="204EB516"/>
    <w:rsid w:val="21270E40"/>
    <w:rsid w:val="29123619"/>
    <w:rsid w:val="2A37FDDE"/>
    <w:rsid w:val="2C60CE5E"/>
    <w:rsid w:val="324FFCA2"/>
    <w:rsid w:val="3408626D"/>
    <w:rsid w:val="34DAB24D"/>
    <w:rsid w:val="366B4CAA"/>
    <w:rsid w:val="36ECFAD3"/>
    <w:rsid w:val="3A0217CA"/>
    <w:rsid w:val="449201A2"/>
    <w:rsid w:val="477B25EE"/>
    <w:rsid w:val="492D8E90"/>
    <w:rsid w:val="4A1AC529"/>
    <w:rsid w:val="4A458A78"/>
    <w:rsid w:val="4E46AD30"/>
    <w:rsid w:val="56A73A17"/>
    <w:rsid w:val="56A8D265"/>
    <w:rsid w:val="594A705B"/>
    <w:rsid w:val="5A5A1C9B"/>
    <w:rsid w:val="5C3C82B6"/>
    <w:rsid w:val="605C1BDD"/>
    <w:rsid w:val="64DCFB65"/>
    <w:rsid w:val="662BCE99"/>
    <w:rsid w:val="6A7AC8D5"/>
    <w:rsid w:val="70624158"/>
    <w:rsid w:val="72046D4E"/>
    <w:rsid w:val="763BBD2E"/>
    <w:rsid w:val="7A7A86C9"/>
    <w:rsid w:val="7D053B15"/>
    <w:rsid w:val="7F619B3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A430CB"/>
  <w15:chartTrackingRefBased/>
  <w15:docId w15:val="{F9A31644-DD0F-4478-8D02-8A4FD3EB98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A2452"/>
    <w:pPr>
      <w:spacing w:after="0" w:line="240" w:lineRule="auto"/>
    </w:pPr>
    <w:rPr>
      <w:rFonts w:ascii="Times New Roman" w:eastAsia="Times New Roman" w:hAnsi="Times New Roman" w:cs="Times New Roman"/>
      <w:sz w:val="24"/>
      <w:szCs w:val="24"/>
    </w:rPr>
  </w:style>
  <w:style w:type="paragraph" w:styleId="Heading4">
    <w:name w:val="heading 4"/>
    <w:basedOn w:val="Normal"/>
    <w:next w:val="Normal"/>
    <w:link w:val="Heading4Char"/>
    <w:qFormat/>
    <w:rsid w:val="004D03BF"/>
    <w:pPr>
      <w:keepNext/>
      <w:tabs>
        <w:tab w:val="left" w:pos="1276"/>
      </w:tabs>
      <w:jc w:val="right"/>
      <w:outlineLvl w:val="3"/>
    </w:pPr>
    <w:rPr>
      <w:rFonts w:ascii="Arial" w:hAnsi="Arial"/>
      <w:b/>
      <w:sz w:val="18"/>
      <w:szCs w:val="20"/>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nhideWhenUsed/>
    <w:rsid w:val="003A2452"/>
    <w:pPr>
      <w:tabs>
        <w:tab w:val="left" w:pos="720"/>
        <w:tab w:val="left" w:pos="1440"/>
        <w:tab w:val="left" w:pos="2160"/>
        <w:tab w:val="left" w:pos="2880"/>
        <w:tab w:val="left" w:pos="3600"/>
        <w:tab w:val="left" w:pos="4320"/>
        <w:tab w:val="left" w:pos="5040"/>
      </w:tabs>
      <w:spacing w:after="200"/>
      <w:jc w:val="both"/>
    </w:pPr>
    <w:rPr>
      <w:szCs w:val="20"/>
      <w:lang w:val="en-GB"/>
    </w:rPr>
  </w:style>
  <w:style w:type="character" w:customStyle="1" w:styleId="BodyTextChar">
    <w:name w:val="Body Text Char"/>
    <w:basedOn w:val="DefaultParagraphFont"/>
    <w:link w:val="BodyText"/>
    <w:rsid w:val="003A2452"/>
    <w:rPr>
      <w:rFonts w:ascii="Times New Roman" w:eastAsia="Times New Roman" w:hAnsi="Times New Roman" w:cs="Times New Roman"/>
      <w:sz w:val="24"/>
      <w:szCs w:val="20"/>
      <w:lang w:val="en-GB"/>
    </w:rPr>
  </w:style>
  <w:style w:type="paragraph" w:customStyle="1" w:styleId="MdRLevel1">
    <w:name w:val="MdR Level 1"/>
    <w:basedOn w:val="Normal"/>
    <w:rsid w:val="003A2452"/>
    <w:pPr>
      <w:numPr>
        <w:numId w:val="4"/>
      </w:numPr>
      <w:spacing w:after="240" w:line="360" w:lineRule="auto"/>
      <w:jc w:val="both"/>
      <w:outlineLvl w:val="0"/>
    </w:pPr>
    <w:rPr>
      <w:lang w:val="en-GB"/>
    </w:rPr>
  </w:style>
  <w:style w:type="paragraph" w:customStyle="1" w:styleId="MdRLevel2">
    <w:name w:val="MdR Level 2"/>
    <w:basedOn w:val="Normal"/>
    <w:rsid w:val="003A2452"/>
    <w:pPr>
      <w:numPr>
        <w:ilvl w:val="1"/>
        <w:numId w:val="4"/>
      </w:numPr>
      <w:spacing w:after="240" w:line="360" w:lineRule="auto"/>
      <w:jc w:val="both"/>
      <w:outlineLvl w:val="1"/>
    </w:pPr>
    <w:rPr>
      <w:lang w:val="en-GB"/>
    </w:rPr>
  </w:style>
  <w:style w:type="paragraph" w:customStyle="1" w:styleId="MdRLevel3">
    <w:name w:val="MdR Level 3"/>
    <w:basedOn w:val="Normal"/>
    <w:rsid w:val="003A2452"/>
    <w:pPr>
      <w:numPr>
        <w:ilvl w:val="2"/>
        <w:numId w:val="4"/>
      </w:numPr>
      <w:spacing w:after="240" w:line="360" w:lineRule="auto"/>
      <w:jc w:val="both"/>
      <w:outlineLvl w:val="2"/>
    </w:pPr>
    <w:rPr>
      <w:lang w:val="en-GB"/>
    </w:rPr>
  </w:style>
  <w:style w:type="paragraph" w:customStyle="1" w:styleId="MdRLevel4">
    <w:name w:val="MdR Level 4"/>
    <w:basedOn w:val="Normal"/>
    <w:rsid w:val="003A2452"/>
    <w:pPr>
      <w:numPr>
        <w:ilvl w:val="3"/>
        <w:numId w:val="4"/>
      </w:numPr>
      <w:spacing w:after="240" w:line="360" w:lineRule="auto"/>
      <w:jc w:val="both"/>
      <w:outlineLvl w:val="3"/>
    </w:pPr>
    <w:rPr>
      <w:lang w:val="en-GB"/>
    </w:rPr>
  </w:style>
  <w:style w:type="paragraph" w:customStyle="1" w:styleId="MdRLevel5">
    <w:name w:val="MdR Level 5"/>
    <w:basedOn w:val="Normal"/>
    <w:rsid w:val="003A2452"/>
    <w:pPr>
      <w:numPr>
        <w:ilvl w:val="4"/>
        <w:numId w:val="4"/>
      </w:numPr>
      <w:spacing w:after="240" w:line="360" w:lineRule="auto"/>
      <w:jc w:val="both"/>
      <w:outlineLvl w:val="4"/>
    </w:pPr>
    <w:rPr>
      <w:lang w:val="en-GB"/>
    </w:rPr>
  </w:style>
  <w:style w:type="paragraph" w:styleId="ListParagraph">
    <w:name w:val="List Paragraph"/>
    <w:basedOn w:val="Normal"/>
    <w:uiPriority w:val="34"/>
    <w:qFormat/>
    <w:rsid w:val="003A2452"/>
    <w:pPr>
      <w:ind w:left="720"/>
      <w:contextualSpacing/>
    </w:pPr>
  </w:style>
  <w:style w:type="character" w:customStyle="1" w:styleId="Heading4Char">
    <w:name w:val="Heading 4 Char"/>
    <w:basedOn w:val="DefaultParagraphFont"/>
    <w:link w:val="Heading4"/>
    <w:rsid w:val="004D03BF"/>
    <w:rPr>
      <w:rFonts w:ascii="Arial" w:eastAsia="Times New Roman" w:hAnsi="Arial" w:cs="Times New Roman"/>
      <w:b/>
      <w:sz w:val="18"/>
      <w:szCs w:val="20"/>
      <w:lang w:val="en-GB"/>
    </w:rPr>
  </w:style>
  <w:style w:type="paragraph" w:styleId="Footer">
    <w:name w:val="footer"/>
    <w:basedOn w:val="Normal"/>
    <w:link w:val="FooterChar"/>
    <w:rsid w:val="004D03BF"/>
    <w:pPr>
      <w:tabs>
        <w:tab w:val="center" w:pos="4320"/>
        <w:tab w:val="right" w:pos="8640"/>
      </w:tabs>
    </w:pPr>
    <w:rPr>
      <w:szCs w:val="20"/>
      <w:lang w:val="en-GB"/>
    </w:rPr>
  </w:style>
  <w:style w:type="character" w:customStyle="1" w:styleId="FooterChar">
    <w:name w:val="Footer Char"/>
    <w:basedOn w:val="DefaultParagraphFont"/>
    <w:link w:val="Footer"/>
    <w:rsid w:val="004D03BF"/>
    <w:rPr>
      <w:rFonts w:ascii="Times New Roman" w:eastAsia="Times New Roman" w:hAnsi="Times New Roman" w:cs="Times New Roman"/>
      <w:sz w:val="24"/>
      <w:szCs w:val="20"/>
      <w:lang w:val="en-GB"/>
    </w:rPr>
  </w:style>
  <w:style w:type="paragraph" w:styleId="BalloonText">
    <w:name w:val="Balloon Text"/>
    <w:basedOn w:val="Normal"/>
    <w:link w:val="BalloonTextChar"/>
    <w:uiPriority w:val="99"/>
    <w:semiHidden/>
    <w:unhideWhenUsed/>
    <w:rsid w:val="007A082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0827"/>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CD216E"/>
    <w:rPr>
      <w:sz w:val="16"/>
      <w:szCs w:val="16"/>
    </w:rPr>
  </w:style>
  <w:style w:type="paragraph" w:styleId="CommentText">
    <w:name w:val="annotation text"/>
    <w:basedOn w:val="Normal"/>
    <w:link w:val="CommentTextChar"/>
    <w:uiPriority w:val="99"/>
    <w:semiHidden/>
    <w:unhideWhenUsed/>
    <w:rsid w:val="00CD216E"/>
    <w:rPr>
      <w:sz w:val="20"/>
      <w:szCs w:val="20"/>
    </w:rPr>
  </w:style>
  <w:style w:type="character" w:customStyle="1" w:styleId="CommentTextChar">
    <w:name w:val="Comment Text Char"/>
    <w:basedOn w:val="DefaultParagraphFont"/>
    <w:link w:val="CommentText"/>
    <w:uiPriority w:val="99"/>
    <w:semiHidden/>
    <w:rsid w:val="00CD216E"/>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CD216E"/>
    <w:rPr>
      <w:b/>
      <w:bCs/>
    </w:rPr>
  </w:style>
  <w:style w:type="character" w:customStyle="1" w:styleId="CommentSubjectChar">
    <w:name w:val="Comment Subject Char"/>
    <w:basedOn w:val="CommentTextChar"/>
    <w:link w:val="CommentSubject"/>
    <w:uiPriority w:val="99"/>
    <w:semiHidden/>
    <w:rsid w:val="00CD216E"/>
    <w:rPr>
      <w:rFonts w:ascii="Times New Roman" w:eastAsia="Times New Roman" w:hAnsi="Times New Roman" w:cs="Times New Roman"/>
      <w:b/>
      <w:bCs/>
      <w:sz w:val="20"/>
      <w:szCs w:val="20"/>
    </w:rPr>
  </w:style>
  <w:style w:type="paragraph" w:styleId="Revision">
    <w:name w:val="Revision"/>
    <w:hidden/>
    <w:uiPriority w:val="99"/>
    <w:semiHidden/>
    <w:rsid w:val="00956EFE"/>
    <w:pPr>
      <w:spacing w:after="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9375093">
      <w:bodyDiv w:val="1"/>
      <w:marLeft w:val="0"/>
      <w:marRight w:val="0"/>
      <w:marTop w:val="0"/>
      <w:marBottom w:val="0"/>
      <w:divBdr>
        <w:top w:val="none" w:sz="0" w:space="0" w:color="auto"/>
        <w:left w:val="none" w:sz="0" w:space="0" w:color="auto"/>
        <w:bottom w:val="none" w:sz="0" w:space="0" w:color="auto"/>
        <w:right w:val="none" w:sz="0" w:space="0" w:color="auto"/>
      </w:divBdr>
    </w:div>
    <w:div w:id="2070182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3A8902716170A4F84E0DB52F443D166" ma:contentTypeVersion="24" ma:contentTypeDescription="Create a new document." ma:contentTypeScope="" ma:versionID="ba6ce597e4b19cd5d4d08232ce8b7f93">
  <xsd:schema xmlns:xsd="http://www.w3.org/2001/XMLSchema" xmlns:xs="http://www.w3.org/2001/XMLSchema" xmlns:p="http://schemas.microsoft.com/office/2006/metadata/properties" xmlns:ns2="c957d7ae-6b4c-4bec-912c-7fda720dd351" xmlns:ns3="94592e32-5fea-45e0-a76d-a9a0c72f2906" xmlns:ns4="cadce026-d35b-4a62-a2ee-1436bb44fb55" targetNamespace="http://schemas.microsoft.com/office/2006/metadata/properties" ma:root="true" ma:fieldsID="46979bcc65b402f546af1602ac636ec0" ns2:_="" ns3:_="" ns4:_="">
    <xsd:import namespace="c957d7ae-6b4c-4bec-912c-7fda720dd351"/>
    <xsd:import namespace="94592e32-5fea-45e0-a76d-a9a0c72f2906"/>
    <xsd:import namespace="cadce026-d35b-4a62-a2ee-1436bb44fb55"/>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hyperlink" minOccurs="0"/>
                <xsd:element ref="ns2:MediaServiceAutoKeyPoints" minOccurs="0"/>
                <xsd:element ref="ns2:MediaServiceKeyPoints" minOccurs="0"/>
                <xsd:element ref="ns2:Notes" minOccurs="0"/>
                <xsd:element ref="ns2:Notes1" minOccurs="0"/>
                <xsd:element ref="ns2:MediaLengthInSeconds" minOccurs="0"/>
                <xsd:element ref="ns2:lcf76f155ced4ddcb4097134ff3c332f" minOccurs="0"/>
                <xsd:element ref="ns4:TaxCatchAll" minOccurs="0"/>
                <xsd:element ref="ns2:Link"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957d7ae-6b4c-4bec-912c-7fda720dd35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hyperlink" ma:index="18" nillable="true" ma:displayName="hyperlink" ma:format="Hyperlink" ma:internalName="hyper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Notes" ma:index="21" nillable="true" ma:displayName="Notes" ma:format="Dropdown" ma:internalName="Notes">
      <xsd:simpleType>
        <xsd:restriction base="dms:Note">
          <xsd:maxLength value="255"/>
        </xsd:restriction>
      </xsd:simpleType>
    </xsd:element>
    <xsd:element name="Notes1" ma:index="22" nillable="true" ma:displayName="Notes1" ma:description="This is a record of RNS announcements which have been released immediately noting price sensitive information is contained" ma:format="Dropdown" ma:internalName="Notes1">
      <xsd:simpleType>
        <xsd:restriction base="dms:Note">
          <xsd:maxLength value="255"/>
        </xsd:restriction>
      </xsd:simpleType>
    </xsd:element>
    <xsd:element name="MediaLengthInSeconds" ma:index="23" nillable="true" ma:displayName="MediaLengthInSeconds" ma:hidden="true"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f571c05a-9bf0-4b0b-ad97-e13aed49ba31" ma:termSetId="09814cd3-568e-fe90-9814-8d621ff8fb84" ma:anchorId="fba54fb3-c3e1-fe81-a776-ca4b69148c4d" ma:open="true" ma:isKeyword="false">
      <xsd:complexType>
        <xsd:sequence>
          <xsd:element ref="pc:Terms" minOccurs="0" maxOccurs="1"/>
        </xsd:sequence>
      </xsd:complexType>
    </xsd:element>
    <xsd:element name="Link" ma:index="27" nillable="true" ma:displayName="Link" ma:format="Hyperlink" ma:internalName="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ObjectDetectorVersions" ma:index="2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_Flow_SignoffStatus" ma:index="30"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4592e32-5fea-45e0-a76d-a9a0c72f290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dce026-d35b-4a62-a2ee-1436bb44fb55" elementFormDefault="qualified">
    <xsd:import namespace="http://schemas.microsoft.com/office/2006/documentManagement/types"/>
    <xsd:import namespace="http://schemas.microsoft.com/office/infopath/2007/PartnerControls"/>
    <xsd:element name="TaxCatchAll" ma:index="26" nillable="true" ma:displayName="Taxonomy Catch All Column" ma:hidden="true" ma:list="{40e99772-8432-4b07-a949-4e0580d2b78f}" ma:internalName="TaxCatchAll" ma:showField="CatchAllData" ma:web="94592e32-5fea-45e0-a76d-a9a0c72f290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yperlink xmlns="c957d7ae-6b4c-4bec-912c-7fda720dd351">
      <Url xsi:nil="true"/>
      <Description xsi:nil="true"/>
    </hyperlink>
    <Notes xmlns="c957d7ae-6b4c-4bec-912c-7fda720dd351" xsi:nil="true"/>
    <Notes1 xmlns="c957d7ae-6b4c-4bec-912c-7fda720dd351" xsi:nil="true"/>
    <TaxCatchAll xmlns="cadce026-d35b-4a62-a2ee-1436bb44fb55" xsi:nil="true"/>
    <lcf76f155ced4ddcb4097134ff3c332f xmlns="c957d7ae-6b4c-4bec-912c-7fda720dd351">
      <Terms xmlns="http://schemas.microsoft.com/office/infopath/2007/PartnerControls"/>
    </lcf76f155ced4ddcb4097134ff3c332f>
    <Link xmlns="c957d7ae-6b4c-4bec-912c-7fda720dd351">
      <Url xsi:nil="true"/>
      <Description xsi:nil="true"/>
    </Link>
    <_Flow_SignoffStatus xmlns="c957d7ae-6b4c-4bec-912c-7fda720dd351" xsi:nil="true"/>
  </documentManagement>
</p:properties>
</file>

<file path=customXml/itemProps1.xml><?xml version="1.0" encoding="utf-8"?>
<ds:datastoreItem xmlns:ds="http://schemas.openxmlformats.org/officeDocument/2006/customXml" ds:itemID="{6CB11D72-99EC-49DA-9B8E-CDC95B6088CE}">
  <ds:schemaRefs>
    <ds:schemaRef ds:uri="http://schemas.microsoft.com/sharepoint/v3/contenttype/forms"/>
  </ds:schemaRefs>
</ds:datastoreItem>
</file>

<file path=customXml/itemProps2.xml><?xml version="1.0" encoding="utf-8"?>
<ds:datastoreItem xmlns:ds="http://schemas.openxmlformats.org/officeDocument/2006/customXml" ds:itemID="{9477A3DE-384E-4D8C-9995-62A758480DC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957d7ae-6b4c-4bec-912c-7fda720dd351"/>
    <ds:schemaRef ds:uri="94592e32-5fea-45e0-a76d-a9a0c72f2906"/>
    <ds:schemaRef ds:uri="cadce026-d35b-4a62-a2ee-1436bb44fb5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2FF2FFF-E0D6-4869-B4E3-4DC15E8DAFA2}">
  <ds:schemaRefs>
    <ds:schemaRef ds:uri="http://schemas.microsoft.com/office/2006/metadata/properties"/>
    <ds:schemaRef ds:uri="http://schemas.microsoft.com/office/infopath/2007/PartnerControls"/>
    <ds:schemaRef ds:uri="c957d7ae-6b4c-4bec-912c-7fda720dd351"/>
    <ds:schemaRef ds:uri="cadce026-d35b-4a62-a2ee-1436bb44fb55"/>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858</Words>
  <Characters>4892</Characters>
  <Application>Microsoft Office Word</Application>
  <DocSecurity>4</DocSecurity>
  <Lines>40</Lines>
  <Paragraphs>11</Paragraphs>
  <ScaleCrop>false</ScaleCrop>
  <Company/>
  <LinksUpToDate>false</LinksUpToDate>
  <CharactersWithSpaces>5739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Waite, Rebecca</dc:creator>
  <cp:keywords/>
  <dc:description/>
  <cp:lastModifiedBy>Beth Melges</cp:lastModifiedBy>
  <cp:revision>4</cp:revision>
  <dcterms:created xsi:type="dcterms:W3CDTF">2024-07-10T20:47:00Z</dcterms:created>
  <dcterms:modified xsi:type="dcterms:W3CDTF">2024-07-10T20:49:00Z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0x010100E3A8902716170A4F84E0DB52F443D166</vt:lpwstr>
  </property>
  <property fmtid="{D5CDD505-2E9C-101B-9397-08002B2CF9AE}" pid="3" name="MediaServiceImageTags">
    <vt:lpwstr/>
  </property>
</Properties>
</file>