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137C3" w14:textId="1AFC1354" w:rsidR="00A95A3C" w:rsidRPr="00DA52CD" w:rsidRDefault="00F36488" w:rsidP="00DA52CD">
      <w:pPr>
        <w:overflowPunct/>
        <w:textAlignment w:val="auto"/>
        <w:rPr>
          <w:rFonts w:asciiTheme="minorHAnsi" w:hAnsiTheme="minorHAnsi"/>
          <w:bCs/>
          <w:sz w:val="22"/>
          <w:szCs w:val="22"/>
        </w:rPr>
      </w:pPr>
      <w:r w:rsidRPr="00DA52CD">
        <w:rPr>
          <w:rFonts w:asciiTheme="minorHAnsi" w:hAnsiTheme="minorHAnsi"/>
          <w:bCs/>
          <w:sz w:val="22"/>
          <w:szCs w:val="22"/>
        </w:rPr>
        <w:t>A</w:t>
      </w:r>
      <w:r w:rsidR="00BD714C" w:rsidRPr="00DA52CD">
        <w:rPr>
          <w:rFonts w:asciiTheme="minorHAnsi" w:hAnsiTheme="minorHAnsi"/>
          <w:bCs/>
          <w:sz w:val="22"/>
          <w:szCs w:val="22"/>
        </w:rPr>
        <w:t xml:space="preserve">t </w:t>
      </w:r>
      <w:r w:rsidR="00DA52CD" w:rsidRPr="00DA52CD">
        <w:rPr>
          <w:rFonts w:asciiTheme="minorHAnsi" w:hAnsiTheme="minorHAnsi"/>
          <w:bCs/>
          <w:sz w:val="22"/>
          <w:szCs w:val="22"/>
        </w:rPr>
        <w:t>a</w:t>
      </w:r>
      <w:r w:rsidR="00A95A3C" w:rsidRPr="00DA52CD">
        <w:rPr>
          <w:rFonts w:asciiTheme="minorHAnsi" w:hAnsiTheme="minorHAnsi"/>
          <w:bCs/>
          <w:sz w:val="22"/>
          <w:szCs w:val="22"/>
        </w:rPr>
        <w:t xml:space="preserve"> General Meeting of </w:t>
      </w:r>
      <w:r w:rsidR="00DA52CD" w:rsidRPr="00DA52CD">
        <w:rPr>
          <w:rFonts w:asciiTheme="minorHAnsi" w:hAnsiTheme="minorHAnsi"/>
          <w:bCs/>
          <w:sz w:val="22"/>
          <w:szCs w:val="22"/>
        </w:rPr>
        <w:t>Impax Environmental Markets</w:t>
      </w:r>
      <w:r w:rsidR="00BD714C" w:rsidRPr="00DA52CD">
        <w:rPr>
          <w:rFonts w:asciiTheme="minorHAnsi" w:hAnsiTheme="minorHAnsi"/>
          <w:bCs/>
          <w:sz w:val="22"/>
          <w:szCs w:val="22"/>
        </w:rPr>
        <w:t xml:space="preserve"> Plc (“the Company”) </w:t>
      </w:r>
      <w:r w:rsidR="0011255B" w:rsidRPr="00DA52CD">
        <w:rPr>
          <w:rFonts w:asciiTheme="minorHAnsi" w:hAnsiTheme="minorHAnsi"/>
          <w:bCs/>
          <w:sz w:val="22"/>
          <w:szCs w:val="22"/>
        </w:rPr>
        <w:t xml:space="preserve">held at </w:t>
      </w:r>
      <w:r w:rsidR="00DA52CD" w:rsidRPr="00DA52CD">
        <w:rPr>
          <w:rFonts w:asciiTheme="minorHAnsi" w:hAnsiTheme="minorHAnsi"/>
          <w:bCs/>
          <w:sz w:val="22"/>
          <w:szCs w:val="22"/>
        </w:rPr>
        <w:t>11.00 a</w:t>
      </w:r>
      <w:r w:rsidR="0011255B" w:rsidRPr="00DA52CD">
        <w:rPr>
          <w:rFonts w:asciiTheme="minorHAnsi" w:hAnsiTheme="minorHAnsi"/>
          <w:bCs/>
          <w:sz w:val="22"/>
          <w:szCs w:val="22"/>
        </w:rPr>
        <w:t xml:space="preserve">.m. on </w:t>
      </w:r>
      <w:r w:rsidR="004B4607">
        <w:rPr>
          <w:rFonts w:asciiTheme="minorHAnsi" w:hAnsiTheme="minorHAnsi"/>
          <w:bCs/>
          <w:sz w:val="22"/>
          <w:szCs w:val="22"/>
        </w:rPr>
        <w:t>12 January 2021</w:t>
      </w:r>
      <w:r w:rsidR="0011255B" w:rsidRPr="00DA52CD">
        <w:rPr>
          <w:rFonts w:asciiTheme="minorHAnsi" w:hAnsiTheme="minorHAnsi"/>
          <w:bCs/>
          <w:sz w:val="22"/>
          <w:szCs w:val="22"/>
        </w:rPr>
        <w:t xml:space="preserve"> at the offices of </w:t>
      </w:r>
      <w:r w:rsidR="00DA52CD" w:rsidRPr="00DA52CD">
        <w:rPr>
          <w:rFonts w:asciiTheme="minorHAnsi" w:hAnsiTheme="minorHAnsi"/>
          <w:bCs/>
          <w:sz w:val="22"/>
          <w:szCs w:val="22"/>
        </w:rPr>
        <w:t>Impax Asset Management, 7th Floor, 30 Panton Street, London SW1Y 4JR</w:t>
      </w:r>
      <w:r w:rsidRPr="00DA52CD">
        <w:rPr>
          <w:rFonts w:asciiTheme="minorHAnsi" w:hAnsiTheme="minorHAnsi"/>
          <w:bCs/>
          <w:sz w:val="22"/>
          <w:szCs w:val="22"/>
        </w:rPr>
        <w:t xml:space="preserve"> the following Resolution</w:t>
      </w:r>
      <w:r w:rsidR="00DA52CD" w:rsidRPr="00DA52CD">
        <w:rPr>
          <w:rFonts w:asciiTheme="minorHAnsi" w:hAnsiTheme="minorHAnsi"/>
          <w:bCs/>
          <w:sz w:val="22"/>
          <w:szCs w:val="22"/>
        </w:rPr>
        <w:t>s</w:t>
      </w:r>
      <w:r w:rsidRPr="00DA52CD">
        <w:rPr>
          <w:rFonts w:asciiTheme="minorHAnsi" w:hAnsiTheme="minorHAnsi"/>
          <w:bCs/>
          <w:sz w:val="22"/>
          <w:szCs w:val="22"/>
        </w:rPr>
        <w:t xml:space="preserve"> w</w:t>
      </w:r>
      <w:r w:rsidR="00DA52CD" w:rsidRPr="00DA52CD">
        <w:rPr>
          <w:rFonts w:asciiTheme="minorHAnsi" w:hAnsiTheme="minorHAnsi"/>
          <w:bCs/>
          <w:sz w:val="22"/>
          <w:szCs w:val="22"/>
        </w:rPr>
        <w:t>ere</w:t>
      </w:r>
      <w:r w:rsidRPr="00DA52CD">
        <w:rPr>
          <w:rFonts w:asciiTheme="minorHAnsi" w:hAnsiTheme="minorHAnsi"/>
          <w:bCs/>
          <w:sz w:val="22"/>
          <w:szCs w:val="22"/>
        </w:rPr>
        <w:t xml:space="preserve"> duly passed:</w:t>
      </w:r>
    </w:p>
    <w:p w14:paraId="7EE529C6" w14:textId="77777777" w:rsidR="00BD714C" w:rsidRDefault="00BD714C" w:rsidP="00BD714C">
      <w:pPr>
        <w:rPr>
          <w:rFonts w:asciiTheme="minorHAnsi" w:hAnsiTheme="minorHAnsi"/>
          <w:b/>
          <w:sz w:val="22"/>
          <w:szCs w:val="22"/>
        </w:rPr>
      </w:pPr>
    </w:p>
    <w:p w14:paraId="38808D89" w14:textId="77777777" w:rsidR="00ED5048" w:rsidRDefault="00ED5048" w:rsidP="00ED50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ORDINARY RESOLUTION</w:t>
      </w:r>
    </w:p>
    <w:p w14:paraId="36C29D4F" w14:textId="77777777" w:rsidR="00ED5048" w:rsidRDefault="00ED5048" w:rsidP="00ED504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B38AC5" w14:textId="1BFD1A73" w:rsidR="00DA52CD" w:rsidRDefault="00DA52CD" w:rsidP="004B4607">
      <w:pPr>
        <w:overflowPunct/>
        <w:jc w:val="both"/>
        <w:textAlignment w:val="auto"/>
        <w:rPr>
          <w:rFonts w:ascii="ArialMT" w:hAnsi="ArialMT" w:cs="ArialMT"/>
          <w:sz w:val="20"/>
          <w:lang w:eastAsia="en-GB"/>
        </w:rPr>
      </w:pPr>
      <w:r>
        <w:rPr>
          <w:rFonts w:ascii="ArialMT" w:hAnsi="ArialMT" w:cs="ArialMT"/>
          <w:sz w:val="20"/>
          <w:lang w:eastAsia="en-GB"/>
        </w:rPr>
        <w:t xml:space="preserve">1. </w:t>
      </w:r>
      <w:r w:rsidR="004B4607" w:rsidRPr="004B4607">
        <w:rPr>
          <w:rFonts w:ascii="ArialMT" w:hAnsi="ArialMT" w:cs="ArialMT"/>
          <w:sz w:val="20"/>
          <w:lang w:eastAsia="en-GB"/>
        </w:rPr>
        <w:t>THAT, in addition to all existing authority,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Directors 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 (the “Directors”) be and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are hereby generally unconditionally authorised pursuant to section 551 of the Companies Act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2006 (the “Act”)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exercise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all powers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allot shares in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 xml:space="preserve">capital of </w:t>
      </w:r>
      <w:r w:rsidR="004B4607">
        <w:rPr>
          <w:rFonts w:ascii="ArialMT" w:hAnsi="ArialMT" w:cs="ArialMT"/>
          <w:sz w:val="20"/>
          <w:lang w:eastAsia="en-GB"/>
        </w:rPr>
        <w:t xml:space="preserve">the company </w:t>
      </w:r>
      <w:r w:rsidR="004B4607" w:rsidRPr="004B4607">
        <w:rPr>
          <w:rFonts w:ascii="ArialMT" w:hAnsi="ArialMT" w:cs="ArialMT"/>
          <w:sz w:val="20"/>
          <w:lang w:eastAsia="en-GB"/>
        </w:rPr>
        <w:t>and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grant rights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subscribe for or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convert any security into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shares in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up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an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aggregate nominal amount of £2,633,771 (being approximately 10 per cent. of the issued share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capital 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 as at 15December 2020), provided that this authority shall expire at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conclusion of the Annual General Meeting of the Company to be held in 2022, save that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may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before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such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expiry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make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an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offer or agreement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which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would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or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might require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shares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to be allotted, or rights to subscribe for or to convert securities into shares to be granted, after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such expiry and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Directors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may allot shares or grant such rights in pursuance of such an offer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or agreement as if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authority conferred hereby had not expired</w:t>
      </w:r>
      <w:r>
        <w:rPr>
          <w:rFonts w:ascii="ArialMT" w:hAnsi="ArialMT" w:cs="ArialMT"/>
          <w:sz w:val="20"/>
          <w:lang w:eastAsia="en-GB"/>
        </w:rPr>
        <w:t>.</w:t>
      </w:r>
    </w:p>
    <w:p w14:paraId="107F6CEB" w14:textId="77777777" w:rsidR="00DA52CD" w:rsidRDefault="00DA52CD" w:rsidP="00DA52CD">
      <w:pPr>
        <w:tabs>
          <w:tab w:val="left" w:pos="1985"/>
        </w:tabs>
        <w:rPr>
          <w:rFonts w:ascii="ArialMT" w:hAnsi="ArialMT" w:cs="ArialMT"/>
          <w:sz w:val="20"/>
          <w:lang w:eastAsia="en-GB"/>
        </w:rPr>
      </w:pPr>
    </w:p>
    <w:p w14:paraId="08559A50" w14:textId="3F15F50C" w:rsidR="00DA52CD" w:rsidRDefault="00DA52CD" w:rsidP="00DA52CD">
      <w:pPr>
        <w:overflowPunct/>
        <w:jc w:val="center"/>
        <w:textAlignment w:val="auto"/>
        <w:rPr>
          <w:rFonts w:asciiTheme="minorHAnsi" w:hAnsiTheme="minorHAnsi"/>
          <w:b/>
          <w:sz w:val="22"/>
          <w:szCs w:val="22"/>
        </w:rPr>
      </w:pPr>
      <w:r w:rsidRPr="00DA52CD">
        <w:rPr>
          <w:rFonts w:asciiTheme="minorHAnsi" w:hAnsiTheme="minorHAnsi"/>
          <w:b/>
          <w:sz w:val="22"/>
          <w:szCs w:val="22"/>
        </w:rPr>
        <w:t>SPECIAL RESOLUTION</w:t>
      </w:r>
    </w:p>
    <w:p w14:paraId="4866AEFE" w14:textId="77777777" w:rsidR="00DA52CD" w:rsidRPr="00DA52CD" w:rsidRDefault="00DA52CD" w:rsidP="00DA52CD">
      <w:pPr>
        <w:overflowPunct/>
        <w:jc w:val="center"/>
        <w:textAlignment w:val="auto"/>
        <w:rPr>
          <w:rFonts w:asciiTheme="minorHAnsi" w:hAnsiTheme="minorHAnsi"/>
          <w:b/>
          <w:sz w:val="22"/>
          <w:szCs w:val="22"/>
        </w:rPr>
      </w:pPr>
    </w:p>
    <w:p w14:paraId="671A1123" w14:textId="0DDB8D34" w:rsidR="00DA52CD" w:rsidRDefault="00DA52CD" w:rsidP="004B4607">
      <w:pPr>
        <w:overflowPunct/>
        <w:jc w:val="both"/>
        <w:textAlignment w:val="auto"/>
        <w:rPr>
          <w:rFonts w:ascii="ArialMT" w:hAnsi="ArialMT" w:cs="ArialMT"/>
          <w:sz w:val="20"/>
          <w:lang w:eastAsia="en-GB"/>
        </w:rPr>
      </w:pPr>
      <w:r>
        <w:rPr>
          <w:rFonts w:ascii="ArialMT" w:hAnsi="ArialMT" w:cs="ArialMT"/>
          <w:sz w:val="20"/>
          <w:lang w:eastAsia="en-GB"/>
        </w:rPr>
        <w:t xml:space="preserve">2. </w:t>
      </w:r>
      <w:r w:rsidR="004B4607" w:rsidRPr="004B4607">
        <w:rPr>
          <w:rFonts w:ascii="ArialMT" w:hAnsi="ArialMT" w:cs="ArialMT"/>
          <w:sz w:val="20"/>
          <w:lang w:eastAsia="en-GB"/>
        </w:rPr>
        <w:t>THAT, in addition to all existing authority and subject to the passing of resolution 1 above,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Directors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 (the “Directors”) be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and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are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hereby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generally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empowered, pursuant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sections 570 and 573 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Companies Act 2006 (the “Act”) to allot equity securities (within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meaning of section 560 of the Act) pursuant to any authority for the time being in force under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section 551 of the Act and to sell shares held by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Company in treasury, wholly for cash, as if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section 561(1) of the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Act did not apply to</w:t>
      </w:r>
      <w:r w:rsidR="004B4607">
        <w:rPr>
          <w:rFonts w:ascii="ArialMT" w:hAnsi="ArialMT" w:cs="ArialMT"/>
          <w:sz w:val="20"/>
          <w:lang w:eastAsia="en-GB"/>
        </w:rPr>
        <w:t xml:space="preserve"> </w:t>
      </w:r>
      <w:r w:rsidR="004B4607" w:rsidRPr="004B4607">
        <w:rPr>
          <w:rFonts w:ascii="ArialMT" w:hAnsi="ArialMT" w:cs="ArialMT"/>
          <w:sz w:val="20"/>
          <w:lang w:eastAsia="en-GB"/>
        </w:rPr>
        <w:t>any such allotment or sale, provided that this power:</w:t>
      </w:r>
    </w:p>
    <w:p w14:paraId="3AC4AAC7" w14:textId="77777777" w:rsidR="004B4607" w:rsidRDefault="004B4607" w:rsidP="004B4607">
      <w:pPr>
        <w:overflowPunct/>
        <w:jc w:val="both"/>
        <w:textAlignment w:val="auto"/>
        <w:rPr>
          <w:rFonts w:ascii="ArialMT" w:hAnsi="ArialMT" w:cs="ArialMT"/>
          <w:sz w:val="20"/>
          <w:lang w:eastAsia="en-GB"/>
        </w:rPr>
      </w:pPr>
    </w:p>
    <w:p w14:paraId="2D89EA71" w14:textId="2DD98BF9" w:rsidR="00DA52CD" w:rsidRPr="004B4607" w:rsidRDefault="004B4607" w:rsidP="004B4607">
      <w:pPr>
        <w:overflowPunct/>
        <w:ind w:left="1134" w:hanging="850"/>
        <w:jc w:val="both"/>
        <w:textAlignment w:val="auto"/>
        <w:rPr>
          <w:rFonts w:ascii="ArialMT" w:hAnsi="ArialMT" w:cs="ArialMT"/>
          <w:sz w:val="20"/>
          <w:lang w:eastAsia="en-GB"/>
        </w:rPr>
      </w:pPr>
      <w:r>
        <w:rPr>
          <w:rFonts w:ascii="ArialMT" w:hAnsi="ArialMT" w:cs="ArialMT"/>
          <w:sz w:val="20"/>
          <w:lang w:eastAsia="en-GB"/>
        </w:rPr>
        <w:t>(</w:t>
      </w:r>
      <w:proofErr w:type="spellStart"/>
      <w:r>
        <w:rPr>
          <w:rFonts w:ascii="ArialMT" w:hAnsi="ArialMT" w:cs="ArialMT"/>
          <w:sz w:val="20"/>
          <w:lang w:eastAsia="en-GB"/>
        </w:rPr>
        <w:t>i</w:t>
      </w:r>
      <w:proofErr w:type="spellEnd"/>
      <w:r>
        <w:rPr>
          <w:rFonts w:ascii="ArialMT" w:hAnsi="ArialMT" w:cs="ArialMT"/>
          <w:sz w:val="20"/>
          <w:lang w:eastAsia="en-GB"/>
        </w:rPr>
        <w:t xml:space="preserve">) </w:t>
      </w:r>
      <w:r>
        <w:rPr>
          <w:rFonts w:ascii="ArialMT" w:hAnsi="ArialMT" w:cs="ArialMT"/>
          <w:sz w:val="20"/>
          <w:lang w:eastAsia="en-GB"/>
        </w:rPr>
        <w:tab/>
      </w:r>
      <w:r w:rsidRPr="004B4607">
        <w:rPr>
          <w:rFonts w:ascii="ArialMT" w:hAnsi="ArialMT" w:cs="ArialMT"/>
          <w:sz w:val="20"/>
          <w:lang w:eastAsia="en-GB"/>
        </w:rPr>
        <w:t>shall be limited to the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allotment of equity securities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and the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sale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of treasury shares for cash</w:t>
      </w:r>
      <w:r w:rsidRPr="004B4607"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up to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an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aggregate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nominal amount of £2,633,771 (beingapproximately10per cent. of the</w:t>
      </w:r>
      <w:r w:rsidRPr="004B4607"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issued share capital of the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Company as at 15December 2020); and</w:t>
      </w:r>
    </w:p>
    <w:p w14:paraId="7782978E" w14:textId="77777777" w:rsidR="004B4607" w:rsidRPr="00DA52CD" w:rsidRDefault="004B4607" w:rsidP="004B4607">
      <w:pPr>
        <w:pStyle w:val="ListParagraph"/>
        <w:overflowPunct/>
        <w:ind w:left="1080"/>
        <w:jc w:val="both"/>
        <w:textAlignment w:val="auto"/>
        <w:rPr>
          <w:rFonts w:ascii="ArialMT" w:hAnsi="ArialMT" w:cs="ArialMT"/>
          <w:sz w:val="20"/>
          <w:lang w:eastAsia="en-GB"/>
        </w:rPr>
      </w:pPr>
    </w:p>
    <w:p w14:paraId="72FD9DC8" w14:textId="6C3844F5" w:rsidR="0011255B" w:rsidRDefault="004B4607" w:rsidP="004B4607">
      <w:pPr>
        <w:tabs>
          <w:tab w:val="left" w:pos="0"/>
        </w:tabs>
        <w:spacing w:line="276" w:lineRule="auto"/>
        <w:ind w:left="1134" w:hanging="113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="ArialMT" w:hAnsi="ArialMT" w:cs="ArialMT"/>
          <w:sz w:val="20"/>
          <w:lang w:eastAsia="en-GB"/>
        </w:rPr>
        <w:t xml:space="preserve">(ii) </w:t>
      </w:r>
      <w:r>
        <w:rPr>
          <w:rFonts w:ascii="ArialMT" w:hAnsi="ArialMT" w:cs="ArialMT"/>
          <w:sz w:val="20"/>
          <w:lang w:eastAsia="en-GB"/>
        </w:rPr>
        <w:tab/>
      </w:r>
      <w:r w:rsidRPr="004B4607">
        <w:rPr>
          <w:rFonts w:ascii="ArialMT" w:hAnsi="ArialMT" w:cs="ArialMT"/>
          <w:sz w:val="20"/>
          <w:lang w:eastAsia="en-GB"/>
        </w:rPr>
        <w:t>expires on the conclusion of the Annual General Meeting of the Company to be held in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2022, save that the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Company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may before such expiry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make an offer or agreement which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would or might require equity securities to be allotted or treasury shares to be sold after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such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expiry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and the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Directors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may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allot equity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securities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or sell treasury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shares in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pursuance</w:t>
      </w:r>
      <w:r>
        <w:rPr>
          <w:rFonts w:ascii="ArialMT" w:hAnsi="ArialMT" w:cs="ArialMT"/>
          <w:sz w:val="20"/>
          <w:lang w:eastAsia="en-GB"/>
        </w:rPr>
        <w:t xml:space="preserve"> </w:t>
      </w:r>
      <w:r w:rsidRPr="004B4607">
        <w:rPr>
          <w:rFonts w:ascii="ArialMT" w:hAnsi="ArialMT" w:cs="ArialMT"/>
          <w:sz w:val="20"/>
          <w:lang w:eastAsia="en-GB"/>
        </w:rPr>
        <w:t>of such an offer or agreement as if the power conferred hereby had not expired</w:t>
      </w:r>
    </w:p>
    <w:p w14:paraId="069B01F0" w14:textId="77777777" w:rsidR="0011255B" w:rsidRDefault="0011255B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03A60678" w14:textId="77777777" w:rsidR="00F36488" w:rsidRDefault="00F36488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1352D880" w14:textId="77777777" w:rsidR="00F36488" w:rsidRDefault="00F36488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6C487519" w14:textId="77777777" w:rsidR="002B222F" w:rsidRDefault="002B222F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</w:p>
    <w:p w14:paraId="32C12EAD" w14:textId="77777777" w:rsidR="0011255B" w:rsidRDefault="0011255B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14:paraId="38288095" w14:textId="77777777" w:rsidR="0011255B" w:rsidRDefault="0011255B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 and on behalf of PraxisIFM Fund Services (UK) Ltd</w:t>
      </w:r>
    </w:p>
    <w:p w14:paraId="04D9B6E3" w14:textId="77777777" w:rsidR="0011255B" w:rsidRPr="00BD714C" w:rsidRDefault="0011255B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Company Secretary</w:t>
      </w:r>
    </w:p>
    <w:p w14:paraId="2F49E561" w14:textId="77777777" w:rsidR="00A95A3C" w:rsidRPr="00BD714C" w:rsidRDefault="00A95A3C" w:rsidP="0011255B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/>
          <w:sz w:val="22"/>
          <w:szCs w:val="22"/>
        </w:rPr>
      </w:pPr>
    </w:p>
    <w:sectPr w:rsidR="00A95A3C" w:rsidRPr="00BD714C" w:rsidSect="00A41509">
      <w:headerReference w:type="first" r:id="rId7"/>
      <w:pgSz w:w="11906" w:h="16838"/>
      <w:pgMar w:top="1361" w:right="1361" w:bottom="1361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BD7D8" w14:textId="77777777" w:rsidR="00A41509" w:rsidRDefault="00A41509" w:rsidP="00A41509">
      <w:r>
        <w:separator/>
      </w:r>
    </w:p>
  </w:endnote>
  <w:endnote w:type="continuationSeparator" w:id="0">
    <w:p w14:paraId="7C213F55" w14:textId="77777777" w:rsidR="00A41509" w:rsidRDefault="00A41509" w:rsidP="00A4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7595" w14:textId="77777777" w:rsidR="00A41509" w:rsidRDefault="00A41509" w:rsidP="00A41509">
      <w:r>
        <w:separator/>
      </w:r>
    </w:p>
  </w:footnote>
  <w:footnote w:type="continuationSeparator" w:id="0">
    <w:p w14:paraId="3ACE3B14" w14:textId="77777777" w:rsidR="00A41509" w:rsidRDefault="00A41509" w:rsidP="00A41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C6D5C" w14:textId="6C20C239" w:rsidR="00F36488" w:rsidRPr="00F36488" w:rsidRDefault="00F36488" w:rsidP="00F36488">
    <w:pPr>
      <w:pStyle w:val="Heading6"/>
      <w:jc w:val="left"/>
      <w:rPr>
        <w:rFonts w:ascii="Arial" w:hAnsi="Arial" w:cs="Arial"/>
        <w:b w:val="0"/>
        <w:i/>
        <w:iCs/>
        <w:color w:val="000000" w:themeColor="text1"/>
        <w:sz w:val="20"/>
        <w:szCs w:val="24"/>
        <w:lang w:eastAsia="en-GB"/>
      </w:rPr>
    </w:pPr>
    <w:r w:rsidRPr="00F36488">
      <w:rPr>
        <w:rFonts w:ascii="Arial" w:hAnsi="Arial" w:cs="Arial"/>
        <w:b w:val="0"/>
        <w:color w:val="000000" w:themeColor="text1"/>
        <w:sz w:val="20"/>
        <w:szCs w:val="24"/>
      </w:rPr>
      <w:t xml:space="preserve">Company Number </w:t>
    </w:r>
    <w:r w:rsidR="00DA52CD">
      <w:rPr>
        <w:rFonts w:ascii="Arial" w:hAnsi="Arial" w:cs="Arial"/>
        <w:b w:val="0"/>
        <w:i/>
        <w:iCs/>
        <w:color w:val="000000" w:themeColor="text1"/>
        <w:sz w:val="20"/>
        <w:szCs w:val="24"/>
        <w:lang w:eastAsia="en-GB"/>
      </w:rPr>
      <w:t>4348393</w:t>
    </w:r>
  </w:p>
  <w:p w14:paraId="316C4CD2" w14:textId="77777777" w:rsidR="00F36488" w:rsidRPr="00F36488" w:rsidRDefault="00F36488" w:rsidP="00F36488">
    <w:pPr>
      <w:rPr>
        <w:lang w:eastAsia="en-GB"/>
      </w:rPr>
    </w:pPr>
  </w:p>
  <w:p w14:paraId="22CBEB6F" w14:textId="33F018EC" w:rsidR="00A41509" w:rsidRPr="001169A7" w:rsidRDefault="00DA52CD" w:rsidP="00A41509">
    <w:pPr>
      <w:pStyle w:val="Heading6"/>
      <w:rPr>
        <w:rFonts w:asciiTheme="minorHAnsi" w:hAnsiTheme="minorHAnsi" w:cs="Arial"/>
        <w:sz w:val="28"/>
        <w:szCs w:val="28"/>
      </w:rPr>
    </w:pPr>
    <w:r>
      <w:rPr>
        <w:rFonts w:asciiTheme="minorHAnsi" w:hAnsiTheme="minorHAnsi" w:cs="Arial"/>
        <w:sz w:val="28"/>
        <w:szCs w:val="28"/>
      </w:rPr>
      <w:t>IMPAX ENVIRONMENTAL MARKETS</w:t>
    </w:r>
    <w:r w:rsidR="00A41509" w:rsidRPr="001169A7">
      <w:rPr>
        <w:rFonts w:asciiTheme="minorHAnsi" w:hAnsiTheme="minorHAnsi" w:cs="Arial"/>
        <w:sz w:val="28"/>
        <w:szCs w:val="28"/>
      </w:rPr>
      <w:t xml:space="preserve"> PLC</w:t>
    </w:r>
  </w:p>
  <w:p w14:paraId="0413BE52" w14:textId="77777777" w:rsidR="00A41509" w:rsidRDefault="00A41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533F6"/>
    <w:multiLevelType w:val="hybridMultilevel"/>
    <w:tmpl w:val="9E827A96"/>
    <w:lvl w:ilvl="0" w:tplc="ECAE5EF6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F822C57"/>
    <w:multiLevelType w:val="hybridMultilevel"/>
    <w:tmpl w:val="27789236"/>
    <w:lvl w:ilvl="0" w:tplc="DE3A1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264CF0"/>
    <w:multiLevelType w:val="hybridMultilevel"/>
    <w:tmpl w:val="A19C6998"/>
    <w:lvl w:ilvl="0" w:tplc="70F267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A68C3"/>
    <w:multiLevelType w:val="hybridMultilevel"/>
    <w:tmpl w:val="DA9873F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62EA7"/>
    <w:multiLevelType w:val="hybridMultilevel"/>
    <w:tmpl w:val="E0D299F2"/>
    <w:lvl w:ilvl="0" w:tplc="425AD8C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A91115"/>
    <w:multiLevelType w:val="hybridMultilevel"/>
    <w:tmpl w:val="0002980A"/>
    <w:lvl w:ilvl="0" w:tplc="98208984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3171728F"/>
    <w:multiLevelType w:val="singleLevel"/>
    <w:tmpl w:val="4380FDD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825133F"/>
    <w:multiLevelType w:val="singleLevel"/>
    <w:tmpl w:val="3A94A55E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3B5F6EEB"/>
    <w:multiLevelType w:val="singleLevel"/>
    <w:tmpl w:val="D92867E0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580E497E"/>
    <w:multiLevelType w:val="singleLevel"/>
    <w:tmpl w:val="7B283F48"/>
    <w:lvl w:ilvl="0">
      <w:start w:val="5"/>
      <w:numFmt w:val="lowerLetter"/>
      <w:lvlText w:val="(%1)"/>
      <w:legacy w:legacy="1" w:legacySpace="120" w:legacyIndent="360"/>
      <w:lvlJc w:val="left"/>
      <w:pPr>
        <w:ind w:left="1069" w:hanging="360"/>
      </w:pPr>
    </w:lvl>
  </w:abstractNum>
  <w:abstractNum w:abstractNumId="10" w15:restartNumberingAfterBreak="0">
    <w:nsid w:val="5A326838"/>
    <w:multiLevelType w:val="singleLevel"/>
    <w:tmpl w:val="D23E2714"/>
    <w:lvl w:ilvl="0">
      <w:start w:val="8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66965B14"/>
    <w:multiLevelType w:val="hybridMultilevel"/>
    <w:tmpl w:val="B896EEC0"/>
    <w:lvl w:ilvl="0" w:tplc="2B9098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F031C"/>
    <w:multiLevelType w:val="singleLevel"/>
    <w:tmpl w:val="0C009A14"/>
    <w:lvl w:ilvl="0">
      <w:start w:val="1"/>
      <w:numFmt w:val="lowerLetter"/>
      <w:lvlText w:val="(%1)"/>
      <w:legacy w:legacy="1" w:legacySpace="120" w:legacyIndent="360"/>
      <w:lvlJc w:val="left"/>
      <w:pPr>
        <w:ind w:left="1440" w:hanging="360"/>
      </w:pPr>
    </w:lvl>
  </w:abstractNum>
  <w:abstractNum w:abstractNumId="13" w15:restartNumberingAfterBreak="0">
    <w:nsid w:val="7B3F70CA"/>
    <w:multiLevelType w:val="singleLevel"/>
    <w:tmpl w:val="AA24D64E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C5"/>
    <w:rsid w:val="00041DB2"/>
    <w:rsid w:val="0009259B"/>
    <w:rsid w:val="0010549F"/>
    <w:rsid w:val="0011255B"/>
    <w:rsid w:val="0016729E"/>
    <w:rsid w:val="001A60AB"/>
    <w:rsid w:val="001F2887"/>
    <w:rsid w:val="00292DBB"/>
    <w:rsid w:val="002B222F"/>
    <w:rsid w:val="0032349E"/>
    <w:rsid w:val="00474A94"/>
    <w:rsid w:val="004B4607"/>
    <w:rsid w:val="004E43C5"/>
    <w:rsid w:val="0054071D"/>
    <w:rsid w:val="00557DF9"/>
    <w:rsid w:val="0058309E"/>
    <w:rsid w:val="005A2D02"/>
    <w:rsid w:val="005A3B0F"/>
    <w:rsid w:val="005D0CF9"/>
    <w:rsid w:val="005E77CC"/>
    <w:rsid w:val="006F021F"/>
    <w:rsid w:val="006F0B23"/>
    <w:rsid w:val="006F4C60"/>
    <w:rsid w:val="00754F26"/>
    <w:rsid w:val="0075579C"/>
    <w:rsid w:val="00764CDF"/>
    <w:rsid w:val="007D48BC"/>
    <w:rsid w:val="00805ABA"/>
    <w:rsid w:val="00886F59"/>
    <w:rsid w:val="008D4334"/>
    <w:rsid w:val="008F3850"/>
    <w:rsid w:val="009A0796"/>
    <w:rsid w:val="009B565B"/>
    <w:rsid w:val="00A41509"/>
    <w:rsid w:val="00A95A3C"/>
    <w:rsid w:val="00B135B5"/>
    <w:rsid w:val="00BB44E7"/>
    <w:rsid w:val="00BD714C"/>
    <w:rsid w:val="00BF69B7"/>
    <w:rsid w:val="00C06FEA"/>
    <w:rsid w:val="00C16556"/>
    <w:rsid w:val="00C519D4"/>
    <w:rsid w:val="00C568EF"/>
    <w:rsid w:val="00C92D91"/>
    <w:rsid w:val="00CA20E2"/>
    <w:rsid w:val="00CB47BD"/>
    <w:rsid w:val="00CD1507"/>
    <w:rsid w:val="00CF10AB"/>
    <w:rsid w:val="00D67934"/>
    <w:rsid w:val="00DA52CD"/>
    <w:rsid w:val="00E5360D"/>
    <w:rsid w:val="00E97ABE"/>
    <w:rsid w:val="00EA13CE"/>
    <w:rsid w:val="00EA57A4"/>
    <w:rsid w:val="00ED2957"/>
    <w:rsid w:val="00ED5048"/>
    <w:rsid w:val="00F36488"/>
    <w:rsid w:val="00F4027B"/>
    <w:rsid w:val="00F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43CEC"/>
  <w15:docId w15:val="{E878BA59-5512-4D8C-8024-1CAC875A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1509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ind w:left="2160" w:hanging="2160"/>
    </w:pPr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2">
    <w:name w:val="Body Text 2"/>
    <w:basedOn w:val="Normal"/>
    <w:pPr>
      <w:ind w:left="1560" w:hanging="426"/>
    </w:pPr>
    <w:rPr>
      <w:sz w:val="22"/>
    </w:rPr>
  </w:style>
  <w:style w:type="paragraph" w:styleId="BodyTextIndent2">
    <w:name w:val="Body Text Indent 2"/>
    <w:basedOn w:val="Normal"/>
    <w:pPr>
      <w:ind w:left="709" w:hanging="709"/>
    </w:pPr>
    <w:rPr>
      <w:sz w:val="22"/>
    </w:rPr>
  </w:style>
  <w:style w:type="table" w:styleId="TableGrid">
    <w:name w:val="Table Grid"/>
    <w:basedOn w:val="TableNormal"/>
    <w:rsid w:val="00C568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9D4"/>
    <w:pPr>
      <w:ind w:left="720"/>
    </w:pPr>
  </w:style>
  <w:style w:type="paragraph" w:styleId="Header">
    <w:name w:val="header"/>
    <w:basedOn w:val="Normal"/>
    <w:link w:val="HeaderChar"/>
    <w:rsid w:val="00A41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1509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A41509"/>
    <w:rPr>
      <w:rFonts w:ascii="Tahoma" w:hAnsi="Tahoma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Ordinary Business:</vt:lpstr>
    </vt:vector>
  </TitlesOfParts>
  <Company>Cavendish Administration Ltd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Ordinary Business:</dc:title>
  <dc:creator>Cavendish2</dc:creator>
  <cp:lastModifiedBy>Jenny Thompson</cp:lastModifiedBy>
  <cp:revision>2</cp:revision>
  <cp:lastPrinted>2017-09-28T09:33:00Z</cp:lastPrinted>
  <dcterms:created xsi:type="dcterms:W3CDTF">2021-01-11T13:55:00Z</dcterms:created>
  <dcterms:modified xsi:type="dcterms:W3CDTF">2021-01-11T13:55:00Z</dcterms:modified>
</cp:coreProperties>
</file>