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0C88" w14:textId="77777777" w:rsidR="009A4F2B" w:rsidRPr="009A4F2B" w:rsidRDefault="009A4F2B" w:rsidP="009A4F2B">
      <w:pPr>
        <w:rPr>
          <w:rFonts w:ascii="Arial" w:hAnsi="Arial" w:cs="Arial"/>
          <w:b/>
          <w:sz w:val="20"/>
          <w:szCs w:val="20"/>
        </w:rPr>
      </w:pPr>
      <w:r w:rsidRPr="009A4F2B">
        <w:rPr>
          <w:rFonts w:ascii="Arial" w:hAnsi="Arial" w:cs="Arial"/>
          <w:b/>
          <w:sz w:val="20"/>
          <w:szCs w:val="20"/>
        </w:rPr>
        <w:t>IMPAX ENVIRONMENTAL MARKETS PLC (the “Company”)</w:t>
      </w:r>
    </w:p>
    <w:p w14:paraId="35338FAE" w14:textId="77777777" w:rsidR="009A4F2B" w:rsidRPr="009A4F2B" w:rsidRDefault="009A4F2B" w:rsidP="009A4F2B">
      <w:pPr>
        <w:rPr>
          <w:rFonts w:ascii="Arial" w:hAnsi="Arial" w:cs="Arial"/>
          <w:sz w:val="20"/>
          <w:szCs w:val="20"/>
        </w:rPr>
      </w:pPr>
    </w:p>
    <w:p w14:paraId="161BCAA0" w14:textId="77777777" w:rsidR="009A4F2B" w:rsidRPr="009A4F2B" w:rsidRDefault="009A4F2B" w:rsidP="009A4F2B">
      <w:pPr>
        <w:rPr>
          <w:rFonts w:ascii="Arial" w:hAnsi="Arial" w:cs="Arial"/>
          <w:sz w:val="20"/>
          <w:szCs w:val="20"/>
        </w:rPr>
      </w:pPr>
      <w:r w:rsidRPr="009A4F2B">
        <w:rPr>
          <w:rFonts w:ascii="Arial" w:hAnsi="Arial" w:cs="Arial"/>
          <w:sz w:val="20"/>
          <w:szCs w:val="20"/>
        </w:rPr>
        <w:t>LEI: 213800RAR6ZDJLZDND86</w:t>
      </w:r>
    </w:p>
    <w:p w14:paraId="57A69839" w14:textId="25B480F4" w:rsidR="00C76189" w:rsidRPr="00091CDA" w:rsidRDefault="009A4F2B" w:rsidP="009A4F2B">
      <w:pPr>
        <w:rPr>
          <w:rFonts w:ascii="Arial" w:hAnsi="Arial" w:cs="Arial"/>
          <w:b/>
          <w:sz w:val="20"/>
          <w:szCs w:val="20"/>
        </w:rPr>
      </w:pPr>
      <w:r w:rsidRPr="009A4F2B">
        <w:rPr>
          <w:color w:val="000000"/>
          <w:sz w:val="20"/>
          <w:szCs w:val="20"/>
        </w:rPr>
        <w:br/>
      </w:r>
      <w:r w:rsidR="00C76189" w:rsidRPr="00091CDA">
        <w:rPr>
          <w:rFonts w:ascii="Arial" w:hAnsi="Arial" w:cs="Arial"/>
          <w:b/>
          <w:sz w:val="20"/>
          <w:szCs w:val="20"/>
        </w:rPr>
        <w:t>Result of AGM</w:t>
      </w:r>
    </w:p>
    <w:p w14:paraId="2D2A9701" w14:textId="77777777" w:rsidR="00C76189" w:rsidRPr="00091CDA" w:rsidRDefault="00C76189">
      <w:pPr>
        <w:rPr>
          <w:rFonts w:ascii="Arial" w:hAnsi="Arial" w:cs="Arial"/>
          <w:sz w:val="20"/>
          <w:szCs w:val="20"/>
        </w:rPr>
      </w:pPr>
    </w:p>
    <w:p w14:paraId="25A47B55" w14:textId="14D994E0" w:rsidR="00215011" w:rsidRDefault="00C76189" w:rsidP="00DF1E1B">
      <w:pPr>
        <w:jc w:val="both"/>
        <w:rPr>
          <w:rFonts w:ascii="Arial" w:hAnsi="Arial" w:cs="Arial"/>
          <w:sz w:val="20"/>
          <w:szCs w:val="20"/>
        </w:rPr>
      </w:pPr>
      <w:r w:rsidRPr="00091CDA">
        <w:rPr>
          <w:rFonts w:ascii="Arial" w:hAnsi="Arial" w:cs="Arial"/>
          <w:sz w:val="20"/>
          <w:szCs w:val="20"/>
        </w:rPr>
        <w:t xml:space="preserve">Impax Environmental Markets plc </w:t>
      </w:r>
      <w:r w:rsidR="007D3018" w:rsidRPr="00091CDA">
        <w:rPr>
          <w:rFonts w:ascii="Arial" w:hAnsi="Arial" w:cs="Arial"/>
          <w:sz w:val="20"/>
          <w:szCs w:val="20"/>
        </w:rPr>
        <w:t>(the “Company”)</w:t>
      </w:r>
      <w:r w:rsidR="00B93ED2" w:rsidRPr="00091CDA">
        <w:rPr>
          <w:rFonts w:ascii="Arial" w:hAnsi="Arial" w:cs="Arial"/>
          <w:sz w:val="20"/>
          <w:szCs w:val="20"/>
        </w:rPr>
        <w:t xml:space="preserve"> is pleased to</w:t>
      </w:r>
      <w:r w:rsidR="007D3018" w:rsidRPr="00091CDA">
        <w:rPr>
          <w:rFonts w:ascii="Arial" w:hAnsi="Arial" w:cs="Arial"/>
          <w:sz w:val="20"/>
          <w:szCs w:val="20"/>
        </w:rPr>
        <w:t xml:space="preserve"> </w:t>
      </w:r>
      <w:r w:rsidR="00B93ED2" w:rsidRPr="00091CDA">
        <w:rPr>
          <w:rFonts w:ascii="Arial" w:hAnsi="Arial" w:cs="Arial"/>
          <w:sz w:val="20"/>
          <w:szCs w:val="20"/>
        </w:rPr>
        <w:t>announce</w:t>
      </w:r>
      <w:r w:rsidRPr="00091CDA">
        <w:rPr>
          <w:rFonts w:ascii="Arial" w:hAnsi="Arial" w:cs="Arial"/>
          <w:sz w:val="20"/>
          <w:szCs w:val="20"/>
        </w:rPr>
        <w:t xml:space="preserve"> that all</w:t>
      </w:r>
      <w:r w:rsidR="005020B1" w:rsidRPr="00091CDA">
        <w:rPr>
          <w:rFonts w:ascii="Arial" w:hAnsi="Arial" w:cs="Arial"/>
          <w:sz w:val="20"/>
          <w:szCs w:val="20"/>
        </w:rPr>
        <w:t xml:space="preserve"> </w:t>
      </w:r>
      <w:r w:rsidR="00A32D60" w:rsidRPr="00091CDA">
        <w:rPr>
          <w:rFonts w:ascii="Arial" w:hAnsi="Arial" w:cs="Arial"/>
          <w:sz w:val="20"/>
          <w:szCs w:val="20"/>
        </w:rPr>
        <w:t xml:space="preserve">of the </w:t>
      </w:r>
      <w:r w:rsidRPr="00091CDA">
        <w:rPr>
          <w:rFonts w:ascii="Arial" w:hAnsi="Arial" w:cs="Arial"/>
          <w:sz w:val="20"/>
          <w:szCs w:val="20"/>
        </w:rPr>
        <w:t xml:space="preserve">resolutions </w:t>
      </w:r>
      <w:r w:rsidR="00677C1A" w:rsidRPr="00091CDA">
        <w:rPr>
          <w:rFonts w:ascii="Arial" w:hAnsi="Arial" w:cs="Arial"/>
          <w:sz w:val="20"/>
          <w:szCs w:val="20"/>
        </w:rPr>
        <w:t xml:space="preserve">put forward </w:t>
      </w:r>
      <w:r w:rsidRPr="00091CDA">
        <w:rPr>
          <w:rFonts w:ascii="Arial" w:hAnsi="Arial" w:cs="Arial"/>
          <w:sz w:val="20"/>
          <w:szCs w:val="20"/>
        </w:rPr>
        <w:t>at its Annual General Meeting</w:t>
      </w:r>
      <w:r w:rsidR="00744622">
        <w:rPr>
          <w:rFonts w:ascii="Arial" w:hAnsi="Arial" w:cs="Arial"/>
          <w:sz w:val="20"/>
          <w:szCs w:val="20"/>
        </w:rPr>
        <w:t xml:space="preserve"> (“AGM”)</w:t>
      </w:r>
      <w:r w:rsidRPr="00091CDA">
        <w:rPr>
          <w:rFonts w:ascii="Arial" w:hAnsi="Arial" w:cs="Arial"/>
          <w:sz w:val="20"/>
          <w:szCs w:val="20"/>
        </w:rPr>
        <w:t xml:space="preserve"> held </w:t>
      </w:r>
      <w:r w:rsidR="004A2853" w:rsidRPr="00091CDA">
        <w:rPr>
          <w:rFonts w:ascii="Arial" w:hAnsi="Arial" w:cs="Arial"/>
          <w:sz w:val="20"/>
          <w:szCs w:val="20"/>
        </w:rPr>
        <w:t>earlier today</w:t>
      </w:r>
      <w:r w:rsidR="00B93ED2" w:rsidRPr="00091CDA">
        <w:rPr>
          <w:rFonts w:ascii="Arial" w:hAnsi="Arial" w:cs="Arial"/>
          <w:sz w:val="20"/>
          <w:szCs w:val="20"/>
        </w:rPr>
        <w:t xml:space="preserve"> were passed.</w:t>
      </w:r>
      <w:r w:rsidR="00744622">
        <w:rPr>
          <w:rFonts w:ascii="Arial" w:hAnsi="Arial" w:cs="Arial"/>
          <w:sz w:val="20"/>
          <w:szCs w:val="20"/>
        </w:rPr>
        <w:t xml:space="preserve"> </w:t>
      </w:r>
      <w:r w:rsidR="00B26457">
        <w:rPr>
          <w:rFonts w:ascii="Arial" w:hAnsi="Arial" w:cs="Arial"/>
          <w:sz w:val="20"/>
          <w:szCs w:val="20"/>
        </w:rPr>
        <w:t>All resolutions</w:t>
      </w:r>
      <w:r w:rsidR="00744622">
        <w:rPr>
          <w:rFonts w:ascii="Arial" w:hAnsi="Arial" w:cs="Arial"/>
          <w:sz w:val="20"/>
          <w:szCs w:val="20"/>
        </w:rPr>
        <w:t xml:space="preserve"> put forward passed with in excess of </w:t>
      </w:r>
      <w:r w:rsidR="00967417">
        <w:rPr>
          <w:rFonts w:ascii="Arial" w:hAnsi="Arial" w:cs="Arial"/>
          <w:sz w:val="20"/>
          <w:szCs w:val="20"/>
        </w:rPr>
        <w:t xml:space="preserve">99% </w:t>
      </w:r>
      <w:r w:rsidR="00744622" w:rsidRPr="00967417">
        <w:rPr>
          <w:rFonts w:ascii="Arial" w:hAnsi="Arial" w:cs="Arial"/>
          <w:sz w:val="20"/>
          <w:szCs w:val="20"/>
        </w:rPr>
        <w:t>of</w:t>
      </w:r>
      <w:r w:rsidR="00744622">
        <w:rPr>
          <w:rFonts w:ascii="Arial" w:hAnsi="Arial" w:cs="Arial"/>
          <w:sz w:val="20"/>
          <w:szCs w:val="20"/>
        </w:rPr>
        <w:t xml:space="preserve"> votes being cast in favour. </w:t>
      </w:r>
      <w:r w:rsidR="00B93ED2" w:rsidRPr="00091CDA">
        <w:rPr>
          <w:rFonts w:ascii="Arial" w:hAnsi="Arial" w:cs="Arial"/>
          <w:sz w:val="20"/>
          <w:szCs w:val="20"/>
        </w:rPr>
        <w:t xml:space="preserve"> </w:t>
      </w:r>
    </w:p>
    <w:p w14:paraId="321C2FB1" w14:textId="77777777" w:rsidR="00215011" w:rsidRPr="00091CDA" w:rsidRDefault="00215011" w:rsidP="00DF1E1B">
      <w:pPr>
        <w:jc w:val="both"/>
        <w:rPr>
          <w:rFonts w:ascii="Arial" w:hAnsi="Arial" w:cs="Arial"/>
          <w:sz w:val="20"/>
          <w:szCs w:val="20"/>
        </w:rPr>
      </w:pPr>
    </w:p>
    <w:p w14:paraId="7E5E5B89" w14:textId="2719B322" w:rsidR="007D7385" w:rsidRPr="00091CDA" w:rsidRDefault="007D7385" w:rsidP="00BB695E">
      <w:pPr>
        <w:rPr>
          <w:rFonts w:ascii="Arial" w:hAnsi="Arial" w:cs="Arial"/>
          <w:sz w:val="20"/>
          <w:szCs w:val="20"/>
        </w:rPr>
      </w:pPr>
      <w:r w:rsidRPr="00091CDA">
        <w:rPr>
          <w:rFonts w:ascii="Arial" w:hAnsi="Arial" w:cs="Arial"/>
          <w:sz w:val="20"/>
          <w:szCs w:val="20"/>
        </w:rPr>
        <w:t>Details of the number of proxy votes cast for, against and withheld</w:t>
      </w:r>
      <w:r w:rsidR="000022E5">
        <w:rPr>
          <w:rFonts w:ascii="Arial" w:hAnsi="Arial" w:cs="Arial"/>
          <w:sz w:val="20"/>
          <w:szCs w:val="20"/>
        </w:rPr>
        <w:t xml:space="preserve"> along with the Investment Manager’s presentation have been</w:t>
      </w:r>
      <w:r w:rsidRPr="00091CDA">
        <w:rPr>
          <w:rFonts w:ascii="Arial" w:hAnsi="Arial" w:cs="Arial"/>
          <w:sz w:val="20"/>
          <w:szCs w:val="20"/>
        </w:rPr>
        <w:t xml:space="preserve"> published on the Company's website at</w:t>
      </w:r>
      <w:r w:rsidR="00BB695E">
        <w:rPr>
          <w:rFonts w:ascii="Arial" w:hAnsi="Arial" w:cs="Arial"/>
          <w:sz w:val="20"/>
          <w:szCs w:val="20"/>
        </w:rPr>
        <w:t>:</w:t>
      </w:r>
      <w:r w:rsidRPr="00091CDA">
        <w:rPr>
          <w:rFonts w:ascii="Arial" w:hAnsi="Arial" w:cs="Arial"/>
          <w:sz w:val="20"/>
          <w:szCs w:val="20"/>
        </w:rPr>
        <w:t xml:space="preserve"> </w:t>
      </w:r>
      <w:r w:rsidR="000022E5" w:rsidRPr="00BB695E">
        <w:rPr>
          <w:rFonts w:ascii="Arial" w:hAnsi="Arial" w:cs="Arial"/>
          <w:sz w:val="20"/>
          <w:szCs w:val="20"/>
        </w:rPr>
        <w:t>https://impaxenvironmentalmarkets.co.uk/trust-info/reports-and-company-documents/</w:t>
      </w:r>
      <w:r w:rsidR="000022E5">
        <w:rPr>
          <w:rFonts w:ascii="Arial" w:hAnsi="Arial" w:cs="Arial"/>
          <w:sz w:val="20"/>
          <w:szCs w:val="20"/>
        </w:rPr>
        <w:t xml:space="preserve"> </w:t>
      </w:r>
    </w:p>
    <w:p w14:paraId="04EA867E" w14:textId="77777777" w:rsidR="007D7385" w:rsidRPr="00091CDA" w:rsidRDefault="007D7385" w:rsidP="000B62FE">
      <w:pPr>
        <w:jc w:val="both"/>
        <w:rPr>
          <w:rFonts w:ascii="Arial" w:hAnsi="Arial" w:cs="Arial"/>
          <w:sz w:val="20"/>
          <w:szCs w:val="20"/>
        </w:rPr>
      </w:pPr>
    </w:p>
    <w:p w14:paraId="34363CA8" w14:textId="64CDC031" w:rsidR="000B62FE" w:rsidRPr="00091CDA" w:rsidRDefault="00733AE0" w:rsidP="000B62FE">
      <w:pPr>
        <w:jc w:val="both"/>
        <w:rPr>
          <w:rFonts w:ascii="Arial" w:hAnsi="Arial" w:cs="Arial"/>
          <w:sz w:val="20"/>
          <w:szCs w:val="20"/>
        </w:rPr>
      </w:pPr>
      <w:r w:rsidRPr="00091CDA">
        <w:rPr>
          <w:rFonts w:ascii="Arial" w:hAnsi="Arial" w:cs="Arial"/>
          <w:sz w:val="20"/>
          <w:szCs w:val="20"/>
        </w:rPr>
        <w:t xml:space="preserve">The text of all the resolutions is contained in the </w:t>
      </w:r>
      <w:r w:rsidR="00744622">
        <w:rPr>
          <w:rFonts w:ascii="Arial" w:hAnsi="Arial" w:cs="Arial"/>
          <w:sz w:val="20"/>
          <w:szCs w:val="20"/>
        </w:rPr>
        <w:t>Notice of AGM</w:t>
      </w:r>
      <w:r w:rsidRPr="00091CDA">
        <w:rPr>
          <w:rFonts w:ascii="Arial" w:hAnsi="Arial" w:cs="Arial"/>
          <w:sz w:val="20"/>
          <w:szCs w:val="20"/>
        </w:rPr>
        <w:t xml:space="preserve"> in the Company’s Annual Report for</w:t>
      </w:r>
      <w:r w:rsidR="000B239A" w:rsidRPr="00091CDA">
        <w:rPr>
          <w:rFonts w:ascii="Arial" w:hAnsi="Arial" w:cs="Arial"/>
          <w:sz w:val="20"/>
          <w:szCs w:val="20"/>
        </w:rPr>
        <w:t xml:space="preserve"> the year ended 31 December 20</w:t>
      </w:r>
      <w:r w:rsidR="00ED3CE1">
        <w:rPr>
          <w:rFonts w:ascii="Arial" w:hAnsi="Arial" w:cs="Arial"/>
          <w:sz w:val="20"/>
          <w:szCs w:val="20"/>
        </w:rPr>
        <w:t>2</w:t>
      </w:r>
      <w:r w:rsidR="00F6444E">
        <w:rPr>
          <w:rFonts w:ascii="Arial" w:hAnsi="Arial" w:cs="Arial"/>
          <w:sz w:val="20"/>
          <w:szCs w:val="20"/>
        </w:rPr>
        <w:t>1</w:t>
      </w:r>
      <w:r w:rsidRPr="00091CDA">
        <w:rPr>
          <w:rFonts w:ascii="Arial" w:hAnsi="Arial" w:cs="Arial"/>
          <w:sz w:val="20"/>
          <w:szCs w:val="20"/>
        </w:rPr>
        <w:t>.</w:t>
      </w:r>
      <w:r w:rsidR="00911F8B">
        <w:rPr>
          <w:rFonts w:ascii="Arial" w:hAnsi="Arial" w:cs="Arial"/>
          <w:sz w:val="20"/>
          <w:szCs w:val="20"/>
        </w:rPr>
        <w:t xml:space="preserve"> </w:t>
      </w:r>
    </w:p>
    <w:p w14:paraId="1FC1CB4E" w14:textId="77777777" w:rsidR="00522A6A" w:rsidRPr="00091CDA" w:rsidRDefault="00522A6A">
      <w:pPr>
        <w:rPr>
          <w:rFonts w:ascii="Arial" w:hAnsi="Arial" w:cs="Arial"/>
          <w:sz w:val="20"/>
          <w:szCs w:val="20"/>
        </w:rPr>
      </w:pPr>
    </w:p>
    <w:p w14:paraId="68A133BE" w14:textId="4D5A8C4A" w:rsidR="00522A6A" w:rsidRPr="00091CDA" w:rsidRDefault="00522A6A">
      <w:pPr>
        <w:rPr>
          <w:rFonts w:ascii="Arial" w:hAnsi="Arial" w:cs="Arial"/>
          <w:sz w:val="20"/>
          <w:szCs w:val="20"/>
        </w:rPr>
      </w:pPr>
      <w:r w:rsidRPr="00091CDA">
        <w:rPr>
          <w:rFonts w:ascii="Arial" w:hAnsi="Arial" w:cs="Arial"/>
          <w:sz w:val="20"/>
          <w:szCs w:val="20"/>
        </w:rPr>
        <w:t xml:space="preserve">The proxy votes </w:t>
      </w:r>
      <w:r w:rsidR="005A261C" w:rsidRPr="00091CDA">
        <w:rPr>
          <w:rFonts w:ascii="Arial" w:hAnsi="Arial" w:cs="Arial"/>
          <w:sz w:val="20"/>
          <w:szCs w:val="20"/>
        </w:rPr>
        <w:t xml:space="preserve">received </w:t>
      </w:r>
      <w:r w:rsidRPr="00091CDA">
        <w:rPr>
          <w:rFonts w:ascii="Arial" w:hAnsi="Arial" w:cs="Arial"/>
          <w:sz w:val="20"/>
          <w:szCs w:val="20"/>
        </w:rPr>
        <w:t>were as follows:</w:t>
      </w:r>
    </w:p>
    <w:p w14:paraId="0B4AFA03" w14:textId="77777777" w:rsidR="00522A6A" w:rsidRPr="00091CDA" w:rsidRDefault="00522A6A">
      <w:pPr>
        <w:rPr>
          <w:rFonts w:ascii="Arial" w:hAnsi="Arial" w:cs="Arial"/>
          <w:sz w:val="20"/>
          <w:szCs w:val="20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3455"/>
        <w:gridCol w:w="1419"/>
        <w:gridCol w:w="1047"/>
        <w:gridCol w:w="1221"/>
        <w:gridCol w:w="849"/>
        <w:gridCol w:w="1051"/>
      </w:tblGrid>
      <w:tr w:rsidR="00B26457" w:rsidRPr="00744622" w14:paraId="4E3A1177" w14:textId="77777777" w:rsidTr="000F6DB7">
        <w:tc>
          <w:tcPr>
            <w:tcW w:w="2118" w:type="pct"/>
            <w:gridSpan w:val="2"/>
            <w:shd w:val="clear" w:color="auto" w:fill="auto"/>
          </w:tcPr>
          <w:p w14:paraId="2076E2F6" w14:textId="09E012DA" w:rsidR="00CB2474" w:rsidRPr="00744622" w:rsidRDefault="00CB2474" w:rsidP="00CB2474">
            <w:pPr>
              <w:rPr>
                <w:rFonts w:ascii="Arial" w:hAnsi="Arial" w:cs="Arial"/>
                <w:sz w:val="20"/>
                <w:szCs w:val="20"/>
              </w:rPr>
            </w:pPr>
            <w:r w:rsidRPr="00744622">
              <w:rPr>
                <w:rFonts w:ascii="Arial" w:hAnsi="Arial" w:cs="Arial"/>
                <w:sz w:val="20"/>
                <w:szCs w:val="20"/>
              </w:rPr>
              <w:t>Resolution</w:t>
            </w:r>
          </w:p>
        </w:tc>
        <w:tc>
          <w:tcPr>
            <w:tcW w:w="1272" w:type="pct"/>
            <w:gridSpan w:val="2"/>
            <w:shd w:val="clear" w:color="auto" w:fill="auto"/>
          </w:tcPr>
          <w:p w14:paraId="1F54377D" w14:textId="25C4CAC7" w:rsidR="00CB2474" w:rsidRPr="00744622" w:rsidRDefault="00CB2474" w:rsidP="00C237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622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B26457">
              <w:rPr>
                <w:rFonts w:ascii="Arial" w:hAnsi="Arial" w:cs="Arial"/>
                <w:sz w:val="20"/>
                <w:szCs w:val="20"/>
              </w:rPr>
              <w:t>F</w:t>
            </w:r>
            <w:r w:rsidRPr="00744622">
              <w:rPr>
                <w:rFonts w:ascii="Arial" w:hAnsi="Arial" w:cs="Arial"/>
                <w:sz w:val="20"/>
                <w:szCs w:val="20"/>
              </w:rPr>
              <w:t>avour</w:t>
            </w:r>
            <w:r w:rsidR="00B264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4622">
              <w:rPr>
                <w:rFonts w:ascii="Arial" w:hAnsi="Arial" w:cs="Arial"/>
                <w:sz w:val="20"/>
                <w:szCs w:val="20"/>
              </w:rPr>
              <w:t>/ Discretionary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CE18BE6" w14:textId="77777777" w:rsidR="00CB2474" w:rsidRPr="00744622" w:rsidRDefault="00CB2474" w:rsidP="00FF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622">
              <w:rPr>
                <w:rFonts w:ascii="Arial" w:hAnsi="Arial" w:cs="Arial"/>
                <w:sz w:val="20"/>
                <w:szCs w:val="20"/>
              </w:rPr>
              <w:t>Against</w:t>
            </w:r>
          </w:p>
        </w:tc>
        <w:tc>
          <w:tcPr>
            <w:tcW w:w="542" w:type="pct"/>
            <w:shd w:val="clear" w:color="auto" w:fill="auto"/>
          </w:tcPr>
          <w:p w14:paraId="73C1006B" w14:textId="77777777" w:rsidR="00CB2474" w:rsidRPr="00744622" w:rsidRDefault="00CB2474" w:rsidP="00FF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271">
              <w:rPr>
                <w:rFonts w:ascii="Arial" w:hAnsi="Arial" w:cs="Arial"/>
                <w:sz w:val="20"/>
                <w:szCs w:val="20"/>
              </w:rPr>
              <w:t>Withheld</w:t>
            </w:r>
          </w:p>
        </w:tc>
      </w:tr>
      <w:tr w:rsidR="00D61BAD" w:rsidRPr="00744622" w14:paraId="6E56EAC6" w14:textId="77777777" w:rsidTr="000F6DB7">
        <w:tc>
          <w:tcPr>
            <w:tcW w:w="336" w:type="pct"/>
            <w:shd w:val="clear" w:color="auto" w:fill="auto"/>
          </w:tcPr>
          <w:p w14:paraId="2E9378A8" w14:textId="77777777" w:rsidR="00D61BAD" w:rsidRPr="00D61BAD" w:rsidRDefault="00D61BAD" w:rsidP="00744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</w:tcPr>
          <w:p w14:paraId="6A88870A" w14:textId="77777777" w:rsidR="00D61BAD" w:rsidRPr="00D61BAD" w:rsidRDefault="00D61BAD" w:rsidP="007446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auto"/>
            <w:vAlign w:val="bottom"/>
          </w:tcPr>
          <w:p w14:paraId="12B18BD0" w14:textId="515C9B8B" w:rsidR="00D61BAD" w:rsidRPr="00D61BAD" w:rsidRDefault="00D61B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1BAD">
              <w:rPr>
                <w:rFonts w:ascii="Arial" w:hAnsi="Arial" w:cs="Arial"/>
                <w:color w:val="000000"/>
                <w:sz w:val="20"/>
                <w:szCs w:val="20"/>
              </w:rPr>
              <w:t>Votes</w:t>
            </w:r>
          </w:p>
        </w:tc>
        <w:tc>
          <w:tcPr>
            <w:tcW w:w="540" w:type="pct"/>
            <w:vAlign w:val="bottom"/>
          </w:tcPr>
          <w:p w14:paraId="404D63BC" w14:textId="68C814A3" w:rsidR="00D61BAD" w:rsidRPr="00D61BAD" w:rsidRDefault="00D61B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73F7ED79" w14:textId="373BEDAD" w:rsidR="00D61BAD" w:rsidRPr="00D61BAD" w:rsidRDefault="00D61B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Votes</w:t>
            </w:r>
          </w:p>
        </w:tc>
        <w:tc>
          <w:tcPr>
            <w:tcW w:w="438" w:type="pct"/>
            <w:vAlign w:val="bottom"/>
          </w:tcPr>
          <w:p w14:paraId="095E346B" w14:textId="1119D56D" w:rsidR="00D61BAD" w:rsidRPr="00D61BAD" w:rsidRDefault="00D61B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7E0DB147" w14:textId="2D7B7CC3" w:rsidR="00D61BAD" w:rsidRPr="00D61BAD" w:rsidRDefault="00D61B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Votes</w:t>
            </w:r>
          </w:p>
        </w:tc>
      </w:tr>
      <w:tr w:rsidR="000F6DB7" w:rsidRPr="00744622" w14:paraId="0582EA9B" w14:textId="77777777" w:rsidTr="000F6DB7">
        <w:tc>
          <w:tcPr>
            <w:tcW w:w="336" w:type="pct"/>
            <w:shd w:val="clear" w:color="auto" w:fill="auto"/>
          </w:tcPr>
          <w:p w14:paraId="24BCE12B" w14:textId="77777777" w:rsidR="000F6DB7" w:rsidRPr="00744622" w:rsidRDefault="000F6DB7" w:rsidP="000F6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82" w:type="pct"/>
          </w:tcPr>
          <w:p w14:paraId="3A0D37A1" w14:textId="460A3043" w:rsidR="000F6DB7" w:rsidRPr="00744622" w:rsidRDefault="000F6DB7" w:rsidP="000F6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>To receive the Company's annual accounts for the year ended 31 December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32" w:type="pct"/>
            <w:shd w:val="clear" w:color="auto" w:fill="auto"/>
          </w:tcPr>
          <w:p w14:paraId="7D16E76A" w14:textId="3EFBCC38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135,132,041</w:t>
            </w:r>
          </w:p>
        </w:tc>
        <w:tc>
          <w:tcPr>
            <w:tcW w:w="540" w:type="pct"/>
          </w:tcPr>
          <w:p w14:paraId="72B8C192" w14:textId="255FF97B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99.99%</w:t>
            </w:r>
          </w:p>
        </w:tc>
        <w:tc>
          <w:tcPr>
            <w:tcW w:w="630" w:type="pct"/>
            <w:shd w:val="clear" w:color="auto" w:fill="auto"/>
          </w:tcPr>
          <w:p w14:paraId="34E6E5D1" w14:textId="13D0B5B1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14,546</w:t>
            </w:r>
          </w:p>
        </w:tc>
        <w:tc>
          <w:tcPr>
            <w:tcW w:w="438" w:type="pct"/>
          </w:tcPr>
          <w:p w14:paraId="190B4C6F" w14:textId="7BD52526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0.01%</w:t>
            </w:r>
          </w:p>
        </w:tc>
        <w:tc>
          <w:tcPr>
            <w:tcW w:w="542" w:type="pct"/>
            <w:shd w:val="clear" w:color="auto" w:fill="auto"/>
          </w:tcPr>
          <w:p w14:paraId="617FF911" w14:textId="691153EB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102,590</w:t>
            </w:r>
          </w:p>
        </w:tc>
      </w:tr>
      <w:tr w:rsidR="000F6DB7" w:rsidRPr="00744622" w14:paraId="5204A07B" w14:textId="77777777" w:rsidTr="000F6DB7">
        <w:tc>
          <w:tcPr>
            <w:tcW w:w="336" w:type="pct"/>
            <w:shd w:val="clear" w:color="auto" w:fill="auto"/>
          </w:tcPr>
          <w:p w14:paraId="0A6EDF3B" w14:textId="1B1B7DE2" w:rsidR="000F6DB7" w:rsidRPr="00744622" w:rsidRDefault="000F6DB7" w:rsidP="000F6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82" w:type="pct"/>
          </w:tcPr>
          <w:p w14:paraId="50655236" w14:textId="77777777" w:rsidR="000F6DB7" w:rsidRPr="00744622" w:rsidRDefault="000F6DB7" w:rsidP="000F6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 xml:space="preserve">To approve the Directors' Remuneration Report included in </w:t>
            </w:r>
          </w:p>
          <w:p w14:paraId="536E8B63" w14:textId="2C69F1D9" w:rsidR="000F6DB7" w:rsidRPr="00744622" w:rsidRDefault="000F6DB7" w:rsidP="000F6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271">
              <w:rPr>
                <w:rFonts w:ascii="Arial" w:hAnsi="Arial" w:cs="Arial"/>
                <w:color w:val="000000"/>
                <w:sz w:val="20"/>
                <w:szCs w:val="20"/>
              </w:rPr>
              <w:t>the Annual Report for the year ended 31 December 20</w:t>
            </w: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32" w:type="pct"/>
            <w:shd w:val="clear" w:color="auto" w:fill="auto"/>
          </w:tcPr>
          <w:p w14:paraId="5A768045" w14:textId="5902A6F6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135,068,941</w:t>
            </w:r>
          </w:p>
        </w:tc>
        <w:tc>
          <w:tcPr>
            <w:tcW w:w="540" w:type="pct"/>
          </w:tcPr>
          <w:p w14:paraId="0F23CCDB" w14:textId="120CD01B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99.95%</w:t>
            </w:r>
          </w:p>
        </w:tc>
        <w:tc>
          <w:tcPr>
            <w:tcW w:w="630" w:type="pct"/>
            <w:shd w:val="clear" w:color="auto" w:fill="auto"/>
          </w:tcPr>
          <w:p w14:paraId="6B76B5B6" w14:textId="3F7C85CD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67,347</w:t>
            </w:r>
          </w:p>
        </w:tc>
        <w:tc>
          <w:tcPr>
            <w:tcW w:w="438" w:type="pct"/>
          </w:tcPr>
          <w:p w14:paraId="4426043F" w14:textId="74BC1827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0.05%</w:t>
            </w:r>
          </w:p>
        </w:tc>
        <w:tc>
          <w:tcPr>
            <w:tcW w:w="542" w:type="pct"/>
            <w:shd w:val="clear" w:color="auto" w:fill="auto"/>
          </w:tcPr>
          <w:p w14:paraId="017DCBEB" w14:textId="28BE119B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112,889</w:t>
            </w:r>
          </w:p>
        </w:tc>
      </w:tr>
      <w:tr w:rsidR="000F6DB7" w:rsidRPr="00744622" w14:paraId="110B864D" w14:textId="77777777" w:rsidTr="000F6DB7">
        <w:tc>
          <w:tcPr>
            <w:tcW w:w="336" w:type="pct"/>
            <w:shd w:val="clear" w:color="auto" w:fill="auto"/>
          </w:tcPr>
          <w:p w14:paraId="7ACEC752" w14:textId="3EC4AB28" w:rsidR="000F6DB7" w:rsidRPr="00744622" w:rsidRDefault="000F6DB7" w:rsidP="000F6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2" w:type="pct"/>
          </w:tcPr>
          <w:p w14:paraId="69C17CDD" w14:textId="776C65CA" w:rsidR="000F6DB7" w:rsidRPr="002F7271" w:rsidRDefault="000F6DB7" w:rsidP="000F6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>To approve the Company’s Distribution Policy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2" w:type="pct"/>
            <w:shd w:val="clear" w:color="auto" w:fill="auto"/>
          </w:tcPr>
          <w:p w14:paraId="3EE00FAA" w14:textId="4D3F4AE5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135,129,902</w:t>
            </w:r>
          </w:p>
        </w:tc>
        <w:tc>
          <w:tcPr>
            <w:tcW w:w="540" w:type="pct"/>
          </w:tcPr>
          <w:p w14:paraId="34C5BD62" w14:textId="132D6ED7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99.98%</w:t>
            </w:r>
          </w:p>
        </w:tc>
        <w:tc>
          <w:tcPr>
            <w:tcW w:w="630" w:type="pct"/>
            <w:shd w:val="clear" w:color="auto" w:fill="auto"/>
          </w:tcPr>
          <w:p w14:paraId="20FF1D2A" w14:textId="4EBC73DF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23,441</w:t>
            </w:r>
          </w:p>
        </w:tc>
        <w:tc>
          <w:tcPr>
            <w:tcW w:w="438" w:type="pct"/>
          </w:tcPr>
          <w:p w14:paraId="760E8F73" w14:textId="19E8B0BF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0.02%</w:t>
            </w:r>
          </w:p>
        </w:tc>
        <w:tc>
          <w:tcPr>
            <w:tcW w:w="542" w:type="pct"/>
            <w:shd w:val="clear" w:color="auto" w:fill="auto"/>
          </w:tcPr>
          <w:p w14:paraId="27A21BA6" w14:textId="114EB84D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95,834</w:t>
            </w:r>
          </w:p>
        </w:tc>
      </w:tr>
      <w:tr w:rsidR="000F6DB7" w:rsidRPr="00744622" w14:paraId="2E2701BE" w14:textId="77777777" w:rsidTr="000F6DB7">
        <w:tc>
          <w:tcPr>
            <w:tcW w:w="336" w:type="pct"/>
            <w:shd w:val="clear" w:color="auto" w:fill="auto"/>
          </w:tcPr>
          <w:p w14:paraId="0A0B1D01" w14:textId="4DC67C82" w:rsidR="000F6DB7" w:rsidRPr="00744622" w:rsidRDefault="000F6DB7" w:rsidP="000F6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82" w:type="pct"/>
          </w:tcPr>
          <w:p w14:paraId="67645487" w14:textId="1489EA3A" w:rsidR="000F6DB7" w:rsidRPr="002F7271" w:rsidRDefault="000F6DB7" w:rsidP="000F6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>To re-elect John Scott as a director of the Company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14:paraId="0F0B9C7B" w14:textId="071F7FC8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133,770,273</w:t>
            </w:r>
          </w:p>
        </w:tc>
        <w:tc>
          <w:tcPr>
            <w:tcW w:w="540" w:type="pct"/>
          </w:tcPr>
          <w:p w14:paraId="4B7EE191" w14:textId="6ACB83AC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99.15%</w:t>
            </w:r>
          </w:p>
        </w:tc>
        <w:tc>
          <w:tcPr>
            <w:tcW w:w="630" w:type="pct"/>
            <w:shd w:val="clear" w:color="auto" w:fill="auto"/>
          </w:tcPr>
          <w:p w14:paraId="5DA04B12" w14:textId="0FC03F16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1,149,072</w:t>
            </w:r>
          </w:p>
        </w:tc>
        <w:tc>
          <w:tcPr>
            <w:tcW w:w="438" w:type="pct"/>
          </w:tcPr>
          <w:p w14:paraId="696CD1BF" w14:textId="1C375309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0.85%</w:t>
            </w:r>
          </w:p>
        </w:tc>
        <w:tc>
          <w:tcPr>
            <w:tcW w:w="542" w:type="pct"/>
            <w:shd w:val="clear" w:color="auto" w:fill="auto"/>
          </w:tcPr>
          <w:p w14:paraId="0EB76EEC" w14:textId="7626E57D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329,832</w:t>
            </w:r>
          </w:p>
        </w:tc>
      </w:tr>
      <w:tr w:rsidR="000F6DB7" w:rsidRPr="00744622" w14:paraId="15875958" w14:textId="77777777" w:rsidTr="000F6DB7">
        <w:tc>
          <w:tcPr>
            <w:tcW w:w="336" w:type="pct"/>
            <w:shd w:val="clear" w:color="auto" w:fill="auto"/>
          </w:tcPr>
          <w:p w14:paraId="3D04E563" w14:textId="6375FC53" w:rsidR="000F6DB7" w:rsidRPr="00744622" w:rsidRDefault="000F6DB7" w:rsidP="000F6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82" w:type="pct"/>
          </w:tcPr>
          <w:p w14:paraId="7FE0D915" w14:textId="09EB5FA8" w:rsidR="000F6DB7" w:rsidRPr="002F7271" w:rsidRDefault="000F6DB7" w:rsidP="000F6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>To re-elect Aine Kelly as a director of the Company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14:paraId="6FF5094A" w14:textId="01F3F59E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134,208,542</w:t>
            </w:r>
          </w:p>
        </w:tc>
        <w:tc>
          <w:tcPr>
            <w:tcW w:w="540" w:type="pct"/>
          </w:tcPr>
          <w:p w14:paraId="26725618" w14:textId="4B935140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99.31%</w:t>
            </w:r>
          </w:p>
        </w:tc>
        <w:tc>
          <w:tcPr>
            <w:tcW w:w="630" w:type="pct"/>
            <w:shd w:val="clear" w:color="auto" w:fill="auto"/>
          </w:tcPr>
          <w:p w14:paraId="0B5D9417" w14:textId="4EBC964B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937,977</w:t>
            </w:r>
          </w:p>
        </w:tc>
        <w:tc>
          <w:tcPr>
            <w:tcW w:w="438" w:type="pct"/>
          </w:tcPr>
          <w:p w14:paraId="2006E0C4" w14:textId="7BF64B13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0.69%</w:t>
            </w:r>
          </w:p>
        </w:tc>
        <w:tc>
          <w:tcPr>
            <w:tcW w:w="542" w:type="pct"/>
            <w:shd w:val="clear" w:color="auto" w:fill="auto"/>
          </w:tcPr>
          <w:p w14:paraId="42E991B3" w14:textId="6A8341A3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102,658</w:t>
            </w:r>
          </w:p>
        </w:tc>
      </w:tr>
      <w:tr w:rsidR="000F6DB7" w:rsidRPr="00744622" w14:paraId="7AA798D1" w14:textId="77777777" w:rsidTr="000F6DB7">
        <w:tc>
          <w:tcPr>
            <w:tcW w:w="336" w:type="pct"/>
            <w:shd w:val="clear" w:color="auto" w:fill="auto"/>
          </w:tcPr>
          <w:p w14:paraId="6AB7A1D2" w14:textId="6E9058C8" w:rsidR="000F6DB7" w:rsidRPr="00744622" w:rsidRDefault="000F6DB7" w:rsidP="000F6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82" w:type="pct"/>
          </w:tcPr>
          <w:p w14:paraId="21C7F139" w14:textId="25C1666E" w:rsidR="000F6DB7" w:rsidRPr="00744622" w:rsidRDefault="000F6DB7" w:rsidP="000F6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>To re-</w:t>
            </w:r>
            <w:r w:rsidRPr="002F7271">
              <w:rPr>
                <w:rFonts w:ascii="Arial" w:hAnsi="Arial" w:cs="Arial"/>
                <w:color w:val="000000"/>
                <w:sz w:val="20"/>
                <w:szCs w:val="20"/>
              </w:rPr>
              <w:t>elect Stephanie Eastment</w:t>
            </w: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 xml:space="preserve"> as a director of the Company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14:paraId="0E7DDBD2" w14:textId="0AC9753F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134,205,442</w:t>
            </w:r>
          </w:p>
        </w:tc>
        <w:tc>
          <w:tcPr>
            <w:tcW w:w="540" w:type="pct"/>
          </w:tcPr>
          <w:p w14:paraId="0D66BF0A" w14:textId="3CF430F6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99.30%</w:t>
            </w:r>
          </w:p>
        </w:tc>
        <w:tc>
          <w:tcPr>
            <w:tcW w:w="630" w:type="pct"/>
            <w:shd w:val="clear" w:color="auto" w:fill="auto"/>
          </w:tcPr>
          <w:p w14:paraId="39BB9B81" w14:textId="516F22CE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941,077</w:t>
            </w:r>
          </w:p>
        </w:tc>
        <w:tc>
          <w:tcPr>
            <w:tcW w:w="438" w:type="pct"/>
          </w:tcPr>
          <w:p w14:paraId="6D497888" w14:textId="50445913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0.70%</w:t>
            </w:r>
          </w:p>
        </w:tc>
        <w:tc>
          <w:tcPr>
            <w:tcW w:w="542" w:type="pct"/>
            <w:shd w:val="clear" w:color="auto" w:fill="auto"/>
          </w:tcPr>
          <w:p w14:paraId="36A1DCFD" w14:textId="2526A707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102,658</w:t>
            </w:r>
          </w:p>
        </w:tc>
      </w:tr>
      <w:tr w:rsidR="000F6DB7" w:rsidRPr="00744622" w14:paraId="50B2A081" w14:textId="77777777" w:rsidTr="000F6DB7">
        <w:tc>
          <w:tcPr>
            <w:tcW w:w="336" w:type="pct"/>
            <w:shd w:val="clear" w:color="auto" w:fill="auto"/>
          </w:tcPr>
          <w:p w14:paraId="168D6BAC" w14:textId="62B8FBBC" w:rsidR="000F6DB7" w:rsidRPr="00744622" w:rsidRDefault="000F6DB7" w:rsidP="000F6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82" w:type="pct"/>
          </w:tcPr>
          <w:p w14:paraId="628D52CB" w14:textId="07835EDC" w:rsidR="000F6DB7" w:rsidRPr="002F7271" w:rsidRDefault="000F6DB7" w:rsidP="000F6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>To re-elect Vicky Hastings as a director of the Company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14:paraId="4A687462" w14:textId="4963D724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134,148,702</w:t>
            </w:r>
          </w:p>
        </w:tc>
        <w:tc>
          <w:tcPr>
            <w:tcW w:w="540" w:type="pct"/>
          </w:tcPr>
          <w:p w14:paraId="2445B7B5" w14:textId="63C1A270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99.26%</w:t>
            </w:r>
          </w:p>
        </w:tc>
        <w:tc>
          <w:tcPr>
            <w:tcW w:w="630" w:type="pct"/>
            <w:shd w:val="clear" w:color="auto" w:fill="auto"/>
          </w:tcPr>
          <w:p w14:paraId="21A56802" w14:textId="0441EE4D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997,817</w:t>
            </w:r>
          </w:p>
        </w:tc>
        <w:tc>
          <w:tcPr>
            <w:tcW w:w="438" w:type="pct"/>
          </w:tcPr>
          <w:p w14:paraId="6193D29E" w14:textId="2109E4BF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0.74%</w:t>
            </w:r>
          </w:p>
        </w:tc>
        <w:tc>
          <w:tcPr>
            <w:tcW w:w="542" w:type="pct"/>
            <w:shd w:val="clear" w:color="auto" w:fill="auto"/>
          </w:tcPr>
          <w:p w14:paraId="7F03D295" w14:textId="78771B4B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102,658</w:t>
            </w:r>
          </w:p>
        </w:tc>
      </w:tr>
      <w:tr w:rsidR="000F6DB7" w:rsidRPr="00744622" w14:paraId="2D42FD18" w14:textId="77777777" w:rsidTr="000F6DB7">
        <w:tc>
          <w:tcPr>
            <w:tcW w:w="336" w:type="pct"/>
            <w:shd w:val="clear" w:color="auto" w:fill="auto"/>
          </w:tcPr>
          <w:p w14:paraId="0DD7B4D6" w14:textId="6E85368A" w:rsidR="000F6DB7" w:rsidRPr="00744622" w:rsidRDefault="000F6DB7" w:rsidP="000F6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82" w:type="pct"/>
          </w:tcPr>
          <w:p w14:paraId="66E5BD9A" w14:textId="5C6F370E" w:rsidR="000F6DB7" w:rsidRPr="00744622" w:rsidRDefault="000F6DB7" w:rsidP="000F6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 xml:space="preserve">To elect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Nicholas Hurd</w:t>
            </w:r>
            <w:r w:rsidRPr="002F7271">
              <w:rPr>
                <w:rFonts w:ascii="Arial" w:hAnsi="Arial" w:cs="Arial"/>
                <w:color w:val="000000"/>
                <w:sz w:val="20"/>
                <w:szCs w:val="20"/>
              </w:rPr>
              <w:t xml:space="preserve"> as a director of the Company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14:paraId="27413EA6" w14:textId="36929C55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135,105,252</w:t>
            </w:r>
          </w:p>
        </w:tc>
        <w:tc>
          <w:tcPr>
            <w:tcW w:w="540" w:type="pct"/>
          </w:tcPr>
          <w:p w14:paraId="0D0D3608" w14:textId="3B39B06B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99.97%</w:t>
            </w:r>
          </w:p>
        </w:tc>
        <w:tc>
          <w:tcPr>
            <w:tcW w:w="630" w:type="pct"/>
            <w:shd w:val="clear" w:color="auto" w:fill="auto"/>
          </w:tcPr>
          <w:p w14:paraId="4EDE8E92" w14:textId="27086F4C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35,793</w:t>
            </w:r>
          </w:p>
        </w:tc>
        <w:tc>
          <w:tcPr>
            <w:tcW w:w="438" w:type="pct"/>
          </w:tcPr>
          <w:p w14:paraId="4B1063AF" w14:textId="3A675627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0.03%</w:t>
            </w:r>
          </w:p>
        </w:tc>
        <w:tc>
          <w:tcPr>
            <w:tcW w:w="542" w:type="pct"/>
            <w:shd w:val="clear" w:color="auto" w:fill="auto"/>
          </w:tcPr>
          <w:p w14:paraId="4ECD18F3" w14:textId="040D0F1F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108,132</w:t>
            </w:r>
          </w:p>
        </w:tc>
      </w:tr>
      <w:tr w:rsidR="000F6DB7" w:rsidRPr="00744622" w14:paraId="7C95F594" w14:textId="77777777" w:rsidTr="000F6DB7">
        <w:tc>
          <w:tcPr>
            <w:tcW w:w="336" w:type="pct"/>
            <w:shd w:val="clear" w:color="auto" w:fill="auto"/>
          </w:tcPr>
          <w:p w14:paraId="49F3BA8D" w14:textId="73EF85CD" w:rsidR="000F6DB7" w:rsidRPr="00744622" w:rsidRDefault="000F6DB7" w:rsidP="000F6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82" w:type="pct"/>
          </w:tcPr>
          <w:p w14:paraId="5651F3DB" w14:textId="3B430EC2" w:rsidR="000F6DB7" w:rsidRPr="00744622" w:rsidRDefault="000F6DB7" w:rsidP="000F6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>To re-</w:t>
            </w:r>
            <w:r w:rsidRPr="002F7271">
              <w:rPr>
                <w:rFonts w:ascii="Arial" w:hAnsi="Arial" w:cs="Arial"/>
                <w:color w:val="000000"/>
                <w:sz w:val="20"/>
                <w:szCs w:val="20"/>
              </w:rPr>
              <w:t>appoint BDO LLP as auditor to the Company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14:paraId="26488E1D" w14:textId="07CE3858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135,107,359</w:t>
            </w:r>
          </w:p>
        </w:tc>
        <w:tc>
          <w:tcPr>
            <w:tcW w:w="540" w:type="pct"/>
          </w:tcPr>
          <w:p w14:paraId="4880AEAC" w14:textId="72A77F86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99.97%</w:t>
            </w:r>
          </w:p>
        </w:tc>
        <w:tc>
          <w:tcPr>
            <w:tcW w:w="630" w:type="pct"/>
            <w:shd w:val="clear" w:color="auto" w:fill="auto"/>
          </w:tcPr>
          <w:p w14:paraId="0BB9E8E9" w14:textId="4D769606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35,628</w:t>
            </w:r>
          </w:p>
        </w:tc>
        <w:tc>
          <w:tcPr>
            <w:tcW w:w="438" w:type="pct"/>
          </w:tcPr>
          <w:p w14:paraId="7628DFC0" w14:textId="4451A160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0.03%</w:t>
            </w:r>
          </w:p>
        </w:tc>
        <w:tc>
          <w:tcPr>
            <w:tcW w:w="542" w:type="pct"/>
            <w:shd w:val="clear" w:color="auto" w:fill="auto"/>
          </w:tcPr>
          <w:p w14:paraId="191CAFEE" w14:textId="03B8EC60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106,190</w:t>
            </w:r>
          </w:p>
        </w:tc>
      </w:tr>
      <w:tr w:rsidR="000F6DB7" w:rsidRPr="00744622" w14:paraId="1E09FD93" w14:textId="77777777" w:rsidTr="000F6DB7">
        <w:tc>
          <w:tcPr>
            <w:tcW w:w="336" w:type="pct"/>
            <w:shd w:val="clear" w:color="auto" w:fill="auto"/>
          </w:tcPr>
          <w:p w14:paraId="1FFB30D8" w14:textId="0CD5B7FA" w:rsidR="000F6DB7" w:rsidRPr="00744622" w:rsidRDefault="000F6DB7" w:rsidP="000F6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62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82" w:type="pct"/>
          </w:tcPr>
          <w:p w14:paraId="4864EDEE" w14:textId="77777777" w:rsidR="000F6DB7" w:rsidRPr="002F7271" w:rsidRDefault="000F6DB7" w:rsidP="000F6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 xml:space="preserve">To authorise the directors to fix the remuneration of the </w:t>
            </w:r>
          </w:p>
          <w:p w14:paraId="6308A3E4" w14:textId="2E06DCF9" w:rsidR="000F6DB7" w:rsidRPr="00744622" w:rsidRDefault="000F6DB7" w:rsidP="000F6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 xml:space="preserve">auditor until the conclusion of the next Annual General </w:t>
            </w:r>
          </w:p>
          <w:p w14:paraId="55D124DB" w14:textId="2600A939" w:rsidR="000F6DB7" w:rsidRPr="00744622" w:rsidRDefault="000F6DB7" w:rsidP="000F6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>Meeting of the Company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14:paraId="028D8E89" w14:textId="7F43BCA2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135,123,177</w:t>
            </w:r>
          </w:p>
        </w:tc>
        <w:tc>
          <w:tcPr>
            <w:tcW w:w="540" w:type="pct"/>
          </w:tcPr>
          <w:p w14:paraId="0BA1DCDD" w14:textId="2F6F50AB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99.98%</w:t>
            </w:r>
          </w:p>
        </w:tc>
        <w:tc>
          <w:tcPr>
            <w:tcW w:w="630" w:type="pct"/>
            <w:shd w:val="clear" w:color="auto" w:fill="auto"/>
          </w:tcPr>
          <w:p w14:paraId="5BA2BB84" w14:textId="48A62A6A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25,285</w:t>
            </w:r>
          </w:p>
        </w:tc>
        <w:tc>
          <w:tcPr>
            <w:tcW w:w="438" w:type="pct"/>
          </w:tcPr>
          <w:p w14:paraId="0D008E63" w14:textId="4375EA54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0.02%</w:t>
            </w:r>
          </w:p>
        </w:tc>
        <w:tc>
          <w:tcPr>
            <w:tcW w:w="542" w:type="pct"/>
            <w:shd w:val="clear" w:color="auto" w:fill="auto"/>
          </w:tcPr>
          <w:p w14:paraId="6963358B" w14:textId="52831EEF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100,715</w:t>
            </w:r>
          </w:p>
        </w:tc>
      </w:tr>
      <w:tr w:rsidR="000F6DB7" w:rsidRPr="00744622" w14:paraId="7E29A5FB" w14:textId="77777777" w:rsidTr="000F6DB7">
        <w:tc>
          <w:tcPr>
            <w:tcW w:w="336" w:type="pct"/>
            <w:shd w:val="clear" w:color="auto" w:fill="auto"/>
          </w:tcPr>
          <w:p w14:paraId="53236A07" w14:textId="6980F000" w:rsidR="000F6DB7" w:rsidRPr="00744622" w:rsidRDefault="000F6DB7" w:rsidP="000F6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82" w:type="pct"/>
          </w:tcPr>
          <w:p w14:paraId="10A7677C" w14:textId="4570796F" w:rsidR="000F6DB7" w:rsidRPr="00744622" w:rsidRDefault="000F6DB7" w:rsidP="000F6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410B">
              <w:rPr>
                <w:rFonts w:ascii="Arial" w:hAnsi="Arial" w:cs="Arial"/>
                <w:color w:val="000000"/>
                <w:sz w:val="20"/>
                <w:szCs w:val="20"/>
              </w:rPr>
              <w:t xml:space="preserve">To </w:t>
            </w:r>
            <w:r w:rsidRPr="00E341A1">
              <w:rPr>
                <w:rFonts w:ascii="Arial" w:hAnsi="Arial" w:cs="Arial"/>
                <w:color w:val="000000"/>
                <w:sz w:val="20"/>
                <w:szCs w:val="20"/>
              </w:rPr>
              <w:t>approve the continuation of the Company as an investment trust for a further three year period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14:paraId="0139CAD4" w14:textId="2BA48CE4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135,137,932</w:t>
            </w:r>
          </w:p>
        </w:tc>
        <w:tc>
          <w:tcPr>
            <w:tcW w:w="540" w:type="pct"/>
          </w:tcPr>
          <w:p w14:paraId="2126E522" w14:textId="2672938D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99.99%</w:t>
            </w:r>
          </w:p>
        </w:tc>
        <w:tc>
          <w:tcPr>
            <w:tcW w:w="630" w:type="pct"/>
            <w:shd w:val="clear" w:color="auto" w:fill="auto"/>
          </w:tcPr>
          <w:p w14:paraId="6C311314" w14:textId="6F8B7204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14,546</w:t>
            </w:r>
          </w:p>
        </w:tc>
        <w:tc>
          <w:tcPr>
            <w:tcW w:w="438" w:type="pct"/>
          </w:tcPr>
          <w:p w14:paraId="31B5E7C8" w14:textId="071A50E3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0.01%</w:t>
            </w:r>
          </w:p>
        </w:tc>
        <w:tc>
          <w:tcPr>
            <w:tcW w:w="542" w:type="pct"/>
            <w:shd w:val="clear" w:color="auto" w:fill="auto"/>
          </w:tcPr>
          <w:p w14:paraId="2A89A91E" w14:textId="19E9E74A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96,699</w:t>
            </w:r>
          </w:p>
        </w:tc>
      </w:tr>
      <w:tr w:rsidR="000F6DB7" w:rsidRPr="00744622" w14:paraId="4E9290EE" w14:textId="77777777" w:rsidTr="000F6DB7">
        <w:trPr>
          <w:trHeight w:val="398"/>
        </w:trPr>
        <w:tc>
          <w:tcPr>
            <w:tcW w:w="336" w:type="pct"/>
            <w:shd w:val="clear" w:color="auto" w:fill="auto"/>
          </w:tcPr>
          <w:p w14:paraId="2400CB86" w14:textId="05881614" w:rsidR="000F6DB7" w:rsidRDefault="000F6DB7" w:rsidP="000F6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82" w:type="pct"/>
          </w:tcPr>
          <w:p w14:paraId="4D8C91B8" w14:textId="6954BF2C" w:rsidR="000F6DB7" w:rsidRPr="00AE68CF" w:rsidRDefault="000F6DB7" w:rsidP="000F6D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68CF">
              <w:rPr>
                <w:rFonts w:ascii="Arial" w:hAnsi="Arial" w:cs="Arial"/>
                <w:sz w:val="20"/>
                <w:szCs w:val="20"/>
                <w:lang w:eastAsia="en-GB"/>
              </w:rPr>
              <w:t>In accordance with Article 87 of the Articles of Association of the Company, to increase the maximum aggregate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AE68CF">
              <w:rPr>
                <w:rFonts w:ascii="Arial" w:hAnsi="Arial" w:cs="Arial"/>
                <w:sz w:val="20"/>
                <w:szCs w:val="20"/>
                <w:lang w:eastAsia="en-GB"/>
              </w:rPr>
              <w:t>for the Directors' remuneration from £200,000 to £250,000.</w:t>
            </w:r>
          </w:p>
        </w:tc>
        <w:tc>
          <w:tcPr>
            <w:tcW w:w="732" w:type="pct"/>
            <w:shd w:val="clear" w:color="auto" w:fill="auto"/>
          </w:tcPr>
          <w:p w14:paraId="24BF28F8" w14:textId="5AFDC6D4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135,023,122</w:t>
            </w:r>
          </w:p>
        </w:tc>
        <w:tc>
          <w:tcPr>
            <w:tcW w:w="540" w:type="pct"/>
          </w:tcPr>
          <w:p w14:paraId="549385DD" w14:textId="1FB8A592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99.92%</w:t>
            </w:r>
          </w:p>
        </w:tc>
        <w:tc>
          <w:tcPr>
            <w:tcW w:w="630" w:type="pct"/>
            <w:shd w:val="clear" w:color="auto" w:fill="auto"/>
          </w:tcPr>
          <w:p w14:paraId="3A834BF9" w14:textId="6EE5B9F0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105,798</w:t>
            </w:r>
          </w:p>
        </w:tc>
        <w:tc>
          <w:tcPr>
            <w:tcW w:w="438" w:type="pct"/>
          </w:tcPr>
          <w:p w14:paraId="5A065D62" w14:textId="7443617B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0.08%</w:t>
            </w:r>
          </w:p>
        </w:tc>
        <w:tc>
          <w:tcPr>
            <w:tcW w:w="542" w:type="pct"/>
            <w:shd w:val="clear" w:color="auto" w:fill="auto"/>
          </w:tcPr>
          <w:p w14:paraId="41394ED8" w14:textId="0757EADF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120,257</w:t>
            </w:r>
          </w:p>
        </w:tc>
      </w:tr>
      <w:tr w:rsidR="000F6DB7" w:rsidRPr="00744622" w14:paraId="6FC141AB" w14:textId="77777777" w:rsidTr="000F6DB7">
        <w:tc>
          <w:tcPr>
            <w:tcW w:w="336" w:type="pct"/>
            <w:shd w:val="clear" w:color="auto" w:fill="auto"/>
          </w:tcPr>
          <w:p w14:paraId="0051AF59" w14:textId="0E4B7352" w:rsidR="000F6DB7" w:rsidRPr="00744622" w:rsidRDefault="000F6DB7" w:rsidP="000F6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62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2" w:type="pct"/>
          </w:tcPr>
          <w:p w14:paraId="676B5763" w14:textId="796BFF1A" w:rsidR="000F6DB7" w:rsidRPr="00744622" w:rsidRDefault="000F6DB7" w:rsidP="000F6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271">
              <w:rPr>
                <w:rFonts w:ascii="Arial" w:hAnsi="Arial" w:cs="Arial"/>
                <w:color w:val="000000"/>
                <w:sz w:val="20"/>
                <w:szCs w:val="20"/>
              </w:rPr>
              <w:t xml:space="preserve">That the directors be authorised to exercise all powers to allot relevant securities up 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 maximum</w:t>
            </w:r>
            <w:r w:rsidRPr="002F7271">
              <w:rPr>
                <w:rFonts w:ascii="Arial" w:hAnsi="Arial" w:cs="Arial"/>
                <w:color w:val="000000"/>
                <w:sz w:val="20"/>
                <w:szCs w:val="20"/>
              </w:rPr>
              <w:t xml:space="preserve"> nominal amount equal to </w:t>
            </w: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>£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3,402,985.</w:t>
            </w: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2" w:type="pct"/>
            <w:shd w:val="clear" w:color="auto" w:fill="auto"/>
          </w:tcPr>
          <w:p w14:paraId="58C08C9F" w14:textId="12AD6926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135,110,810</w:t>
            </w:r>
          </w:p>
        </w:tc>
        <w:tc>
          <w:tcPr>
            <w:tcW w:w="540" w:type="pct"/>
          </w:tcPr>
          <w:p w14:paraId="6DDF9ECE" w14:textId="35288A0B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99.98%</w:t>
            </w:r>
          </w:p>
        </w:tc>
        <w:tc>
          <w:tcPr>
            <w:tcW w:w="630" w:type="pct"/>
            <w:shd w:val="clear" w:color="auto" w:fill="auto"/>
          </w:tcPr>
          <w:p w14:paraId="36DC3468" w14:textId="346F1E08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33,563</w:t>
            </w:r>
          </w:p>
        </w:tc>
        <w:tc>
          <w:tcPr>
            <w:tcW w:w="438" w:type="pct"/>
          </w:tcPr>
          <w:p w14:paraId="38D33F17" w14:textId="1914B638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0.02%</w:t>
            </w:r>
          </w:p>
        </w:tc>
        <w:tc>
          <w:tcPr>
            <w:tcW w:w="542" w:type="pct"/>
            <w:shd w:val="clear" w:color="auto" w:fill="auto"/>
          </w:tcPr>
          <w:p w14:paraId="1B282FDF" w14:textId="5C0566C0" w:rsidR="000F6DB7" w:rsidRPr="0068477E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color w:val="000000"/>
                <w:sz w:val="20"/>
                <w:szCs w:val="20"/>
              </w:rPr>
              <w:t>104,804</w:t>
            </w:r>
          </w:p>
        </w:tc>
      </w:tr>
      <w:tr w:rsidR="000F6DB7" w:rsidRPr="00744622" w14:paraId="4C953CDD" w14:textId="77777777" w:rsidTr="000F6DB7">
        <w:tc>
          <w:tcPr>
            <w:tcW w:w="336" w:type="pct"/>
            <w:shd w:val="clear" w:color="auto" w:fill="auto"/>
          </w:tcPr>
          <w:p w14:paraId="64013E25" w14:textId="7B570912" w:rsidR="000F6DB7" w:rsidRPr="00744622" w:rsidRDefault="000F6DB7" w:rsidP="000F6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622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>4*</w:t>
            </w:r>
          </w:p>
        </w:tc>
        <w:tc>
          <w:tcPr>
            <w:tcW w:w="1782" w:type="pct"/>
          </w:tcPr>
          <w:p w14:paraId="6FE10286" w14:textId="11EF3B7F" w:rsidR="000F6DB7" w:rsidRPr="002F7271" w:rsidRDefault="000F6DB7" w:rsidP="000F6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271">
              <w:rPr>
                <w:rFonts w:ascii="Arial" w:hAnsi="Arial" w:cs="Arial"/>
                <w:color w:val="000000"/>
                <w:sz w:val="20"/>
                <w:szCs w:val="20"/>
              </w:rPr>
              <w:t>That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subject to the passing of resolution 13, and</w:t>
            </w:r>
            <w:r w:rsidRPr="002F7271">
              <w:rPr>
                <w:rFonts w:ascii="Arial" w:hAnsi="Arial" w:cs="Arial"/>
                <w:color w:val="000000"/>
                <w:sz w:val="20"/>
                <w:szCs w:val="20"/>
              </w:rPr>
              <w:t xml:space="preserve"> in substitution for any existing power under section 570 the directors be empowered to allot equity securities for cash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F727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2" w:type="pct"/>
            <w:shd w:val="clear" w:color="auto" w:fill="auto"/>
          </w:tcPr>
          <w:p w14:paraId="1EBA098E" w14:textId="4D1652CC" w:rsidR="000F6DB7" w:rsidRPr="000F6DB7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sz w:val="20"/>
                <w:szCs w:val="20"/>
              </w:rPr>
              <w:t>135,004,865</w:t>
            </w:r>
          </w:p>
        </w:tc>
        <w:tc>
          <w:tcPr>
            <w:tcW w:w="540" w:type="pct"/>
          </w:tcPr>
          <w:p w14:paraId="620D4694" w14:textId="1C146F80" w:rsidR="000F6DB7" w:rsidRPr="000F6DB7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sz w:val="20"/>
                <w:szCs w:val="20"/>
              </w:rPr>
              <w:t>99.90%</w:t>
            </w:r>
          </w:p>
        </w:tc>
        <w:tc>
          <w:tcPr>
            <w:tcW w:w="630" w:type="pct"/>
            <w:shd w:val="clear" w:color="auto" w:fill="auto"/>
          </w:tcPr>
          <w:p w14:paraId="32598C3C" w14:textId="28E2762D" w:rsidR="000F6DB7" w:rsidRPr="000F6DB7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sz w:val="20"/>
                <w:szCs w:val="20"/>
              </w:rPr>
              <w:t>140,227</w:t>
            </w:r>
          </w:p>
        </w:tc>
        <w:tc>
          <w:tcPr>
            <w:tcW w:w="438" w:type="pct"/>
          </w:tcPr>
          <w:p w14:paraId="3065A5ED" w14:textId="2DF129A5" w:rsidR="000F6DB7" w:rsidRPr="000F6DB7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sz w:val="20"/>
                <w:szCs w:val="20"/>
              </w:rPr>
              <w:t>0.10%</w:t>
            </w:r>
          </w:p>
        </w:tc>
        <w:tc>
          <w:tcPr>
            <w:tcW w:w="542" w:type="pct"/>
            <w:shd w:val="clear" w:color="auto" w:fill="auto"/>
          </w:tcPr>
          <w:p w14:paraId="469B3D8E" w14:textId="40B45D28" w:rsidR="000F6DB7" w:rsidRPr="000F6DB7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sz w:val="20"/>
                <w:szCs w:val="20"/>
              </w:rPr>
              <w:t>104,085</w:t>
            </w:r>
          </w:p>
        </w:tc>
      </w:tr>
      <w:tr w:rsidR="000F6DB7" w:rsidRPr="00744622" w14:paraId="4D91A844" w14:textId="77777777" w:rsidTr="000F6DB7">
        <w:tc>
          <w:tcPr>
            <w:tcW w:w="336" w:type="pct"/>
            <w:shd w:val="clear" w:color="auto" w:fill="auto"/>
          </w:tcPr>
          <w:p w14:paraId="144CC0AE" w14:textId="5503E1B6" w:rsidR="000F6DB7" w:rsidRPr="00744622" w:rsidRDefault="000F6DB7" w:rsidP="000F6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62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5*</w:t>
            </w:r>
          </w:p>
        </w:tc>
        <w:tc>
          <w:tcPr>
            <w:tcW w:w="1782" w:type="pct"/>
          </w:tcPr>
          <w:p w14:paraId="5415DCD9" w14:textId="22E5CD13" w:rsidR="000F6DB7" w:rsidRPr="00744622" w:rsidRDefault="000F6DB7" w:rsidP="000F6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271">
              <w:rPr>
                <w:rFonts w:ascii="Arial" w:hAnsi="Arial" w:cs="Arial"/>
                <w:color w:val="000000"/>
                <w:sz w:val="20"/>
                <w:szCs w:val="20"/>
              </w:rPr>
              <w:t>That the Company be authorised to make market purchases of i</w:t>
            </w: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>ts Ordinary Shares of 10p each up to 14.99% of the shares in issue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2" w:type="pct"/>
            <w:shd w:val="clear" w:color="auto" w:fill="auto"/>
          </w:tcPr>
          <w:p w14:paraId="5F88973F" w14:textId="14835F9F" w:rsidR="000F6DB7" w:rsidRPr="000F6DB7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sz w:val="20"/>
                <w:szCs w:val="20"/>
              </w:rPr>
              <w:t>135,125,105</w:t>
            </w:r>
          </w:p>
        </w:tc>
        <w:tc>
          <w:tcPr>
            <w:tcW w:w="540" w:type="pct"/>
          </w:tcPr>
          <w:p w14:paraId="161F2308" w14:textId="5C741A6B" w:rsidR="000F6DB7" w:rsidRPr="000F6DB7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sz w:val="20"/>
                <w:szCs w:val="20"/>
              </w:rPr>
              <w:t>99.98%</w:t>
            </w:r>
          </w:p>
        </w:tc>
        <w:tc>
          <w:tcPr>
            <w:tcW w:w="630" w:type="pct"/>
            <w:shd w:val="clear" w:color="auto" w:fill="auto"/>
          </w:tcPr>
          <w:p w14:paraId="438FA6E6" w14:textId="7355D2BC" w:rsidR="000F6DB7" w:rsidRPr="000F6DB7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sz w:val="20"/>
                <w:szCs w:val="20"/>
              </w:rPr>
              <w:t>22,042</w:t>
            </w:r>
          </w:p>
        </w:tc>
        <w:tc>
          <w:tcPr>
            <w:tcW w:w="438" w:type="pct"/>
          </w:tcPr>
          <w:p w14:paraId="790299D9" w14:textId="2AFB016D" w:rsidR="000F6DB7" w:rsidRPr="000F6DB7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sz w:val="20"/>
                <w:szCs w:val="20"/>
              </w:rPr>
              <w:t>0.02%</w:t>
            </w:r>
          </w:p>
        </w:tc>
        <w:tc>
          <w:tcPr>
            <w:tcW w:w="542" w:type="pct"/>
            <w:shd w:val="clear" w:color="auto" w:fill="auto"/>
          </w:tcPr>
          <w:p w14:paraId="73D500EE" w14:textId="13FEBED7" w:rsidR="000F6DB7" w:rsidRPr="000F6DB7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sz w:val="20"/>
                <w:szCs w:val="20"/>
              </w:rPr>
              <w:t>102,030</w:t>
            </w:r>
          </w:p>
        </w:tc>
      </w:tr>
      <w:tr w:rsidR="000F6DB7" w:rsidRPr="00744622" w14:paraId="52ACC5F7" w14:textId="77777777" w:rsidTr="000F6DB7">
        <w:tc>
          <w:tcPr>
            <w:tcW w:w="336" w:type="pct"/>
            <w:shd w:val="clear" w:color="auto" w:fill="auto"/>
          </w:tcPr>
          <w:p w14:paraId="67F111A4" w14:textId="10F6EBCC" w:rsidR="000F6DB7" w:rsidRPr="00744622" w:rsidRDefault="000F6DB7" w:rsidP="000F6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62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6*</w:t>
            </w:r>
          </w:p>
        </w:tc>
        <w:tc>
          <w:tcPr>
            <w:tcW w:w="1782" w:type="pct"/>
          </w:tcPr>
          <w:p w14:paraId="067B7402" w14:textId="17149B9E" w:rsidR="000F6DB7" w:rsidRPr="00744622" w:rsidRDefault="000F6DB7" w:rsidP="000F6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271">
              <w:rPr>
                <w:rFonts w:ascii="Arial" w:hAnsi="Arial" w:cs="Arial"/>
                <w:color w:val="000000"/>
                <w:sz w:val="20"/>
                <w:szCs w:val="20"/>
              </w:rPr>
              <w:t xml:space="preserve">That a general meeting of the Company other than an Annual General Meeting may be called on not less than 14 clear days' </w:t>
            </w: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>notice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46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2" w:type="pct"/>
            <w:shd w:val="clear" w:color="auto" w:fill="auto"/>
          </w:tcPr>
          <w:p w14:paraId="263EB1B9" w14:textId="30264A32" w:rsidR="000F6DB7" w:rsidRPr="000F6DB7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sz w:val="20"/>
                <w:szCs w:val="20"/>
              </w:rPr>
              <w:t>134,487,771</w:t>
            </w:r>
          </w:p>
        </w:tc>
        <w:tc>
          <w:tcPr>
            <w:tcW w:w="540" w:type="pct"/>
          </w:tcPr>
          <w:p w14:paraId="4E34C452" w14:textId="3AEEBB2E" w:rsidR="000F6DB7" w:rsidRPr="000F6DB7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sz w:val="20"/>
                <w:szCs w:val="20"/>
              </w:rPr>
              <w:t>99.52%</w:t>
            </w:r>
          </w:p>
        </w:tc>
        <w:tc>
          <w:tcPr>
            <w:tcW w:w="630" w:type="pct"/>
            <w:shd w:val="clear" w:color="auto" w:fill="auto"/>
          </w:tcPr>
          <w:p w14:paraId="595C6DE1" w14:textId="68E81891" w:rsidR="000F6DB7" w:rsidRPr="000F6DB7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sz w:val="20"/>
                <w:szCs w:val="20"/>
              </w:rPr>
              <w:t>653,496</w:t>
            </w:r>
          </w:p>
        </w:tc>
        <w:tc>
          <w:tcPr>
            <w:tcW w:w="438" w:type="pct"/>
          </w:tcPr>
          <w:p w14:paraId="49F046C0" w14:textId="3B92137C" w:rsidR="000F6DB7" w:rsidRPr="000F6DB7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sz w:val="20"/>
                <w:szCs w:val="20"/>
              </w:rPr>
              <w:t>0.48%</w:t>
            </w:r>
          </w:p>
        </w:tc>
        <w:tc>
          <w:tcPr>
            <w:tcW w:w="542" w:type="pct"/>
            <w:shd w:val="clear" w:color="auto" w:fill="auto"/>
          </w:tcPr>
          <w:p w14:paraId="21D710D0" w14:textId="68838FB5" w:rsidR="000F6DB7" w:rsidRPr="000F6DB7" w:rsidRDefault="000F6DB7" w:rsidP="000F6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DB7">
              <w:rPr>
                <w:rFonts w:ascii="Arial" w:hAnsi="Arial" w:cs="Arial"/>
                <w:sz w:val="20"/>
                <w:szCs w:val="20"/>
              </w:rPr>
              <w:t>107,910</w:t>
            </w:r>
          </w:p>
        </w:tc>
      </w:tr>
    </w:tbl>
    <w:p w14:paraId="1AA3FAE6" w14:textId="77777777" w:rsidR="00522A6A" w:rsidRPr="00091CDA" w:rsidRDefault="00522A6A">
      <w:pPr>
        <w:rPr>
          <w:rFonts w:ascii="Arial" w:hAnsi="Arial" w:cs="Arial"/>
          <w:sz w:val="20"/>
          <w:szCs w:val="20"/>
        </w:rPr>
      </w:pPr>
    </w:p>
    <w:p w14:paraId="2E93FC9C" w14:textId="28C19CB6" w:rsidR="00BB695E" w:rsidRDefault="00BB695E" w:rsidP="00E92E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*Special Resolutions</w:t>
      </w:r>
    </w:p>
    <w:p w14:paraId="26A5ACF0" w14:textId="77777777" w:rsidR="00BB695E" w:rsidRPr="00091CDA" w:rsidRDefault="00BB695E" w:rsidP="00E92E10">
      <w:pPr>
        <w:rPr>
          <w:rFonts w:ascii="Arial" w:hAnsi="Arial" w:cs="Arial"/>
          <w:sz w:val="20"/>
          <w:szCs w:val="20"/>
        </w:rPr>
      </w:pPr>
    </w:p>
    <w:p w14:paraId="6431C7E3" w14:textId="4D4ED1B9" w:rsidR="0068477E" w:rsidRPr="00091CDA" w:rsidRDefault="006412D0" w:rsidP="0068477E">
      <w:pPr>
        <w:jc w:val="both"/>
        <w:rPr>
          <w:rFonts w:ascii="Arial" w:hAnsi="Arial" w:cs="Arial"/>
          <w:sz w:val="20"/>
          <w:szCs w:val="20"/>
        </w:rPr>
      </w:pPr>
      <w:r w:rsidRPr="006412D0">
        <w:rPr>
          <w:rFonts w:ascii="Arial" w:hAnsi="Arial" w:cs="Arial"/>
          <w:sz w:val="20"/>
          <w:szCs w:val="20"/>
        </w:rPr>
        <w:t>On the record date for voting at the meeting</w:t>
      </w:r>
      <w:r w:rsidR="00A61C1E" w:rsidRPr="00091CDA">
        <w:rPr>
          <w:rFonts w:ascii="Arial" w:hAnsi="Arial" w:cs="Arial"/>
          <w:sz w:val="20"/>
          <w:szCs w:val="20"/>
        </w:rPr>
        <w:t xml:space="preserve">, </w:t>
      </w:r>
      <w:r w:rsidR="0068477E" w:rsidRPr="00091CDA">
        <w:rPr>
          <w:rFonts w:ascii="Arial" w:hAnsi="Arial" w:cs="Arial"/>
          <w:sz w:val="20"/>
          <w:szCs w:val="20"/>
        </w:rPr>
        <w:t xml:space="preserve">the Company’s issued share capital was </w:t>
      </w:r>
      <w:r w:rsidR="0068477E">
        <w:rPr>
          <w:rFonts w:ascii="Arial" w:hAnsi="Arial" w:cs="Arial"/>
          <w:sz w:val="20"/>
          <w:szCs w:val="20"/>
        </w:rPr>
        <w:t>305,623,539</w:t>
      </w:r>
      <w:r w:rsidR="0068477E" w:rsidRPr="00091CDA">
        <w:rPr>
          <w:rFonts w:ascii="Arial" w:hAnsi="Arial" w:cs="Arial"/>
          <w:sz w:val="20"/>
          <w:szCs w:val="20"/>
        </w:rPr>
        <w:t xml:space="preserve"> ordinary shares. The Company was holding </w:t>
      </w:r>
      <w:r w:rsidR="0068477E">
        <w:rPr>
          <w:rFonts w:ascii="Arial" w:hAnsi="Arial" w:cs="Arial"/>
          <w:sz w:val="20"/>
          <w:szCs w:val="20"/>
        </w:rPr>
        <w:t>260,000</w:t>
      </w:r>
      <w:r w:rsidR="0068477E" w:rsidRPr="00091CDA">
        <w:rPr>
          <w:rFonts w:ascii="Arial" w:hAnsi="Arial" w:cs="Arial"/>
          <w:sz w:val="20"/>
          <w:szCs w:val="20"/>
        </w:rPr>
        <w:t xml:space="preserve"> of these shares in Treasury. Therefore, the total number of ordinary shares with voting rights in the Company was </w:t>
      </w:r>
      <w:r w:rsidR="0068477E">
        <w:rPr>
          <w:rFonts w:ascii="Arial" w:hAnsi="Arial" w:cs="Arial"/>
          <w:sz w:val="20"/>
          <w:szCs w:val="20"/>
        </w:rPr>
        <w:t>305,363,539</w:t>
      </w:r>
      <w:r w:rsidR="0068477E" w:rsidRPr="00091CDA">
        <w:rPr>
          <w:rFonts w:ascii="Arial" w:hAnsi="Arial" w:cs="Arial"/>
          <w:sz w:val="20"/>
          <w:szCs w:val="20"/>
        </w:rPr>
        <w:t>.</w:t>
      </w:r>
    </w:p>
    <w:p w14:paraId="3909DB72" w14:textId="77777777" w:rsidR="00554C40" w:rsidRPr="00091CDA" w:rsidRDefault="00554C40" w:rsidP="00DF1E1B">
      <w:pPr>
        <w:jc w:val="both"/>
        <w:rPr>
          <w:rFonts w:ascii="Arial" w:hAnsi="Arial" w:cs="Arial"/>
          <w:sz w:val="20"/>
          <w:szCs w:val="20"/>
        </w:rPr>
      </w:pPr>
    </w:p>
    <w:p w14:paraId="5077070A" w14:textId="34815281" w:rsidR="006F1A0E" w:rsidRPr="00091CDA" w:rsidRDefault="001E604F" w:rsidP="00BB69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Copie</w:t>
      </w:r>
      <w:r w:rsidRPr="00FC5EBD">
        <w:rPr>
          <w:rFonts w:ascii="Arial" w:hAnsi="Arial" w:cs="Arial"/>
          <w:sz w:val="20"/>
          <w:szCs w:val="20"/>
        </w:rPr>
        <w:t>s of all the resolutions passed, other than ordinary business, will be submitted to the National Storage Mechanism and will shortly be available for inspection at:</w:t>
      </w:r>
      <w:r>
        <w:rPr>
          <w:rFonts w:ascii="Arial" w:hAnsi="Arial" w:cs="Arial"/>
          <w:sz w:val="20"/>
          <w:szCs w:val="20"/>
        </w:rPr>
        <w:t xml:space="preserve">  </w:t>
      </w:r>
      <w:r w:rsidR="00C77517" w:rsidRPr="00BB695E">
        <w:rPr>
          <w:rFonts w:ascii="Arial" w:hAnsi="Arial" w:cs="Arial"/>
          <w:sz w:val="20"/>
          <w:szCs w:val="20"/>
        </w:rPr>
        <w:t>https://data.fca.org.uk/#/nsm/nationalstoragemechanism</w:t>
      </w:r>
      <w:r w:rsidR="00C77517">
        <w:rPr>
          <w:rFonts w:ascii="Arial" w:hAnsi="Arial" w:cs="Arial"/>
          <w:sz w:val="20"/>
          <w:szCs w:val="20"/>
        </w:rPr>
        <w:t xml:space="preserve"> </w:t>
      </w:r>
    </w:p>
    <w:p w14:paraId="0F1EE088" w14:textId="77777777" w:rsidR="001E604F" w:rsidRDefault="001E604F">
      <w:pPr>
        <w:rPr>
          <w:rFonts w:ascii="Arial" w:hAnsi="Arial" w:cs="Arial"/>
          <w:b/>
          <w:sz w:val="20"/>
          <w:szCs w:val="20"/>
        </w:rPr>
      </w:pPr>
    </w:p>
    <w:p w14:paraId="0155E9B9" w14:textId="16F89CDE" w:rsidR="00522A6A" w:rsidRPr="00091CDA" w:rsidRDefault="00F644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18</w:t>
      </w:r>
      <w:r w:rsidR="009A35B1" w:rsidRPr="00091CDA">
        <w:rPr>
          <w:rFonts w:ascii="Arial" w:hAnsi="Arial" w:cs="Arial"/>
          <w:b/>
          <w:sz w:val="20"/>
          <w:szCs w:val="20"/>
        </w:rPr>
        <w:t xml:space="preserve"> May 20</w:t>
      </w:r>
      <w:r w:rsidR="0082795D">
        <w:rPr>
          <w:rFonts w:ascii="Arial" w:hAnsi="Arial" w:cs="Arial"/>
          <w:b/>
          <w:sz w:val="20"/>
          <w:szCs w:val="20"/>
        </w:rPr>
        <w:t>2</w:t>
      </w:r>
      <w:r w:rsidR="00A75ADD">
        <w:rPr>
          <w:rFonts w:ascii="Arial" w:hAnsi="Arial" w:cs="Arial"/>
          <w:b/>
          <w:sz w:val="20"/>
          <w:szCs w:val="20"/>
        </w:rPr>
        <w:t>2</w:t>
      </w:r>
    </w:p>
    <w:p w14:paraId="57F3FE93" w14:textId="77777777" w:rsidR="0030461A" w:rsidRPr="00091CDA" w:rsidRDefault="0030461A">
      <w:pPr>
        <w:rPr>
          <w:rFonts w:ascii="Arial" w:hAnsi="Arial" w:cs="Arial"/>
          <w:sz w:val="20"/>
          <w:szCs w:val="20"/>
        </w:rPr>
      </w:pPr>
    </w:p>
    <w:p w14:paraId="467A393A" w14:textId="77777777" w:rsidR="0030461A" w:rsidRPr="00091CDA" w:rsidRDefault="0030461A" w:rsidP="0030461A">
      <w:pPr>
        <w:rPr>
          <w:rFonts w:ascii="Arial" w:hAnsi="Arial" w:cs="Arial"/>
          <w:sz w:val="20"/>
          <w:szCs w:val="20"/>
        </w:rPr>
      </w:pPr>
      <w:r w:rsidRPr="00091CDA">
        <w:rPr>
          <w:rFonts w:ascii="Arial" w:hAnsi="Arial" w:cs="Arial"/>
          <w:sz w:val="20"/>
          <w:szCs w:val="20"/>
        </w:rPr>
        <w:t>Enquiries</w:t>
      </w:r>
    </w:p>
    <w:p w14:paraId="59F2339F" w14:textId="77777777" w:rsidR="0030461A" w:rsidRPr="00091CDA" w:rsidRDefault="0030461A" w:rsidP="0030461A">
      <w:pPr>
        <w:rPr>
          <w:rFonts w:ascii="Arial" w:hAnsi="Arial" w:cs="Arial"/>
          <w:sz w:val="20"/>
          <w:szCs w:val="20"/>
        </w:rPr>
      </w:pPr>
    </w:p>
    <w:p w14:paraId="3BB33487" w14:textId="62BDDC27" w:rsidR="0030461A" w:rsidRPr="00091CDA" w:rsidRDefault="00F6444E" w:rsidP="003046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Sanne</w:t>
      </w:r>
      <w:r w:rsidR="00063786" w:rsidRPr="00091CDA">
        <w:rPr>
          <w:rFonts w:ascii="Arial" w:hAnsi="Arial" w:cs="Arial"/>
          <w:b/>
          <w:sz w:val="20"/>
          <w:szCs w:val="20"/>
        </w:rPr>
        <w:t xml:space="preserve"> Fund Services (UK) Limited</w:t>
      </w:r>
    </w:p>
    <w:p w14:paraId="64F2E9BF" w14:textId="139144D3" w:rsidR="0030461A" w:rsidRPr="00091CDA" w:rsidRDefault="0082795D" w:rsidP="003046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Martin Darragh</w:t>
      </w:r>
      <w:r w:rsidR="002F72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/ </w:t>
      </w:r>
      <w:r w:rsidR="00F6444E">
        <w:rPr>
          <w:rFonts w:ascii="Arial" w:hAnsi="Arial" w:cs="Arial"/>
          <w:sz w:val="20"/>
          <w:szCs w:val="20"/>
        </w:rPr>
        <w:t>Shilla Pindoria</w:t>
      </w:r>
      <w:r>
        <w:rPr>
          <w:rFonts w:ascii="Arial" w:hAnsi="Arial" w:cs="Arial"/>
          <w:sz w:val="20"/>
          <w:szCs w:val="20"/>
        </w:rPr>
        <w:t xml:space="preserve"> </w:t>
      </w:r>
      <w:r w:rsidR="00F6444E" w:rsidRPr="00F6444E">
        <w:rPr>
          <w:rFonts w:ascii="Arial" w:hAnsi="Arial" w:cs="Arial"/>
          <w:sz w:val="20"/>
          <w:szCs w:val="20"/>
        </w:rPr>
        <w:t>020 3327 9720</w:t>
      </w:r>
    </w:p>
    <w:p w14:paraId="416B5F0E" w14:textId="620D3A7F" w:rsidR="00380EF1" w:rsidRPr="00091CDA" w:rsidRDefault="0030461A">
      <w:pPr>
        <w:rPr>
          <w:rFonts w:ascii="Arial" w:hAnsi="Arial" w:cs="Arial"/>
          <w:sz w:val="20"/>
          <w:szCs w:val="20"/>
        </w:rPr>
      </w:pPr>
      <w:r w:rsidRPr="00091CDA">
        <w:rPr>
          <w:rFonts w:ascii="Arial" w:hAnsi="Arial" w:cs="Arial"/>
          <w:sz w:val="20"/>
          <w:szCs w:val="20"/>
        </w:rPr>
        <w:t>Company Secretary</w:t>
      </w:r>
    </w:p>
    <w:sectPr w:rsidR="00380EF1" w:rsidRPr="00091CDA" w:rsidSect="00AE68CF">
      <w:type w:val="continuous"/>
      <w:pgSz w:w="11906" w:h="16838" w:code="9"/>
      <w:pgMar w:top="1440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CD5E" w14:textId="77777777" w:rsidR="009F4BB5" w:rsidRDefault="009F4BB5" w:rsidP="00A544D4">
      <w:r>
        <w:separator/>
      </w:r>
    </w:p>
  </w:endnote>
  <w:endnote w:type="continuationSeparator" w:id="0">
    <w:p w14:paraId="4423BA96" w14:textId="77777777" w:rsidR="009F4BB5" w:rsidRDefault="009F4BB5" w:rsidP="00A5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67974" w14:textId="77777777" w:rsidR="009F4BB5" w:rsidRDefault="009F4BB5" w:rsidP="00A544D4">
      <w:r>
        <w:separator/>
      </w:r>
    </w:p>
  </w:footnote>
  <w:footnote w:type="continuationSeparator" w:id="0">
    <w:p w14:paraId="6BA2849E" w14:textId="77777777" w:rsidR="009F4BB5" w:rsidRDefault="009F4BB5" w:rsidP="00A54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53"/>
    <w:rsid w:val="000022E5"/>
    <w:rsid w:val="000520EE"/>
    <w:rsid w:val="00063786"/>
    <w:rsid w:val="0007150C"/>
    <w:rsid w:val="00091CDA"/>
    <w:rsid w:val="000B239A"/>
    <w:rsid w:val="000B62FE"/>
    <w:rsid w:val="000C3BBC"/>
    <w:rsid w:val="000D20A6"/>
    <w:rsid w:val="000F6DB7"/>
    <w:rsid w:val="001016CC"/>
    <w:rsid w:val="00130673"/>
    <w:rsid w:val="00142A34"/>
    <w:rsid w:val="0014560E"/>
    <w:rsid w:val="001549F8"/>
    <w:rsid w:val="001A17A8"/>
    <w:rsid w:val="001B1E53"/>
    <w:rsid w:val="001B2D02"/>
    <w:rsid w:val="001E604F"/>
    <w:rsid w:val="00215011"/>
    <w:rsid w:val="00236F17"/>
    <w:rsid w:val="0024094A"/>
    <w:rsid w:val="00245BE0"/>
    <w:rsid w:val="00265B63"/>
    <w:rsid w:val="00277723"/>
    <w:rsid w:val="002A07CB"/>
    <w:rsid w:val="002B6C98"/>
    <w:rsid w:val="002C322B"/>
    <w:rsid w:val="002E6B81"/>
    <w:rsid w:val="002F7271"/>
    <w:rsid w:val="00302ECD"/>
    <w:rsid w:val="0030461A"/>
    <w:rsid w:val="00305FD4"/>
    <w:rsid w:val="00347E4D"/>
    <w:rsid w:val="00356015"/>
    <w:rsid w:val="00373714"/>
    <w:rsid w:val="00380EF1"/>
    <w:rsid w:val="003832A3"/>
    <w:rsid w:val="003A07BB"/>
    <w:rsid w:val="003A46A1"/>
    <w:rsid w:val="003F223F"/>
    <w:rsid w:val="003F4EE4"/>
    <w:rsid w:val="00400B8B"/>
    <w:rsid w:val="00433EAA"/>
    <w:rsid w:val="00435102"/>
    <w:rsid w:val="00474510"/>
    <w:rsid w:val="0048529F"/>
    <w:rsid w:val="004A2853"/>
    <w:rsid w:val="004B7D0C"/>
    <w:rsid w:val="004F5C84"/>
    <w:rsid w:val="004F73F9"/>
    <w:rsid w:val="005011BE"/>
    <w:rsid w:val="005020B1"/>
    <w:rsid w:val="005111C0"/>
    <w:rsid w:val="00516C18"/>
    <w:rsid w:val="005225A6"/>
    <w:rsid w:val="00522A6A"/>
    <w:rsid w:val="00554C40"/>
    <w:rsid w:val="0056120E"/>
    <w:rsid w:val="00565B1B"/>
    <w:rsid w:val="005861BD"/>
    <w:rsid w:val="00597F8F"/>
    <w:rsid w:val="005A261C"/>
    <w:rsid w:val="005B0402"/>
    <w:rsid w:val="005C5B46"/>
    <w:rsid w:val="005C695B"/>
    <w:rsid w:val="005C6F9B"/>
    <w:rsid w:val="005E1238"/>
    <w:rsid w:val="005F1EB7"/>
    <w:rsid w:val="005F3D06"/>
    <w:rsid w:val="005F51D9"/>
    <w:rsid w:val="005F6025"/>
    <w:rsid w:val="006412D0"/>
    <w:rsid w:val="00656886"/>
    <w:rsid w:val="00660C57"/>
    <w:rsid w:val="006613F7"/>
    <w:rsid w:val="00677C1A"/>
    <w:rsid w:val="0068477E"/>
    <w:rsid w:val="006A4887"/>
    <w:rsid w:val="006A7005"/>
    <w:rsid w:val="006B2422"/>
    <w:rsid w:val="006B5699"/>
    <w:rsid w:val="006D207D"/>
    <w:rsid w:val="006D4A12"/>
    <w:rsid w:val="006D5DC7"/>
    <w:rsid w:val="006F1A0E"/>
    <w:rsid w:val="007151EC"/>
    <w:rsid w:val="00733AE0"/>
    <w:rsid w:val="00744622"/>
    <w:rsid w:val="007503B9"/>
    <w:rsid w:val="0079077F"/>
    <w:rsid w:val="007D3018"/>
    <w:rsid w:val="007D6871"/>
    <w:rsid w:val="007D7385"/>
    <w:rsid w:val="007D784A"/>
    <w:rsid w:val="0082795D"/>
    <w:rsid w:val="00837E40"/>
    <w:rsid w:val="00841224"/>
    <w:rsid w:val="008647C9"/>
    <w:rsid w:val="00865748"/>
    <w:rsid w:val="00867F25"/>
    <w:rsid w:val="00886DBE"/>
    <w:rsid w:val="008915AE"/>
    <w:rsid w:val="008A1805"/>
    <w:rsid w:val="008A30DC"/>
    <w:rsid w:val="008D12FC"/>
    <w:rsid w:val="008E0DB1"/>
    <w:rsid w:val="008F59FC"/>
    <w:rsid w:val="00911F8B"/>
    <w:rsid w:val="009124FB"/>
    <w:rsid w:val="00922542"/>
    <w:rsid w:val="009240FB"/>
    <w:rsid w:val="0092631B"/>
    <w:rsid w:val="00957FFA"/>
    <w:rsid w:val="00963CB5"/>
    <w:rsid w:val="00967417"/>
    <w:rsid w:val="00967B17"/>
    <w:rsid w:val="009726D2"/>
    <w:rsid w:val="00996B35"/>
    <w:rsid w:val="009A35B1"/>
    <w:rsid w:val="009A4F2B"/>
    <w:rsid w:val="009B1B3D"/>
    <w:rsid w:val="009E2566"/>
    <w:rsid w:val="009F4BB5"/>
    <w:rsid w:val="00A32D60"/>
    <w:rsid w:val="00A544D4"/>
    <w:rsid w:val="00A61C1E"/>
    <w:rsid w:val="00A75ADD"/>
    <w:rsid w:val="00A90AB0"/>
    <w:rsid w:val="00AE68CF"/>
    <w:rsid w:val="00B046B6"/>
    <w:rsid w:val="00B12AFC"/>
    <w:rsid w:val="00B20178"/>
    <w:rsid w:val="00B26457"/>
    <w:rsid w:val="00B36E15"/>
    <w:rsid w:val="00B8761C"/>
    <w:rsid w:val="00B939A4"/>
    <w:rsid w:val="00B93ED2"/>
    <w:rsid w:val="00B94D15"/>
    <w:rsid w:val="00BB5BF7"/>
    <w:rsid w:val="00BB695E"/>
    <w:rsid w:val="00BC34F2"/>
    <w:rsid w:val="00BD3D2C"/>
    <w:rsid w:val="00BE3C5E"/>
    <w:rsid w:val="00BE553C"/>
    <w:rsid w:val="00BF5C90"/>
    <w:rsid w:val="00C0024B"/>
    <w:rsid w:val="00C052FA"/>
    <w:rsid w:val="00C237A7"/>
    <w:rsid w:val="00C239B5"/>
    <w:rsid w:val="00C32837"/>
    <w:rsid w:val="00C36E15"/>
    <w:rsid w:val="00C413FA"/>
    <w:rsid w:val="00C5019F"/>
    <w:rsid w:val="00C55CCF"/>
    <w:rsid w:val="00C61B13"/>
    <w:rsid w:val="00C76189"/>
    <w:rsid w:val="00C77517"/>
    <w:rsid w:val="00C81EDE"/>
    <w:rsid w:val="00C94DBE"/>
    <w:rsid w:val="00CA25FF"/>
    <w:rsid w:val="00CB2474"/>
    <w:rsid w:val="00CB28E7"/>
    <w:rsid w:val="00CE2447"/>
    <w:rsid w:val="00CE499F"/>
    <w:rsid w:val="00CF5597"/>
    <w:rsid w:val="00CF5FAF"/>
    <w:rsid w:val="00D2410B"/>
    <w:rsid w:val="00D61BAD"/>
    <w:rsid w:val="00D66F48"/>
    <w:rsid w:val="00D6782A"/>
    <w:rsid w:val="00D91B46"/>
    <w:rsid w:val="00DA05AB"/>
    <w:rsid w:val="00DC3104"/>
    <w:rsid w:val="00DF1E1B"/>
    <w:rsid w:val="00E0141D"/>
    <w:rsid w:val="00E114AD"/>
    <w:rsid w:val="00E341A1"/>
    <w:rsid w:val="00E46089"/>
    <w:rsid w:val="00E46511"/>
    <w:rsid w:val="00E92E10"/>
    <w:rsid w:val="00ED0026"/>
    <w:rsid w:val="00ED3CE1"/>
    <w:rsid w:val="00EF6950"/>
    <w:rsid w:val="00F0211D"/>
    <w:rsid w:val="00F21A85"/>
    <w:rsid w:val="00F4307A"/>
    <w:rsid w:val="00F6444E"/>
    <w:rsid w:val="00F71144"/>
    <w:rsid w:val="00FA71BE"/>
    <w:rsid w:val="00FB403A"/>
    <w:rsid w:val="00F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07E04"/>
  <w15:docId w15:val="{90D71F73-5E50-4B9F-82D6-D8FCF42C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2A6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30461A"/>
  </w:style>
  <w:style w:type="paragraph" w:styleId="Header">
    <w:name w:val="header"/>
    <w:basedOn w:val="Normal"/>
    <w:link w:val="HeaderChar"/>
    <w:rsid w:val="001A17A8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rsid w:val="001A17A8"/>
    <w:rPr>
      <w:sz w:val="24"/>
      <w:lang w:eastAsia="en-US"/>
    </w:rPr>
  </w:style>
  <w:style w:type="paragraph" w:styleId="Footer">
    <w:name w:val="footer"/>
    <w:basedOn w:val="Normal"/>
    <w:link w:val="FooterChar"/>
    <w:rsid w:val="00A544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544D4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D7385"/>
    <w:rPr>
      <w:color w:val="0000FF"/>
      <w:u w:val="single"/>
    </w:rPr>
  </w:style>
  <w:style w:type="character" w:styleId="FollowedHyperlink">
    <w:name w:val="FollowedHyperlink"/>
    <w:basedOn w:val="DefaultParagraphFont"/>
    <w:rsid w:val="007D738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CB2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B247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613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613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13F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1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13F7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75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477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settings" Target="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webSettings" Target="webSettings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10.xml><?xml version="1.0" encoding="utf-8"?>
<DataSourceMapping>
  <Id>1dea8a42-7d86-4432-9085-26a886a491c1</Id>
  <Name>EXPRESSION_VARIABLE_MAPPING</Name>
  <TargetDataSource>c7bd2da0-45e2-4e10-b942-510af0cf91de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11.xml><?xml version="1.0" encoding="utf-8"?>
<VariableListDefinition name="Computed" displayName="Computed" id="ab05f859-c7b0-4408-8e33-9beda1f48f7c" isdomainofvalue="False" dataSourceId="4950d13c-9feb-4709-8088-c1864b08d7c0"/>
</file>

<file path=customXml/item12.xml><?xml version="1.0" encoding="utf-8"?>
<VariableListDefinition name="System" displayName="System" id="c7e1ff45-8fcb-422a-8566-77164ca74620" isdomainofvalue="False" dataSourceId="c7bd2da0-45e2-4e10-b942-510af0cf91de"/>
</file>

<file path=customXml/item13.xml><?xml version="1.0" encoding="utf-8"?>
<AllWordPDs>
</AllWordPDs>
</file>

<file path=customXml/item14.xml><?xml version="1.0" encoding="utf-8"?>
<VariableUsageMapping/>
</file>

<file path=customXml/item15.xml><?xml version="1.0" encoding="utf-8"?>
<VariableListDefinition name="AD_HOC" displayName="AD_HOC" id="b974fbbd-2ca9-4546-af1f-6c4be7cfd2ac" isdomainofvalue="False" dataSourceId="35a7890b-2422-456f-8b16-da60c9b7c6f4"/>
</file>

<file path=customXml/item16.xml><?xml version="1.0" encoding="utf-8"?>
<VariableListCustXmlRels>
  <VariableListCustXmlRel variableListName="AD_HOC">
    <VariableListDefCustXmlId>{AC6992B1-3358-4C55-9272-E58A762A142F}</VariableListDefCustXmlId>
    <LibraryMetadataCustXmlId>{27167313-14B5-4294-8840-8A163A148F27}</LibraryMetadataCustXmlId>
    <DataSourceInfoCustXmlId>{AC8B06C3-CC8A-4ECF-84C7-B12B70002722}</DataSourceInfoCustXmlId>
    <DataSourceMappingCustXmlId>{930CDF22-4AC6-4C9B-BC5E-ADD561923C61}</DataSourceMappingCustXmlId>
    <SdmcCustXmlId>{09EB5F48-400C-436E-91FE-452615E14F13}</SdmcCustXmlId>
  </VariableListCustXmlRel>
  <VariableListCustXmlRel variableListName="Computed">
    <VariableListDefCustXmlId>{4132D302-38FD-419F-81B0-7A95B87D2540}</VariableListDefCustXmlId>
    <LibraryMetadataCustXmlId>{0677E583-D013-472D-A5BD-9D0117D9DFA8}</LibraryMetadataCustXmlId>
    <DataSourceInfoCustXmlId>{710FB335-F47C-4974-A7E6-A1155199C1B9}</DataSourceInfoCustXmlId>
    <DataSourceMappingCustXmlId>{FE7EDF88-F063-4852-844E-1D3D4072C5B1}</DataSourceMappingCustXmlId>
    <SdmcCustXmlId>{A86796C8-43C4-41B1-883C-16DEE44C1F6A}</SdmcCustXmlId>
  </VariableListCustXmlRel>
  <VariableListCustXmlRel variableListName="System">
    <VariableListDefCustXmlId>{9F0EC03A-5961-476D-8879-BECDDC59C039}</VariableListDefCustXmlId>
    <LibraryMetadataCustXmlId>{82170F6D-E2AF-4AAA-9813-6F9B4442726A}</LibraryMetadataCustXmlId>
    <DataSourceInfoCustXmlId>{F1750833-9C27-4919-818F-9CD779CB1230}</DataSourceInfoCustXmlId>
    <DataSourceMappingCustXmlId>{D2EA97ED-F9FD-4A0B-BE76-E0BC015FD9C4}</DataSourceMappingCustXmlId>
    <SdmcCustXmlId>{A4E6D147-29D0-4731-B4A0-943E076AC37B}</SdmcCustXmlId>
  </VariableListCustXmlRel>
</VariableListCustXmlRels>
</file>

<file path=customXml/item17.xml><?xml version="1.0" encoding="utf-8"?>
<DataSourceInfo>
  <Id>c7bd2da0-45e2-4e10-b942-510af0cf91de</Id>
  <MajorVersion>0</MajorVersion>
  <MinorVersion>1</MinorVersion>
  <DataSourceType>System</DataSourceType>
  <Name>System</Name>
  <Description/>
  <Filter/>
  <DataFields/>
</DataSourceInfo>
</file>

<file path=customXml/item18.xml><?xml version="1.0" encoding="utf-8"?>
<AllExternalAdhocVariableMappings/>
</file>

<file path=customXml/item19.xml><?xml version="1.0" encoding="utf-8"?>
<VariableList UniqueId="ab05f859-c7b0-4408-8e33-9beda1f48f7c" Name="Computed" ContentType="XML" MajorVersion="0" MinorVersion="1" isLocalCopy="False" IsBaseObject="False" DataSourceId="4950d13c-9feb-4709-8088-c1864b08d7c0" DataSourceMajorVersion="0" DataSourceMinorVersion="1"/>
</file>

<file path=customXml/item2.xml><?xml version="1.0" encoding="utf-8"?>
<DataSourceInfo>
  <Id>4950d13c-9feb-4709-8088-c1864b08d7c0</Id>
  <MajorVersion>0</MajorVersion>
  <MinorVersion>1</MinorVersion>
  <DataSourceType>Expression</DataSourceType>
  <Name>Computed</Name>
  <Description/>
  <Filter/>
  <DataFields/>
</DataSourceInfo>
</file>

<file path=customXml/item20.xml><?xml version="1.0" encoding="utf-8"?>
<DocPartTree/>
</file>

<file path=customXml/item21.xml><?xml version="1.0" encoding="utf-8"?>
<DataSourceMapping>
  <Id>a7eb6bbd-8a43-4589-8e27-6f603c732da7</Id>
  <Name>AD_HOC_MAPPING</Name>
  <TargetDataSource>35a7890b-2422-456f-8b16-da60c9b7c6f4</TargetDataSource>
  <SourceType>XML File</SourceType>
  <IsReadOnly>false</IsReadOnly>
  <SalesforceOrganizationId>00000000-0000-0000-0000-000000000000</SalesforceOrganizationId>
  <SalesforceOrganizationName/>
  <SalesforceApiVersion/>
  <Properties>
    <Property Name="RecordSeperator" Value="SampleData/DataRecord"/>
  </Properties>
  <RawMappings/>
  <DesignTimeProperties/>
</DataSourceMapping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3.xml><?xml version="1.0" encoding="utf-8"?>
<DataSourceInfo>
  <Id>35a7890b-2422-456f-8b16-da60c9b7c6f4</Id>
  <MajorVersion>0</MajorVersion>
  <MinorVersion>1</MinorVersion>
  <DataSourceType>Ad_Hoc</DataSourceType>
  <Name>AD_HOC</Name>
  <Description/>
  <Filter/>
  <DataFields/>
</DataSourceInfo>
</file>

<file path=customXml/item24.xml><?xml version="1.0" encoding="utf-8"?>
<VariableList UniqueId="c7e1ff45-8fcb-422a-8566-77164ca74620" Name="System" ContentType="XML" MajorVersion="0" MinorVersion="1" isLocalCopy="False" IsBaseObject="False" DataSourceId="c7bd2da0-45e2-4e10-b942-510af0cf91de" DataSourceMajorVersion="0" DataSourceMinorVersion="1"/>
</file>

<file path=customXml/item3.xml><?xml version="1.0" encoding="utf-8"?>
<SourceDataModel Name="AD_HOC" TargetDataSourceId="35a7890b-2422-456f-8b16-da60c9b7c6f4"/>
</file>

<file path=customXml/item4.xml><?xml version="1.0" encoding="utf-8"?>
<VariableList UniqueId="b974fbbd-2ca9-4546-af1f-6c4be7cfd2ac" Name="AD_HOC" ContentType="XML" MajorVersion="0" MinorVersion="1" isLocalCopy="False" IsBaseObject="False" DataSourceId="35a7890b-2422-456f-8b16-da60c9b7c6f4" DataSourceMajorVersion="0" DataSourceMinorVersion="1"/>
</file>

<file path=customXml/item5.xml><?xml version="1.0" encoding="utf-8"?>
<SourceDataModel Name="Computed" TargetDataSourceId="4950d13c-9feb-4709-8088-c1864b08d7c0"/>
</file>

<file path=customXml/item6.xml><?xml version="1.0" encoding="utf-8"?>
<AllMetadata/>
</file>

<file path=customXml/item7.xml><?xml version="1.0" encoding="utf-8"?>
<DataSourceMapping>
  <Id>6db28faf-03e8-4dc4-b65b-c8d80b507131</Id>
  <Name>EXPRESSION_VARIABLE_MAPPING</Name>
  <TargetDataSource>4950d13c-9feb-4709-8088-c1864b08d7c0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8.xml><?xml version="1.0" encoding="utf-8"?>
<SourceDataModel Name="System" TargetDataSourceId="c7bd2da0-45e2-4e10-b942-510af0cf91de"/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0AD47D090184E8F520D4093690A39" ma:contentTypeVersion="10" ma:contentTypeDescription="Create a new document." ma:contentTypeScope="" ma:versionID="cf17ab5e14432bc11c4220b9801e898b">
  <xsd:schema xmlns:xsd="http://www.w3.org/2001/XMLSchema" xmlns:xs="http://www.w3.org/2001/XMLSchema" xmlns:p="http://schemas.microsoft.com/office/2006/metadata/properties" xmlns:ns2="044fd131-1a34-4a01-81f7-2f99d8943532" xmlns:ns3="f00ddfe2-9e54-4a21-8ad4-6de7aa684ab6" targetNamespace="http://schemas.microsoft.com/office/2006/metadata/properties" ma:root="true" ma:fieldsID="e763521e3967cacd3f76a4ee17b3bfde" ns2:_="" ns3:_="">
    <xsd:import namespace="044fd131-1a34-4a01-81f7-2f99d8943532"/>
    <xsd:import namespace="f00ddfe2-9e54-4a21-8ad4-6de7aa684a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d131-1a34-4a01-81f7-2f99d89435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dfe2-9e54-4a21-8ad4-6de7aa684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3C7B0-06E6-470D-AA14-2E7638BBC9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10.xml><?xml version="1.0" encoding="utf-8"?>
<ds:datastoreItem xmlns:ds="http://schemas.openxmlformats.org/officeDocument/2006/customXml" ds:itemID="{D2EA97ED-F9FD-4A0B-BE76-E0BC015FD9C4}">
  <ds:schemaRefs/>
</ds:datastoreItem>
</file>

<file path=customXml/itemProps11.xml><?xml version="1.0" encoding="utf-8"?>
<ds:datastoreItem xmlns:ds="http://schemas.openxmlformats.org/officeDocument/2006/customXml" ds:itemID="{4132D302-38FD-419F-81B0-7A95B87D2540}">
  <ds:schemaRefs/>
</ds:datastoreItem>
</file>

<file path=customXml/itemProps12.xml><?xml version="1.0" encoding="utf-8"?>
<ds:datastoreItem xmlns:ds="http://schemas.openxmlformats.org/officeDocument/2006/customXml" ds:itemID="{9F0EC03A-5961-476D-8879-BECDDC59C039}">
  <ds:schemaRefs/>
</ds:datastoreItem>
</file>

<file path=customXml/itemProps13.xml><?xml version="1.0" encoding="utf-8"?>
<ds:datastoreItem xmlns:ds="http://schemas.openxmlformats.org/officeDocument/2006/customXml" ds:itemID="{33378D83-8A9F-4B0E-8E61-BEA3AB52FF32}">
  <ds:schemaRefs/>
</ds:datastoreItem>
</file>

<file path=customXml/itemProps14.xml><?xml version="1.0" encoding="utf-8"?>
<ds:datastoreItem xmlns:ds="http://schemas.openxmlformats.org/officeDocument/2006/customXml" ds:itemID="{A300E995-04EA-46CF-A2F9-7471A80DF583}">
  <ds:schemaRefs/>
</ds:datastoreItem>
</file>

<file path=customXml/itemProps15.xml><?xml version="1.0" encoding="utf-8"?>
<ds:datastoreItem xmlns:ds="http://schemas.openxmlformats.org/officeDocument/2006/customXml" ds:itemID="{AC6992B1-3358-4C55-9272-E58A762A142F}">
  <ds:schemaRefs/>
</ds:datastoreItem>
</file>

<file path=customXml/itemProps16.xml><?xml version="1.0" encoding="utf-8"?>
<ds:datastoreItem xmlns:ds="http://schemas.openxmlformats.org/officeDocument/2006/customXml" ds:itemID="{25AC16E2-70E9-4E93-8E92-8E31EFE07F63}">
  <ds:schemaRefs/>
</ds:datastoreItem>
</file>

<file path=customXml/itemProps17.xml><?xml version="1.0" encoding="utf-8"?>
<ds:datastoreItem xmlns:ds="http://schemas.openxmlformats.org/officeDocument/2006/customXml" ds:itemID="{F1750833-9C27-4919-818F-9CD779CB1230}">
  <ds:schemaRefs/>
</ds:datastoreItem>
</file>

<file path=customXml/itemProps18.xml><?xml version="1.0" encoding="utf-8"?>
<ds:datastoreItem xmlns:ds="http://schemas.openxmlformats.org/officeDocument/2006/customXml" ds:itemID="{F21928D8-193B-4C06-BE78-296AAA72C5C9}">
  <ds:schemaRefs/>
</ds:datastoreItem>
</file>

<file path=customXml/itemProps19.xml><?xml version="1.0" encoding="utf-8"?>
<ds:datastoreItem xmlns:ds="http://schemas.openxmlformats.org/officeDocument/2006/customXml" ds:itemID="{0677E583-D013-472D-A5BD-9D0117D9DFA8}">
  <ds:schemaRefs/>
</ds:datastoreItem>
</file>

<file path=customXml/itemProps2.xml><?xml version="1.0" encoding="utf-8"?>
<ds:datastoreItem xmlns:ds="http://schemas.openxmlformats.org/officeDocument/2006/customXml" ds:itemID="{710FB335-F47C-4974-A7E6-A1155199C1B9}">
  <ds:schemaRefs/>
</ds:datastoreItem>
</file>

<file path=customXml/itemProps20.xml><?xml version="1.0" encoding="utf-8"?>
<ds:datastoreItem xmlns:ds="http://schemas.openxmlformats.org/officeDocument/2006/customXml" ds:itemID="{304BE525-C8C4-4156-B365-2D9AA9731FE5}">
  <ds:schemaRefs/>
</ds:datastoreItem>
</file>

<file path=customXml/itemProps21.xml><?xml version="1.0" encoding="utf-8"?>
<ds:datastoreItem xmlns:ds="http://schemas.openxmlformats.org/officeDocument/2006/customXml" ds:itemID="{930CDF22-4AC6-4C9B-BC5E-ADD561923C61}">
  <ds:schemaRefs/>
</ds:datastoreItem>
</file>

<file path=customXml/itemProps22.xml><?xml version="1.0" encoding="utf-8"?>
<ds:datastoreItem xmlns:ds="http://schemas.openxmlformats.org/officeDocument/2006/customXml" ds:itemID="{0194D165-B1A0-4049-B7B7-BC5DDD125D73}">
  <ds:schemaRefs>
    <ds:schemaRef ds:uri="http://schemas.microsoft.com/sharepoint/v3/contenttype/forms"/>
  </ds:schemaRefs>
</ds:datastoreItem>
</file>

<file path=customXml/itemProps23.xml><?xml version="1.0" encoding="utf-8"?>
<ds:datastoreItem xmlns:ds="http://schemas.openxmlformats.org/officeDocument/2006/customXml" ds:itemID="{AC8B06C3-CC8A-4ECF-84C7-B12B70002722}">
  <ds:schemaRefs/>
</ds:datastoreItem>
</file>

<file path=customXml/itemProps24.xml><?xml version="1.0" encoding="utf-8"?>
<ds:datastoreItem xmlns:ds="http://schemas.openxmlformats.org/officeDocument/2006/customXml" ds:itemID="{82170F6D-E2AF-4AAA-9813-6F9B4442726A}">
  <ds:schemaRefs/>
</ds:datastoreItem>
</file>

<file path=customXml/itemProps3.xml><?xml version="1.0" encoding="utf-8"?>
<ds:datastoreItem xmlns:ds="http://schemas.openxmlformats.org/officeDocument/2006/customXml" ds:itemID="{09EB5F48-400C-436E-91FE-452615E14F13}">
  <ds:schemaRefs/>
</ds:datastoreItem>
</file>

<file path=customXml/itemProps4.xml><?xml version="1.0" encoding="utf-8"?>
<ds:datastoreItem xmlns:ds="http://schemas.openxmlformats.org/officeDocument/2006/customXml" ds:itemID="{27167313-14B5-4294-8840-8A163A148F27}">
  <ds:schemaRefs/>
</ds:datastoreItem>
</file>

<file path=customXml/itemProps5.xml><?xml version="1.0" encoding="utf-8"?>
<ds:datastoreItem xmlns:ds="http://schemas.openxmlformats.org/officeDocument/2006/customXml" ds:itemID="{A86796C8-43C4-41B1-883C-16DEE44C1F6A}">
  <ds:schemaRefs/>
</ds:datastoreItem>
</file>

<file path=customXml/itemProps6.xml><?xml version="1.0" encoding="utf-8"?>
<ds:datastoreItem xmlns:ds="http://schemas.openxmlformats.org/officeDocument/2006/customXml" ds:itemID="{E1008246-0527-4628-9139-9FA891076E86}">
  <ds:schemaRefs/>
</ds:datastoreItem>
</file>

<file path=customXml/itemProps7.xml><?xml version="1.0" encoding="utf-8"?>
<ds:datastoreItem xmlns:ds="http://schemas.openxmlformats.org/officeDocument/2006/customXml" ds:itemID="{FE7EDF88-F063-4852-844E-1D3D4072C5B1}">
  <ds:schemaRefs/>
</ds:datastoreItem>
</file>

<file path=customXml/itemProps8.xml><?xml version="1.0" encoding="utf-8"?>
<ds:datastoreItem xmlns:ds="http://schemas.openxmlformats.org/officeDocument/2006/customXml" ds:itemID="{A4E6D147-29D0-4731-B4A0-943E076AC37B}">
  <ds:schemaRefs/>
</ds:datastoreItem>
</file>

<file path=customXml/itemProps9.xml><?xml version="1.0" encoding="utf-8"?>
<ds:datastoreItem xmlns:ds="http://schemas.openxmlformats.org/officeDocument/2006/customXml" ds:itemID="{B65B9296-8888-4035-996A-14D5D6AC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d131-1a34-4a01-81f7-2f99d8943532"/>
    <ds:schemaRef ds:uri="f00ddfe2-9e54-4a21-8ad4-6de7aa684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573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Result of AGM</vt:lpstr>
    </vt:vector>
  </TitlesOfParts>
  <Company>PAML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 of AGM</dc:title>
  <dc:creator>Anthony</dc:creator>
  <cp:lastModifiedBy>Martin Darragh</cp:lastModifiedBy>
  <cp:revision>5</cp:revision>
  <cp:lastPrinted>2019-05-21T12:59:00Z</cp:lastPrinted>
  <dcterms:created xsi:type="dcterms:W3CDTF">2022-05-17T11:19:00Z</dcterms:created>
  <dcterms:modified xsi:type="dcterms:W3CDTF">2022-05-18T14:55:00Z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0x0101003D40AD47D090184E8F520D4093690A39</vt:lpwstr>
  </property>
</Properties>
</file>