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843F6" w14:textId="6162FCB8" w:rsidR="00524CC8" w:rsidRDefault="00A72A55">
      <w:r>
        <w:t>Premier Global Infrastructure Trust</w:t>
      </w:r>
      <w:r w:rsidR="0044468D">
        <w:t xml:space="preserve"> </w:t>
      </w:r>
      <w:r w:rsidR="00586712">
        <w:t>PLC</w:t>
      </w:r>
    </w:p>
    <w:p w14:paraId="01941853" w14:textId="77777777" w:rsidR="00A72A55" w:rsidRDefault="00A72A55">
      <w:r>
        <w:t>Results of General Meeting</w:t>
      </w:r>
    </w:p>
    <w:p w14:paraId="2975E778" w14:textId="77777777" w:rsidR="00A72A55" w:rsidRDefault="004A4F6D">
      <w:r>
        <w:t>The board of Premier G</w:t>
      </w:r>
      <w:r w:rsidR="00A72A55">
        <w:t xml:space="preserve">lobal Infrastructure Trust PLC (the “Company”) announces the results of the General Meeting of the Company’s shareholders held earlier today. </w:t>
      </w:r>
    </w:p>
    <w:p w14:paraId="2B3DACBB" w14:textId="0460A00F" w:rsidR="00A72A55" w:rsidRDefault="00A72A55">
      <w:r>
        <w:t>The ordinary resolution as set out in the Notice of General meeting dated 16 September 2020</w:t>
      </w:r>
      <w:r w:rsidR="00FD794A">
        <w:t xml:space="preserve"> - </w:t>
      </w:r>
      <w:r>
        <w:t xml:space="preserve">to amend the </w:t>
      </w:r>
      <w:r w:rsidR="00E55EEF">
        <w:t xml:space="preserve">Company’s </w:t>
      </w:r>
      <w:r>
        <w:t>investment policy</w:t>
      </w:r>
      <w:r w:rsidR="009B3B37">
        <w:t xml:space="preserve"> so that the portfolio consists primarily of investments in companies operating in the renewable energy sector as well as other sustainable infrastructure investments</w:t>
      </w:r>
      <w:r w:rsidR="00FD794A">
        <w:t xml:space="preserve"> - </w:t>
      </w:r>
      <w:r>
        <w:t>was put to the meeting and duly passed on a poll. The results are detailed below: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134"/>
        <w:gridCol w:w="1276"/>
        <w:gridCol w:w="1417"/>
        <w:gridCol w:w="1276"/>
        <w:gridCol w:w="1559"/>
      </w:tblGrid>
      <w:tr w:rsidR="00FA3C05" w14:paraId="77174EF5" w14:textId="0DDBDCA1" w:rsidTr="00FA3C05">
        <w:tc>
          <w:tcPr>
            <w:tcW w:w="1413" w:type="dxa"/>
          </w:tcPr>
          <w:p w14:paraId="78184182" w14:textId="77777777" w:rsidR="00FA3C05" w:rsidRPr="00960236" w:rsidRDefault="00FA3C05" w:rsidP="00FA3C05">
            <w:pPr>
              <w:rPr>
                <w:sz w:val="20"/>
                <w:szCs w:val="20"/>
              </w:rPr>
            </w:pPr>
            <w:r w:rsidRPr="00960236">
              <w:rPr>
                <w:sz w:val="20"/>
                <w:szCs w:val="20"/>
              </w:rPr>
              <w:t>Resolution</w:t>
            </w:r>
          </w:p>
        </w:tc>
        <w:tc>
          <w:tcPr>
            <w:tcW w:w="1134" w:type="dxa"/>
          </w:tcPr>
          <w:p w14:paraId="7C58BD74" w14:textId="6D695E3B" w:rsidR="00FA3C05" w:rsidRPr="00960236" w:rsidRDefault="00FA3C05" w:rsidP="00FA3C05">
            <w:pPr>
              <w:rPr>
                <w:sz w:val="20"/>
                <w:szCs w:val="20"/>
              </w:rPr>
            </w:pPr>
            <w:r w:rsidRPr="00960236">
              <w:rPr>
                <w:sz w:val="20"/>
                <w:szCs w:val="20"/>
              </w:rPr>
              <w:t xml:space="preserve">FOR </w:t>
            </w:r>
          </w:p>
          <w:p w14:paraId="2615163B" w14:textId="05C9787A" w:rsidR="00FA3C05" w:rsidRPr="00960236" w:rsidRDefault="00FA3C05" w:rsidP="00FA3C05">
            <w:pPr>
              <w:rPr>
                <w:sz w:val="20"/>
                <w:szCs w:val="20"/>
              </w:rPr>
            </w:pPr>
            <w:r w:rsidRPr="00960236">
              <w:rPr>
                <w:sz w:val="20"/>
                <w:szCs w:val="20"/>
              </w:rPr>
              <w:t>(No. of votes cast)</w:t>
            </w:r>
          </w:p>
        </w:tc>
        <w:tc>
          <w:tcPr>
            <w:tcW w:w="1134" w:type="dxa"/>
          </w:tcPr>
          <w:p w14:paraId="559609EE" w14:textId="0FAB9FCF" w:rsidR="00FA3C05" w:rsidRPr="00960236" w:rsidRDefault="00FA3C05" w:rsidP="00FA3C05">
            <w:pPr>
              <w:rPr>
                <w:sz w:val="20"/>
                <w:szCs w:val="20"/>
              </w:rPr>
            </w:pPr>
            <w:r w:rsidRPr="00960236">
              <w:rPr>
                <w:sz w:val="20"/>
                <w:szCs w:val="20"/>
              </w:rPr>
              <w:t>FOR</w:t>
            </w:r>
          </w:p>
          <w:p w14:paraId="7807CEB1" w14:textId="1AC11C9E" w:rsidR="00FA3C05" w:rsidRPr="00960236" w:rsidRDefault="00FA3C05" w:rsidP="00FA3C05">
            <w:pPr>
              <w:rPr>
                <w:sz w:val="20"/>
                <w:szCs w:val="20"/>
              </w:rPr>
            </w:pPr>
            <w:r w:rsidRPr="00960236">
              <w:rPr>
                <w:sz w:val="20"/>
                <w:szCs w:val="20"/>
              </w:rPr>
              <w:t xml:space="preserve">(% </w:t>
            </w:r>
            <w:r>
              <w:rPr>
                <w:sz w:val="20"/>
                <w:szCs w:val="20"/>
              </w:rPr>
              <w:t xml:space="preserve">of </w:t>
            </w:r>
            <w:r w:rsidRPr="00960236">
              <w:rPr>
                <w:sz w:val="20"/>
                <w:szCs w:val="20"/>
              </w:rPr>
              <w:t>votes cast)</w:t>
            </w:r>
          </w:p>
        </w:tc>
        <w:tc>
          <w:tcPr>
            <w:tcW w:w="1276" w:type="dxa"/>
          </w:tcPr>
          <w:p w14:paraId="4CD5D76B" w14:textId="1984038A" w:rsidR="00FA3C05" w:rsidRPr="00960236" w:rsidRDefault="00FA3C05" w:rsidP="00FA3C05">
            <w:pPr>
              <w:rPr>
                <w:sz w:val="20"/>
                <w:szCs w:val="20"/>
              </w:rPr>
            </w:pPr>
            <w:r w:rsidRPr="00960236">
              <w:rPr>
                <w:sz w:val="20"/>
                <w:szCs w:val="20"/>
              </w:rPr>
              <w:t>AGAINST</w:t>
            </w:r>
          </w:p>
          <w:p w14:paraId="5F13AC4E" w14:textId="42B60521" w:rsidR="00FA3C05" w:rsidRPr="00960236" w:rsidRDefault="00FA3C05" w:rsidP="00FA3C05">
            <w:pPr>
              <w:rPr>
                <w:sz w:val="20"/>
                <w:szCs w:val="20"/>
              </w:rPr>
            </w:pPr>
            <w:r w:rsidRPr="00960236">
              <w:rPr>
                <w:sz w:val="20"/>
                <w:szCs w:val="20"/>
              </w:rPr>
              <w:t>(No. of votes cast)</w:t>
            </w:r>
          </w:p>
        </w:tc>
        <w:tc>
          <w:tcPr>
            <w:tcW w:w="1417" w:type="dxa"/>
          </w:tcPr>
          <w:p w14:paraId="5E915755" w14:textId="220D2ACB" w:rsidR="00FA3C05" w:rsidRPr="00960236" w:rsidRDefault="00FA3C05" w:rsidP="00FA3C05">
            <w:pPr>
              <w:rPr>
                <w:sz w:val="20"/>
                <w:szCs w:val="20"/>
              </w:rPr>
            </w:pPr>
            <w:r w:rsidRPr="00960236">
              <w:rPr>
                <w:sz w:val="20"/>
                <w:szCs w:val="20"/>
              </w:rPr>
              <w:t>AGAINST</w:t>
            </w:r>
          </w:p>
          <w:p w14:paraId="08D03B9D" w14:textId="0FF5D9FC" w:rsidR="00FA3C05" w:rsidRPr="00960236" w:rsidRDefault="00FA3C05" w:rsidP="00FA3C05">
            <w:pPr>
              <w:rPr>
                <w:sz w:val="20"/>
                <w:szCs w:val="20"/>
              </w:rPr>
            </w:pPr>
            <w:r w:rsidRPr="00960236">
              <w:rPr>
                <w:sz w:val="20"/>
                <w:szCs w:val="20"/>
              </w:rPr>
              <w:t xml:space="preserve">(% </w:t>
            </w:r>
            <w:r>
              <w:rPr>
                <w:sz w:val="20"/>
                <w:szCs w:val="20"/>
              </w:rPr>
              <w:t xml:space="preserve">of </w:t>
            </w:r>
            <w:r w:rsidRPr="00960236">
              <w:rPr>
                <w:sz w:val="20"/>
                <w:szCs w:val="20"/>
              </w:rPr>
              <w:t>votes cast)</w:t>
            </w:r>
          </w:p>
        </w:tc>
        <w:tc>
          <w:tcPr>
            <w:tcW w:w="1276" w:type="dxa"/>
          </w:tcPr>
          <w:p w14:paraId="58AB43BF" w14:textId="2CF5F224" w:rsidR="00FA3C05" w:rsidRPr="00960236" w:rsidRDefault="00FA3C05" w:rsidP="00FA3C05">
            <w:pPr>
              <w:rPr>
                <w:sz w:val="20"/>
                <w:szCs w:val="20"/>
              </w:rPr>
            </w:pPr>
            <w:r w:rsidRPr="00960236">
              <w:rPr>
                <w:sz w:val="20"/>
                <w:szCs w:val="20"/>
              </w:rPr>
              <w:t>WITHHELD</w:t>
            </w:r>
          </w:p>
          <w:p w14:paraId="5AA5E125" w14:textId="3D52E7E7" w:rsidR="00FA3C05" w:rsidRPr="00960236" w:rsidRDefault="00FA3C05" w:rsidP="00FA3C05">
            <w:pPr>
              <w:rPr>
                <w:sz w:val="20"/>
                <w:szCs w:val="20"/>
              </w:rPr>
            </w:pPr>
            <w:r w:rsidRPr="00960236">
              <w:rPr>
                <w:sz w:val="20"/>
                <w:szCs w:val="20"/>
              </w:rPr>
              <w:t>(No. of votes cast)</w:t>
            </w:r>
          </w:p>
        </w:tc>
        <w:tc>
          <w:tcPr>
            <w:tcW w:w="1559" w:type="dxa"/>
          </w:tcPr>
          <w:p w14:paraId="46ABB746" w14:textId="056F3DB7" w:rsidR="00FA3C05" w:rsidRPr="00960236" w:rsidRDefault="00FA3C05" w:rsidP="00FA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issued share capital instructed </w:t>
            </w:r>
            <w:r w:rsidRPr="00960236">
              <w:rPr>
                <w:sz w:val="20"/>
                <w:szCs w:val="20"/>
              </w:rPr>
              <w:t>(%</w:t>
            </w:r>
            <w:r>
              <w:rPr>
                <w:sz w:val="20"/>
                <w:szCs w:val="20"/>
              </w:rPr>
              <w:t>)</w:t>
            </w:r>
          </w:p>
        </w:tc>
      </w:tr>
      <w:tr w:rsidR="00FA3C05" w14:paraId="384FF4B5" w14:textId="44A2C767" w:rsidTr="00FA3C05">
        <w:tc>
          <w:tcPr>
            <w:tcW w:w="1413" w:type="dxa"/>
          </w:tcPr>
          <w:p w14:paraId="543CFAA0" w14:textId="115E2462" w:rsidR="00FA3C05" w:rsidRPr="00960236" w:rsidRDefault="00FA3C05" w:rsidP="00FA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To amend the investment policy</w:t>
            </w:r>
          </w:p>
        </w:tc>
        <w:tc>
          <w:tcPr>
            <w:tcW w:w="1134" w:type="dxa"/>
          </w:tcPr>
          <w:p w14:paraId="0933A2D3" w14:textId="3A5BAECF" w:rsidR="00FA3C05" w:rsidRPr="00960236" w:rsidRDefault="00596DBA" w:rsidP="00FA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2,666,469</w:t>
            </w:r>
          </w:p>
        </w:tc>
        <w:tc>
          <w:tcPr>
            <w:tcW w:w="1134" w:type="dxa"/>
          </w:tcPr>
          <w:p w14:paraId="4267B300" w14:textId="2EF403F8" w:rsidR="00FA3C05" w:rsidRPr="00960236" w:rsidRDefault="00596DBA" w:rsidP="00FA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57.84%</w:t>
            </w:r>
          </w:p>
        </w:tc>
        <w:tc>
          <w:tcPr>
            <w:tcW w:w="1276" w:type="dxa"/>
          </w:tcPr>
          <w:p w14:paraId="1CA1E793" w14:textId="7D7FEE0A" w:rsidR="00FA3C05" w:rsidRPr="00960236" w:rsidRDefault="00596DBA" w:rsidP="00FA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1,943,380</w:t>
            </w:r>
          </w:p>
        </w:tc>
        <w:tc>
          <w:tcPr>
            <w:tcW w:w="1417" w:type="dxa"/>
          </w:tcPr>
          <w:p w14:paraId="1F4AEFE7" w14:textId="665FBFDD" w:rsidR="00FA3C05" w:rsidRPr="00960236" w:rsidRDefault="00596DBA" w:rsidP="00FA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42.16%</w:t>
            </w:r>
          </w:p>
        </w:tc>
        <w:tc>
          <w:tcPr>
            <w:tcW w:w="1276" w:type="dxa"/>
          </w:tcPr>
          <w:p w14:paraId="327E937F" w14:textId="18F73867" w:rsidR="00FA3C05" w:rsidRPr="00960236" w:rsidRDefault="00596DBA" w:rsidP="00FA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13,751</w:t>
            </w:r>
          </w:p>
        </w:tc>
        <w:tc>
          <w:tcPr>
            <w:tcW w:w="1559" w:type="dxa"/>
          </w:tcPr>
          <w:p w14:paraId="33C8A57E" w14:textId="0E4C6FA2" w:rsidR="00FA3C05" w:rsidRPr="00960236" w:rsidRDefault="00AD15E8" w:rsidP="00FA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25.56%</w:t>
            </w:r>
          </w:p>
        </w:tc>
      </w:tr>
    </w:tbl>
    <w:p w14:paraId="1E870101" w14:textId="77777777" w:rsidR="00A72A55" w:rsidRDefault="00A72A55"/>
    <w:p w14:paraId="3C3E5137" w14:textId="647C5AEE" w:rsidR="00837BFC" w:rsidRDefault="00E71542">
      <w:r>
        <w:t xml:space="preserve">As </w:t>
      </w:r>
      <w:r w:rsidR="00837BFC">
        <w:t>more</w:t>
      </w:r>
      <w:r w:rsidR="00A72A55">
        <w:t xml:space="preserve"> than 20% of votes cast were against the resolution, due </w:t>
      </w:r>
      <w:r w:rsidR="00837BFC">
        <w:t xml:space="preserve">in particular </w:t>
      </w:r>
      <w:r w:rsidR="00A72A55">
        <w:t xml:space="preserve">to the impact of a large shareholder </w:t>
      </w:r>
      <w:r w:rsidR="00837BFC">
        <w:t>whose vote against the resolution</w:t>
      </w:r>
      <w:r w:rsidR="00A72A55">
        <w:t xml:space="preserve"> had a </w:t>
      </w:r>
      <w:r w:rsidR="00D85476">
        <w:t xml:space="preserve">significant </w:t>
      </w:r>
      <w:r w:rsidR="00F40367">
        <w:t xml:space="preserve">effect </w:t>
      </w:r>
      <w:r w:rsidR="00A72A55">
        <w:t xml:space="preserve">given the low </w:t>
      </w:r>
      <w:r w:rsidR="00E55EEF">
        <w:t xml:space="preserve">voting </w:t>
      </w:r>
      <w:r w:rsidR="00A72A55">
        <w:t>turnout, the bo</w:t>
      </w:r>
      <w:r w:rsidR="00837BFC">
        <w:t xml:space="preserve">ard intends to consult with those </w:t>
      </w:r>
      <w:r w:rsidR="00E55EEF">
        <w:t xml:space="preserve">who have </w:t>
      </w:r>
      <w:r w:rsidR="00837BFC">
        <w:t>vot</w:t>
      </w:r>
      <w:r w:rsidR="00E55EEF">
        <w:t>ed</w:t>
      </w:r>
      <w:r w:rsidR="00837BFC">
        <w:t xml:space="preserve"> against to understand the reasons for them doing so. </w:t>
      </w:r>
      <w:r w:rsidR="0045565B">
        <w:t>An update on the views received from shareholders and actions taken will be published within six months as required by the AIC Code of Corporate Governance</w:t>
      </w:r>
      <w:r w:rsidR="00837BFC">
        <w:t xml:space="preserve">. </w:t>
      </w:r>
    </w:p>
    <w:p w14:paraId="3DBE7A41" w14:textId="2307D181" w:rsidR="00A72A55" w:rsidRDefault="00837BFC">
      <w:r>
        <w:t xml:space="preserve">The special resolution set out in the same Notice to rename the </w:t>
      </w:r>
      <w:r w:rsidR="00E55EEF">
        <w:t xml:space="preserve">Company </w:t>
      </w:r>
      <w:r>
        <w:t>in line with the change of investment policy</w:t>
      </w:r>
      <w:r w:rsidR="00E71542">
        <w:t xml:space="preserve"> (now approved by shareholders</w:t>
      </w:r>
      <w:r w:rsidR="0044468D">
        <w:t xml:space="preserve"> as indicated above</w:t>
      </w:r>
      <w:r w:rsidR="00E71542">
        <w:t>)</w:t>
      </w:r>
      <w:r>
        <w:t xml:space="preserve">, which requires 75% of those voting to cast their votes in favour, was </w:t>
      </w:r>
      <w:r w:rsidR="00FA1A5A">
        <w:t xml:space="preserve">voted on by way of a poll and was </w:t>
      </w:r>
      <w:r>
        <w:t>not passed. The results are detailed below:</w:t>
      </w:r>
      <w:r w:rsidR="00A72A55">
        <w:tab/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134"/>
        <w:gridCol w:w="1276"/>
        <w:gridCol w:w="1417"/>
        <w:gridCol w:w="1276"/>
        <w:gridCol w:w="1559"/>
      </w:tblGrid>
      <w:tr w:rsidR="00FA3C05" w14:paraId="4ECE9442" w14:textId="77777777" w:rsidTr="00FA3C05">
        <w:tc>
          <w:tcPr>
            <w:tcW w:w="1413" w:type="dxa"/>
          </w:tcPr>
          <w:p w14:paraId="488CB088" w14:textId="77777777" w:rsidR="00FA3C05" w:rsidRPr="00960236" w:rsidRDefault="00FA3C05" w:rsidP="00FA3C05">
            <w:pPr>
              <w:rPr>
                <w:sz w:val="20"/>
                <w:szCs w:val="20"/>
              </w:rPr>
            </w:pPr>
            <w:r w:rsidRPr="00960236">
              <w:rPr>
                <w:sz w:val="20"/>
                <w:szCs w:val="20"/>
              </w:rPr>
              <w:t>Resolution</w:t>
            </w:r>
          </w:p>
        </w:tc>
        <w:tc>
          <w:tcPr>
            <w:tcW w:w="1134" w:type="dxa"/>
          </w:tcPr>
          <w:p w14:paraId="585D32BD" w14:textId="77777777" w:rsidR="00FA3C05" w:rsidRPr="00960236" w:rsidRDefault="00FA3C05" w:rsidP="00FA3C05">
            <w:pPr>
              <w:rPr>
                <w:sz w:val="20"/>
                <w:szCs w:val="20"/>
              </w:rPr>
            </w:pPr>
            <w:r w:rsidRPr="00960236">
              <w:rPr>
                <w:sz w:val="20"/>
                <w:szCs w:val="20"/>
              </w:rPr>
              <w:t xml:space="preserve">FOR </w:t>
            </w:r>
          </w:p>
          <w:p w14:paraId="0A7054A1" w14:textId="77777777" w:rsidR="00FA3C05" w:rsidRPr="00960236" w:rsidRDefault="00FA3C05" w:rsidP="00FA3C05">
            <w:pPr>
              <w:rPr>
                <w:sz w:val="20"/>
                <w:szCs w:val="20"/>
              </w:rPr>
            </w:pPr>
            <w:r w:rsidRPr="00960236">
              <w:rPr>
                <w:sz w:val="20"/>
                <w:szCs w:val="20"/>
              </w:rPr>
              <w:t>(No. of votes cast)</w:t>
            </w:r>
          </w:p>
        </w:tc>
        <w:tc>
          <w:tcPr>
            <w:tcW w:w="1134" w:type="dxa"/>
          </w:tcPr>
          <w:p w14:paraId="126B6168" w14:textId="77777777" w:rsidR="00FA3C05" w:rsidRPr="00960236" w:rsidRDefault="00FA3C05" w:rsidP="00FA3C05">
            <w:pPr>
              <w:rPr>
                <w:sz w:val="20"/>
                <w:szCs w:val="20"/>
              </w:rPr>
            </w:pPr>
            <w:r w:rsidRPr="00960236">
              <w:rPr>
                <w:sz w:val="20"/>
                <w:szCs w:val="20"/>
              </w:rPr>
              <w:t>FOR</w:t>
            </w:r>
          </w:p>
          <w:p w14:paraId="3C84A01C" w14:textId="77777777" w:rsidR="00FA3C05" w:rsidRPr="00960236" w:rsidRDefault="00FA3C05" w:rsidP="00FA3C05">
            <w:pPr>
              <w:rPr>
                <w:sz w:val="20"/>
                <w:szCs w:val="20"/>
              </w:rPr>
            </w:pPr>
            <w:r w:rsidRPr="00960236">
              <w:rPr>
                <w:sz w:val="20"/>
                <w:szCs w:val="20"/>
              </w:rPr>
              <w:t xml:space="preserve">(% </w:t>
            </w:r>
            <w:r>
              <w:rPr>
                <w:sz w:val="20"/>
                <w:szCs w:val="20"/>
              </w:rPr>
              <w:t xml:space="preserve">of </w:t>
            </w:r>
            <w:r w:rsidRPr="00960236">
              <w:rPr>
                <w:sz w:val="20"/>
                <w:szCs w:val="20"/>
              </w:rPr>
              <w:t>votes cast)</w:t>
            </w:r>
          </w:p>
        </w:tc>
        <w:tc>
          <w:tcPr>
            <w:tcW w:w="1276" w:type="dxa"/>
          </w:tcPr>
          <w:p w14:paraId="46FF1708" w14:textId="77777777" w:rsidR="00FA3C05" w:rsidRPr="00960236" w:rsidRDefault="00FA3C05" w:rsidP="00FA3C05">
            <w:pPr>
              <w:rPr>
                <w:sz w:val="20"/>
                <w:szCs w:val="20"/>
              </w:rPr>
            </w:pPr>
            <w:r w:rsidRPr="00960236">
              <w:rPr>
                <w:sz w:val="20"/>
                <w:szCs w:val="20"/>
              </w:rPr>
              <w:t>AGAINST</w:t>
            </w:r>
          </w:p>
          <w:p w14:paraId="432364F9" w14:textId="77777777" w:rsidR="00FA3C05" w:rsidRPr="00960236" w:rsidRDefault="00FA3C05" w:rsidP="00FA3C05">
            <w:pPr>
              <w:rPr>
                <w:sz w:val="20"/>
                <w:szCs w:val="20"/>
              </w:rPr>
            </w:pPr>
            <w:r w:rsidRPr="00960236">
              <w:rPr>
                <w:sz w:val="20"/>
                <w:szCs w:val="20"/>
              </w:rPr>
              <w:t>(No. of votes cast)</w:t>
            </w:r>
          </w:p>
        </w:tc>
        <w:tc>
          <w:tcPr>
            <w:tcW w:w="1417" w:type="dxa"/>
          </w:tcPr>
          <w:p w14:paraId="3FE580D8" w14:textId="77777777" w:rsidR="00FA3C05" w:rsidRPr="00960236" w:rsidRDefault="00FA3C05" w:rsidP="00FA3C05">
            <w:pPr>
              <w:rPr>
                <w:sz w:val="20"/>
                <w:szCs w:val="20"/>
              </w:rPr>
            </w:pPr>
            <w:r w:rsidRPr="00960236">
              <w:rPr>
                <w:sz w:val="20"/>
                <w:szCs w:val="20"/>
              </w:rPr>
              <w:t>AGAINST</w:t>
            </w:r>
          </w:p>
          <w:p w14:paraId="628CB6E2" w14:textId="77777777" w:rsidR="00FA3C05" w:rsidRPr="00960236" w:rsidRDefault="00FA3C05" w:rsidP="00FA3C05">
            <w:pPr>
              <w:rPr>
                <w:sz w:val="20"/>
                <w:szCs w:val="20"/>
              </w:rPr>
            </w:pPr>
            <w:r w:rsidRPr="00960236">
              <w:rPr>
                <w:sz w:val="20"/>
                <w:szCs w:val="20"/>
              </w:rPr>
              <w:t xml:space="preserve">(% </w:t>
            </w:r>
            <w:r>
              <w:rPr>
                <w:sz w:val="20"/>
                <w:szCs w:val="20"/>
              </w:rPr>
              <w:t xml:space="preserve">of </w:t>
            </w:r>
            <w:r w:rsidRPr="00960236">
              <w:rPr>
                <w:sz w:val="20"/>
                <w:szCs w:val="20"/>
              </w:rPr>
              <w:t>votes cast)</w:t>
            </w:r>
          </w:p>
        </w:tc>
        <w:tc>
          <w:tcPr>
            <w:tcW w:w="1276" w:type="dxa"/>
          </w:tcPr>
          <w:p w14:paraId="4B50E2D4" w14:textId="77777777" w:rsidR="00FA3C05" w:rsidRPr="00960236" w:rsidRDefault="00FA3C05" w:rsidP="00FA3C05">
            <w:pPr>
              <w:rPr>
                <w:sz w:val="20"/>
                <w:szCs w:val="20"/>
              </w:rPr>
            </w:pPr>
            <w:r w:rsidRPr="00960236">
              <w:rPr>
                <w:sz w:val="20"/>
                <w:szCs w:val="20"/>
              </w:rPr>
              <w:t>WITHHELD</w:t>
            </w:r>
          </w:p>
          <w:p w14:paraId="791AB9FA" w14:textId="77777777" w:rsidR="00FA3C05" w:rsidRPr="00960236" w:rsidRDefault="00FA3C05" w:rsidP="00FA3C05">
            <w:pPr>
              <w:rPr>
                <w:sz w:val="20"/>
                <w:szCs w:val="20"/>
              </w:rPr>
            </w:pPr>
            <w:r w:rsidRPr="00960236">
              <w:rPr>
                <w:sz w:val="20"/>
                <w:szCs w:val="20"/>
              </w:rPr>
              <w:t>(No. of votes cast)</w:t>
            </w:r>
          </w:p>
        </w:tc>
        <w:tc>
          <w:tcPr>
            <w:tcW w:w="1559" w:type="dxa"/>
          </w:tcPr>
          <w:p w14:paraId="115D994B" w14:textId="77777777" w:rsidR="00FA3C05" w:rsidRPr="00960236" w:rsidRDefault="00FA3C05" w:rsidP="00FA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issued share capital instructed </w:t>
            </w:r>
            <w:r w:rsidRPr="00960236">
              <w:rPr>
                <w:sz w:val="20"/>
                <w:szCs w:val="20"/>
              </w:rPr>
              <w:t>(%</w:t>
            </w:r>
            <w:r>
              <w:rPr>
                <w:sz w:val="20"/>
                <w:szCs w:val="20"/>
              </w:rPr>
              <w:t>)</w:t>
            </w:r>
          </w:p>
        </w:tc>
      </w:tr>
      <w:tr w:rsidR="00FA3C05" w14:paraId="1BA001B9" w14:textId="77777777" w:rsidTr="00FA3C05">
        <w:tc>
          <w:tcPr>
            <w:tcW w:w="1413" w:type="dxa"/>
          </w:tcPr>
          <w:p w14:paraId="661A82CA" w14:textId="03111C55" w:rsidR="00FA3C05" w:rsidRPr="00960236" w:rsidRDefault="00FA3C05" w:rsidP="00FA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To change the name of the Company</w:t>
            </w:r>
          </w:p>
        </w:tc>
        <w:tc>
          <w:tcPr>
            <w:tcW w:w="1134" w:type="dxa"/>
          </w:tcPr>
          <w:p w14:paraId="22185EEB" w14:textId="2CED3733" w:rsidR="00FA3C05" w:rsidRPr="00960236" w:rsidRDefault="00AD15E8" w:rsidP="00FA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2,665,165</w:t>
            </w:r>
          </w:p>
        </w:tc>
        <w:tc>
          <w:tcPr>
            <w:tcW w:w="1134" w:type="dxa"/>
          </w:tcPr>
          <w:p w14:paraId="1BFE278D" w14:textId="6D9C144A" w:rsidR="00FA3C05" w:rsidRPr="00960236" w:rsidRDefault="00AD15E8" w:rsidP="00FA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57.71%</w:t>
            </w:r>
          </w:p>
        </w:tc>
        <w:tc>
          <w:tcPr>
            <w:tcW w:w="1276" w:type="dxa"/>
          </w:tcPr>
          <w:p w14:paraId="00401F53" w14:textId="5879A6F8" w:rsidR="00FA3C05" w:rsidRPr="00960236" w:rsidRDefault="00AD15E8" w:rsidP="00FA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1,952,782</w:t>
            </w:r>
          </w:p>
        </w:tc>
        <w:tc>
          <w:tcPr>
            <w:tcW w:w="1417" w:type="dxa"/>
          </w:tcPr>
          <w:p w14:paraId="36FE5120" w14:textId="01198544" w:rsidR="00FA3C05" w:rsidRPr="00960236" w:rsidRDefault="00AD15E8" w:rsidP="00FA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42.29%</w:t>
            </w:r>
          </w:p>
        </w:tc>
        <w:tc>
          <w:tcPr>
            <w:tcW w:w="1276" w:type="dxa"/>
          </w:tcPr>
          <w:p w14:paraId="557B0547" w14:textId="0F68053D" w:rsidR="00FA3C05" w:rsidRPr="00960236" w:rsidRDefault="00AD15E8" w:rsidP="00FA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</w:t>
            </w:r>
            <w:r w:rsidR="0099617E">
              <w:rPr>
                <w:sz w:val="20"/>
                <w:szCs w:val="20"/>
              </w:rPr>
              <w:t>653</w:t>
            </w:r>
          </w:p>
        </w:tc>
        <w:tc>
          <w:tcPr>
            <w:tcW w:w="1559" w:type="dxa"/>
          </w:tcPr>
          <w:p w14:paraId="6B86560C" w14:textId="4DE64D35" w:rsidR="00FA3C05" w:rsidRPr="00960236" w:rsidRDefault="00AD15E8" w:rsidP="00FA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25.56%</w:t>
            </w:r>
          </w:p>
        </w:tc>
      </w:tr>
    </w:tbl>
    <w:p w14:paraId="027AFF95" w14:textId="77777777" w:rsidR="00837BFC" w:rsidRDefault="00837BFC"/>
    <w:p w14:paraId="43AB96D3" w14:textId="48ACECC8" w:rsidR="00837BFC" w:rsidRDefault="00FA1A5A">
      <w:r>
        <w:t>The purpose of Resolution 2 was to bring the name of the Company into alignment with the revised investment policy</w:t>
      </w:r>
      <w:r w:rsidR="008726F3">
        <w:t xml:space="preserve"> (subject to the policy being approved by shareholders)</w:t>
      </w:r>
      <w:r w:rsidR="00044CAC">
        <w:t>, as t</w:t>
      </w:r>
      <w:r w:rsidR="00837BFC">
        <w:t>he board believes that the name of the</w:t>
      </w:r>
      <w:r w:rsidR="00D650EA">
        <w:t xml:space="preserve"> Company</w:t>
      </w:r>
      <w:r w:rsidR="00837BFC">
        <w:t xml:space="preserve"> should appropriately reflect the Company’s </w:t>
      </w:r>
      <w:r w:rsidR="00D650EA">
        <w:t xml:space="preserve">new </w:t>
      </w:r>
      <w:r w:rsidR="00837BFC">
        <w:t>investment mandate.  The directors will consult with the dissenting shareholders on this point,</w:t>
      </w:r>
      <w:r w:rsidR="004A4F6D">
        <w:t xml:space="preserve"> and will </w:t>
      </w:r>
      <w:r w:rsidR="00044CAC">
        <w:t>reconsider the matter</w:t>
      </w:r>
      <w:r w:rsidR="004A4F6D">
        <w:t xml:space="preserve"> in due course.</w:t>
      </w:r>
    </w:p>
    <w:p w14:paraId="2F3D1EC3" w14:textId="77777777" w:rsidR="009F08C1" w:rsidRPr="001A7C70" w:rsidRDefault="009F08C1" w:rsidP="009F0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bo"/>
          <w:rFonts w:ascii="Arial" w:hAnsi="Arial" w:cs="Arial"/>
          <w:sz w:val="20"/>
          <w:szCs w:val="20"/>
        </w:rPr>
      </w:pPr>
    </w:p>
    <w:p w14:paraId="56D1F575" w14:textId="77777777" w:rsidR="009F08C1" w:rsidRPr="001A7C70" w:rsidRDefault="009F08C1" w:rsidP="009F08C1">
      <w:pPr>
        <w:pStyle w:val="BodyText"/>
        <w:spacing w:before="3"/>
        <w:ind w:left="0" w:right="18"/>
        <w:jc w:val="both"/>
        <w:rPr>
          <w:rFonts w:cs="Arial"/>
        </w:rPr>
      </w:pPr>
    </w:p>
    <w:tbl>
      <w:tblPr>
        <w:tblStyle w:val="TableGrid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116"/>
        <w:gridCol w:w="851"/>
      </w:tblGrid>
      <w:tr w:rsidR="009F08C1" w:rsidRPr="001A7C70" w14:paraId="1C8A29F7" w14:textId="77777777" w:rsidTr="00AC739F">
        <w:tc>
          <w:tcPr>
            <w:tcW w:w="993" w:type="dxa"/>
          </w:tcPr>
          <w:p w14:paraId="4FC26271" w14:textId="77777777" w:rsidR="009F08C1" w:rsidRPr="001A7C70" w:rsidRDefault="009F08C1" w:rsidP="00596D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bo"/>
                <w:rFonts w:ascii="Arial" w:hAnsi="Arial" w:cs="Arial"/>
                <w:sz w:val="20"/>
                <w:szCs w:val="20"/>
              </w:rPr>
            </w:pPr>
            <w:r w:rsidRPr="001A7C70">
              <w:rPr>
                <w:rStyle w:val="bo"/>
                <w:rFonts w:ascii="Arial" w:hAnsi="Arial" w:cs="Arial"/>
                <w:sz w:val="20"/>
                <w:szCs w:val="20"/>
              </w:rPr>
              <w:t>NOTES:</w:t>
            </w:r>
          </w:p>
          <w:p w14:paraId="6F477A31" w14:textId="77777777" w:rsidR="009F08C1" w:rsidRPr="001A7C70" w:rsidRDefault="009F08C1" w:rsidP="00596D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b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67" w:type="dxa"/>
            <w:gridSpan w:val="2"/>
          </w:tcPr>
          <w:p w14:paraId="24278E48" w14:textId="77777777" w:rsidR="009F08C1" w:rsidRPr="001A7C70" w:rsidRDefault="009F08C1" w:rsidP="00596D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bo"/>
                <w:rFonts w:ascii="Arial" w:hAnsi="Arial" w:cs="Arial"/>
                <w:sz w:val="20"/>
                <w:szCs w:val="20"/>
              </w:rPr>
            </w:pPr>
          </w:p>
        </w:tc>
      </w:tr>
      <w:tr w:rsidR="009F08C1" w:rsidRPr="001A7C70" w14:paraId="61918A43" w14:textId="77777777" w:rsidTr="00AC739F">
        <w:tc>
          <w:tcPr>
            <w:tcW w:w="993" w:type="dxa"/>
          </w:tcPr>
          <w:p w14:paraId="7B7898FB" w14:textId="77777777" w:rsidR="009F08C1" w:rsidRPr="001A7C70" w:rsidRDefault="009F08C1" w:rsidP="00596D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b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67" w:type="dxa"/>
            <w:gridSpan w:val="2"/>
          </w:tcPr>
          <w:p w14:paraId="5C91D47C" w14:textId="77777777" w:rsidR="009F08C1" w:rsidRPr="001A7C70" w:rsidRDefault="009F08C1" w:rsidP="00596D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bo"/>
                <w:rFonts w:ascii="Arial" w:hAnsi="Arial" w:cs="Arial"/>
                <w:sz w:val="20"/>
                <w:szCs w:val="20"/>
              </w:rPr>
            </w:pPr>
          </w:p>
        </w:tc>
      </w:tr>
      <w:tr w:rsidR="009F08C1" w:rsidRPr="001A7C70" w14:paraId="7732EA25" w14:textId="77777777" w:rsidTr="00AC739F">
        <w:trPr>
          <w:gridAfter w:val="1"/>
          <w:wAfter w:w="851" w:type="dxa"/>
        </w:trPr>
        <w:tc>
          <w:tcPr>
            <w:tcW w:w="993" w:type="dxa"/>
          </w:tcPr>
          <w:p w14:paraId="277217CA" w14:textId="77777777" w:rsidR="009F08C1" w:rsidRPr="001A7C70" w:rsidRDefault="009F08C1" w:rsidP="00596D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bo"/>
                <w:rFonts w:ascii="Arial" w:hAnsi="Arial" w:cs="Arial"/>
                <w:sz w:val="20"/>
                <w:szCs w:val="20"/>
              </w:rPr>
            </w:pPr>
            <w:r w:rsidRPr="001A7C70">
              <w:rPr>
                <w:rStyle w:val="bo"/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116" w:type="dxa"/>
          </w:tcPr>
          <w:p w14:paraId="5F0765FD" w14:textId="53C26077" w:rsidR="009F08C1" w:rsidRDefault="009F08C1" w:rsidP="00E61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bo"/>
                <w:rFonts w:ascii="Arial" w:hAnsi="Arial" w:cs="Arial"/>
                <w:sz w:val="20"/>
                <w:szCs w:val="20"/>
              </w:rPr>
            </w:pPr>
            <w:r w:rsidRPr="001A7C70">
              <w:rPr>
                <w:rStyle w:val="bo"/>
                <w:rFonts w:ascii="Arial" w:hAnsi="Arial" w:cs="Arial"/>
                <w:sz w:val="20"/>
                <w:szCs w:val="20"/>
              </w:rPr>
              <w:t>Votes "For" and "</w:t>
            </w:r>
            <w:r w:rsidRPr="00AC739F">
              <w:rPr>
                <w:rStyle w:val="bo"/>
                <w:rFonts w:ascii="Arial" w:hAnsi="Arial" w:cs="Arial"/>
                <w:sz w:val="20"/>
                <w:szCs w:val="20"/>
              </w:rPr>
              <w:t xml:space="preserve">Against" any resolution are expressed as a percentage (rounded to two decimal places) of votes validly cast </w:t>
            </w:r>
            <w:r w:rsidR="00535630" w:rsidRPr="00AC739F">
              <w:rPr>
                <w:rStyle w:val="bo"/>
                <w:rFonts w:ascii="Arial" w:hAnsi="Arial" w:cs="Arial"/>
                <w:sz w:val="20"/>
                <w:szCs w:val="20"/>
              </w:rPr>
              <w:t>in respect of</w:t>
            </w:r>
            <w:r w:rsidRPr="00AC739F">
              <w:rPr>
                <w:rStyle w:val="bo"/>
                <w:rFonts w:ascii="Arial" w:hAnsi="Arial" w:cs="Arial"/>
                <w:sz w:val="20"/>
                <w:szCs w:val="20"/>
              </w:rPr>
              <w:t xml:space="preserve"> that resolution</w:t>
            </w:r>
            <w:r w:rsidRPr="001A7C70">
              <w:rPr>
                <w:rStyle w:val="bo"/>
                <w:rFonts w:ascii="Arial" w:hAnsi="Arial" w:cs="Arial"/>
                <w:sz w:val="20"/>
                <w:szCs w:val="20"/>
              </w:rPr>
              <w:t>.</w:t>
            </w:r>
          </w:p>
          <w:p w14:paraId="39E0914C" w14:textId="77777777" w:rsidR="009F08C1" w:rsidRPr="001A7C70" w:rsidRDefault="009F08C1" w:rsidP="00AC7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bo"/>
                <w:rFonts w:ascii="Arial" w:hAnsi="Arial" w:cs="Arial"/>
                <w:sz w:val="20"/>
                <w:szCs w:val="20"/>
              </w:rPr>
            </w:pPr>
          </w:p>
        </w:tc>
      </w:tr>
      <w:tr w:rsidR="009F08C1" w:rsidRPr="001A7C70" w14:paraId="7F2651D5" w14:textId="77777777" w:rsidTr="00AC739F">
        <w:trPr>
          <w:gridAfter w:val="1"/>
          <w:wAfter w:w="851" w:type="dxa"/>
        </w:trPr>
        <w:tc>
          <w:tcPr>
            <w:tcW w:w="993" w:type="dxa"/>
          </w:tcPr>
          <w:p w14:paraId="774D8FF7" w14:textId="77777777" w:rsidR="009F08C1" w:rsidRPr="001A7C70" w:rsidRDefault="009F08C1" w:rsidP="00596D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bo"/>
                <w:rFonts w:ascii="Arial" w:hAnsi="Arial" w:cs="Arial"/>
                <w:sz w:val="20"/>
                <w:szCs w:val="20"/>
              </w:rPr>
            </w:pPr>
            <w:r w:rsidRPr="001A7C70">
              <w:rPr>
                <w:rStyle w:val="bo"/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8116" w:type="dxa"/>
          </w:tcPr>
          <w:p w14:paraId="7598E0C0" w14:textId="77777777" w:rsidR="009F08C1" w:rsidRPr="001A7C70" w:rsidRDefault="009F08C1" w:rsidP="00AC7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bo"/>
                <w:rFonts w:ascii="Arial" w:hAnsi="Arial" w:cs="Arial"/>
                <w:sz w:val="20"/>
                <w:szCs w:val="20"/>
              </w:rPr>
            </w:pPr>
            <w:r w:rsidRPr="001A7C70">
              <w:rPr>
                <w:rStyle w:val="bo"/>
                <w:rFonts w:ascii="Arial" w:hAnsi="Arial" w:cs="Arial"/>
                <w:sz w:val="20"/>
                <w:szCs w:val="20"/>
              </w:rPr>
              <w:t>A "Vote withheld" is not a vote in law and is not counted in the calculation of the percentage of shares voted "For" or "Against" any resolution</w:t>
            </w:r>
            <w:r w:rsidRPr="001A7C70">
              <w:rPr>
                <w:rStyle w:val="u"/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04F326DB" w14:textId="77777777" w:rsidR="009F08C1" w:rsidRPr="001A7C70" w:rsidRDefault="009F08C1" w:rsidP="00AC7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bo"/>
                <w:rFonts w:ascii="Arial" w:hAnsi="Arial" w:cs="Arial"/>
                <w:sz w:val="20"/>
                <w:szCs w:val="20"/>
              </w:rPr>
            </w:pPr>
          </w:p>
        </w:tc>
      </w:tr>
      <w:tr w:rsidR="009F08C1" w:rsidRPr="001A7C70" w14:paraId="6A779F58" w14:textId="77777777" w:rsidTr="00AC739F">
        <w:trPr>
          <w:gridAfter w:val="1"/>
          <w:wAfter w:w="851" w:type="dxa"/>
        </w:trPr>
        <w:tc>
          <w:tcPr>
            <w:tcW w:w="993" w:type="dxa"/>
          </w:tcPr>
          <w:p w14:paraId="7C1E5402" w14:textId="77777777" w:rsidR="009F08C1" w:rsidRPr="001A7C70" w:rsidRDefault="009F08C1" w:rsidP="00596D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bo"/>
                <w:rFonts w:ascii="Arial" w:hAnsi="Arial" w:cs="Arial"/>
                <w:sz w:val="20"/>
                <w:szCs w:val="20"/>
              </w:rPr>
            </w:pPr>
            <w:r w:rsidRPr="001A7C70">
              <w:rPr>
                <w:rStyle w:val="bo"/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116" w:type="dxa"/>
          </w:tcPr>
          <w:p w14:paraId="3289C5D7" w14:textId="296D9941" w:rsidR="009F08C1" w:rsidRPr="00AC739F" w:rsidRDefault="009F08C1" w:rsidP="00AC739F">
            <w:pPr>
              <w:pStyle w:val="cx1"/>
              <w:rPr>
                <w:rStyle w:val="bo"/>
                <w:rFonts w:ascii="Arial" w:hAnsi="Arial" w:cs="Arial"/>
                <w:sz w:val="20"/>
                <w:szCs w:val="20"/>
              </w:rPr>
            </w:pPr>
            <w:r w:rsidRPr="00AC739F">
              <w:rPr>
                <w:rStyle w:val="bo"/>
                <w:rFonts w:ascii="Arial" w:hAnsi="Arial" w:cs="Arial"/>
                <w:sz w:val="20"/>
                <w:szCs w:val="20"/>
              </w:rPr>
              <w:t xml:space="preserve">The number of shares in issue at close of business on 7 October 2020 was </w:t>
            </w:r>
            <w:r w:rsidR="00E61ED1" w:rsidRPr="00AC739F">
              <w:rPr>
                <w:rStyle w:val="bo"/>
                <w:rFonts w:ascii="Arial" w:hAnsi="Arial" w:cs="Arial"/>
                <w:sz w:val="20"/>
                <w:szCs w:val="20"/>
              </w:rPr>
              <w:t>18,088,480</w:t>
            </w:r>
            <w:r w:rsidR="00905177" w:rsidRPr="00AC739F">
              <w:rPr>
                <w:rStyle w:val="bo"/>
                <w:rFonts w:ascii="Arial" w:hAnsi="Arial" w:cs="Arial"/>
                <w:sz w:val="20"/>
                <w:szCs w:val="20"/>
              </w:rPr>
              <w:t>, with no shares held in treasury.</w:t>
            </w:r>
            <w:r w:rsidR="00535630" w:rsidRPr="00AC739F">
              <w:rPr>
                <w:rStyle w:val="bo"/>
                <w:rFonts w:ascii="Arial" w:hAnsi="Arial" w:cs="Arial"/>
                <w:sz w:val="20"/>
                <w:szCs w:val="20"/>
              </w:rPr>
              <w:t xml:space="preserve"> Therefore, the number of voting rights on that date was 18,088,480.</w:t>
            </w:r>
          </w:p>
        </w:tc>
      </w:tr>
      <w:tr w:rsidR="009F08C1" w:rsidRPr="001A7C70" w14:paraId="68F77097" w14:textId="77777777" w:rsidTr="00AC739F">
        <w:trPr>
          <w:gridAfter w:val="1"/>
          <w:wAfter w:w="851" w:type="dxa"/>
        </w:trPr>
        <w:tc>
          <w:tcPr>
            <w:tcW w:w="993" w:type="dxa"/>
          </w:tcPr>
          <w:p w14:paraId="0A28F5CC" w14:textId="77777777" w:rsidR="009F08C1" w:rsidRPr="001A7C70" w:rsidRDefault="009F08C1" w:rsidP="00596D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bo"/>
                <w:rFonts w:ascii="Arial" w:hAnsi="Arial" w:cs="Arial"/>
                <w:sz w:val="20"/>
                <w:szCs w:val="20"/>
              </w:rPr>
            </w:pPr>
            <w:r w:rsidRPr="001A7C70">
              <w:rPr>
                <w:rStyle w:val="bo"/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116" w:type="dxa"/>
          </w:tcPr>
          <w:p w14:paraId="606A4C21" w14:textId="0F5F61C2" w:rsidR="009F08C1" w:rsidRPr="00AC739F" w:rsidRDefault="009F08C1" w:rsidP="00AC739F">
            <w:pPr>
              <w:pStyle w:val="cx1"/>
              <w:rPr>
                <w:rStyle w:val="bo"/>
                <w:rFonts w:ascii="Arial" w:hAnsi="Arial" w:cs="Arial"/>
                <w:sz w:val="20"/>
                <w:szCs w:val="20"/>
              </w:rPr>
            </w:pPr>
            <w:r w:rsidRPr="00AC739F">
              <w:rPr>
                <w:rStyle w:val="bo"/>
                <w:rFonts w:ascii="Arial" w:hAnsi="Arial" w:cs="Arial"/>
                <w:sz w:val="20"/>
                <w:szCs w:val="20"/>
              </w:rPr>
              <w:t xml:space="preserve">The full text of the resolution passed at the </w:t>
            </w:r>
            <w:r w:rsidR="006E46C1">
              <w:rPr>
                <w:rStyle w:val="bo"/>
                <w:rFonts w:ascii="Arial" w:hAnsi="Arial" w:cs="Arial"/>
                <w:sz w:val="20"/>
                <w:szCs w:val="20"/>
              </w:rPr>
              <w:t>m</w:t>
            </w:r>
            <w:r w:rsidRPr="00AC739F">
              <w:rPr>
                <w:rStyle w:val="bo"/>
                <w:rFonts w:ascii="Arial" w:hAnsi="Arial" w:cs="Arial"/>
                <w:sz w:val="20"/>
                <w:szCs w:val="20"/>
              </w:rPr>
              <w:t xml:space="preserve">eeting can be found in the Notice of General Meeting which is available on the Company's website at </w:t>
            </w:r>
            <w:hyperlink r:id="rId5" w:history="1">
              <w:r w:rsidRPr="00AC739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https://www.premierfunds.co.uk/premier-global-infrastructure-trust-plc</w:t>
              </w:r>
            </w:hyperlink>
            <w:r w:rsidRPr="00AC739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9F08C1" w:rsidRPr="001A7C70" w14:paraId="31BC8A9E" w14:textId="77777777" w:rsidTr="00AC739F">
        <w:trPr>
          <w:gridAfter w:val="1"/>
          <w:wAfter w:w="851" w:type="dxa"/>
        </w:trPr>
        <w:tc>
          <w:tcPr>
            <w:tcW w:w="993" w:type="dxa"/>
          </w:tcPr>
          <w:p w14:paraId="77A7528E" w14:textId="77777777" w:rsidR="009F08C1" w:rsidRPr="001A7C70" w:rsidRDefault="009F08C1" w:rsidP="00596D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bo"/>
                <w:rFonts w:ascii="Arial" w:hAnsi="Arial" w:cs="Arial"/>
                <w:sz w:val="20"/>
                <w:szCs w:val="20"/>
              </w:rPr>
            </w:pPr>
            <w:r w:rsidRPr="001A7C70">
              <w:rPr>
                <w:rStyle w:val="bo"/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116" w:type="dxa"/>
          </w:tcPr>
          <w:p w14:paraId="6916FB88" w14:textId="075B84FB" w:rsidR="009F08C1" w:rsidRPr="00AC739F" w:rsidRDefault="006E46C1" w:rsidP="00AC739F">
            <w:pPr>
              <w:pStyle w:val="cx1"/>
              <w:rPr>
                <w:rStyle w:val="bo"/>
                <w:rFonts w:ascii="Arial" w:hAnsi="Arial" w:cs="Arial"/>
                <w:sz w:val="20"/>
                <w:szCs w:val="20"/>
              </w:rPr>
            </w:pPr>
            <w:r>
              <w:rPr>
                <w:rStyle w:val="by"/>
                <w:rFonts w:ascii="Arial" w:hAnsi="Arial" w:cs="Arial"/>
                <w:color w:val="000000"/>
                <w:sz w:val="20"/>
                <w:szCs w:val="20"/>
              </w:rPr>
              <w:t>A copy</w:t>
            </w:r>
            <w:r w:rsidRPr="00AC739F">
              <w:rPr>
                <w:rStyle w:val="by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F08C1" w:rsidRPr="00AC739F">
              <w:rPr>
                <w:rStyle w:val="by"/>
                <w:rFonts w:ascii="Arial" w:hAnsi="Arial" w:cs="Arial"/>
                <w:color w:val="000000"/>
                <w:sz w:val="20"/>
                <w:szCs w:val="20"/>
              </w:rPr>
              <w:t>of</w:t>
            </w:r>
            <w:r>
              <w:rPr>
                <w:rStyle w:val="by"/>
                <w:rFonts w:ascii="Arial" w:hAnsi="Arial" w:cs="Arial"/>
                <w:color w:val="000000"/>
                <w:sz w:val="20"/>
                <w:szCs w:val="20"/>
              </w:rPr>
              <w:t xml:space="preserve"> the</w:t>
            </w:r>
            <w:r w:rsidR="009F08C1" w:rsidRPr="00AC739F">
              <w:rPr>
                <w:rStyle w:val="by"/>
                <w:rFonts w:ascii="Arial" w:hAnsi="Arial" w:cs="Arial"/>
                <w:color w:val="000000"/>
                <w:sz w:val="20"/>
                <w:szCs w:val="20"/>
              </w:rPr>
              <w:t xml:space="preserve"> resolution </w:t>
            </w:r>
            <w:r w:rsidR="009F08C1" w:rsidRPr="00AC739F">
              <w:rPr>
                <w:rStyle w:val="by"/>
                <w:rFonts w:ascii="Arial" w:hAnsi="Arial" w:cs="Arial"/>
                <w:sz w:val="20"/>
                <w:szCs w:val="20"/>
              </w:rPr>
              <w:t xml:space="preserve">will be made available for inspection from the National Storage Mechanism, situated at: </w:t>
            </w:r>
            <w:hyperlink r:id="rId6" w:anchor="/nsm/nationalstoragemechanism" w:history="1">
              <w:r w:rsidR="009F08C1" w:rsidRPr="00AC739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https://data.fca.org.uk/#/nsm/nationalstoragemechanism</w:t>
              </w:r>
            </w:hyperlink>
            <w:r w:rsidR="009F08C1" w:rsidRPr="00AC739F">
              <w:rPr>
                <w:rStyle w:val="by"/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F08C1" w:rsidRPr="001A7C70" w14:paraId="08B1D48B" w14:textId="77777777" w:rsidTr="00AC739F">
        <w:trPr>
          <w:gridAfter w:val="1"/>
          <w:wAfter w:w="851" w:type="dxa"/>
        </w:trPr>
        <w:tc>
          <w:tcPr>
            <w:tcW w:w="993" w:type="dxa"/>
          </w:tcPr>
          <w:p w14:paraId="291E8CB1" w14:textId="77777777" w:rsidR="009F08C1" w:rsidRPr="001A7C70" w:rsidRDefault="009F08C1" w:rsidP="00596D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bo"/>
                <w:rFonts w:ascii="Arial" w:hAnsi="Arial" w:cs="Arial"/>
                <w:sz w:val="20"/>
                <w:szCs w:val="20"/>
              </w:rPr>
            </w:pPr>
            <w:r w:rsidRPr="001A7C70">
              <w:rPr>
                <w:rStyle w:val="bo"/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116" w:type="dxa"/>
          </w:tcPr>
          <w:p w14:paraId="14082C1C" w14:textId="65F42138" w:rsidR="009F08C1" w:rsidRPr="001A7C70" w:rsidRDefault="009F08C1" w:rsidP="00AC739F">
            <w:pPr>
              <w:pStyle w:val="cx1"/>
              <w:rPr>
                <w:rStyle w:val="by"/>
                <w:rFonts w:ascii="Arial" w:hAnsi="Arial" w:cs="Arial"/>
                <w:sz w:val="20"/>
                <w:szCs w:val="20"/>
              </w:rPr>
            </w:pPr>
            <w:r w:rsidRPr="001A7C70">
              <w:rPr>
                <w:rStyle w:val="by"/>
                <w:rFonts w:ascii="Arial" w:hAnsi="Arial" w:cs="Arial"/>
                <w:sz w:val="20"/>
                <w:szCs w:val="20"/>
              </w:rPr>
              <w:t xml:space="preserve">These poll results (inclusive of proxy results lodged before the </w:t>
            </w:r>
            <w:r w:rsidR="00D66B0F">
              <w:rPr>
                <w:rStyle w:val="by"/>
                <w:rFonts w:ascii="Arial" w:hAnsi="Arial" w:cs="Arial"/>
                <w:sz w:val="20"/>
                <w:szCs w:val="20"/>
              </w:rPr>
              <w:t>m</w:t>
            </w:r>
            <w:r>
              <w:rPr>
                <w:rStyle w:val="by"/>
                <w:rFonts w:ascii="Arial" w:hAnsi="Arial" w:cs="Arial"/>
                <w:sz w:val="20"/>
                <w:szCs w:val="20"/>
              </w:rPr>
              <w:t>eeting</w:t>
            </w:r>
            <w:r w:rsidRPr="001A7C70">
              <w:rPr>
                <w:rStyle w:val="by"/>
                <w:rFonts w:ascii="Arial" w:hAnsi="Arial" w:cs="Arial"/>
                <w:sz w:val="20"/>
                <w:szCs w:val="20"/>
              </w:rPr>
              <w:t xml:space="preserve">) will be available shortly on the Company's website at </w:t>
            </w:r>
            <w:hyperlink r:id="rId7" w:history="1">
              <w:r w:rsidRPr="00EC62D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https://www.premierfunds.co.uk/premier-global-infrastructure-trust-plc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890DE6E" w14:textId="77777777" w:rsidR="009F08C1" w:rsidRPr="001A7C70" w:rsidRDefault="009F08C1" w:rsidP="00AC7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bo"/>
                <w:rFonts w:ascii="Arial" w:hAnsi="Arial" w:cs="Arial"/>
                <w:sz w:val="20"/>
                <w:szCs w:val="20"/>
              </w:rPr>
            </w:pPr>
          </w:p>
        </w:tc>
      </w:tr>
    </w:tbl>
    <w:p w14:paraId="29337CEA" w14:textId="77777777" w:rsidR="009F08C1" w:rsidRPr="001A7C70" w:rsidRDefault="009F08C1" w:rsidP="009F08C1">
      <w:pPr>
        <w:pStyle w:val="BodyText"/>
        <w:spacing w:before="3"/>
        <w:ind w:left="0" w:right="18"/>
        <w:jc w:val="both"/>
        <w:rPr>
          <w:rFonts w:cs="Arial"/>
        </w:rPr>
      </w:pPr>
    </w:p>
    <w:p w14:paraId="73B55D39" w14:textId="77777777" w:rsidR="00905177" w:rsidRDefault="00905177" w:rsidP="009F08C1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p w14:paraId="7422245A" w14:textId="2776DA02" w:rsidR="009F08C1" w:rsidRPr="001A7C70" w:rsidRDefault="00905177" w:rsidP="009F08C1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Contact:</w:t>
      </w:r>
    </w:p>
    <w:p w14:paraId="3F63F74D" w14:textId="6B8F655D" w:rsidR="00905177" w:rsidRDefault="00905177" w:rsidP="00905177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Premier</w:t>
      </w:r>
      <w:r w:rsidR="009F08C1" w:rsidRPr="00AC739F">
        <w:rPr>
          <w:rFonts w:ascii="Arial" w:eastAsia="Calibri" w:hAnsi="Arial" w:cs="Arial"/>
          <w:bCs/>
          <w:sz w:val="20"/>
          <w:szCs w:val="20"/>
        </w:rPr>
        <w:t xml:space="preserve"> Fund Managers Limited</w:t>
      </w:r>
    </w:p>
    <w:p w14:paraId="7730931F" w14:textId="47DB942E" w:rsidR="00905177" w:rsidRPr="006344A4" w:rsidRDefault="00905177" w:rsidP="006344A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01483 306090</w:t>
      </w:r>
    </w:p>
    <w:p w14:paraId="35BD276C" w14:textId="33B781FF" w:rsidR="00905177" w:rsidRPr="005F29C4" w:rsidRDefault="009F08C1" w:rsidP="00AC739F">
      <w:pPr>
        <w:spacing w:after="0" w:line="240" w:lineRule="auto"/>
        <w:rPr>
          <w:rFonts w:ascii="Arial" w:eastAsia="Calibri" w:hAnsi="Arial" w:cs="Arial"/>
          <w:sz w:val="20"/>
          <w:szCs w:val="20"/>
          <w:lang w:val="fr-CH"/>
        </w:rPr>
      </w:pPr>
      <w:r w:rsidRPr="005F29C4">
        <w:rPr>
          <w:rFonts w:ascii="Arial" w:eastAsia="Calibri" w:hAnsi="Arial" w:cs="Arial"/>
          <w:sz w:val="20"/>
          <w:szCs w:val="20"/>
          <w:lang w:val="fr-CH"/>
        </w:rPr>
        <w:t xml:space="preserve">Claire Long </w:t>
      </w:r>
      <w:r w:rsidR="00905177" w:rsidRPr="005F29C4">
        <w:rPr>
          <w:rFonts w:ascii="Arial" w:eastAsia="Calibri" w:hAnsi="Arial" w:cs="Arial"/>
          <w:sz w:val="20"/>
          <w:szCs w:val="20"/>
          <w:lang w:val="fr-CH"/>
        </w:rPr>
        <w:t>(claire.long@premiermiton.com)</w:t>
      </w:r>
    </w:p>
    <w:p w14:paraId="14DA0A7E" w14:textId="7A95B839" w:rsidR="009F08C1" w:rsidRPr="001A7C70" w:rsidRDefault="009F08C1" w:rsidP="00AC739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James Smith</w:t>
      </w:r>
      <w:r w:rsidR="00905177">
        <w:rPr>
          <w:rFonts w:ascii="Arial" w:eastAsia="Calibri" w:hAnsi="Arial" w:cs="Arial"/>
          <w:sz w:val="20"/>
          <w:szCs w:val="20"/>
        </w:rPr>
        <w:t xml:space="preserve"> (james.smith@premiermiton.com)</w:t>
      </w:r>
    </w:p>
    <w:p w14:paraId="02B36530" w14:textId="77777777" w:rsidR="009F08C1" w:rsidRPr="001A7C70" w:rsidRDefault="009F08C1" w:rsidP="00AC739F">
      <w:pPr>
        <w:pStyle w:val="BodyText"/>
        <w:ind w:left="0" w:right="18"/>
        <w:jc w:val="both"/>
        <w:rPr>
          <w:rFonts w:eastAsia="Calibri" w:cs="Arial"/>
          <w:lang w:val="en-GB"/>
        </w:rPr>
      </w:pPr>
    </w:p>
    <w:p w14:paraId="4C98169B" w14:textId="0686C598" w:rsidR="005F29C4" w:rsidRDefault="005F29C4" w:rsidP="00AC739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N+1 Singer </w:t>
      </w:r>
    </w:p>
    <w:p w14:paraId="07536052" w14:textId="4DD083E6" w:rsidR="005F29C4" w:rsidRDefault="005F29C4" w:rsidP="00AC739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020 7496 3000</w:t>
      </w:r>
    </w:p>
    <w:p w14:paraId="15715E00" w14:textId="621EFFDC" w:rsidR="005F29C4" w:rsidRDefault="005F29C4" w:rsidP="00AC739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James Maxwell (james.maxwell@n1singer.com)</w:t>
      </w:r>
    </w:p>
    <w:p w14:paraId="698282AF" w14:textId="76AA4AB1" w:rsidR="005F29C4" w:rsidRPr="00596DBA" w:rsidRDefault="005F29C4" w:rsidP="00AC739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596DBA">
        <w:rPr>
          <w:rFonts w:ascii="Arial" w:eastAsia="Calibri" w:hAnsi="Arial" w:cs="Arial"/>
          <w:sz w:val="20"/>
          <w:szCs w:val="20"/>
        </w:rPr>
        <w:t>Iqra Amin (iqra.amin@n1singer.com)</w:t>
      </w:r>
    </w:p>
    <w:p w14:paraId="25BF0525" w14:textId="77777777" w:rsidR="005F29C4" w:rsidRPr="00596DBA" w:rsidRDefault="005F29C4" w:rsidP="00AC739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0E67FCBE" w14:textId="77777777" w:rsidR="005F29C4" w:rsidRPr="00596DBA" w:rsidRDefault="005F29C4" w:rsidP="00AC739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2D3B5486" w14:textId="77777777" w:rsidR="005F29C4" w:rsidRPr="00596DBA" w:rsidRDefault="005F29C4" w:rsidP="00AC739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775C2B15" w14:textId="7E00558C" w:rsidR="009F08C1" w:rsidRPr="005F29C4" w:rsidRDefault="00905177" w:rsidP="00AC739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09</w:t>
      </w:r>
      <w:r w:rsidR="009F08C1">
        <w:rPr>
          <w:rFonts w:ascii="Arial" w:eastAsia="Calibri" w:hAnsi="Arial" w:cs="Arial"/>
          <w:sz w:val="20"/>
          <w:szCs w:val="20"/>
        </w:rPr>
        <w:t xml:space="preserve"> October</w:t>
      </w:r>
      <w:r w:rsidR="009F08C1" w:rsidRPr="001A7C70">
        <w:rPr>
          <w:rFonts w:ascii="Arial" w:eastAsia="Calibri" w:hAnsi="Arial" w:cs="Arial"/>
          <w:sz w:val="20"/>
          <w:szCs w:val="20"/>
        </w:rPr>
        <w:t xml:space="preserve"> 2020</w:t>
      </w:r>
    </w:p>
    <w:p w14:paraId="02428B82" w14:textId="77777777" w:rsidR="00044CAC" w:rsidRDefault="00044CAC" w:rsidP="00AC739F">
      <w:pPr>
        <w:spacing w:after="0" w:line="240" w:lineRule="auto"/>
      </w:pPr>
    </w:p>
    <w:sectPr w:rsidR="00044C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55"/>
    <w:rsid w:val="00044CAC"/>
    <w:rsid w:val="00080750"/>
    <w:rsid w:val="000B5E71"/>
    <w:rsid w:val="001958AE"/>
    <w:rsid w:val="001B41F9"/>
    <w:rsid w:val="00237CC2"/>
    <w:rsid w:val="00280D4B"/>
    <w:rsid w:val="00333819"/>
    <w:rsid w:val="00381FE2"/>
    <w:rsid w:val="003F2657"/>
    <w:rsid w:val="0044468D"/>
    <w:rsid w:val="0045565B"/>
    <w:rsid w:val="004A4F6D"/>
    <w:rsid w:val="00524CC8"/>
    <w:rsid w:val="00535630"/>
    <w:rsid w:val="00586712"/>
    <w:rsid w:val="00596DBA"/>
    <w:rsid w:val="005A0BE8"/>
    <w:rsid w:val="005F29C4"/>
    <w:rsid w:val="006344A4"/>
    <w:rsid w:val="006A0E9D"/>
    <w:rsid w:val="006E46C1"/>
    <w:rsid w:val="00775B18"/>
    <w:rsid w:val="00837BFC"/>
    <w:rsid w:val="008726F3"/>
    <w:rsid w:val="008E4A08"/>
    <w:rsid w:val="00905177"/>
    <w:rsid w:val="00960236"/>
    <w:rsid w:val="0099617E"/>
    <w:rsid w:val="009B3B37"/>
    <w:rsid w:val="009F08C1"/>
    <w:rsid w:val="00A72A55"/>
    <w:rsid w:val="00AC739F"/>
    <w:rsid w:val="00AD15E8"/>
    <w:rsid w:val="00CE3073"/>
    <w:rsid w:val="00D351DB"/>
    <w:rsid w:val="00D650EA"/>
    <w:rsid w:val="00D66B0F"/>
    <w:rsid w:val="00D85476"/>
    <w:rsid w:val="00DC2156"/>
    <w:rsid w:val="00E27CFD"/>
    <w:rsid w:val="00E55EEF"/>
    <w:rsid w:val="00E61ED1"/>
    <w:rsid w:val="00E71542"/>
    <w:rsid w:val="00EB7A26"/>
    <w:rsid w:val="00EF6699"/>
    <w:rsid w:val="00F40367"/>
    <w:rsid w:val="00FA1A5A"/>
    <w:rsid w:val="00FA3C05"/>
    <w:rsid w:val="00FD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9D371"/>
  <w15:chartTrackingRefBased/>
  <w15:docId w15:val="{D983FCBE-0B58-4021-BA21-D45408AB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2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E7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6023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F08C1"/>
    <w:pPr>
      <w:widowControl w:val="0"/>
      <w:spacing w:after="0" w:line="240" w:lineRule="auto"/>
      <w:ind w:left="108"/>
    </w:pPr>
    <w:rPr>
      <w:rFonts w:ascii="Arial" w:eastAsia="Arial" w:hAnsi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F08C1"/>
    <w:rPr>
      <w:rFonts w:ascii="Arial" w:eastAsia="Arial" w:hAnsi="Arial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9F08C1"/>
    <w:rPr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cx1">
    <w:name w:val="cx1"/>
    <w:basedOn w:val="Normal"/>
    <w:rsid w:val="009F08C1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y">
    <w:name w:val="by"/>
    <w:basedOn w:val="DefaultParagraphFont"/>
    <w:rsid w:val="009F08C1"/>
  </w:style>
  <w:style w:type="character" w:customStyle="1" w:styleId="bo">
    <w:name w:val="bo"/>
    <w:basedOn w:val="DefaultParagraphFont"/>
    <w:rsid w:val="009F08C1"/>
  </w:style>
  <w:style w:type="character" w:customStyle="1" w:styleId="u">
    <w:name w:val="u"/>
    <w:basedOn w:val="DefaultParagraphFont"/>
    <w:rsid w:val="009F08C1"/>
  </w:style>
  <w:style w:type="paragraph" w:styleId="NoSpacing">
    <w:name w:val="No Spacing"/>
    <w:uiPriority w:val="1"/>
    <w:qFormat/>
    <w:rsid w:val="009F08C1"/>
    <w:pPr>
      <w:spacing w:after="0" w:line="240" w:lineRule="auto"/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D351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1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51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1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1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emierfunds.co.uk/premier-global-infrastructure-trust-pl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ata.fca.org.uk/" TargetMode="External"/><Relationship Id="rId5" Type="http://schemas.openxmlformats.org/officeDocument/2006/relationships/hyperlink" Target="https://www.premierfunds.co.uk/premier-global-infrastructure-trust-pl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30E38-FA32-423E-966C-75BCE3135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Premier Asset Management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Long</dc:creator>
  <cp:keywords/>
  <dc:description/>
  <cp:lastModifiedBy>Angeline Boothroyd</cp:lastModifiedBy>
  <cp:revision>6</cp:revision>
  <dcterms:created xsi:type="dcterms:W3CDTF">2020-10-08T11:00:00Z</dcterms:created>
  <dcterms:modified xsi:type="dcterms:W3CDTF">2020-10-09T07:33:00Z</dcterms:modified>
</cp:coreProperties>
</file>