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CFA4" w14:textId="0B3E3793" w:rsidR="00E5087D" w:rsidRPr="00E5087D" w:rsidRDefault="00E5087D" w:rsidP="00763C75">
      <w:pPr>
        <w:jc w:val="both"/>
        <w:rPr>
          <w:rFonts w:ascii="Arial" w:hAnsi="Arial" w:cs="Arial"/>
          <w:sz w:val="20"/>
          <w:szCs w:val="20"/>
        </w:rPr>
      </w:pPr>
      <w:r w:rsidRPr="00E5087D">
        <w:rPr>
          <w:rFonts w:ascii="Arial" w:hAnsi="Arial" w:cs="Arial"/>
          <w:sz w:val="20"/>
          <w:szCs w:val="20"/>
        </w:rPr>
        <w:t xml:space="preserve">Company Number: </w:t>
      </w:r>
      <w:r w:rsidR="002C0B7F">
        <w:rPr>
          <w:rFonts w:ascii="Arial" w:hAnsi="Arial" w:cs="Arial"/>
          <w:sz w:val="20"/>
          <w:szCs w:val="20"/>
        </w:rPr>
        <w:t>04897881</w:t>
      </w:r>
    </w:p>
    <w:p w14:paraId="6BFE9F54" w14:textId="77777777" w:rsidR="00E5087D" w:rsidRPr="00E5087D" w:rsidRDefault="00E5087D" w:rsidP="00763C75">
      <w:pPr>
        <w:jc w:val="both"/>
        <w:rPr>
          <w:rFonts w:ascii="Arial" w:hAnsi="Arial" w:cs="Arial"/>
          <w:sz w:val="20"/>
          <w:szCs w:val="20"/>
        </w:rPr>
      </w:pPr>
    </w:p>
    <w:p w14:paraId="22334C6C"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763C75">
      <w:pPr>
        <w:jc w:val="center"/>
        <w:rPr>
          <w:rFonts w:ascii="Arial" w:hAnsi="Arial" w:cs="Arial"/>
          <w:b/>
          <w:sz w:val="20"/>
          <w:szCs w:val="20"/>
        </w:rPr>
      </w:pPr>
    </w:p>
    <w:p w14:paraId="5FA75526" w14:textId="57D72A5E" w:rsidR="00E5087D" w:rsidRPr="00E5087D" w:rsidRDefault="00E5087D" w:rsidP="00763C75">
      <w:pPr>
        <w:jc w:val="center"/>
        <w:rPr>
          <w:rFonts w:ascii="Arial" w:hAnsi="Arial" w:cs="Arial"/>
          <w:b/>
          <w:sz w:val="20"/>
          <w:szCs w:val="20"/>
        </w:rPr>
      </w:pPr>
      <w:r w:rsidRPr="00E5087D">
        <w:rPr>
          <w:rFonts w:ascii="Arial" w:hAnsi="Arial" w:cs="Arial"/>
          <w:b/>
          <w:sz w:val="20"/>
          <w:szCs w:val="20"/>
        </w:rPr>
        <w:t xml:space="preserve">NOTICE OF </w:t>
      </w:r>
      <w:r w:rsidR="00C9709A">
        <w:rPr>
          <w:rFonts w:ascii="Arial" w:hAnsi="Arial" w:cs="Arial"/>
          <w:b/>
          <w:sz w:val="20"/>
          <w:szCs w:val="20"/>
        </w:rPr>
        <w:t xml:space="preserve">SPECIAL </w:t>
      </w:r>
      <w:r w:rsidRPr="00E5087D">
        <w:rPr>
          <w:rFonts w:ascii="Arial" w:hAnsi="Arial" w:cs="Arial"/>
          <w:b/>
          <w:sz w:val="20"/>
          <w:szCs w:val="20"/>
        </w:rPr>
        <w:t>RESOLUTION OF</w:t>
      </w:r>
    </w:p>
    <w:p w14:paraId="317A6A06" w14:textId="77A76F8B" w:rsidR="00E5087D" w:rsidRPr="00E5087D" w:rsidRDefault="002C0B7F" w:rsidP="00763C75">
      <w:pPr>
        <w:jc w:val="center"/>
        <w:rPr>
          <w:rFonts w:ascii="Arial" w:hAnsi="Arial" w:cs="Arial"/>
          <w:b/>
          <w:sz w:val="20"/>
          <w:szCs w:val="20"/>
        </w:rPr>
      </w:pPr>
      <w:r>
        <w:rPr>
          <w:rFonts w:ascii="Arial" w:hAnsi="Arial" w:cs="Arial"/>
          <w:b/>
          <w:sz w:val="20"/>
          <w:szCs w:val="20"/>
        </w:rPr>
        <w:t>PREMIER MITON GLOBAL RENEWABLES</w:t>
      </w:r>
      <w:r w:rsidR="004500C9">
        <w:rPr>
          <w:rFonts w:ascii="Arial" w:hAnsi="Arial" w:cs="Arial"/>
          <w:b/>
          <w:sz w:val="20"/>
          <w:szCs w:val="20"/>
        </w:rPr>
        <w:t xml:space="preserve"> TRUST PLC</w:t>
      </w:r>
    </w:p>
    <w:p w14:paraId="40422C24"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763C75">
      <w:pPr>
        <w:jc w:val="center"/>
        <w:rPr>
          <w:rFonts w:ascii="Arial" w:hAnsi="Arial" w:cs="Arial"/>
          <w:b/>
          <w:sz w:val="20"/>
          <w:szCs w:val="20"/>
        </w:rPr>
      </w:pPr>
    </w:p>
    <w:p w14:paraId="47024BBA" w14:textId="43F00E29" w:rsidR="00E5087D" w:rsidRPr="00E5087D" w:rsidRDefault="00E5087D" w:rsidP="00763C75">
      <w:pPr>
        <w:jc w:val="center"/>
        <w:rPr>
          <w:rFonts w:ascii="Arial" w:hAnsi="Arial" w:cs="Arial"/>
          <w:b/>
          <w:sz w:val="20"/>
          <w:szCs w:val="20"/>
        </w:rPr>
      </w:pPr>
      <w:r w:rsidRPr="00D40232">
        <w:rPr>
          <w:rFonts w:ascii="Arial" w:hAnsi="Arial" w:cs="Arial"/>
          <w:b/>
          <w:sz w:val="20"/>
          <w:szCs w:val="20"/>
        </w:rPr>
        <w:t xml:space="preserve">PASSED ON </w:t>
      </w:r>
      <w:r w:rsidR="00C9709A">
        <w:rPr>
          <w:rFonts w:ascii="Arial" w:hAnsi="Arial" w:cs="Arial"/>
          <w:b/>
          <w:sz w:val="20"/>
          <w:szCs w:val="20"/>
        </w:rPr>
        <w:t>5</w:t>
      </w:r>
      <w:r w:rsidR="0019343D" w:rsidRPr="00D40232">
        <w:rPr>
          <w:rFonts w:ascii="Arial" w:hAnsi="Arial" w:cs="Arial"/>
          <w:b/>
          <w:sz w:val="20"/>
          <w:szCs w:val="20"/>
        </w:rPr>
        <w:t xml:space="preserve"> </w:t>
      </w:r>
      <w:r w:rsidR="00854FEB">
        <w:rPr>
          <w:rFonts w:ascii="Arial" w:hAnsi="Arial" w:cs="Arial"/>
          <w:b/>
          <w:sz w:val="20"/>
          <w:szCs w:val="20"/>
        </w:rPr>
        <w:t>DECEMBER</w:t>
      </w:r>
      <w:r w:rsidR="0019343D" w:rsidRPr="00D40232">
        <w:rPr>
          <w:rFonts w:ascii="Arial" w:hAnsi="Arial" w:cs="Arial"/>
          <w:b/>
          <w:sz w:val="20"/>
          <w:szCs w:val="20"/>
        </w:rPr>
        <w:t xml:space="preserve"> 202</w:t>
      </w:r>
      <w:r w:rsidR="003533CF" w:rsidRPr="00D40232">
        <w:rPr>
          <w:rFonts w:ascii="Arial" w:hAnsi="Arial" w:cs="Arial"/>
          <w:b/>
          <w:sz w:val="20"/>
          <w:szCs w:val="20"/>
        </w:rPr>
        <w:t>5</w:t>
      </w:r>
    </w:p>
    <w:p w14:paraId="3E1FF27E" w14:textId="77777777" w:rsidR="00E5087D" w:rsidRPr="00E5087D" w:rsidRDefault="00E5087D" w:rsidP="00763C75">
      <w:pPr>
        <w:jc w:val="both"/>
        <w:rPr>
          <w:rFonts w:ascii="Arial" w:hAnsi="Arial" w:cs="Arial"/>
          <w:sz w:val="20"/>
          <w:szCs w:val="20"/>
        </w:rPr>
      </w:pPr>
    </w:p>
    <w:p w14:paraId="6AA69008" w14:textId="6AA31FA8" w:rsidR="00E5087D" w:rsidRPr="0019343D" w:rsidRDefault="00E5087D" w:rsidP="0019343D">
      <w:pPr>
        <w:jc w:val="both"/>
        <w:rPr>
          <w:rFonts w:ascii="Arial" w:eastAsia="Times New Roman" w:hAnsi="Arial" w:cs="Arial"/>
          <w:sz w:val="20"/>
          <w:szCs w:val="20"/>
          <w:lang w:eastAsia="en-GB"/>
        </w:rPr>
      </w:pPr>
      <w:r w:rsidRPr="0019343D">
        <w:rPr>
          <w:rFonts w:ascii="Arial" w:eastAsia="Times New Roman" w:hAnsi="Arial" w:cs="Arial"/>
          <w:sz w:val="20"/>
          <w:szCs w:val="20"/>
          <w:lang w:eastAsia="en-GB"/>
        </w:rPr>
        <w:t xml:space="preserve">At the </w:t>
      </w:r>
      <w:r w:rsidR="00854FEB">
        <w:rPr>
          <w:rFonts w:ascii="Arial" w:eastAsia="Times New Roman" w:hAnsi="Arial" w:cs="Arial"/>
          <w:sz w:val="20"/>
          <w:szCs w:val="20"/>
          <w:lang w:eastAsia="en-GB"/>
        </w:rPr>
        <w:t xml:space="preserve">Second </w:t>
      </w:r>
      <w:r w:rsidRPr="0019343D">
        <w:rPr>
          <w:rFonts w:ascii="Arial" w:eastAsia="Times New Roman" w:hAnsi="Arial" w:cs="Arial"/>
          <w:sz w:val="20"/>
          <w:szCs w:val="20"/>
          <w:lang w:eastAsia="en-GB"/>
        </w:rPr>
        <w:t xml:space="preserve">General Meeting of the </w:t>
      </w:r>
      <w:proofErr w:type="gramStart"/>
      <w:r w:rsidRPr="0019343D">
        <w:rPr>
          <w:rFonts w:ascii="Arial" w:eastAsia="Times New Roman" w:hAnsi="Arial" w:cs="Arial"/>
          <w:sz w:val="20"/>
          <w:szCs w:val="20"/>
          <w:lang w:eastAsia="en-GB"/>
        </w:rPr>
        <w:t>Company</w:t>
      </w:r>
      <w:proofErr w:type="gramEnd"/>
      <w:r w:rsidRPr="0019343D">
        <w:rPr>
          <w:rFonts w:ascii="Arial" w:eastAsia="Times New Roman" w:hAnsi="Arial" w:cs="Arial"/>
          <w:sz w:val="20"/>
          <w:szCs w:val="20"/>
          <w:lang w:eastAsia="en-GB"/>
        </w:rPr>
        <w:t xml:space="preserve"> duly convened and held at </w:t>
      </w:r>
      <w:r w:rsidR="002C0B7F" w:rsidRPr="0019343D">
        <w:rPr>
          <w:rFonts w:ascii="Arial" w:eastAsia="Times New Roman" w:hAnsi="Arial" w:cs="Arial"/>
          <w:sz w:val="20"/>
          <w:szCs w:val="20"/>
          <w:lang w:eastAsia="en-GB"/>
        </w:rPr>
        <w:t>1</w:t>
      </w:r>
      <w:r w:rsidR="00854FEB">
        <w:rPr>
          <w:rFonts w:ascii="Arial" w:eastAsia="Times New Roman" w:hAnsi="Arial" w:cs="Arial"/>
          <w:sz w:val="20"/>
          <w:szCs w:val="20"/>
          <w:lang w:eastAsia="en-GB"/>
        </w:rPr>
        <w:t>0</w:t>
      </w:r>
      <w:r w:rsidR="002C0B7F" w:rsidRPr="0019343D">
        <w:rPr>
          <w:rFonts w:ascii="Arial" w:eastAsia="Times New Roman" w:hAnsi="Arial" w:cs="Arial"/>
          <w:sz w:val="20"/>
          <w:szCs w:val="20"/>
          <w:lang w:eastAsia="en-GB"/>
        </w:rPr>
        <w:t>.</w:t>
      </w:r>
      <w:r w:rsidR="00561902">
        <w:rPr>
          <w:rFonts w:ascii="Arial" w:eastAsia="Times New Roman" w:hAnsi="Arial" w:cs="Arial"/>
          <w:sz w:val="20"/>
          <w:szCs w:val="20"/>
          <w:lang w:eastAsia="en-GB"/>
        </w:rPr>
        <w:t>0</w:t>
      </w:r>
      <w:r w:rsidR="00C9709A">
        <w:rPr>
          <w:rFonts w:ascii="Arial" w:eastAsia="Times New Roman" w:hAnsi="Arial" w:cs="Arial"/>
          <w:sz w:val="20"/>
          <w:szCs w:val="20"/>
          <w:lang w:eastAsia="en-GB"/>
        </w:rPr>
        <w:t>0</w:t>
      </w:r>
      <w:r w:rsidR="00561902">
        <w:rPr>
          <w:rFonts w:ascii="Arial" w:eastAsia="Times New Roman" w:hAnsi="Arial" w:cs="Arial"/>
          <w:sz w:val="20"/>
          <w:szCs w:val="20"/>
          <w:lang w:eastAsia="en-GB"/>
        </w:rPr>
        <w:t xml:space="preserve"> </w:t>
      </w:r>
      <w:r w:rsidR="00854FEB">
        <w:rPr>
          <w:rFonts w:ascii="Arial" w:eastAsia="Times New Roman" w:hAnsi="Arial" w:cs="Arial"/>
          <w:sz w:val="20"/>
          <w:szCs w:val="20"/>
          <w:lang w:eastAsia="en-GB"/>
        </w:rPr>
        <w:t>a</w:t>
      </w:r>
      <w:r w:rsidR="004500C9" w:rsidRPr="0019343D">
        <w:rPr>
          <w:rFonts w:ascii="Arial" w:eastAsia="Times New Roman" w:hAnsi="Arial" w:cs="Arial"/>
          <w:sz w:val="20"/>
          <w:szCs w:val="20"/>
          <w:lang w:eastAsia="en-GB"/>
        </w:rPr>
        <w:t>.m</w:t>
      </w:r>
      <w:r w:rsidRPr="0019343D">
        <w:rPr>
          <w:rFonts w:ascii="Arial" w:eastAsia="Times New Roman" w:hAnsi="Arial" w:cs="Arial"/>
          <w:sz w:val="20"/>
          <w:szCs w:val="20"/>
          <w:lang w:eastAsia="en-GB"/>
        </w:rPr>
        <w:t xml:space="preserve">. on </w:t>
      </w:r>
      <w:r w:rsidR="00C9709A">
        <w:rPr>
          <w:rFonts w:ascii="Arial" w:eastAsia="Times New Roman" w:hAnsi="Arial" w:cs="Arial"/>
          <w:sz w:val="20"/>
          <w:szCs w:val="20"/>
          <w:lang w:eastAsia="en-GB"/>
        </w:rPr>
        <w:t>5</w:t>
      </w:r>
      <w:r w:rsidR="00545F89" w:rsidRPr="0019343D">
        <w:rPr>
          <w:rFonts w:ascii="Arial" w:eastAsia="Times New Roman" w:hAnsi="Arial" w:cs="Arial"/>
          <w:sz w:val="20"/>
          <w:szCs w:val="20"/>
          <w:lang w:eastAsia="en-GB"/>
        </w:rPr>
        <w:t xml:space="preserve"> </w:t>
      </w:r>
      <w:r w:rsidR="00854FEB">
        <w:rPr>
          <w:rFonts w:ascii="Arial" w:eastAsia="Times New Roman" w:hAnsi="Arial" w:cs="Arial"/>
          <w:sz w:val="20"/>
          <w:szCs w:val="20"/>
          <w:lang w:eastAsia="en-GB"/>
        </w:rPr>
        <w:t>December</w:t>
      </w:r>
      <w:r w:rsidR="00545F89" w:rsidRPr="0019343D">
        <w:rPr>
          <w:rFonts w:ascii="Arial" w:eastAsia="Times New Roman" w:hAnsi="Arial" w:cs="Arial"/>
          <w:sz w:val="20"/>
          <w:szCs w:val="20"/>
          <w:lang w:eastAsia="en-GB"/>
        </w:rPr>
        <w:t xml:space="preserve"> 202</w:t>
      </w:r>
      <w:r w:rsidR="003533CF">
        <w:rPr>
          <w:rFonts w:ascii="Arial" w:eastAsia="Times New Roman" w:hAnsi="Arial" w:cs="Arial"/>
          <w:sz w:val="20"/>
          <w:szCs w:val="20"/>
          <w:lang w:eastAsia="en-GB"/>
        </w:rPr>
        <w:t>5</w:t>
      </w:r>
      <w:r w:rsidRPr="0019343D">
        <w:rPr>
          <w:rFonts w:ascii="Arial" w:eastAsia="Times New Roman" w:hAnsi="Arial" w:cs="Arial"/>
          <w:sz w:val="20"/>
          <w:szCs w:val="20"/>
          <w:lang w:eastAsia="en-GB"/>
        </w:rPr>
        <w:t xml:space="preserve"> </w:t>
      </w:r>
      <w:r w:rsidR="00545F89" w:rsidRPr="0019343D">
        <w:rPr>
          <w:rFonts w:ascii="Arial" w:eastAsia="Times New Roman" w:hAnsi="Arial" w:cs="Arial"/>
          <w:sz w:val="20"/>
          <w:szCs w:val="20"/>
          <w:lang w:eastAsia="en-GB"/>
        </w:rPr>
        <w:t>at</w:t>
      </w:r>
      <w:r w:rsidR="00C9709A">
        <w:rPr>
          <w:rFonts w:ascii="Arial" w:eastAsia="Times New Roman" w:hAnsi="Arial" w:cs="Arial"/>
          <w:sz w:val="20"/>
          <w:szCs w:val="20"/>
          <w:lang w:eastAsia="en-GB"/>
        </w:rPr>
        <w:t xml:space="preserve"> </w:t>
      </w:r>
      <w:r w:rsidR="00DA45DE">
        <w:rPr>
          <w:rFonts w:ascii="Arial" w:eastAsia="Times New Roman" w:hAnsi="Arial" w:cs="Arial"/>
          <w:sz w:val="20"/>
          <w:szCs w:val="20"/>
          <w:lang w:eastAsia="en-GB"/>
        </w:rPr>
        <w:t>Cavendish Capital Markets Limited, 1 Bartholomew Close, London EC1A 7BL</w:t>
      </w:r>
      <w:r w:rsidRPr="0019343D">
        <w:rPr>
          <w:rFonts w:ascii="Arial" w:eastAsia="Times New Roman" w:hAnsi="Arial" w:cs="Arial"/>
          <w:sz w:val="20"/>
          <w:szCs w:val="20"/>
          <w:lang w:eastAsia="en-GB"/>
        </w:rPr>
        <w:t xml:space="preserve">, the following Resolution </w:t>
      </w:r>
      <w:r w:rsidR="00EE66D9">
        <w:rPr>
          <w:rFonts w:ascii="Arial" w:eastAsia="Times New Roman" w:hAnsi="Arial" w:cs="Arial"/>
          <w:sz w:val="20"/>
          <w:szCs w:val="20"/>
          <w:lang w:eastAsia="en-GB"/>
        </w:rPr>
        <w:t xml:space="preserve">was </w:t>
      </w:r>
      <w:r w:rsidRPr="0019343D">
        <w:rPr>
          <w:rFonts w:ascii="Arial" w:eastAsia="Times New Roman" w:hAnsi="Arial" w:cs="Arial"/>
          <w:sz w:val="20"/>
          <w:szCs w:val="20"/>
          <w:lang w:eastAsia="en-GB"/>
        </w:rPr>
        <w:t xml:space="preserve">duly passed: </w:t>
      </w:r>
    </w:p>
    <w:p w14:paraId="02EBC566" w14:textId="77777777" w:rsidR="0019343D" w:rsidRDefault="0019343D" w:rsidP="0019343D">
      <w:pPr>
        <w:spacing w:before="1" w:line="235" w:lineRule="exact"/>
        <w:ind w:left="360" w:right="72"/>
        <w:jc w:val="both"/>
        <w:textAlignment w:val="baseline"/>
        <w:rPr>
          <w:rFonts w:ascii="Arial" w:eastAsia="Arial" w:hAnsi="Arial" w:cs="Arial"/>
          <w:b/>
          <w:bCs/>
          <w:spacing w:val="-3"/>
          <w:sz w:val="20"/>
          <w:szCs w:val="20"/>
        </w:rPr>
      </w:pPr>
    </w:p>
    <w:p w14:paraId="738CFD35" w14:textId="0F024FF1" w:rsidR="0019343D" w:rsidRPr="003533CF" w:rsidRDefault="00E5087D" w:rsidP="00074950">
      <w:pPr>
        <w:spacing w:before="26" w:line="218" w:lineRule="exact"/>
        <w:textAlignment w:val="baseline"/>
        <w:rPr>
          <w:rFonts w:ascii="Arial" w:eastAsia="Arial" w:hAnsi="Arial" w:cs="Arial"/>
          <w:spacing w:val="-3"/>
          <w:sz w:val="20"/>
          <w:szCs w:val="20"/>
        </w:rPr>
      </w:pPr>
      <w:r w:rsidRPr="0019343D">
        <w:rPr>
          <w:rFonts w:ascii="Arial" w:eastAsia="Arial" w:hAnsi="Arial" w:cs="Arial"/>
          <w:b/>
          <w:sz w:val="20"/>
          <w:szCs w:val="20"/>
          <w:lang w:val="en-GB"/>
        </w:rPr>
        <w:t>SP</w:t>
      </w:r>
      <w:r w:rsidR="00D33D1B" w:rsidRPr="0019343D">
        <w:rPr>
          <w:rFonts w:ascii="Arial" w:eastAsia="Arial" w:hAnsi="Arial" w:cs="Arial"/>
          <w:b/>
          <w:sz w:val="20"/>
          <w:szCs w:val="20"/>
          <w:lang w:val="en-GB"/>
        </w:rPr>
        <w:t>E</w:t>
      </w:r>
      <w:r w:rsidRPr="0019343D">
        <w:rPr>
          <w:rFonts w:ascii="Arial" w:eastAsia="Arial" w:hAnsi="Arial" w:cs="Arial"/>
          <w:b/>
          <w:sz w:val="20"/>
          <w:szCs w:val="20"/>
          <w:lang w:val="en-GB"/>
        </w:rPr>
        <w:t>CIAL RESOLUTION</w:t>
      </w:r>
    </w:p>
    <w:p w14:paraId="116E2E79" w14:textId="77777777" w:rsidR="0019343D" w:rsidRPr="0019343D" w:rsidRDefault="0019343D" w:rsidP="0019343D">
      <w:pPr>
        <w:spacing w:before="130" w:line="225" w:lineRule="exact"/>
        <w:jc w:val="both"/>
        <w:textAlignment w:val="baseline"/>
        <w:rPr>
          <w:rFonts w:ascii="Arial" w:eastAsia="Arial" w:hAnsi="Arial" w:cs="Arial"/>
          <w:b/>
          <w:sz w:val="20"/>
          <w:szCs w:val="20"/>
          <w:lang w:val="en-GB"/>
        </w:rPr>
      </w:pPr>
    </w:p>
    <w:p w14:paraId="1B84FB35" w14:textId="77777777" w:rsidR="00D44232" w:rsidRDefault="00D44232" w:rsidP="00A54C7F">
      <w:pPr>
        <w:autoSpaceDE w:val="0"/>
        <w:autoSpaceDN w:val="0"/>
        <w:adjustRightInd w:val="0"/>
        <w:jc w:val="both"/>
        <w:rPr>
          <w:rFonts w:ascii="HelveticaNeueLTStd-Lt" w:hAnsi="HelveticaNeueLTStd-Lt" w:cs="HelveticaNeueLTStd-Lt"/>
          <w:color w:val="221F1F"/>
          <w:sz w:val="20"/>
          <w:szCs w:val="20"/>
          <w:lang w:val="en-GB"/>
        </w:rPr>
      </w:pPr>
      <w:r w:rsidRPr="00074950">
        <w:rPr>
          <w:rFonts w:ascii="HelveticaNeueLTStd-Lt" w:hAnsi="HelveticaNeueLTStd-Lt" w:cs="HelveticaNeueLTStd-Lt"/>
          <w:b/>
          <w:bCs/>
          <w:color w:val="221F1F"/>
          <w:sz w:val="20"/>
          <w:szCs w:val="20"/>
          <w:lang w:val="en-GB"/>
        </w:rPr>
        <w:t>1</w:t>
      </w:r>
      <w:r>
        <w:rPr>
          <w:rFonts w:ascii="HelveticaNeueLTStd-Lt" w:hAnsi="HelveticaNeueLTStd-Lt" w:cs="HelveticaNeueLTStd-Lt"/>
          <w:color w:val="221F1F"/>
          <w:sz w:val="20"/>
          <w:szCs w:val="20"/>
          <w:lang w:val="en-GB"/>
        </w:rPr>
        <w:t xml:space="preserve"> </w:t>
      </w:r>
      <w:r w:rsidRPr="00A54C7F">
        <w:rPr>
          <w:rFonts w:ascii="HelveticaNeueLTStd-Bd" w:hAnsi="HelveticaNeueLTStd-Bd" w:cs="HelveticaNeueLTStd-Bd"/>
          <w:b/>
          <w:bCs/>
          <w:color w:val="221F1F"/>
          <w:sz w:val="20"/>
          <w:szCs w:val="20"/>
          <w:lang w:val="en-GB"/>
        </w:rPr>
        <w:t>That</w:t>
      </w:r>
      <w:r>
        <w:rPr>
          <w:rFonts w:ascii="HelveticaNeueLTStd-Lt" w:hAnsi="HelveticaNeueLTStd-Lt" w:cs="HelveticaNeueLTStd-Lt"/>
          <w:color w:val="221F1F"/>
          <w:sz w:val="20"/>
          <w:szCs w:val="20"/>
          <w:lang w:val="en-GB"/>
        </w:rPr>
        <w:t>:</w:t>
      </w:r>
    </w:p>
    <w:p w14:paraId="153F3451" w14:textId="77777777" w:rsidR="00D44232" w:rsidRDefault="00D44232" w:rsidP="00A54C7F">
      <w:pPr>
        <w:autoSpaceDE w:val="0"/>
        <w:autoSpaceDN w:val="0"/>
        <w:adjustRightInd w:val="0"/>
        <w:jc w:val="both"/>
        <w:rPr>
          <w:rFonts w:ascii="HelveticaNeueLTStd-Lt" w:hAnsi="HelveticaNeueLTStd-Lt" w:cs="HelveticaNeueLTStd-Lt"/>
          <w:color w:val="221F1F"/>
          <w:sz w:val="20"/>
          <w:szCs w:val="20"/>
          <w:lang w:val="en-GB"/>
        </w:rPr>
      </w:pPr>
    </w:p>
    <w:p w14:paraId="08513DA4" w14:textId="77777777" w:rsidR="00854FEB" w:rsidRDefault="00854FEB" w:rsidP="00854FEB">
      <w:pPr>
        <w:autoSpaceDE w:val="0"/>
        <w:autoSpaceDN w:val="0"/>
        <w:adjustRightInd w:val="0"/>
        <w:rPr>
          <w:rFonts w:ascii="HelveticaNeueLTStd-Lt" w:hAnsi="HelveticaNeueLTStd-Lt" w:cs="HelveticaNeueLTStd-Lt"/>
          <w:color w:val="221F1F"/>
          <w:sz w:val="20"/>
          <w:szCs w:val="20"/>
          <w:lang w:val="en-GB"/>
        </w:rPr>
      </w:pPr>
      <w:r>
        <w:rPr>
          <w:rFonts w:ascii="HelveticaNeueLTStd-Bd" w:hAnsi="HelveticaNeueLTStd-Bd" w:cs="HelveticaNeueLTStd-Bd"/>
          <w:color w:val="221F1F"/>
          <w:sz w:val="20"/>
          <w:szCs w:val="20"/>
          <w:lang w:val="en-GB"/>
        </w:rPr>
        <w:t xml:space="preserve">That </w:t>
      </w:r>
      <w:r>
        <w:rPr>
          <w:rFonts w:ascii="HelveticaNeueLTStd-Lt" w:hAnsi="HelveticaNeueLTStd-Lt" w:cs="HelveticaNeueLTStd-Lt"/>
          <w:color w:val="221F1F"/>
          <w:sz w:val="20"/>
          <w:szCs w:val="20"/>
          <w:lang w:val="en-GB"/>
        </w:rPr>
        <w:t>(provided that the Directors shall not have resolved, prior to the date of this meeting (or any</w:t>
      </w:r>
    </w:p>
    <w:p w14:paraId="2FB65FF2" w14:textId="77777777" w:rsidR="00854FEB" w:rsidRDefault="00854FEB" w:rsidP="00854FEB">
      <w:pPr>
        <w:autoSpaceDE w:val="0"/>
        <w:autoSpaceDN w:val="0"/>
        <w:adjustRightInd w:val="0"/>
        <w:rPr>
          <w:rFonts w:ascii="HelveticaNeueLTStd-Lt" w:hAnsi="HelveticaNeueLTStd-Lt" w:cs="HelveticaNeueLTStd-Lt"/>
          <w:color w:val="221F1F"/>
          <w:sz w:val="20"/>
          <w:szCs w:val="20"/>
          <w:lang w:val="en-GB"/>
        </w:rPr>
      </w:pPr>
      <w:r>
        <w:rPr>
          <w:rFonts w:ascii="HelveticaNeueLTStd-Lt" w:hAnsi="HelveticaNeueLTStd-Lt" w:cs="HelveticaNeueLTStd-Lt"/>
          <w:color w:val="221F1F"/>
          <w:sz w:val="20"/>
          <w:szCs w:val="20"/>
          <w:lang w:val="en-GB"/>
        </w:rPr>
        <w:t>adjournment thereof) to abandon the Scheme):</w:t>
      </w:r>
    </w:p>
    <w:p w14:paraId="38DD3090" w14:textId="77777777" w:rsidR="00854FEB" w:rsidRDefault="00854FEB" w:rsidP="00854FEB">
      <w:pPr>
        <w:autoSpaceDE w:val="0"/>
        <w:autoSpaceDN w:val="0"/>
        <w:adjustRightInd w:val="0"/>
        <w:rPr>
          <w:rFonts w:ascii="HelveticaNeueLTStd-Lt" w:hAnsi="HelveticaNeueLTStd-Lt" w:cs="HelveticaNeueLTStd-Lt"/>
          <w:color w:val="221F1F"/>
          <w:sz w:val="20"/>
          <w:szCs w:val="20"/>
          <w:lang w:val="en-GB"/>
        </w:rPr>
      </w:pPr>
    </w:p>
    <w:p w14:paraId="3FD5A469" w14:textId="3FE57931"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r>
        <w:rPr>
          <w:rFonts w:ascii="HelveticaNeueLTStd-Lt" w:hAnsi="HelveticaNeueLTStd-Lt" w:cs="HelveticaNeueLTStd-Lt"/>
          <w:color w:val="221F1F"/>
          <w:sz w:val="20"/>
          <w:szCs w:val="20"/>
          <w:lang w:val="en-GB"/>
        </w:rPr>
        <w:t>(</w:t>
      </w:r>
      <w:proofErr w:type="spellStart"/>
      <w:r>
        <w:rPr>
          <w:rFonts w:ascii="HelveticaNeueLTStd-Lt" w:hAnsi="HelveticaNeueLTStd-Lt" w:cs="HelveticaNeueLTStd-Lt"/>
          <w:color w:val="221F1F"/>
          <w:sz w:val="20"/>
          <w:szCs w:val="20"/>
          <w:lang w:val="en-GB"/>
        </w:rPr>
        <w:t>i</w:t>
      </w:r>
      <w:proofErr w:type="spellEnd"/>
      <w:r>
        <w:rPr>
          <w:rFonts w:ascii="HelveticaNeueLTStd-Lt" w:hAnsi="HelveticaNeueLTStd-Lt" w:cs="HelveticaNeueLTStd-Lt"/>
          <w:color w:val="221F1F"/>
          <w:sz w:val="20"/>
          <w:szCs w:val="20"/>
          <w:lang w:val="en-GB"/>
        </w:rPr>
        <w:t>) the Company be and is hereby wound up voluntarily under the provisions of the Insolvency Act 1986 and that Laura Waters and Steven Sherry, both licensed insolvency practitioners of PricewaterhouseCoopers LLP of 7 More London Riverside, London SE1 2RT, be and they are hereby appointed joint liquidators (the “</w:t>
      </w:r>
      <w:r>
        <w:rPr>
          <w:rFonts w:ascii="HelveticaNeueLTStd-Bd" w:hAnsi="HelveticaNeueLTStd-Bd" w:cs="HelveticaNeueLTStd-Bd"/>
          <w:color w:val="221F1F"/>
          <w:sz w:val="20"/>
          <w:szCs w:val="20"/>
          <w:lang w:val="en-GB"/>
        </w:rPr>
        <w:t>Liquidators</w:t>
      </w:r>
      <w:r>
        <w:rPr>
          <w:rFonts w:ascii="HelveticaNeueLTStd-Lt" w:hAnsi="HelveticaNeueLTStd-Lt" w:cs="HelveticaNeueLTStd-Lt"/>
          <w:color w:val="221F1F"/>
          <w:sz w:val="20"/>
          <w:szCs w:val="20"/>
          <w:lang w:val="en-GB"/>
        </w:rPr>
        <w:t>”) for the purposes of such winding-up and distributing the assets of the Company in accordance with the Scheme and any power conferred on them by law, the Articles of Association or by this resolution may be exercised by them jointly or by each of them alone;</w:t>
      </w:r>
    </w:p>
    <w:p w14:paraId="3B014425" w14:textId="77777777"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p>
    <w:p w14:paraId="27B9C52C" w14:textId="7DD5D438"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r>
        <w:rPr>
          <w:rFonts w:ascii="HelveticaNeueLTStd-Lt" w:hAnsi="HelveticaNeueLTStd-Lt" w:cs="HelveticaNeueLTStd-Lt"/>
          <w:color w:val="221F1F"/>
          <w:sz w:val="20"/>
          <w:szCs w:val="20"/>
          <w:lang w:val="en-GB"/>
        </w:rPr>
        <w:t>(ii) the remuneration of the Liquidators be determined by reference to the time properly given by them and their staff in attending to matters prior to and during the winding-up (including, without limitation, the implementation of the Scheme and any matters outside the statutory duties of the Liquidators and undertaken at the request of the members or a majority of them) and they be and are hereby authorised to draw such remuneration monthly or at such longer intervals as they may determine and to pay any expenses properly incurred by them and to give effect to the Scheme;</w:t>
      </w:r>
    </w:p>
    <w:p w14:paraId="0A8417F8" w14:textId="77777777"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p>
    <w:p w14:paraId="31A2B514" w14:textId="59F2EAA1"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r>
        <w:rPr>
          <w:rFonts w:ascii="HelveticaNeueLTStd-Lt" w:hAnsi="HelveticaNeueLTStd-Lt" w:cs="HelveticaNeueLTStd-Lt"/>
          <w:color w:val="221F1F"/>
          <w:sz w:val="20"/>
          <w:szCs w:val="20"/>
          <w:lang w:val="en-GB"/>
        </w:rPr>
        <w:t>(iii) the Company’s books and records be held by the Company Secretary to the order of the Liquidators until the expiry of 12 months after the date of dissolution of the Company, when they may be disposed of, save for financial and trading records which will be kept for a minimum of six years following the vacation of the Liquidators from office;</w:t>
      </w:r>
    </w:p>
    <w:p w14:paraId="56EABFB8" w14:textId="77777777"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p>
    <w:p w14:paraId="19C4D840" w14:textId="0E1A4DF2"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r>
        <w:rPr>
          <w:rFonts w:ascii="HelveticaNeueLTStd-Lt" w:hAnsi="HelveticaNeueLTStd-Lt" w:cs="HelveticaNeueLTStd-Lt"/>
          <w:color w:val="221F1F"/>
          <w:sz w:val="20"/>
          <w:szCs w:val="20"/>
          <w:lang w:val="en-GB"/>
        </w:rPr>
        <w:t>(iv) the Liquidators be empowered and directed to carry into effect the provisions of the Articles of Association as amended by the special resolutions set out in the notice of the First General Meeting contained in the Circular (as defined below</w:t>
      </w:r>
      <w:proofErr w:type="gramStart"/>
      <w:r>
        <w:rPr>
          <w:rFonts w:ascii="HelveticaNeueLTStd-Lt" w:hAnsi="HelveticaNeueLTStd-Lt" w:cs="HelveticaNeueLTStd-Lt"/>
          <w:color w:val="221F1F"/>
          <w:sz w:val="20"/>
          <w:szCs w:val="20"/>
          <w:lang w:val="en-GB"/>
        </w:rPr>
        <w:t>);</w:t>
      </w:r>
      <w:proofErr w:type="gramEnd"/>
    </w:p>
    <w:p w14:paraId="03AF5F65" w14:textId="77777777"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p>
    <w:p w14:paraId="66F497CF" w14:textId="7793FF20"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r>
        <w:rPr>
          <w:rFonts w:ascii="HelveticaNeueLTStd-Lt" w:hAnsi="HelveticaNeueLTStd-Lt" w:cs="HelveticaNeueLTStd-Lt"/>
          <w:color w:val="221F1F"/>
          <w:sz w:val="20"/>
          <w:szCs w:val="20"/>
          <w:lang w:val="en-GB"/>
        </w:rPr>
        <w:t>(v) the Liquidators be and are hereby authorised to exercise the powers laid down in Part I of Schedule 4 of the Insolvency Act 1986 as may be necessary or desirable in their judgment, acting jointly and severally, to give effect to the Scheme and/or to carry out the winding-up of the Company; and</w:t>
      </w:r>
    </w:p>
    <w:p w14:paraId="29AD4746" w14:textId="77777777" w:rsidR="00854FEB" w:rsidRDefault="00854FEB" w:rsidP="00854FEB">
      <w:pPr>
        <w:autoSpaceDE w:val="0"/>
        <w:autoSpaceDN w:val="0"/>
        <w:adjustRightInd w:val="0"/>
        <w:ind w:left="720"/>
        <w:jc w:val="both"/>
        <w:rPr>
          <w:rFonts w:ascii="HelveticaNeueLTStd-Lt" w:hAnsi="HelveticaNeueLTStd-Lt" w:cs="HelveticaNeueLTStd-Lt"/>
          <w:color w:val="221F1F"/>
          <w:sz w:val="20"/>
          <w:szCs w:val="20"/>
          <w:lang w:val="en-GB"/>
        </w:rPr>
      </w:pPr>
    </w:p>
    <w:p w14:paraId="012626A2" w14:textId="287E4D48" w:rsidR="00E27F13" w:rsidRPr="0019343D" w:rsidRDefault="00854FEB" w:rsidP="00854FEB">
      <w:pPr>
        <w:autoSpaceDE w:val="0"/>
        <w:autoSpaceDN w:val="0"/>
        <w:adjustRightInd w:val="0"/>
        <w:ind w:left="720"/>
        <w:jc w:val="both"/>
        <w:rPr>
          <w:rFonts w:ascii="Arial" w:eastAsia="Arial Narrow" w:hAnsi="Arial" w:cs="Arial"/>
          <w:spacing w:val="6"/>
          <w:sz w:val="20"/>
          <w:szCs w:val="20"/>
        </w:rPr>
      </w:pPr>
      <w:r>
        <w:rPr>
          <w:rFonts w:ascii="HelveticaNeueLTStd-Lt" w:hAnsi="HelveticaNeueLTStd-Lt" w:cs="HelveticaNeueLTStd-Lt"/>
          <w:color w:val="221F1F"/>
          <w:sz w:val="20"/>
          <w:szCs w:val="20"/>
          <w:lang w:val="en-GB"/>
        </w:rPr>
        <w:t>(vi) the definitions contained in the circular to shareholders of the Company dated 6 November 2025 (the “</w:t>
      </w:r>
      <w:r>
        <w:rPr>
          <w:rFonts w:ascii="HelveticaNeueLTStd-Bd" w:hAnsi="HelveticaNeueLTStd-Bd" w:cs="HelveticaNeueLTStd-Bd"/>
          <w:color w:val="221F1F"/>
          <w:sz w:val="20"/>
          <w:szCs w:val="20"/>
          <w:lang w:val="en-GB"/>
        </w:rPr>
        <w:t>Circular</w:t>
      </w:r>
      <w:r>
        <w:rPr>
          <w:rFonts w:ascii="HelveticaNeueLTStd-Lt" w:hAnsi="HelveticaNeueLTStd-Lt" w:cs="HelveticaNeueLTStd-Lt"/>
          <w:color w:val="221F1F"/>
          <w:sz w:val="20"/>
          <w:szCs w:val="20"/>
          <w:lang w:val="en-GB"/>
        </w:rPr>
        <w:t>”) have the same meanings in this special resolution.</w:t>
      </w:r>
    </w:p>
    <w:sectPr w:rsidR="00E27F13" w:rsidRPr="0019343D" w:rsidSect="00EB24AF">
      <w:type w:val="continuous"/>
      <w:pgSz w:w="11904" w:h="16843"/>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Lt">
    <w:altName w:val="Arial"/>
    <w:panose1 w:val="00000000000000000000"/>
    <w:charset w:val="00"/>
    <w:family w:val="auto"/>
    <w:notTrueType/>
    <w:pitch w:val="default"/>
    <w:sig w:usb0="00000003" w:usb1="00000000" w:usb2="00000000" w:usb3="00000000" w:csb0="00000001" w:csb1="00000000"/>
  </w:font>
  <w:font w:name="HelveticaNeueLTStd-B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822"/>
    <w:multiLevelType w:val="multilevel"/>
    <w:tmpl w:val="4A42306C"/>
    <w:lvl w:ilvl="0">
      <w:start w:val="1"/>
      <w:numFmt w:val="lowerRoman"/>
      <w:lvlText w:val="(%1)"/>
      <w:lvlJc w:val="left"/>
      <w:pPr>
        <w:tabs>
          <w:tab w:val="left" w:pos="288"/>
        </w:tabs>
      </w:pPr>
      <w:rPr>
        <w:rFonts w:ascii="Tahoma" w:eastAsia="Tahoma" w:hAnsi="Tahoma"/>
        <w:color w:val="auto"/>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 w15:restartNumberingAfterBreak="0">
    <w:nsid w:val="0CE71F22"/>
    <w:multiLevelType w:val="multilevel"/>
    <w:tmpl w:val="3662A3C0"/>
    <w:lvl w:ilvl="0">
      <w:start w:val="1"/>
      <w:numFmt w:val="decimal"/>
      <w:lvlText w:val="%1."/>
      <w:lvlJc w:val="left"/>
      <w:pPr>
        <w:tabs>
          <w:tab w:val="left" w:pos="360"/>
        </w:tabs>
      </w:pPr>
      <w:rPr>
        <w:rFonts w:ascii="Tahoma" w:eastAsia="Tahoma" w:hAnsi="Tahoma"/>
        <w:b/>
        <w:color w:val="013B59"/>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8202A"/>
    <w:multiLevelType w:val="hybridMultilevel"/>
    <w:tmpl w:val="C9AEA512"/>
    <w:lvl w:ilvl="0" w:tplc="92A89C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17AFC"/>
    <w:multiLevelType w:val="hybridMultilevel"/>
    <w:tmpl w:val="EEF60F02"/>
    <w:lvl w:ilvl="0" w:tplc="B9A6A6F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7" w15:restartNumberingAfterBreak="0">
    <w:nsid w:val="1B8B4B8F"/>
    <w:multiLevelType w:val="hybridMultilevel"/>
    <w:tmpl w:val="E28A6514"/>
    <w:lvl w:ilvl="0" w:tplc="08090013">
      <w:start w:val="1"/>
      <w:numFmt w:val="upp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8"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10" w15:restartNumberingAfterBreak="0">
    <w:nsid w:val="2EEA13CD"/>
    <w:multiLevelType w:val="multilevel"/>
    <w:tmpl w:val="AF1E803C"/>
    <w:lvl w:ilvl="0">
      <w:start w:val="6"/>
      <w:numFmt w:val="lowerLetter"/>
      <w:lvlText w:val="(%1)"/>
      <w:lvlJc w:val="left"/>
      <w:pPr>
        <w:tabs>
          <w:tab w:val="left" w:pos="288"/>
        </w:tabs>
      </w:pPr>
      <w:rPr>
        <w:rFonts w:ascii="Arial" w:eastAsia="Tahoma" w:hAnsi="Arial" w:cs="Arial" w:hint="default"/>
        <w:color w:val="auto"/>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66422"/>
    <w:multiLevelType w:val="multilevel"/>
    <w:tmpl w:val="FF40FD68"/>
    <w:lvl w:ilvl="0">
      <w:start w:val="1"/>
      <w:numFmt w:val="lowerLetter"/>
      <w:lvlText w:val="(%1)"/>
      <w:lvlJc w:val="left"/>
      <w:pPr>
        <w:tabs>
          <w:tab w:val="left" w:pos="288"/>
        </w:tabs>
      </w:pPr>
      <w:rPr>
        <w:rFonts w:ascii="Arial" w:eastAsia="Arial Narrow" w:hAnsi="Arial" w:cs="Arial" w:hint="default"/>
        <w:color w:val="auto"/>
        <w:spacing w:val="6"/>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D425A"/>
    <w:multiLevelType w:val="multilevel"/>
    <w:tmpl w:val="79CCFA24"/>
    <w:lvl w:ilvl="0">
      <w:start w:val="1"/>
      <w:numFmt w:val="decimal"/>
      <w:lvlText w:val="%1."/>
      <w:lvlJc w:val="left"/>
      <w:pPr>
        <w:tabs>
          <w:tab w:val="left" w:pos="360"/>
        </w:tabs>
      </w:pPr>
      <w:rPr>
        <w:rFonts w:ascii="Tahoma" w:eastAsia="Tahoma" w:hAnsi="Tahoma"/>
        <w:b/>
        <w:color w:val="013B59"/>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106E0D"/>
    <w:multiLevelType w:val="hybridMultilevel"/>
    <w:tmpl w:val="BDD2A0A0"/>
    <w:lvl w:ilvl="0" w:tplc="14B85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1527C1"/>
    <w:multiLevelType w:val="multilevel"/>
    <w:tmpl w:val="9A264E00"/>
    <w:lvl w:ilvl="0">
      <w:start w:val="10"/>
      <w:numFmt w:val="decimal"/>
      <w:lvlText w:val="%1."/>
      <w:lvlJc w:val="left"/>
      <w:pPr>
        <w:tabs>
          <w:tab w:val="left" w:pos="288"/>
        </w:tabs>
      </w:pPr>
      <w:rPr>
        <w:rFonts w:ascii="Arial Narrow" w:eastAsia="Arial Narrow" w:hAnsi="Arial Narrow"/>
        <w:color w:val="013B59"/>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267D3D"/>
    <w:multiLevelType w:val="multilevel"/>
    <w:tmpl w:val="A008BC40"/>
    <w:lvl w:ilvl="0">
      <w:start w:val="1"/>
      <w:numFmt w:val="lowerLetter"/>
      <w:lvlText w:val="(%1)"/>
      <w:lvlJc w:val="left"/>
      <w:pPr>
        <w:tabs>
          <w:tab w:val="left" w:pos="216"/>
        </w:tabs>
      </w:pPr>
      <w:rPr>
        <w:rFonts w:ascii="Tahoma" w:eastAsia="Tahoma" w:hAnsi="Tahoma"/>
        <w:color w:val="013B59"/>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564C6B"/>
    <w:multiLevelType w:val="hybridMultilevel"/>
    <w:tmpl w:val="84984D3C"/>
    <w:lvl w:ilvl="0" w:tplc="9F283C24">
      <w:start w:val="1"/>
      <w:numFmt w:val="lowerRoman"/>
      <w:lvlText w:val="(%1)"/>
      <w:lvlJc w:val="left"/>
      <w:pPr>
        <w:ind w:left="1866" w:hanging="72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2"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24" w15:restartNumberingAfterBreak="0">
    <w:nsid w:val="529F54E9"/>
    <w:multiLevelType w:val="multilevel"/>
    <w:tmpl w:val="539E5DA2"/>
    <w:lvl w:ilvl="0">
      <w:start w:val="1"/>
      <w:numFmt w:val="lowerRoman"/>
      <w:lvlText w:val="(%1)"/>
      <w:lvlJc w:val="left"/>
      <w:pPr>
        <w:tabs>
          <w:tab w:val="left" w:pos="288"/>
        </w:tabs>
      </w:pPr>
      <w:rPr>
        <w:rFonts w:ascii="Tahoma" w:eastAsia="Tahoma" w:hAnsi="Tahoma"/>
        <w:color w:val="013B59"/>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5834572"/>
    <w:multiLevelType w:val="hybridMultilevel"/>
    <w:tmpl w:val="D31EB5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77C07"/>
    <w:multiLevelType w:val="multilevel"/>
    <w:tmpl w:val="950C8684"/>
    <w:lvl w:ilvl="0">
      <w:start w:val="1"/>
      <w:numFmt w:val="lowerRoman"/>
      <w:lvlText w:val="(%1)"/>
      <w:lvlJc w:val="left"/>
      <w:pPr>
        <w:tabs>
          <w:tab w:val="left" w:pos="288"/>
        </w:tabs>
      </w:pPr>
      <w:rPr>
        <w:rFonts w:ascii="Arial" w:eastAsia="Arial Narrow" w:hAnsi="Arial" w:cs="Arial" w:hint="default"/>
        <w:color w:val="auto"/>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2B1592"/>
    <w:multiLevelType w:val="hybridMultilevel"/>
    <w:tmpl w:val="0AC2F720"/>
    <w:lvl w:ilvl="0" w:tplc="A24A7926">
      <w:start w:val="1"/>
      <w:numFmt w:val="lowerRoman"/>
      <w:lvlText w:val="(%1)"/>
      <w:lvlJc w:val="left"/>
      <w:pPr>
        <w:ind w:left="1368" w:hanging="72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9" w15:restartNumberingAfterBreak="0">
    <w:nsid w:val="5F296EA5"/>
    <w:multiLevelType w:val="hybridMultilevel"/>
    <w:tmpl w:val="538A43D4"/>
    <w:lvl w:ilvl="0" w:tplc="FFFC2658">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31" w15:restartNumberingAfterBreak="0">
    <w:nsid w:val="651949A5"/>
    <w:multiLevelType w:val="hybridMultilevel"/>
    <w:tmpl w:val="3610702A"/>
    <w:lvl w:ilvl="0" w:tplc="9FCCF42E">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2" w15:restartNumberingAfterBreak="0">
    <w:nsid w:val="679764F5"/>
    <w:multiLevelType w:val="multilevel"/>
    <w:tmpl w:val="CC3EFFF2"/>
    <w:lvl w:ilvl="0">
      <w:start w:val="1"/>
      <w:numFmt w:val="lowerRoman"/>
      <w:lvlText w:val="(%1)"/>
      <w:lvlJc w:val="left"/>
      <w:pPr>
        <w:tabs>
          <w:tab w:val="left" w:pos="288"/>
        </w:tabs>
      </w:pPr>
      <w:rPr>
        <w:rFonts w:ascii="Tahoma" w:eastAsia="Tahoma" w:hAnsi="Tahoma"/>
        <w:color w:val="013B59"/>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53086F"/>
    <w:multiLevelType w:val="hybridMultilevel"/>
    <w:tmpl w:val="9B408CBA"/>
    <w:lvl w:ilvl="0" w:tplc="B3F43C52">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A231033"/>
    <w:multiLevelType w:val="hybridMultilevel"/>
    <w:tmpl w:val="4D180FD0"/>
    <w:lvl w:ilvl="0" w:tplc="4BEADE8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36"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FD5F86"/>
    <w:multiLevelType w:val="hybridMultilevel"/>
    <w:tmpl w:val="D5E07B12"/>
    <w:lvl w:ilvl="0" w:tplc="E2B8524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C6B79EC"/>
    <w:multiLevelType w:val="multilevel"/>
    <w:tmpl w:val="53988202"/>
    <w:lvl w:ilvl="0">
      <w:start w:val="1"/>
      <w:numFmt w:val="lowerRoman"/>
      <w:lvlText w:val="(%1)"/>
      <w:lvlJc w:val="left"/>
      <w:pPr>
        <w:tabs>
          <w:tab w:val="left" w:pos="288"/>
        </w:tabs>
      </w:pPr>
      <w:rPr>
        <w:rFonts w:ascii="Arial" w:eastAsia="Tahoma" w:hAnsi="Arial" w:cs="Arial" w:hint="default"/>
        <w:color w:val="auto"/>
        <w:spacing w:val="-1"/>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16cid:durableId="1684353358">
    <w:abstractNumId w:val="17"/>
  </w:num>
  <w:num w:numId="2" w16cid:durableId="179200269">
    <w:abstractNumId w:val="19"/>
  </w:num>
  <w:num w:numId="3" w16cid:durableId="1742870760">
    <w:abstractNumId w:val="36"/>
  </w:num>
  <w:num w:numId="4" w16cid:durableId="258947519">
    <w:abstractNumId w:val="13"/>
  </w:num>
  <w:num w:numId="5" w16cid:durableId="912466090">
    <w:abstractNumId w:val="5"/>
  </w:num>
  <w:num w:numId="6" w16cid:durableId="2134446572">
    <w:abstractNumId w:val="15"/>
  </w:num>
  <w:num w:numId="7" w16cid:durableId="696737571">
    <w:abstractNumId w:val="9"/>
  </w:num>
  <w:num w:numId="8" w16cid:durableId="613486493">
    <w:abstractNumId w:val="41"/>
  </w:num>
  <w:num w:numId="9" w16cid:durableId="1061632029">
    <w:abstractNumId w:val="30"/>
  </w:num>
  <w:num w:numId="10" w16cid:durableId="809444187">
    <w:abstractNumId w:val="6"/>
  </w:num>
  <w:num w:numId="11" w16cid:durableId="2123918872">
    <w:abstractNumId w:val="35"/>
  </w:num>
  <w:num w:numId="12" w16cid:durableId="1461610095">
    <w:abstractNumId w:val="23"/>
  </w:num>
  <w:num w:numId="13" w16cid:durableId="1565796125">
    <w:abstractNumId w:val="12"/>
  </w:num>
  <w:num w:numId="14" w16cid:durableId="1090152446">
    <w:abstractNumId w:val="40"/>
  </w:num>
  <w:num w:numId="15" w16cid:durableId="316958455">
    <w:abstractNumId w:val="8"/>
  </w:num>
  <w:num w:numId="16" w16cid:durableId="1946376052">
    <w:abstractNumId w:val="37"/>
  </w:num>
  <w:num w:numId="17" w16cid:durableId="114065365">
    <w:abstractNumId w:val="22"/>
    <w:lvlOverride w:ilvl="0">
      <w:startOverride w:val="1"/>
    </w:lvlOverride>
    <w:lvlOverride w:ilvl="1"/>
    <w:lvlOverride w:ilvl="2"/>
    <w:lvlOverride w:ilvl="3"/>
    <w:lvlOverride w:ilvl="4"/>
    <w:lvlOverride w:ilvl="5"/>
    <w:lvlOverride w:ilvl="6"/>
    <w:lvlOverride w:ilvl="7"/>
    <w:lvlOverride w:ilvl="8"/>
  </w:num>
  <w:num w:numId="18" w16cid:durableId="809783707">
    <w:abstractNumId w:val="1"/>
  </w:num>
  <w:num w:numId="19" w16cid:durableId="1093936700">
    <w:abstractNumId w:val="25"/>
    <w:lvlOverride w:ilvl="0">
      <w:startOverride w:val="1"/>
    </w:lvlOverride>
    <w:lvlOverride w:ilvl="1"/>
    <w:lvlOverride w:ilvl="2"/>
    <w:lvlOverride w:ilvl="3"/>
    <w:lvlOverride w:ilvl="4"/>
    <w:lvlOverride w:ilvl="5"/>
    <w:lvlOverride w:ilvl="6"/>
    <w:lvlOverride w:ilvl="7"/>
    <w:lvlOverride w:ilvl="8"/>
  </w:num>
  <w:num w:numId="20" w16cid:durableId="851534502">
    <w:abstractNumId w:val="31"/>
  </w:num>
  <w:num w:numId="21" w16cid:durableId="257913352">
    <w:abstractNumId w:val="38"/>
  </w:num>
  <w:num w:numId="22" w16cid:durableId="1876043603">
    <w:abstractNumId w:val="21"/>
  </w:num>
  <w:num w:numId="23" w16cid:durableId="1217544497">
    <w:abstractNumId w:val="7"/>
  </w:num>
  <w:num w:numId="24" w16cid:durableId="285088592">
    <w:abstractNumId w:val="26"/>
  </w:num>
  <w:num w:numId="25" w16cid:durableId="1673024605">
    <w:abstractNumId w:val="18"/>
  </w:num>
  <w:num w:numId="26" w16cid:durableId="418792367">
    <w:abstractNumId w:val="11"/>
  </w:num>
  <w:num w:numId="27" w16cid:durableId="878013626">
    <w:abstractNumId w:val="27"/>
  </w:num>
  <w:num w:numId="28" w16cid:durableId="1753774409">
    <w:abstractNumId w:val="28"/>
  </w:num>
  <w:num w:numId="29" w16cid:durableId="702247226">
    <w:abstractNumId w:val="16"/>
  </w:num>
  <w:num w:numId="30" w16cid:durableId="593055023">
    <w:abstractNumId w:val="3"/>
  </w:num>
  <w:num w:numId="31" w16cid:durableId="378020457">
    <w:abstractNumId w:val="14"/>
  </w:num>
  <w:num w:numId="32" w16cid:durableId="2103649635">
    <w:abstractNumId w:val="39"/>
  </w:num>
  <w:num w:numId="33" w16cid:durableId="1674642830">
    <w:abstractNumId w:val="0"/>
  </w:num>
  <w:num w:numId="34" w16cid:durableId="1532764249">
    <w:abstractNumId w:val="10"/>
  </w:num>
  <w:num w:numId="35" w16cid:durableId="1887989547">
    <w:abstractNumId w:val="34"/>
  </w:num>
  <w:num w:numId="36" w16cid:durableId="1389109652">
    <w:abstractNumId w:val="2"/>
  </w:num>
  <w:num w:numId="37" w16cid:durableId="1278490580">
    <w:abstractNumId w:val="20"/>
  </w:num>
  <w:num w:numId="38" w16cid:durableId="1808475590">
    <w:abstractNumId w:val="24"/>
  </w:num>
  <w:num w:numId="39" w16cid:durableId="295335095">
    <w:abstractNumId w:val="32"/>
  </w:num>
  <w:num w:numId="40" w16cid:durableId="1716275640">
    <w:abstractNumId w:val="4"/>
  </w:num>
  <w:num w:numId="41" w16cid:durableId="1642495688">
    <w:abstractNumId w:val="29"/>
  </w:num>
  <w:num w:numId="42" w16cid:durableId="14757609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074950"/>
    <w:rsid w:val="00100A6D"/>
    <w:rsid w:val="00133C95"/>
    <w:rsid w:val="00144C39"/>
    <w:rsid w:val="0019343D"/>
    <w:rsid w:val="001A33F2"/>
    <w:rsid w:val="001D7D46"/>
    <w:rsid w:val="00213108"/>
    <w:rsid w:val="002216CC"/>
    <w:rsid w:val="002C0B7F"/>
    <w:rsid w:val="003024B4"/>
    <w:rsid w:val="003418B5"/>
    <w:rsid w:val="003533CF"/>
    <w:rsid w:val="00385802"/>
    <w:rsid w:val="003A1E45"/>
    <w:rsid w:val="003B4870"/>
    <w:rsid w:val="004500C9"/>
    <w:rsid w:val="00464683"/>
    <w:rsid w:val="00511021"/>
    <w:rsid w:val="00545F89"/>
    <w:rsid w:val="00561902"/>
    <w:rsid w:val="006009D2"/>
    <w:rsid w:val="0061736C"/>
    <w:rsid w:val="0067722F"/>
    <w:rsid w:val="006F2096"/>
    <w:rsid w:val="00721D15"/>
    <w:rsid w:val="007364DE"/>
    <w:rsid w:val="00763C75"/>
    <w:rsid w:val="007B01D6"/>
    <w:rsid w:val="007F2869"/>
    <w:rsid w:val="00800809"/>
    <w:rsid w:val="00802C43"/>
    <w:rsid w:val="00854FEB"/>
    <w:rsid w:val="008B6308"/>
    <w:rsid w:val="008C5020"/>
    <w:rsid w:val="008E5DD8"/>
    <w:rsid w:val="00933579"/>
    <w:rsid w:val="00940941"/>
    <w:rsid w:val="00981064"/>
    <w:rsid w:val="00A36051"/>
    <w:rsid w:val="00A54C7F"/>
    <w:rsid w:val="00AB677A"/>
    <w:rsid w:val="00BD2E2B"/>
    <w:rsid w:val="00C23129"/>
    <w:rsid w:val="00C32D9F"/>
    <w:rsid w:val="00C8115B"/>
    <w:rsid w:val="00C9709A"/>
    <w:rsid w:val="00D33D1B"/>
    <w:rsid w:val="00D40232"/>
    <w:rsid w:val="00D42034"/>
    <w:rsid w:val="00D44232"/>
    <w:rsid w:val="00D9273E"/>
    <w:rsid w:val="00DA45DE"/>
    <w:rsid w:val="00E27F13"/>
    <w:rsid w:val="00E5087D"/>
    <w:rsid w:val="00E832AC"/>
    <w:rsid w:val="00EA2DD6"/>
    <w:rsid w:val="00EB24AF"/>
    <w:rsid w:val="00E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471</Words>
  <Characters>2363</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Paris Condon</cp:lastModifiedBy>
  <cp:revision>4</cp:revision>
  <cp:lastPrinted>2018-06-13T13:36:00Z</cp:lastPrinted>
  <dcterms:created xsi:type="dcterms:W3CDTF">2025-11-28T12:45:00Z</dcterms:created>
  <dcterms:modified xsi:type="dcterms:W3CDTF">2025-12-04T14:05:00Z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y fmtid="{D5CDD505-2E9C-101B-9397-08002B2CF9AE}" pid="7" name="GrammarlyDocumentId">
    <vt:lpwstr>7278bbeff93e9085ac95fa35f7028ab5682a87597a8ffdb1ece1450ba82865a1</vt:lpwstr>
  </property>
</Properties>
</file>