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E774" w14:textId="77777777" w:rsidR="005D16E1" w:rsidRPr="0048798D" w:rsidRDefault="0048798D" w:rsidP="00B0714B">
      <w:pPr>
        <w:spacing w:line="240" w:lineRule="auto"/>
        <w:contextualSpacing/>
        <w:rPr>
          <w:rFonts w:asciiTheme="majorHAnsi" w:hAnsiTheme="majorHAnsi" w:cstheme="majorHAnsi"/>
          <w:b/>
          <w:sz w:val="24"/>
          <w:szCs w:val="24"/>
        </w:rPr>
      </w:pPr>
      <w:r w:rsidRPr="0048798D">
        <w:rPr>
          <w:rFonts w:asciiTheme="majorHAnsi" w:hAnsiTheme="majorHAnsi" w:cstheme="majorHAnsi"/>
          <w:b/>
          <w:sz w:val="24"/>
          <w:szCs w:val="24"/>
        </w:rPr>
        <w:t>Company No. 3581541</w:t>
      </w:r>
    </w:p>
    <w:p w14:paraId="2DEA106D" w14:textId="77777777" w:rsidR="0048798D" w:rsidRPr="0048798D" w:rsidRDefault="0048798D" w:rsidP="00B0714B">
      <w:pPr>
        <w:spacing w:line="240" w:lineRule="auto"/>
        <w:contextualSpacing/>
        <w:rPr>
          <w:rFonts w:asciiTheme="majorHAnsi" w:hAnsiTheme="majorHAnsi" w:cstheme="majorHAnsi"/>
          <w:b/>
          <w:sz w:val="24"/>
          <w:szCs w:val="24"/>
        </w:rPr>
      </w:pPr>
    </w:p>
    <w:p w14:paraId="078503C9" w14:textId="77777777" w:rsidR="0048798D" w:rsidRP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The Companies Act 2006</w:t>
      </w:r>
    </w:p>
    <w:p w14:paraId="14EEF5DD" w14:textId="77777777" w:rsidR="0048798D" w:rsidRP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Public Company Limited by Shares</w:t>
      </w:r>
    </w:p>
    <w:p w14:paraId="2E5AC979" w14:textId="77777777" w:rsid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Ordinary and Special Resolutions</w:t>
      </w:r>
      <w:r w:rsidRPr="0048798D">
        <w:rPr>
          <w:rFonts w:asciiTheme="majorHAnsi" w:hAnsiTheme="majorHAnsi" w:cstheme="majorHAnsi"/>
          <w:b/>
          <w:sz w:val="24"/>
          <w:szCs w:val="24"/>
          <w:vertAlign w:val="superscript"/>
        </w:rPr>
        <w:t>1</w:t>
      </w:r>
      <w:r w:rsidRPr="0048798D">
        <w:rPr>
          <w:rFonts w:asciiTheme="majorHAnsi" w:hAnsiTheme="majorHAnsi" w:cstheme="majorHAnsi"/>
          <w:b/>
          <w:sz w:val="24"/>
          <w:szCs w:val="24"/>
        </w:rPr>
        <w:t xml:space="preserve"> of</w:t>
      </w:r>
    </w:p>
    <w:p w14:paraId="6BEFE48C" w14:textId="77777777" w:rsidR="00B0714B" w:rsidRPr="0048798D" w:rsidRDefault="00B0714B" w:rsidP="00B0714B">
      <w:pPr>
        <w:spacing w:line="240" w:lineRule="auto"/>
        <w:contextualSpacing/>
        <w:jc w:val="center"/>
        <w:rPr>
          <w:rFonts w:asciiTheme="majorHAnsi" w:hAnsiTheme="majorHAnsi" w:cstheme="majorHAnsi"/>
          <w:b/>
          <w:sz w:val="24"/>
          <w:szCs w:val="24"/>
        </w:rPr>
      </w:pPr>
    </w:p>
    <w:p w14:paraId="6D1FB489" w14:textId="77777777" w:rsidR="0048798D" w:rsidRP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PAYPOINT PLC (“the Company”)</w:t>
      </w:r>
    </w:p>
    <w:p w14:paraId="745DD856" w14:textId="77777777" w:rsidR="0048798D" w:rsidRPr="0048798D" w:rsidRDefault="0048798D" w:rsidP="00B0714B">
      <w:pPr>
        <w:spacing w:line="240" w:lineRule="auto"/>
        <w:contextualSpacing/>
        <w:rPr>
          <w:rFonts w:asciiTheme="majorHAnsi" w:hAnsiTheme="majorHAnsi" w:cstheme="majorHAnsi"/>
          <w:sz w:val="24"/>
          <w:szCs w:val="24"/>
        </w:rPr>
      </w:pPr>
    </w:p>
    <w:p w14:paraId="4F416316" w14:textId="1AB63645" w:rsidR="0048798D" w:rsidRPr="0048798D" w:rsidRDefault="0048798D" w:rsidP="00B0714B">
      <w:pPr>
        <w:spacing w:line="240" w:lineRule="auto"/>
        <w:contextualSpacing/>
        <w:rPr>
          <w:rFonts w:asciiTheme="majorHAnsi" w:hAnsiTheme="majorHAnsi" w:cstheme="majorHAnsi"/>
          <w:sz w:val="24"/>
          <w:szCs w:val="24"/>
        </w:rPr>
      </w:pPr>
      <w:r w:rsidRPr="0048798D">
        <w:rPr>
          <w:rFonts w:asciiTheme="majorHAnsi" w:hAnsiTheme="majorHAnsi" w:cstheme="majorHAnsi"/>
          <w:sz w:val="24"/>
          <w:szCs w:val="24"/>
        </w:rPr>
        <w:t>The following ordinary and special resolutions</w:t>
      </w:r>
      <w:r w:rsidRPr="0048798D">
        <w:rPr>
          <w:rFonts w:asciiTheme="majorHAnsi" w:hAnsiTheme="majorHAnsi" w:cstheme="majorHAnsi"/>
          <w:sz w:val="24"/>
          <w:szCs w:val="24"/>
          <w:vertAlign w:val="superscript"/>
        </w:rPr>
        <w:t>1</w:t>
      </w:r>
      <w:r w:rsidRPr="0048798D">
        <w:rPr>
          <w:rFonts w:asciiTheme="majorHAnsi" w:hAnsiTheme="majorHAnsi" w:cstheme="majorHAnsi"/>
          <w:sz w:val="24"/>
          <w:szCs w:val="24"/>
        </w:rPr>
        <w:t xml:space="preserve"> were passed at the Annual General Meeting of the Company, duly </w:t>
      </w:r>
      <w:proofErr w:type="gramStart"/>
      <w:r w:rsidRPr="0048798D">
        <w:rPr>
          <w:rFonts w:asciiTheme="majorHAnsi" w:hAnsiTheme="majorHAnsi" w:cstheme="majorHAnsi"/>
          <w:sz w:val="24"/>
          <w:szCs w:val="24"/>
        </w:rPr>
        <w:t>convened</w:t>
      </w:r>
      <w:proofErr w:type="gramEnd"/>
      <w:r w:rsidRPr="0048798D">
        <w:rPr>
          <w:rFonts w:asciiTheme="majorHAnsi" w:hAnsiTheme="majorHAnsi" w:cstheme="majorHAnsi"/>
          <w:sz w:val="24"/>
          <w:szCs w:val="24"/>
        </w:rPr>
        <w:t xml:space="preserve"> and held at 1 The Boulevard, Shire Park, Welwyn Garden City, Hertfordshire AL7 1EL</w:t>
      </w:r>
      <w:r>
        <w:rPr>
          <w:rFonts w:asciiTheme="majorHAnsi" w:hAnsiTheme="majorHAnsi" w:cstheme="majorHAnsi"/>
          <w:sz w:val="24"/>
          <w:szCs w:val="24"/>
        </w:rPr>
        <w:t xml:space="preserve"> on </w:t>
      </w:r>
      <w:r w:rsidR="00FB6051">
        <w:rPr>
          <w:rFonts w:asciiTheme="majorHAnsi" w:hAnsiTheme="majorHAnsi" w:cstheme="majorHAnsi"/>
          <w:sz w:val="24"/>
          <w:szCs w:val="24"/>
        </w:rPr>
        <w:t>Wednesday 2</w:t>
      </w:r>
      <w:r w:rsidR="0049168A">
        <w:rPr>
          <w:rFonts w:asciiTheme="majorHAnsi" w:hAnsiTheme="majorHAnsi" w:cstheme="majorHAnsi"/>
          <w:sz w:val="24"/>
          <w:szCs w:val="24"/>
        </w:rPr>
        <w:t>0</w:t>
      </w:r>
      <w:r w:rsidR="00FB6051">
        <w:rPr>
          <w:rFonts w:asciiTheme="majorHAnsi" w:hAnsiTheme="majorHAnsi" w:cstheme="majorHAnsi"/>
          <w:sz w:val="24"/>
          <w:szCs w:val="24"/>
        </w:rPr>
        <w:t xml:space="preserve"> July 202</w:t>
      </w:r>
      <w:r w:rsidR="0049168A">
        <w:rPr>
          <w:rFonts w:asciiTheme="majorHAnsi" w:hAnsiTheme="majorHAnsi" w:cstheme="majorHAnsi"/>
          <w:sz w:val="24"/>
          <w:szCs w:val="24"/>
        </w:rPr>
        <w:t>2</w:t>
      </w:r>
      <w:r>
        <w:rPr>
          <w:rFonts w:asciiTheme="majorHAnsi" w:hAnsiTheme="majorHAnsi" w:cstheme="majorHAnsi"/>
          <w:sz w:val="24"/>
          <w:szCs w:val="24"/>
        </w:rPr>
        <w:t>.</w:t>
      </w:r>
    </w:p>
    <w:p w14:paraId="1A8328F9" w14:textId="77777777" w:rsidR="0048798D" w:rsidRPr="0048798D" w:rsidRDefault="0048798D" w:rsidP="00B0714B">
      <w:pPr>
        <w:spacing w:line="240" w:lineRule="auto"/>
        <w:contextualSpacing/>
        <w:rPr>
          <w:rFonts w:asciiTheme="majorHAnsi" w:hAnsiTheme="majorHAnsi" w:cstheme="majorHAnsi"/>
          <w:sz w:val="24"/>
          <w:szCs w:val="24"/>
        </w:rPr>
      </w:pPr>
    </w:p>
    <w:p w14:paraId="34C7941A" w14:textId="77777777" w:rsidR="0048798D" w:rsidRDefault="0048798D" w:rsidP="00B0714B">
      <w:pPr>
        <w:spacing w:line="240" w:lineRule="auto"/>
        <w:contextualSpacing/>
        <w:rPr>
          <w:rFonts w:asciiTheme="majorHAnsi" w:hAnsiTheme="majorHAnsi" w:cstheme="majorHAnsi"/>
          <w:b/>
          <w:sz w:val="24"/>
          <w:szCs w:val="24"/>
          <w:u w:val="single"/>
        </w:rPr>
      </w:pPr>
      <w:r w:rsidRPr="00B0714B">
        <w:rPr>
          <w:rFonts w:asciiTheme="majorHAnsi" w:hAnsiTheme="majorHAnsi" w:cstheme="majorHAnsi"/>
          <w:b/>
          <w:sz w:val="24"/>
          <w:szCs w:val="24"/>
          <w:u w:val="single"/>
        </w:rPr>
        <w:t>ORDINARY RESOLUTION</w:t>
      </w:r>
      <w:r w:rsidR="00B0714B">
        <w:rPr>
          <w:rFonts w:asciiTheme="majorHAnsi" w:hAnsiTheme="majorHAnsi" w:cstheme="majorHAnsi"/>
          <w:b/>
          <w:sz w:val="24"/>
          <w:szCs w:val="24"/>
          <w:u w:val="single"/>
        </w:rPr>
        <w:t>S</w:t>
      </w:r>
    </w:p>
    <w:p w14:paraId="67897366" w14:textId="77777777" w:rsidR="00B0714B" w:rsidRPr="00B0714B" w:rsidRDefault="00B0714B" w:rsidP="00B0714B">
      <w:pPr>
        <w:spacing w:line="240" w:lineRule="auto"/>
        <w:contextualSpacing/>
        <w:rPr>
          <w:rFonts w:asciiTheme="majorHAnsi" w:hAnsiTheme="majorHAnsi" w:cstheme="majorHAnsi"/>
          <w:b/>
          <w:sz w:val="24"/>
          <w:szCs w:val="24"/>
          <w:u w:val="single"/>
        </w:rPr>
      </w:pPr>
    </w:p>
    <w:p w14:paraId="1F1CF49C" w14:textId="29182155" w:rsidR="0048798D" w:rsidRPr="0048798D" w:rsidRDefault="0048798D" w:rsidP="00B0714B">
      <w:pPr>
        <w:tabs>
          <w:tab w:val="left" w:pos="501"/>
        </w:tabs>
        <w:spacing w:line="240" w:lineRule="auto"/>
        <w:contextualSpacing/>
        <w:rPr>
          <w:rFonts w:asciiTheme="majorHAnsi" w:hAnsiTheme="majorHAnsi" w:cstheme="majorHAnsi"/>
          <w:b/>
          <w:sz w:val="24"/>
          <w:szCs w:val="24"/>
        </w:rPr>
      </w:pPr>
      <w:r w:rsidRPr="0048798D">
        <w:rPr>
          <w:rFonts w:asciiTheme="majorHAnsi" w:hAnsiTheme="majorHAnsi" w:cstheme="majorHAnsi"/>
          <w:b/>
          <w:color w:val="3C3C3B"/>
          <w:sz w:val="24"/>
          <w:szCs w:val="24"/>
        </w:rPr>
        <w:t>Resolution 1</w:t>
      </w:r>
      <w:r w:rsidR="00FB6051">
        <w:rPr>
          <w:rFonts w:asciiTheme="majorHAnsi" w:hAnsiTheme="majorHAnsi" w:cstheme="majorHAnsi"/>
          <w:b/>
          <w:color w:val="3C3C3B"/>
          <w:sz w:val="24"/>
          <w:szCs w:val="24"/>
        </w:rPr>
        <w:t>3</w:t>
      </w:r>
      <w:r w:rsidRPr="0048798D">
        <w:rPr>
          <w:rFonts w:asciiTheme="majorHAnsi" w:hAnsiTheme="majorHAnsi" w:cstheme="majorHAnsi"/>
          <w:b/>
          <w:color w:val="3C3C3B"/>
          <w:sz w:val="24"/>
          <w:szCs w:val="24"/>
        </w:rPr>
        <w:t>: Directors’ authority to allot</w:t>
      </w:r>
      <w:r w:rsidRPr="0048798D">
        <w:rPr>
          <w:rFonts w:asciiTheme="majorHAnsi" w:hAnsiTheme="majorHAnsi" w:cstheme="majorHAnsi"/>
          <w:b/>
          <w:color w:val="3C3C3B"/>
          <w:spacing w:val="-16"/>
          <w:sz w:val="24"/>
          <w:szCs w:val="24"/>
        </w:rPr>
        <w:t xml:space="preserve"> </w:t>
      </w:r>
      <w:r w:rsidRPr="0048798D">
        <w:rPr>
          <w:rFonts w:asciiTheme="majorHAnsi" w:hAnsiTheme="majorHAnsi" w:cstheme="majorHAnsi"/>
          <w:b/>
          <w:color w:val="3C3C3B"/>
          <w:sz w:val="24"/>
          <w:szCs w:val="24"/>
        </w:rPr>
        <w:t>shares</w:t>
      </w:r>
    </w:p>
    <w:p w14:paraId="34E0D55F" w14:textId="77777777" w:rsidR="0048798D" w:rsidRPr="0048798D" w:rsidRDefault="0048798D" w:rsidP="00B0714B">
      <w:pPr>
        <w:pStyle w:val="BodyText"/>
        <w:spacing w:before="1"/>
        <w:ind w:left="500" w:right="432"/>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the Board be generally and unconditionally authorised under section 551 of the Companies Act 2006 to allot shares in the Company and to grant rights to subscribe for or convert any security into shares in the Company:</w:t>
      </w:r>
    </w:p>
    <w:p w14:paraId="3066690A" w14:textId="77777777" w:rsidR="0048798D" w:rsidRPr="0048798D" w:rsidRDefault="0048798D" w:rsidP="00B0714B">
      <w:pPr>
        <w:pStyle w:val="BodyText"/>
        <w:spacing w:before="8"/>
        <w:contextualSpacing/>
        <w:rPr>
          <w:rFonts w:asciiTheme="majorHAnsi" w:hAnsiTheme="majorHAnsi" w:cstheme="majorHAnsi"/>
          <w:sz w:val="24"/>
          <w:szCs w:val="24"/>
        </w:rPr>
      </w:pPr>
    </w:p>
    <w:p w14:paraId="63D88211" w14:textId="59F28C48" w:rsidR="0048798D" w:rsidRPr="0048798D" w:rsidRDefault="0048798D" w:rsidP="00B0714B">
      <w:pPr>
        <w:pStyle w:val="ListParagraph"/>
        <w:numPr>
          <w:ilvl w:val="1"/>
          <w:numId w:val="2"/>
        </w:numPr>
        <w:tabs>
          <w:tab w:val="left" w:pos="784"/>
        </w:tabs>
        <w:ind w:right="512"/>
        <w:contextualSpacing/>
        <w:rPr>
          <w:rFonts w:asciiTheme="majorHAnsi" w:hAnsiTheme="majorHAnsi" w:cstheme="majorHAnsi"/>
          <w:sz w:val="24"/>
          <w:szCs w:val="24"/>
        </w:rPr>
      </w:pPr>
      <w:r w:rsidRPr="0048798D">
        <w:rPr>
          <w:rFonts w:asciiTheme="majorHAnsi" w:hAnsiTheme="majorHAnsi" w:cstheme="majorHAnsi"/>
          <w:color w:val="3C3C3B"/>
          <w:sz w:val="24"/>
          <w:szCs w:val="24"/>
        </w:rPr>
        <w:t>up</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nominal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£7</w:t>
      </w:r>
      <w:r w:rsidR="007F4205">
        <w:rPr>
          <w:rFonts w:asciiTheme="majorHAnsi" w:hAnsiTheme="majorHAnsi" w:cstheme="majorHAnsi"/>
          <w:color w:val="3C3C3B"/>
          <w:sz w:val="24"/>
          <w:szCs w:val="24"/>
        </w:rPr>
        <w:t>6,285</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reduced</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allotments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grants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made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under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paragraph</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 xml:space="preserve">(B) below </w:t>
      </w:r>
      <w:proofErr w:type="gramStart"/>
      <w:r w:rsidRPr="0048798D">
        <w:rPr>
          <w:rFonts w:asciiTheme="majorHAnsi" w:hAnsiTheme="majorHAnsi" w:cstheme="majorHAnsi"/>
          <w:color w:val="3C3C3B"/>
          <w:sz w:val="24"/>
          <w:szCs w:val="24"/>
        </w:rPr>
        <w:t>in excess of</w:t>
      </w:r>
      <w:proofErr w:type="gramEnd"/>
      <w:r w:rsidRPr="0048798D">
        <w:rPr>
          <w:rFonts w:asciiTheme="majorHAnsi" w:hAnsiTheme="majorHAnsi" w:cstheme="majorHAnsi"/>
          <w:color w:val="3C3C3B"/>
          <w:sz w:val="24"/>
          <w:szCs w:val="24"/>
        </w:rPr>
        <w:t xml:space="preserve"> such sum);</w:t>
      </w:r>
      <w:r w:rsidRPr="0048798D">
        <w:rPr>
          <w:rFonts w:asciiTheme="majorHAnsi" w:hAnsiTheme="majorHAnsi" w:cstheme="majorHAnsi"/>
          <w:color w:val="3C3C3B"/>
          <w:spacing w:val="-25"/>
          <w:sz w:val="24"/>
          <w:szCs w:val="24"/>
        </w:rPr>
        <w:t xml:space="preserve"> </w:t>
      </w:r>
      <w:r w:rsidRPr="0048798D">
        <w:rPr>
          <w:rFonts w:asciiTheme="majorHAnsi" w:hAnsiTheme="majorHAnsi" w:cstheme="majorHAnsi"/>
          <w:color w:val="3C3C3B"/>
          <w:sz w:val="24"/>
          <w:szCs w:val="24"/>
        </w:rPr>
        <w:t>and</w:t>
      </w:r>
    </w:p>
    <w:p w14:paraId="0402B36D" w14:textId="77777777" w:rsidR="0048798D" w:rsidRPr="0048798D" w:rsidRDefault="0048798D" w:rsidP="00B0714B">
      <w:pPr>
        <w:pStyle w:val="BodyText"/>
        <w:spacing w:before="8"/>
        <w:contextualSpacing/>
        <w:rPr>
          <w:rFonts w:asciiTheme="majorHAnsi" w:hAnsiTheme="majorHAnsi" w:cstheme="majorHAnsi"/>
          <w:sz w:val="24"/>
          <w:szCs w:val="24"/>
        </w:rPr>
      </w:pPr>
    </w:p>
    <w:p w14:paraId="76AA09A0" w14:textId="1F704474" w:rsidR="0048798D" w:rsidRPr="0048798D" w:rsidRDefault="0048798D" w:rsidP="00B0714B">
      <w:pPr>
        <w:pStyle w:val="ListParagraph"/>
        <w:numPr>
          <w:ilvl w:val="1"/>
          <w:numId w:val="2"/>
        </w:numPr>
        <w:tabs>
          <w:tab w:val="left" w:pos="784"/>
        </w:tabs>
        <w:ind w:right="116"/>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comprising equity securities </w:t>
      </w:r>
      <w:r w:rsidRPr="0048798D">
        <w:rPr>
          <w:rFonts w:asciiTheme="majorHAnsi" w:hAnsiTheme="majorHAnsi" w:cstheme="majorHAnsi"/>
          <w:color w:val="3C3C3B"/>
          <w:spacing w:val="-3"/>
          <w:sz w:val="24"/>
          <w:szCs w:val="24"/>
        </w:rPr>
        <w:t xml:space="preserve">(as </w:t>
      </w:r>
      <w:r w:rsidRPr="0048798D">
        <w:rPr>
          <w:rFonts w:asciiTheme="majorHAnsi" w:hAnsiTheme="majorHAnsi" w:cstheme="majorHAnsi"/>
          <w:color w:val="3C3C3B"/>
          <w:sz w:val="24"/>
          <w:szCs w:val="24"/>
        </w:rPr>
        <w:t>defined in section 560(1) of the Companies Act 2006) up to a nominal amount of £</w:t>
      </w:r>
      <w:r w:rsidR="007F4205">
        <w:rPr>
          <w:rFonts w:asciiTheme="majorHAnsi" w:hAnsiTheme="majorHAnsi" w:cstheme="majorHAnsi"/>
          <w:color w:val="3C3C3B"/>
          <w:sz w:val="24"/>
          <w:szCs w:val="24"/>
        </w:rPr>
        <w:t>152,570</w:t>
      </w:r>
      <w:r w:rsidRPr="0048798D">
        <w:rPr>
          <w:rFonts w:asciiTheme="majorHAnsi" w:hAnsiTheme="majorHAnsi" w:cstheme="majorHAnsi"/>
          <w:color w:val="3C3C3B"/>
          <w:sz w:val="24"/>
          <w:szCs w:val="24"/>
        </w:rPr>
        <w:t xml:space="preserve"> (such amount to be reduced by any allotments or grants made under paragraph </w:t>
      </w:r>
      <w:r w:rsidRPr="0048798D">
        <w:rPr>
          <w:rFonts w:asciiTheme="majorHAnsi" w:hAnsiTheme="majorHAnsi" w:cstheme="majorHAnsi"/>
          <w:color w:val="3C3C3B"/>
          <w:spacing w:val="-3"/>
          <w:sz w:val="24"/>
          <w:szCs w:val="24"/>
        </w:rPr>
        <w:t xml:space="preserve">(A) </w:t>
      </w:r>
      <w:r w:rsidRPr="0048798D">
        <w:rPr>
          <w:rFonts w:asciiTheme="majorHAnsi" w:hAnsiTheme="majorHAnsi" w:cstheme="majorHAnsi"/>
          <w:color w:val="3C3C3B"/>
          <w:sz w:val="24"/>
          <w:szCs w:val="24"/>
        </w:rPr>
        <w:t>above) in connection with an offer by way of a rights</w:t>
      </w:r>
      <w:r w:rsidRPr="0048798D">
        <w:rPr>
          <w:rFonts w:asciiTheme="majorHAnsi" w:hAnsiTheme="majorHAnsi" w:cstheme="majorHAnsi"/>
          <w:color w:val="3C3C3B"/>
          <w:spacing w:val="-16"/>
          <w:sz w:val="24"/>
          <w:szCs w:val="24"/>
        </w:rPr>
        <w:t xml:space="preserve"> </w:t>
      </w:r>
      <w:r w:rsidRPr="0048798D">
        <w:rPr>
          <w:rFonts w:asciiTheme="majorHAnsi" w:hAnsiTheme="majorHAnsi" w:cstheme="majorHAnsi"/>
          <w:color w:val="3C3C3B"/>
          <w:sz w:val="24"/>
          <w:szCs w:val="24"/>
        </w:rPr>
        <w:t>issue:</w:t>
      </w:r>
    </w:p>
    <w:p w14:paraId="744045B1" w14:textId="77777777" w:rsidR="0048798D" w:rsidRPr="0048798D" w:rsidRDefault="0048798D" w:rsidP="00B0714B">
      <w:pPr>
        <w:pStyle w:val="BodyText"/>
        <w:spacing w:before="5"/>
        <w:contextualSpacing/>
        <w:rPr>
          <w:rFonts w:asciiTheme="majorHAnsi" w:hAnsiTheme="majorHAnsi" w:cstheme="majorHAnsi"/>
          <w:sz w:val="24"/>
          <w:szCs w:val="24"/>
        </w:rPr>
      </w:pPr>
    </w:p>
    <w:p w14:paraId="60BEA031" w14:textId="77777777" w:rsidR="00B0714B" w:rsidRPr="00B0714B" w:rsidRDefault="0048798D" w:rsidP="00B0714B">
      <w:pPr>
        <w:pStyle w:val="ListParagraph"/>
        <w:numPr>
          <w:ilvl w:val="0"/>
          <w:numId w:val="1"/>
        </w:numPr>
        <w:tabs>
          <w:tab w:val="left" w:pos="538"/>
        </w:tabs>
        <w:ind w:firstLine="172"/>
        <w:contextualSpacing/>
        <w:rPr>
          <w:rFonts w:asciiTheme="majorHAnsi" w:hAnsiTheme="majorHAnsi" w:cstheme="majorHAnsi"/>
          <w:sz w:val="24"/>
          <w:szCs w:val="24"/>
        </w:rPr>
      </w:pP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shareholders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proportion</w:t>
      </w:r>
      <w:r w:rsidRPr="0048798D">
        <w:rPr>
          <w:rFonts w:asciiTheme="majorHAnsi" w:hAnsiTheme="majorHAnsi" w:cstheme="majorHAnsi"/>
          <w:color w:val="3C3C3B"/>
          <w:spacing w:val="-3"/>
          <w:sz w:val="24"/>
          <w:szCs w:val="24"/>
        </w:rPr>
        <w:t xml:space="preserve"> (as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nearly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practicable)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p>
    <w:p w14:paraId="0C14729D" w14:textId="77777777" w:rsidR="0048798D" w:rsidRPr="0048798D" w:rsidRDefault="00B0714B" w:rsidP="00B0714B">
      <w:pPr>
        <w:pStyle w:val="ListParagraph"/>
        <w:tabs>
          <w:tab w:val="left" w:pos="538"/>
        </w:tabs>
        <w:ind w:left="709" w:firstLine="0"/>
        <w:contextualSpacing/>
        <w:rPr>
          <w:rFonts w:asciiTheme="majorHAnsi" w:hAnsiTheme="majorHAnsi" w:cstheme="majorHAnsi"/>
          <w:sz w:val="24"/>
          <w:szCs w:val="24"/>
        </w:rPr>
      </w:pPr>
      <w:r>
        <w:rPr>
          <w:rFonts w:asciiTheme="majorHAnsi" w:hAnsiTheme="majorHAnsi" w:cstheme="majorHAnsi"/>
          <w:color w:val="3C3C3B"/>
          <w:spacing w:val="-3"/>
          <w:sz w:val="24"/>
          <w:szCs w:val="24"/>
        </w:rPr>
        <w:tab/>
      </w:r>
      <w:r>
        <w:rPr>
          <w:rFonts w:asciiTheme="majorHAnsi" w:hAnsiTheme="majorHAnsi" w:cstheme="majorHAnsi"/>
          <w:color w:val="3C3C3B"/>
          <w:spacing w:val="-3"/>
          <w:sz w:val="24"/>
          <w:szCs w:val="24"/>
        </w:rPr>
        <w:tab/>
      </w:r>
      <w:r w:rsidR="0048798D" w:rsidRPr="0048798D">
        <w:rPr>
          <w:rFonts w:asciiTheme="majorHAnsi" w:hAnsiTheme="majorHAnsi" w:cstheme="majorHAnsi"/>
          <w:color w:val="3C3C3B"/>
          <w:sz w:val="24"/>
          <w:szCs w:val="24"/>
        </w:rPr>
        <w:t>their</w:t>
      </w:r>
      <w:r w:rsidR="0048798D" w:rsidRPr="0048798D">
        <w:rPr>
          <w:rFonts w:asciiTheme="majorHAnsi" w:hAnsiTheme="majorHAnsi" w:cstheme="majorHAnsi"/>
          <w:color w:val="3C3C3B"/>
          <w:spacing w:val="-3"/>
          <w:sz w:val="24"/>
          <w:szCs w:val="24"/>
        </w:rPr>
        <w:t xml:space="preserve"> </w:t>
      </w:r>
      <w:r w:rsidR="0048798D" w:rsidRPr="0048798D">
        <w:rPr>
          <w:rFonts w:asciiTheme="majorHAnsi" w:hAnsiTheme="majorHAnsi" w:cstheme="majorHAnsi"/>
          <w:color w:val="3C3C3B"/>
          <w:sz w:val="24"/>
          <w:szCs w:val="24"/>
        </w:rPr>
        <w:t>existing</w:t>
      </w:r>
      <w:r w:rsidR="0048798D" w:rsidRPr="0048798D">
        <w:rPr>
          <w:rFonts w:asciiTheme="majorHAnsi" w:hAnsiTheme="majorHAnsi" w:cstheme="majorHAnsi"/>
          <w:color w:val="3C3C3B"/>
          <w:spacing w:val="-4"/>
          <w:sz w:val="24"/>
          <w:szCs w:val="24"/>
        </w:rPr>
        <w:t xml:space="preserve"> </w:t>
      </w:r>
      <w:r w:rsidR="0048798D" w:rsidRPr="0048798D">
        <w:rPr>
          <w:rFonts w:asciiTheme="majorHAnsi" w:hAnsiTheme="majorHAnsi" w:cstheme="majorHAnsi"/>
          <w:color w:val="3C3C3B"/>
          <w:sz w:val="24"/>
          <w:szCs w:val="24"/>
        </w:rPr>
        <w:t>holdings;</w:t>
      </w:r>
      <w:r w:rsidR="0048798D" w:rsidRPr="0048798D">
        <w:rPr>
          <w:rFonts w:asciiTheme="majorHAnsi" w:hAnsiTheme="majorHAnsi" w:cstheme="majorHAnsi"/>
          <w:color w:val="3C3C3B"/>
          <w:spacing w:val="-3"/>
          <w:sz w:val="24"/>
          <w:szCs w:val="24"/>
        </w:rPr>
        <w:t xml:space="preserve"> </w:t>
      </w:r>
      <w:r w:rsidR="0048798D" w:rsidRPr="0048798D">
        <w:rPr>
          <w:rFonts w:asciiTheme="majorHAnsi" w:hAnsiTheme="majorHAnsi" w:cstheme="majorHAnsi"/>
          <w:color w:val="3C3C3B"/>
          <w:sz w:val="24"/>
          <w:szCs w:val="24"/>
        </w:rPr>
        <w:t>and</w:t>
      </w:r>
    </w:p>
    <w:p w14:paraId="077D995A" w14:textId="77777777" w:rsidR="0048798D" w:rsidRPr="0048798D" w:rsidRDefault="0048798D" w:rsidP="00B0714B">
      <w:pPr>
        <w:pStyle w:val="BodyText"/>
        <w:spacing w:before="7"/>
        <w:contextualSpacing/>
        <w:rPr>
          <w:rFonts w:asciiTheme="majorHAnsi" w:hAnsiTheme="majorHAnsi" w:cstheme="majorHAnsi"/>
          <w:sz w:val="24"/>
          <w:szCs w:val="24"/>
        </w:rPr>
      </w:pPr>
    </w:p>
    <w:p w14:paraId="7870BA87" w14:textId="77777777" w:rsidR="00B0714B" w:rsidRPr="00B0714B" w:rsidRDefault="0048798D" w:rsidP="00B0714B">
      <w:pPr>
        <w:pStyle w:val="ListParagraph"/>
        <w:numPr>
          <w:ilvl w:val="0"/>
          <w:numId w:val="1"/>
        </w:numPr>
        <w:tabs>
          <w:tab w:val="left" w:pos="501"/>
        </w:tabs>
        <w:ind w:left="500" w:right="927" w:firstLine="209"/>
        <w:contextualSpacing/>
        <w:rPr>
          <w:rFonts w:asciiTheme="majorHAnsi" w:hAnsiTheme="majorHAnsi" w:cstheme="majorHAnsi"/>
          <w:sz w:val="24"/>
          <w:szCs w:val="24"/>
        </w:rPr>
      </w:pPr>
      <w:r w:rsidRPr="00B0714B">
        <w:rPr>
          <w:rFonts w:asciiTheme="majorHAnsi" w:hAnsiTheme="majorHAnsi" w:cstheme="majorHAnsi"/>
          <w:color w:val="3C3C3B"/>
          <w:sz w:val="24"/>
          <w:szCs w:val="24"/>
        </w:rPr>
        <w:t xml:space="preserve">to holders of other equity securities as required by the rights of </w:t>
      </w:r>
      <w:r w:rsidR="00B0714B">
        <w:rPr>
          <w:rFonts w:asciiTheme="majorHAnsi" w:hAnsiTheme="majorHAnsi" w:cstheme="majorHAnsi"/>
          <w:color w:val="3C3C3B"/>
          <w:sz w:val="24"/>
          <w:szCs w:val="24"/>
        </w:rPr>
        <w:t xml:space="preserve"> </w:t>
      </w:r>
    </w:p>
    <w:p w14:paraId="17B0CD06" w14:textId="77777777" w:rsidR="0048798D" w:rsidRPr="00B0714B" w:rsidRDefault="00B0714B" w:rsidP="00B0714B">
      <w:pPr>
        <w:pStyle w:val="ListParagraph"/>
        <w:tabs>
          <w:tab w:val="left" w:pos="501"/>
        </w:tabs>
        <w:ind w:left="709" w:right="927" w:firstLine="0"/>
        <w:contextualSpacing/>
        <w:rPr>
          <w:rFonts w:asciiTheme="majorHAnsi" w:hAnsiTheme="majorHAnsi" w:cstheme="majorHAnsi"/>
          <w:sz w:val="24"/>
          <w:szCs w:val="24"/>
        </w:rPr>
      </w:pPr>
      <w:r>
        <w:rPr>
          <w:rFonts w:asciiTheme="majorHAnsi" w:hAnsiTheme="majorHAnsi" w:cstheme="majorHAnsi"/>
          <w:color w:val="3C3C3B"/>
          <w:sz w:val="24"/>
          <w:szCs w:val="24"/>
        </w:rPr>
        <w:tab/>
      </w:r>
      <w:r>
        <w:rPr>
          <w:rFonts w:asciiTheme="majorHAnsi" w:hAnsiTheme="majorHAnsi" w:cstheme="majorHAnsi"/>
          <w:color w:val="3C3C3B"/>
          <w:sz w:val="24"/>
          <w:szCs w:val="24"/>
        </w:rPr>
        <w:tab/>
        <w:t>t</w:t>
      </w:r>
      <w:r w:rsidR="0048798D" w:rsidRPr="00B0714B">
        <w:rPr>
          <w:rFonts w:asciiTheme="majorHAnsi" w:hAnsiTheme="majorHAnsi" w:cstheme="majorHAnsi"/>
          <w:color w:val="3C3C3B"/>
          <w:sz w:val="24"/>
          <w:szCs w:val="24"/>
        </w:rPr>
        <w:t>hose securities or as the Board otherwise considers necessary,</w:t>
      </w:r>
    </w:p>
    <w:p w14:paraId="74B61BF2" w14:textId="77777777" w:rsidR="0048798D" w:rsidRPr="0048798D" w:rsidRDefault="0048798D" w:rsidP="00B0714B">
      <w:pPr>
        <w:pStyle w:val="BodyText"/>
        <w:spacing w:before="8"/>
        <w:contextualSpacing/>
        <w:rPr>
          <w:rFonts w:asciiTheme="majorHAnsi" w:hAnsiTheme="majorHAnsi" w:cstheme="majorHAnsi"/>
          <w:sz w:val="24"/>
          <w:szCs w:val="24"/>
        </w:rPr>
      </w:pPr>
    </w:p>
    <w:p w14:paraId="095AF8AC" w14:textId="6553A906" w:rsidR="0048798D" w:rsidRPr="0048798D" w:rsidRDefault="0048798D" w:rsidP="00B0714B">
      <w:pPr>
        <w:pStyle w:val="BodyText"/>
        <w:spacing w:before="1"/>
        <w:ind w:left="500" w:right="114"/>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and so that the Board may impose any limits or restrictions and make any arrangements which it considers necessary or appropriate to deal with treasury shares, fractional entitlements, record dates, legal, regulatory or practical problems in, or under the laws </w:t>
      </w:r>
      <w:r w:rsidRPr="0048798D">
        <w:rPr>
          <w:rFonts w:asciiTheme="majorHAnsi" w:hAnsiTheme="majorHAnsi" w:cstheme="majorHAnsi"/>
          <w:color w:val="3C3C3B"/>
          <w:spacing w:val="-4"/>
          <w:sz w:val="24"/>
          <w:szCs w:val="24"/>
        </w:rPr>
        <w:t xml:space="preserve">of, </w:t>
      </w:r>
      <w:r w:rsidRPr="0048798D">
        <w:rPr>
          <w:rFonts w:asciiTheme="majorHAnsi" w:hAnsiTheme="majorHAnsi" w:cstheme="majorHAnsi"/>
          <w:color w:val="3C3C3B"/>
          <w:sz w:val="24"/>
          <w:szCs w:val="24"/>
        </w:rPr>
        <w:t xml:space="preserve">any territory or any other matter, such authorities to apply until the end of the AGM in </w:t>
      </w:r>
      <w:r w:rsidRPr="0048798D">
        <w:rPr>
          <w:rFonts w:asciiTheme="majorHAnsi" w:hAnsiTheme="majorHAnsi" w:cstheme="majorHAnsi"/>
          <w:color w:val="3C3C3B"/>
          <w:spacing w:val="-3"/>
          <w:sz w:val="24"/>
          <w:szCs w:val="24"/>
        </w:rPr>
        <w:t>202</w:t>
      </w:r>
      <w:r w:rsidR="007F4205">
        <w:rPr>
          <w:rFonts w:asciiTheme="majorHAnsi" w:hAnsiTheme="majorHAnsi" w:cstheme="majorHAnsi"/>
          <w:color w:val="3C3C3B"/>
          <w:spacing w:val="-3"/>
          <w:sz w:val="24"/>
          <w:szCs w:val="24"/>
        </w:rPr>
        <w:t>2</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pacing w:val="-5"/>
          <w:sz w:val="24"/>
          <w:szCs w:val="24"/>
        </w:rPr>
        <w:t xml:space="preserve">(or, </w:t>
      </w:r>
      <w:r w:rsidRPr="0048798D">
        <w:rPr>
          <w:rFonts w:asciiTheme="majorHAnsi" w:hAnsiTheme="majorHAnsi" w:cstheme="majorHAnsi"/>
          <w:color w:val="3C3C3B"/>
          <w:sz w:val="24"/>
          <w:szCs w:val="24"/>
        </w:rPr>
        <w:t>if earlier, until the close of business on 2</w:t>
      </w:r>
      <w:r w:rsidR="007F4205">
        <w:rPr>
          <w:rFonts w:asciiTheme="majorHAnsi" w:hAnsiTheme="majorHAnsi" w:cstheme="majorHAnsi"/>
          <w:color w:val="3C3C3B"/>
          <w:sz w:val="24"/>
          <w:szCs w:val="24"/>
        </w:rPr>
        <w:t>1</w:t>
      </w:r>
      <w:r w:rsidRPr="0048798D">
        <w:rPr>
          <w:rFonts w:asciiTheme="majorHAnsi" w:hAnsiTheme="majorHAnsi" w:cstheme="majorHAnsi"/>
          <w:color w:val="3C3C3B"/>
          <w:sz w:val="24"/>
          <w:szCs w:val="24"/>
        </w:rPr>
        <w:t xml:space="preserve"> October </w:t>
      </w:r>
      <w:r w:rsidRPr="0048798D">
        <w:rPr>
          <w:rFonts w:asciiTheme="majorHAnsi" w:hAnsiTheme="majorHAnsi" w:cstheme="majorHAnsi"/>
          <w:color w:val="3C3C3B"/>
          <w:spacing w:val="-4"/>
          <w:sz w:val="24"/>
          <w:szCs w:val="24"/>
        </w:rPr>
        <w:t>202</w:t>
      </w:r>
      <w:r w:rsidR="007F4205">
        <w:rPr>
          <w:rFonts w:asciiTheme="majorHAnsi" w:hAnsiTheme="majorHAnsi" w:cstheme="majorHAnsi"/>
          <w:color w:val="3C3C3B"/>
          <w:spacing w:val="-4"/>
          <w:sz w:val="24"/>
          <w:szCs w:val="24"/>
        </w:rPr>
        <w:t>2</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but, in each case, during this period the Company may make offers and enter into agreements which would, or might, require shares to be allotted or rights to subscribe for or convert securities into shares to be granted after the authority ends and the Board may allot shares or grant rights to subscribe for or convert securities into shares under any such offer or agreement as if the authority had not ended.</w:t>
      </w:r>
    </w:p>
    <w:p w14:paraId="02028560" w14:textId="77777777" w:rsidR="00B0714B" w:rsidRDefault="00B0714B">
      <w:pPr>
        <w:rPr>
          <w:rFonts w:asciiTheme="majorHAnsi" w:hAnsiTheme="majorHAnsi" w:cstheme="majorHAnsi"/>
          <w:sz w:val="24"/>
          <w:szCs w:val="24"/>
        </w:rPr>
      </w:pPr>
      <w:r>
        <w:rPr>
          <w:rFonts w:asciiTheme="majorHAnsi" w:hAnsiTheme="majorHAnsi" w:cstheme="majorHAnsi"/>
          <w:sz w:val="24"/>
          <w:szCs w:val="24"/>
        </w:rPr>
        <w:br w:type="page"/>
      </w:r>
    </w:p>
    <w:p w14:paraId="35C371C4" w14:textId="77777777" w:rsidR="0048798D" w:rsidRPr="0048798D" w:rsidRDefault="0048798D" w:rsidP="00B0714B">
      <w:pPr>
        <w:spacing w:line="240" w:lineRule="auto"/>
        <w:contextualSpacing/>
        <w:rPr>
          <w:rFonts w:asciiTheme="majorHAnsi" w:hAnsiTheme="majorHAnsi" w:cstheme="majorHAnsi"/>
          <w:sz w:val="24"/>
          <w:szCs w:val="24"/>
        </w:rPr>
      </w:pPr>
    </w:p>
    <w:p w14:paraId="0376D1E7" w14:textId="77777777" w:rsidR="0048798D" w:rsidRPr="0048798D" w:rsidRDefault="0048798D" w:rsidP="00B0714B">
      <w:pPr>
        <w:spacing w:line="240" w:lineRule="auto"/>
        <w:contextualSpacing/>
        <w:rPr>
          <w:rFonts w:asciiTheme="majorHAnsi" w:hAnsiTheme="majorHAnsi" w:cstheme="majorHAnsi"/>
          <w:sz w:val="24"/>
          <w:szCs w:val="24"/>
        </w:rPr>
      </w:pPr>
    </w:p>
    <w:p w14:paraId="005F3D93" w14:textId="77777777" w:rsidR="0048798D" w:rsidRPr="00B0714B" w:rsidRDefault="0048798D" w:rsidP="00B0714B">
      <w:pPr>
        <w:spacing w:line="240" w:lineRule="auto"/>
        <w:contextualSpacing/>
        <w:rPr>
          <w:rFonts w:asciiTheme="majorHAnsi" w:hAnsiTheme="majorHAnsi" w:cstheme="majorHAnsi"/>
          <w:b/>
          <w:sz w:val="24"/>
          <w:szCs w:val="24"/>
          <w:u w:val="single"/>
        </w:rPr>
      </w:pPr>
      <w:r w:rsidRPr="00B0714B">
        <w:rPr>
          <w:rFonts w:asciiTheme="majorHAnsi" w:hAnsiTheme="majorHAnsi" w:cstheme="majorHAnsi"/>
          <w:b/>
          <w:sz w:val="24"/>
          <w:szCs w:val="24"/>
          <w:u w:val="single"/>
        </w:rPr>
        <w:t>SPECIAL RESOLUTIONS</w:t>
      </w:r>
    </w:p>
    <w:p w14:paraId="60C9DBC9" w14:textId="66FD7493" w:rsidR="0048798D" w:rsidRPr="0048798D" w:rsidRDefault="0048798D" w:rsidP="00B0714B">
      <w:pPr>
        <w:pStyle w:val="Heading2"/>
        <w:tabs>
          <w:tab w:val="left" w:pos="501"/>
        </w:tabs>
        <w:spacing w:before="1" w:line="240" w:lineRule="auto"/>
        <w:ind w:left="0"/>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  Resolution 1</w:t>
      </w:r>
      <w:r w:rsidR="007F4205">
        <w:rPr>
          <w:rFonts w:asciiTheme="majorHAnsi" w:hAnsiTheme="majorHAnsi" w:cstheme="majorHAnsi"/>
          <w:color w:val="3C3C3B"/>
          <w:sz w:val="24"/>
          <w:szCs w:val="24"/>
        </w:rPr>
        <w:t>4</w:t>
      </w:r>
      <w:r w:rsidRPr="0048798D">
        <w:rPr>
          <w:rFonts w:asciiTheme="majorHAnsi" w:hAnsiTheme="majorHAnsi" w:cstheme="majorHAnsi"/>
          <w:color w:val="3C3C3B"/>
          <w:sz w:val="24"/>
          <w:szCs w:val="24"/>
        </w:rPr>
        <w:t>:  General Disapplication of pre-emption</w:t>
      </w:r>
      <w:r w:rsidRPr="0048798D">
        <w:rPr>
          <w:rFonts w:asciiTheme="majorHAnsi" w:hAnsiTheme="majorHAnsi" w:cstheme="majorHAnsi"/>
          <w:color w:val="3C3C3B"/>
          <w:spacing w:val="-12"/>
          <w:sz w:val="24"/>
          <w:szCs w:val="24"/>
        </w:rPr>
        <w:t xml:space="preserve"> </w:t>
      </w:r>
      <w:r w:rsidRPr="0048798D">
        <w:rPr>
          <w:rFonts w:asciiTheme="majorHAnsi" w:hAnsiTheme="majorHAnsi" w:cstheme="majorHAnsi"/>
          <w:color w:val="3C3C3B"/>
          <w:sz w:val="24"/>
          <w:szCs w:val="24"/>
        </w:rPr>
        <w:t>rights</w:t>
      </w:r>
      <w:r w:rsidRPr="0048798D">
        <w:rPr>
          <w:rFonts w:asciiTheme="majorHAnsi" w:hAnsiTheme="majorHAnsi" w:cstheme="majorHAnsi"/>
          <w:color w:val="3C3C3B"/>
          <w:sz w:val="24"/>
          <w:szCs w:val="24"/>
        </w:rPr>
        <w:br/>
      </w:r>
    </w:p>
    <w:p w14:paraId="3B018E61" w14:textId="30B414AE" w:rsidR="0048798D" w:rsidRPr="0048798D" w:rsidRDefault="0048798D" w:rsidP="00B0714B">
      <w:pPr>
        <w:pStyle w:val="BodyText"/>
        <w:spacing w:before="1"/>
        <w:ind w:left="500" w:right="74"/>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if resolution 1</w:t>
      </w:r>
      <w:r w:rsidR="007F4205">
        <w:rPr>
          <w:rFonts w:asciiTheme="majorHAnsi" w:hAnsiTheme="majorHAnsi" w:cstheme="majorHAnsi"/>
          <w:color w:val="3C3C3B"/>
          <w:sz w:val="24"/>
          <w:szCs w:val="24"/>
        </w:rPr>
        <w:t>3</w:t>
      </w:r>
      <w:r w:rsidRPr="0048798D">
        <w:rPr>
          <w:rFonts w:asciiTheme="majorHAnsi" w:hAnsiTheme="majorHAnsi" w:cstheme="majorHAnsi"/>
          <w:color w:val="3C3C3B"/>
          <w:sz w:val="24"/>
          <w:szCs w:val="24"/>
        </w:rPr>
        <w:t xml:space="preserve"> is passed, the Board be given power to allot equity securities (as defined in section 560(1) of the Companies Act 2006) for cash under the authority given by that resolution and/or to sell ordinary shares held by the Company as treasury shares for cash as if section 561 of the Companies Act 2006 did not apply to any such allotment or sale, such power to be limited:</w:t>
      </w:r>
    </w:p>
    <w:p w14:paraId="45BFF7BB" w14:textId="77777777" w:rsidR="0048798D" w:rsidRPr="0048798D" w:rsidRDefault="0048798D" w:rsidP="00B0714B">
      <w:pPr>
        <w:pStyle w:val="BodyText"/>
        <w:spacing w:before="7"/>
        <w:contextualSpacing/>
        <w:rPr>
          <w:rFonts w:asciiTheme="majorHAnsi" w:hAnsiTheme="majorHAnsi" w:cstheme="majorHAnsi"/>
          <w:sz w:val="24"/>
          <w:szCs w:val="24"/>
        </w:rPr>
      </w:pPr>
    </w:p>
    <w:p w14:paraId="708F8843" w14:textId="5BCAAE6B" w:rsidR="0048798D" w:rsidRPr="0048798D" w:rsidRDefault="0048798D" w:rsidP="00B0714B">
      <w:pPr>
        <w:pStyle w:val="ListParagraph"/>
        <w:numPr>
          <w:ilvl w:val="1"/>
          <w:numId w:val="3"/>
        </w:numPr>
        <w:tabs>
          <w:tab w:val="left" w:pos="784"/>
        </w:tabs>
        <w:spacing w:before="1"/>
        <w:ind w:right="140"/>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to the allotment of equity securities and sale of treasury shares for cash in connection with an offer </w:t>
      </w:r>
      <w:r w:rsidRPr="0048798D">
        <w:rPr>
          <w:rFonts w:asciiTheme="majorHAnsi" w:hAnsiTheme="majorHAnsi" w:cstheme="majorHAnsi"/>
          <w:color w:val="3C3C3B"/>
          <w:spacing w:val="-4"/>
          <w:sz w:val="24"/>
          <w:szCs w:val="24"/>
        </w:rPr>
        <w:t xml:space="preserve">of, </w:t>
      </w:r>
      <w:r w:rsidRPr="0048798D">
        <w:rPr>
          <w:rFonts w:asciiTheme="majorHAnsi" w:hAnsiTheme="majorHAnsi" w:cstheme="majorHAnsi"/>
          <w:color w:val="3C3C3B"/>
          <w:sz w:val="24"/>
          <w:szCs w:val="24"/>
        </w:rPr>
        <w:t xml:space="preserve">or invitation to apply </w:t>
      </w:r>
      <w:r w:rsidRPr="0048798D">
        <w:rPr>
          <w:rFonts w:asciiTheme="majorHAnsi" w:hAnsiTheme="majorHAnsi" w:cstheme="majorHAnsi"/>
          <w:color w:val="3C3C3B"/>
          <w:spacing w:val="-3"/>
          <w:sz w:val="24"/>
          <w:szCs w:val="24"/>
        </w:rPr>
        <w:t xml:space="preserve">for, </w:t>
      </w:r>
      <w:r w:rsidRPr="0048798D">
        <w:rPr>
          <w:rFonts w:asciiTheme="majorHAnsi" w:hAnsiTheme="majorHAnsi" w:cstheme="majorHAnsi"/>
          <w:color w:val="3C3C3B"/>
          <w:sz w:val="24"/>
          <w:szCs w:val="24"/>
        </w:rPr>
        <w:t>equity securities (but in the case of the authority granted under paragraph (B) of resolution 1</w:t>
      </w:r>
      <w:r w:rsidR="007F4205">
        <w:rPr>
          <w:rFonts w:asciiTheme="majorHAnsi" w:hAnsiTheme="majorHAnsi" w:cstheme="majorHAnsi"/>
          <w:color w:val="3C3C3B"/>
          <w:sz w:val="24"/>
          <w:szCs w:val="24"/>
        </w:rPr>
        <w:t>3</w:t>
      </w:r>
      <w:r w:rsidRPr="0048798D">
        <w:rPr>
          <w:rFonts w:asciiTheme="majorHAnsi" w:hAnsiTheme="majorHAnsi" w:cstheme="majorHAnsi"/>
          <w:color w:val="3C3C3B"/>
          <w:sz w:val="24"/>
          <w:szCs w:val="24"/>
        </w:rPr>
        <w:t>, by way of a rights issue only):</w:t>
      </w:r>
    </w:p>
    <w:p w14:paraId="4D6B6F8B" w14:textId="77777777" w:rsidR="0048798D" w:rsidRPr="0048798D" w:rsidRDefault="0048798D" w:rsidP="00B0714B">
      <w:pPr>
        <w:pStyle w:val="BodyText"/>
        <w:spacing w:before="5"/>
        <w:contextualSpacing/>
        <w:rPr>
          <w:rFonts w:asciiTheme="majorHAnsi" w:hAnsiTheme="majorHAnsi" w:cstheme="majorHAnsi"/>
          <w:sz w:val="24"/>
          <w:szCs w:val="24"/>
        </w:rPr>
      </w:pPr>
    </w:p>
    <w:p w14:paraId="2DA3156B" w14:textId="77777777" w:rsidR="0048798D" w:rsidRPr="0048798D" w:rsidRDefault="0048798D" w:rsidP="00B0714B">
      <w:pPr>
        <w:pStyle w:val="ListParagraph"/>
        <w:numPr>
          <w:ilvl w:val="2"/>
          <w:numId w:val="3"/>
        </w:numPr>
        <w:tabs>
          <w:tab w:val="left" w:pos="1068"/>
        </w:tabs>
        <w:ind w:hanging="285"/>
        <w:contextualSpacing/>
        <w:rPr>
          <w:rFonts w:asciiTheme="majorHAnsi" w:hAnsiTheme="majorHAnsi" w:cstheme="majorHAnsi"/>
          <w:sz w:val="24"/>
          <w:szCs w:val="24"/>
        </w:rPr>
      </w:pP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shareholders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proportion</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pacing w:val="-3"/>
          <w:sz w:val="24"/>
          <w:szCs w:val="24"/>
        </w:rPr>
        <w:t xml:space="preserve">(as </w:t>
      </w:r>
      <w:r w:rsidRPr="0048798D">
        <w:rPr>
          <w:rFonts w:asciiTheme="majorHAnsi" w:hAnsiTheme="majorHAnsi" w:cstheme="majorHAnsi"/>
          <w:color w:val="3C3C3B"/>
          <w:sz w:val="24"/>
          <w:szCs w:val="24"/>
        </w:rPr>
        <w:t>nearly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practicable)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their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existing</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holdings;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and</w:t>
      </w:r>
    </w:p>
    <w:p w14:paraId="64796F41" w14:textId="77777777" w:rsidR="0048798D" w:rsidRPr="0048798D" w:rsidRDefault="0048798D" w:rsidP="00B0714B">
      <w:pPr>
        <w:pStyle w:val="BodyText"/>
        <w:spacing w:before="7"/>
        <w:contextualSpacing/>
        <w:rPr>
          <w:rFonts w:asciiTheme="majorHAnsi" w:hAnsiTheme="majorHAnsi" w:cstheme="majorHAnsi"/>
          <w:sz w:val="24"/>
          <w:szCs w:val="24"/>
        </w:rPr>
      </w:pPr>
    </w:p>
    <w:p w14:paraId="21ADF219" w14:textId="77777777" w:rsidR="0048798D" w:rsidRPr="0048798D" w:rsidRDefault="0048798D" w:rsidP="00B0714B">
      <w:pPr>
        <w:pStyle w:val="ListParagraph"/>
        <w:numPr>
          <w:ilvl w:val="2"/>
          <w:numId w:val="3"/>
        </w:numPr>
        <w:tabs>
          <w:tab w:val="left" w:pos="1068"/>
        </w:tabs>
        <w:ind w:right="291"/>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to holders of other equity securities, as required by the rights of those securities </w:t>
      </w:r>
      <w:r w:rsidRPr="0048798D">
        <w:rPr>
          <w:rFonts w:asciiTheme="majorHAnsi" w:hAnsiTheme="majorHAnsi" w:cstheme="majorHAnsi"/>
          <w:color w:val="3C3C3B"/>
          <w:spacing w:val="-3"/>
          <w:sz w:val="24"/>
          <w:szCs w:val="24"/>
        </w:rPr>
        <w:t xml:space="preserve">or, </w:t>
      </w:r>
      <w:r w:rsidRPr="0048798D">
        <w:rPr>
          <w:rFonts w:asciiTheme="majorHAnsi" w:hAnsiTheme="majorHAnsi" w:cstheme="majorHAnsi"/>
          <w:color w:val="3C3C3B"/>
          <w:sz w:val="24"/>
          <w:szCs w:val="24"/>
        </w:rPr>
        <w:t>as the Board otherwise considers necessary,</w:t>
      </w:r>
    </w:p>
    <w:p w14:paraId="292D689F" w14:textId="77777777" w:rsidR="0048798D" w:rsidRPr="0048798D" w:rsidRDefault="0048798D" w:rsidP="00B0714B">
      <w:pPr>
        <w:pStyle w:val="BodyText"/>
        <w:spacing w:before="8"/>
        <w:contextualSpacing/>
        <w:rPr>
          <w:rFonts w:asciiTheme="majorHAnsi" w:hAnsiTheme="majorHAnsi" w:cstheme="majorHAnsi"/>
          <w:sz w:val="24"/>
          <w:szCs w:val="24"/>
        </w:rPr>
      </w:pPr>
    </w:p>
    <w:p w14:paraId="4E1376CD" w14:textId="77777777" w:rsidR="0048798D" w:rsidRPr="0048798D" w:rsidRDefault="0048798D" w:rsidP="00B0714B">
      <w:pPr>
        <w:pStyle w:val="BodyText"/>
        <w:ind w:left="500" w:right="691"/>
        <w:contextualSpacing/>
        <w:jc w:val="both"/>
        <w:rPr>
          <w:rFonts w:asciiTheme="majorHAnsi" w:hAnsiTheme="majorHAnsi" w:cstheme="majorHAnsi"/>
          <w:sz w:val="24"/>
          <w:szCs w:val="24"/>
        </w:rPr>
      </w:pPr>
      <w:r w:rsidRPr="0048798D">
        <w:rPr>
          <w:rFonts w:asciiTheme="majorHAnsi" w:hAnsiTheme="majorHAnsi" w:cstheme="majorHAnsi"/>
          <w:color w:val="3C3C3B"/>
          <w:sz w:val="24"/>
          <w:szCs w:val="24"/>
        </w:rPr>
        <w:t>and 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matter;</w:t>
      </w:r>
    </w:p>
    <w:p w14:paraId="5BC1648C" w14:textId="77777777" w:rsidR="0048798D" w:rsidRPr="0048798D" w:rsidRDefault="0048798D" w:rsidP="00B0714B">
      <w:pPr>
        <w:pStyle w:val="BodyText"/>
        <w:spacing w:before="8"/>
        <w:contextualSpacing/>
        <w:rPr>
          <w:rFonts w:asciiTheme="majorHAnsi" w:hAnsiTheme="majorHAnsi" w:cstheme="majorHAnsi"/>
          <w:sz w:val="24"/>
          <w:szCs w:val="24"/>
        </w:rPr>
      </w:pPr>
    </w:p>
    <w:p w14:paraId="253B330A" w14:textId="55987740" w:rsidR="0048798D" w:rsidRPr="00B0714B" w:rsidRDefault="0048798D" w:rsidP="00B0714B">
      <w:pPr>
        <w:pStyle w:val="ListParagraph"/>
        <w:numPr>
          <w:ilvl w:val="1"/>
          <w:numId w:val="3"/>
        </w:numPr>
        <w:tabs>
          <w:tab w:val="left" w:pos="784"/>
        </w:tabs>
        <w:ind w:right="141"/>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in the case of the authority granted under paragraph </w:t>
      </w:r>
      <w:r w:rsidRPr="0048798D">
        <w:rPr>
          <w:rFonts w:asciiTheme="majorHAnsi" w:hAnsiTheme="majorHAnsi" w:cstheme="majorHAnsi"/>
          <w:color w:val="3C3C3B"/>
          <w:spacing w:val="-3"/>
          <w:sz w:val="24"/>
          <w:szCs w:val="24"/>
        </w:rPr>
        <w:t xml:space="preserve">(A) </w:t>
      </w:r>
      <w:r w:rsidRPr="0048798D">
        <w:rPr>
          <w:rFonts w:asciiTheme="majorHAnsi" w:hAnsiTheme="majorHAnsi" w:cstheme="majorHAnsi"/>
          <w:color w:val="3C3C3B"/>
          <w:sz w:val="24"/>
          <w:szCs w:val="24"/>
        </w:rPr>
        <w:t>of resolution 1</w:t>
      </w:r>
      <w:r w:rsidR="007F4205">
        <w:rPr>
          <w:rFonts w:asciiTheme="majorHAnsi" w:hAnsiTheme="majorHAnsi" w:cstheme="majorHAnsi"/>
          <w:color w:val="3C3C3B"/>
          <w:sz w:val="24"/>
          <w:szCs w:val="24"/>
        </w:rPr>
        <w:t>3</w:t>
      </w:r>
      <w:r w:rsidRPr="0048798D">
        <w:rPr>
          <w:rFonts w:asciiTheme="majorHAnsi" w:hAnsiTheme="majorHAnsi" w:cstheme="majorHAnsi"/>
          <w:color w:val="3C3C3B"/>
          <w:sz w:val="24"/>
          <w:szCs w:val="24"/>
        </w:rPr>
        <w:t xml:space="preserve"> and/or in the case of any sale of treasury shares for cash, to the allotment (otherwise than under paragraphs </w:t>
      </w:r>
      <w:r w:rsidRPr="0048798D">
        <w:rPr>
          <w:rFonts w:asciiTheme="majorHAnsi" w:hAnsiTheme="majorHAnsi" w:cstheme="majorHAnsi"/>
          <w:color w:val="3C3C3B"/>
          <w:spacing w:val="-3"/>
          <w:sz w:val="24"/>
          <w:szCs w:val="24"/>
        </w:rPr>
        <w:t xml:space="preserve">(A) </w:t>
      </w:r>
      <w:r w:rsidRPr="0048798D">
        <w:rPr>
          <w:rFonts w:asciiTheme="majorHAnsi" w:hAnsiTheme="majorHAnsi" w:cstheme="majorHAnsi"/>
          <w:color w:val="3C3C3B"/>
          <w:sz w:val="24"/>
          <w:szCs w:val="24"/>
        </w:rPr>
        <w:t>and (B) above) of equity securities or sale of treasury shares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up</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nominal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pacing w:val="-4"/>
          <w:sz w:val="24"/>
          <w:szCs w:val="24"/>
        </w:rPr>
        <w:t>£11,</w:t>
      </w:r>
      <w:r w:rsidR="007F4205">
        <w:rPr>
          <w:rFonts w:asciiTheme="majorHAnsi" w:hAnsiTheme="majorHAnsi" w:cstheme="majorHAnsi"/>
          <w:color w:val="3C3C3B"/>
          <w:spacing w:val="-4"/>
          <w:sz w:val="24"/>
          <w:szCs w:val="24"/>
        </w:rPr>
        <w:t>443</w:t>
      </w:r>
      <w:r w:rsidRPr="0048798D">
        <w:rPr>
          <w:rFonts w:asciiTheme="majorHAnsi" w:hAnsiTheme="majorHAnsi" w:cstheme="majorHAnsi"/>
          <w:color w:val="3C3C3B"/>
          <w:spacing w:val="-4"/>
          <w:sz w:val="24"/>
          <w:szCs w:val="24"/>
        </w:rPr>
        <w: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power</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apply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until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end</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AGM</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202</w:t>
      </w:r>
      <w:r w:rsidR="007F4205">
        <w:rPr>
          <w:rFonts w:asciiTheme="majorHAnsi" w:hAnsiTheme="majorHAnsi" w:cstheme="majorHAnsi"/>
          <w:color w:val="3C3C3B"/>
          <w:spacing w:val="-3"/>
          <w:sz w:val="24"/>
          <w:szCs w:val="24"/>
        </w:rPr>
        <w:t>2</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pacing w:val="-5"/>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earlier,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until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close of business on 2</w:t>
      </w:r>
      <w:r w:rsidR="007F4205">
        <w:rPr>
          <w:rFonts w:asciiTheme="majorHAnsi" w:hAnsiTheme="majorHAnsi" w:cstheme="majorHAnsi"/>
          <w:color w:val="3C3C3B"/>
          <w:sz w:val="24"/>
          <w:szCs w:val="24"/>
        </w:rPr>
        <w:t>1</w:t>
      </w:r>
      <w:r w:rsidRPr="0048798D">
        <w:rPr>
          <w:rFonts w:asciiTheme="majorHAnsi" w:hAnsiTheme="majorHAnsi" w:cstheme="majorHAnsi"/>
          <w:color w:val="3C3C3B"/>
          <w:sz w:val="24"/>
          <w:szCs w:val="24"/>
        </w:rPr>
        <w:t xml:space="preserve"> October </w:t>
      </w:r>
      <w:r w:rsidRPr="0048798D">
        <w:rPr>
          <w:rFonts w:asciiTheme="majorHAnsi" w:hAnsiTheme="majorHAnsi" w:cstheme="majorHAnsi"/>
          <w:color w:val="3C3C3B"/>
          <w:spacing w:val="-4"/>
          <w:sz w:val="24"/>
          <w:szCs w:val="24"/>
        </w:rPr>
        <w:t>202</w:t>
      </w:r>
      <w:r w:rsidR="007F4205">
        <w:rPr>
          <w:rFonts w:asciiTheme="majorHAnsi" w:hAnsiTheme="majorHAnsi" w:cstheme="majorHAnsi"/>
          <w:color w:val="3C3C3B"/>
          <w:spacing w:val="-4"/>
          <w:sz w:val="24"/>
          <w:szCs w:val="24"/>
        </w:rPr>
        <w:t>2</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but, in each case, during this period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w:t>
      </w:r>
      <w:r w:rsidRPr="0048798D">
        <w:rPr>
          <w:rFonts w:asciiTheme="majorHAnsi" w:hAnsiTheme="majorHAnsi" w:cstheme="majorHAnsi"/>
          <w:color w:val="3C3C3B"/>
          <w:spacing w:val="-8"/>
          <w:sz w:val="24"/>
          <w:szCs w:val="24"/>
        </w:rPr>
        <w:t xml:space="preserve"> </w:t>
      </w:r>
      <w:r w:rsidRPr="0048798D">
        <w:rPr>
          <w:rFonts w:asciiTheme="majorHAnsi" w:hAnsiTheme="majorHAnsi" w:cstheme="majorHAnsi"/>
          <w:color w:val="3C3C3B"/>
          <w:sz w:val="24"/>
          <w:szCs w:val="24"/>
        </w:rPr>
        <w:t>ended.</w:t>
      </w:r>
    </w:p>
    <w:p w14:paraId="6B21DADA" w14:textId="77777777" w:rsidR="00B0714B" w:rsidRDefault="00B0714B">
      <w:pPr>
        <w:rPr>
          <w:rFonts w:asciiTheme="majorHAnsi" w:eastAsia="Foundry Context Bold" w:hAnsiTheme="majorHAnsi" w:cstheme="majorHAnsi"/>
          <w:b/>
          <w:bCs/>
          <w:color w:val="3C3C3B"/>
          <w:sz w:val="24"/>
          <w:szCs w:val="24"/>
          <w:lang w:eastAsia="en-GB" w:bidi="en-GB"/>
        </w:rPr>
      </w:pPr>
      <w:r>
        <w:rPr>
          <w:rFonts w:asciiTheme="majorHAnsi" w:hAnsiTheme="majorHAnsi" w:cstheme="majorHAnsi"/>
          <w:color w:val="3C3C3B"/>
          <w:sz w:val="24"/>
          <w:szCs w:val="24"/>
        </w:rPr>
        <w:br w:type="page"/>
      </w:r>
    </w:p>
    <w:p w14:paraId="0CD5BD55" w14:textId="77777777" w:rsidR="00B0714B" w:rsidRDefault="00B0714B" w:rsidP="00B0714B">
      <w:pPr>
        <w:pStyle w:val="Heading2"/>
        <w:tabs>
          <w:tab w:val="left" w:pos="388"/>
        </w:tabs>
        <w:spacing w:before="104" w:line="240" w:lineRule="auto"/>
        <w:ind w:left="0"/>
        <w:contextualSpacing/>
        <w:rPr>
          <w:rFonts w:asciiTheme="majorHAnsi" w:hAnsiTheme="majorHAnsi" w:cstheme="majorHAnsi"/>
          <w:color w:val="3C3C3B"/>
          <w:sz w:val="24"/>
          <w:szCs w:val="24"/>
        </w:rPr>
      </w:pPr>
    </w:p>
    <w:p w14:paraId="7ECD1B26" w14:textId="55BB9272" w:rsidR="0048798D" w:rsidRPr="0048798D" w:rsidRDefault="0048798D" w:rsidP="00B0714B">
      <w:pPr>
        <w:pStyle w:val="Heading2"/>
        <w:tabs>
          <w:tab w:val="left" w:pos="388"/>
        </w:tabs>
        <w:spacing w:before="104" w:line="240" w:lineRule="auto"/>
        <w:ind w:left="0"/>
        <w:contextualSpacing/>
        <w:rPr>
          <w:rFonts w:asciiTheme="majorHAnsi" w:hAnsiTheme="majorHAnsi" w:cstheme="majorHAnsi"/>
          <w:color w:val="3C3C3B"/>
          <w:sz w:val="24"/>
          <w:szCs w:val="24"/>
        </w:rPr>
      </w:pPr>
      <w:r w:rsidRPr="0048798D">
        <w:rPr>
          <w:rFonts w:asciiTheme="majorHAnsi" w:hAnsiTheme="majorHAnsi" w:cstheme="majorHAnsi"/>
          <w:color w:val="3C3C3B"/>
          <w:sz w:val="24"/>
          <w:szCs w:val="24"/>
        </w:rPr>
        <w:t>Resolution 1</w:t>
      </w:r>
      <w:r w:rsidR="007F4205">
        <w:rPr>
          <w:rFonts w:asciiTheme="majorHAnsi" w:hAnsiTheme="majorHAnsi" w:cstheme="majorHAnsi"/>
          <w:color w:val="3C3C3B"/>
          <w:sz w:val="24"/>
          <w:szCs w:val="24"/>
        </w:rPr>
        <w:t>5</w:t>
      </w:r>
      <w:r w:rsidRPr="0048798D">
        <w:rPr>
          <w:rFonts w:asciiTheme="majorHAnsi" w:hAnsiTheme="majorHAnsi" w:cstheme="majorHAnsi"/>
          <w:color w:val="3C3C3B"/>
          <w:sz w:val="24"/>
          <w:szCs w:val="24"/>
        </w:rPr>
        <w:t>:  Additional disapplication of pre-emption</w:t>
      </w:r>
      <w:r w:rsidRPr="0048798D">
        <w:rPr>
          <w:rFonts w:asciiTheme="majorHAnsi" w:hAnsiTheme="majorHAnsi" w:cstheme="majorHAnsi"/>
          <w:color w:val="3C3C3B"/>
          <w:spacing w:val="22"/>
          <w:sz w:val="24"/>
          <w:szCs w:val="24"/>
        </w:rPr>
        <w:t xml:space="preserve"> </w:t>
      </w:r>
      <w:r w:rsidRPr="0048798D">
        <w:rPr>
          <w:rFonts w:asciiTheme="majorHAnsi" w:hAnsiTheme="majorHAnsi" w:cstheme="majorHAnsi"/>
          <w:color w:val="3C3C3B"/>
          <w:sz w:val="24"/>
          <w:szCs w:val="24"/>
        </w:rPr>
        <w:t>rights</w:t>
      </w:r>
    </w:p>
    <w:p w14:paraId="1D9786A1" w14:textId="77777777" w:rsidR="0048798D" w:rsidRPr="0048798D" w:rsidRDefault="0048798D" w:rsidP="00B0714B">
      <w:pPr>
        <w:pStyle w:val="Heading2"/>
        <w:tabs>
          <w:tab w:val="left" w:pos="388"/>
        </w:tabs>
        <w:spacing w:before="104" w:line="240" w:lineRule="auto"/>
        <w:ind w:left="0"/>
        <w:contextualSpacing/>
        <w:rPr>
          <w:rFonts w:asciiTheme="majorHAnsi" w:hAnsiTheme="majorHAnsi" w:cstheme="majorHAnsi"/>
          <w:sz w:val="24"/>
          <w:szCs w:val="24"/>
        </w:rPr>
      </w:pPr>
    </w:p>
    <w:p w14:paraId="591491D9" w14:textId="62569B79" w:rsidR="0048798D" w:rsidRPr="0048798D" w:rsidRDefault="0048798D" w:rsidP="00B0714B">
      <w:pPr>
        <w:pStyle w:val="BodyText"/>
        <w:spacing w:before="1"/>
        <w:ind w:left="387" w:right="280"/>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if resolution 1</w:t>
      </w:r>
      <w:r w:rsidR="007F4205">
        <w:rPr>
          <w:rFonts w:asciiTheme="majorHAnsi" w:hAnsiTheme="majorHAnsi" w:cstheme="majorHAnsi"/>
          <w:color w:val="3C3C3B"/>
          <w:sz w:val="24"/>
          <w:szCs w:val="24"/>
        </w:rPr>
        <w:t>3</w:t>
      </w:r>
      <w:r w:rsidRPr="0048798D">
        <w:rPr>
          <w:rFonts w:asciiTheme="majorHAnsi" w:hAnsiTheme="majorHAnsi" w:cstheme="majorHAnsi"/>
          <w:color w:val="3C3C3B"/>
          <w:sz w:val="24"/>
          <w:szCs w:val="24"/>
        </w:rPr>
        <w:t xml:space="preserve"> is passed, the Board be given power in addition to any power granted under resolution 1</w:t>
      </w:r>
      <w:r w:rsidR="007F4205">
        <w:rPr>
          <w:rFonts w:asciiTheme="majorHAnsi" w:hAnsiTheme="majorHAnsi" w:cstheme="majorHAnsi"/>
          <w:color w:val="3C3C3B"/>
          <w:sz w:val="24"/>
          <w:szCs w:val="24"/>
        </w:rPr>
        <w:t>4</w:t>
      </w:r>
      <w:r w:rsidRPr="0048798D">
        <w:rPr>
          <w:rFonts w:asciiTheme="majorHAnsi" w:hAnsiTheme="majorHAnsi" w:cstheme="majorHAnsi"/>
          <w:color w:val="3C3C3B"/>
          <w:sz w:val="24"/>
          <w:szCs w:val="24"/>
        </w:rPr>
        <w:t xml:space="preserve"> to allot equity securities </w:t>
      </w:r>
      <w:r w:rsidRPr="0048798D">
        <w:rPr>
          <w:rFonts w:asciiTheme="majorHAnsi" w:hAnsiTheme="majorHAnsi" w:cstheme="majorHAnsi"/>
          <w:color w:val="3C3C3B"/>
          <w:spacing w:val="-3"/>
          <w:sz w:val="24"/>
          <w:szCs w:val="24"/>
        </w:rPr>
        <w:t xml:space="preserve">(as </w:t>
      </w:r>
      <w:r w:rsidRPr="0048798D">
        <w:rPr>
          <w:rFonts w:asciiTheme="majorHAnsi" w:hAnsiTheme="majorHAnsi" w:cstheme="majorHAnsi"/>
          <w:color w:val="3C3C3B"/>
          <w:sz w:val="24"/>
          <w:szCs w:val="24"/>
        </w:rPr>
        <w:t xml:space="preserve">defined in section 560(1) of the Companies Act 2006) for cash under the authority given by that resolution and/ or to sell ordinary shares held by the Company as treasury shares for cash as if section </w:t>
      </w:r>
      <w:r w:rsidRPr="0048798D">
        <w:rPr>
          <w:rFonts w:asciiTheme="majorHAnsi" w:hAnsiTheme="majorHAnsi" w:cstheme="majorHAnsi"/>
          <w:color w:val="3C3C3B"/>
          <w:spacing w:val="-2"/>
          <w:sz w:val="24"/>
          <w:szCs w:val="24"/>
        </w:rPr>
        <w:t xml:space="preserve">561 </w:t>
      </w:r>
      <w:r w:rsidRPr="0048798D">
        <w:rPr>
          <w:rFonts w:asciiTheme="majorHAnsi" w:hAnsiTheme="majorHAnsi" w:cstheme="majorHAnsi"/>
          <w:color w:val="3C3C3B"/>
          <w:sz w:val="24"/>
          <w:szCs w:val="24"/>
        </w:rPr>
        <w:t>of the Companies Act 2006 did not apply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any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allotment</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sale,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authority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be:</w:t>
      </w:r>
    </w:p>
    <w:p w14:paraId="052C16FD" w14:textId="77777777" w:rsidR="0048798D" w:rsidRPr="0048798D" w:rsidRDefault="0048798D" w:rsidP="00B0714B">
      <w:pPr>
        <w:pStyle w:val="BodyText"/>
        <w:spacing w:before="5"/>
        <w:contextualSpacing/>
        <w:rPr>
          <w:rFonts w:asciiTheme="majorHAnsi" w:hAnsiTheme="majorHAnsi" w:cstheme="majorHAnsi"/>
          <w:sz w:val="24"/>
          <w:szCs w:val="24"/>
        </w:rPr>
      </w:pPr>
    </w:p>
    <w:p w14:paraId="077AA3A2" w14:textId="17532EE2" w:rsidR="0048798D" w:rsidRPr="0048798D" w:rsidRDefault="0048798D" w:rsidP="00B0714B">
      <w:pPr>
        <w:pStyle w:val="ListParagraph"/>
        <w:numPr>
          <w:ilvl w:val="1"/>
          <w:numId w:val="3"/>
        </w:numPr>
        <w:tabs>
          <w:tab w:val="left" w:pos="671"/>
        </w:tabs>
        <w:ind w:left="670"/>
        <w:contextualSpacing/>
        <w:rPr>
          <w:rFonts w:asciiTheme="majorHAnsi" w:hAnsiTheme="majorHAnsi" w:cstheme="majorHAnsi"/>
          <w:sz w:val="24"/>
          <w:szCs w:val="24"/>
        </w:rPr>
      </w:pPr>
      <w:r w:rsidRPr="0048798D">
        <w:rPr>
          <w:rFonts w:asciiTheme="majorHAnsi" w:hAnsiTheme="majorHAnsi" w:cstheme="majorHAnsi"/>
          <w:color w:val="3C3C3B"/>
          <w:sz w:val="24"/>
          <w:szCs w:val="24"/>
        </w:rPr>
        <w:t>limited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allotment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equity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securities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sale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treasury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shares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up</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nominal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007F4205">
        <w:rPr>
          <w:rFonts w:asciiTheme="majorHAnsi" w:hAnsiTheme="majorHAnsi" w:cstheme="majorHAnsi"/>
          <w:color w:val="3C3C3B"/>
          <w:spacing w:val="-3"/>
          <w:sz w:val="24"/>
          <w:szCs w:val="24"/>
        </w:rPr>
        <w:t>11,443</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and</w:t>
      </w:r>
    </w:p>
    <w:p w14:paraId="06E4286A" w14:textId="77777777" w:rsidR="0048798D" w:rsidRPr="0048798D" w:rsidRDefault="0048798D" w:rsidP="00B0714B">
      <w:pPr>
        <w:pStyle w:val="BodyText"/>
        <w:spacing w:before="7"/>
        <w:contextualSpacing/>
        <w:rPr>
          <w:rFonts w:asciiTheme="majorHAnsi" w:hAnsiTheme="majorHAnsi" w:cstheme="majorHAnsi"/>
          <w:sz w:val="24"/>
          <w:szCs w:val="24"/>
        </w:rPr>
      </w:pPr>
    </w:p>
    <w:p w14:paraId="79EF2493" w14:textId="53BA59CF" w:rsidR="0048798D" w:rsidRPr="0048798D" w:rsidRDefault="0048798D" w:rsidP="00B0714B">
      <w:pPr>
        <w:pStyle w:val="ListParagraph"/>
        <w:numPr>
          <w:ilvl w:val="1"/>
          <w:numId w:val="3"/>
        </w:numPr>
        <w:tabs>
          <w:tab w:val="left" w:pos="671"/>
        </w:tabs>
        <w:ind w:left="670" w:right="315"/>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used only for the purposes of financing </w:t>
      </w:r>
      <w:r w:rsidRPr="0048798D">
        <w:rPr>
          <w:rFonts w:asciiTheme="majorHAnsi" w:hAnsiTheme="majorHAnsi" w:cstheme="majorHAnsi"/>
          <w:color w:val="3C3C3B"/>
          <w:spacing w:val="-3"/>
          <w:sz w:val="24"/>
          <w:szCs w:val="24"/>
        </w:rPr>
        <w:t xml:space="preserve">(or </w:t>
      </w:r>
      <w:r w:rsidRPr="0048798D">
        <w:rPr>
          <w:rFonts w:asciiTheme="majorHAnsi" w:hAnsiTheme="majorHAnsi" w:cstheme="majorHAnsi"/>
          <w:color w:val="3C3C3B"/>
          <w:sz w:val="24"/>
          <w:szCs w:val="24"/>
        </w:rPr>
        <w:t>refinancing, if the authority is to be used within six months after the original transaction) a transaction which the Directors of the Company determine to be an acquisition or other capital investment of a kind contemplated by the Statement of Principles on Disapplying Pre-Emption Rights most recently published by the Pre-Emption</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Group</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prior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date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this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Notice,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power</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apply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until</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end</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AGM</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202</w:t>
      </w:r>
      <w:r w:rsidR="007F4205">
        <w:rPr>
          <w:rFonts w:asciiTheme="majorHAnsi" w:hAnsiTheme="majorHAnsi" w:cstheme="majorHAnsi"/>
          <w:color w:val="3C3C3B"/>
          <w:spacing w:val="-3"/>
          <w:sz w:val="24"/>
          <w:szCs w:val="24"/>
        </w:rPr>
        <w:t>2</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pacing w:val="-5"/>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earlier,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until the close of business on 2</w:t>
      </w:r>
      <w:r w:rsidR="007F4205">
        <w:rPr>
          <w:rFonts w:asciiTheme="majorHAnsi" w:hAnsiTheme="majorHAnsi" w:cstheme="majorHAnsi"/>
          <w:color w:val="3C3C3B"/>
          <w:sz w:val="24"/>
          <w:szCs w:val="24"/>
        </w:rPr>
        <w:t>1</w:t>
      </w:r>
      <w:r w:rsidRPr="0048798D">
        <w:rPr>
          <w:rFonts w:asciiTheme="majorHAnsi" w:hAnsiTheme="majorHAnsi" w:cstheme="majorHAnsi"/>
          <w:color w:val="3C3C3B"/>
          <w:sz w:val="24"/>
          <w:szCs w:val="24"/>
        </w:rPr>
        <w:t xml:space="preserve"> October </w:t>
      </w:r>
      <w:r w:rsidRPr="0048798D">
        <w:rPr>
          <w:rFonts w:asciiTheme="majorHAnsi" w:hAnsiTheme="majorHAnsi" w:cstheme="majorHAnsi"/>
          <w:color w:val="3C3C3B"/>
          <w:spacing w:val="-4"/>
          <w:sz w:val="24"/>
          <w:szCs w:val="24"/>
        </w:rPr>
        <w:t>202</w:t>
      </w:r>
      <w:r w:rsidR="007F4205">
        <w:rPr>
          <w:rFonts w:asciiTheme="majorHAnsi" w:hAnsiTheme="majorHAnsi" w:cstheme="majorHAnsi"/>
          <w:color w:val="3C3C3B"/>
          <w:spacing w:val="-4"/>
          <w:sz w:val="24"/>
          <w:szCs w:val="24"/>
        </w:rPr>
        <w:t>2</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but, in each case, during this period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w:t>
      </w:r>
      <w:r w:rsidRPr="0048798D">
        <w:rPr>
          <w:rFonts w:asciiTheme="majorHAnsi" w:hAnsiTheme="majorHAnsi" w:cstheme="majorHAnsi"/>
          <w:color w:val="3C3C3B"/>
          <w:spacing w:val="-12"/>
          <w:sz w:val="24"/>
          <w:szCs w:val="24"/>
        </w:rPr>
        <w:t xml:space="preserve"> </w:t>
      </w:r>
      <w:r w:rsidRPr="0048798D">
        <w:rPr>
          <w:rFonts w:asciiTheme="majorHAnsi" w:hAnsiTheme="majorHAnsi" w:cstheme="majorHAnsi"/>
          <w:color w:val="3C3C3B"/>
          <w:sz w:val="24"/>
          <w:szCs w:val="24"/>
        </w:rPr>
        <w:t>ended.</w:t>
      </w:r>
    </w:p>
    <w:p w14:paraId="665B12D6" w14:textId="77777777" w:rsidR="0048798D" w:rsidRPr="0048798D" w:rsidRDefault="0048798D" w:rsidP="00B0714B">
      <w:pPr>
        <w:pStyle w:val="BodyText"/>
        <w:spacing w:before="5"/>
        <w:contextualSpacing/>
        <w:rPr>
          <w:rFonts w:asciiTheme="majorHAnsi" w:hAnsiTheme="majorHAnsi" w:cstheme="majorHAnsi"/>
          <w:sz w:val="24"/>
          <w:szCs w:val="24"/>
        </w:rPr>
      </w:pPr>
    </w:p>
    <w:p w14:paraId="4EEE8A43" w14:textId="391F6723" w:rsidR="0048798D" w:rsidRPr="0048798D" w:rsidRDefault="0048798D" w:rsidP="00B0714B">
      <w:pPr>
        <w:pStyle w:val="Heading2"/>
        <w:tabs>
          <w:tab w:val="left" w:pos="387"/>
        </w:tabs>
        <w:spacing w:line="240" w:lineRule="auto"/>
        <w:ind w:left="0"/>
        <w:contextualSpacing/>
        <w:rPr>
          <w:rFonts w:asciiTheme="majorHAnsi" w:hAnsiTheme="majorHAnsi" w:cstheme="majorHAnsi"/>
          <w:sz w:val="24"/>
          <w:szCs w:val="24"/>
        </w:rPr>
      </w:pPr>
      <w:r w:rsidRPr="0048798D">
        <w:rPr>
          <w:rFonts w:asciiTheme="majorHAnsi" w:hAnsiTheme="majorHAnsi" w:cstheme="majorHAnsi"/>
          <w:color w:val="3C3C3B"/>
          <w:sz w:val="24"/>
          <w:szCs w:val="24"/>
        </w:rPr>
        <w:t>Resolution 1</w:t>
      </w:r>
      <w:r w:rsidR="007F4205">
        <w:rPr>
          <w:rFonts w:asciiTheme="majorHAnsi" w:hAnsiTheme="majorHAnsi" w:cstheme="majorHAnsi"/>
          <w:color w:val="3C3C3B"/>
          <w:sz w:val="24"/>
          <w:szCs w:val="24"/>
        </w:rPr>
        <w:t>6</w:t>
      </w:r>
      <w:r w:rsidRPr="0048798D">
        <w:rPr>
          <w:rFonts w:asciiTheme="majorHAnsi" w:hAnsiTheme="majorHAnsi" w:cstheme="majorHAnsi"/>
          <w:color w:val="3C3C3B"/>
          <w:sz w:val="24"/>
          <w:szCs w:val="24"/>
        </w:rPr>
        <w:t>: Company’s authority to purchase its own</w:t>
      </w:r>
      <w:r w:rsidRPr="0048798D">
        <w:rPr>
          <w:rFonts w:asciiTheme="majorHAnsi" w:hAnsiTheme="majorHAnsi" w:cstheme="majorHAnsi"/>
          <w:color w:val="3C3C3B"/>
          <w:spacing w:val="-24"/>
          <w:sz w:val="24"/>
          <w:szCs w:val="24"/>
        </w:rPr>
        <w:t xml:space="preserve"> </w:t>
      </w:r>
      <w:r w:rsidRPr="0048798D">
        <w:rPr>
          <w:rFonts w:asciiTheme="majorHAnsi" w:hAnsiTheme="majorHAnsi" w:cstheme="majorHAnsi"/>
          <w:color w:val="3C3C3B"/>
          <w:sz w:val="24"/>
          <w:szCs w:val="24"/>
        </w:rPr>
        <w:t>shares</w:t>
      </w:r>
    </w:p>
    <w:p w14:paraId="303B031C" w14:textId="77777777" w:rsidR="0048798D" w:rsidRPr="0048798D" w:rsidRDefault="0048798D" w:rsidP="00B0714B">
      <w:pPr>
        <w:pStyle w:val="BodyText"/>
        <w:spacing w:before="1"/>
        <w:ind w:left="387"/>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the Company be authorised for the purposes of section 701 of the Companies Act 2006 to make one or more market purchases (as defined in section 693(4) of the Companies Act 2006) of its ordinary shares of 1/3 pence each, provided that:</w:t>
      </w:r>
    </w:p>
    <w:p w14:paraId="62F309AF" w14:textId="77777777" w:rsidR="0048798D" w:rsidRPr="0048798D" w:rsidRDefault="0048798D" w:rsidP="00B0714B">
      <w:pPr>
        <w:pStyle w:val="BodyText"/>
        <w:spacing w:before="5"/>
        <w:contextualSpacing/>
        <w:rPr>
          <w:rFonts w:asciiTheme="majorHAnsi" w:hAnsiTheme="majorHAnsi" w:cstheme="majorHAnsi"/>
          <w:sz w:val="24"/>
          <w:szCs w:val="24"/>
        </w:rPr>
      </w:pPr>
    </w:p>
    <w:p w14:paraId="20C7677A" w14:textId="5CAE6489" w:rsidR="0048798D" w:rsidRPr="0048798D" w:rsidRDefault="0048798D" w:rsidP="00B0714B">
      <w:pPr>
        <w:pStyle w:val="ListParagraph"/>
        <w:numPr>
          <w:ilvl w:val="1"/>
          <w:numId w:val="3"/>
        </w:numPr>
        <w:tabs>
          <w:tab w:val="left" w:pos="671"/>
        </w:tabs>
        <w:ind w:left="670"/>
        <w:contextualSpacing/>
        <w:rPr>
          <w:rFonts w:asciiTheme="majorHAnsi" w:hAnsiTheme="majorHAnsi" w:cstheme="majorHAnsi"/>
          <w:sz w:val="24"/>
          <w:szCs w:val="24"/>
        </w:rPr>
      </w:pP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maximum</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number</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shares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hereby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authorised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purchased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is</w:t>
      </w:r>
      <w:r w:rsidRPr="0048798D">
        <w:rPr>
          <w:rFonts w:asciiTheme="majorHAnsi" w:hAnsiTheme="majorHAnsi" w:cstheme="majorHAnsi"/>
          <w:color w:val="3C3C3B"/>
          <w:spacing w:val="-4"/>
          <w:sz w:val="24"/>
          <w:szCs w:val="24"/>
        </w:rPr>
        <w:t xml:space="preserve"> </w:t>
      </w:r>
      <w:proofErr w:type="gramStart"/>
      <w:r w:rsidRPr="0048798D">
        <w:rPr>
          <w:rFonts w:asciiTheme="majorHAnsi" w:hAnsiTheme="majorHAnsi" w:cstheme="majorHAnsi"/>
          <w:color w:val="3C3C3B"/>
          <w:sz w:val="24"/>
          <w:szCs w:val="24"/>
        </w:rPr>
        <w:t>6,8</w:t>
      </w:r>
      <w:r w:rsidR="007F4205">
        <w:rPr>
          <w:rFonts w:asciiTheme="majorHAnsi" w:hAnsiTheme="majorHAnsi" w:cstheme="majorHAnsi"/>
          <w:color w:val="3C3C3B"/>
          <w:sz w:val="24"/>
          <w:szCs w:val="24"/>
        </w:rPr>
        <w:t>65,691</w:t>
      </w:r>
      <w:r w:rsidRPr="0048798D">
        <w:rPr>
          <w:rFonts w:asciiTheme="majorHAnsi" w:hAnsiTheme="majorHAnsi" w:cstheme="majorHAnsi"/>
          <w:color w:val="3C3C3B"/>
          <w:sz w:val="24"/>
          <w:szCs w:val="24"/>
        </w:rPr>
        <w:t>;</w:t>
      </w:r>
      <w:proofErr w:type="gramEnd"/>
    </w:p>
    <w:p w14:paraId="1CD97230" w14:textId="77777777" w:rsidR="0048798D" w:rsidRPr="0048798D" w:rsidRDefault="0048798D" w:rsidP="00B0714B">
      <w:pPr>
        <w:pStyle w:val="BodyText"/>
        <w:spacing w:before="7"/>
        <w:contextualSpacing/>
        <w:rPr>
          <w:rFonts w:asciiTheme="majorHAnsi" w:hAnsiTheme="majorHAnsi" w:cstheme="majorHAnsi"/>
          <w:sz w:val="24"/>
          <w:szCs w:val="24"/>
        </w:rPr>
      </w:pPr>
    </w:p>
    <w:p w14:paraId="5CFE5E1F" w14:textId="77777777" w:rsidR="0048798D" w:rsidRPr="0048798D" w:rsidRDefault="0048798D" w:rsidP="00B0714B">
      <w:pPr>
        <w:pStyle w:val="ListParagraph"/>
        <w:numPr>
          <w:ilvl w:val="1"/>
          <w:numId w:val="3"/>
        </w:numPr>
        <w:tabs>
          <w:tab w:val="left" w:pos="671"/>
        </w:tabs>
        <w:ind w:left="670" w:right="658"/>
        <w:contextualSpacing/>
        <w:rPr>
          <w:rFonts w:asciiTheme="majorHAnsi" w:hAnsiTheme="majorHAnsi" w:cstheme="majorHAnsi"/>
          <w:sz w:val="24"/>
          <w:szCs w:val="24"/>
        </w:rPr>
      </w:pP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minimum</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price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which</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paid</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for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share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is</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5</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pence</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and</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maximum</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price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which</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paid</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for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 ordinary share is the highest</w:t>
      </w:r>
      <w:r w:rsidRPr="0048798D">
        <w:rPr>
          <w:rFonts w:asciiTheme="majorHAnsi" w:hAnsiTheme="majorHAnsi" w:cstheme="majorHAnsi"/>
          <w:color w:val="3C3C3B"/>
          <w:spacing w:val="-20"/>
          <w:sz w:val="24"/>
          <w:szCs w:val="24"/>
        </w:rPr>
        <w:t xml:space="preserve"> </w:t>
      </w:r>
      <w:r w:rsidRPr="0048798D">
        <w:rPr>
          <w:rFonts w:asciiTheme="majorHAnsi" w:hAnsiTheme="majorHAnsi" w:cstheme="majorHAnsi"/>
          <w:color w:val="3C3C3B"/>
          <w:sz w:val="24"/>
          <w:szCs w:val="24"/>
        </w:rPr>
        <w:t>of:</w:t>
      </w:r>
    </w:p>
    <w:p w14:paraId="256DBE6E" w14:textId="77777777" w:rsidR="0048798D" w:rsidRPr="0048798D" w:rsidRDefault="0048798D" w:rsidP="00B0714B">
      <w:pPr>
        <w:pStyle w:val="BodyText"/>
        <w:spacing w:before="8"/>
        <w:contextualSpacing/>
        <w:rPr>
          <w:rFonts w:asciiTheme="majorHAnsi" w:hAnsiTheme="majorHAnsi" w:cstheme="majorHAnsi"/>
          <w:sz w:val="24"/>
          <w:szCs w:val="24"/>
        </w:rPr>
      </w:pPr>
    </w:p>
    <w:p w14:paraId="7E2F3C67" w14:textId="77777777" w:rsidR="0048798D" w:rsidRPr="0048798D" w:rsidRDefault="0048798D" w:rsidP="00B0714B">
      <w:pPr>
        <w:pStyle w:val="ListParagraph"/>
        <w:numPr>
          <w:ilvl w:val="2"/>
          <w:numId w:val="3"/>
        </w:numPr>
        <w:tabs>
          <w:tab w:val="left" w:pos="954"/>
        </w:tabs>
        <w:ind w:left="953" w:right="1033"/>
        <w:contextualSpacing/>
        <w:rPr>
          <w:rFonts w:asciiTheme="majorHAnsi" w:hAnsiTheme="majorHAnsi" w:cstheme="majorHAnsi"/>
          <w:sz w:val="24"/>
          <w:szCs w:val="24"/>
        </w:rPr>
      </w:pPr>
      <w:r w:rsidRPr="0048798D">
        <w:rPr>
          <w:rFonts w:asciiTheme="majorHAnsi" w:hAnsiTheme="majorHAnsi" w:cstheme="majorHAnsi"/>
          <w:color w:val="3C3C3B"/>
          <w:sz w:val="24"/>
          <w:szCs w:val="24"/>
        </w:rPr>
        <w:t>an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equal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5</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cent.</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above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average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market</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value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share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for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five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business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days immediately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preceding</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day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which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that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share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contracted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purchased;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and</w:t>
      </w:r>
    </w:p>
    <w:p w14:paraId="752D2F54" w14:textId="77777777" w:rsidR="0048798D" w:rsidRPr="0048798D" w:rsidRDefault="0048798D" w:rsidP="00B0714B">
      <w:pPr>
        <w:pStyle w:val="BodyText"/>
        <w:spacing w:before="8"/>
        <w:contextualSpacing/>
        <w:rPr>
          <w:rFonts w:asciiTheme="majorHAnsi" w:hAnsiTheme="majorHAnsi" w:cstheme="majorHAnsi"/>
          <w:sz w:val="24"/>
          <w:szCs w:val="24"/>
        </w:rPr>
      </w:pPr>
    </w:p>
    <w:p w14:paraId="617DA9B7" w14:textId="77777777" w:rsidR="0048798D" w:rsidRPr="0048798D" w:rsidRDefault="0048798D" w:rsidP="00B0714B">
      <w:pPr>
        <w:pStyle w:val="ListParagraph"/>
        <w:numPr>
          <w:ilvl w:val="2"/>
          <w:numId w:val="3"/>
        </w:numPr>
        <w:tabs>
          <w:tab w:val="left" w:pos="954"/>
        </w:tabs>
        <w:ind w:left="953" w:right="431"/>
        <w:contextualSpacing/>
        <w:jc w:val="both"/>
        <w:rPr>
          <w:rFonts w:asciiTheme="majorHAnsi" w:hAnsiTheme="majorHAnsi" w:cstheme="majorHAnsi"/>
          <w:sz w:val="24"/>
          <w:szCs w:val="24"/>
        </w:rPr>
      </w:pPr>
      <w:r w:rsidRPr="0048798D">
        <w:rPr>
          <w:rFonts w:asciiTheme="majorHAnsi" w:hAnsiTheme="majorHAnsi" w:cstheme="majorHAnsi"/>
          <w:color w:val="3C3C3B"/>
          <w:sz w:val="24"/>
          <w:szCs w:val="24"/>
        </w:rPr>
        <w:t>the higher of the price of the last independent trade of an ordinary share and the highest current independent bid for an ordinary share on the trading venues where the purchase is carried out at the relevant time, in each case, exclusive of</w:t>
      </w:r>
      <w:r w:rsidRPr="0048798D">
        <w:rPr>
          <w:rFonts w:asciiTheme="majorHAnsi" w:hAnsiTheme="majorHAnsi" w:cstheme="majorHAnsi"/>
          <w:color w:val="3C3C3B"/>
          <w:spacing w:val="-5"/>
          <w:sz w:val="24"/>
          <w:szCs w:val="24"/>
        </w:rPr>
        <w:t xml:space="preserve"> </w:t>
      </w:r>
      <w:r w:rsidRPr="0048798D">
        <w:rPr>
          <w:rFonts w:asciiTheme="majorHAnsi" w:hAnsiTheme="majorHAnsi" w:cstheme="majorHAnsi"/>
          <w:color w:val="3C3C3B"/>
          <w:sz w:val="24"/>
          <w:szCs w:val="24"/>
        </w:rPr>
        <w:t>expenses;</w:t>
      </w:r>
    </w:p>
    <w:p w14:paraId="2CE4C998" w14:textId="77777777" w:rsidR="0048798D" w:rsidRPr="0048798D" w:rsidRDefault="0048798D" w:rsidP="00AD07FC">
      <w:pPr>
        <w:pStyle w:val="BodyText"/>
        <w:spacing w:before="8"/>
        <w:ind w:left="426"/>
        <w:contextualSpacing/>
        <w:rPr>
          <w:rFonts w:asciiTheme="majorHAnsi" w:hAnsiTheme="majorHAnsi" w:cstheme="majorHAnsi"/>
          <w:sz w:val="24"/>
          <w:szCs w:val="24"/>
        </w:rPr>
      </w:pPr>
    </w:p>
    <w:p w14:paraId="60168636" w14:textId="23712561" w:rsidR="0048798D" w:rsidRDefault="0048798D" w:rsidP="00B0714B">
      <w:pPr>
        <w:pStyle w:val="BodyText"/>
        <w:spacing w:before="1"/>
        <w:ind w:left="387" w:right="314"/>
        <w:contextualSpacing/>
        <w:rPr>
          <w:rFonts w:asciiTheme="majorHAnsi" w:hAnsiTheme="majorHAnsi" w:cstheme="majorHAnsi"/>
          <w:color w:val="3C3C3B"/>
          <w:sz w:val="24"/>
          <w:szCs w:val="24"/>
        </w:rPr>
      </w:pPr>
      <w:r w:rsidRPr="0048798D">
        <w:rPr>
          <w:rFonts w:asciiTheme="majorHAnsi" w:hAnsiTheme="majorHAnsi" w:cstheme="majorHAnsi"/>
          <w:color w:val="3C3C3B"/>
          <w:sz w:val="24"/>
          <w:szCs w:val="24"/>
        </w:rPr>
        <w:t>such authority to apply until the end of the AGM in 202</w:t>
      </w:r>
      <w:r w:rsidR="007F4205">
        <w:rPr>
          <w:rFonts w:asciiTheme="majorHAnsi" w:hAnsiTheme="majorHAnsi" w:cstheme="majorHAnsi"/>
          <w:color w:val="3C3C3B"/>
          <w:sz w:val="24"/>
          <w:szCs w:val="24"/>
        </w:rPr>
        <w:t>2</w:t>
      </w:r>
      <w:r w:rsidRPr="0048798D">
        <w:rPr>
          <w:rFonts w:asciiTheme="majorHAnsi" w:hAnsiTheme="majorHAnsi" w:cstheme="majorHAnsi"/>
          <w:color w:val="3C3C3B"/>
          <w:sz w:val="24"/>
          <w:szCs w:val="24"/>
        </w:rPr>
        <w:t xml:space="preserve"> (or, if earlier, until the close of business on 2</w:t>
      </w:r>
      <w:r w:rsidR="007F4205">
        <w:rPr>
          <w:rFonts w:asciiTheme="majorHAnsi" w:hAnsiTheme="majorHAnsi" w:cstheme="majorHAnsi"/>
          <w:color w:val="3C3C3B"/>
          <w:sz w:val="24"/>
          <w:szCs w:val="24"/>
        </w:rPr>
        <w:t>1</w:t>
      </w:r>
      <w:r w:rsidRPr="0048798D">
        <w:rPr>
          <w:rFonts w:asciiTheme="majorHAnsi" w:hAnsiTheme="majorHAnsi" w:cstheme="majorHAnsi"/>
          <w:color w:val="3C3C3B"/>
          <w:sz w:val="24"/>
          <w:szCs w:val="24"/>
        </w:rPr>
        <w:t xml:space="preserve"> October 202</w:t>
      </w:r>
      <w:r w:rsidR="007F4205">
        <w:rPr>
          <w:rFonts w:asciiTheme="majorHAnsi" w:hAnsiTheme="majorHAnsi" w:cstheme="majorHAnsi"/>
          <w:color w:val="3C3C3B"/>
          <w:sz w:val="24"/>
          <w:szCs w:val="24"/>
        </w:rPr>
        <w:t>2</w:t>
      </w:r>
      <w:r w:rsidRPr="0048798D">
        <w:rPr>
          <w:rFonts w:asciiTheme="majorHAnsi" w:hAnsiTheme="majorHAnsi" w:cstheme="majorHAnsi"/>
          <w:color w:val="3C3C3B"/>
          <w:sz w:val="24"/>
          <w:szCs w:val="24"/>
        </w:rPr>
        <w:t xml:space="preserve">) but in each case so that during this period the </w:t>
      </w:r>
      <w:r w:rsidRPr="0048798D">
        <w:rPr>
          <w:rFonts w:asciiTheme="majorHAnsi" w:hAnsiTheme="majorHAnsi" w:cstheme="majorHAnsi"/>
          <w:color w:val="3C3C3B"/>
          <w:sz w:val="24"/>
          <w:szCs w:val="24"/>
        </w:rPr>
        <w:lastRenderedPageBreak/>
        <w:t>Company may enter into a contract to purchase ordinary shares which would, or might be, completed or executed wholly or partly after the authority ends and the Company may purchase ordinary shares pursuant to any such contract as if the authority had not ended.</w:t>
      </w:r>
    </w:p>
    <w:p w14:paraId="01060BB9" w14:textId="77777777" w:rsidR="0048798D" w:rsidRPr="0048798D" w:rsidRDefault="0048798D" w:rsidP="00B0714B">
      <w:pPr>
        <w:pStyle w:val="BodyText"/>
        <w:spacing w:before="4"/>
        <w:contextualSpacing/>
        <w:rPr>
          <w:rFonts w:asciiTheme="majorHAnsi" w:hAnsiTheme="majorHAnsi" w:cstheme="majorHAnsi"/>
          <w:sz w:val="24"/>
          <w:szCs w:val="24"/>
        </w:rPr>
      </w:pPr>
    </w:p>
    <w:p w14:paraId="5FFC5E1E" w14:textId="791E747D" w:rsidR="0048798D" w:rsidRPr="0048798D" w:rsidRDefault="0048798D" w:rsidP="00B0714B">
      <w:pPr>
        <w:pStyle w:val="Heading2"/>
        <w:tabs>
          <w:tab w:val="left" w:pos="387"/>
        </w:tabs>
        <w:spacing w:before="1" w:line="240" w:lineRule="auto"/>
        <w:ind w:left="0"/>
        <w:contextualSpacing/>
        <w:rPr>
          <w:rFonts w:asciiTheme="majorHAnsi" w:hAnsiTheme="majorHAnsi" w:cstheme="majorHAnsi"/>
          <w:color w:val="3C3C3B"/>
          <w:sz w:val="24"/>
          <w:szCs w:val="24"/>
        </w:rPr>
      </w:pPr>
      <w:r w:rsidRPr="0048798D">
        <w:rPr>
          <w:rFonts w:asciiTheme="majorHAnsi" w:hAnsiTheme="majorHAnsi" w:cstheme="majorHAnsi"/>
          <w:color w:val="3C3C3B"/>
          <w:sz w:val="24"/>
          <w:szCs w:val="24"/>
        </w:rPr>
        <w:t>Resolution 1</w:t>
      </w:r>
      <w:r w:rsidR="007F4205">
        <w:rPr>
          <w:rFonts w:asciiTheme="majorHAnsi" w:hAnsiTheme="majorHAnsi" w:cstheme="majorHAnsi"/>
          <w:color w:val="3C3C3B"/>
          <w:sz w:val="24"/>
          <w:szCs w:val="24"/>
        </w:rPr>
        <w:t>7</w:t>
      </w:r>
      <w:r w:rsidRPr="0048798D">
        <w:rPr>
          <w:rFonts w:asciiTheme="majorHAnsi" w:hAnsiTheme="majorHAnsi" w:cstheme="majorHAnsi"/>
          <w:color w:val="3C3C3B"/>
          <w:sz w:val="24"/>
          <w:szCs w:val="24"/>
        </w:rPr>
        <w:t>:  Calling of general meetings on 14 days’</w:t>
      </w:r>
      <w:r w:rsidRPr="0048798D">
        <w:rPr>
          <w:rFonts w:asciiTheme="majorHAnsi" w:hAnsiTheme="majorHAnsi" w:cstheme="majorHAnsi"/>
          <w:color w:val="3C3C3B"/>
          <w:spacing w:val="-28"/>
          <w:sz w:val="24"/>
          <w:szCs w:val="24"/>
        </w:rPr>
        <w:t xml:space="preserve"> </w:t>
      </w:r>
      <w:r w:rsidRPr="0048798D">
        <w:rPr>
          <w:rFonts w:asciiTheme="majorHAnsi" w:hAnsiTheme="majorHAnsi" w:cstheme="majorHAnsi"/>
          <w:color w:val="3C3C3B"/>
          <w:sz w:val="24"/>
          <w:szCs w:val="24"/>
        </w:rPr>
        <w:t>notice</w:t>
      </w:r>
    </w:p>
    <w:p w14:paraId="6FB3A1A7" w14:textId="77777777" w:rsidR="0048798D" w:rsidRPr="0048798D" w:rsidRDefault="0048798D" w:rsidP="00B0714B">
      <w:pPr>
        <w:pStyle w:val="Heading2"/>
        <w:tabs>
          <w:tab w:val="left" w:pos="387"/>
        </w:tabs>
        <w:spacing w:before="1" w:line="240" w:lineRule="auto"/>
        <w:ind w:left="0"/>
        <w:contextualSpacing/>
        <w:rPr>
          <w:rFonts w:asciiTheme="majorHAnsi" w:hAnsiTheme="majorHAnsi" w:cstheme="majorHAnsi"/>
          <w:sz w:val="24"/>
          <w:szCs w:val="24"/>
        </w:rPr>
      </w:pPr>
    </w:p>
    <w:p w14:paraId="594D7987" w14:textId="77777777" w:rsidR="0048798D" w:rsidRPr="0048798D" w:rsidRDefault="0048798D" w:rsidP="00B0714B">
      <w:pPr>
        <w:pStyle w:val="BodyText"/>
        <w:ind w:left="387"/>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any general meeting of the Company that is not an AGM may be called on not less than 14 clear days’ notice.</w:t>
      </w:r>
    </w:p>
    <w:p w14:paraId="0C3C259C" w14:textId="77777777" w:rsidR="0048798D" w:rsidRPr="0048798D" w:rsidRDefault="0048798D" w:rsidP="00B0714B">
      <w:pPr>
        <w:pStyle w:val="BodyText"/>
        <w:spacing w:before="3"/>
        <w:contextualSpacing/>
        <w:rPr>
          <w:rFonts w:asciiTheme="majorHAnsi" w:hAnsiTheme="majorHAnsi" w:cstheme="majorHAnsi"/>
          <w:sz w:val="24"/>
          <w:szCs w:val="24"/>
        </w:rPr>
      </w:pPr>
    </w:p>
    <w:p w14:paraId="5E909E5B" w14:textId="77777777" w:rsidR="004D6E56" w:rsidRDefault="004D6E56" w:rsidP="00B0714B">
      <w:pPr>
        <w:spacing w:line="240" w:lineRule="auto"/>
        <w:contextualSpacing/>
        <w:rPr>
          <w:rFonts w:asciiTheme="majorHAnsi" w:hAnsiTheme="majorHAnsi" w:cstheme="majorHAnsi"/>
          <w:sz w:val="24"/>
          <w:szCs w:val="24"/>
        </w:rPr>
      </w:pPr>
    </w:p>
    <w:p w14:paraId="6FA734DD" w14:textId="58E66F8F" w:rsidR="00B0714B" w:rsidRDefault="0049168A" w:rsidP="00B0714B">
      <w:pPr>
        <w:spacing w:line="240" w:lineRule="auto"/>
        <w:contextualSpacing/>
        <w:rPr>
          <w:rFonts w:asciiTheme="majorHAnsi" w:hAnsiTheme="majorHAnsi" w:cstheme="majorHAnsi"/>
          <w:sz w:val="24"/>
          <w:szCs w:val="24"/>
        </w:rPr>
      </w:pPr>
      <w:r>
        <w:rPr>
          <w:noProof/>
          <w:sz w:val="20"/>
        </w:rPr>
        <w:drawing>
          <wp:inline distT="0" distB="0" distL="0" distR="0" wp14:anchorId="1B529E8A" wp14:editId="4B98C297">
            <wp:extent cx="2263140" cy="653796"/>
            <wp:effectExtent l="0" t="0" r="0" b="0"/>
            <wp:docPr id="1"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with medium confidence"/>
                    <pic:cNvPicPr/>
                  </pic:nvPicPr>
                  <pic:blipFill>
                    <a:blip r:embed="rId8" cstate="print"/>
                    <a:stretch>
                      <a:fillRect/>
                    </a:stretch>
                  </pic:blipFill>
                  <pic:spPr>
                    <a:xfrm>
                      <a:off x="0" y="0"/>
                      <a:ext cx="2263140" cy="653796"/>
                    </a:xfrm>
                    <a:prstGeom prst="rect">
                      <a:avLst/>
                    </a:prstGeom>
                  </pic:spPr>
                </pic:pic>
              </a:graphicData>
            </a:graphic>
          </wp:inline>
        </w:drawing>
      </w:r>
    </w:p>
    <w:p w14:paraId="7CA3E81C" w14:textId="77777777" w:rsidR="00B0714B" w:rsidRDefault="00B0714B" w:rsidP="00B0714B">
      <w:pPr>
        <w:spacing w:line="240" w:lineRule="auto"/>
        <w:contextualSpacing/>
        <w:rPr>
          <w:rFonts w:asciiTheme="majorHAnsi" w:hAnsiTheme="majorHAnsi" w:cstheme="majorHAnsi"/>
          <w:sz w:val="24"/>
          <w:szCs w:val="24"/>
        </w:rPr>
      </w:pPr>
    </w:p>
    <w:p w14:paraId="370C74AE" w14:textId="3A2E5744" w:rsidR="00B0714B" w:rsidRDefault="0049168A" w:rsidP="00B0714B">
      <w:pPr>
        <w:spacing w:line="240" w:lineRule="auto"/>
        <w:contextualSpacing/>
        <w:rPr>
          <w:rFonts w:asciiTheme="majorHAnsi" w:hAnsiTheme="majorHAnsi" w:cstheme="majorHAnsi"/>
          <w:sz w:val="24"/>
          <w:szCs w:val="24"/>
        </w:rPr>
      </w:pPr>
      <w:r>
        <w:rPr>
          <w:rFonts w:asciiTheme="majorHAnsi" w:hAnsiTheme="majorHAnsi" w:cstheme="majorHAnsi"/>
          <w:sz w:val="24"/>
          <w:szCs w:val="24"/>
        </w:rPr>
        <w:t>Brian McLelland</w:t>
      </w:r>
    </w:p>
    <w:p w14:paraId="73E51073" w14:textId="77777777" w:rsidR="00B0714B" w:rsidRPr="0048798D" w:rsidRDefault="00B0714B" w:rsidP="00B0714B">
      <w:pPr>
        <w:spacing w:line="240" w:lineRule="auto"/>
        <w:contextualSpacing/>
        <w:rPr>
          <w:rFonts w:asciiTheme="majorHAnsi" w:hAnsiTheme="majorHAnsi" w:cstheme="majorHAnsi"/>
          <w:sz w:val="24"/>
          <w:szCs w:val="24"/>
        </w:rPr>
      </w:pPr>
      <w:r>
        <w:rPr>
          <w:rFonts w:asciiTheme="majorHAnsi" w:hAnsiTheme="majorHAnsi" w:cstheme="majorHAnsi"/>
          <w:sz w:val="24"/>
          <w:szCs w:val="24"/>
        </w:rPr>
        <w:t>Company Secretary</w:t>
      </w:r>
    </w:p>
    <w:sectPr w:rsidR="00B0714B" w:rsidRPr="0048798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92F0" w14:textId="77777777" w:rsidR="0048798D" w:rsidRDefault="0048798D" w:rsidP="0048798D">
      <w:pPr>
        <w:spacing w:after="0" w:line="240" w:lineRule="auto"/>
      </w:pPr>
      <w:r>
        <w:separator/>
      </w:r>
    </w:p>
  </w:endnote>
  <w:endnote w:type="continuationSeparator" w:id="0">
    <w:p w14:paraId="666B150C" w14:textId="77777777" w:rsidR="0048798D" w:rsidRDefault="0048798D" w:rsidP="0048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oundry Context Bold">
    <w:panose1 w:val="02000000000000000000"/>
    <w:charset w:val="00"/>
    <w:family w:val="modern"/>
    <w:notTrueType/>
    <w:pitch w:val="variable"/>
    <w:sig w:usb0="A00000AF" w:usb1="5000205B" w:usb2="00000000" w:usb3="00000000" w:csb0="00000111" w:csb1="00000000"/>
  </w:font>
  <w:font w:name="Foundry Context Regular">
    <w:panose1 w:val="02000500020000020003"/>
    <w:charset w:val="00"/>
    <w:family w:val="modern"/>
    <w:notTrueType/>
    <w:pitch w:val="variable"/>
    <w:sig w:usb0="A00000AF" w:usb1="5000205B"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yPointExtraBol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7C49" w14:textId="77777777" w:rsidR="0048798D" w:rsidRPr="0048798D" w:rsidRDefault="0048798D">
    <w:pPr>
      <w:pStyle w:val="Footer"/>
      <w:rPr>
        <w:vertAlign w:val="superscript"/>
      </w:rPr>
    </w:pPr>
    <w:proofErr w:type="gramStart"/>
    <w:r w:rsidRPr="0048798D">
      <w:rPr>
        <w:vertAlign w:val="superscript"/>
      </w:rPr>
      <w:t>1</w:t>
    </w:r>
    <w:r>
      <w:rPr>
        <w:vertAlign w:val="superscript"/>
      </w:rPr>
      <w:t xml:space="preserve"> </w:t>
    </w:r>
    <w:r>
      <w:t xml:space="preserve"> Resolutions</w:t>
    </w:r>
    <w:proofErr w:type="gramEnd"/>
    <w:r>
      <w:t xml:space="preserve"> relating to special business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F26E" w14:textId="77777777" w:rsidR="0048798D" w:rsidRDefault="0048798D" w:rsidP="0048798D">
      <w:pPr>
        <w:spacing w:after="0" w:line="240" w:lineRule="auto"/>
      </w:pPr>
      <w:r>
        <w:separator/>
      </w:r>
    </w:p>
  </w:footnote>
  <w:footnote w:type="continuationSeparator" w:id="0">
    <w:p w14:paraId="1E52F6FA" w14:textId="77777777" w:rsidR="0048798D" w:rsidRDefault="0048798D" w:rsidP="00487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6414D"/>
    <w:multiLevelType w:val="hybridMultilevel"/>
    <w:tmpl w:val="EAA43696"/>
    <w:lvl w:ilvl="0" w:tplc="914C7DCA">
      <w:start w:val="1"/>
      <w:numFmt w:val="decimal"/>
      <w:lvlText w:val="%1."/>
      <w:lvlJc w:val="left"/>
      <w:pPr>
        <w:ind w:left="425" w:hanging="284"/>
        <w:jc w:val="right"/>
      </w:pPr>
      <w:rPr>
        <w:rFonts w:ascii="Foundry Context Bold" w:eastAsia="Foundry Context Bold" w:hAnsi="Foundry Context Bold" w:cs="Foundry Context Bold" w:hint="default"/>
        <w:b/>
        <w:bCs/>
        <w:color w:val="3C3C3B"/>
        <w:spacing w:val="-10"/>
        <w:w w:val="100"/>
        <w:sz w:val="17"/>
        <w:szCs w:val="17"/>
        <w:lang w:val="en-GB" w:eastAsia="en-GB" w:bidi="en-GB"/>
      </w:rPr>
    </w:lvl>
    <w:lvl w:ilvl="1" w:tplc="23D628B6">
      <w:start w:val="1"/>
      <w:numFmt w:val="upperLetter"/>
      <w:lvlText w:val="(%2)"/>
      <w:lvlJc w:val="left"/>
      <w:pPr>
        <w:ind w:left="783" w:hanging="284"/>
        <w:jc w:val="left"/>
      </w:pPr>
      <w:rPr>
        <w:rFonts w:ascii="Foundry Context Regular" w:eastAsia="Foundry Context Regular" w:hAnsi="Foundry Context Regular" w:cs="Foundry Context Regular" w:hint="default"/>
        <w:color w:val="3C3C3B"/>
        <w:spacing w:val="-4"/>
        <w:w w:val="100"/>
        <w:sz w:val="17"/>
        <w:szCs w:val="17"/>
        <w:lang w:val="en-GB" w:eastAsia="en-GB" w:bidi="en-GB"/>
      </w:rPr>
    </w:lvl>
    <w:lvl w:ilvl="2" w:tplc="1D26AFAA">
      <w:start w:val="1"/>
      <w:numFmt w:val="lowerRoman"/>
      <w:lvlText w:val="(%3)"/>
      <w:lvlJc w:val="left"/>
      <w:pPr>
        <w:ind w:left="1067" w:hanging="284"/>
        <w:jc w:val="left"/>
      </w:pPr>
      <w:rPr>
        <w:rFonts w:ascii="Foundry Context Regular" w:eastAsia="Foundry Context Regular" w:hAnsi="Foundry Context Regular" w:cs="Foundry Context Regular" w:hint="default"/>
        <w:color w:val="3C3C3B"/>
        <w:spacing w:val="-10"/>
        <w:w w:val="100"/>
        <w:sz w:val="17"/>
        <w:szCs w:val="17"/>
        <w:lang w:val="en-GB" w:eastAsia="en-GB" w:bidi="en-GB"/>
      </w:rPr>
    </w:lvl>
    <w:lvl w:ilvl="3" w:tplc="93688004">
      <w:numFmt w:val="bullet"/>
      <w:lvlText w:val="•"/>
      <w:lvlJc w:val="left"/>
      <w:pPr>
        <w:ind w:left="960" w:hanging="284"/>
      </w:pPr>
      <w:rPr>
        <w:rFonts w:hint="default"/>
        <w:lang w:val="en-GB" w:eastAsia="en-GB" w:bidi="en-GB"/>
      </w:rPr>
    </w:lvl>
    <w:lvl w:ilvl="4" w:tplc="A52AB084">
      <w:numFmt w:val="bullet"/>
      <w:lvlText w:val="•"/>
      <w:lvlJc w:val="left"/>
      <w:pPr>
        <w:ind w:left="1060" w:hanging="284"/>
      </w:pPr>
      <w:rPr>
        <w:rFonts w:hint="default"/>
        <w:lang w:val="en-GB" w:eastAsia="en-GB" w:bidi="en-GB"/>
      </w:rPr>
    </w:lvl>
    <w:lvl w:ilvl="5" w:tplc="2832822A">
      <w:numFmt w:val="bullet"/>
      <w:lvlText w:val="•"/>
      <w:lvlJc w:val="left"/>
      <w:pPr>
        <w:ind w:left="2580" w:hanging="284"/>
      </w:pPr>
      <w:rPr>
        <w:rFonts w:hint="default"/>
        <w:lang w:val="en-GB" w:eastAsia="en-GB" w:bidi="en-GB"/>
      </w:rPr>
    </w:lvl>
    <w:lvl w:ilvl="6" w:tplc="02F4C590">
      <w:numFmt w:val="bullet"/>
      <w:lvlText w:val="•"/>
      <w:lvlJc w:val="left"/>
      <w:pPr>
        <w:ind w:left="4101" w:hanging="284"/>
      </w:pPr>
      <w:rPr>
        <w:rFonts w:hint="default"/>
        <w:lang w:val="en-GB" w:eastAsia="en-GB" w:bidi="en-GB"/>
      </w:rPr>
    </w:lvl>
    <w:lvl w:ilvl="7" w:tplc="D1D2240E">
      <w:numFmt w:val="bullet"/>
      <w:lvlText w:val="•"/>
      <w:lvlJc w:val="left"/>
      <w:pPr>
        <w:ind w:left="5622" w:hanging="284"/>
      </w:pPr>
      <w:rPr>
        <w:rFonts w:hint="default"/>
        <w:lang w:val="en-GB" w:eastAsia="en-GB" w:bidi="en-GB"/>
      </w:rPr>
    </w:lvl>
    <w:lvl w:ilvl="8" w:tplc="94EA7722">
      <w:numFmt w:val="bullet"/>
      <w:lvlText w:val="•"/>
      <w:lvlJc w:val="left"/>
      <w:pPr>
        <w:ind w:left="7143" w:hanging="284"/>
      </w:pPr>
      <w:rPr>
        <w:rFonts w:hint="default"/>
        <w:lang w:val="en-GB" w:eastAsia="en-GB" w:bidi="en-GB"/>
      </w:rPr>
    </w:lvl>
  </w:abstractNum>
  <w:abstractNum w:abstractNumId="1" w15:restartNumberingAfterBreak="0">
    <w:nsid w:val="3C8C1480"/>
    <w:multiLevelType w:val="hybridMultilevel"/>
    <w:tmpl w:val="38265A4C"/>
    <w:lvl w:ilvl="0" w:tplc="A3706D92">
      <w:start w:val="1"/>
      <w:numFmt w:val="lowerRoman"/>
      <w:lvlText w:val="(%1)"/>
      <w:lvlJc w:val="left"/>
      <w:pPr>
        <w:ind w:left="537" w:hanging="321"/>
        <w:jc w:val="left"/>
      </w:pPr>
      <w:rPr>
        <w:rFonts w:ascii="Foundry Context Regular" w:eastAsia="Foundry Context Regular" w:hAnsi="Foundry Context Regular" w:cs="Foundry Context Regular" w:hint="default"/>
        <w:color w:val="3C3C3B"/>
        <w:spacing w:val="-10"/>
        <w:w w:val="100"/>
        <w:sz w:val="17"/>
        <w:szCs w:val="17"/>
        <w:lang w:val="en-GB" w:eastAsia="en-GB" w:bidi="en-GB"/>
      </w:rPr>
    </w:lvl>
    <w:lvl w:ilvl="1" w:tplc="12747262">
      <w:numFmt w:val="bullet"/>
      <w:lvlText w:val="•"/>
      <w:lvlJc w:val="left"/>
      <w:pPr>
        <w:ind w:left="1504" w:hanging="321"/>
      </w:pPr>
      <w:rPr>
        <w:rFonts w:hint="default"/>
        <w:lang w:val="en-GB" w:eastAsia="en-GB" w:bidi="en-GB"/>
      </w:rPr>
    </w:lvl>
    <w:lvl w:ilvl="2" w:tplc="8A00A7FE">
      <w:numFmt w:val="bullet"/>
      <w:lvlText w:val="•"/>
      <w:lvlJc w:val="left"/>
      <w:pPr>
        <w:ind w:left="2469" w:hanging="321"/>
      </w:pPr>
      <w:rPr>
        <w:rFonts w:hint="default"/>
        <w:lang w:val="en-GB" w:eastAsia="en-GB" w:bidi="en-GB"/>
      </w:rPr>
    </w:lvl>
    <w:lvl w:ilvl="3" w:tplc="42F8807E">
      <w:numFmt w:val="bullet"/>
      <w:lvlText w:val="•"/>
      <w:lvlJc w:val="left"/>
      <w:pPr>
        <w:ind w:left="3433" w:hanging="321"/>
      </w:pPr>
      <w:rPr>
        <w:rFonts w:hint="default"/>
        <w:lang w:val="en-GB" w:eastAsia="en-GB" w:bidi="en-GB"/>
      </w:rPr>
    </w:lvl>
    <w:lvl w:ilvl="4" w:tplc="D7A425D6">
      <w:numFmt w:val="bullet"/>
      <w:lvlText w:val="•"/>
      <w:lvlJc w:val="left"/>
      <w:pPr>
        <w:ind w:left="4398" w:hanging="321"/>
      </w:pPr>
      <w:rPr>
        <w:rFonts w:hint="default"/>
        <w:lang w:val="en-GB" w:eastAsia="en-GB" w:bidi="en-GB"/>
      </w:rPr>
    </w:lvl>
    <w:lvl w:ilvl="5" w:tplc="EE68D05A">
      <w:numFmt w:val="bullet"/>
      <w:lvlText w:val="•"/>
      <w:lvlJc w:val="left"/>
      <w:pPr>
        <w:ind w:left="5362" w:hanging="321"/>
      </w:pPr>
      <w:rPr>
        <w:rFonts w:hint="default"/>
        <w:lang w:val="en-GB" w:eastAsia="en-GB" w:bidi="en-GB"/>
      </w:rPr>
    </w:lvl>
    <w:lvl w:ilvl="6" w:tplc="C7D03288">
      <w:numFmt w:val="bullet"/>
      <w:lvlText w:val="•"/>
      <w:lvlJc w:val="left"/>
      <w:pPr>
        <w:ind w:left="6327" w:hanging="321"/>
      </w:pPr>
      <w:rPr>
        <w:rFonts w:hint="default"/>
        <w:lang w:val="en-GB" w:eastAsia="en-GB" w:bidi="en-GB"/>
      </w:rPr>
    </w:lvl>
    <w:lvl w:ilvl="7" w:tplc="D8EA216C">
      <w:numFmt w:val="bullet"/>
      <w:lvlText w:val="•"/>
      <w:lvlJc w:val="left"/>
      <w:pPr>
        <w:ind w:left="7291" w:hanging="321"/>
      </w:pPr>
      <w:rPr>
        <w:rFonts w:hint="default"/>
        <w:lang w:val="en-GB" w:eastAsia="en-GB" w:bidi="en-GB"/>
      </w:rPr>
    </w:lvl>
    <w:lvl w:ilvl="8" w:tplc="8E02455A">
      <w:numFmt w:val="bullet"/>
      <w:lvlText w:val="•"/>
      <w:lvlJc w:val="left"/>
      <w:pPr>
        <w:ind w:left="8256" w:hanging="321"/>
      </w:pPr>
      <w:rPr>
        <w:rFonts w:hint="default"/>
        <w:lang w:val="en-GB" w:eastAsia="en-GB" w:bidi="en-GB"/>
      </w:rPr>
    </w:lvl>
  </w:abstractNum>
  <w:abstractNum w:abstractNumId="2" w15:restartNumberingAfterBreak="0">
    <w:nsid w:val="6D4E1562"/>
    <w:multiLevelType w:val="hybridMultilevel"/>
    <w:tmpl w:val="EAA43696"/>
    <w:lvl w:ilvl="0" w:tplc="914C7DCA">
      <w:start w:val="1"/>
      <w:numFmt w:val="decimal"/>
      <w:lvlText w:val="%1."/>
      <w:lvlJc w:val="left"/>
      <w:pPr>
        <w:ind w:left="425" w:hanging="284"/>
        <w:jc w:val="right"/>
      </w:pPr>
      <w:rPr>
        <w:rFonts w:ascii="Foundry Context Bold" w:eastAsia="Foundry Context Bold" w:hAnsi="Foundry Context Bold" w:cs="Foundry Context Bold" w:hint="default"/>
        <w:b/>
        <w:bCs/>
        <w:color w:val="3C3C3B"/>
        <w:spacing w:val="-10"/>
        <w:w w:val="100"/>
        <w:sz w:val="17"/>
        <w:szCs w:val="17"/>
        <w:lang w:val="en-GB" w:eastAsia="en-GB" w:bidi="en-GB"/>
      </w:rPr>
    </w:lvl>
    <w:lvl w:ilvl="1" w:tplc="23D628B6">
      <w:start w:val="1"/>
      <w:numFmt w:val="upperLetter"/>
      <w:lvlText w:val="(%2)"/>
      <w:lvlJc w:val="left"/>
      <w:pPr>
        <w:ind w:left="783" w:hanging="284"/>
        <w:jc w:val="left"/>
      </w:pPr>
      <w:rPr>
        <w:rFonts w:ascii="Foundry Context Regular" w:eastAsia="Foundry Context Regular" w:hAnsi="Foundry Context Regular" w:cs="Foundry Context Regular" w:hint="default"/>
        <w:color w:val="3C3C3B"/>
        <w:spacing w:val="-4"/>
        <w:w w:val="100"/>
        <w:sz w:val="17"/>
        <w:szCs w:val="17"/>
        <w:lang w:val="en-GB" w:eastAsia="en-GB" w:bidi="en-GB"/>
      </w:rPr>
    </w:lvl>
    <w:lvl w:ilvl="2" w:tplc="1D26AFAA">
      <w:start w:val="1"/>
      <w:numFmt w:val="lowerRoman"/>
      <w:lvlText w:val="(%3)"/>
      <w:lvlJc w:val="left"/>
      <w:pPr>
        <w:ind w:left="1067" w:hanging="284"/>
        <w:jc w:val="left"/>
      </w:pPr>
      <w:rPr>
        <w:rFonts w:ascii="Foundry Context Regular" w:eastAsia="Foundry Context Regular" w:hAnsi="Foundry Context Regular" w:cs="Foundry Context Regular" w:hint="default"/>
        <w:color w:val="3C3C3B"/>
        <w:spacing w:val="-10"/>
        <w:w w:val="100"/>
        <w:sz w:val="17"/>
        <w:szCs w:val="17"/>
        <w:lang w:val="en-GB" w:eastAsia="en-GB" w:bidi="en-GB"/>
      </w:rPr>
    </w:lvl>
    <w:lvl w:ilvl="3" w:tplc="93688004">
      <w:numFmt w:val="bullet"/>
      <w:lvlText w:val="•"/>
      <w:lvlJc w:val="left"/>
      <w:pPr>
        <w:ind w:left="960" w:hanging="284"/>
      </w:pPr>
      <w:rPr>
        <w:rFonts w:hint="default"/>
        <w:lang w:val="en-GB" w:eastAsia="en-GB" w:bidi="en-GB"/>
      </w:rPr>
    </w:lvl>
    <w:lvl w:ilvl="4" w:tplc="A52AB084">
      <w:numFmt w:val="bullet"/>
      <w:lvlText w:val="•"/>
      <w:lvlJc w:val="left"/>
      <w:pPr>
        <w:ind w:left="1060" w:hanging="284"/>
      </w:pPr>
      <w:rPr>
        <w:rFonts w:hint="default"/>
        <w:lang w:val="en-GB" w:eastAsia="en-GB" w:bidi="en-GB"/>
      </w:rPr>
    </w:lvl>
    <w:lvl w:ilvl="5" w:tplc="2832822A">
      <w:numFmt w:val="bullet"/>
      <w:lvlText w:val="•"/>
      <w:lvlJc w:val="left"/>
      <w:pPr>
        <w:ind w:left="2580" w:hanging="284"/>
      </w:pPr>
      <w:rPr>
        <w:rFonts w:hint="default"/>
        <w:lang w:val="en-GB" w:eastAsia="en-GB" w:bidi="en-GB"/>
      </w:rPr>
    </w:lvl>
    <w:lvl w:ilvl="6" w:tplc="02F4C590">
      <w:numFmt w:val="bullet"/>
      <w:lvlText w:val="•"/>
      <w:lvlJc w:val="left"/>
      <w:pPr>
        <w:ind w:left="4101" w:hanging="284"/>
      </w:pPr>
      <w:rPr>
        <w:rFonts w:hint="default"/>
        <w:lang w:val="en-GB" w:eastAsia="en-GB" w:bidi="en-GB"/>
      </w:rPr>
    </w:lvl>
    <w:lvl w:ilvl="7" w:tplc="D1D2240E">
      <w:numFmt w:val="bullet"/>
      <w:lvlText w:val="•"/>
      <w:lvlJc w:val="left"/>
      <w:pPr>
        <w:ind w:left="5622" w:hanging="284"/>
      </w:pPr>
      <w:rPr>
        <w:rFonts w:hint="default"/>
        <w:lang w:val="en-GB" w:eastAsia="en-GB" w:bidi="en-GB"/>
      </w:rPr>
    </w:lvl>
    <w:lvl w:ilvl="8" w:tplc="94EA7722">
      <w:numFmt w:val="bullet"/>
      <w:lvlText w:val="•"/>
      <w:lvlJc w:val="left"/>
      <w:pPr>
        <w:ind w:left="7143" w:hanging="284"/>
      </w:pPr>
      <w:rPr>
        <w:rFonts w:hint="default"/>
        <w:lang w:val="en-GB" w:eastAsia="en-GB" w:bidi="en-GB"/>
      </w:rPr>
    </w:lvl>
  </w:abstractNum>
  <w:num w:numId="1" w16cid:durableId="1817067574">
    <w:abstractNumId w:val="1"/>
  </w:num>
  <w:num w:numId="2" w16cid:durableId="1273245140">
    <w:abstractNumId w:val="2"/>
  </w:num>
  <w:num w:numId="3" w16cid:durableId="127972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8D"/>
    <w:rsid w:val="0048798D"/>
    <w:rsid w:val="0049168A"/>
    <w:rsid w:val="004D6E56"/>
    <w:rsid w:val="005D16E1"/>
    <w:rsid w:val="007F4205"/>
    <w:rsid w:val="00AD07FC"/>
    <w:rsid w:val="00B0714B"/>
    <w:rsid w:val="00FB6051"/>
    <w:rsid w:val="00FF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41BD"/>
  <w15:chartTrackingRefBased/>
  <w15:docId w15:val="{632C8D79-EE94-4F87-AB1A-B28B83F2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8798D"/>
    <w:pPr>
      <w:widowControl w:val="0"/>
      <w:autoSpaceDE w:val="0"/>
      <w:autoSpaceDN w:val="0"/>
      <w:spacing w:before="39" w:after="0" w:line="240" w:lineRule="auto"/>
      <w:ind w:left="103"/>
      <w:outlineLvl w:val="0"/>
    </w:pPr>
    <w:rPr>
      <w:rFonts w:ascii="PayPointExtraBold" w:eastAsia="PayPointExtraBold" w:hAnsi="PayPointExtraBold" w:cs="PayPointExtraBold"/>
      <w:b/>
      <w:bCs/>
      <w:sz w:val="34"/>
      <w:szCs w:val="34"/>
      <w:lang w:eastAsia="en-GB" w:bidi="en-GB"/>
    </w:rPr>
  </w:style>
  <w:style w:type="paragraph" w:styleId="Heading2">
    <w:name w:val="heading 2"/>
    <w:basedOn w:val="Normal"/>
    <w:link w:val="Heading2Char"/>
    <w:uiPriority w:val="1"/>
    <w:qFormat/>
    <w:rsid w:val="0048798D"/>
    <w:pPr>
      <w:widowControl w:val="0"/>
      <w:autoSpaceDE w:val="0"/>
      <w:autoSpaceDN w:val="0"/>
      <w:spacing w:after="0" w:line="202" w:lineRule="exact"/>
      <w:ind w:left="387"/>
      <w:outlineLvl w:val="1"/>
    </w:pPr>
    <w:rPr>
      <w:rFonts w:ascii="Foundry Context Bold" w:eastAsia="Foundry Context Bold" w:hAnsi="Foundry Context Bold" w:cs="Foundry Context Bold"/>
      <w:b/>
      <w:bCs/>
      <w:sz w:val="17"/>
      <w:szCs w:val="17"/>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798D"/>
    <w:pPr>
      <w:widowControl w:val="0"/>
      <w:autoSpaceDE w:val="0"/>
      <w:autoSpaceDN w:val="0"/>
      <w:spacing w:after="0" w:line="240" w:lineRule="auto"/>
    </w:pPr>
    <w:rPr>
      <w:rFonts w:ascii="Foundry Context Regular" w:eastAsia="Foundry Context Regular" w:hAnsi="Foundry Context Regular" w:cs="Foundry Context Regular"/>
      <w:sz w:val="17"/>
      <w:szCs w:val="17"/>
      <w:lang w:eastAsia="en-GB" w:bidi="en-GB"/>
    </w:rPr>
  </w:style>
  <w:style w:type="character" w:customStyle="1" w:styleId="BodyTextChar">
    <w:name w:val="Body Text Char"/>
    <w:basedOn w:val="DefaultParagraphFont"/>
    <w:link w:val="BodyText"/>
    <w:uiPriority w:val="1"/>
    <w:rsid w:val="0048798D"/>
    <w:rPr>
      <w:rFonts w:ascii="Foundry Context Regular" w:eastAsia="Foundry Context Regular" w:hAnsi="Foundry Context Regular" w:cs="Foundry Context Regular"/>
      <w:sz w:val="17"/>
      <w:szCs w:val="17"/>
      <w:lang w:eastAsia="en-GB" w:bidi="en-GB"/>
    </w:rPr>
  </w:style>
  <w:style w:type="paragraph" w:styleId="ListParagraph">
    <w:name w:val="List Paragraph"/>
    <w:basedOn w:val="Normal"/>
    <w:uiPriority w:val="1"/>
    <w:qFormat/>
    <w:rsid w:val="0048798D"/>
    <w:pPr>
      <w:widowControl w:val="0"/>
      <w:autoSpaceDE w:val="0"/>
      <w:autoSpaceDN w:val="0"/>
      <w:spacing w:after="0" w:line="240" w:lineRule="auto"/>
      <w:ind w:left="387" w:hanging="284"/>
    </w:pPr>
    <w:rPr>
      <w:rFonts w:ascii="Foundry Context Regular" w:eastAsia="Foundry Context Regular" w:hAnsi="Foundry Context Regular" w:cs="Foundry Context Regular"/>
      <w:lang w:eastAsia="en-GB" w:bidi="en-GB"/>
    </w:rPr>
  </w:style>
  <w:style w:type="paragraph" w:styleId="Header">
    <w:name w:val="header"/>
    <w:basedOn w:val="Normal"/>
    <w:link w:val="HeaderChar"/>
    <w:uiPriority w:val="99"/>
    <w:unhideWhenUsed/>
    <w:rsid w:val="00487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98D"/>
  </w:style>
  <w:style w:type="paragraph" w:styleId="Footer">
    <w:name w:val="footer"/>
    <w:basedOn w:val="Normal"/>
    <w:link w:val="FooterChar"/>
    <w:uiPriority w:val="99"/>
    <w:unhideWhenUsed/>
    <w:rsid w:val="00487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98D"/>
  </w:style>
  <w:style w:type="character" w:customStyle="1" w:styleId="Heading1Char">
    <w:name w:val="Heading 1 Char"/>
    <w:basedOn w:val="DefaultParagraphFont"/>
    <w:link w:val="Heading1"/>
    <w:uiPriority w:val="1"/>
    <w:rsid w:val="0048798D"/>
    <w:rPr>
      <w:rFonts w:ascii="PayPointExtraBold" w:eastAsia="PayPointExtraBold" w:hAnsi="PayPointExtraBold" w:cs="PayPointExtraBold"/>
      <w:b/>
      <w:bCs/>
      <w:sz w:val="34"/>
      <w:szCs w:val="34"/>
      <w:lang w:eastAsia="en-GB" w:bidi="en-GB"/>
    </w:rPr>
  </w:style>
  <w:style w:type="character" w:customStyle="1" w:styleId="Heading2Char">
    <w:name w:val="Heading 2 Char"/>
    <w:basedOn w:val="DefaultParagraphFont"/>
    <w:link w:val="Heading2"/>
    <w:uiPriority w:val="1"/>
    <w:rsid w:val="0048798D"/>
    <w:rPr>
      <w:rFonts w:ascii="Foundry Context Bold" w:eastAsia="Foundry Context Bold" w:hAnsi="Foundry Context Bold" w:cs="Foundry Context Bold"/>
      <w:b/>
      <w:bCs/>
      <w:sz w:val="17"/>
      <w:szCs w:val="17"/>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4F42-905F-4228-896D-C1E70F2F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Carne</dc:creator>
  <cp:keywords/>
  <dc:description/>
  <cp:lastModifiedBy>Brian McLelland</cp:lastModifiedBy>
  <cp:revision>2</cp:revision>
  <dcterms:created xsi:type="dcterms:W3CDTF">2022-07-18T09:30:00Z</dcterms:created>
  <dcterms:modified xsi:type="dcterms:W3CDTF">2022-07-18T09:30:00Z</dcterms:modified>
</cp:coreProperties>
</file>