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77BF4" w14:textId="77777777" w:rsidR="008612EA" w:rsidRPr="006D0FCF" w:rsidRDefault="008612EA">
      <w:pPr>
        <w:rPr>
          <w:rFonts w:ascii="Arial" w:hAnsi="Arial" w:cs="Arial"/>
          <w:b/>
          <w:sz w:val="20"/>
          <w:szCs w:val="20"/>
        </w:rPr>
      </w:pPr>
      <w:r w:rsidRPr="006D0FCF">
        <w:rPr>
          <w:rFonts w:ascii="Arial" w:hAnsi="Arial" w:cs="Arial"/>
          <w:b/>
          <w:sz w:val="20"/>
          <w:szCs w:val="20"/>
        </w:rPr>
        <w:t>No. 04677092</w:t>
      </w:r>
    </w:p>
    <w:p w14:paraId="3B1B0E64" w14:textId="77777777" w:rsidR="008612EA" w:rsidRPr="006D0FCF" w:rsidRDefault="008612EA">
      <w:pPr>
        <w:rPr>
          <w:rFonts w:ascii="Arial" w:hAnsi="Arial" w:cs="Arial"/>
          <w:sz w:val="20"/>
          <w:szCs w:val="20"/>
        </w:rPr>
      </w:pPr>
    </w:p>
    <w:p w14:paraId="1803E880"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Companies Act 2006</w:t>
      </w:r>
    </w:p>
    <w:p w14:paraId="68FB25A1" w14:textId="77777777" w:rsidR="008B7A9D" w:rsidRPr="006D0FCF" w:rsidRDefault="008B7A9D" w:rsidP="008B7A9D">
      <w:pPr>
        <w:jc w:val="center"/>
        <w:rPr>
          <w:rFonts w:ascii="Arial" w:hAnsi="Arial" w:cs="Arial"/>
          <w:b/>
          <w:sz w:val="20"/>
          <w:szCs w:val="20"/>
        </w:rPr>
      </w:pPr>
    </w:p>
    <w:p w14:paraId="05DF74F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 xml:space="preserve">Public Limited </w:t>
      </w:r>
      <w:r w:rsidR="008B7A9D" w:rsidRPr="006D0FCF">
        <w:rPr>
          <w:rFonts w:ascii="Arial" w:hAnsi="Arial" w:cs="Arial"/>
          <w:b/>
          <w:sz w:val="20"/>
          <w:szCs w:val="20"/>
        </w:rPr>
        <w:t>Company</w:t>
      </w:r>
    </w:p>
    <w:p w14:paraId="68981681" w14:textId="77777777" w:rsidR="008B7A9D" w:rsidRPr="006D0FCF" w:rsidRDefault="008B7A9D" w:rsidP="008B7A9D">
      <w:pPr>
        <w:jc w:val="center"/>
        <w:rPr>
          <w:rFonts w:ascii="Arial" w:hAnsi="Arial" w:cs="Arial"/>
          <w:b/>
          <w:sz w:val="20"/>
          <w:szCs w:val="20"/>
        </w:rPr>
      </w:pPr>
    </w:p>
    <w:p w14:paraId="2DA431B9" w14:textId="77777777" w:rsidR="008612EA" w:rsidRPr="006D0FCF" w:rsidRDefault="00C310C4" w:rsidP="008B7A9D">
      <w:pPr>
        <w:jc w:val="center"/>
        <w:rPr>
          <w:rFonts w:ascii="Arial" w:hAnsi="Arial" w:cs="Arial"/>
          <w:b/>
          <w:sz w:val="20"/>
          <w:szCs w:val="20"/>
        </w:rPr>
      </w:pPr>
      <w:r>
        <w:rPr>
          <w:rFonts w:ascii="Arial" w:hAnsi="Arial" w:cs="Arial"/>
          <w:b/>
          <w:sz w:val="20"/>
          <w:szCs w:val="20"/>
        </w:rPr>
        <w:t xml:space="preserve">Ordinary and </w:t>
      </w:r>
      <w:r w:rsidR="008612EA" w:rsidRPr="006D0FCF">
        <w:rPr>
          <w:rFonts w:ascii="Arial" w:hAnsi="Arial" w:cs="Arial"/>
          <w:b/>
          <w:sz w:val="20"/>
          <w:szCs w:val="20"/>
        </w:rPr>
        <w:t>Special Resolutions</w:t>
      </w:r>
    </w:p>
    <w:p w14:paraId="0F145E67" w14:textId="77777777" w:rsidR="008B7A9D" w:rsidRPr="006D0FCF" w:rsidRDefault="008B7A9D" w:rsidP="008B7A9D">
      <w:pPr>
        <w:jc w:val="center"/>
        <w:rPr>
          <w:rFonts w:ascii="Arial" w:hAnsi="Arial" w:cs="Arial"/>
          <w:b/>
          <w:sz w:val="20"/>
          <w:szCs w:val="20"/>
        </w:rPr>
      </w:pPr>
    </w:p>
    <w:p w14:paraId="1B7640E1" w14:textId="77777777" w:rsidR="008612EA" w:rsidRPr="006D0FCF" w:rsidRDefault="008B7A9D" w:rsidP="008B7A9D">
      <w:pPr>
        <w:jc w:val="center"/>
        <w:rPr>
          <w:rFonts w:ascii="Arial" w:hAnsi="Arial" w:cs="Arial"/>
          <w:b/>
          <w:sz w:val="20"/>
          <w:szCs w:val="20"/>
        </w:rPr>
      </w:pPr>
      <w:r w:rsidRPr="006D0FCF">
        <w:rPr>
          <w:rFonts w:ascii="Arial" w:hAnsi="Arial" w:cs="Arial"/>
          <w:b/>
          <w:sz w:val="20"/>
          <w:szCs w:val="20"/>
        </w:rPr>
        <w:t>o</w:t>
      </w:r>
      <w:r w:rsidR="008612EA" w:rsidRPr="006D0FCF">
        <w:rPr>
          <w:rFonts w:ascii="Arial" w:hAnsi="Arial" w:cs="Arial"/>
          <w:b/>
          <w:sz w:val="20"/>
          <w:szCs w:val="20"/>
        </w:rPr>
        <w:t>f</w:t>
      </w:r>
    </w:p>
    <w:p w14:paraId="22A3B8B4" w14:textId="77777777" w:rsidR="008B7A9D" w:rsidRPr="006D0FCF" w:rsidRDefault="008B7A9D" w:rsidP="008B7A9D">
      <w:pPr>
        <w:jc w:val="center"/>
        <w:rPr>
          <w:rFonts w:ascii="Arial" w:hAnsi="Arial" w:cs="Arial"/>
          <w:b/>
          <w:sz w:val="20"/>
          <w:szCs w:val="20"/>
        </w:rPr>
      </w:pPr>
    </w:p>
    <w:p w14:paraId="7DF1975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IG Group Holdings plc</w:t>
      </w:r>
    </w:p>
    <w:p w14:paraId="38490A61"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“Company”)</w:t>
      </w:r>
    </w:p>
    <w:p w14:paraId="651FF03F" w14:textId="77777777" w:rsidR="008B7A9D" w:rsidRPr="006D0FCF" w:rsidRDefault="008B7A9D" w:rsidP="008B7A9D">
      <w:pPr>
        <w:jc w:val="center"/>
        <w:rPr>
          <w:rFonts w:ascii="Arial" w:hAnsi="Arial" w:cs="Arial"/>
          <w:b/>
          <w:sz w:val="20"/>
          <w:szCs w:val="20"/>
        </w:rPr>
      </w:pPr>
    </w:p>
    <w:p w14:paraId="155085E5" w14:textId="77777777" w:rsidR="008B7A9D" w:rsidRPr="006D0FCF" w:rsidRDefault="008B7A9D" w:rsidP="008B7A9D">
      <w:pPr>
        <w:jc w:val="center"/>
        <w:rPr>
          <w:rFonts w:ascii="Arial" w:hAnsi="Arial" w:cs="Arial"/>
          <w:b/>
          <w:sz w:val="20"/>
          <w:szCs w:val="20"/>
        </w:rPr>
      </w:pPr>
    </w:p>
    <w:p w14:paraId="4D2D4FF9" w14:textId="77777777" w:rsidR="008612EA" w:rsidRPr="006D0FCF" w:rsidRDefault="008612EA">
      <w:pPr>
        <w:rPr>
          <w:rFonts w:ascii="Arial" w:hAnsi="Arial" w:cs="Arial"/>
          <w:sz w:val="20"/>
          <w:szCs w:val="20"/>
        </w:rPr>
      </w:pPr>
    </w:p>
    <w:p w14:paraId="5E61DC9F" w14:textId="37DE8F63" w:rsidR="00A371B0" w:rsidRDefault="00A371B0" w:rsidP="00A371B0">
      <w:pPr>
        <w:jc w:val="both"/>
        <w:rPr>
          <w:rFonts w:ascii="Arial" w:hAnsi="Arial" w:cs="Arial"/>
          <w:sz w:val="20"/>
          <w:szCs w:val="20"/>
        </w:rPr>
      </w:pPr>
      <w:r w:rsidRPr="006D0FCF">
        <w:rPr>
          <w:rFonts w:ascii="Arial" w:hAnsi="Arial" w:cs="Arial"/>
          <w:sz w:val="20"/>
          <w:szCs w:val="20"/>
        </w:rPr>
        <w:t>At the Annual General Meeting of the Company duly convened and held at Cannon Bridge House, 25 Dowgate Hill, London, EC4R 2YA at 1</w:t>
      </w:r>
      <w:r w:rsidR="00AA18DC">
        <w:rPr>
          <w:rFonts w:ascii="Arial" w:hAnsi="Arial" w:cs="Arial"/>
          <w:sz w:val="20"/>
          <w:szCs w:val="20"/>
        </w:rPr>
        <w:t>4</w:t>
      </w:r>
      <w:r w:rsidR="00043DBD">
        <w:rPr>
          <w:rFonts w:ascii="Arial" w:hAnsi="Arial" w:cs="Arial"/>
          <w:sz w:val="20"/>
          <w:szCs w:val="20"/>
        </w:rPr>
        <w:t>:0</w:t>
      </w:r>
      <w:r w:rsidRPr="006D0FCF">
        <w:rPr>
          <w:rFonts w:ascii="Arial" w:hAnsi="Arial" w:cs="Arial"/>
          <w:sz w:val="20"/>
          <w:szCs w:val="20"/>
        </w:rPr>
        <w:t>0</w:t>
      </w:r>
      <w:r w:rsidR="00AA18DC">
        <w:rPr>
          <w:rFonts w:ascii="Arial" w:hAnsi="Arial" w:cs="Arial"/>
          <w:sz w:val="20"/>
          <w:szCs w:val="20"/>
        </w:rPr>
        <w:t>p</w:t>
      </w:r>
      <w:r w:rsidRPr="006D0FCF">
        <w:rPr>
          <w:rFonts w:ascii="Arial" w:hAnsi="Arial" w:cs="Arial"/>
          <w:sz w:val="20"/>
          <w:szCs w:val="20"/>
        </w:rPr>
        <w:t xml:space="preserve">m on </w:t>
      </w:r>
      <w:r w:rsidR="00AA18DC">
        <w:rPr>
          <w:rFonts w:ascii="Arial" w:hAnsi="Arial" w:cs="Arial"/>
          <w:sz w:val="20"/>
          <w:szCs w:val="20"/>
        </w:rPr>
        <w:t xml:space="preserve">Wednesday 22 </w:t>
      </w:r>
      <w:r>
        <w:rPr>
          <w:rFonts w:ascii="Arial" w:hAnsi="Arial" w:cs="Arial"/>
          <w:sz w:val="20"/>
          <w:szCs w:val="20"/>
        </w:rPr>
        <w:t>September 20</w:t>
      </w:r>
      <w:r w:rsidR="00043DBD">
        <w:rPr>
          <w:rFonts w:ascii="Arial" w:hAnsi="Arial" w:cs="Arial"/>
          <w:sz w:val="20"/>
          <w:szCs w:val="20"/>
        </w:rPr>
        <w:t>2</w:t>
      </w:r>
      <w:r w:rsidR="00AA18DC">
        <w:rPr>
          <w:rFonts w:ascii="Arial" w:hAnsi="Arial" w:cs="Arial"/>
          <w:sz w:val="20"/>
          <w:szCs w:val="20"/>
        </w:rPr>
        <w:t>1</w:t>
      </w:r>
      <w:r w:rsidR="00646A54">
        <w:rPr>
          <w:rFonts w:ascii="Arial" w:hAnsi="Arial" w:cs="Arial"/>
          <w:sz w:val="20"/>
          <w:szCs w:val="20"/>
        </w:rPr>
        <w:t xml:space="preserve"> </w:t>
      </w:r>
      <w:r w:rsidRPr="006D0FCF">
        <w:rPr>
          <w:rFonts w:ascii="Arial" w:hAnsi="Arial" w:cs="Arial"/>
          <w:sz w:val="20"/>
          <w:szCs w:val="20"/>
        </w:rPr>
        <w:t>the following</w:t>
      </w:r>
      <w:r>
        <w:rPr>
          <w:rFonts w:ascii="Arial" w:hAnsi="Arial" w:cs="Arial"/>
          <w:sz w:val="20"/>
          <w:szCs w:val="20"/>
        </w:rPr>
        <w:t xml:space="preserve"> ordinary and </w:t>
      </w:r>
      <w:r w:rsidRPr="00471420">
        <w:rPr>
          <w:rFonts w:ascii="Arial" w:hAnsi="Arial" w:cs="Arial"/>
          <w:sz w:val="20"/>
          <w:szCs w:val="20"/>
        </w:rPr>
        <w:t>special resolutions were</w:t>
      </w:r>
      <w:r w:rsidRPr="006D0FCF">
        <w:rPr>
          <w:rFonts w:ascii="Arial" w:hAnsi="Arial" w:cs="Arial"/>
          <w:sz w:val="20"/>
          <w:szCs w:val="20"/>
        </w:rPr>
        <w:t xml:space="preserve"> duly passed by the members:</w:t>
      </w:r>
    </w:p>
    <w:p w14:paraId="6B599F71" w14:textId="77777777" w:rsidR="00C310C4" w:rsidRDefault="00C310C4" w:rsidP="00D805D5">
      <w:pPr>
        <w:jc w:val="both"/>
        <w:rPr>
          <w:rFonts w:ascii="Arial" w:hAnsi="Arial" w:cs="Arial"/>
          <w:sz w:val="20"/>
          <w:szCs w:val="20"/>
        </w:rPr>
      </w:pPr>
    </w:p>
    <w:p w14:paraId="6846B087" w14:textId="77777777" w:rsidR="00C310C4" w:rsidRDefault="00C310C4" w:rsidP="00D805D5">
      <w:pPr>
        <w:jc w:val="both"/>
        <w:rPr>
          <w:rFonts w:ascii="Arial" w:hAnsi="Arial" w:cs="Arial"/>
          <w:sz w:val="20"/>
          <w:szCs w:val="20"/>
        </w:rPr>
      </w:pPr>
    </w:p>
    <w:p w14:paraId="7AEF1C42" w14:textId="77777777" w:rsidR="00C310C4" w:rsidRPr="006D0FCF" w:rsidRDefault="00C310C4" w:rsidP="00C310C4">
      <w:pPr>
        <w:jc w:val="center"/>
        <w:rPr>
          <w:rFonts w:ascii="Arial" w:hAnsi="Arial" w:cs="Arial"/>
          <w:b/>
          <w:sz w:val="20"/>
          <w:szCs w:val="20"/>
        </w:rPr>
      </w:pPr>
      <w:r>
        <w:rPr>
          <w:rFonts w:ascii="Arial" w:hAnsi="Arial" w:cs="Arial"/>
          <w:b/>
          <w:sz w:val="20"/>
          <w:szCs w:val="20"/>
        </w:rPr>
        <w:t>Ordinary</w:t>
      </w:r>
      <w:r w:rsidRPr="006D0FCF">
        <w:rPr>
          <w:rFonts w:ascii="Arial" w:hAnsi="Arial" w:cs="Arial"/>
          <w:b/>
          <w:sz w:val="20"/>
          <w:szCs w:val="20"/>
        </w:rPr>
        <w:t xml:space="preserve"> Resolutions</w:t>
      </w:r>
    </w:p>
    <w:p w14:paraId="421BFB6D" w14:textId="77777777" w:rsidR="00822D61" w:rsidRPr="006D0FCF" w:rsidRDefault="00822D61" w:rsidP="00822D61">
      <w:pPr>
        <w:widowControl w:val="0"/>
        <w:spacing w:before="10" w:line="160" w:lineRule="exact"/>
        <w:rPr>
          <w:rFonts w:ascii="Arial" w:eastAsia="Calibri" w:hAnsi="Arial" w:cs="Arial"/>
          <w:sz w:val="20"/>
          <w:szCs w:val="20"/>
          <w:lang w:val="en-US" w:eastAsia="en-US"/>
        </w:rPr>
      </w:pPr>
    </w:p>
    <w:p w14:paraId="46894A5B" w14:textId="702F8D26" w:rsidR="00A371B0" w:rsidRDefault="00C310C4" w:rsidP="00A371B0">
      <w:pPr>
        <w:widowControl w:val="0"/>
        <w:ind w:left="426" w:right="-20" w:hanging="426"/>
        <w:rPr>
          <w:rFonts w:ascii="Arial" w:eastAsia="Calibri" w:hAnsi="Arial" w:cs="Arial"/>
          <w:color w:val="231F20"/>
          <w:sz w:val="20"/>
          <w:szCs w:val="20"/>
          <w:lang w:val="en-US" w:eastAsia="en-US"/>
        </w:rPr>
      </w:pPr>
      <w:r>
        <w:rPr>
          <w:rFonts w:ascii="Arial" w:eastAsia="Calibri" w:hAnsi="Arial" w:cs="Arial"/>
          <w:color w:val="231F20"/>
          <w:sz w:val="20"/>
          <w:szCs w:val="20"/>
          <w:lang w:val="en-US" w:eastAsia="en-US"/>
        </w:rPr>
        <w:t>1</w:t>
      </w:r>
      <w:r w:rsidR="00AA18DC">
        <w:rPr>
          <w:rFonts w:ascii="Arial" w:eastAsia="Calibri" w:hAnsi="Arial" w:cs="Arial"/>
          <w:color w:val="231F20"/>
          <w:sz w:val="20"/>
          <w:szCs w:val="20"/>
          <w:lang w:val="en-US" w:eastAsia="en-US"/>
        </w:rPr>
        <w:t>8</w:t>
      </w:r>
      <w:r w:rsidRPr="006D0FCF">
        <w:rPr>
          <w:rFonts w:ascii="Arial" w:eastAsia="Calibri" w:hAnsi="Arial" w:cs="Arial"/>
          <w:color w:val="231F20"/>
          <w:sz w:val="20"/>
          <w:szCs w:val="20"/>
          <w:lang w:val="en-US" w:eastAsia="en-US"/>
        </w:rPr>
        <w:t xml:space="preserve">.   </w:t>
      </w:r>
      <w:r w:rsidR="00A371B0" w:rsidRPr="00A371B0">
        <w:rPr>
          <w:rFonts w:ascii="Arial" w:eastAsia="Calibri" w:hAnsi="Arial" w:cs="Arial"/>
          <w:color w:val="231F20"/>
          <w:sz w:val="20"/>
          <w:szCs w:val="20"/>
          <w:lang w:val="en-US" w:eastAsia="en-US"/>
        </w:rPr>
        <w:t xml:space="preserve">That the Directors be and are generally and unconditionally authorised pursuant to and in accordance with Section 551 of the Companies Act 2006 (the ‘2006 Act’) to exercise all the powers of the Company to allot </w:t>
      </w:r>
      <w:r w:rsidR="002B5017">
        <w:rPr>
          <w:rFonts w:ascii="Arial" w:eastAsia="Calibri" w:hAnsi="Arial" w:cs="Arial"/>
          <w:color w:val="231F20"/>
          <w:sz w:val="20"/>
          <w:szCs w:val="20"/>
          <w:lang w:val="en-US" w:eastAsia="en-US"/>
        </w:rPr>
        <w:t xml:space="preserve">new </w:t>
      </w:r>
      <w:r w:rsidR="00A371B0" w:rsidRPr="00A371B0">
        <w:rPr>
          <w:rFonts w:ascii="Arial" w:eastAsia="Calibri" w:hAnsi="Arial" w:cs="Arial"/>
          <w:color w:val="231F20"/>
          <w:sz w:val="20"/>
          <w:szCs w:val="20"/>
          <w:lang w:val="en-US" w:eastAsia="en-US"/>
        </w:rPr>
        <w:t>shares or grant rights to subscribe for or to convert any security into shares:</w:t>
      </w:r>
    </w:p>
    <w:p w14:paraId="1BF66305" w14:textId="77777777" w:rsidR="00A371B0" w:rsidRPr="00A371B0" w:rsidRDefault="00A371B0" w:rsidP="00A371B0">
      <w:pPr>
        <w:widowControl w:val="0"/>
        <w:ind w:left="426" w:right="-20" w:hanging="426"/>
        <w:rPr>
          <w:rFonts w:ascii="Arial" w:eastAsia="Calibri" w:hAnsi="Arial" w:cs="Arial"/>
          <w:color w:val="231F20"/>
          <w:sz w:val="20"/>
          <w:szCs w:val="20"/>
          <w:lang w:val="en-US" w:eastAsia="en-US"/>
        </w:rPr>
      </w:pPr>
    </w:p>
    <w:p w14:paraId="5641881D" w14:textId="6B46CFE1" w:rsidR="00A371B0" w:rsidRDefault="00A371B0" w:rsidP="00A371B0">
      <w:pPr>
        <w:autoSpaceDE w:val="0"/>
        <w:autoSpaceDN w:val="0"/>
        <w:adjustRightInd w:val="0"/>
        <w:ind w:left="709" w:hanging="283"/>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(i) up to a </w:t>
      </w:r>
      <w:r w:rsidR="002B5017">
        <w:rPr>
          <w:rFonts w:ascii="Arial" w:eastAsia="Calibri" w:hAnsi="Arial" w:cs="Arial"/>
          <w:color w:val="231F20"/>
          <w:sz w:val="20"/>
          <w:szCs w:val="20"/>
          <w:lang w:val="en-US" w:eastAsia="en-US"/>
        </w:rPr>
        <w:t xml:space="preserve">maximum </w:t>
      </w:r>
      <w:r w:rsidRPr="00A371B0">
        <w:rPr>
          <w:rFonts w:ascii="Arial" w:eastAsia="Calibri" w:hAnsi="Arial" w:cs="Arial"/>
          <w:color w:val="231F20"/>
          <w:sz w:val="20"/>
          <w:szCs w:val="20"/>
          <w:lang w:val="en-US" w:eastAsia="en-US"/>
        </w:rPr>
        <w:t>nominal amount of £</w:t>
      </w:r>
      <w:r w:rsidR="00AA18DC">
        <w:rPr>
          <w:rFonts w:ascii="Arial" w:eastAsia="Calibri" w:hAnsi="Arial" w:cs="Arial"/>
          <w:color w:val="231F20"/>
          <w:sz w:val="20"/>
          <w:szCs w:val="20"/>
          <w:lang w:val="en-US" w:eastAsia="en-US"/>
        </w:rPr>
        <w:t>7</w:t>
      </w:r>
      <w:r w:rsidR="00AA18DC" w:rsidRPr="00A371B0">
        <w:rPr>
          <w:rFonts w:ascii="Arial" w:eastAsia="Calibri" w:hAnsi="Arial" w:cs="Arial"/>
          <w:color w:val="231F20"/>
          <w:sz w:val="20"/>
          <w:szCs w:val="20"/>
          <w:lang w:val="en-US" w:eastAsia="en-US"/>
        </w:rPr>
        <w:t>000</w:t>
      </w:r>
      <w:r w:rsidRPr="00A371B0">
        <w:rPr>
          <w:rFonts w:ascii="Arial" w:eastAsia="Calibri" w:hAnsi="Arial" w:cs="Arial"/>
          <w:color w:val="231F20"/>
          <w:sz w:val="20"/>
          <w:szCs w:val="20"/>
          <w:lang w:val="en-US" w:eastAsia="en-US"/>
        </w:rPr>
        <w:t>; and</w:t>
      </w:r>
    </w:p>
    <w:p w14:paraId="2B0F9D73" w14:textId="77777777" w:rsidR="00A371B0" w:rsidRPr="00A371B0" w:rsidRDefault="00A371B0" w:rsidP="00A371B0">
      <w:pPr>
        <w:autoSpaceDE w:val="0"/>
        <w:autoSpaceDN w:val="0"/>
        <w:adjustRightInd w:val="0"/>
        <w:ind w:left="709"/>
        <w:jc w:val="both"/>
        <w:rPr>
          <w:rFonts w:ascii="Arial" w:eastAsia="Calibri" w:hAnsi="Arial" w:cs="Arial"/>
          <w:color w:val="231F20"/>
          <w:sz w:val="20"/>
          <w:szCs w:val="20"/>
          <w:lang w:val="en-US" w:eastAsia="en-US"/>
        </w:rPr>
      </w:pPr>
    </w:p>
    <w:p w14:paraId="1118013F" w14:textId="16A1EC4B" w:rsidR="00A371B0" w:rsidRPr="00A371B0" w:rsidRDefault="00A371B0" w:rsidP="00A371B0">
      <w:pPr>
        <w:autoSpaceDE w:val="0"/>
        <w:autoSpaceDN w:val="0"/>
        <w:adjustRightInd w:val="0"/>
        <w:ind w:left="709" w:hanging="283"/>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(ii) comprising equity securities (as defined in Section 560(1) of the 2006 Act) up to a further </w:t>
      </w:r>
      <w:r w:rsidR="002B5017">
        <w:rPr>
          <w:rFonts w:ascii="Arial" w:eastAsia="Calibri" w:hAnsi="Arial" w:cs="Arial"/>
          <w:color w:val="231F20"/>
          <w:sz w:val="20"/>
          <w:szCs w:val="20"/>
          <w:lang w:val="en-US" w:eastAsia="en-US"/>
        </w:rPr>
        <w:t xml:space="preserve">maximum </w:t>
      </w:r>
      <w:r w:rsidRPr="00A371B0">
        <w:rPr>
          <w:rFonts w:ascii="Arial" w:eastAsia="Calibri" w:hAnsi="Arial" w:cs="Arial"/>
          <w:color w:val="231F20"/>
          <w:sz w:val="20"/>
          <w:szCs w:val="20"/>
          <w:lang w:val="en-US" w:eastAsia="en-US"/>
        </w:rPr>
        <w:t>nominal amount of £</w:t>
      </w:r>
      <w:r w:rsidR="00AA18DC">
        <w:rPr>
          <w:rFonts w:ascii="Arial" w:eastAsia="Calibri" w:hAnsi="Arial" w:cs="Arial"/>
          <w:color w:val="231F20"/>
          <w:sz w:val="20"/>
          <w:szCs w:val="20"/>
          <w:lang w:val="en-US" w:eastAsia="en-US"/>
        </w:rPr>
        <w:t>7</w:t>
      </w:r>
      <w:r w:rsidRPr="00A371B0">
        <w:rPr>
          <w:rFonts w:ascii="Arial" w:eastAsia="Calibri" w:hAnsi="Arial" w:cs="Arial"/>
          <w:color w:val="231F20"/>
          <w:sz w:val="20"/>
          <w:szCs w:val="20"/>
          <w:lang w:val="en-US" w:eastAsia="en-US"/>
        </w:rPr>
        <w:t>000 in connection with an offer by way of a rights issue;</w:t>
      </w:r>
    </w:p>
    <w:p w14:paraId="60F497C4" w14:textId="77777777" w:rsidR="00A371B0" w:rsidRPr="00A371B0" w:rsidRDefault="00A371B0" w:rsidP="00A371B0">
      <w:pPr>
        <w:widowControl w:val="0"/>
        <w:ind w:left="709" w:right="-20" w:firstLine="227"/>
        <w:jc w:val="both"/>
        <w:rPr>
          <w:rFonts w:ascii="Arial" w:eastAsia="Calibri" w:hAnsi="Arial" w:cs="Arial"/>
          <w:color w:val="231F20"/>
          <w:sz w:val="20"/>
          <w:szCs w:val="20"/>
          <w:lang w:val="en-US" w:eastAsia="en-US"/>
        </w:rPr>
      </w:pPr>
    </w:p>
    <w:p w14:paraId="226F17CA" w14:textId="7B978F77" w:rsidR="00A371B0" w:rsidRDefault="00A371B0" w:rsidP="00A371B0">
      <w:pPr>
        <w:autoSpaceDE w:val="0"/>
        <w:autoSpaceDN w:val="0"/>
        <w:adjustRightInd w:val="0"/>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such authorities to apply in substitution for all previous authorities pursuant to Section 551 of the 2006 Act and to expire at the end of the next annual general meeting or on </w:t>
      </w:r>
      <w:r w:rsidR="00AA18DC">
        <w:rPr>
          <w:rFonts w:ascii="Arial" w:eastAsia="Calibri" w:hAnsi="Arial" w:cs="Arial"/>
          <w:color w:val="231F20"/>
          <w:sz w:val="20"/>
          <w:szCs w:val="20"/>
          <w:lang w:val="en-US" w:eastAsia="en-US"/>
        </w:rPr>
        <w:t>30 November 2022</w:t>
      </w:r>
      <w:r w:rsidRPr="00A371B0">
        <w:rPr>
          <w:rFonts w:ascii="Arial" w:eastAsia="Calibri" w:hAnsi="Arial" w:cs="Arial"/>
          <w:color w:val="231F20"/>
          <w:sz w:val="20"/>
          <w:szCs w:val="20"/>
          <w:lang w:val="en-US" w:eastAsia="en-US"/>
        </w:rPr>
        <w:t>, whichever is earlier but, in each case, so that the Company</w:t>
      </w:r>
      <w:r>
        <w:rPr>
          <w:rFonts w:ascii="Arial" w:eastAsia="Calibri" w:hAnsi="Arial" w:cs="Arial"/>
          <w:color w:val="231F20"/>
          <w:sz w:val="20"/>
          <w:szCs w:val="20"/>
          <w:lang w:val="en-US" w:eastAsia="en-US"/>
        </w:rPr>
        <w:t xml:space="preserve"> </w:t>
      </w:r>
      <w:r w:rsidRPr="00A371B0">
        <w:rPr>
          <w:rFonts w:ascii="Arial" w:eastAsia="Calibri" w:hAnsi="Arial" w:cs="Arial"/>
          <w:color w:val="231F20"/>
          <w:sz w:val="20"/>
          <w:szCs w:val="20"/>
          <w:lang w:val="en-US" w:eastAsia="en-US"/>
        </w:rPr>
        <w:t>may make offers and enter into agreements during the relevant period which would, or might, require shares to be allotted or rights to subscribe for or to convert any security into shares to be granted after the authority ends.</w:t>
      </w:r>
    </w:p>
    <w:p w14:paraId="1AF07534" w14:textId="77777777" w:rsidR="00646A54" w:rsidRPr="00A371B0" w:rsidRDefault="00646A54" w:rsidP="00A371B0">
      <w:pPr>
        <w:autoSpaceDE w:val="0"/>
        <w:autoSpaceDN w:val="0"/>
        <w:adjustRightInd w:val="0"/>
        <w:jc w:val="both"/>
        <w:rPr>
          <w:rFonts w:ascii="Arial" w:eastAsia="Calibri" w:hAnsi="Arial" w:cs="Arial"/>
          <w:color w:val="231F20"/>
          <w:sz w:val="20"/>
          <w:szCs w:val="20"/>
          <w:lang w:val="en-US" w:eastAsia="en-US"/>
        </w:rPr>
      </w:pPr>
    </w:p>
    <w:p w14:paraId="15CD170C" w14:textId="77777777" w:rsidR="00A371B0" w:rsidRDefault="00A371B0" w:rsidP="00A371B0">
      <w:pPr>
        <w:autoSpaceDE w:val="0"/>
        <w:autoSpaceDN w:val="0"/>
        <w:adjustRightInd w:val="0"/>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For the purposes of this Resolution, ‘rights issue’ means an offer to:</w:t>
      </w:r>
    </w:p>
    <w:p w14:paraId="77F9E1F3" w14:textId="77777777" w:rsidR="00A371B0" w:rsidRPr="00A371B0" w:rsidRDefault="00A371B0" w:rsidP="00A371B0">
      <w:pPr>
        <w:autoSpaceDE w:val="0"/>
        <w:autoSpaceDN w:val="0"/>
        <w:adjustRightInd w:val="0"/>
        <w:jc w:val="both"/>
        <w:rPr>
          <w:rFonts w:ascii="Arial" w:eastAsia="Calibri" w:hAnsi="Arial" w:cs="Arial"/>
          <w:color w:val="231F20"/>
          <w:sz w:val="20"/>
          <w:szCs w:val="20"/>
          <w:lang w:val="en-US" w:eastAsia="en-US"/>
        </w:rPr>
      </w:pPr>
    </w:p>
    <w:p w14:paraId="485E2921" w14:textId="77777777" w:rsidR="00A371B0" w:rsidRDefault="00A371B0" w:rsidP="00104B37">
      <w:pPr>
        <w:autoSpaceDE w:val="0"/>
        <w:autoSpaceDN w:val="0"/>
        <w:adjustRightInd w:val="0"/>
        <w:ind w:left="426" w:hanging="284"/>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(i) ordinary Shareholders in proportion (as nearly as may be practicable) to their existing holdings; and</w:t>
      </w:r>
    </w:p>
    <w:p w14:paraId="5F5CA895" w14:textId="77777777" w:rsidR="00A371B0" w:rsidRPr="00A371B0" w:rsidRDefault="00A371B0" w:rsidP="00A371B0">
      <w:pPr>
        <w:autoSpaceDE w:val="0"/>
        <w:autoSpaceDN w:val="0"/>
        <w:adjustRightInd w:val="0"/>
        <w:ind w:left="426" w:hanging="284"/>
        <w:jc w:val="both"/>
        <w:rPr>
          <w:rFonts w:ascii="Arial" w:eastAsia="Calibri" w:hAnsi="Arial" w:cs="Arial"/>
          <w:color w:val="231F20"/>
          <w:sz w:val="20"/>
          <w:szCs w:val="20"/>
          <w:lang w:val="en-US" w:eastAsia="en-US"/>
        </w:rPr>
      </w:pPr>
    </w:p>
    <w:p w14:paraId="00BC54EB" w14:textId="77777777" w:rsidR="00104B37" w:rsidRDefault="00A371B0" w:rsidP="00A371B0">
      <w:pPr>
        <w:autoSpaceDE w:val="0"/>
        <w:autoSpaceDN w:val="0"/>
        <w:adjustRightInd w:val="0"/>
        <w:ind w:left="426" w:hanging="284"/>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(ii) people who are holders of other equity securities if this is required by the rights of those securities or, if the Directors consider it necessary, as permitted by the rights of those securities, </w:t>
      </w:r>
    </w:p>
    <w:p w14:paraId="5412675A" w14:textId="77777777" w:rsidR="00104B37" w:rsidRDefault="00104B37" w:rsidP="00A371B0">
      <w:pPr>
        <w:autoSpaceDE w:val="0"/>
        <w:autoSpaceDN w:val="0"/>
        <w:adjustRightInd w:val="0"/>
        <w:ind w:left="426" w:hanging="284"/>
        <w:jc w:val="both"/>
        <w:rPr>
          <w:rFonts w:ascii="Arial" w:eastAsia="Calibri" w:hAnsi="Arial" w:cs="Arial"/>
          <w:color w:val="231F20"/>
          <w:sz w:val="20"/>
          <w:szCs w:val="20"/>
          <w:lang w:val="en-US" w:eastAsia="en-US"/>
        </w:rPr>
      </w:pPr>
    </w:p>
    <w:p w14:paraId="6113D970" w14:textId="77777777" w:rsidR="00A371B0" w:rsidRPr="00A371B0" w:rsidRDefault="00A371B0" w:rsidP="00104B37">
      <w:pPr>
        <w:autoSpaceDE w:val="0"/>
        <w:autoSpaceDN w:val="0"/>
        <w:adjustRightInd w:val="0"/>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to subscribe for further securities by means of the issue of a renounceable letter (or other negotiable document) which may be traded for a period before payment for the securities is due, but subject in both cases to such exclusions or other arrangements as the Directors may deem necessary or expedient in relation to treasury shares, fractional entitlements, record dates or legal, regulatory or practical problems in, or under the laws of, any territory.</w:t>
      </w:r>
    </w:p>
    <w:p w14:paraId="518978A6" w14:textId="77777777" w:rsidR="007B31D6" w:rsidRPr="009F0B84" w:rsidRDefault="007B31D6" w:rsidP="00104B37">
      <w:pPr>
        <w:rPr>
          <w:rFonts w:ascii="Arial" w:eastAsia="Calibri" w:hAnsi="Arial" w:cs="Arial"/>
          <w:color w:val="231F20"/>
          <w:sz w:val="20"/>
          <w:szCs w:val="20"/>
          <w:lang w:val="en-US" w:eastAsia="en-US"/>
        </w:rPr>
      </w:pPr>
    </w:p>
    <w:p w14:paraId="21E665C7" w14:textId="77777777" w:rsidR="00A371B0" w:rsidRDefault="00A371B0" w:rsidP="00A371B0">
      <w:pPr>
        <w:tabs>
          <w:tab w:val="left" w:pos="3240"/>
          <w:tab w:val="center" w:pos="4323"/>
        </w:tabs>
        <w:rPr>
          <w:rFonts w:ascii="Arial" w:eastAsia="Calibri" w:hAnsi="Arial" w:cs="Arial"/>
          <w:b/>
          <w:color w:val="231F20"/>
          <w:sz w:val="20"/>
          <w:szCs w:val="20"/>
          <w:lang w:val="en-US" w:eastAsia="en-US"/>
        </w:rPr>
      </w:pPr>
      <w:r>
        <w:rPr>
          <w:rFonts w:ascii="Arial" w:eastAsia="Calibri" w:hAnsi="Arial" w:cs="Arial"/>
          <w:b/>
          <w:color w:val="231F20"/>
          <w:sz w:val="20"/>
          <w:szCs w:val="20"/>
          <w:lang w:val="en-US" w:eastAsia="en-US"/>
        </w:rPr>
        <w:tab/>
      </w:r>
      <w:r>
        <w:rPr>
          <w:rFonts w:ascii="Arial" w:eastAsia="Calibri" w:hAnsi="Arial" w:cs="Arial"/>
          <w:b/>
          <w:color w:val="231F20"/>
          <w:sz w:val="20"/>
          <w:szCs w:val="20"/>
          <w:lang w:val="en-US" w:eastAsia="en-US"/>
        </w:rPr>
        <w:tab/>
      </w:r>
    </w:p>
    <w:p w14:paraId="1EDB453B" w14:textId="77777777" w:rsidR="00A371B0" w:rsidRDefault="00A371B0">
      <w:pPr>
        <w:rPr>
          <w:rFonts w:ascii="Arial" w:eastAsia="Calibri" w:hAnsi="Arial" w:cs="Arial"/>
          <w:b/>
          <w:color w:val="231F20"/>
          <w:sz w:val="20"/>
          <w:szCs w:val="20"/>
          <w:lang w:val="en-US" w:eastAsia="en-US"/>
        </w:rPr>
      </w:pPr>
      <w:r>
        <w:rPr>
          <w:rFonts w:ascii="Arial" w:eastAsia="Calibri" w:hAnsi="Arial" w:cs="Arial"/>
          <w:b/>
          <w:color w:val="231F20"/>
          <w:sz w:val="20"/>
          <w:szCs w:val="20"/>
          <w:lang w:val="en-US" w:eastAsia="en-US"/>
        </w:rPr>
        <w:br w:type="page"/>
      </w:r>
    </w:p>
    <w:p w14:paraId="5CFBBC47" w14:textId="77777777" w:rsidR="00A371B0" w:rsidRDefault="00A371B0" w:rsidP="00A371B0">
      <w:pPr>
        <w:tabs>
          <w:tab w:val="left" w:pos="3240"/>
          <w:tab w:val="center" w:pos="4323"/>
        </w:tabs>
        <w:jc w:val="center"/>
        <w:rPr>
          <w:rFonts w:ascii="Arial" w:eastAsia="Calibri" w:hAnsi="Arial" w:cs="Arial"/>
          <w:b/>
          <w:color w:val="231F20"/>
          <w:sz w:val="20"/>
          <w:szCs w:val="20"/>
          <w:lang w:val="en-US" w:eastAsia="en-US"/>
        </w:rPr>
      </w:pPr>
    </w:p>
    <w:p w14:paraId="4072D373" w14:textId="77777777" w:rsidR="00A371B0" w:rsidRDefault="00A371B0" w:rsidP="00A371B0">
      <w:pPr>
        <w:tabs>
          <w:tab w:val="left" w:pos="3240"/>
          <w:tab w:val="center" w:pos="4323"/>
        </w:tabs>
        <w:jc w:val="center"/>
        <w:rPr>
          <w:rFonts w:ascii="Arial" w:eastAsia="Calibri" w:hAnsi="Arial" w:cs="Arial"/>
          <w:b/>
          <w:color w:val="231F20"/>
          <w:sz w:val="20"/>
          <w:szCs w:val="20"/>
          <w:lang w:val="en-US" w:eastAsia="en-US"/>
        </w:rPr>
      </w:pPr>
    </w:p>
    <w:p w14:paraId="1026AC96" w14:textId="77777777" w:rsidR="00A371B0" w:rsidRDefault="00A371B0" w:rsidP="00A371B0">
      <w:pPr>
        <w:tabs>
          <w:tab w:val="left" w:pos="3240"/>
          <w:tab w:val="center" w:pos="4323"/>
        </w:tabs>
        <w:jc w:val="center"/>
        <w:rPr>
          <w:rFonts w:ascii="Arial" w:eastAsia="Calibri" w:hAnsi="Arial" w:cs="Arial"/>
          <w:b/>
          <w:color w:val="231F20"/>
          <w:sz w:val="20"/>
          <w:szCs w:val="20"/>
          <w:lang w:val="en-US" w:eastAsia="en-US"/>
        </w:rPr>
      </w:pPr>
    </w:p>
    <w:p w14:paraId="36B7A6BF" w14:textId="77777777" w:rsidR="00A371B0" w:rsidRPr="009F0B84" w:rsidRDefault="00A371B0" w:rsidP="00A371B0">
      <w:pPr>
        <w:tabs>
          <w:tab w:val="left" w:pos="3240"/>
          <w:tab w:val="center" w:pos="4323"/>
        </w:tabs>
        <w:jc w:val="center"/>
        <w:rPr>
          <w:rFonts w:ascii="Arial" w:eastAsia="Calibri" w:hAnsi="Arial" w:cs="Arial"/>
          <w:b/>
          <w:color w:val="231F20"/>
          <w:sz w:val="20"/>
          <w:szCs w:val="20"/>
          <w:lang w:val="en-US" w:eastAsia="en-US"/>
        </w:rPr>
      </w:pPr>
      <w:r w:rsidRPr="009F0B84">
        <w:rPr>
          <w:rFonts w:ascii="Arial" w:eastAsia="Calibri" w:hAnsi="Arial" w:cs="Arial"/>
          <w:b/>
          <w:color w:val="231F20"/>
          <w:sz w:val="20"/>
          <w:szCs w:val="20"/>
          <w:lang w:val="en-US" w:eastAsia="en-US"/>
        </w:rPr>
        <w:t>Special Resolutions</w:t>
      </w:r>
    </w:p>
    <w:p w14:paraId="3E84C654" w14:textId="77777777" w:rsidR="00A371B0" w:rsidRPr="009F0B84" w:rsidRDefault="00A371B0" w:rsidP="00A371B0">
      <w:pPr>
        <w:jc w:val="center"/>
        <w:rPr>
          <w:rFonts w:ascii="Arial" w:eastAsia="Calibri" w:hAnsi="Arial" w:cs="Arial"/>
          <w:color w:val="231F20"/>
          <w:sz w:val="20"/>
          <w:szCs w:val="20"/>
          <w:lang w:val="en-US" w:eastAsia="en-US"/>
        </w:rPr>
      </w:pPr>
    </w:p>
    <w:p w14:paraId="06B94F4C" w14:textId="0067BAF3" w:rsidR="00A371B0" w:rsidRPr="003C0339" w:rsidRDefault="00AA18DC" w:rsidP="00A371B0">
      <w:pPr>
        <w:autoSpaceDE w:val="0"/>
        <w:autoSpaceDN w:val="0"/>
        <w:adjustRightInd w:val="0"/>
        <w:ind w:left="142"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19</w:t>
      </w:r>
      <w:r w:rsidR="00C91F5E">
        <w:rPr>
          <w:rFonts w:ascii="Arial" w:eastAsia="Calibri" w:hAnsi="Arial" w:cs="Arial"/>
          <w:noProof/>
          <w:color w:val="231F20"/>
          <w:sz w:val="20"/>
          <w:szCs w:val="20"/>
          <w:lang w:val="en-US" w:eastAsia="en-US"/>
        </w:rPr>
        <w:t>. That</w:t>
      </w:r>
      <w:r w:rsidR="00104B37">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the Directors be authorised to allot equity securities (as defined in Section 560(1) of the 2006 Act) wholly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for cash:</w:t>
      </w:r>
    </w:p>
    <w:p w14:paraId="0E23D4BA"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0FA4AD4E" w14:textId="70E5F18B"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(i) </w:t>
      </w:r>
      <w:r>
        <w:rPr>
          <w:rFonts w:ascii="Arial" w:eastAsia="Calibri" w:hAnsi="Arial" w:cs="Arial"/>
          <w:noProof/>
          <w:color w:val="231F20"/>
          <w:sz w:val="20"/>
          <w:szCs w:val="20"/>
          <w:lang w:val="en-US" w:eastAsia="en-US"/>
        </w:rPr>
        <w:tab/>
      </w:r>
      <w:r w:rsidRPr="003C0339">
        <w:rPr>
          <w:rFonts w:ascii="Arial" w:eastAsia="Calibri" w:hAnsi="Arial" w:cs="Arial"/>
          <w:noProof/>
          <w:color w:val="231F20"/>
          <w:sz w:val="20"/>
          <w:szCs w:val="20"/>
          <w:lang w:val="en-US" w:eastAsia="en-US"/>
        </w:rPr>
        <w:t>pursuant to the authority given by paragraph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(i) of Resolution </w:t>
      </w:r>
      <w:r w:rsidR="00AA18DC">
        <w:rPr>
          <w:rFonts w:ascii="Arial" w:eastAsia="Calibri" w:hAnsi="Arial" w:cs="Arial"/>
          <w:noProof/>
          <w:color w:val="231F20"/>
          <w:sz w:val="20"/>
          <w:szCs w:val="20"/>
          <w:lang w:val="en-US" w:eastAsia="en-US"/>
        </w:rPr>
        <w:t>18</w:t>
      </w:r>
      <w:r w:rsidR="00AA18DC" w:rsidRPr="003C0339">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above or where the allotment constitutes an allotment of equity securities by virtue of Section 560(2)(b) of the 2006 Act in each case:</w:t>
      </w:r>
    </w:p>
    <w:p w14:paraId="3B99329F"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7F37DAD2" w14:textId="77777777" w:rsidR="00A371B0" w:rsidRPr="003C0339" w:rsidRDefault="00A371B0" w:rsidP="00A371B0">
      <w:pPr>
        <w:autoSpaceDE w:val="0"/>
        <w:autoSpaceDN w:val="0"/>
        <w:adjustRightInd w:val="0"/>
        <w:ind w:left="426"/>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in connection with a pre-emptive offer; and</w:t>
      </w:r>
    </w:p>
    <w:p w14:paraId="1CD29B0F" w14:textId="40706359" w:rsidR="00A371B0" w:rsidRDefault="00A371B0" w:rsidP="00A371B0">
      <w:pPr>
        <w:autoSpaceDE w:val="0"/>
        <w:autoSpaceDN w:val="0"/>
        <w:adjustRightInd w:val="0"/>
        <w:ind w:left="426"/>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otherwise than in connection with a pre-emptive offer, up to an aggregate nominal amount of £</w:t>
      </w:r>
      <w:r w:rsidR="00AA18DC">
        <w:rPr>
          <w:rFonts w:ascii="Arial" w:eastAsia="Calibri" w:hAnsi="Arial" w:cs="Arial"/>
          <w:noProof/>
          <w:color w:val="231F20"/>
          <w:sz w:val="20"/>
          <w:szCs w:val="20"/>
          <w:lang w:val="en-US" w:eastAsia="en-US"/>
        </w:rPr>
        <w:t>1,000</w:t>
      </w:r>
      <w:r w:rsidRPr="003C0339">
        <w:rPr>
          <w:rFonts w:ascii="Arial" w:eastAsia="Calibri" w:hAnsi="Arial" w:cs="Arial"/>
          <w:noProof/>
          <w:color w:val="231F20"/>
          <w:sz w:val="20"/>
          <w:szCs w:val="20"/>
          <w:lang w:val="en-US" w:eastAsia="en-US"/>
        </w:rPr>
        <w:t>; and</w:t>
      </w:r>
    </w:p>
    <w:p w14:paraId="56935029" w14:textId="77777777" w:rsidR="00A371B0" w:rsidRPr="003C0339" w:rsidRDefault="00A371B0" w:rsidP="00A371B0">
      <w:pPr>
        <w:autoSpaceDE w:val="0"/>
        <w:autoSpaceDN w:val="0"/>
        <w:adjustRightInd w:val="0"/>
        <w:ind w:left="426"/>
        <w:jc w:val="both"/>
        <w:rPr>
          <w:rFonts w:ascii="Arial" w:eastAsia="Calibri" w:hAnsi="Arial" w:cs="Arial"/>
          <w:noProof/>
          <w:color w:val="231F20"/>
          <w:sz w:val="20"/>
          <w:szCs w:val="20"/>
          <w:lang w:val="en-US" w:eastAsia="en-US"/>
        </w:rPr>
      </w:pPr>
    </w:p>
    <w:p w14:paraId="6C771A32" w14:textId="43CF62E2"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(ii) pursuant to the authority given by paragraph (ii) of Resolution </w:t>
      </w:r>
      <w:r w:rsidR="00AA18DC">
        <w:rPr>
          <w:rFonts w:ascii="Arial" w:eastAsia="Calibri" w:hAnsi="Arial" w:cs="Arial"/>
          <w:noProof/>
          <w:color w:val="231F20"/>
          <w:sz w:val="20"/>
          <w:szCs w:val="20"/>
          <w:lang w:val="en-US" w:eastAsia="en-US"/>
        </w:rPr>
        <w:t>18</w:t>
      </w:r>
      <w:r w:rsidR="00AA18DC" w:rsidRPr="003C0339">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above in connection with a rights issue, as if Section 561(1) of the 2006 Act did not apply to any such allotment;</w:t>
      </w:r>
    </w:p>
    <w:p w14:paraId="3034E02F"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778933D4" w14:textId="085BC909"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such authority to expire at the end of the next annual general meeting of the Company or at the close of business on </w:t>
      </w:r>
      <w:r w:rsidR="00AA18DC">
        <w:rPr>
          <w:rFonts w:ascii="Arial" w:eastAsia="Calibri" w:hAnsi="Arial" w:cs="Arial"/>
          <w:noProof/>
          <w:color w:val="231F20"/>
          <w:sz w:val="20"/>
          <w:szCs w:val="20"/>
          <w:lang w:val="en-US" w:eastAsia="en-US"/>
        </w:rPr>
        <w:t>30 November 2022</w:t>
      </w:r>
      <w:r w:rsidRPr="003C0339">
        <w:rPr>
          <w:rFonts w:ascii="Arial" w:eastAsia="Calibri" w:hAnsi="Arial" w:cs="Arial"/>
          <w:noProof/>
          <w:color w:val="231F20"/>
          <w:sz w:val="20"/>
          <w:szCs w:val="20"/>
          <w:lang w:val="en-US" w:eastAsia="en-US"/>
        </w:rPr>
        <w:t>, whichever is earlier provided that the Company may make offers and enter into agreements before the expiry of such authority which would, or might, require equity securities to be allotted and treasury shares to be sold after such expiry and the Directors shall be entitled to allot equity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securities or sell treasury shares pursuant to any such offer or agreement as if the authority had not expired.</w:t>
      </w:r>
    </w:p>
    <w:p w14:paraId="6596342A"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4E5C1BAE"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For the purposes of this Resolution:</w:t>
      </w:r>
    </w:p>
    <w:p w14:paraId="3E9EB5AE"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69ACBB63" w14:textId="443C0A8D"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‘rights issue’ has the same meaning as in Resolution 1</w:t>
      </w:r>
      <w:r w:rsidR="00AA18DC">
        <w:rPr>
          <w:rFonts w:ascii="Arial" w:eastAsia="Calibri" w:hAnsi="Arial" w:cs="Arial"/>
          <w:noProof/>
          <w:color w:val="231F20"/>
          <w:sz w:val="20"/>
          <w:szCs w:val="20"/>
          <w:lang w:val="en-US" w:eastAsia="en-US"/>
        </w:rPr>
        <w:t>8</w:t>
      </w:r>
      <w:r w:rsidRPr="003C0339">
        <w:rPr>
          <w:rFonts w:ascii="Arial" w:eastAsia="Calibri" w:hAnsi="Arial" w:cs="Arial"/>
          <w:noProof/>
          <w:color w:val="231F20"/>
          <w:sz w:val="20"/>
          <w:szCs w:val="20"/>
          <w:lang w:val="en-US" w:eastAsia="en-US"/>
        </w:rPr>
        <w:t xml:space="preserve"> above;</w:t>
      </w:r>
    </w:p>
    <w:p w14:paraId="229DA360"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4916E9F"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‘pre-emptive offer’ means an offer of equity securities open for acceptance for a period fixed by the Directors to holders (other than the Company) on the register on a record date fixed by the Directors of ordinary shares in proportion to their respective holdings but subject to such exclusions or other arrangements as the Directors may deem</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necessary or expedient in relation to treasury shares, fractional entitlements, record dates or legal, regulatory or practical problems in, or under the laws of, any territory;</w:t>
      </w:r>
    </w:p>
    <w:p w14:paraId="2A4D8DF3"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7C4B61FD"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(iii) references to an allotment of equity securities shall include a sale of treasury shares; and </w:t>
      </w:r>
    </w:p>
    <w:p w14:paraId="72FB2862"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28493303"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(iv) the nominal amount of any securities shall be taken to be, in the case of rights to subscribe for or convert any securities into shares of the Company, the</w:t>
      </w:r>
      <w:r w:rsidR="00646A54">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nominal amount of such shares which may be allotted pursuant to such rights.</w:t>
      </w:r>
    </w:p>
    <w:p w14:paraId="1B36B3DD"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C9EDA7D"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5309F8A" w14:textId="0E798FE4" w:rsidR="00A371B0" w:rsidRDefault="00043DBD" w:rsidP="00A371B0">
      <w:pPr>
        <w:autoSpaceDE w:val="0"/>
        <w:autoSpaceDN w:val="0"/>
        <w:adjustRightInd w:val="0"/>
        <w:ind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w:t>
      </w:r>
      <w:r w:rsidR="00AA18DC">
        <w:rPr>
          <w:rFonts w:ascii="Arial" w:eastAsia="Calibri" w:hAnsi="Arial" w:cs="Arial"/>
          <w:noProof/>
          <w:color w:val="231F20"/>
          <w:sz w:val="20"/>
          <w:szCs w:val="20"/>
          <w:lang w:val="en-US" w:eastAsia="en-US"/>
        </w:rPr>
        <w:t>0</w:t>
      </w:r>
      <w:r w:rsidR="00A371B0" w:rsidRPr="003C0339">
        <w:rPr>
          <w:rFonts w:ascii="Arial" w:eastAsia="Calibri" w:hAnsi="Arial" w:cs="Arial"/>
          <w:noProof/>
          <w:color w:val="231F20"/>
          <w:sz w:val="20"/>
          <w:szCs w:val="20"/>
          <w:lang w:val="en-US" w:eastAsia="en-US"/>
        </w:rPr>
        <w:t xml:space="preserve">. </w:t>
      </w:r>
      <w:r w:rsidR="00104B37">
        <w:rPr>
          <w:rFonts w:ascii="Arial" w:eastAsia="Calibri" w:hAnsi="Arial" w:cs="Arial"/>
          <w:noProof/>
          <w:color w:val="231F20"/>
          <w:sz w:val="20"/>
          <w:szCs w:val="20"/>
          <w:lang w:val="en-US" w:eastAsia="en-US"/>
        </w:rPr>
        <w:t>That</w:t>
      </w:r>
      <w:r w:rsidR="00FF6122">
        <w:rPr>
          <w:rFonts w:ascii="Arial" w:eastAsia="Calibri" w:hAnsi="Arial" w:cs="Arial"/>
          <w:noProof/>
          <w:color w:val="231F20"/>
          <w:sz w:val="20"/>
          <w:szCs w:val="20"/>
          <w:lang w:val="en-US" w:eastAsia="en-US"/>
        </w:rPr>
        <w:t>,</w:t>
      </w:r>
      <w:r w:rsidR="00AA18DC">
        <w:rPr>
          <w:rFonts w:ascii="Arial" w:eastAsia="Calibri" w:hAnsi="Arial" w:cs="Arial"/>
          <w:noProof/>
          <w:color w:val="231F20"/>
          <w:sz w:val="20"/>
          <w:szCs w:val="20"/>
          <w:lang w:val="en-US" w:eastAsia="en-US"/>
        </w:rPr>
        <w:t xml:space="preserve"> subject to the passing of Resolution 18 above, and</w:t>
      </w:r>
      <w:r w:rsidR="00104B37">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in addition to any authority granted by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 xml:space="preserve">Resolution </w:t>
      </w:r>
      <w:r w:rsidR="00AA18DC">
        <w:rPr>
          <w:rFonts w:ascii="Arial" w:eastAsia="Calibri" w:hAnsi="Arial" w:cs="Arial"/>
          <w:noProof/>
          <w:color w:val="231F20"/>
          <w:sz w:val="20"/>
          <w:szCs w:val="20"/>
          <w:lang w:val="en-US" w:eastAsia="en-US"/>
        </w:rPr>
        <w:t>19</w:t>
      </w:r>
      <w:r w:rsidR="00AA18DC" w:rsidRPr="003C0339">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above, the Directors be authorised</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pursuant to section 570 and section 573 of the 2006</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Act to allot equity securities (within the meaning of</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section 560(1) of the 2006 Act) for cash under the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auth</w:t>
      </w:r>
      <w:r w:rsidR="00646A54">
        <w:rPr>
          <w:rFonts w:ascii="Arial" w:eastAsia="Calibri" w:hAnsi="Arial" w:cs="Arial"/>
          <w:noProof/>
          <w:color w:val="231F20"/>
          <w:sz w:val="20"/>
          <w:szCs w:val="20"/>
          <w:lang w:val="en-US" w:eastAsia="en-US"/>
        </w:rPr>
        <w:t xml:space="preserve">ority conferred by Resolution </w:t>
      </w:r>
      <w:r w:rsidR="00FF6122">
        <w:rPr>
          <w:rFonts w:ascii="Arial" w:eastAsia="Calibri" w:hAnsi="Arial" w:cs="Arial"/>
          <w:noProof/>
          <w:color w:val="231F20"/>
          <w:sz w:val="20"/>
          <w:szCs w:val="20"/>
          <w:lang w:val="en-US" w:eastAsia="en-US"/>
        </w:rPr>
        <w:t>19</w:t>
      </w:r>
      <w:r w:rsidR="00FF6122" w:rsidRPr="003C0339">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above and/or to</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sell treasury shares for cash as if section 561(1) of the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2006 Act did not apply to any such allotment or sale,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provided that this authority shall be:</w:t>
      </w:r>
    </w:p>
    <w:p w14:paraId="05653878" w14:textId="77777777" w:rsidR="00A371B0" w:rsidRPr="003C0339" w:rsidRDefault="00A371B0" w:rsidP="00A371B0">
      <w:pPr>
        <w:autoSpaceDE w:val="0"/>
        <w:autoSpaceDN w:val="0"/>
        <w:adjustRightInd w:val="0"/>
        <w:rPr>
          <w:rFonts w:ascii="Arial" w:eastAsia="Calibri" w:hAnsi="Arial" w:cs="Arial"/>
          <w:noProof/>
          <w:color w:val="231F20"/>
          <w:sz w:val="20"/>
          <w:szCs w:val="20"/>
          <w:lang w:val="en-US" w:eastAsia="en-US"/>
        </w:rPr>
      </w:pPr>
    </w:p>
    <w:p w14:paraId="17340413" w14:textId="6891C4F0" w:rsidR="00A371B0" w:rsidRDefault="00A371B0" w:rsidP="00A371B0">
      <w:pPr>
        <w:tabs>
          <w:tab w:val="left" w:pos="284"/>
        </w:tabs>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limited to the allotment of equity securities or sale</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of treasury shares up to </w:t>
      </w:r>
      <w:r w:rsidR="00403DE4">
        <w:rPr>
          <w:rFonts w:ascii="Arial" w:eastAsia="Calibri" w:hAnsi="Arial" w:cs="Arial"/>
          <w:noProof/>
          <w:color w:val="231F20"/>
          <w:sz w:val="20"/>
          <w:szCs w:val="20"/>
          <w:lang w:val="en-US" w:eastAsia="en-US"/>
        </w:rPr>
        <w:t>a maximum</w:t>
      </w:r>
      <w:r w:rsidRPr="003C0339">
        <w:rPr>
          <w:rFonts w:ascii="Arial" w:eastAsia="Calibri" w:hAnsi="Arial" w:cs="Arial"/>
          <w:noProof/>
          <w:color w:val="231F20"/>
          <w:sz w:val="20"/>
          <w:szCs w:val="20"/>
          <w:lang w:val="en-US" w:eastAsia="en-US"/>
        </w:rPr>
        <w:t xml:space="preserve"> nominal</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amount of £</w:t>
      </w:r>
      <w:r w:rsidR="00AA18DC">
        <w:rPr>
          <w:rFonts w:ascii="Arial" w:eastAsia="Calibri" w:hAnsi="Arial" w:cs="Arial"/>
          <w:noProof/>
          <w:color w:val="231F20"/>
          <w:sz w:val="20"/>
          <w:szCs w:val="20"/>
          <w:lang w:val="en-US" w:eastAsia="en-US"/>
        </w:rPr>
        <w:t>1,000</w:t>
      </w:r>
      <w:r w:rsidRPr="003C0339">
        <w:rPr>
          <w:rFonts w:ascii="Arial" w:eastAsia="Calibri" w:hAnsi="Arial" w:cs="Arial"/>
          <w:noProof/>
          <w:color w:val="231F20"/>
          <w:sz w:val="20"/>
          <w:szCs w:val="20"/>
          <w:lang w:val="en-US" w:eastAsia="en-US"/>
        </w:rPr>
        <w:t>; and</w:t>
      </w:r>
    </w:p>
    <w:p w14:paraId="418D1462" w14:textId="77777777"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p>
    <w:p w14:paraId="5C53D861"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used only for the purposes of financing (or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refinancing, if the authority is to be used within</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six months after the original transaction) a</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transaction which the Directors determine to be</w:t>
      </w:r>
      <w:r>
        <w:rPr>
          <w:rFonts w:ascii="Arial" w:eastAsia="Calibri" w:hAnsi="Arial" w:cs="Arial"/>
          <w:noProof/>
          <w:color w:val="231F20"/>
          <w:sz w:val="20"/>
          <w:szCs w:val="20"/>
          <w:lang w:val="en-US" w:eastAsia="en-US"/>
        </w:rPr>
        <w:t xml:space="preserve"> an </w:t>
      </w:r>
      <w:r w:rsidRPr="003C0339">
        <w:rPr>
          <w:rFonts w:ascii="Arial" w:eastAsia="Calibri" w:hAnsi="Arial" w:cs="Arial"/>
          <w:noProof/>
          <w:color w:val="231F20"/>
          <w:sz w:val="20"/>
          <w:szCs w:val="20"/>
          <w:lang w:val="en-US" w:eastAsia="en-US"/>
        </w:rPr>
        <w:t>acquisition or other capital investment of a</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kind contemplated by the Statement of Principles</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on Disapplying Pre-Emption Rights most recently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published by</w:t>
      </w:r>
      <w:r>
        <w:rPr>
          <w:rFonts w:ascii="Arial" w:eastAsia="Calibri" w:hAnsi="Arial" w:cs="Arial"/>
          <w:noProof/>
          <w:color w:val="231F20"/>
          <w:sz w:val="20"/>
          <w:szCs w:val="20"/>
          <w:lang w:val="en-US" w:eastAsia="en-US"/>
        </w:rPr>
        <w:t xml:space="preserve"> the Pre-Emption Group prior to </w:t>
      </w:r>
      <w:r w:rsidRPr="003C0339">
        <w:rPr>
          <w:rFonts w:ascii="Arial" w:eastAsia="Calibri" w:hAnsi="Arial" w:cs="Arial"/>
          <w:noProof/>
          <w:color w:val="231F20"/>
          <w:sz w:val="20"/>
          <w:szCs w:val="20"/>
          <w:lang w:val="en-US" w:eastAsia="en-US"/>
        </w:rPr>
        <w:t>the</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date of this notice;</w:t>
      </w:r>
    </w:p>
    <w:p w14:paraId="17A0E6D8"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2C4ABA3" w14:textId="05ABC17F"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such power to expire at the end of the next annual</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general meeting of the Company or at the close of</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business on </w:t>
      </w:r>
      <w:r w:rsidR="00AA18DC">
        <w:rPr>
          <w:rFonts w:ascii="Arial" w:eastAsia="Calibri" w:hAnsi="Arial" w:cs="Arial"/>
          <w:noProof/>
          <w:color w:val="231F20"/>
          <w:sz w:val="20"/>
          <w:szCs w:val="20"/>
          <w:lang w:val="en-US" w:eastAsia="en-US"/>
        </w:rPr>
        <w:t>30 Nove</w:t>
      </w:r>
      <w:r w:rsidR="00FF6122">
        <w:rPr>
          <w:rFonts w:ascii="Arial" w:eastAsia="Calibri" w:hAnsi="Arial" w:cs="Arial"/>
          <w:noProof/>
          <w:color w:val="231F20"/>
          <w:sz w:val="20"/>
          <w:szCs w:val="20"/>
          <w:lang w:val="en-US" w:eastAsia="en-US"/>
        </w:rPr>
        <w:t>m</w:t>
      </w:r>
      <w:r w:rsidR="00F20542">
        <w:rPr>
          <w:rFonts w:ascii="Arial" w:eastAsia="Calibri" w:hAnsi="Arial" w:cs="Arial"/>
          <w:noProof/>
          <w:color w:val="231F20"/>
          <w:sz w:val="20"/>
          <w:szCs w:val="20"/>
          <w:lang w:val="en-US" w:eastAsia="en-US"/>
        </w:rPr>
        <w:t>ber 2022</w:t>
      </w:r>
      <w:r w:rsidRPr="003C0339">
        <w:rPr>
          <w:rFonts w:ascii="Arial" w:eastAsia="Calibri" w:hAnsi="Arial" w:cs="Arial"/>
          <w:noProof/>
          <w:color w:val="231F20"/>
          <w:sz w:val="20"/>
          <w:szCs w:val="20"/>
          <w:lang w:val="en-US" w:eastAsia="en-US"/>
        </w:rPr>
        <w:t>, whichever is earlier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provided that the Company may make </w:t>
      </w:r>
      <w:r w:rsidRPr="003C0339">
        <w:rPr>
          <w:rFonts w:ascii="Arial" w:eastAsia="Calibri" w:hAnsi="Arial" w:cs="Arial"/>
          <w:noProof/>
          <w:color w:val="231F20"/>
          <w:sz w:val="20"/>
          <w:szCs w:val="20"/>
          <w:lang w:val="en-US" w:eastAsia="en-US"/>
        </w:rPr>
        <w:lastRenderedPageBreak/>
        <w:t>offers and enter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into agreements before the expiry of such authority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which would, or might, require equity securities to</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be allotted and treasury shares to be sold after such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expiry and the Directors shall be entitled to allot equity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securities and sell treasury shares pursuant to any such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offer or agreement as if the authority had not expired.</w:t>
      </w:r>
    </w:p>
    <w:p w14:paraId="1DF9446A" w14:textId="77777777" w:rsidR="00A371B0" w:rsidRPr="009F0B84" w:rsidRDefault="00A371B0" w:rsidP="00A371B0">
      <w:pPr>
        <w:widowControl w:val="0"/>
        <w:spacing w:before="59"/>
        <w:ind w:left="720" w:right="-20"/>
        <w:rPr>
          <w:rFonts w:ascii="Arial" w:eastAsia="Calibri" w:hAnsi="Arial" w:cs="Arial"/>
          <w:color w:val="231F20"/>
          <w:sz w:val="20"/>
          <w:szCs w:val="20"/>
          <w:lang w:val="en-US" w:eastAsia="en-US"/>
        </w:rPr>
      </w:pPr>
    </w:p>
    <w:p w14:paraId="7EC252D2" w14:textId="292AE2A8" w:rsidR="00A371B0" w:rsidRDefault="00043DBD" w:rsidP="00A371B0">
      <w:pPr>
        <w:autoSpaceDE w:val="0"/>
        <w:autoSpaceDN w:val="0"/>
        <w:adjustRightInd w:val="0"/>
        <w:ind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w:t>
      </w:r>
      <w:r w:rsidR="00F20542">
        <w:rPr>
          <w:rFonts w:ascii="Arial" w:eastAsia="Calibri" w:hAnsi="Arial" w:cs="Arial"/>
          <w:noProof/>
          <w:color w:val="231F20"/>
          <w:sz w:val="20"/>
          <w:szCs w:val="20"/>
          <w:lang w:val="en-US" w:eastAsia="en-US"/>
        </w:rPr>
        <w:t>1</w:t>
      </w:r>
      <w:r w:rsidR="00A371B0" w:rsidRPr="003C0339">
        <w:rPr>
          <w:rFonts w:ascii="Arial" w:eastAsia="Calibri" w:hAnsi="Arial" w:cs="Arial"/>
          <w:noProof/>
          <w:color w:val="231F20"/>
          <w:sz w:val="20"/>
          <w:szCs w:val="20"/>
          <w:lang w:val="en-US" w:eastAsia="en-US"/>
        </w:rPr>
        <w:t xml:space="preserve">. </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That the Company be and is hereby unconditionally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and generally authorised for the purpose of Section</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701 of the 2006 Act to make market purchases (as</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defined in Section 693 of the 2006 Act) of ordinary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shares of 0.005 pence each in the capital of the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Company provided that:</w:t>
      </w:r>
    </w:p>
    <w:p w14:paraId="7FF04AF4"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40787ED5" w14:textId="16BBA47B"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the maximum number of shares which may be</w:t>
      </w:r>
      <w:r>
        <w:rPr>
          <w:rFonts w:ascii="Arial" w:eastAsia="Calibri" w:hAnsi="Arial" w:cs="Arial"/>
          <w:noProof/>
          <w:color w:val="231F20"/>
          <w:sz w:val="20"/>
          <w:szCs w:val="20"/>
          <w:lang w:val="en-US" w:eastAsia="en-US"/>
        </w:rPr>
        <w:t xml:space="preserve"> </w:t>
      </w:r>
      <w:r w:rsidR="00104B37">
        <w:rPr>
          <w:rFonts w:ascii="Arial" w:eastAsia="Calibri" w:hAnsi="Arial" w:cs="Arial"/>
          <w:noProof/>
          <w:color w:val="231F20"/>
          <w:sz w:val="20"/>
          <w:szCs w:val="20"/>
          <w:lang w:val="en-US" w:eastAsia="en-US"/>
        </w:rPr>
        <w:t xml:space="preserve">purchased is </w:t>
      </w:r>
      <w:r w:rsidR="00F20542">
        <w:rPr>
          <w:rFonts w:ascii="Arial" w:eastAsia="Calibri" w:hAnsi="Arial" w:cs="Arial"/>
          <w:noProof/>
          <w:color w:val="231F20"/>
          <w:sz w:val="20"/>
          <w:szCs w:val="20"/>
          <w:lang w:val="en-US" w:eastAsia="en-US"/>
        </w:rPr>
        <w:t>43,157,445</w:t>
      </w:r>
      <w:r w:rsidRPr="003C0339">
        <w:rPr>
          <w:rFonts w:ascii="Arial" w:eastAsia="Calibri" w:hAnsi="Arial" w:cs="Arial"/>
          <w:noProof/>
          <w:color w:val="231F20"/>
          <w:sz w:val="20"/>
          <w:szCs w:val="20"/>
          <w:lang w:val="en-US" w:eastAsia="en-US"/>
        </w:rPr>
        <w:t xml:space="preserve"> (representing an amount</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equal to 10 per cent of the Company’s total</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issued ordinary share capital as at </w:t>
      </w:r>
      <w:r w:rsidR="00F20542">
        <w:rPr>
          <w:rFonts w:ascii="Arial" w:eastAsia="Calibri" w:hAnsi="Arial" w:cs="Arial"/>
          <w:noProof/>
          <w:color w:val="231F20"/>
          <w:sz w:val="20"/>
          <w:szCs w:val="20"/>
          <w:lang w:val="en-US" w:eastAsia="en-US"/>
        </w:rPr>
        <w:t xml:space="preserve">6 </w:t>
      </w:r>
      <w:r w:rsidR="00646A54">
        <w:rPr>
          <w:rFonts w:ascii="Arial" w:eastAsia="Calibri" w:hAnsi="Arial" w:cs="Arial"/>
          <w:noProof/>
          <w:color w:val="231F20"/>
          <w:sz w:val="20"/>
          <w:szCs w:val="20"/>
          <w:lang w:val="en-US" w:eastAsia="en-US"/>
        </w:rPr>
        <w:t xml:space="preserve">August </w:t>
      </w:r>
      <w:r w:rsidR="00F20542">
        <w:rPr>
          <w:rFonts w:ascii="Arial" w:eastAsia="Calibri" w:hAnsi="Arial" w:cs="Arial"/>
          <w:noProof/>
          <w:color w:val="231F20"/>
          <w:sz w:val="20"/>
          <w:szCs w:val="20"/>
          <w:lang w:val="en-US" w:eastAsia="en-US"/>
        </w:rPr>
        <w:t>2021</w:t>
      </w:r>
      <w:r w:rsidRPr="003C0339">
        <w:rPr>
          <w:rFonts w:ascii="Arial" w:eastAsia="Calibri" w:hAnsi="Arial" w:cs="Arial"/>
          <w:noProof/>
          <w:color w:val="231F20"/>
          <w:sz w:val="20"/>
          <w:szCs w:val="20"/>
          <w:lang w:val="en-US" w:eastAsia="en-US"/>
        </w:rPr>
        <w:t>);</w:t>
      </w:r>
    </w:p>
    <w:p w14:paraId="69A68585" w14:textId="77777777" w:rsidR="00A371B0" w:rsidRPr="003C0339" w:rsidRDefault="00A371B0" w:rsidP="00A371B0">
      <w:pPr>
        <w:autoSpaceDE w:val="0"/>
        <w:autoSpaceDN w:val="0"/>
        <w:adjustRightInd w:val="0"/>
        <w:ind w:left="709" w:hanging="567"/>
        <w:jc w:val="both"/>
        <w:rPr>
          <w:rFonts w:ascii="Arial" w:eastAsia="Calibri" w:hAnsi="Arial" w:cs="Arial"/>
          <w:noProof/>
          <w:color w:val="231F20"/>
          <w:sz w:val="20"/>
          <w:szCs w:val="20"/>
          <w:lang w:val="en-US" w:eastAsia="en-US"/>
        </w:rPr>
      </w:pPr>
    </w:p>
    <w:p w14:paraId="345D3ED8" w14:textId="77777777" w:rsidR="00A371B0" w:rsidRDefault="00A371B0" w:rsidP="00A371B0">
      <w:pPr>
        <w:autoSpaceDE w:val="0"/>
        <w:autoSpaceDN w:val="0"/>
        <w:adjustRightInd w:val="0"/>
        <w:ind w:left="426" w:hanging="426"/>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the minimum price which may be paid for each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share is 0.005 pence;</w:t>
      </w:r>
      <w:r>
        <w:rPr>
          <w:rFonts w:ascii="Arial" w:eastAsia="Calibri" w:hAnsi="Arial" w:cs="Arial"/>
          <w:noProof/>
          <w:color w:val="231F20"/>
          <w:sz w:val="20"/>
          <w:szCs w:val="20"/>
          <w:lang w:val="en-US" w:eastAsia="en-US"/>
        </w:rPr>
        <w:t xml:space="preserve"> </w:t>
      </w:r>
    </w:p>
    <w:p w14:paraId="7840C426" w14:textId="77777777" w:rsidR="00A371B0" w:rsidRPr="003C0339" w:rsidRDefault="00A371B0" w:rsidP="00A371B0">
      <w:pPr>
        <w:autoSpaceDE w:val="0"/>
        <w:autoSpaceDN w:val="0"/>
        <w:adjustRightInd w:val="0"/>
        <w:ind w:left="709" w:hanging="567"/>
        <w:jc w:val="both"/>
        <w:rPr>
          <w:rFonts w:ascii="Arial" w:eastAsia="Calibri" w:hAnsi="Arial" w:cs="Arial"/>
          <w:noProof/>
          <w:color w:val="231F20"/>
          <w:sz w:val="20"/>
          <w:szCs w:val="20"/>
          <w:lang w:val="en-US" w:eastAsia="en-US"/>
        </w:rPr>
      </w:pPr>
    </w:p>
    <w:p w14:paraId="67B1E448"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(iii) the maximum price which may be paid for a</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share is an amount equal to the higher of:</w:t>
      </w:r>
      <w:r>
        <w:rPr>
          <w:rFonts w:ascii="Arial" w:eastAsia="Calibri" w:hAnsi="Arial" w:cs="Arial"/>
          <w:noProof/>
          <w:color w:val="231F20"/>
          <w:sz w:val="20"/>
          <w:szCs w:val="20"/>
          <w:lang w:val="en-US" w:eastAsia="en-US"/>
        </w:rPr>
        <w:t xml:space="preserve"> </w:t>
      </w:r>
    </w:p>
    <w:p w14:paraId="2E8F8F60"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p>
    <w:p w14:paraId="547C1AF5" w14:textId="77777777" w:rsidR="00A371B0" w:rsidRDefault="00A371B0" w:rsidP="00A371B0">
      <w:pPr>
        <w:pStyle w:val="ListParagraph"/>
        <w:numPr>
          <w:ilvl w:val="0"/>
          <w:numId w:val="24"/>
        </w:numPr>
        <w:autoSpaceDE w:val="0"/>
        <w:autoSpaceDN w:val="0"/>
        <w:adjustRightInd w:val="0"/>
        <w:jc w:val="both"/>
        <w:rPr>
          <w:rFonts w:ascii="Arial" w:eastAsia="Calibri" w:hAnsi="Arial" w:cs="Arial"/>
          <w:color w:val="231F20"/>
          <w:sz w:val="20"/>
          <w:szCs w:val="20"/>
          <w:lang w:val="en-US"/>
        </w:rPr>
      </w:pPr>
      <w:r w:rsidRPr="002B360D">
        <w:rPr>
          <w:rFonts w:ascii="Arial" w:eastAsia="Calibri" w:hAnsi="Arial" w:cs="Arial"/>
          <w:color w:val="231F20"/>
          <w:sz w:val="20"/>
          <w:szCs w:val="20"/>
          <w:lang w:val="en-US"/>
        </w:rPr>
        <w:t>105 per cent of the average of the closing price of the Company’s ordinary shares as derived from the London Stock Exchange Daily Official List for the 5 business days immediately preceding the day on which such share is contracted to be purchased or</w:t>
      </w:r>
    </w:p>
    <w:p w14:paraId="382314FA" w14:textId="77777777" w:rsidR="00A371B0" w:rsidRPr="002B360D" w:rsidRDefault="00A371B0" w:rsidP="00A371B0">
      <w:pPr>
        <w:pStyle w:val="ListParagraph"/>
        <w:autoSpaceDE w:val="0"/>
        <w:autoSpaceDN w:val="0"/>
        <w:adjustRightInd w:val="0"/>
        <w:ind w:left="1004"/>
        <w:jc w:val="both"/>
        <w:rPr>
          <w:rFonts w:ascii="Arial" w:eastAsia="Calibri" w:hAnsi="Arial" w:cs="Arial"/>
          <w:color w:val="231F20"/>
          <w:sz w:val="20"/>
          <w:szCs w:val="20"/>
          <w:lang w:val="en-US"/>
        </w:rPr>
      </w:pPr>
      <w:r w:rsidRPr="002B360D">
        <w:rPr>
          <w:rFonts w:ascii="Arial" w:eastAsia="Calibri" w:hAnsi="Arial" w:cs="Arial"/>
          <w:color w:val="231F20"/>
          <w:sz w:val="20"/>
          <w:szCs w:val="20"/>
          <w:lang w:val="en-US"/>
        </w:rPr>
        <w:t xml:space="preserve"> </w:t>
      </w:r>
    </w:p>
    <w:p w14:paraId="34E88AD8" w14:textId="201D843B" w:rsidR="00A371B0" w:rsidRPr="002B360D" w:rsidRDefault="00A371B0" w:rsidP="00A371B0">
      <w:pPr>
        <w:pStyle w:val="ListParagraph"/>
        <w:numPr>
          <w:ilvl w:val="0"/>
          <w:numId w:val="24"/>
        </w:numPr>
        <w:autoSpaceDE w:val="0"/>
        <w:autoSpaceDN w:val="0"/>
        <w:adjustRightInd w:val="0"/>
        <w:jc w:val="both"/>
        <w:rPr>
          <w:rFonts w:ascii="Arial" w:eastAsia="Calibri" w:hAnsi="Arial" w:cs="Arial"/>
          <w:color w:val="231F20"/>
          <w:sz w:val="20"/>
          <w:szCs w:val="20"/>
          <w:lang w:val="en-US"/>
        </w:rPr>
      </w:pPr>
      <w:r w:rsidRPr="002B360D">
        <w:rPr>
          <w:rFonts w:ascii="Arial" w:eastAsia="Calibri" w:hAnsi="Arial" w:cs="Arial"/>
          <w:color w:val="231F20"/>
          <w:sz w:val="20"/>
          <w:szCs w:val="20"/>
          <w:lang w:val="en-US"/>
        </w:rPr>
        <w:t>the higher of the price of the last independent trade and the highest current bid as stipulated by Commission-adopted Regulatory Technical Standards pursuant to article 5(6) of the Market Abuse Regulation; and</w:t>
      </w:r>
    </w:p>
    <w:p w14:paraId="58235A02" w14:textId="12FB6DFB"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(iv)</w:t>
      </w:r>
      <w:r w:rsidR="00104B37">
        <w:rPr>
          <w:rFonts w:ascii="Arial" w:eastAsia="Calibri" w:hAnsi="Arial" w:cs="Arial"/>
          <w:noProof/>
          <w:color w:val="231F20"/>
          <w:sz w:val="20"/>
          <w:szCs w:val="20"/>
          <w:lang w:val="en-US" w:eastAsia="en-US"/>
        </w:rPr>
        <w:t xml:space="preserve"> </w:t>
      </w:r>
      <w:r>
        <w:rPr>
          <w:rFonts w:ascii="Arial" w:eastAsia="Calibri" w:hAnsi="Arial" w:cs="Arial"/>
          <w:noProof/>
          <w:color w:val="231F20"/>
          <w:sz w:val="20"/>
          <w:szCs w:val="20"/>
          <w:lang w:val="en-US" w:eastAsia="en-US"/>
        </w:rPr>
        <w:t>t</w:t>
      </w:r>
      <w:r w:rsidRPr="003C0339">
        <w:rPr>
          <w:rFonts w:ascii="Arial" w:eastAsia="Calibri" w:hAnsi="Arial" w:cs="Arial"/>
          <w:noProof/>
          <w:color w:val="231F20"/>
          <w:sz w:val="20"/>
          <w:szCs w:val="20"/>
          <w:lang w:val="en-US" w:eastAsia="en-US"/>
        </w:rPr>
        <w:t>his authority shall expire at the conclusion</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of the next annual general meeting of the</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Company or on </w:t>
      </w:r>
      <w:r w:rsidR="00F20542">
        <w:rPr>
          <w:rFonts w:ascii="Arial" w:eastAsia="Calibri" w:hAnsi="Arial" w:cs="Arial"/>
          <w:noProof/>
          <w:color w:val="231F20"/>
          <w:sz w:val="20"/>
          <w:szCs w:val="20"/>
          <w:lang w:val="en-US" w:eastAsia="en-US"/>
        </w:rPr>
        <w:t>30 November 2022</w:t>
      </w:r>
      <w:r w:rsidRPr="003C0339">
        <w:rPr>
          <w:rFonts w:ascii="Arial" w:eastAsia="Calibri" w:hAnsi="Arial" w:cs="Arial"/>
          <w:noProof/>
          <w:color w:val="231F20"/>
          <w:sz w:val="20"/>
          <w:szCs w:val="20"/>
          <w:lang w:val="en-US" w:eastAsia="en-US"/>
        </w:rPr>
        <w:t>, whichever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is earlier (except in relation to the purchase of</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shares, the contract for which was concluded</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before the expiry of such authority and which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might be executed wholly or partly after such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expiry) unless such authority is renewed prior to</w:t>
      </w:r>
      <w:r>
        <w:rPr>
          <w:rFonts w:ascii="Arial" w:eastAsia="Calibri" w:hAnsi="Arial" w:cs="Arial"/>
          <w:noProof/>
          <w:color w:val="231F20"/>
          <w:sz w:val="20"/>
          <w:szCs w:val="20"/>
          <w:lang w:val="en-US" w:eastAsia="en-US"/>
        </w:rPr>
        <w:t xml:space="preserve"> such time</w:t>
      </w:r>
      <w:r w:rsidR="00104B37">
        <w:rPr>
          <w:rFonts w:ascii="Arial" w:eastAsia="Calibri" w:hAnsi="Arial" w:cs="Arial"/>
          <w:noProof/>
          <w:color w:val="231F20"/>
          <w:sz w:val="20"/>
          <w:szCs w:val="20"/>
          <w:lang w:val="en-US" w:eastAsia="en-US"/>
        </w:rPr>
        <w:t>.</w:t>
      </w:r>
    </w:p>
    <w:p w14:paraId="5F40DAE3" w14:textId="77777777" w:rsidR="00A371B0" w:rsidRPr="003C0339" w:rsidRDefault="00A371B0" w:rsidP="00A371B0">
      <w:pPr>
        <w:jc w:val="both"/>
        <w:rPr>
          <w:rFonts w:ascii="Arial" w:eastAsia="Calibri" w:hAnsi="Arial" w:cs="Arial"/>
          <w:noProof/>
          <w:color w:val="231F20"/>
          <w:sz w:val="20"/>
          <w:szCs w:val="20"/>
          <w:lang w:val="en-US" w:eastAsia="en-US"/>
        </w:rPr>
      </w:pPr>
    </w:p>
    <w:p w14:paraId="561A2056" w14:textId="573EA34F" w:rsidR="00A371B0" w:rsidRPr="002B360D" w:rsidRDefault="00EB3D7D" w:rsidP="00A371B0">
      <w:pPr>
        <w:autoSpaceDE w:val="0"/>
        <w:autoSpaceDN w:val="0"/>
        <w:adjustRightInd w:val="0"/>
        <w:ind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w:t>
      </w:r>
      <w:r w:rsidR="00F20542">
        <w:rPr>
          <w:rFonts w:ascii="Arial" w:eastAsia="Calibri" w:hAnsi="Arial" w:cs="Arial"/>
          <w:noProof/>
          <w:color w:val="231F20"/>
          <w:sz w:val="20"/>
          <w:szCs w:val="20"/>
          <w:lang w:val="en-US" w:eastAsia="en-US"/>
        </w:rPr>
        <w:t>2</w:t>
      </w:r>
      <w:r w:rsidR="00A371B0" w:rsidRPr="002B360D">
        <w:rPr>
          <w:rFonts w:ascii="Arial" w:eastAsia="Calibri" w:hAnsi="Arial" w:cs="Arial"/>
          <w:noProof/>
          <w:color w:val="231F20"/>
          <w:sz w:val="20"/>
          <w:szCs w:val="20"/>
          <w:lang w:val="en-US" w:eastAsia="en-US"/>
        </w:rPr>
        <w:t xml:space="preserve">. That </w:t>
      </w:r>
      <w:r w:rsidR="00F20542" w:rsidRPr="00174F11">
        <w:rPr>
          <w:rFonts w:ascii="Arial" w:hAnsi="Arial" w:cs="Arial"/>
          <w:sz w:val="20"/>
          <w:szCs w:val="20"/>
        </w:rPr>
        <w:t>the Articles of Association produced to the meeting and initialled by the Chair of the AGM for the purpose of identification be adopted as the Articles of Association of the Company in substitution for, and to the exclusion of, the existing Articles of Association</w:t>
      </w:r>
      <w:r w:rsidR="00FF6122">
        <w:rPr>
          <w:rFonts w:ascii="Arial" w:hAnsi="Arial" w:cs="Arial"/>
          <w:sz w:val="20"/>
          <w:szCs w:val="20"/>
        </w:rPr>
        <w:t>.</w:t>
      </w:r>
    </w:p>
    <w:p w14:paraId="74EB2228" w14:textId="1B2FFBDA" w:rsidR="00F20542" w:rsidRPr="00F20542" w:rsidRDefault="00F20542" w:rsidP="00174F11">
      <w:pPr>
        <w:pStyle w:val="BodyText"/>
        <w:widowControl w:val="0"/>
        <w:numPr>
          <w:ilvl w:val="0"/>
          <w:numId w:val="31"/>
        </w:numPr>
        <w:tabs>
          <w:tab w:val="clear" w:pos="851"/>
        </w:tabs>
        <w:spacing w:after="0" w:line="230" w:lineRule="exact"/>
        <w:ind w:left="0" w:right="45" w:hanging="426"/>
        <w:jc w:val="both"/>
        <w:rPr>
          <w:rFonts w:cs="Arial"/>
          <w:sz w:val="20"/>
          <w:szCs w:val="20"/>
        </w:rPr>
      </w:pPr>
      <w:r>
        <w:rPr>
          <w:sz w:val="20"/>
          <w:szCs w:val="20"/>
        </w:rPr>
        <w:t xml:space="preserve">That </w:t>
      </w:r>
      <w:r w:rsidRPr="002B360D">
        <w:rPr>
          <w:rFonts w:eastAsia="Calibri" w:cs="Arial"/>
          <w:noProof/>
          <w:color w:val="231F20"/>
          <w:sz w:val="20"/>
          <w:szCs w:val="20"/>
          <w:lang w:val="en-US"/>
        </w:rPr>
        <w:t>a general meeting other than an annual general meeting may be called on not less than 14 clear days’ notic</w:t>
      </w:r>
      <w:r>
        <w:rPr>
          <w:rFonts w:eastAsia="Calibri" w:cs="Arial"/>
          <w:noProof/>
          <w:color w:val="231F20"/>
          <w:sz w:val="20"/>
          <w:szCs w:val="20"/>
          <w:lang w:val="en-US"/>
        </w:rPr>
        <w:t>e</w:t>
      </w:r>
      <w:r w:rsidRPr="00174F11">
        <w:rPr>
          <w:sz w:val="20"/>
          <w:szCs w:val="20"/>
        </w:rPr>
        <w:t>.</w:t>
      </w:r>
    </w:p>
    <w:p w14:paraId="0CF6EE38" w14:textId="77777777" w:rsidR="003C0B6A" w:rsidRDefault="003C0B6A" w:rsidP="00EB3D7D">
      <w:pPr>
        <w:autoSpaceDE w:val="0"/>
        <w:autoSpaceDN w:val="0"/>
        <w:adjustRightInd w:val="0"/>
        <w:ind w:hanging="426"/>
        <w:jc w:val="both"/>
        <w:rPr>
          <w:rFonts w:ascii="Arial" w:eastAsia="Calibri" w:hAnsi="Arial" w:cs="Arial"/>
          <w:noProof/>
          <w:color w:val="231F20"/>
          <w:sz w:val="20"/>
          <w:szCs w:val="20"/>
          <w:lang w:val="en-US" w:eastAsia="en-US"/>
        </w:rPr>
      </w:pPr>
    </w:p>
    <w:p w14:paraId="781D887F" w14:textId="45971CF4" w:rsidR="003C0B6A" w:rsidRDefault="003C0B6A" w:rsidP="00EB3D7D">
      <w:pPr>
        <w:autoSpaceDE w:val="0"/>
        <w:autoSpaceDN w:val="0"/>
        <w:adjustRightInd w:val="0"/>
        <w:ind w:hanging="426"/>
        <w:jc w:val="both"/>
        <w:rPr>
          <w:rFonts w:ascii="Arial" w:eastAsia="Calibri" w:hAnsi="Arial" w:cs="Arial"/>
          <w:noProof/>
          <w:color w:val="231F20"/>
          <w:sz w:val="20"/>
          <w:szCs w:val="20"/>
          <w:lang w:val="en-US" w:eastAsia="en-US"/>
        </w:rPr>
      </w:pPr>
    </w:p>
    <w:p w14:paraId="513EA40A" w14:textId="6B2806F2" w:rsidR="005D5C69" w:rsidRDefault="005D5C69" w:rsidP="00EB3D7D">
      <w:pPr>
        <w:autoSpaceDE w:val="0"/>
        <w:autoSpaceDN w:val="0"/>
        <w:adjustRightInd w:val="0"/>
        <w:ind w:hanging="426"/>
        <w:jc w:val="both"/>
        <w:rPr>
          <w:rFonts w:ascii="Arial" w:eastAsia="Calibri" w:hAnsi="Arial" w:cs="Arial"/>
          <w:noProof/>
          <w:color w:val="231F20"/>
          <w:sz w:val="20"/>
          <w:szCs w:val="20"/>
          <w:lang w:val="en-US" w:eastAsia="en-US"/>
        </w:rPr>
      </w:pPr>
    </w:p>
    <w:p w14:paraId="799F60A8" w14:textId="3C55FB3A" w:rsidR="005D5C69" w:rsidRDefault="005D5C69" w:rsidP="00EB3D7D">
      <w:pPr>
        <w:autoSpaceDE w:val="0"/>
        <w:autoSpaceDN w:val="0"/>
        <w:adjustRightInd w:val="0"/>
        <w:ind w:hanging="426"/>
        <w:jc w:val="both"/>
        <w:rPr>
          <w:rFonts w:ascii="Arial" w:eastAsia="Calibri" w:hAnsi="Arial" w:cs="Arial"/>
          <w:noProof/>
          <w:color w:val="231F20"/>
          <w:sz w:val="20"/>
          <w:szCs w:val="20"/>
          <w:lang w:val="en-US" w:eastAsia="en-US"/>
        </w:rPr>
      </w:pPr>
      <w:r>
        <w:rPr>
          <w:noProof/>
        </w:rPr>
        <w:drawing>
          <wp:inline distT="0" distB="0" distL="0" distR="0" wp14:anchorId="4993BC75" wp14:editId="2E717599">
            <wp:extent cx="910395" cy="47536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9902" cy="495996"/>
                    </a:xfrm>
                    <a:prstGeom prst="rect">
                      <a:avLst/>
                    </a:prstGeom>
                  </pic:spPr>
                </pic:pic>
              </a:graphicData>
            </a:graphic>
          </wp:inline>
        </w:drawing>
      </w:r>
    </w:p>
    <w:p w14:paraId="177BB22E" w14:textId="77777777" w:rsidR="003C0B6A" w:rsidRPr="003C0B6A" w:rsidRDefault="00EB3D7D" w:rsidP="003C0B6A">
      <w:pPr>
        <w:autoSpaceDE w:val="0"/>
        <w:autoSpaceDN w:val="0"/>
        <w:adjustRightInd w:val="0"/>
        <w:ind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Joanna Nayler</w:t>
      </w:r>
    </w:p>
    <w:p w14:paraId="7F6F43D5" w14:textId="77777777" w:rsidR="003C0B6A" w:rsidRPr="003C0B6A" w:rsidRDefault="003C0B6A" w:rsidP="003C0B6A">
      <w:pPr>
        <w:autoSpaceDE w:val="0"/>
        <w:autoSpaceDN w:val="0"/>
        <w:adjustRightInd w:val="0"/>
        <w:ind w:hanging="426"/>
        <w:rPr>
          <w:rFonts w:ascii="Arial" w:eastAsia="Calibri" w:hAnsi="Arial" w:cs="Arial"/>
          <w:noProof/>
          <w:color w:val="231F20"/>
          <w:sz w:val="20"/>
          <w:szCs w:val="20"/>
          <w:lang w:val="en-US" w:eastAsia="en-US"/>
        </w:rPr>
      </w:pPr>
      <w:r w:rsidRPr="003C0B6A">
        <w:rPr>
          <w:rFonts w:ascii="Arial" w:eastAsia="Calibri" w:hAnsi="Arial" w:cs="Arial"/>
          <w:noProof/>
          <w:color w:val="231F20"/>
          <w:sz w:val="20"/>
          <w:szCs w:val="20"/>
          <w:lang w:val="en-US" w:eastAsia="en-US"/>
        </w:rPr>
        <w:t>Company Secretary</w:t>
      </w:r>
    </w:p>
    <w:p w14:paraId="6A8A3A43" w14:textId="77777777" w:rsidR="003C0B6A" w:rsidRPr="003C0B6A" w:rsidRDefault="003C0B6A" w:rsidP="003C0B6A">
      <w:pPr>
        <w:autoSpaceDE w:val="0"/>
        <w:autoSpaceDN w:val="0"/>
        <w:adjustRightInd w:val="0"/>
        <w:ind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IG</w:t>
      </w:r>
      <w:r w:rsidRPr="003C0B6A">
        <w:rPr>
          <w:rFonts w:ascii="Arial" w:eastAsia="Calibri" w:hAnsi="Arial" w:cs="Arial"/>
          <w:noProof/>
          <w:color w:val="231F20"/>
          <w:sz w:val="20"/>
          <w:szCs w:val="20"/>
          <w:lang w:val="en-US" w:eastAsia="en-US"/>
        </w:rPr>
        <w:t xml:space="preserve"> Group </w:t>
      </w:r>
      <w:r>
        <w:rPr>
          <w:rFonts w:ascii="Arial" w:eastAsia="Calibri" w:hAnsi="Arial" w:cs="Arial"/>
          <w:noProof/>
          <w:color w:val="231F20"/>
          <w:sz w:val="20"/>
          <w:szCs w:val="20"/>
          <w:lang w:val="en-US" w:eastAsia="en-US"/>
        </w:rPr>
        <w:t>Holdings Plc</w:t>
      </w:r>
    </w:p>
    <w:p w14:paraId="53EA0E28" w14:textId="77777777" w:rsidR="003C0B6A" w:rsidRPr="003C0B6A" w:rsidRDefault="003C0B6A" w:rsidP="003C0B6A">
      <w:pPr>
        <w:autoSpaceDE w:val="0"/>
        <w:autoSpaceDN w:val="0"/>
        <w:adjustRightInd w:val="0"/>
        <w:ind w:hanging="426"/>
        <w:rPr>
          <w:rFonts w:ascii="Arial" w:eastAsia="Calibri" w:hAnsi="Arial" w:cs="Arial"/>
          <w:noProof/>
          <w:color w:val="231F20"/>
          <w:sz w:val="20"/>
          <w:szCs w:val="20"/>
          <w:lang w:val="en-US" w:eastAsia="en-US"/>
        </w:rPr>
      </w:pPr>
    </w:p>
    <w:p w14:paraId="552DEAFF" w14:textId="0E3B7EE8" w:rsidR="00A371B0" w:rsidRPr="002B360D" w:rsidRDefault="00F20542" w:rsidP="003C0B6A">
      <w:pPr>
        <w:autoSpaceDE w:val="0"/>
        <w:autoSpaceDN w:val="0"/>
        <w:adjustRightInd w:val="0"/>
        <w:ind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 xml:space="preserve">22 </w:t>
      </w:r>
      <w:r w:rsidR="003C0B6A">
        <w:rPr>
          <w:rFonts w:ascii="Arial" w:eastAsia="Calibri" w:hAnsi="Arial" w:cs="Arial"/>
          <w:noProof/>
          <w:color w:val="231F20"/>
          <w:sz w:val="20"/>
          <w:szCs w:val="20"/>
          <w:lang w:val="en-US" w:eastAsia="en-US"/>
        </w:rPr>
        <w:t xml:space="preserve">September </w:t>
      </w:r>
      <w:r>
        <w:rPr>
          <w:rFonts w:ascii="Arial" w:eastAsia="Calibri" w:hAnsi="Arial" w:cs="Arial"/>
          <w:noProof/>
          <w:color w:val="231F20"/>
          <w:sz w:val="20"/>
          <w:szCs w:val="20"/>
          <w:lang w:val="en-US" w:eastAsia="en-US"/>
        </w:rPr>
        <w:t>2021</w:t>
      </w:r>
    </w:p>
    <w:p w14:paraId="5D9D2A00" w14:textId="77777777" w:rsidR="00A371B0" w:rsidRPr="006D0FCF" w:rsidRDefault="00A371B0" w:rsidP="003C0B6A">
      <w:pPr>
        <w:ind w:hanging="426"/>
        <w:rPr>
          <w:rFonts w:ascii="Arial" w:hAnsi="Arial" w:cs="Arial"/>
          <w:b/>
          <w:sz w:val="20"/>
          <w:szCs w:val="20"/>
        </w:rPr>
      </w:pPr>
      <w:r w:rsidRPr="006D0FCF">
        <w:rPr>
          <w:rFonts w:ascii="Arial" w:hAnsi="Arial" w:cs="Arial"/>
          <w:b/>
          <w:sz w:val="20"/>
          <w:szCs w:val="20"/>
        </w:rPr>
        <w:br/>
      </w:r>
    </w:p>
    <w:p w14:paraId="71613B62" w14:textId="77777777" w:rsidR="003C0B6A" w:rsidRPr="006D0FCF" w:rsidRDefault="003C0B6A" w:rsidP="003C0B6A">
      <w:pPr>
        <w:rPr>
          <w:rFonts w:ascii="Arial" w:hAnsi="Arial" w:cs="Arial"/>
          <w:b/>
          <w:sz w:val="20"/>
          <w:szCs w:val="20"/>
        </w:rPr>
      </w:pPr>
    </w:p>
    <w:sectPr w:rsidR="003C0B6A" w:rsidRPr="006D0FCF" w:rsidSect="001B44E9">
      <w:headerReference w:type="even" r:id="rId9"/>
      <w:headerReference w:type="default" r:id="rId10"/>
      <w:footerReference w:type="even" r:id="rId11"/>
      <w:footerReference w:type="default" r:id="rId12"/>
      <w:headerReference w:type="first" r:id="rId13"/>
      <w:footerReference w:type="first" r:id="rId14"/>
      <w:pgSz w:w="11906" w:h="16838"/>
      <w:pgMar w:top="851" w:right="17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FA282" w14:textId="77777777" w:rsidR="002744A5" w:rsidRDefault="002744A5">
      <w:r>
        <w:separator/>
      </w:r>
    </w:p>
  </w:endnote>
  <w:endnote w:type="continuationSeparator" w:id="0">
    <w:p w14:paraId="3A597A59" w14:textId="77777777" w:rsidR="002744A5" w:rsidRDefault="0027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tter IGTF">
    <w:panose1 w:val="00000500000000000000"/>
    <w:charset w:val="00"/>
    <w:family w:val="modern"/>
    <w:notTrueType/>
    <w:pitch w:val="variable"/>
    <w:sig w:usb0="00000007" w:usb1="00000000" w:usb2="00000000" w:usb3="00000000" w:csb0="00000093"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EF6D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148A3" w14:textId="77777777" w:rsidR="00D32395" w:rsidRDefault="00D3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457A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4B37">
      <w:rPr>
        <w:rStyle w:val="PageNumber"/>
        <w:noProof/>
      </w:rPr>
      <w:t>2</w:t>
    </w:r>
    <w:r>
      <w:rPr>
        <w:rStyle w:val="PageNumber"/>
      </w:rPr>
      <w:fldChar w:fldCharType="end"/>
    </w:r>
  </w:p>
  <w:p w14:paraId="691485BA" w14:textId="77777777" w:rsidR="00D32395" w:rsidRDefault="00D32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87E0" w14:textId="77777777" w:rsidR="00F012D8" w:rsidRDefault="00F01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FF861" w14:textId="77777777" w:rsidR="002744A5" w:rsidRDefault="002744A5">
      <w:r>
        <w:separator/>
      </w:r>
    </w:p>
  </w:footnote>
  <w:footnote w:type="continuationSeparator" w:id="0">
    <w:p w14:paraId="04046911" w14:textId="77777777" w:rsidR="002744A5" w:rsidRDefault="0027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00255" w14:textId="77777777" w:rsidR="00F012D8" w:rsidRDefault="00F01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8409" w14:textId="1F9EF0AD" w:rsidR="00F012D8" w:rsidRDefault="00F0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12578" w14:textId="77777777" w:rsidR="00F012D8" w:rsidRDefault="00F01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DD7"/>
    <w:multiLevelType w:val="hybridMultilevel"/>
    <w:tmpl w:val="5E50B2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D4036A"/>
    <w:multiLevelType w:val="hybridMultilevel"/>
    <w:tmpl w:val="53A2EA22"/>
    <w:lvl w:ilvl="0" w:tplc="745434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D6C33"/>
    <w:multiLevelType w:val="hybridMultilevel"/>
    <w:tmpl w:val="C65C6BA8"/>
    <w:lvl w:ilvl="0" w:tplc="E4066832">
      <w:start w:val="1"/>
      <w:numFmt w:val="upp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1E636381"/>
    <w:multiLevelType w:val="hybridMultilevel"/>
    <w:tmpl w:val="04081606"/>
    <w:lvl w:ilvl="0" w:tplc="6BC6069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0EA69E5"/>
    <w:multiLevelType w:val="hybridMultilevel"/>
    <w:tmpl w:val="7750B058"/>
    <w:lvl w:ilvl="0" w:tplc="FA42583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26FF3624"/>
    <w:multiLevelType w:val="hybridMultilevel"/>
    <w:tmpl w:val="0DF8682E"/>
    <w:lvl w:ilvl="0" w:tplc="B1FED6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B95F3E"/>
    <w:multiLevelType w:val="hybridMultilevel"/>
    <w:tmpl w:val="D7382304"/>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A1A2F"/>
    <w:multiLevelType w:val="hybridMultilevel"/>
    <w:tmpl w:val="66B24D96"/>
    <w:lvl w:ilvl="0" w:tplc="E04C8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B073B"/>
    <w:multiLevelType w:val="hybridMultilevel"/>
    <w:tmpl w:val="786C59E2"/>
    <w:lvl w:ilvl="0" w:tplc="1C58BB7E">
      <w:start w:val="2"/>
      <w:numFmt w:val="upperLetter"/>
      <w:lvlText w:val="%1)"/>
      <w:lvlJc w:val="left"/>
      <w:pPr>
        <w:ind w:left="1403" w:hanging="360"/>
      </w:pPr>
      <w:rPr>
        <w:rFonts w:hint="default"/>
      </w:r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9" w15:restartNumberingAfterBreak="0">
    <w:nsid w:val="3527663A"/>
    <w:multiLevelType w:val="hybridMultilevel"/>
    <w:tmpl w:val="EA601AB8"/>
    <w:lvl w:ilvl="0" w:tplc="FFFFFFFF">
      <w:start w:val="1"/>
      <w:numFmt w:val="lowerRoman"/>
      <w:lvlText w:val="(%1)"/>
      <w:lvlJc w:val="left"/>
      <w:pPr>
        <w:ind w:left="1855" w:hanging="720"/>
      </w:pPr>
      <w:rPr>
        <w:rFonts w:cs="Times New Roman" w:hint="default"/>
      </w:rPr>
    </w:lvl>
    <w:lvl w:ilvl="1" w:tplc="FFFFFFFF" w:tentative="1">
      <w:start w:val="1"/>
      <w:numFmt w:val="lowerLetter"/>
      <w:lvlText w:val="%2."/>
      <w:lvlJc w:val="left"/>
      <w:pPr>
        <w:ind w:left="2215" w:hanging="360"/>
      </w:pPr>
      <w:rPr>
        <w:rFonts w:cs="Times New Roman"/>
      </w:rPr>
    </w:lvl>
    <w:lvl w:ilvl="2" w:tplc="FFFFFFFF" w:tentative="1">
      <w:start w:val="1"/>
      <w:numFmt w:val="lowerRoman"/>
      <w:lvlText w:val="%3."/>
      <w:lvlJc w:val="right"/>
      <w:pPr>
        <w:ind w:left="2935" w:hanging="180"/>
      </w:pPr>
      <w:rPr>
        <w:rFonts w:cs="Times New Roman"/>
      </w:rPr>
    </w:lvl>
    <w:lvl w:ilvl="3" w:tplc="FFFFFFFF" w:tentative="1">
      <w:start w:val="1"/>
      <w:numFmt w:val="decimal"/>
      <w:lvlText w:val="%4."/>
      <w:lvlJc w:val="left"/>
      <w:pPr>
        <w:ind w:left="3655" w:hanging="360"/>
      </w:pPr>
      <w:rPr>
        <w:rFonts w:cs="Times New Roman"/>
      </w:rPr>
    </w:lvl>
    <w:lvl w:ilvl="4" w:tplc="FFFFFFFF" w:tentative="1">
      <w:start w:val="1"/>
      <w:numFmt w:val="lowerLetter"/>
      <w:lvlText w:val="%5."/>
      <w:lvlJc w:val="left"/>
      <w:pPr>
        <w:ind w:left="4375" w:hanging="360"/>
      </w:pPr>
      <w:rPr>
        <w:rFonts w:cs="Times New Roman"/>
      </w:rPr>
    </w:lvl>
    <w:lvl w:ilvl="5" w:tplc="FFFFFFFF" w:tentative="1">
      <w:start w:val="1"/>
      <w:numFmt w:val="lowerRoman"/>
      <w:lvlText w:val="%6."/>
      <w:lvlJc w:val="right"/>
      <w:pPr>
        <w:ind w:left="5095" w:hanging="180"/>
      </w:pPr>
      <w:rPr>
        <w:rFonts w:cs="Times New Roman"/>
      </w:rPr>
    </w:lvl>
    <w:lvl w:ilvl="6" w:tplc="FFFFFFFF" w:tentative="1">
      <w:start w:val="1"/>
      <w:numFmt w:val="decimal"/>
      <w:lvlText w:val="%7."/>
      <w:lvlJc w:val="left"/>
      <w:pPr>
        <w:ind w:left="5815" w:hanging="360"/>
      </w:pPr>
      <w:rPr>
        <w:rFonts w:cs="Times New Roman"/>
      </w:rPr>
    </w:lvl>
    <w:lvl w:ilvl="7" w:tplc="FFFFFFFF" w:tentative="1">
      <w:start w:val="1"/>
      <w:numFmt w:val="lowerLetter"/>
      <w:lvlText w:val="%8."/>
      <w:lvlJc w:val="left"/>
      <w:pPr>
        <w:ind w:left="6535" w:hanging="360"/>
      </w:pPr>
      <w:rPr>
        <w:rFonts w:cs="Times New Roman"/>
      </w:rPr>
    </w:lvl>
    <w:lvl w:ilvl="8" w:tplc="FFFFFFFF" w:tentative="1">
      <w:start w:val="1"/>
      <w:numFmt w:val="lowerRoman"/>
      <w:lvlText w:val="%9."/>
      <w:lvlJc w:val="right"/>
      <w:pPr>
        <w:ind w:left="7255" w:hanging="180"/>
      </w:pPr>
      <w:rPr>
        <w:rFonts w:cs="Times New Roman"/>
      </w:rPr>
    </w:lvl>
  </w:abstractNum>
  <w:abstractNum w:abstractNumId="10" w15:restartNumberingAfterBreak="0">
    <w:nsid w:val="44855F2A"/>
    <w:multiLevelType w:val="hybridMultilevel"/>
    <w:tmpl w:val="A0CADA38"/>
    <w:lvl w:ilvl="0" w:tplc="FBB01E16">
      <w:start w:val="2"/>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65D3255"/>
    <w:multiLevelType w:val="hybridMultilevel"/>
    <w:tmpl w:val="E362C744"/>
    <w:lvl w:ilvl="0" w:tplc="041AB84C">
      <w:start w:val="1"/>
      <w:numFmt w:val="lowerRoman"/>
      <w:lvlText w:val="(%1)"/>
      <w:lvlJc w:val="left"/>
      <w:pPr>
        <w:ind w:left="1507" w:hanging="72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2" w15:restartNumberingAfterBreak="0">
    <w:nsid w:val="49574473"/>
    <w:multiLevelType w:val="hybridMultilevel"/>
    <w:tmpl w:val="BA945C86"/>
    <w:lvl w:ilvl="0" w:tplc="AAD2AA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90AA9"/>
    <w:multiLevelType w:val="hybridMultilevel"/>
    <w:tmpl w:val="047204A6"/>
    <w:lvl w:ilvl="0" w:tplc="D1C402CE">
      <w:start w:val="1"/>
      <w:numFmt w:val="decimal"/>
      <w:lvlText w:val="%1."/>
      <w:lvlJc w:val="left"/>
      <w:pPr>
        <w:ind w:left="644"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BB108CC"/>
    <w:multiLevelType w:val="hybridMultilevel"/>
    <w:tmpl w:val="A9F22540"/>
    <w:lvl w:ilvl="0" w:tplc="31E6B41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E0548DE"/>
    <w:multiLevelType w:val="hybridMultilevel"/>
    <w:tmpl w:val="E40A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E10BD"/>
    <w:multiLevelType w:val="hybridMultilevel"/>
    <w:tmpl w:val="A7EC8E06"/>
    <w:lvl w:ilvl="0" w:tplc="5300B93C">
      <w:start w:val="1"/>
      <w:numFmt w:val="decimal"/>
      <w:pStyle w:val="Bullet1"/>
      <w:lvlText w:val="%1."/>
      <w:lvlJc w:val="left"/>
      <w:pPr>
        <w:ind w:left="464" w:hanging="360"/>
      </w:pPr>
      <w:rPr>
        <w:rFonts w:ascii="Matter IGTF" w:hAnsi="Matter IGTF" w:hint="default"/>
        <w:sz w:val="20"/>
        <w:szCs w:val="20"/>
      </w:rPr>
    </w:lvl>
    <w:lvl w:ilvl="1" w:tplc="1CC40F40">
      <w:start w:val="1"/>
      <w:numFmt w:val="lowerRoman"/>
      <w:lvlText w:val="(%2)"/>
      <w:lvlJc w:val="left"/>
      <w:pPr>
        <w:ind w:hanging="252"/>
      </w:pPr>
      <w:rPr>
        <w:rFonts w:ascii="AvenirLTStd-Light" w:eastAsia="AvenirLTStd-Light" w:hAnsi="AvenirLTStd-Light"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5448CA2E">
      <w:start w:val="1"/>
      <w:numFmt w:val="bullet"/>
      <w:lvlText w:val="•"/>
      <w:lvlJc w:val="left"/>
      <w:rPr>
        <w:rFonts w:hint="default"/>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17" w15:restartNumberingAfterBreak="0">
    <w:nsid w:val="50A5021B"/>
    <w:multiLevelType w:val="hybridMultilevel"/>
    <w:tmpl w:val="6B02BF84"/>
    <w:lvl w:ilvl="0" w:tplc="87DC83CA">
      <w:start w:val="1"/>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2AF539E"/>
    <w:multiLevelType w:val="hybridMultilevel"/>
    <w:tmpl w:val="953EFD60"/>
    <w:lvl w:ilvl="0" w:tplc="D942453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D1F4A05"/>
    <w:multiLevelType w:val="hybridMultilevel"/>
    <w:tmpl w:val="1D8E50A2"/>
    <w:lvl w:ilvl="0" w:tplc="E0744F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DE194A"/>
    <w:multiLevelType w:val="hybridMultilevel"/>
    <w:tmpl w:val="A7285624"/>
    <w:lvl w:ilvl="0" w:tplc="E6107520">
      <w:start w:val="2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D37D66"/>
    <w:multiLevelType w:val="hybridMultilevel"/>
    <w:tmpl w:val="22DE146A"/>
    <w:lvl w:ilvl="0" w:tplc="79FAE69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03B6434"/>
    <w:multiLevelType w:val="multilevel"/>
    <w:tmpl w:val="025A9C0C"/>
    <w:lvl w:ilvl="0">
      <w:start w:val="1"/>
      <w:numFmt w:val="decimal"/>
      <w:pStyle w:val="Level1"/>
      <w:lvlText w:val="%1"/>
      <w:lvlJc w:val="left"/>
      <w:pPr>
        <w:tabs>
          <w:tab w:val="num" w:pos="680"/>
        </w:tabs>
        <w:ind w:left="680" w:hanging="680"/>
      </w:pPr>
      <w:rPr>
        <w:rFonts w:hint="default"/>
        <w:b/>
        <w:i w:val="0"/>
        <w:sz w:val="22"/>
        <w:szCs w:val="22"/>
      </w:rPr>
    </w:lvl>
    <w:lvl w:ilvl="1">
      <w:start w:val="1"/>
      <w:numFmt w:val="decimal"/>
      <w:pStyle w:val="Level2"/>
      <w:lvlText w:val="%1.%2"/>
      <w:lvlJc w:val="left"/>
      <w:pPr>
        <w:tabs>
          <w:tab w:val="num" w:pos="680"/>
        </w:tabs>
        <w:ind w:left="680" w:hanging="680"/>
      </w:pPr>
      <w:rPr>
        <w:rFonts w:hint="default"/>
        <w:b/>
        <w:i w:val="0"/>
        <w:sz w:val="21"/>
        <w:szCs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23" w15:restartNumberingAfterBreak="0">
    <w:nsid w:val="717E3C2F"/>
    <w:multiLevelType w:val="hybridMultilevel"/>
    <w:tmpl w:val="10FE3112"/>
    <w:lvl w:ilvl="0" w:tplc="FFFFFFFF">
      <w:start w:val="1"/>
      <w:numFmt w:val="lowerRoman"/>
      <w:lvlText w:val="(%1)"/>
      <w:lvlJc w:val="left"/>
      <w:pPr>
        <w:ind w:left="1997" w:hanging="720"/>
      </w:pPr>
      <w:rPr>
        <w:rFonts w:cs="Times New Roman" w:hint="default"/>
      </w:rPr>
    </w:lvl>
    <w:lvl w:ilvl="1" w:tplc="FFFFFFFF" w:tentative="1">
      <w:start w:val="1"/>
      <w:numFmt w:val="lowerLetter"/>
      <w:lvlText w:val="%2."/>
      <w:lvlJc w:val="left"/>
      <w:pPr>
        <w:ind w:left="2441" w:hanging="360"/>
      </w:pPr>
      <w:rPr>
        <w:rFonts w:cs="Times New Roman"/>
      </w:rPr>
    </w:lvl>
    <w:lvl w:ilvl="2" w:tplc="FFFFFFFF" w:tentative="1">
      <w:start w:val="1"/>
      <w:numFmt w:val="lowerRoman"/>
      <w:lvlText w:val="%3."/>
      <w:lvlJc w:val="right"/>
      <w:pPr>
        <w:ind w:left="3161" w:hanging="180"/>
      </w:pPr>
      <w:rPr>
        <w:rFonts w:cs="Times New Roman"/>
      </w:rPr>
    </w:lvl>
    <w:lvl w:ilvl="3" w:tplc="FFFFFFFF">
      <w:start w:val="1"/>
      <w:numFmt w:val="decimal"/>
      <w:lvlText w:val="%4."/>
      <w:lvlJc w:val="left"/>
      <w:pPr>
        <w:ind w:left="3881" w:hanging="360"/>
      </w:pPr>
      <w:rPr>
        <w:rFonts w:cs="Times New Roman"/>
      </w:rPr>
    </w:lvl>
    <w:lvl w:ilvl="4" w:tplc="FFFFFFFF" w:tentative="1">
      <w:start w:val="1"/>
      <w:numFmt w:val="lowerLetter"/>
      <w:lvlText w:val="%5."/>
      <w:lvlJc w:val="left"/>
      <w:pPr>
        <w:ind w:left="4601" w:hanging="360"/>
      </w:pPr>
      <w:rPr>
        <w:rFonts w:cs="Times New Roman"/>
      </w:rPr>
    </w:lvl>
    <w:lvl w:ilvl="5" w:tplc="FFFFFFFF" w:tentative="1">
      <w:start w:val="1"/>
      <w:numFmt w:val="lowerRoman"/>
      <w:lvlText w:val="%6."/>
      <w:lvlJc w:val="right"/>
      <w:pPr>
        <w:ind w:left="5321" w:hanging="180"/>
      </w:pPr>
      <w:rPr>
        <w:rFonts w:cs="Times New Roman"/>
      </w:rPr>
    </w:lvl>
    <w:lvl w:ilvl="6" w:tplc="FFFFFFFF" w:tentative="1">
      <w:start w:val="1"/>
      <w:numFmt w:val="decimal"/>
      <w:lvlText w:val="%7."/>
      <w:lvlJc w:val="left"/>
      <w:pPr>
        <w:ind w:left="6041" w:hanging="360"/>
      </w:pPr>
      <w:rPr>
        <w:rFonts w:cs="Times New Roman"/>
      </w:rPr>
    </w:lvl>
    <w:lvl w:ilvl="7" w:tplc="FFFFFFFF" w:tentative="1">
      <w:start w:val="1"/>
      <w:numFmt w:val="lowerLetter"/>
      <w:lvlText w:val="%8."/>
      <w:lvlJc w:val="left"/>
      <w:pPr>
        <w:ind w:left="6761" w:hanging="360"/>
      </w:pPr>
      <w:rPr>
        <w:rFonts w:cs="Times New Roman"/>
      </w:rPr>
    </w:lvl>
    <w:lvl w:ilvl="8" w:tplc="FFFFFFFF" w:tentative="1">
      <w:start w:val="1"/>
      <w:numFmt w:val="lowerRoman"/>
      <w:lvlText w:val="%9."/>
      <w:lvlJc w:val="right"/>
      <w:pPr>
        <w:ind w:left="7481" w:hanging="180"/>
      </w:pPr>
      <w:rPr>
        <w:rFonts w:cs="Times New Roman"/>
      </w:rPr>
    </w:lvl>
  </w:abstractNum>
  <w:abstractNum w:abstractNumId="24" w15:restartNumberingAfterBreak="0">
    <w:nsid w:val="72F90F2F"/>
    <w:multiLevelType w:val="hybridMultilevel"/>
    <w:tmpl w:val="110E9BB2"/>
    <w:lvl w:ilvl="0" w:tplc="ADFC3F8A">
      <w:start w:val="1"/>
      <w:numFmt w:val="decimal"/>
      <w:lvlText w:val="%1."/>
      <w:lvlJc w:val="left"/>
      <w:pPr>
        <w:ind w:hanging="356"/>
      </w:pPr>
      <w:rPr>
        <w:rFonts w:ascii="AvenirLTStd-Light" w:eastAsia="AvenirLTStd-Light" w:hAnsi="AvenirLTStd-Light" w:hint="default"/>
        <w:sz w:val="20"/>
        <w:szCs w:val="20"/>
      </w:rPr>
    </w:lvl>
    <w:lvl w:ilvl="1" w:tplc="08090017">
      <w:start w:val="1"/>
      <w:numFmt w:val="lowerLetter"/>
      <w:lvlText w:val="%2)"/>
      <w:lvlJc w:val="left"/>
      <w:pPr>
        <w:ind w:hanging="252"/>
      </w:pPr>
      <w:rPr>
        <w:rFonts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65BC56E0">
      <w:start w:val="1"/>
      <w:numFmt w:val="lowerRoman"/>
      <w:lvlText w:val="(%6)"/>
      <w:lvlJc w:val="left"/>
      <w:rPr>
        <w:rFonts w:ascii="Arial" w:eastAsiaTheme="minorHAnsi" w:hAnsi="Arial" w:cs="Arial"/>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25" w15:restartNumberingAfterBreak="0">
    <w:nsid w:val="7F912BB1"/>
    <w:multiLevelType w:val="hybridMultilevel"/>
    <w:tmpl w:val="99EC9B44"/>
    <w:lvl w:ilvl="0" w:tplc="723012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3"/>
  </w:num>
  <w:num w:numId="9">
    <w:abstractNumId w:val="9"/>
  </w:num>
  <w:num w:numId="10">
    <w:abstractNumId w:val="15"/>
  </w:num>
  <w:num w:numId="11">
    <w:abstractNumId w:val="25"/>
  </w:num>
  <w:num w:numId="12">
    <w:abstractNumId w:val="1"/>
  </w:num>
  <w:num w:numId="13">
    <w:abstractNumId w:val="12"/>
  </w:num>
  <w:num w:numId="14">
    <w:abstractNumId w:val="7"/>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num>
  <w:num w:numId="17">
    <w:abstractNumId w:val="11"/>
  </w:num>
  <w:num w:numId="18">
    <w:abstractNumId w:val="21"/>
  </w:num>
  <w:num w:numId="19">
    <w:abstractNumId w:val="4"/>
  </w:num>
  <w:num w:numId="20">
    <w:abstractNumId w:val="3"/>
  </w:num>
  <w:num w:numId="21">
    <w:abstractNumId w:val="17"/>
  </w:num>
  <w:num w:numId="22">
    <w:abstractNumId w:val="2"/>
  </w:num>
  <w:num w:numId="23">
    <w:abstractNumId w:val="5"/>
  </w:num>
  <w:num w:numId="24">
    <w:abstractNumId w:val="14"/>
  </w:num>
  <w:num w:numId="25">
    <w:abstractNumId w:val="24"/>
  </w:num>
  <w:num w:numId="26">
    <w:abstractNumId w:val="16"/>
  </w:num>
  <w:num w:numId="27">
    <w:abstractNumId w:val="6"/>
  </w:num>
  <w:num w:numId="28">
    <w:abstractNumId w:val="8"/>
  </w:num>
  <w:num w:numId="29">
    <w:abstractNumId w:val="10"/>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EA"/>
    <w:rsid w:val="000226DC"/>
    <w:rsid w:val="00043DBD"/>
    <w:rsid w:val="000822F3"/>
    <w:rsid w:val="000975C2"/>
    <w:rsid w:val="00104B37"/>
    <w:rsid w:val="00141671"/>
    <w:rsid w:val="00174F11"/>
    <w:rsid w:val="00176673"/>
    <w:rsid w:val="001A10ED"/>
    <w:rsid w:val="001A3659"/>
    <w:rsid w:val="001B059E"/>
    <w:rsid w:val="001B44E9"/>
    <w:rsid w:val="001B7E4E"/>
    <w:rsid w:val="001C46BF"/>
    <w:rsid w:val="002027E2"/>
    <w:rsid w:val="002744A5"/>
    <w:rsid w:val="002B5017"/>
    <w:rsid w:val="00312A34"/>
    <w:rsid w:val="0037089D"/>
    <w:rsid w:val="003A13D1"/>
    <w:rsid w:val="003C0B6A"/>
    <w:rsid w:val="003E0B96"/>
    <w:rsid w:val="00403DE4"/>
    <w:rsid w:val="004660EC"/>
    <w:rsid w:val="00495A5C"/>
    <w:rsid w:val="00562A2C"/>
    <w:rsid w:val="00575573"/>
    <w:rsid w:val="005D525D"/>
    <w:rsid w:val="005D5C69"/>
    <w:rsid w:val="00610173"/>
    <w:rsid w:val="0064271F"/>
    <w:rsid w:val="00646A54"/>
    <w:rsid w:val="00660339"/>
    <w:rsid w:val="006D0FCF"/>
    <w:rsid w:val="007607A0"/>
    <w:rsid w:val="007B31D6"/>
    <w:rsid w:val="007C2183"/>
    <w:rsid w:val="007D5E2B"/>
    <w:rsid w:val="00822D61"/>
    <w:rsid w:val="008612EA"/>
    <w:rsid w:val="00866B62"/>
    <w:rsid w:val="008B43EE"/>
    <w:rsid w:val="008B7A9D"/>
    <w:rsid w:val="008E05A5"/>
    <w:rsid w:val="00916AC5"/>
    <w:rsid w:val="009B1442"/>
    <w:rsid w:val="009E38FE"/>
    <w:rsid w:val="009F0B84"/>
    <w:rsid w:val="00A24D3F"/>
    <w:rsid w:val="00A371B0"/>
    <w:rsid w:val="00A458CC"/>
    <w:rsid w:val="00A558A9"/>
    <w:rsid w:val="00AA18DC"/>
    <w:rsid w:val="00B05F66"/>
    <w:rsid w:val="00B4580B"/>
    <w:rsid w:val="00BA4E92"/>
    <w:rsid w:val="00BD497F"/>
    <w:rsid w:val="00BE7DC9"/>
    <w:rsid w:val="00C310C4"/>
    <w:rsid w:val="00C768E3"/>
    <w:rsid w:val="00C91F5E"/>
    <w:rsid w:val="00D32395"/>
    <w:rsid w:val="00D805D5"/>
    <w:rsid w:val="00DC20DD"/>
    <w:rsid w:val="00DF228A"/>
    <w:rsid w:val="00E66D82"/>
    <w:rsid w:val="00E75AC6"/>
    <w:rsid w:val="00E85A45"/>
    <w:rsid w:val="00E907B9"/>
    <w:rsid w:val="00EB3D7D"/>
    <w:rsid w:val="00F012D8"/>
    <w:rsid w:val="00F20542"/>
    <w:rsid w:val="00FD6821"/>
    <w:rsid w:val="00FE1FC4"/>
    <w:rsid w:val="00FF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72B64C"/>
  <w15:docId w15:val="{46DDE436-16EC-469E-9294-4F4C7AD5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uiPriority w:val="99"/>
    <w:rsid w:val="00FE1FC4"/>
    <w:pPr>
      <w:keepNext/>
      <w:numPr>
        <w:numId w:val="3"/>
      </w:numPr>
      <w:spacing w:before="140" w:after="140" w:line="290" w:lineRule="auto"/>
      <w:jc w:val="both"/>
      <w:outlineLvl w:val="0"/>
    </w:pPr>
    <w:rPr>
      <w:rFonts w:ascii="Arial" w:hAnsi="Arial" w:cs="Arial"/>
      <w:b/>
      <w:bCs/>
      <w:kern w:val="20"/>
      <w:sz w:val="22"/>
      <w:szCs w:val="22"/>
      <w:lang w:eastAsia="en-US"/>
    </w:rPr>
  </w:style>
  <w:style w:type="paragraph" w:customStyle="1" w:styleId="Level2">
    <w:name w:val="Level 2"/>
    <w:basedOn w:val="Normal"/>
    <w:uiPriority w:val="99"/>
    <w:rsid w:val="00FE1FC4"/>
    <w:pPr>
      <w:numPr>
        <w:ilvl w:val="1"/>
        <w:numId w:val="3"/>
      </w:numPr>
      <w:spacing w:after="140" w:line="290" w:lineRule="auto"/>
      <w:jc w:val="both"/>
      <w:outlineLvl w:val="1"/>
    </w:pPr>
    <w:rPr>
      <w:rFonts w:ascii="Arial" w:hAnsi="Arial" w:cs="Arial"/>
      <w:kern w:val="20"/>
      <w:sz w:val="20"/>
      <w:szCs w:val="20"/>
      <w:lang w:eastAsia="en-US"/>
    </w:rPr>
  </w:style>
  <w:style w:type="paragraph" w:customStyle="1" w:styleId="Level3">
    <w:name w:val="Level 3"/>
    <w:basedOn w:val="Normal"/>
    <w:uiPriority w:val="99"/>
    <w:rsid w:val="00FE1FC4"/>
    <w:pPr>
      <w:numPr>
        <w:ilvl w:val="2"/>
        <w:numId w:val="3"/>
      </w:numPr>
      <w:spacing w:after="140" w:line="290" w:lineRule="auto"/>
      <w:jc w:val="both"/>
      <w:outlineLvl w:val="2"/>
    </w:pPr>
    <w:rPr>
      <w:rFonts w:ascii="Arial" w:hAnsi="Arial" w:cs="Arial"/>
      <w:kern w:val="20"/>
      <w:sz w:val="20"/>
      <w:szCs w:val="20"/>
      <w:lang w:eastAsia="en-US"/>
    </w:rPr>
  </w:style>
  <w:style w:type="paragraph" w:customStyle="1" w:styleId="Level4">
    <w:name w:val="Level 4"/>
    <w:basedOn w:val="Normal"/>
    <w:uiPriority w:val="99"/>
    <w:rsid w:val="00FE1FC4"/>
    <w:pPr>
      <w:numPr>
        <w:ilvl w:val="3"/>
        <w:numId w:val="3"/>
      </w:numPr>
      <w:spacing w:after="140" w:line="290" w:lineRule="auto"/>
      <w:jc w:val="both"/>
      <w:outlineLvl w:val="3"/>
    </w:pPr>
    <w:rPr>
      <w:rFonts w:ascii="Arial" w:hAnsi="Arial" w:cs="Arial"/>
      <w:kern w:val="20"/>
      <w:sz w:val="20"/>
      <w:szCs w:val="20"/>
      <w:lang w:eastAsia="en-US"/>
    </w:rPr>
  </w:style>
  <w:style w:type="paragraph" w:customStyle="1" w:styleId="Level5">
    <w:name w:val="Level 5"/>
    <w:basedOn w:val="Normal"/>
    <w:uiPriority w:val="99"/>
    <w:rsid w:val="00FE1FC4"/>
    <w:pPr>
      <w:numPr>
        <w:ilvl w:val="4"/>
        <w:numId w:val="3"/>
      </w:numPr>
      <w:spacing w:after="140" w:line="290" w:lineRule="auto"/>
      <w:jc w:val="both"/>
      <w:outlineLvl w:val="4"/>
    </w:pPr>
    <w:rPr>
      <w:rFonts w:ascii="Arial" w:hAnsi="Arial" w:cs="Arial"/>
      <w:kern w:val="20"/>
      <w:sz w:val="20"/>
      <w:szCs w:val="20"/>
      <w:lang w:eastAsia="en-US"/>
    </w:rPr>
  </w:style>
  <w:style w:type="paragraph" w:customStyle="1" w:styleId="Level6">
    <w:name w:val="Level 6"/>
    <w:basedOn w:val="Normal"/>
    <w:uiPriority w:val="99"/>
    <w:rsid w:val="00FE1FC4"/>
    <w:pPr>
      <w:numPr>
        <w:ilvl w:val="5"/>
        <w:numId w:val="3"/>
      </w:numPr>
      <w:spacing w:after="140" w:line="290" w:lineRule="auto"/>
      <w:jc w:val="both"/>
      <w:outlineLvl w:val="5"/>
    </w:pPr>
    <w:rPr>
      <w:rFonts w:ascii="Arial" w:hAnsi="Arial" w:cs="Arial"/>
      <w:kern w:val="20"/>
      <w:sz w:val="20"/>
      <w:szCs w:val="20"/>
      <w:lang w:eastAsia="en-US"/>
    </w:rPr>
  </w:style>
  <w:style w:type="paragraph" w:styleId="Footer">
    <w:name w:val="footer"/>
    <w:basedOn w:val="Normal"/>
    <w:rsid w:val="008B7A9D"/>
    <w:pPr>
      <w:tabs>
        <w:tab w:val="center" w:pos="4153"/>
        <w:tab w:val="right" w:pos="8306"/>
      </w:tabs>
    </w:pPr>
  </w:style>
  <w:style w:type="character" w:styleId="PageNumber">
    <w:name w:val="page number"/>
    <w:basedOn w:val="DefaultParagraphFont"/>
    <w:rsid w:val="008B7A9D"/>
  </w:style>
  <w:style w:type="character" w:styleId="Hyperlink">
    <w:name w:val="Hyperlink"/>
    <w:basedOn w:val="DefaultParagraphFont"/>
    <w:uiPriority w:val="99"/>
    <w:rsid w:val="007B31D6"/>
    <w:rPr>
      <w:rFonts w:cs="Times New Roman"/>
      <w:color w:val="0000FF"/>
      <w:u w:val="single"/>
    </w:rPr>
  </w:style>
  <w:style w:type="paragraph" w:styleId="ListParagraph">
    <w:name w:val="List Paragraph"/>
    <w:basedOn w:val="Normal"/>
    <w:uiPriority w:val="99"/>
    <w:qFormat/>
    <w:rsid w:val="007B31D6"/>
    <w:pPr>
      <w:spacing w:after="200" w:line="276" w:lineRule="auto"/>
      <w:ind w:left="720"/>
      <w:contextualSpacing/>
    </w:pPr>
    <w:rPr>
      <w:rFonts w:ascii="Calibri" w:hAnsi="Calibri"/>
      <w:noProof/>
      <w:sz w:val="22"/>
      <w:szCs w:val="22"/>
      <w:lang w:eastAsia="en-US"/>
    </w:rPr>
  </w:style>
  <w:style w:type="character" w:customStyle="1" w:styleId="Level1Char">
    <w:name w:val="Level 1 Char"/>
    <w:basedOn w:val="DefaultParagraphFont"/>
    <w:link w:val="Level1"/>
    <w:uiPriority w:val="99"/>
    <w:locked/>
    <w:rsid w:val="007B31D6"/>
    <w:rPr>
      <w:rFonts w:ascii="Arial" w:hAnsi="Arial" w:cs="Arial"/>
      <w:b/>
      <w:bCs/>
      <w:kern w:val="20"/>
      <w:sz w:val="22"/>
      <w:szCs w:val="22"/>
      <w:lang w:eastAsia="en-US"/>
    </w:rPr>
  </w:style>
  <w:style w:type="paragraph" w:styleId="BalloonText">
    <w:name w:val="Balloon Text"/>
    <w:basedOn w:val="Normal"/>
    <w:link w:val="BalloonTextChar"/>
    <w:rsid w:val="00610173"/>
    <w:rPr>
      <w:rFonts w:ascii="Tahoma" w:hAnsi="Tahoma" w:cs="Tahoma"/>
      <w:sz w:val="16"/>
      <w:szCs w:val="16"/>
    </w:rPr>
  </w:style>
  <w:style w:type="character" w:customStyle="1" w:styleId="BalloonTextChar">
    <w:name w:val="Balloon Text Char"/>
    <w:basedOn w:val="DefaultParagraphFont"/>
    <w:link w:val="BalloonText"/>
    <w:rsid w:val="00610173"/>
    <w:rPr>
      <w:rFonts w:ascii="Tahoma" w:hAnsi="Tahoma" w:cs="Tahoma"/>
      <w:sz w:val="16"/>
      <w:szCs w:val="16"/>
    </w:rPr>
  </w:style>
  <w:style w:type="paragraph" w:styleId="Header">
    <w:name w:val="header"/>
    <w:basedOn w:val="Normal"/>
    <w:link w:val="HeaderChar"/>
    <w:unhideWhenUsed/>
    <w:rsid w:val="00F012D8"/>
    <w:pPr>
      <w:tabs>
        <w:tab w:val="center" w:pos="4513"/>
        <w:tab w:val="right" w:pos="9026"/>
      </w:tabs>
    </w:pPr>
  </w:style>
  <w:style w:type="character" w:customStyle="1" w:styleId="HeaderChar">
    <w:name w:val="Header Char"/>
    <w:basedOn w:val="DefaultParagraphFont"/>
    <w:link w:val="Header"/>
    <w:rsid w:val="00F012D8"/>
    <w:rPr>
      <w:sz w:val="24"/>
      <w:szCs w:val="24"/>
    </w:rPr>
  </w:style>
  <w:style w:type="paragraph" w:styleId="BodyText">
    <w:name w:val="Body Text"/>
    <w:basedOn w:val="Normal"/>
    <w:link w:val="BodyTextChar"/>
    <w:uiPriority w:val="1"/>
    <w:unhideWhenUsed/>
    <w:qFormat/>
    <w:rsid w:val="00EB3D7D"/>
    <w:pPr>
      <w:tabs>
        <w:tab w:val="left" w:pos="851"/>
      </w:tabs>
      <w:spacing w:before="120"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1"/>
    <w:rsid w:val="00EB3D7D"/>
    <w:rPr>
      <w:rFonts w:ascii="Arial" w:eastAsiaTheme="minorHAnsi" w:hAnsi="Arial" w:cstheme="minorBidi"/>
      <w:sz w:val="22"/>
      <w:szCs w:val="22"/>
      <w:lang w:eastAsia="en-US"/>
    </w:rPr>
  </w:style>
  <w:style w:type="paragraph" w:customStyle="1" w:styleId="Bullet1">
    <w:name w:val="Bullet 1"/>
    <w:basedOn w:val="BodyText"/>
    <w:qFormat/>
    <w:rsid w:val="00EB3D7D"/>
    <w:pPr>
      <w:widowControl w:val="0"/>
      <w:numPr>
        <w:numId w:val="26"/>
      </w:numPr>
      <w:tabs>
        <w:tab w:val="clear" w:pos="851"/>
        <w:tab w:val="left" w:pos="460"/>
      </w:tabs>
      <w:spacing w:after="0" w:line="230" w:lineRule="exact"/>
    </w:pPr>
  </w:style>
  <w:style w:type="character" w:styleId="CommentReference">
    <w:name w:val="annotation reference"/>
    <w:basedOn w:val="DefaultParagraphFont"/>
    <w:semiHidden/>
    <w:unhideWhenUsed/>
    <w:rsid w:val="001B7E4E"/>
    <w:rPr>
      <w:sz w:val="16"/>
      <w:szCs w:val="16"/>
    </w:rPr>
  </w:style>
  <w:style w:type="paragraph" w:styleId="CommentText">
    <w:name w:val="annotation text"/>
    <w:basedOn w:val="Normal"/>
    <w:link w:val="CommentTextChar"/>
    <w:semiHidden/>
    <w:unhideWhenUsed/>
    <w:rsid w:val="001B7E4E"/>
    <w:rPr>
      <w:sz w:val="20"/>
      <w:szCs w:val="20"/>
    </w:rPr>
  </w:style>
  <w:style w:type="character" w:customStyle="1" w:styleId="CommentTextChar">
    <w:name w:val="Comment Text Char"/>
    <w:basedOn w:val="DefaultParagraphFont"/>
    <w:link w:val="CommentText"/>
    <w:semiHidden/>
    <w:rsid w:val="001B7E4E"/>
  </w:style>
  <w:style w:type="paragraph" w:styleId="CommentSubject">
    <w:name w:val="annotation subject"/>
    <w:basedOn w:val="CommentText"/>
    <w:next w:val="CommentText"/>
    <w:link w:val="CommentSubjectChar"/>
    <w:semiHidden/>
    <w:unhideWhenUsed/>
    <w:rsid w:val="001B7E4E"/>
    <w:rPr>
      <w:b/>
      <w:bCs/>
    </w:rPr>
  </w:style>
  <w:style w:type="character" w:customStyle="1" w:styleId="CommentSubjectChar">
    <w:name w:val="Comment Subject Char"/>
    <w:basedOn w:val="CommentTextChar"/>
    <w:link w:val="CommentSubject"/>
    <w:semiHidden/>
    <w:rsid w:val="001B7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DD4D-2119-462F-A03E-E2F08D84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No</vt:lpstr>
    </vt:vector>
  </TitlesOfParts>
  <Company>IG Group PLC</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abbig</dc:creator>
  <cp:lastModifiedBy>Erika Percival</cp:lastModifiedBy>
  <cp:revision>2</cp:revision>
  <cp:lastPrinted>2015-10-15T11:03:00Z</cp:lastPrinted>
  <dcterms:created xsi:type="dcterms:W3CDTF">2021-09-20T16:58:00Z</dcterms:created>
  <dcterms:modified xsi:type="dcterms:W3CDTF">2021-09-20T16:58:00Z</dcterms:modified>
</cp:coreProperties>
</file>