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863" w14:textId="77777777" w:rsidR="00D60B21" w:rsidRDefault="00D60B21" w:rsidP="00AA2E49">
      <w:pPr>
        <w:shd w:val="clear" w:color="auto" w:fill="FFFFFF"/>
        <w:spacing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6"/>
          <w:kern w:val="36"/>
          <w:sz w:val="44"/>
          <w:szCs w:val="44"/>
          <w:lang w:eastAsia="en-GB"/>
        </w:rPr>
      </w:pPr>
    </w:p>
    <w:p w14:paraId="0C9855C0" w14:textId="5EF47CA1" w:rsidR="00AA2E49" w:rsidRDefault="00AA2E49" w:rsidP="00031E53">
      <w:pPr>
        <w:shd w:val="clear" w:color="auto" w:fill="FFFFFF"/>
        <w:spacing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6"/>
          <w:kern w:val="36"/>
          <w:sz w:val="44"/>
          <w:szCs w:val="44"/>
          <w:lang w:eastAsia="en-GB"/>
        </w:rPr>
      </w:pPr>
      <w:r w:rsidRPr="00AA2E49">
        <w:rPr>
          <w:rFonts w:ascii="Arial" w:eastAsia="Times New Roman" w:hAnsi="Arial" w:cs="Arial"/>
          <w:b/>
          <w:bCs/>
          <w:color w:val="000000"/>
          <w:spacing w:val="-6"/>
          <w:kern w:val="36"/>
          <w:sz w:val="44"/>
          <w:szCs w:val="44"/>
          <w:lang w:eastAsia="en-GB"/>
        </w:rPr>
        <w:t>TCS Group Holding PLC Issues 2022 Annual Report</w:t>
      </w:r>
    </w:p>
    <w:p w14:paraId="645E1443" w14:textId="77777777" w:rsidR="00031E53" w:rsidRPr="00031E53" w:rsidRDefault="00031E53" w:rsidP="00031E53">
      <w:pPr>
        <w:shd w:val="clear" w:color="auto" w:fill="FFFFFF"/>
        <w:spacing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6"/>
          <w:kern w:val="36"/>
          <w:sz w:val="44"/>
          <w:szCs w:val="44"/>
          <w:lang w:eastAsia="en-GB"/>
        </w:rPr>
      </w:pPr>
    </w:p>
    <w:p w14:paraId="1ADBBF4F" w14:textId="70FF9A1F" w:rsidR="00AA2E49" w:rsidRPr="00AA2E49" w:rsidRDefault="00AA2E49" w:rsidP="00C94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48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AA2E49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Limassol, Cyprus</w:t>
      </w:r>
      <w:r w:rsidR="00CD40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 – 28 </w:t>
      </w:r>
      <w:proofErr w:type="gramStart"/>
      <w:r w:rsidRPr="00AA2E4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April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  <w:proofErr w:type="gramEnd"/>
      <w:r w:rsidRPr="00AA2E4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2023. TCS Group Holding PLC (TCS) (the </w:t>
      </w:r>
      <w:r w:rsidRPr="00AA2E49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Group</w:t>
      </w:r>
      <w:r w:rsidRPr="00AA2E4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), a</w:t>
      </w:r>
      <w:r w:rsidR="00C94C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AA2E4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leading provider of online financial and lifestyle services, today</w:t>
      </w:r>
      <w:r w:rsidR="00C94C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AA2E4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announces the publication of its Annual Report for the year ended 31 December</w:t>
      </w:r>
      <w:r w:rsidR="00C94C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AA2E4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2022.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3DAAA00B" w14:textId="710109FE" w:rsidR="00AA2E49" w:rsidRPr="00AA2E49" w:rsidRDefault="00AA2E49" w:rsidP="00C94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48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AA2E4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copy of the Annual Report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2022</w:t>
      </w:r>
      <w:r w:rsidRPr="00AA2E4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has been submitted to the Financial Conduct</w:t>
      </w:r>
      <w:r w:rsidR="00C94C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AA2E4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Authority in the United Kingdom via the National Storage Mechanism and will be</w:t>
      </w:r>
      <w:r w:rsidR="00C94C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AA2E4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available for inspection shortly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AA2E4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at https://data.fca.org.uk/#/nsm/nationalstoragemechanism.</w:t>
      </w:r>
    </w:p>
    <w:p w14:paraId="5A73BA20" w14:textId="77777777" w:rsidR="00AA2E49" w:rsidRPr="00AA2E49" w:rsidRDefault="00AA2E49" w:rsidP="00C94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48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AA2E4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Annual Report will be also available on the Group's website.</w:t>
      </w:r>
    </w:p>
    <w:p w14:paraId="24B85583" w14:textId="77777777" w:rsidR="00AA2E49" w:rsidRPr="00AA2E49" w:rsidRDefault="00AA2E49" w:rsidP="00AA2E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4EB54E0B" w14:textId="77777777" w:rsidR="00AA2E49" w:rsidRPr="00AA2E49" w:rsidRDefault="00AA2E49" w:rsidP="00AA2E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A2E49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For enquiries:</w:t>
      </w:r>
    </w:p>
    <w:p w14:paraId="5E61FCE8" w14:textId="01E4EDC8" w:rsidR="00C94C78" w:rsidRDefault="00000000" w:rsidP="00AA2E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240" w:lineRule="auto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</w:pPr>
      <w:hyperlink r:id="rId6" w:history="1">
        <w:r w:rsidR="00C94C78" w:rsidRPr="002F03BB">
          <w:rPr>
            <w:rStyle w:val="Hyperlink"/>
            <w:rFonts w:ascii="Helvetica" w:eastAsia="Times New Roman" w:hAnsi="Helvetica" w:cs="Helvetica"/>
            <w:sz w:val="18"/>
            <w:szCs w:val="18"/>
            <w:lang w:eastAsia="en-GB"/>
          </w:rPr>
          <w:t>IR@tcsgh.com.cy</w:t>
        </w:r>
      </w:hyperlink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  <w:r w:rsidR="00C94C7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br/>
      </w:r>
    </w:p>
    <w:sectPr w:rsidR="00C94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66FA" w14:textId="77777777" w:rsidR="007104DD" w:rsidRDefault="007104DD" w:rsidP="00AA2E49">
      <w:pPr>
        <w:spacing w:after="0" w:line="240" w:lineRule="auto"/>
      </w:pPr>
      <w:r>
        <w:separator/>
      </w:r>
    </w:p>
  </w:endnote>
  <w:endnote w:type="continuationSeparator" w:id="0">
    <w:p w14:paraId="3FE410F6" w14:textId="77777777" w:rsidR="007104DD" w:rsidRDefault="007104DD" w:rsidP="00AA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921A" w14:textId="77777777" w:rsidR="00AA2E49" w:rsidRDefault="00AA2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E973" w14:textId="77777777" w:rsidR="00AA2E49" w:rsidRDefault="00AA2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0611" w14:textId="77777777" w:rsidR="00AA2E49" w:rsidRDefault="00AA2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41FE" w14:textId="77777777" w:rsidR="007104DD" w:rsidRDefault="007104DD" w:rsidP="00AA2E49">
      <w:pPr>
        <w:spacing w:after="0" w:line="240" w:lineRule="auto"/>
      </w:pPr>
      <w:r>
        <w:separator/>
      </w:r>
    </w:p>
  </w:footnote>
  <w:footnote w:type="continuationSeparator" w:id="0">
    <w:p w14:paraId="6B96CC8D" w14:textId="77777777" w:rsidR="007104DD" w:rsidRDefault="007104DD" w:rsidP="00AA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AE06" w14:textId="77777777" w:rsidR="00AA2E49" w:rsidRDefault="00AA2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24662"/>
      <w:docPartObj>
        <w:docPartGallery w:val="Watermarks"/>
        <w:docPartUnique/>
      </w:docPartObj>
    </w:sdtPr>
    <w:sdtContent>
      <w:p w14:paraId="423BAF3B" w14:textId="77777777" w:rsidR="00AA2E49" w:rsidRDefault="007104DD">
        <w:pPr>
          <w:pStyle w:val="Header"/>
        </w:pPr>
        <w:r>
          <w:rPr>
            <w:noProof/>
            <w:lang w:val="en-US"/>
          </w:rPr>
          <w:pict w14:anchorId="0BCA48B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40AA" w14:textId="77777777" w:rsidR="00AA2E49" w:rsidRDefault="00AA2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49"/>
    <w:rsid w:val="00031E53"/>
    <w:rsid w:val="00054C51"/>
    <w:rsid w:val="0007080F"/>
    <w:rsid w:val="001E5D85"/>
    <w:rsid w:val="00391094"/>
    <w:rsid w:val="005916A5"/>
    <w:rsid w:val="007104DD"/>
    <w:rsid w:val="00984885"/>
    <w:rsid w:val="00AA2E49"/>
    <w:rsid w:val="00C94C78"/>
    <w:rsid w:val="00CD40EB"/>
    <w:rsid w:val="00D60B21"/>
    <w:rsid w:val="00FC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B2C23"/>
  <w15:chartTrackingRefBased/>
  <w15:docId w15:val="{4B63DABB-B235-4B68-A2D5-FD0BCA44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2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A2E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E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2E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2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2E4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2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E49"/>
  </w:style>
  <w:style w:type="paragraph" w:styleId="Footer">
    <w:name w:val="footer"/>
    <w:basedOn w:val="Normal"/>
    <w:link w:val="FooterChar"/>
    <w:uiPriority w:val="99"/>
    <w:unhideWhenUsed/>
    <w:rsid w:val="00AA2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E49"/>
  </w:style>
  <w:style w:type="character" w:styleId="Hyperlink">
    <w:name w:val="Hyperlink"/>
    <w:basedOn w:val="DefaultParagraphFont"/>
    <w:uiPriority w:val="99"/>
    <w:unhideWhenUsed/>
    <w:rsid w:val="00CD4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4494">
          <w:marLeft w:val="336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766">
              <w:marLeft w:val="336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23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047227">
              <w:marLeft w:val="3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@tcsgh.com.c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Tinkoff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Owen</dc:creator>
  <cp:keywords/>
  <dc:description/>
  <cp:lastModifiedBy>Alexander Beburov</cp:lastModifiedBy>
  <cp:revision>7</cp:revision>
  <dcterms:created xsi:type="dcterms:W3CDTF">2023-04-27T07:53:00Z</dcterms:created>
  <dcterms:modified xsi:type="dcterms:W3CDTF">2023-04-28T20:05:00Z</dcterms:modified>
</cp:coreProperties>
</file>