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1E37" w14:textId="72EB5052" w:rsidR="008B3908" w:rsidRDefault="008B3908" w:rsidP="008B3908">
      <w:pPr>
        <w:pStyle w:val="NormalWeb"/>
        <w:spacing w:before="0" w:beforeAutospacing="0" w:after="0" w:afterAutospacing="0"/>
        <w:rPr>
          <w:rFonts w:asciiTheme="minorHAnsi" w:hAnsiTheme="minorHAnsi" w:cs="Arial"/>
          <w:color w:val="16202C"/>
          <w:sz w:val="48"/>
          <w:szCs w:val="48"/>
          <w:lang w:val="en-US"/>
        </w:rPr>
      </w:pPr>
      <w:r w:rsidRPr="00FE3BE4">
        <w:rPr>
          <w:rFonts w:asciiTheme="minorHAnsi" w:hAnsiTheme="minorHAnsi" w:cs="Arial"/>
          <w:color w:val="16202C"/>
          <w:sz w:val="48"/>
          <w:szCs w:val="48"/>
          <w:lang w:val="en-US"/>
        </w:rPr>
        <w:t>TCS Group Holding PLC:</w:t>
      </w:r>
      <w:r w:rsidR="008B7CA9">
        <w:rPr>
          <w:rFonts w:asciiTheme="minorHAnsi" w:hAnsiTheme="minorHAnsi" w:cs="Arial"/>
          <w:color w:val="16202C"/>
          <w:sz w:val="48"/>
          <w:szCs w:val="48"/>
          <w:lang w:val="en-US"/>
        </w:rPr>
        <w:t xml:space="preserve"> </w:t>
      </w:r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>changes to the composition of the Board and its Committees</w:t>
      </w:r>
    </w:p>
    <w:p w14:paraId="1831265C" w14:textId="77777777" w:rsidR="00002411" w:rsidRPr="00FE3BE4" w:rsidRDefault="00002411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16202C"/>
          <w:sz w:val="48"/>
          <w:szCs w:val="48"/>
          <w:lang w:val="en-US"/>
        </w:rPr>
      </w:pPr>
    </w:p>
    <w:p w14:paraId="042BA79C" w14:textId="77777777" w:rsidR="008B3908" w:rsidRPr="008B3908" w:rsidRDefault="008B3908" w:rsidP="008123E2">
      <w:pPr>
        <w:pStyle w:val="NormalWeb"/>
        <w:spacing w:before="0" w:beforeAutospacing="0" w:after="0" w:afterAutospacing="0" w:line="240" w:lineRule="atLeast"/>
        <w:jc w:val="both"/>
        <w:rPr>
          <w:color w:val="16202C"/>
          <w:sz w:val="21"/>
          <w:szCs w:val="21"/>
          <w:lang w:val="en-US"/>
        </w:rPr>
      </w:pPr>
      <w:r w:rsidRPr="008B3908">
        <w:rPr>
          <w:rFonts w:ascii="Arial" w:hAnsi="Arial" w:cs="Arial"/>
          <w:color w:val="C00000"/>
          <w:lang w:val="en-US"/>
        </w:rPr>
        <w:t> </w:t>
      </w:r>
    </w:p>
    <w:p w14:paraId="4F016169" w14:textId="0D966CD0" w:rsidR="006D3E93" w:rsidRDefault="008B3908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 w:rsidRPr="00FE3BE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L</w:t>
      </w:r>
      <w:r w:rsidR="005432FA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imasso</w:t>
      </w:r>
      <w:r w:rsidR="008B7CA9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l, Cyprus – </w:t>
      </w:r>
      <w:r w:rsidR="00EE6208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22</w:t>
      </w:r>
      <w:r w:rsidR="006D3E93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 xml:space="preserve"> September</w:t>
      </w:r>
      <w:r w:rsidR="00002411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 xml:space="preserve"> 2023</w:t>
      </w:r>
      <w:r w:rsidRPr="00FE3BE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.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 TCS Group Holding PLC (TCS LI) (the "Group"), </w:t>
      </w:r>
      <w:r w:rsidR="00CC1ADB">
        <w:rPr>
          <w:rFonts w:asciiTheme="minorHAnsi" w:hAnsiTheme="minorHAnsi" w:cs="Arial"/>
          <w:color w:val="16202C"/>
          <w:sz w:val="22"/>
          <w:szCs w:val="22"/>
          <w:lang w:val="en-US"/>
        </w:rPr>
        <w:t>a</w:t>
      </w:r>
      <w:r w:rsidR="00CC1ADB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 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leading provider of financial and lifestyle services via its </w:t>
      </w:r>
      <w:r w:rsidR="00CC1ADB">
        <w:rPr>
          <w:rFonts w:asciiTheme="minorHAnsi" w:hAnsiTheme="minorHAnsi" w:cs="Arial"/>
          <w:color w:val="16202C"/>
          <w:sz w:val="22"/>
          <w:szCs w:val="22"/>
          <w:lang w:val="en-US"/>
        </w:rPr>
        <w:t>digital</w:t>
      </w:r>
      <w:r w:rsidR="00CC1ADB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 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ecosystem,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 is pleased to announce that </w:t>
      </w:r>
      <w:r w:rsidR="008123E2">
        <w:rPr>
          <w:rFonts w:asciiTheme="minorHAnsi" w:hAnsiTheme="minorHAnsi" w:cs="Arial"/>
          <w:color w:val="333333"/>
          <w:sz w:val="22"/>
          <w:szCs w:val="22"/>
          <w:lang w:val="en-US"/>
        </w:rPr>
        <w:t>Mrs.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Tatiana Kouznetsova, Mr</w:t>
      </w:r>
      <w:r w:rsidR="008123E2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Vitaly Pyltsov and Mr</w:t>
      </w:r>
      <w:r w:rsidR="008123E2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Dmitry Trembovolsky have </w:t>
      </w:r>
      <w:r w:rsidR="006D3E93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agre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>ed</w:t>
      </w:r>
      <w:r w:rsidR="006D3E93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to 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>jo</w:t>
      </w: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in the Board of Directors of the Company, 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each </w:t>
      </w: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serving as a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>n independent</w:t>
      </w: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non-execu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>tive Directo</w:t>
      </w:r>
      <w:r w:rsidR="008B7CA9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r, with effect 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>from close of business today</w:t>
      </w: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</w:p>
    <w:p w14:paraId="20EBA21F" w14:textId="77777777" w:rsidR="006D3E93" w:rsidRDefault="006D3E93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178E508D" w14:textId="60A2EE56" w:rsidR="000F3135" w:rsidRDefault="006D3E93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I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>n addition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>at the same time</w:t>
      </w:r>
      <w:r w:rsidR="00483021">
        <w:rPr>
          <w:rFonts w:asciiTheme="minorHAnsi" w:hAnsiTheme="minorHAnsi" w:cs="Arial"/>
          <w:color w:val="333333"/>
          <w:sz w:val="22"/>
          <w:szCs w:val="22"/>
          <w:lang w:val="en-US"/>
        </w:rPr>
        <w:t>,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Mrs</w:t>
      </w:r>
      <w:r w:rsidR="008123E2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Kouznetsova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8B2F60">
        <w:rPr>
          <w:rFonts w:asciiTheme="minorHAnsi" w:hAnsiTheme="minorHAnsi" w:cs="Arial"/>
          <w:color w:val="333333"/>
          <w:sz w:val="22"/>
          <w:szCs w:val="22"/>
          <w:lang w:val="en-US"/>
        </w:rPr>
        <w:t>join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s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the Remuneration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and Sustainability Committees, Mr</w:t>
      </w:r>
      <w:r w:rsidR="008123E2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Pyltsov joins 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the Remuneration Committee,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a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>s well as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the Audit Committee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which he will chair</w:t>
      </w:r>
      <w:r w:rsidR="00AD5D1A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from 1 January 2024,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and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Mr</w:t>
      </w:r>
      <w:r w:rsidR="008123E2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Trembovolsky will join the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Audit and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>Strategy Committee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>s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of the Board.</w:t>
      </w:r>
      <w:r w:rsidR="000D72AF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>There are no other changes to the current composition of or roles in the Committees.</w:t>
      </w:r>
    </w:p>
    <w:p w14:paraId="3E0F3DAC" w14:textId="77777777" w:rsidR="000F3135" w:rsidRDefault="000F3135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27CA8564" w14:textId="49B4F45C" w:rsidR="008B3908" w:rsidRDefault="000D72AF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All three will stand for re-election at the Company’s 2023 AGM.</w:t>
      </w:r>
    </w:p>
    <w:p w14:paraId="23B3CEEA" w14:textId="77777777" w:rsidR="000D72AF" w:rsidRDefault="000D72AF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35FEEAF1" w14:textId="659E48A9" w:rsidR="000D72AF" w:rsidRDefault="000D72AF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Mr</w:t>
      </w:r>
      <w:r w:rsidR="008123E2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Pyltsov currently serves as</w:t>
      </w:r>
      <w:r w:rsidR="004223C5" w:rsidRPr="008123E2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an independent non-executive Director</w:t>
      </w:r>
      <w:r w:rsidR="004223C5" w:rsidRPr="008123E2">
        <w:rPr>
          <w:rFonts w:asciiTheme="minorHAnsi" w:hAnsiTheme="minorHAnsi" w:cs="Arial"/>
          <w:color w:val="FF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of Etalon Group plc and </w:t>
      </w:r>
      <w:r w:rsidR="00AD5D1A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of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>Renaissance Insurance Group.</w:t>
      </w:r>
      <w:r w:rsidR="004223C5" w:rsidRPr="008123E2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</w:p>
    <w:p w14:paraId="7FA349DF" w14:textId="77777777" w:rsidR="008123E2" w:rsidRPr="004223C5" w:rsidRDefault="008123E2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7A7DABA8" w14:textId="4E713101" w:rsidR="003D4562" w:rsidRPr="00FE3BE4" w:rsidRDefault="000D72AF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Except as disclosed, t</w:t>
      </w:r>
      <w:r w:rsidR="003D4562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here are no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3D4562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matters requiring disclosure pursuant to Listing Rule 9.6.13.</w:t>
      </w:r>
    </w:p>
    <w:p w14:paraId="422F5440" w14:textId="77777777" w:rsidR="00FE3BE4" w:rsidRPr="00FE3BE4" w:rsidRDefault="00FE3BE4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2CBFFDC8" w14:textId="77777777" w:rsidR="00FE3BE4" w:rsidRPr="00FE3BE4" w:rsidRDefault="00FE3BE4" w:rsidP="008123E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22"/>
      </w:tblGrid>
      <w:tr w:rsidR="00FE3BE4" w:rsidRPr="00FE3BE4" w14:paraId="778EF23F" w14:textId="77777777" w:rsidTr="00FE3BE4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606" w14:textId="77777777" w:rsidR="00FE3BE4" w:rsidRPr="00FE3BE4" w:rsidRDefault="00FE3BE4" w:rsidP="008123E2">
            <w:pPr>
              <w:spacing w:before="120" w:after="240" w:line="259" w:lineRule="atLeast"/>
              <w:jc w:val="both"/>
              <w:rPr>
                <w:rFonts w:eastAsia="Times New Roman" w:cs="Times New Roman"/>
                <w:color w:val="16202C"/>
                <w:lang w:eastAsia="ru-RU"/>
              </w:rPr>
            </w:pPr>
            <w:r w:rsidRPr="00FE3BE4">
              <w:rPr>
                <w:rFonts w:eastAsia="Times New Roman" w:cs="Arial"/>
                <w:b/>
                <w:bCs/>
                <w:color w:val="16202C"/>
                <w:lang w:eastAsia="ru-RU"/>
              </w:rPr>
              <w:t>For enquiries:</w:t>
            </w:r>
          </w:p>
        </w:tc>
      </w:tr>
      <w:tr w:rsidR="00A05DE9" w:rsidRPr="009F2FA5" w14:paraId="57AFEEF0" w14:textId="77777777" w:rsidTr="00FE3BE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B968" w14:textId="5E0E6F6B" w:rsidR="00A05DE9" w:rsidRPr="00FE3BE4" w:rsidRDefault="000C14A8" w:rsidP="008123E2">
            <w:pPr>
              <w:spacing w:line="259" w:lineRule="atLeast"/>
              <w:jc w:val="both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6" w:history="1">
              <w:r w:rsidR="00A05DE9" w:rsidRPr="00221593">
                <w:rPr>
                  <w:rStyle w:val="Hyperlink"/>
                  <w:rFonts w:ascii="Arial" w:hAnsi="Arial" w:cs="Arial"/>
                  <w:b/>
                  <w:bCs/>
                  <w:color w:val="0563C1"/>
                </w:rPr>
                <w:t>IR@tcsgh.com.cy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4F3" w14:textId="497BB6B2" w:rsidR="00A05DE9" w:rsidRPr="00A05DE9" w:rsidRDefault="000C14A8" w:rsidP="008123E2">
            <w:pPr>
              <w:spacing w:line="259" w:lineRule="atLeast"/>
              <w:jc w:val="both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7" w:history="1"/>
          </w:p>
        </w:tc>
      </w:tr>
    </w:tbl>
    <w:p w14:paraId="136E6407" w14:textId="77777777" w:rsidR="00FE3BE4" w:rsidRPr="00FE3BE4" w:rsidRDefault="00FE3BE4" w:rsidP="008123E2">
      <w:pPr>
        <w:spacing w:line="259" w:lineRule="atLeast"/>
        <w:jc w:val="both"/>
        <w:rPr>
          <w:rFonts w:eastAsia="Times New Roman" w:cs="Times New Roman"/>
          <w:color w:val="16202C"/>
          <w:lang w:val="en-US" w:eastAsia="ru-RU"/>
        </w:rPr>
      </w:pPr>
      <w:r w:rsidRPr="00FE3BE4">
        <w:rPr>
          <w:rFonts w:eastAsia="Times New Roman" w:cs="Arial"/>
          <w:color w:val="16202C"/>
          <w:lang w:val="en-US" w:eastAsia="ru-RU"/>
        </w:rPr>
        <w:t> </w:t>
      </w:r>
    </w:p>
    <w:p w14:paraId="0D00172B" w14:textId="77777777" w:rsidR="00FE3BE4" w:rsidRPr="00FE3BE4" w:rsidRDefault="00FE3BE4" w:rsidP="008B3908">
      <w:pPr>
        <w:pStyle w:val="NormalWeb"/>
        <w:spacing w:before="0" w:beforeAutospacing="0" w:after="0" w:afterAutospacing="0"/>
        <w:rPr>
          <w:rFonts w:asciiTheme="minorHAnsi" w:hAnsiTheme="minorHAnsi"/>
          <w:color w:val="16202C"/>
          <w:sz w:val="22"/>
          <w:szCs w:val="22"/>
          <w:lang w:val="en-US"/>
        </w:rPr>
      </w:pPr>
    </w:p>
    <w:p w14:paraId="5785900E" w14:textId="77777777" w:rsidR="008B3908" w:rsidRPr="00FE3BE4" w:rsidRDefault="008B3908" w:rsidP="008B3908">
      <w:pPr>
        <w:pStyle w:val="NormalWeb"/>
        <w:spacing w:before="0" w:beforeAutospacing="0" w:after="0" w:afterAutospacing="0"/>
        <w:rPr>
          <w:rFonts w:asciiTheme="minorHAnsi" w:hAnsiTheme="minorHAnsi"/>
          <w:color w:val="16202C"/>
          <w:sz w:val="22"/>
          <w:szCs w:val="22"/>
          <w:lang w:val="en-US"/>
        </w:rPr>
      </w:pP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 </w:t>
      </w:r>
    </w:p>
    <w:p w14:paraId="39F45535" w14:textId="77777777" w:rsidR="000A4C7B" w:rsidRPr="008B3908" w:rsidRDefault="000A4C7B">
      <w:pPr>
        <w:rPr>
          <w:lang w:val="en-US"/>
        </w:rPr>
      </w:pPr>
    </w:p>
    <w:sectPr w:rsidR="000A4C7B" w:rsidRPr="008B390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02D4" w14:textId="77777777" w:rsidR="00DE43AF" w:rsidRDefault="00DE43AF" w:rsidP="00FE3BE4">
      <w:pPr>
        <w:spacing w:after="0" w:line="240" w:lineRule="auto"/>
      </w:pPr>
      <w:r>
        <w:separator/>
      </w:r>
    </w:p>
  </w:endnote>
  <w:endnote w:type="continuationSeparator" w:id="0">
    <w:p w14:paraId="366CF672" w14:textId="77777777" w:rsidR="00DE43AF" w:rsidRDefault="00DE43AF" w:rsidP="00F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5B85" w14:textId="77777777" w:rsidR="00DE43AF" w:rsidRDefault="00DE43AF" w:rsidP="00FE3BE4">
      <w:pPr>
        <w:spacing w:after="0" w:line="240" w:lineRule="auto"/>
      </w:pPr>
      <w:r>
        <w:separator/>
      </w:r>
    </w:p>
  </w:footnote>
  <w:footnote w:type="continuationSeparator" w:id="0">
    <w:p w14:paraId="1E69C902" w14:textId="77777777" w:rsidR="00DE43AF" w:rsidRDefault="00DE43AF" w:rsidP="00FE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1035" w14:textId="3B6ADE64" w:rsidR="00FE3BE4" w:rsidRDefault="00FE3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08"/>
    <w:rsid w:val="00002411"/>
    <w:rsid w:val="000A2F44"/>
    <w:rsid w:val="000A4C7B"/>
    <w:rsid w:val="000C14A8"/>
    <w:rsid w:val="000D079D"/>
    <w:rsid w:val="000D72AF"/>
    <w:rsid w:val="000F3135"/>
    <w:rsid w:val="00186E0D"/>
    <w:rsid w:val="001B31C5"/>
    <w:rsid w:val="00277636"/>
    <w:rsid w:val="003D3AA2"/>
    <w:rsid w:val="003D3AF2"/>
    <w:rsid w:val="003D4562"/>
    <w:rsid w:val="003D52A6"/>
    <w:rsid w:val="004223C5"/>
    <w:rsid w:val="00426367"/>
    <w:rsid w:val="00483021"/>
    <w:rsid w:val="005432FA"/>
    <w:rsid w:val="00645459"/>
    <w:rsid w:val="006D3E93"/>
    <w:rsid w:val="006E7630"/>
    <w:rsid w:val="007E5B2B"/>
    <w:rsid w:val="008123E2"/>
    <w:rsid w:val="008B2F60"/>
    <w:rsid w:val="008B3908"/>
    <w:rsid w:val="008B7CA9"/>
    <w:rsid w:val="008E395D"/>
    <w:rsid w:val="00971B88"/>
    <w:rsid w:val="009D5A41"/>
    <w:rsid w:val="009D6B2E"/>
    <w:rsid w:val="009F2FA5"/>
    <w:rsid w:val="00A05DE9"/>
    <w:rsid w:val="00AD5D1A"/>
    <w:rsid w:val="00BD2CC3"/>
    <w:rsid w:val="00C473FC"/>
    <w:rsid w:val="00CC1ADB"/>
    <w:rsid w:val="00CF047A"/>
    <w:rsid w:val="00CF0772"/>
    <w:rsid w:val="00DE43AF"/>
    <w:rsid w:val="00DF08C0"/>
    <w:rsid w:val="00E27B39"/>
    <w:rsid w:val="00E735E4"/>
    <w:rsid w:val="00EA09B4"/>
    <w:rsid w:val="00EE6208"/>
    <w:rsid w:val="00F25646"/>
    <w:rsid w:val="00FE3BE4"/>
    <w:rsid w:val="00FE5B22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D20B8"/>
  <w15:chartTrackingRefBased/>
  <w15:docId w15:val="{0758E75A-DEFC-4AEB-A6BA-E2865C9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FE3B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E4"/>
  </w:style>
  <w:style w:type="paragraph" w:styleId="Footer">
    <w:name w:val="footer"/>
    <w:basedOn w:val="Normal"/>
    <w:link w:val="Foot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E4"/>
  </w:style>
  <w:style w:type="character" w:styleId="UnresolvedMention">
    <w:name w:val="Unresolved Mention"/>
    <w:basedOn w:val="DefaultParagraphFont"/>
    <w:uiPriority w:val="99"/>
    <w:semiHidden/>
    <w:unhideWhenUsed/>
    <w:rsid w:val="00A05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D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1A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@tcsgh.com.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@tcsgh.com.c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Chris</dc:creator>
  <cp:keywords/>
  <dc:description/>
  <cp:lastModifiedBy>Alexander Beburov</cp:lastModifiedBy>
  <cp:revision>2</cp:revision>
  <dcterms:created xsi:type="dcterms:W3CDTF">2023-09-22T11:09:00Z</dcterms:created>
  <dcterms:modified xsi:type="dcterms:W3CDTF">2023-09-22T11:09:00Z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2461f274bc27c44a99857a869ef02a6181948f46b7ca0365e91e817bccb7a0bb</vt:lpwstr>
  </property>
</Properties>
</file>