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404D" w14:textId="67801267" w:rsidR="0047587F" w:rsidRPr="00833775" w:rsidRDefault="00AD7066" w:rsidP="00AD7066">
      <w:pPr>
        <w:tabs>
          <w:tab w:val="right" w:pos="9475"/>
        </w:tabs>
        <w:spacing w:line="254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8 August </w:t>
      </w:r>
      <w:r w:rsidR="0047587F" w:rsidRPr="00F20643">
        <w:rPr>
          <w:rFonts w:ascii="Calibri" w:eastAsia="Times New Roman" w:hAnsi="Calibri" w:cs="Calibri"/>
          <w:color w:val="000000"/>
          <w:lang w:eastAsia="en-GB"/>
        </w:rPr>
        <w:t>202</w:t>
      </w:r>
      <w:r w:rsidR="001879C7" w:rsidRPr="00F20643">
        <w:rPr>
          <w:rFonts w:ascii="Calibri" w:eastAsia="Times New Roman" w:hAnsi="Calibri" w:cs="Calibri"/>
          <w:color w:val="000000"/>
          <w:lang w:eastAsia="en-GB"/>
        </w:rPr>
        <w:t>2</w:t>
      </w:r>
      <w:r w:rsidR="0070677A">
        <w:rPr>
          <w:rFonts w:ascii="Calibri" w:eastAsia="Times New Roman" w:hAnsi="Calibri" w:cs="Calibri"/>
          <w:color w:val="000000"/>
          <w:lang w:eastAsia="en-GB"/>
        </w:rPr>
        <w:tab/>
      </w:r>
    </w:p>
    <w:p w14:paraId="09778BD7" w14:textId="40330423" w:rsidR="0047587F" w:rsidRDefault="009F382C" w:rsidP="0047587F">
      <w:pPr>
        <w:shd w:val="clear" w:color="auto" w:fill="FFFFFF"/>
        <w:spacing w:line="254" w:lineRule="atLeast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ESSENTRA PLC</w:t>
      </w:r>
    </w:p>
    <w:p w14:paraId="65C1A759" w14:textId="31182BE2" w:rsidR="009F382C" w:rsidRDefault="009F382C" w:rsidP="0047587F">
      <w:pPr>
        <w:shd w:val="clear" w:color="auto" w:fill="FFFFFF"/>
        <w:spacing w:line="254" w:lineRule="atLeast"/>
        <w:jc w:val="center"/>
        <w:rPr>
          <w:b/>
          <w:i/>
        </w:rPr>
      </w:pPr>
      <w:r w:rsidRPr="009F382C">
        <w:rPr>
          <w:b/>
          <w:i/>
        </w:rPr>
        <w:t>A leading global provider of essential components and solutions</w:t>
      </w:r>
    </w:p>
    <w:p w14:paraId="3DF81CD5" w14:textId="77777777" w:rsidR="003B59E4" w:rsidRPr="009F382C" w:rsidRDefault="003B59E4" w:rsidP="0047587F">
      <w:pPr>
        <w:shd w:val="clear" w:color="auto" w:fill="FFFFFF"/>
        <w:spacing w:line="25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lang w:eastAsia="en-GB"/>
        </w:rPr>
      </w:pPr>
    </w:p>
    <w:p w14:paraId="4A3C5D9E" w14:textId="1F80B539" w:rsidR="0047587F" w:rsidRPr="009F382C" w:rsidRDefault="00B075D7" w:rsidP="0047587F">
      <w:pPr>
        <w:shd w:val="clear" w:color="auto" w:fill="FFFFFF"/>
        <w:spacing w:line="254" w:lineRule="atLeast"/>
        <w:jc w:val="center"/>
        <w:rPr>
          <w:rFonts w:ascii="Calibri" w:eastAsia="Times New Roman" w:hAnsi="Calibri" w:cs="Calibri"/>
          <w:b/>
          <w:bCs/>
          <w:caps/>
          <w:color w:val="000000"/>
          <w:lang w:eastAsia="en-GB"/>
        </w:rPr>
      </w:pPr>
      <w:r w:rsidRPr="009F382C">
        <w:rPr>
          <w:rFonts w:ascii="Calibri" w:eastAsia="Times New Roman" w:hAnsi="Calibri" w:cs="Calibri"/>
          <w:b/>
          <w:bCs/>
          <w:caps/>
          <w:color w:val="000000"/>
          <w:lang w:eastAsia="en-GB"/>
        </w:rPr>
        <w:t xml:space="preserve">Results of </w:t>
      </w:r>
      <w:r w:rsidR="0047587F" w:rsidRPr="009F382C">
        <w:rPr>
          <w:rFonts w:ascii="Calibri" w:eastAsia="Times New Roman" w:hAnsi="Calibri" w:cs="Calibri"/>
          <w:b/>
          <w:bCs/>
          <w:caps/>
          <w:color w:val="000000"/>
          <w:lang w:eastAsia="en-GB"/>
        </w:rPr>
        <w:t>General Meeting</w:t>
      </w:r>
    </w:p>
    <w:p w14:paraId="088365D0" w14:textId="77777777" w:rsidR="00945865" w:rsidRPr="00833775" w:rsidRDefault="00945865" w:rsidP="0047587F">
      <w:pPr>
        <w:shd w:val="clear" w:color="auto" w:fill="FFFFFF"/>
        <w:spacing w:line="254" w:lineRule="atLeast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8E05E2E" w14:textId="4EE8C5EC" w:rsidR="0047587F" w:rsidRDefault="00783CAD" w:rsidP="003B59E4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Further to the announcement on 15 July 2022 by Essentra plc (</w:t>
      </w:r>
      <w:r w:rsidRPr="00783CAD">
        <w:rPr>
          <w:rFonts w:ascii="Calibri" w:eastAsia="Times New Roman" w:hAnsi="Calibri" w:cs="Calibri"/>
          <w:color w:val="000000"/>
          <w:lang w:eastAsia="en-GB"/>
        </w:rPr>
        <w:t xml:space="preserve">the "Company") regarding </w:t>
      </w:r>
      <w:r w:rsidR="002F5C55">
        <w:rPr>
          <w:rFonts w:ascii="Calibri" w:eastAsia="Times New Roman" w:hAnsi="Calibri" w:cs="Calibri"/>
          <w:color w:val="000000"/>
          <w:lang w:eastAsia="en-GB"/>
        </w:rPr>
        <w:t>the publication of a shareholder circular relating to t</w:t>
      </w:r>
      <w:r w:rsidR="002F5C55" w:rsidRPr="00783CAD">
        <w:rPr>
          <w:rFonts w:ascii="Calibri" w:eastAsia="Times New Roman" w:hAnsi="Calibri" w:cs="Calibri"/>
          <w:color w:val="000000"/>
          <w:lang w:eastAsia="en-GB"/>
        </w:rPr>
        <w:t>he proposed disposal of ESNT Packaging &amp; Securing Solutions Limited and Essentra Packaging US Inc and their respective subsidiary companies to the Mayr-Melnhof Group (the “Disposal”)</w:t>
      </w:r>
      <w:r w:rsidR="002F5C55">
        <w:rPr>
          <w:rFonts w:ascii="Calibri" w:eastAsia="Times New Roman" w:hAnsi="Calibri" w:cs="Calibri"/>
          <w:color w:val="000000"/>
          <w:lang w:eastAsia="en-GB"/>
        </w:rPr>
        <w:t xml:space="preserve">, </w:t>
      </w:r>
      <w:r>
        <w:rPr>
          <w:rFonts w:ascii="Calibri" w:eastAsia="Times New Roman" w:hAnsi="Calibri" w:cs="Calibri"/>
          <w:color w:val="000000"/>
          <w:lang w:eastAsia="en-GB"/>
        </w:rPr>
        <w:t>the Company is</w:t>
      </w:r>
      <w:r w:rsidR="0047587F" w:rsidRPr="00833775">
        <w:rPr>
          <w:rFonts w:ascii="Calibri" w:eastAsia="Times New Roman" w:hAnsi="Calibri" w:cs="Calibri"/>
          <w:color w:val="000000"/>
          <w:lang w:eastAsia="en-GB"/>
        </w:rPr>
        <w:t xml:space="preserve"> pleased to an</w:t>
      </w:r>
      <w:r w:rsidR="00AD7066">
        <w:rPr>
          <w:rFonts w:ascii="Calibri" w:eastAsia="Times New Roman" w:hAnsi="Calibri" w:cs="Calibri"/>
          <w:color w:val="000000"/>
          <w:lang w:eastAsia="en-GB"/>
        </w:rPr>
        <w:t xml:space="preserve">nounce that at a general meeting </w:t>
      </w:r>
      <w:r w:rsidR="004D14A2">
        <w:rPr>
          <w:rFonts w:ascii="Calibri" w:eastAsia="Times New Roman" w:hAnsi="Calibri" w:cs="Calibri"/>
          <w:color w:val="000000"/>
          <w:lang w:eastAsia="en-GB"/>
        </w:rPr>
        <w:t>held earlier today, an ordinary</w:t>
      </w:r>
      <w:r w:rsidR="00AD7066">
        <w:rPr>
          <w:rFonts w:ascii="Calibri" w:eastAsia="Times New Roman" w:hAnsi="Calibri" w:cs="Calibri"/>
          <w:color w:val="000000"/>
          <w:lang w:eastAsia="en-GB"/>
        </w:rPr>
        <w:t xml:space="preserve"> resolution</w:t>
      </w:r>
      <w:r w:rsidR="00B075D7">
        <w:rPr>
          <w:rFonts w:ascii="Calibri" w:eastAsia="Times New Roman" w:hAnsi="Calibri" w:cs="Calibri"/>
          <w:color w:val="000000"/>
          <w:lang w:eastAsia="en-GB"/>
        </w:rPr>
        <w:t xml:space="preserve"> to approve </w:t>
      </w:r>
      <w:r w:rsidR="002F5C55">
        <w:rPr>
          <w:rFonts w:ascii="Calibri" w:eastAsia="Times New Roman" w:hAnsi="Calibri" w:cs="Calibri"/>
          <w:color w:val="000000"/>
          <w:lang w:eastAsia="en-GB"/>
        </w:rPr>
        <w:t>the Disposal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AD7066">
        <w:rPr>
          <w:rFonts w:ascii="Calibri" w:eastAsia="Times New Roman" w:hAnsi="Calibri" w:cs="Calibri"/>
          <w:color w:val="000000"/>
          <w:lang w:eastAsia="en-GB"/>
        </w:rPr>
        <w:t xml:space="preserve">was duly </w:t>
      </w:r>
      <w:r w:rsidR="004D14A2">
        <w:rPr>
          <w:rFonts w:ascii="Calibri" w:eastAsia="Times New Roman" w:hAnsi="Calibri" w:cs="Calibri"/>
          <w:color w:val="000000"/>
          <w:lang w:eastAsia="en-GB"/>
        </w:rPr>
        <w:t>passed by the Company’s s</w:t>
      </w:r>
      <w:r w:rsidR="0047587F" w:rsidRPr="00833775">
        <w:rPr>
          <w:rFonts w:ascii="Calibri" w:eastAsia="Times New Roman" w:hAnsi="Calibri" w:cs="Calibri"/>
          <w:color w:val="000000"/>
          <w:lang w:eastAsia="en-GB"/>
        </w:rPr>
        <w:t>hareholders.</w:t>
      </w:r>
      <w:r w:rsidR="00B075D7">
        <w:rPr>
          <w:rFonts w:ascii="Calibri" w:eastAsia="Times New Roman" w:hAnsi="Calibri" w:cs="Calibri"/>
          <w:color w:val="000000"/>
          <w:lang w:eastAsia="en-GB"/>
        </w:rPr>
        <w:t xml:space="preserve"> The results of the vote</w:t>
      </w:r>
      <w:r w:rsidR="00B075D7" w:rsidRPr="00B075D7">
        <w:rPr>
          <w:rFonts w:ascii="Calibri" w:eastAsia="Times New Roman" w:hAnsi="Calibri" w:cs="Calibri"/>
          <w:color w:val="000000"/>
          <w:lang w:eastAsia="en-GB"/>
        </w:rPr>
        <w:t xml:space="preserve"> are shown in the table below and will also be available on the Company’s website.</w:t>
      </w:r>
    </w:p>
    <w:p w14:paraId="5A2027DE" w14:textId="77777777" w:rsidR="00423B6E" w:rsidRDefault="00423B6E" w:rsidP="00D53A5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W w:w="9934" w:type="dxa"/>
        <w:tblInd w:w="-572" w:type="dxa"/>
        <w:tblLook w:val="04A0" w:firstRow="1" w:lastRow="0" w:firstColumn="1" w:lastColumn="0" w:noHBand="0" w:noVBand="1"/>
      </w:tblPr>
      <w:tblGrid>
        <w:gridCol w:w="2054"/>
        <w:gridCol w:w="1251"/>
        <w:gridCol w:w="917"/>
        <w:gridCol w:w="1229"/>
        <w:gridCol w:w="714"/>
        <w:gridCol w:w="1548"/>
        <w:gridCol w:w="1146"/>
        <w:gridCol w:w="1075"/>
      </w:tblGrid>
      <w:tr w:rsidR="00AD7066" w:rsidRPr="00C66642" w14:paraId="2B6FF1E4" w14:textId="77777777" w:rsidTr="00AD7066">
        <w:tc>
          <w:tcPr>
            <w:tcW w:w="2054" w:type="dxa"/>
          </w:tcPr>
          <w:p w14:paraId="1C25AC9A" w14:textId="1D7D82D7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Resolution</w:t>
            </w:r>
          </w:p>
        </w:tc>
        <w:tc>
          <w:tcPr>
            <w:tcW w:w="2168" w:type="dxa"/>
            <w:gridSpan w:val="2"/>
          </w:tcPr>
          <w:p w14:paraId="7DE6B6A3" w14:textId="77777777" w:rsidR="00AD7066" w:rsidRPr="00C66642" w:rsidRDefault="00AD7066" w:rsidP="00D53A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Votes For</w:t>
            </w:r>
          </w:p>
          <w:p w14:paraId="07EAED3C" w14:textId="13F9794E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(Including discretionary votes)</w:t>
            </w:r>
          </w:p>
        </w:tc>
        <w:tc>
          <w:tcPr>
            <w:tcW w:w="1943" w:type="dxa"/>
            <w:gridSpan w:val="2"/>
          </w:tcPr>
          <w:p w14:paraId="23054FA0" w14:textId="1DB1C0AF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Votes Against</w:t>
            </w:r>
          </w:p>
        </w:tc>
        <w:tc>
          <w:tcPr>
            <w:tcW w:w="2694" w:type="dxa"/>
            <w:gridSpan w:val="2"/>
          </w:tcPr>
          <w:p w14:paraId="59D6CDE1" w14:textId="77777777" w:rsidR="00AD7066" w:rsidRPr="00C66642" w:rsidRDefault="00AD7066" w:rsidP="00D53A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Total Votes Cast</w:t>
            </w:r>
          </w:p>
          <w:p w14:paraId="4696EF1D" w14:textId="33A2EF4B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(Excluding votes withheld)</w:t>
            </w:r>
          </w:p>
        </w:tc>
        <w:tc>
          <w:tcPr>
            <w:tcW w:w="1075" w:type="dxa"/>
          </w:tcPr>
          <w:p w14:paraId="276010C4" w14:textId="5C2C5739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Votes Withheld</w:t>
            </w:r>
          </w:p>
        </w:tc>
      </w:tr>
      <w:tr w:rsidR="00AD7066" w:rsidRPr="00C66642" w14:paraId="55FEFC16" w14:textId="77777777" w:rsidTr="00AD7066">
        <w:tc>
          <w:tcPr>
            <w:tcW w:w="2054" w:type="dxa"/>
            <w:shd w:val="clear" w:color="auto" w:fill="auto"/>
          </w:tcPr>
          <w:p w14:paraId="02AFF54D" w14:textId="77777777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51" w:type="dxa"/>
          </w:tcPr>
          <w:p w14:paraId="3362322A" w14:textId="432AC559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Number of shares</w:t>
            </w:r>
          </w:p>
        </w:tc>
        <w:tc>
          <w:tcPr>
            <w:tcW w:w="917" w:type="dxa"/>
          </w:tcPr>
          <w:p w14:paraId="592B3428" w14:textId="02B873AF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229" w:type="dxa"/>
          </w:tcPr>
          <w:p w14:paraId="697CCB3E" w14:textId="0CC089B5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Number of shares</w:t>
            </w:r>
          </w:p>
        </w:tc>
        <w:tc>
          <w:tcPr>
            <w:tcW w:w="714" w:type="dxa"/>
          </w:tcPr>
          <w:p w14:paraId="738DF079" w14:textId="58991911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</w:tc>
        <w:tc>
          <w:tcPr>
            <w:tcW w:w="1548" w:type="dxa"/>
          </w:tcPr>
          <w:p w14:paraId="274F41D4" w14:textId="784BCE88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Number of shares</w:t>
            </w:r>
          </w:p>
        </w:tc>
        <w:tc>
          <w:tcPr>
            <w:tcW w:w="1146" w:type="dxa"/>
          </w:tcPr>
          <w:p w14:paraId="269D1CD6" w14:textId="43E72A07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% of relevant shares in issue</w:t>
            </w:r>
          </w:p>
        </w:tc>
        <w:tc>
          <w:tcPr>
            <w:tcW w:w="1075" w:type="dxa"/>
          </w:tcPr>
          <w:p w14:paraId="746807C5" w14:textId="1D24C683" w:rsidR="00AD7066" w:rsidRPr="00C66642" w:rsidRDefault="00AD7066" w:rsidP="00D53A5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666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Number of shares</w:t>
            </w:r>
          </w:p>
        </w:tc>
      </w:tr>
      <w:tr w:rsidR="00AD7066" w:rsidRPr="00F20643" w14:paraId="67A4017E" w14:textId="77777777" w:rsidTr="00AD7066">
        <w:tc>
          <w:tcPr>
            <w:tcW w:w="2054" w:type="dxa"/>
            <w:shd w:val="clear" w:color="auto" w:fill="auto"/>
          </w:tcPr>
          <w:p w14:paraId="228DDE99" w14:textId="0BE7CAC4" w:rsidR="00AD7066" w:rsidRPr="00F20643" w:rsidRDefault="00AD7066" w:rsidP="00D53A5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To approve the </w:t>
            </w:r>
            <w:r w:rsidR="00B075D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Disposal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6960" w14:textId="6ABC112E" w:rsidR="00AD7066" w:rsidRPr="00F20643" w:rsidRDefault="003562AC" w:rsidP="00D53A5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6</w:t>
            </w:r>
            <w:r w:rsidR="00205651">
              <w:rPr>
                <w:rFonts w:eastAsia="Times New Roman"/>
                <w:sz w:val="18"/>
                <w:szCs w:val="18"/>
                <w:lang w:eastAsia="en-GB"/>
              </w:rPr>
              <w:t>2,138,033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60E4" w14:textId="6792BD5F" w:rsidR="00AD7066" w:rsidRPr="00F20643" w:rsidRDefault="003562AC" w:rsidP="00D53A5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9.9</w:t>
            </w:r>
            <w:r w:rsidR="00205651">
              <w:rPr>
                <w:rFonts w:eastAsia="Times New Roman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DC94" w14:textId="5104AB44" w:rsidR="00AD7066" w:rsidRPr="00F20643" w:rsidRDefault="00D21B94" w:rsidP="00D53A5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0,662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D3C3" w14:textId="4B1EB04B" w:rsidR="00AD7066" w:rsidRPr="00F20643" w:rsidRDefault="00D21B94" w:rsidP="00D53A5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.02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A9F2" w14:textId="3DEB8164" w:rsidR="00AD7066" w:rsidRPr="00F20643" w:rsidRDefault="00D21B94" w:rsidP="00D53A5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6</w:t>
            </w:r>
            <w:r w:rsidR="0081338D">
              <w:rPr>
                <w:rFonts w:eastAsia="Times New Roman"/>
                <w:sz w:val="18"/>
                <w:szCs w:val="18"/>
                <w:lang w:eastAsia="en-GB"/>
              </w:rPr>
              <w:t>2,188,695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750A" w14:textId="21B7B6A1" w:rsidR="00AD7066" w:rsidRPr="00F20643" w:rsidRDefault="00030102" w:rsidP="00D53A5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86.91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EF74" w14:textId="35CA267F" w:rsidR="00AD7066" w:rsidRPr="00F20643" w:rsidRDefault="00C76445" w:rsidP="00D53A5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0,335</w:t>
            </w:r>
          </w:p>
        </w:tc>
      </w:tr>
    </w:tbl>
    <w:p w14:paraId="71FBA258" w14:textId="77777777" w:rsidR="00DE5E59" w:rsidRPr="00F20643" w:rsidRDefault="00DE5E59" w:rsidP="00D53A5F">
      <w:pPr>
        <w:pStyle w:val="au"/>
        <w:spacing w:before="0" w:beforeAutospacing="0" w:after="0" w:afterAutospacing="0"/>
        <w:ind w:left="-567"/>
        <w:jc w:val="both"/>
        <w:rPr>
          <w:rStyle w:val="ar"/>
          <w:rFonts w:asciiTheme="minorHAnsi" w:hAnsiTheme="minorHAnsi" w:cstheme="minorHAnsi"/>
          <w:color w:val="000000"/>
          <w:sz w:val="22"/>
          <w:szCs w:val="22"/>
        </w:rPr>
      </w:pPr>
    </w:p>
    <w:p w14:paraId="754A684F" w14:textId="233DD04F" w:rsidR="005403DF" w:rsidRPr="00F20643" w:rsidRDefault="005403DF" w:rsidP="00D53A5F">
      <w:pPr>
        <w:pStyle w:val="au"/>
        <w:spacing w:before="0" w:beforeAutospacing="0" w:after="0" w:afterAutospacing="0"/>
        <w:ind w:left="-567"/>
        <w:jc w:val="both"/>
        <w:rPr>
          <w:rStyle w:val="ar"/>
          <w:rFonts w:asciiTheme="minorHAnsi" w:hAnsiTheme="minorHAnsi" w:cstheme="minorHAnsi"/>
          <w:color w:val="000000"/>
          <w:sz w:val="22"/>
          <w:szCs w:val="22"/>
        </w:rPr>
      </w:pPr>
      <w:r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The number of Ordinary Shares in issue at the close of business on </w:t>
      </w:r>
      <w:r w:rsidR="0035047D">
        <w:rPr>
          <w:rStyle w:val="ar"/>
          <w:rFonts w:asciiTheme="minorHAnsi" w:hAnsiTheme="minorHAnsi" w:cstheme="minorHAnsi"/>
          <w:color w:val="000000"/>
          <w:sz w:val="22"/>
          <w:szCs w:val="22"/>
        </w:rPr>
        <w:t>5</w:t>
      </w:r>
      <w:r w:rsidR="00AD7066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August</w:t>
      </w:r>
      <w:r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31128B"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>2</w:t>
      </w:r>
      <w:r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(excluding </w:t>
      </w:r>
      <w:r w:rsidR="00820763">
        <w:rPr>
          <w:rStyle w:val="ar"/>
          <w:rFonts w:asciiTheme="minorHAnsi" w:hAnsiTheme="minorHAnsi" w:cstheme="minorHAnsi"/>
          <w:color w:val="000000"/>
          <w:sz w:val="22"/>
          <w:szCs w:val="22"/>
        </w:rPr>
        <w:t>897,944</w:t>
      </w:r>
      <w:r w:rsidR="00DE5E59"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Treasury Shares) was </w:t>
      </w:r>
      <w:r w:rsidR="00412C59">
        <w:rPr>
          <w:rStyle w:val="ar"/>
          <w:rFonts w:asciiTheme="minorHAnsi" w:hAnsiTheme="minorHAnsi" w:cstheme="minorHAnsi"/>
          <w:color w:val="000000"/>
          <w:sz w:val="22"/>
          <w:szCs w:val="22"/>
        </w:rPr>
        <w:t>301</w:t>
      </w:r>
      <w:r w:rsidR="00820763">
        <w:rPr>
          <w:rStyle w:val="ar"/>
          <w:rFonts w:asciiTheme="minorHAnsi" w:hAnsiTheme="minorHAnsi" w:cstheme="minorHAnsi"/>
          <w:color w:val="000000"/>
          <w:sz w:val="22"/>
          <w:szCs w:val="22"/>
        </w:rPr>
        <w:t>,692,764</w:t>
      </w:r>
      <w:r w:rsidR="00DE5E59"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>.</w:t>
      </w:r>
      <w:r w:rsidR="00AD7066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C312DFA" w14:textId="77777777" w:rsidR="00DE5E59" w:rsidRPr="00F20643" w:rsidRDefault="00DE5E59" w:rsidP="00D53A5F">
      <w:pPr>
        <w:pStyle w:val="au"/>
        <w:spacing w:before="0" w:beforeAutospacing="0" w:after="0" w:afterAutospacing="0"/>
        <w:ind w:left="-567"/>
        <w:jc w:val="both"/>
        <w:rPr>
          <w:rStyle w:val="ar"/>
          <w:rFonts w:asciiTheme="minorHAnsi" w:hAnsiTheme="minorHAnsi" w:cstheme="minorHAnsi"/>
          <w:color w:val="000000"/>
          <w:sz w:val="22"/>
          <w:szCs w:val="22"/>
        </w:rPr>
      </w:pPr>
    </w:p>
    <w:p w14:paraId="2867381E" w14:textId="09BD23E1" w:rsidR="00FD18D3" w:rsidRPr="006C102D" w:rsidRDefault="00FD18D3" w:rsidP="00D53A5F">
      <w:pPr>
        <w:pStyle w:val="au"/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>Any vote that gave the Chairman discretion ha</w:t>
      </w:r>
      <w:r w:rsidR="00C66F25"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>s</w:t>
      </w:r>
      <w:r w:rsidRPr="00F20643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been included in the 'For' votes. A vote withheld</w:t>
      </w: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is not a vote in law and is not counted towards the votes cast 'For' or 'Against' a resolution.</w:t>
      </w:r>
      <w:r w:rsidR="00D53A5F">
        <w:rPr>
          <w:rStyle w:val="ar"/>
          <w:rFonts w:asciiTheme="minorHAnsi" w:hAnsiTheme="minorHAnsi" w:cstheme="minorHAnsi"/>
          <w:color w:val="000000"/>
          <w:sz w:val="22"/>
          <w:szCs w:val="22"/>
        </w:rPr>
        <w:t xml:space="preserve"> The resolution will shortly be available for inspection at the National Storage Mechanism document viewing facility at </w:t>
      </w:r>
      <w:hyperlink w:history="1">
        <w:r w:rsidR="00D53A5F">
          <w:rPr>
            <w:rStyle w:val="Hyperlink"/>
            <w:rFonts w:asciiTheme="minorHAnsi" w:hAnsiTheme="minorHAnsi" w:cstheme="minorHAnsi"/>
            <w:sz w:val="22"/>
            <w:szCs w:val="22"/>
          </w:rPr>
          <w:t>https://data.fca.org.uk/#/nsm/nationalstoragemechanism</w:t>
        </w:r>
      </w:hyperlink>
      <w:r w:rsidR="00950DB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AE09FCE" w14:textId="77777777" w:rsidR="00FD18D3" w:rsidRPr="006C102D" w:rsidRDefault="00FD18D3" w:rsidP="00D53A5F">
      <w:pPr>
        <w:pStyle w:val="au"/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102D">
        <w:rPr>
          <w:rStyle w:val="ar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19E66C0" w14:textId="2DD97CB9" w:rsidR="0047587F" w:rsidRDefault="00B075D7" w:rsidP="00D53A5F">
      <w:pPr>
        <w:shd w:val="clear" w:color="auto" w:fill="FFFFFF"/>
        <w:spacing w:line="254" w:lineRule="atLeast"/>
        <w:ind w:left="-567"/>
        <w:jc w:val="both"/>
        <w:rPr>
          <w:rStyle w:val="ar"/>
          <w:rFonts w:eastAsia="Times New Roman" w:cstheme="minorHAnsi"/>
          <w:color w:val="000000"/>
          <w:lang w:eastAsia="en-GB"/>
        </w:rPr>
      </w:pPr>
      <w:r w:rsidRPr="00B075D7">
        <w:rPr>
          <w:rStyle w:val="ar"/>
          <w:rFonts w:eastAsia="Times New Roman" w:cstheme="minorHAnsi"/>
          <w:color w:val="000000"/>
          <w:lang w:eastAsia="en-GB"/>
        </w:rPr>
        <w:t xml:space="preserve">The Board expects that, subject to the satisfaction and/or waiver (where applicable) of the other conditions precedent to the </w:t>
      </w:r>
      <w:r>
        <w:rPr>
          <w:rStyle w:val="ar"/>
          <w:rFonts w:eastAsia="Times New Roman" w:cstheme="minorHAnsi"/>
          <w:color w:val="000000"/>
          <w:lang w:eastAsia="en-GB"/>
        </w:rPr>
        <w:t>Disposal</w:t>
      </w:r>
      <w:r w:rsidRPr="00B075D7">
        <w:rPr>
          <w:rStyle w:val="ar"/>
          <w:rFonts w:eastAsia="Times New Roman" w:cstheme="minorHAnsi"/>
          <w:color w:val="000000"/>
          <w:lang w:eastAsia="en-GB"/>
        </w:rPr>
        <w:t>, completion will occu</w:t>
      </w:r>
      <w:r w:rsidR="00946F57">
        <w:rPr>
          <w:rStyle w:val="ar"/>
          <w:rFonts w:eastAsia="Times New Roman" w:cstheme="minorHAnsi"/>
          <w:color w:val="000000"/>
          <w:lang w:eastAsia="en-GB"/>
        </w:rPr>
        <w:t>r in the fourth quarter of the 2022</w:t>
      </w:r>
      <w:r w:rsidRPr="00B075D7">
        <w:rPr>
          <w:rStyle w:val="ar"/>
          <w:rFonts w:eastAsia="Times New Roman" w:cstheme="minorHAnsi"/>
          <w:color w:val="000000"/>
          <w:lang w:eastAsia="en-GB"/>
        </w:rPr>
        <w:t xml:space="preserve"> calendar year.</w:t>
      </w:r>
    </w:p>
    <w:p w14:paraId="7C10EC37" w14:textId="77777777" w:rsidR="003B59E4" w:rsidRDefault="003B59E4" w:rsidP="00D53A5F">
      <w:pPr>
        <w:shd w:val="clear" w:color="auto" w:fill="FFFFFF"/>
        <w:spacing w:line="254" w:lineRule="atLeast"/>
        <w:ind w:left="-567"/>
        <w:jc w:val="both"/>
        <w:rPr>
          <w:rStyle w:val="ar"/>
          <w:rFonts w:eastAsia="Times New Roman" w:cstheme="minorHAnsi"/>
          <w:color w:val="000000"/>
          <w:lang w:eastAsia="en-GB"/>
        </w:rPr>
      </w:pPr>
    </w:p>
    <w:p w14:paraId="3042FB88" w14:textId="77777777" w:rsidR="003B59E4" w:rsidRPr="006C102D" w:rsidRDefault="003B59E4" w:rsidP="00D53A5F">
      <w:pPr>
        <w:shd w:val="clear" w:color="auto" w:fill="FFFFFF"/>
        <w:spacing w:line="254" w:lineRule="atLeast"/>
        <w:ind w:left="-567"/>
        <w:jc w:val="both"/>
        <w:rPr>
          <w:rFonts w:eastAsia="Times New Roman" w:cstheme="minorHAnsi"/>
          <w:color w:val="000000"/>
          <w:lang w:eastAsia="en-GB"/>
        </w:rPr>
      </w:pPr>
    </w:p>
    <w:p w14:paraId="5BE91FBC" w14:textId="2D33BDAC" w:rsidR="004B2A96" w:rsidRDefault="00E93939" w:rsidP="6B8C3C73">
      <w:pPr>
        <w:shd w:val="clear" w:color="auto" w:fill="FFFFFF" w:themeFill="background1"/>
        <w:spacing w:after="0" w:line="240" w:lineRule="auto"/>
        <w:ind w:left="-567"/>
        <w:rPr>
          <w:rFonts w:eastAsia="Times New Roman"/>
          <w:color w:val="000000" w:themeColor="text1"/>
          <w:lang w:eastAsia="en-GB"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62"/>
      </w:tblGrid>
      <w:tr w:rsidR="003B59E4" w14:paraId="6C5EB573" w14:textId="77777777" w:rsidTr="003B59E4">
        <w:tc>
          <w:tcPr>
            <w:tcW w:w="5103" w:type="dxa"/>
          </w:tcPr>
          <w:p w14:paraId="7F3AA4E1" w14:textId="77777777" w:rsidR="003B59E4" w:rsidRPr="003B59E4" w:rsidRDefault="003B59E4" w:rsidP="6B8C3C73">
            <w:pPr>
              <w:rPr>
                <w:u w:val="single"/>
              </w:rPr>
            </w:pPr>
            <w:r w:rsidRPr="003B59E4">
              <w:rPr>
                <w:u w:val="single"/>
              </w:rPr>
              <w:t xml:space="preserve">Investor enquiries: </w:t>
            </w:r>
          </w:p>
          <w:p w14:paraId="73E2CBC8" w14:textId="77777777" w:rsidR="003B59E4" w:rsidRDefault="003B59E4" w:rsidP="6B8C3C73"/>
          <w:p w14:paraId="5EB0AAE5" w14:textId="77777777" w:rsidR="003B59E4" w:rsidRPr="003B59E4" w:rsidRDefault="003B59E4" w:rsidP="6B8C3C73">
            <w:pPr>
              <w:rPr>
                <w:b/>
              </w:rPr>
            </w:pPr>
            <w:r w:rsidRPr="003B59E4">
              <w:rPr>
                <w:b/>
              </w:rPr>
              <w:t xml:space="preserve">Essentra plc </w:t>
            </w:r>
          </w:p>
          <w:p w14:paraId="19E68544" w14:textId="77777777" w:rsidR="003B59E4" w:rsidRDefault="003B59E4" w:rsidP="6B8C3C73">
            <w:r>
              <w:t xml:space="preserve">Emma Reid, Head of Governance </w:t>
            </w:r>
          </w:p>
          <w:p w14:paraId="1DFB02E1" w14:textId="77777777" w:rsidR="003B59E4" w:rsidRDefault="003B59E4" w:rsidP="6B8C3C73">
            <w:r>
              <w:t xml:space="preserve">Jack Clarke, Chief Financial Officer </w:t>
            </w:r>
          </w:p>
          <w:p w14:paraId="398A67D3" w14:textId="77777777" w:rsidR="003B59E4" w:rsidRDefault="003B59E4" w:rsidP="6B8C3C73">
            <w:r>
              <w:t xml:space="preserve">Claire Goodman, Group Investor Relations Manager </w:t>
            </w:r>
          </w:p>
          <w:p w14:paraId="53E86F66" w14:textId="0DBDCB11" w:rsidR="003B59E4" w:rsidRDefault="003B59E4" w:rsidP="6B8C3C73">
            <w:r>
              <w:t>Tel: +44 (0)1908 359100</w:t>
            </w:r>
          </w:p>
        </w:tc>
        <w:tc>
          <w:tcPr>
            <w:tcW w:w="4362" w:type="dxa"/>
          </w:tcPr>
          <w:p w14:paraId="7EE7AE36" w14:textId="77777777" w:rsidR="003B59E4" w:rsidRPr="003B59E4" w:rsidRDefault="003B59E4" w:rsidP="6B8C3C73">
            <w:pPr>
              <w:rPr>
                <w:u w:val="single"/>
              </w:rPr>
            </w:pPr>
            <w:r w:rsidRPr="003B59E4">
              <w:rPr>
                <w:u w:val="single"/>
              </w:rPr>
              <w:t xml:space="preserve">Media enquiries: </w:t>
            </w:r>
          </w:p>
          <w:p w14:paraId="11F6E18F" w14:textId="77777777" w:rsidR="003B59E4" w:rsidRDefault="003B59E4" w:rsidP="6B8C3C73"/>
          <w:p w14:paraId="4737F26E" w14:textId="77777777" w:rsidR="003B59E4" w:rsidRPr="003B59E4" w:rsidRDefault="003B59E4" w:rsidP="6B8C3C73">
            <w:pPr>
              <w:rPr>
                <w:b/>
              </w:rPr>
            </w:pPr>
            <w:r w:rsidRPr="003B59E4">
              <w:rPr>
                <w:b/>
              </w:rPr>
              <w:t xml:space="preserve">Tulchan Communications LLP </w:t>
            </w:r>
          </w:p>
          <w:p w14:paraId="17AC1A44" w14:textId="77777777" w:rsidR="003B59E4" w:rsidRDefault="003B59E4" w:rsidP="6B8C3C73">
            <w:r>
              <w:t xml:space="preserve">Olivia Peters </w:t>
            </w:r>
          </w:p>
          <w:p w14:paraId="654F6035" w14:textId="77777777" w:rsidR="003B59E4" w:rsidRDefault="003B59E4" w:rsidP="6B8C3C73">
            <w:r>
              <w:t xml:space="preserve">Martin Robinson </w:t>
            </w:r>
          </w:p>
          <w:p w14:paraId="4E45BA21" w14:textId="77777777" w:rsidR="003B59E4" w:rsidRDefault="003B59E4" w:rsidP="6B8C3C73"/>
          <w:p w14:paraId="17066BB5" w14:textId="312AB3F0" w:rsidR="003B59E4" w:rsidRDefault="003B59E4" w:rsidP="6B8C3C73">
            <w:r>
              <w:t>Tel: +44 (0)20 7353 4200</w:t>
            </w:r>
          </w:p>
        </w:tc>
      </w:tr>
    </w:tbl>
    <w:p w14:paraId="1F8B61CD" w14:textId="77777777" w:rsidR="003B59E4" w:rsidRPr="006C102D" w:rsidRDefault="003B59E4" w:rsidP="6B8C3C73">
      <w:pPr>
        <w:shd w:val="clear" w:color="auto" w:fill="FFFFFF" w:themeFill="background1"/>
        <w:spacing w:after="0" w:line="240" w:lineRule="auto"/>
        <w:ind w:left="-567"/>
      </w:pPr>
    </w:p>
    <w:sectPr w:rsidR="003B59E4" w:rsidRPr="006C102D" w:rsidSect="00945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0442" w14:textId="77777777" w:rsidR="00E93939" w:rsidRDefault="00E93939" w:rsidP="001879C7">
      <w:pPr>
        <w:spacing w:after="0" w:line="240" w:lineRule="auto"/>
      </w:pPr>
      <w:r>
        <w:separator/>
      </w:r>
    </w:p>
  </w:endnote>
  <w:endnote w:type="continuationSeparator" w:id="0">
    <w:p w14:paraId="61D0AD4A" w14:textId="77777777" w:rsidR="00E93939" w:rsidRDefault="00E93939" w:rsidP="001879C7">
      <w:pPr>
        <w:spacing w:after="0" w:line="240" w:lineRule="auto"/>
      </w:pPr>
      <w:r>
        <w:continuationSeparator/>
      </w:r>
    </w:p>
  </w:endnote>
  <w:endnote w:type="continuationNotice" w:id="1">
    <w:p w14:paraId="73DCE3E8" w14:textId="77777777" w:rsidR="00E93939" w:rsidRDefault="00E93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39CA" w14:textId="77777777" w:rsidR="004A68B5" w:rsidRDefault="004A6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094D" w14:textId="77777777" w:rsidR="004A68B5" w:rsidRDefault="004A68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413B" w14:textId="77777777" w:rsidR="004A68B5" w:rsidRDefault="004A6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8EA7" w14:textId="77777777" w:rsidR="00E93939" w:rsidRDefault="00E93939" w:rsidP="001879C7">
      <w:pPr>
        <w:spacing w:after="0" w:line="240" w:lineRule="auto"/>
      </w:pPr>
      <w:r>
        <w:separator/>
      </w:r>
    </w:p>
  </w:footnote>
  <w:footnote w:type="continuationSeparator" w:id="0">
    <w:p w14:paraId="2310F700" w14:textId="77777777" w:rsidR="00E93939" w:rsidRDefault="00E93939" w:rsidP="001879C7">
      <w:pPr>
        <w:spacing w:after="0" w:line="240" w:lineRule="auto"/>
      </w:pPr>
      <w:r>
        <w:continuationSeparator/>
      </w:r>
    </w:p>
  </w:footnote>
  <w:footnote w:type="continuationNotice" w:id="1">
    <w:p w14:paraId="2C8A46FF" w14:textId="77777777" w:rsidR="00E93939" w:rsidRDefault="00E939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06CC" w14:textId="77777777" w:rsidR="004A68B5" w:rsidRDefault="004A6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F853" w14:textId="77777777" w:rsidR="004A68B5" w:rsidRDefault="004A6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4AB9" w14:textId="77777777" w:rsidR="004A68B5" w:rsidRDefault="004A68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7F"/>
    <w:rsid w:val="00030102"/>
    <w:rsid w:val="00051A92"/>
    <w:rsid w:val="00075AAB"/>
    <w:rsid w:val="0008523A"/>
    <w:rsid w:val="000A1563"/>
    <w:rsid w:val="000C6A3E"/>
    <w:rsid w:val="000E55CE"/>
    <w:rsid w:val="000E5758"/>
    <w:rsid w:val="000F0B9D"/>
    <w:rsid w:val="000F6CDC"/>
    <w:rsid w:val="00150F4D"/>
    <w:rsid w:val="001879C7"/>
    <w:rsid w:val="001A0E33"/>
    <w:rsid w:val="001D74CB"/>
    <w:rsid w:val="00205651"/>
    <w:rsid w:val="00254267"/>
    <w:rsid w:val="002F5C55"/>
    <w:rsid w:val="0031128B"/>
    <w:rsid w:val="00330BD2"/>
    <w:rsid w:val="0034436E"/>
    <w:rsid w:val="0035047D"/>
    <w:rsid w:val="003562AC"/>
    <w:rsid w:val="00361E37"/>
    <w:rsid w:val="00362D86"/>
    <w:rsid w:val="003640D1"/>
    <w:rsid w:val="003B581D"/>
    <w:rsid w:val="003B59E4"/>
    <w:rsid w:val="003C4491"/>
    <w:rsid w:val="003F2AD1"/>
    <w:rsid w:val="00412C59"/>
    <w:rsid w:val="00421B2B"/>
    <w:rsid w:val="00421E56"/>
    <w:rsid w:val="00423B6E"/>
    <w:rsid w:val="0044357A"/>
    <w:rsid w:val="0044530A"/>
    <w:rsid w:val="0047069A"/>
    <w:rsid w:val="004726A8"/>
    <w:rsid w:val="0047587F"/>
    <w:rsid w:val="004A2BEE"/>
    <w:rsid w:val="004A5569"/>
    <w:rsid w:val="004A68B5"/>
    <w:rsid w:val="004D14A2"/>
    <w:rsid w:val="004E6B6B"/>
    <w:rsid w:val="005156CF"/>
    <w:rsid w:val="00535CA3"/>
    <w:rsid w:val="005403DF"/>
    <w:rsid w:val="00553C7F"/>
    <w:rsid w:val="00571295"/>
    <w:rsid w:val="005B5C26"/>
    <w:rsid w:val="005B5D5B"/>
    <w:rsid w:val="00617B96"/>
    <w:rsid w:val="0065797C"/>
    <w:rsid w:val="00666BA0"/>
    <w:rsid w:val="00677059"/>
    <w:rsid w:val="00684171"/>
    <w:rsid w:val="00691440"/>
    <w:rsid w:val="006B638C"/>
    <w:rsid w:val="006C102D"/>
    <w:rsid w:val="006F34B4"/>
    <w:rsid w:val="00702C1E"/>
    <w:rsid w:val="0070677A"/>
    <w:rsid w:val="007651EF"/>
    <w:rsid w:val="007664D4"/>
    <w:rsid w:val="00783CAD"/>
    <w:rsid w:val="007E7F8A"/>
    <w:rsid w:val="007F184A"/>
    <w:rsid w:val="0081338D"/>
    <w:rsid w:val="00820763"/>
    <w:rsid w:val="00833775"/>
    <w:rsid w:val="00853E50"/>
    <w:rsid w:val="00875033"/>
    <w:rsid w:val="009218A9"/>
    <w:rsid w:val="00945865"/>
    <w:rsid w:val="00946F57"/>
    <w:rsid w:val="00950DBF"/>
    <w:rsid w:val="0096153F"/>
    <w:rsid w:val="009D65BE"/>
    <w:rsid w:val="009F382C"/>
    <w:rsid w:val="00A551AF"/>
    <w:rsid w:val="00A5590B"/>
    <w:rsid w:val="00A75A7B"/>
    <w:rsid w:val="00A81926"/>
    <w:rsid w:val="00A820B4"/>
    <w:rsid w:val="00A97204"/>
    <w:rsid w:val="00AD7066"/>
    <w:rsid w:val="00B075D7"/>
    <w:rsid w:val="00B45694"/>
    <w:rsid w:val="00B50357"/>
    <w:rsid w:val="00B514AB"/>
    <w:rsid w:val="00B67DD9"/>
    <w:rsid w:val="00B87E97"/>
    <w:rsid w:val="00B95DCE"/>
    <w:rsid w:val="00BF13B7"/>
    <w:rsid w:val="00BF3581"/>
    <w:rsid w:val="00BF5486"/>
    <w:rsid w:val="00C11BA0"/>
    <w:rsid w:val="00C22731"/>
    <w:rsid w:val="00C35FE6"/>
    <w:rsid w:val="00C66642"/>
    <w:rsid w:val="00C66F25"/>
    <w:rsid w:val="00C6733E"/>
    <w:rsid w:val="00C76445"/>
    <w:rsid w:val="00C777A8"/>
    <w:rsid w:val="00C83DD2"/>
    <w:rsid w:val="00C97534"/>
    <w:rsid w:val="00CC1AEA"/>
    <w:rsid w:val="00CE7D5A"/>
    <w:rsid w:val="00D14D1E"/>
    <w:rsid w:val="00D21B94"/>
    <w:rsid w:val="00D53A5F"/>
    <w:rsid w:val="00D66ED4"/>
    <w:rsid w:val="00D94D68"/>
    <w:rsid w:val="00DB25D1"/>
    <w:rsid w:val="00DB3803"/>
    <w:rsid w:val="00DE5E59"/>
    <w:rsid w:val="00E70544"/>
    <w:rsid w:val="00E842B2"/>
    <w:rsid w:val="00E93939"/>
    <w:rsid w:val="00F20643"/>
    <w:rsid w:val="00FB3FA8"/>
    <w:rsid w:val="00FC48AE"/>
    <w:rsid w:val="00FC4918"/>
    <w:rsid w:val="00FD18D3"/>
    <w:rsid w:val="6B8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10A94"/>
  <w15:chartTrackingRefBased/>
  <w15:docId w15:val="{76E14F7F-41BF-459C-837B-02177661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">
    <w:name w:val="au"/>
    <w:basedOn w:val="Normal"/>
    <w:rsid w:val="00FD1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r">
    <w:name w:val="ar"/>
    <w:basedOn w:val="DefaultParagraphFont"/>
    <w:rsid w:val="00FD18D3"/>
  </w:style>
  <w:style w:type="character" w:customStyle="1" w:styleId="an">
    <w:name w:val="an"/>
    <w:basedOn w:val="DefaultParagraphFont"/>
    <w:rsid w:val="00FD18D3"/>
  </w:style>
  <w:style w:type="character" w:customStyle="1" w:styleId="x">
    <w:name w:val="x"/>
    <w:basedOn w:val="DefaultParagraphFont"/>
    <w:rsid w:val="00FD18D3"/>
  </w:style>
  <w:style w:type="character" w:styleId="Hyperlink">
    <w:name w:val="Hyperlink"/>
    <w:basedOn w:val="DefaultParagraphFont"/>
    <w:uiPriority w:val="99"/>
    <w:semiHidden/>
    <w:unhideWhenUsed/>
    <w:rsid w:val="00FD18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C7"/>
  </w:style>
  <w:style w:type="paragraph" w:styleId="Footer">
    <w:name w:val="footer"/>
    <w:basedOn w:val="Normal"/>
    <w:link w:val="FooterChar"/>
    <w:uiPriority w:val="99"/>
    <w:unhideWhenUsed/>
    <w:rsid w:val="00187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C7"/>
  </w:style>
  <w:style w:type="character" w:styleId="CommentReference">
    <w:name w:val="annotation reference"/>
    <w:basedOn w:val="DefaultParagraphFont"/>
    <w:uiPriority w:val="99"/>
    <w:semiHidden/>
    <w:unhideWhenUsed/>
    <w:rsid w:val="00421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E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E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E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4C731239A6242B99C5C192F620336" ma:contentTypeVersion="15" ma:contentTypeDescription="Create a new document." ma:contentTypeScope="" ma:versionID="66943f3b62e96ed5ef0d2b3b7fb3bd13">
  <xsd:schema xmlns:xsd="http://www.w3.org/2001/XMLSchema" xmlns:xs="http://www.w3.org/2001/XMLSchema" xmlns:p="http://schemas.microsoft.com/office/2006/metadata/properties" xmlns:ns2="37e9afff-d02e-4221-a0f1-b5b965e33982" xmlns:ns3="37a9ddc8-6cb1-4ab4-821a-887f7968cc5d" xmlns:ns4="1a028de9-2a1f-42e2-8346-37f7b530d67d" targetNamespace="http://schemas.microsoft.com/office/2006/metadata/properties" ma:root="true" ma:fieldsID="df999e287e31f1f29deb54c7f848c6b7" ns2:_="" ns3:_="" ns4:_="">
    <xsd:import namespace="37e9afff-d02e-4221-a0f1-b5b965e33982"/>
    <xsd:import namespace="37a9ddc8-6cb1-4ab4-821a-887f7968cc5d"/>
    <xsd:import namespace="1a028de9-2a1f-42e2-8346-37f7b530d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9afff-d02e-4221-a0f1-b5b965e3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be26ee-dac5-46b7-9ebc-87a39efeb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9ddc8-6cb1-4ab4-821a-887f7968c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28de9-2a1f-42e2-8346-37f7b530d6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93b0584-e655-4553-b3ed-51a97450e379}" ma:internalName="TaxCatchAll" ma:showField="CatchAllData" ma:web="1a028de9-2a1f-42e2-8346-37f7b530d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28de9-2a1f-42e2-8346-37f7b530d67d" xsi:nil="true"/>
    <lcf76f155ced4ddcb4097134ff3c332f xmlns="37e9afff-d02e-4221-a0f1-b5b965e339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8D9A1-D11E-4B9E-8E52-937EA6C6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9afff-d02e-4221-a0f1-b5b965e33982"/>
    <ds:schemaRef ds:uri="37a9ddc8-6cb1-4ab4-821a-887f7968cc5d"/>
    <ds:schemaRef ds:uri="1a028de9-2a1f-42e2-8346-37f7b530d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FAD3A-000E-4FD3-9AA1-D92AF330F9E9}">
  <ds:schemaRefs>
    <ds:schemaRef ds:uri="http://schemas.microsoft.com/office/2006/metadata/properties"/>
    <ds:schemaRef ds:uri="http://schemas.microsoft.com/office/infopath/2007/PartnerControls"/>
    <ds:schemaRef ds:uri="1a028de9-2a1f-42e2-8346-37f7b530d67d"/>
    <ds:schemaRef ds:uri="37e9afff-d02e-4221-a0f1-b5b965e33982"/>
  </ds:schemaRefs>
</ds:datastoreItem>
</file>

<file path=customXml/itemProps3.xml><?xml version="1.0" encoding="utf-8"?>
<ds:datastoreItem xmlns:ds="http://schemas.openxmlformats.org/officeDocument/2006/customXml" ds:itemID="{16620BAC-6DF8-47FC-9292-94FDDB7923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Reid</cp:lastModifiedBy>
  <cp:revision>12</cp:revision>
  <dcterms:created xsi:type="dcterms:W3CDTF">2022-08-03T06:13:00Z</dcterms:created>
  <dcterms:modified xsi:type="dcterms:W3CDTF">2022-08-08T12:12:00Z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0x0101006484C731239A6242B99C5C192F620336</vt:lpwstr>
  </property>
  <property fmtid="{D5CDD505-2E9C-101B-9397-08002B2CF9AE}" pid="3" name="MediaServiceImageTags">
    <vt:lpwstr/>
  </property>
</Properties>
</file>