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FD644" w14:textId="77777777" w:rsidR="00165957" w:rsidRPr="000721ED" w:rsidRDefault="00165957" w:rsidP="00165957">
      <w:pPr>
        <w:pStyle w:val="Heading"/>
        <w:jc w:val="center"/>
        <w:rPr>
          <w:rFonts w:ascii="Arial" w:hAnsi="Arial" w:cs="Arial"/>
        </w:rPr>
      </w:pPr>
      <w:r w:rsidRPr="000721ED">
        <w:rPr>
          <w:rFonts w:ascii="Arial" w:hAnsi="Arial" w:cs="Arial"/>
        </w:rPr>
        <w:t>COMPANIES ACT 2006</w:t>
      </w:r>
    </w:p>
    <w:p w14:paraId="3C7BDFC5" w14:textId="77777777" w:rsidR="00165957" w:rsidRPr="000721ED" w:rsidRDefault="00165957" w:rsidP="00165957">
      <w:pPr>
        <w:pStyle w:val="Heading"/>
        <w:jc w:val="center"/>
        <w:rPr>
          <w:rFonts w:ascii="Arial" w:hAnsi="Arial" w:cs="Arial"/>
        </w:rPr>
      </w:pPr>
    </w:p>
    <w:p w14:paraId="77446626" w14:textId="77777777" w:rsidR="00165957" w:rsidRPr="000721ED" w:rsidRDefault="00165957" w:rsidP="00165957">
      <w:pPr>
        <w:pStyle w:val="Heading"/>
        <w:jc w:val="center"/>
        <w:rPr>
          <w:rFonts w:ascii="Arial" w:hAnsi="Arial" w:cs="Arial"/>
        </w:rPr>
      </w:pPr>
      <w:r w:rsidRPr="000721ED">
        <w:rPr>
          <w:rFonts w:ascii="Arial" w:hAnsi="Arial" w:cs="Arial"/>
        </w:rPr>
        <w:t>COMPANY LIMITED BY SHARES</w:t>
      </w:r>
    </w:p>
    <w:p w14:paraId="160FBAFD" w14:textId="77777777" w:rsidR="00165957" w:rsidRPr="000721ED" w:rsidRDefault="00165957" w:rsidP="00165957">
      <w:pPr>
        <w:pStyle w:val="Heading"/>
        <w:jc w:val="center"/>
        <w:rPr>
          <w:rFonts w:ascii="Arial" w:hAnsi="Arial" w:cs="Arial"/>
        </w:rPr>
      </w:pPr>
    </w:p>
    <w:p w14:paraId="7485470F" w14:textId="5BA0EFFC" w:rsidR="00165957" w:rsidRPr="000721ED" w:rsidRDefault="00686BC3" w:rsidP="00165957">
      <w:pPr>
        <w:pStyle w:val="Heading"/>
        <w:jc w:val="center"/>
        <w:rPr>
          <w:rFonts w:ascii="Arial" w:hAnsi="Arial" w:cs="Arial"/>
        </w:rPr>
      </w:pPr>
      <w:r>
        <w:rPr>
          <w:rFonts w:ascii="Arial" w:hAnsi="Arial" w:cs="Arial"/>
        </w:rPr>
        <w:t>Aberdeen Group</w:t>
      </w:r>
      <w:r w:rsidR="00165957" w:rsidRPr="000721ED">
        <w:rPr>
          <w:rFonts w:ascii="Arial" w:hAnsi="Arial" w:cs="Arial"/>
        </w:rPr>
        <w:t xml:space="preserve"> plc (‘the Company’)</w:t>
      </w:r>
    </w:p>
    <w:p w14:paraId="380411C5" w14:textId="77777777" w:rsidR="00165957" w:rsidRPr="000721ED" w:rsidRDefault="00165957" w:rsidP="00165957">
      <w:pPr>
        <w:pStyle w:val="Heading"/>
        <w:jc w:val="center"/>
        <w:rPr>
          <w:rFonts w:ascii="Arial" w:hAnsi="Arial" w:cs="Arial"/>
        </w:rPr>
      </w:pPr>
      <w:r w:rsidRPr="000721ED">
        <w:rPr>
          <w:rFonts w:ascii="Arial" w:hAnsi="Arial" w:cs="Arial"/>
        </w:rPr>
        <w:t>Company Number (SC286832)</w:t>
      </w:r>
    </w:p>
    <w:p w14:paraId="0F2A8E35" w14:textId="77777777" w:rsidR="00165957" w:rsidRPr="000721ED" w:rsidRDefault="00165957" w:rsidP="00165957">
      <w:pPr>
        <w:pStyle w:val="Heading"/>
        <w:rPr>
          <w:rFonts w:ascii="Arial" w:hAnsi="Arial" w:cs="Arial"/>
        </w:rPr>
      </w:pPr>
    </w:p>
    <w:p w14:paraId="6E9E4059" w14:textId="0F79AC2A" w:rsidR="00165957" w:rsidRPr="000721ED" w:rsidRDefault="00165957" w:rsidP="00165957">
      <w:pPr>
        <w:rPr>
          <w:rFonts w:ascii="Arial" w:hAnsi="Arial" w:cs="Arial"/>
        </w:rPr>
      </w:pPr>
      <w:r w:rsidRPr="000721ED">
        <w:rPr>
          <w:rFonts w:ascii="Arial" w:hAnsi="Arial" w:cs="Arial"/>
        </w:rPr>
        <w:t xml:space="preserve">At the Annual General Meeting of the Company, duly convened and held on </w:t>
      </w:r>
      <w:r w:rsidR="00686BC3">
        <w:rPr>
          <w:rFonts w:ascii="Arial" w:hAnsi="Arial" w:cs="Arial"/>
        </w:rPr>
        <w:t xml:space="preserve">Thursday </w:t>
      </w:r>
      <w:r w:rsidR="00BC2D25">
        <w:rPr>
          <w:rFonts w:ascii="Arial" w:hAnsi="Arial" w:cs="Arial"/>
        </w:rPr>
        <w:t>8</w:t>
      </w:r>
      <w:r w:rsidR="00686BC3">
        <w:rPr>
          <w:rFonts w:ascii="Arial" w:hAnsi="Arial" w:cs="Arial"/>
        </w:rPr>
        <w:t xml:space="preserve"> May 2025</w:t>
      </w:r>
      <w:r w:rsidR="00A60DA4">
        <w:rPr>
          <w:rFonts w:ascii="Arial" w:hAnsi="Arial" w:cs="Arial"/>
        </w:rPr>
        <w:t xml:space="preserve"> </w:t>
      </w:r>
      <w:r w:rsidR="00D922EC">
        <w:rPr>
          <w:rFonts w:ascii="Arial" w:hAnsi="Arial" w:cs="Arial"/>
        </w:rPr>
        <w:t>at 2p</w:t>
      </w:r>
      <w:r w:rsidR="00564074">
        <w:rPr>
          <w:rFonts w:ascii="Arial" w:hAnsi="Arial" w:cs="Arial"/>
        </w:rPr>
        <w:t>m</w:t>
      </w:r>
      <w:r w:rsidRPr="000721ED">
        <w:rPr>
          <w:rFonts w:ascii="Arial" w:hAnsi="Arial" w:cs="Arial"/>
        </w:rPr>
        <w:t xml:space="preserve"> at </w:t>
      </w:r>
      <w:r w:rsidR="00D922EC">
        <w:rPr>
          <w:rFonts w:ascii="Arial" w:hAnsi="Arial" w:cs="Arial"/>
        </w:rPr>
        <w:t xml:space="preserve">the </w:t>
      </w:r>
      <w:r w:rsidR="00854B73">
        <w:rPr>
          <w:rFonts w:ascii="Arial" w:hAnsi="Arial" w:cs="Arial"/>
        </w:rPr>
        <w:t>Assembly Rooms</w:t>
      </w:r>
      <w:r w:rsidR="00D922EC">
        <w:rPr>
          <w:rFonts w:ascii="Arial" w:hAnsi="Arial" w:cs="Arial"/>
        </w:rPr>
        <w:t>,</w:t>
      </w:r>
      <w:r w:rsidR="00D922EC" w:rsidRPr="00D922EC">
        <w:rPr>
          <w:rFonts w:ascii="Arial" w:hAnsi="Arial" w:cs="Arial"/>
        </w:rPr>
        <w:t xml:space="preserve"> </w:t>
      </w:r>
      <w:r w:rsidR="00854B73">
        <w:rPr>
          <w:rFonts w:ascii="Arial" w:hAnsi="Arial" w:cs="Arial"/>
        </w:rPr>
        <w:t>54 George Street</w:t>
      </w:r>
      <w:r w:rsidR="00D922EC" w:rsidRPr="00D922EC">
        <w:rPr>
          <w:rFonts w:ascii="Arial" w:hAnsi="Arial" w:cs="Arial"/>
        </w:rPr>
        <w:t xml:space="preserve">, Edinburgh </w:t>
      </w:r>
      <w:r w:rsidR="00854B73">
        <w:rPr>
          <w:rFonts w:ascii="Arial" w:hAnsi="Arial" w:cs="Arial"/>
        </w:rPr>
        <w:t>EH2 2LR</w:t>
      </w:r>
      <w:r w:rsidR="00564074">
        <w:rPr>
          <w:rFonts w:ascii="Arial" w:hAnsi="Arial" w:cs="Arial"/>
        </w:rPr>
        <w:t>,</w:t>
      </w:r>
      <w:r w:rsidRPr="000721ED">
        <w:rPr>
          <w:rFonts w:ascii="Arial" w:hAnsi="Arial" w:cs="Arial"/>
        </w:rPr>
        <w:t xml:space="preserve"> the following were duly passed as ordinary and special resolutions of the Company: </w:t>
      </w:r>
    </w:p>
    <w:p w14:paraId="48177FE8" w14:textId="77777777" w:rsidR="00165957" w:rsidRPr="00351566" w:rsidRDefault="00165957" w:rsidP="00165957">
      <w:pPr>
        <w:rPr>
          <w:rFonts w:ascii="Arial" w:hAnsi="Arial" w:cs="Arial"/>
        </w:rPr>
      </w:pPr>
    </w:p>
    <w:p w14:paraId="4892BE93" w14:textId="77777777" w:rsidR="00165957" w:rsidRPr="00351566" w:rsidRDefault="00165957" w:rsidP="00165957">
      <w:pPr>
        <w:jc w:val="center"/>
        <w:rPr>
          <w:rFonts w:ascii="Arial" w:hAnsi="Arial" w:cs="Arial"/>
          <w:b/>
        </w:rPr>
      </w:pPr>
      <w:r w:rsidRPr="00351566">
        <w:rPr>
          <w:rFonts w:ascii="Arial" w:hAnsi="Arial" w:cs="Arial"/>
          <w:b/>
        </w:rPr>
        <w:t>Ordinary Resolutions</w:t>
      </w:r>
    </w:p>
    <w:p w14:paraId="40A5D855" w14:textId="77777777" w:rsidR="00DF4670" w:rsidRDefault="00DF4670"/>
    <w:p w14:paraId="356900EF" w14:textId="39B216A5" w:rsidR="00D922EC" w:rsidRPr="00D922EC" w:rsidRDefault="00D922EC" w:rsidP="00D922EC">
      <w:pPr>
        <w:ind w:left="709" w:hanging="709"/>
        <w:rPr>
          <w:rFonts w:ascii="Arial" w:hAnsi="Arial" w:cs="Arial"/>
        </w:rPr>
      </w:pPr>
      <w:r>
        <w:rPr>
          <w:rFonts w:ascii="Arial" w:hAnsi="Arial" w:cs="Arial"/>
        </w:rPr>
        <w:t>9</w:t>
      </w:r>
      <w:r w:rsidR="00351566">
        <w:rPr>
          <w:rFonts w:ascii="Arial" w:hAnsi="Arial" w:cs="Arial"/>
        </w:rPr>
        <w:t>.</w:t>
      </w:r>
      <w:r w:rsidR="00351566">
        <w:rPr>
          <w:rFonts w:ascii="Arial" w:hAnsi="Arial" w:cs="Arial"/>
        </w:rPr>
        <w:tab/>
      </w:r>
      <w:r w:rsidRPr="00D922EC">
        <w:rPr>
          <w:rFonts w:ascii="Arial" w:hAnsi="Arial" w:cs="Arial"/>
        </w:rPr>
        <w:t xml:space="preserve">To authorise the Directors (including a duly authorised committee thereof) generally and unconditionally pursuant to section 551 of the Companies Act 2006 to exercise all powers of the Company to allot shares in the Company and to grant rights to subscribe for or to convert any security into shares in the Company up to a maximum aggregate nominal amount of </w:t>
      </w:r>
      <w:r w:rsidRPr="00D922EC">
        <w:rPr>
          <w:rFonts w:ascii="Arial" w:hAnsi="Arial" w:cs="Arial" w:hint="eastAsia"/>
        </w:rPr>
        <w:t>£</w:t>
      </w:r>
      <w:r w:rsidR="005F66C4">
        <w:rPr>
          <w:rFonts w:ascii="Arial" w:hAnsi="Arial" w:cs="Arial"/>
        </w:rPr>
        <w:t>25,711,9</w:t>
      </w:r>
      <w:r w:rsidR="00686BC3">
        <w:rPr>
          <w:rFonts w:ascii="Arial" w:hAnsi="Arial" w:cs="Arial"/>
        </w:rPr>
        <w:t>64</w:t>
      </w:r>
      <w:r w:rsidRPr="00D922EC">
        <w:rPr>
          <w:rFonts w:ascii="Arial" w:hAnsi="Arial" w:cs="Arial"/>
        </w:rPr>
        <w:t xml:space="preserve"> provided that this authority shall (unless previously renewed, revoked or varied by the Company in general meeting) expire on the conclusion of the next annual general meeting of the Company (or, if earlier, close of business on the date falling 15 months after the date on which this resolution is passed), save that the Company may, before such expiry, make offers or agreements which would or might require shares to be allotted or rights to subscribe for or convert securities into shares to be granted after such expiry, and the Directors may allot shares or grant rights to subscribe for or convert securities into shares in pursuance of any such offer or agreement as if the authority conferred by this resolution had not expired.</w:t>
      </w:r>
    </w:p>
    <w:p w14:paraId="18559250" w14:textId="77777777" w:rsidR="00351566" w:rsidRPr="009A4E22" w:rsidRDefault="00351566" w:rsidP="009A4E22">
      <w:pPr>
        <w:spacing w:after="113" w:line="220" w:lineRule="atLeast"/>
        <w:ind w:left="568"/>
        <w:rPr>
          <w:rFonts w:ascii="Arial" w:eastAsia="MS Mincho" w:hAnsi="Arial" w:cs="Mangal"/>
          <w:highlight w:val="yellow"/>
          <w:lang w:eastAsia="ja-JP"/>
        </w:rPr>
      </w:pPr>
    </w:p>
    <w:p w14:paraId="25DAD776" w14:textId="77777777" w:rsidR="001651EC" w:rsidRPr="001651EC" w:rsidRDefault="001651EC" w:rsidP="001651EC">
      <w:pPr>
        <w:pStyle w:val="NumberedText-123etc"/>
        <w:numPr>
          <w:ilvl w:val="0"/>
          <w:numId w:val="0"/>
        </w:numPr>
        <w:ind w:left="284" w:hanging="284"/>
        <w:rPr>
          <w:rFonts w:eastAsia="PMingLiU" w:cs="Arial"/>
          <w:color w:val="auto"/>
          <w:sz w:val="22"/>
          <w:szCs w:val="22"/>
          <w:lang w:eastAsia="en-US"/>
        </w:rPr>
      </w:pPr>
      <w:r w:rsidRPr="001651EC">
        <w:rPr>
          <w:rFonts w:eastAsia="PMingLiU" w:cs="Arial"/>
          <w:color w:val="auto"/>
          <w:sz w:val="22"/>
          <w:szCs w:val="22"/>
          <w:lang w:eastAsia="en-US"/>
        </w:rPr>
        <w:t>12</w:t>
      </w:r>
      <w:r w:rsidR="00351566" w:rsidRPr="001651EC">
        <w:rPr>
          <w:rFonts w:eastAsia="PMingLiU" w:cs="Arial"/>
          <w:color w:val="auto"/>
          <w:sz w:val="22"/>
          <w:szCs w:val="22"/>
          <w:lang w:eastAsia="en-US"/>
        </w:rPr>
        <w:t>.</w:t>
      </w:r>
      <w:r w:rsidR="00351566" w:rsidRPr="001651EC">
        <w:rPr>
          <w:rFonts w:eastAsia="PMingLiU" w:cs="Arial"/>
          <w:color w:val="auto"/>
          <w:sz w:val="22"/>
          <w:szCs w:val="22"/>
          <w:lang w:eastAsia="en-US"/>
        </w:rPr>
        <w:tab/>
      </w:r>
      <w:r w:rsidRPr="001651EC">
        <w:rPr>
          <w:rFonts w:eastAsia="PMingLiU" w:cs="Arial"/>
          <w:color w:val="auto"/>
          <w:sz w:val="22"/>
          <w:szCs w:val="22"/>
          <w:lang w:eastAsia="en-US"/>
        </w:rPr>
        <w:t xml:space="preserve">To authorise the Directors (including a duly authorised committee thereof) generally </w:t>
      </w:r>
      <w:r>
        <w:rPr>
          <w:rFonts w:eastAsia="PMingLiU" w:cs="Arial"/>
          <w:color w:val="auto"/>
          <w:sz w:val="22"/>
          <w:szCs w:val="22"/>
          <w:lang w:eastAsia="en-US"/>
        </w:rPr>
        <w:tab/>
      </w:r>
      <w:r w:rsidRPr="001651EC">
        <w:rPr>
          <w:rFonts w:eastAsia="PMingLiU" w:cs="Arial"/>
          <w:color w:val="auto"/>
          <w:sz w:val="22"/>
          <w:szCs w:val="22"/>
          <w:lang w:eastAsia="en-US"/>
        </w:rPr>
        <w:t xml:space="preserve">and unconditionally pursuant to section 551 of the Companies Act 2006 (the ‘Act’) to </w:t>
      </w:r>
      <w:r>
        <w:rPr>
          <w:rFonts w:eastAsia="PMingLiU" w:cs="Arial"/>
          <w:color w:val="auto"/>
          <w:sz w:val="22"/>
          <w:szCs w:val="22"/>
          <w:lang w:eastAsia="en-US"/>
        </w:rPr>
        <w:tab/>
      </w:r>
      <w:r w:rsidRPr="001651EC">
        <w:rPr>
          <w:rFonts w:eastAsia="PMingLiU" w:cs="Arial"/>
          <w:color w:val="auto"/>
          <w:sz w:val="22"/>
          <w:szCs w:val="22"/>
          <w:lang w:eastAsia="en-US"/>
        </w:rPr>
        <w:t xml:space="preserve">exercise all powers of the Company to allot shares in the Company and to grant </w:t>
      </w:r>
      <w:r>
        <w:rPr>
          <w:rFonts w:eastAsia="PMingLiU" w:cs="Arial"/>
          <w:color w:val="auto"/>
          <w:sz w:val="22"/>
          <w:szCs w:val="22"/>
          <w:lang w:eastAsia="en-US"/>
        </w:rPr>
        <w:tab/>
      </w:r>
      <w:r w:rsidRPr="001651EC">
        <w:rPr>
          <w:rFonts w:eastAsia="PMingLiU" w:cs="Arial"/>
          <w:color w:val="auto"/>
          <w:sz w:val="22"/>
          <w:szCs w:val="22"/>
          <w:lang w:eastAsia="en-US"/>
        </w:rPr>
        <w:t>rights to subscribe for or to convert any security into shares in the Company:</w:t>
      </w:r>
    </w:p>
    <w:p w14:paraId="57889FE2" w14:textId="69C98BA4" w:rsidR="001651EC" w:rsidRPr="001651EC" w:rsidRDefault="00045204" w:rsidP="001651EC">
      <w:pPr>
        <w:numPr>
          <w:ilvl w:val="0"/>
          <w:numId w:val="3"/>
        </w:numPr>
        <w:tabs>
          <w:tab w:val="num" w:pos="851"/>
        </w:tabs>
        <w:spacing w:after="113" w:line="220" w:lineRule="atLeast"/>
        <w:rPr>
          <w:rFonts w:ascii="Arial" w:hAnsi="Arial" w:cs="Arial"/>
        </w:rPr>
      </w:pPr>
      <w:r>
        <w:rPr>
          <w:rFonts w:ascii="Arial" w:hAnsi="Arial" w:cs="Arial"/>
        </w:rPr>
        <w:tab/>
      </w:r>
      <w:r w:rsidR="001651EC" w:rsidRPr="001651EC">
        <w:rPr>
          <w:rFonts w:ascii="Arial" w:hAnsi="Arial" w:cs="Arial" w:hint="eastAsia"/>
        </w:rPr>
        <w:t>up to a maximum aggregate nominal amount of £</w:t>
      </w:r>
      <w:r w:rsidR="00686BC3">
        <w:rPr>
          <w:rFonts w:ascii="Arial" w:hAnsi="Arial" w:cs="Arial"/>
        </w:rPr>
        <w:t>28,064,804</w:t>
      </w:r>
      <w:r w:rsidR="001651EC" w:rsidRPr="001651EC" w:rsidDel="00E35E1F">
        <w:rPr>
          <w:rFonts w:ascii="Arial" w:hAnsi="Arial" w:cs="Arial"/>
        </w:rPr>
        <w:t xml:space="preserve"> </w:t>
      </w:r>
      <w:r w:rsidR="001651EC" w:rsidRPr="001651EC">
        <w:rPr>
          <w:rFonts w:ascii="Arial" w:hAnsi="Arial" w:cs="Arial" w:hint="eastAsia"/>
        </w:rPr>
        <w:t xml:space="preserve">in relation to any issue by the Company of </w:t>
      </w:r>
      <w:r w:rsidR="001651EC" w:rsidRPr="001651EC">
        <w:rPr>
          <w:rFonts w:ascii="Arial" w:hAnsi="Arial" w:cs="Arial"/>
        </w:rPr>
        <w:t>C</w:t>
      </w:r>
      <w:r w:rsidR="001651EC" w:rsidRPr="001651EC">
        <w:rPr>
          <w:rFonts w:ascii="Arial" w:hAnsi="Arial" w:cs="Arial" w:hint="eastAsia"/>
        </w:rPr>
        <w:t xml:space="preserve">onvertible </w:t>
      </w:r>
      <w:r w:rsidR="001651EC" w:rsidRPr="001651EC">
        <w:rPr>
          <w:rFonts w:ascii="Arial" w:hAnsi="Arial" w:cs="Arial"/>
        </w:rPr>
        <w:t>Bonds</w:t>
      </w:r>
      <w:r w:rsidR="001651EC" w:rsidRPr="001651EC">
        <w:rPr>
          <w:rFonts w:ascii="Arial" w:hAnsi="Arial" w:cs="Arial" w:hint="eastAsia"/>
        </w:rPr>
        <w:t xml:space="preserve"> that automatically convert into or are exchanged for shares in the Company in prescribed circumstances where the Directors</w:t>
      </w:r>
      <w:r w:rsidR="001651EC" w:rsidRPr="001651EC">
        <w:rPr>
          <w:rFonts w:ascii="Arial" w:hAnsi="Arial" w:cs="Arial"/>
        </w:rPr>
        <w:t xml:space="preserve"> consider that such an issuance of Convertible Bonds would be desirable in connection with, or for the purposes of complying with or maintaining compliance with, the regulatory capital requirements and targets applicable to the Company and/or the Group from time to time; and </w:t>
      </w:r>
    </w:p>
    <w:p w14:paraId="2F6A8F06" w14:textId="5E4F9CA5" w:rsidR="001651EC" w:rsidRPr="001651EC" w:rsidRDefault="001651EC" w:rsidP="001651EC">
      <w:pPr>
        <w:numPr>
          <w:ilvl w:val="0"/>
          <w:numId w:val="3"/>
        </w:numPr>
        <w:tabs>
          <w:tab w:val="num" w:pos="851"/>
        </w:tabs>
        <w:spacing w:after="113" w:line="220" w:lineRule="atLeast"/>
        <w:rPr>
          <w:rFonts w:ascii="Arial" w:hAnsi="Arial" w:cs="Arial"/>
        </w:rPr>
      </w:pPr>
      <w:r w:rsidRPr="001651EC">
        <w:rPr>
          <w:rFonts w:ascii="Arial" w:hAnsi="Arial" w:cs="Arial"/>
        </w:rPr>
        <w:t>subject to applicable law and regulation, at such allotment, subscription or conversion prices (or such maximum or minimum allotment, subscription or conversion prices or using such allotment, subscription or conversion methodologies) as may be determined by the Directors from time to time.</w:t>
      </w:r>
    </w:p>
    <w:p w14:paraId="25FD9E91" w14:textId="77777777" w:rsidR="00351566" w:rsidRPr="001651EC" w:rsidRDefault="001651EC" w:rsidP="001651EC">
      <w:pPr>
        <w:rPr>
          <w:rFonts w:ascii="Arial" w:hAnsi="Arial" w:cs="Arial"/>
        </w:rPr>
      </w:pPr>
      <w:r w:rsidRPr="001651EC">
        <w:rPr>
          <w:rFonts w:ascii="Arial" w:hAnsi="Arial" w:cs="Arial"/>
        </w:rPr>
        <w:tab/>
        <w:t xml:space="preserve">This authority shall apply in addition to all other authorities granted pursuant to </w:t>
      </w:r>
      <w:r>
        <w:rPr>
          <w:rFonts w:ascii="Arial" w:hAnsi="Arial" w:cs="Arial"/>
        </w:rPr>
        <w:tab/>
      </w:r>
      <w:r w:rsidRPr="001651EC">
        <w:rPr>
          <w:rFonts w:ascii="Arial" w:hAnsi="Arial" w:cs="Arial"/>
        </w:rPr>
        <w:t xml:space="preserve">section 551 of the Act (including any authority granted pursuant to resolution 9, if </w:t>
      </w:r>
      <w:r>
        <w:rPr>
          <w:rFonts w:ascii="Arial" w:hAnsi="Arial" w:cs="Arial"/>
        </w:rPr>
        <w:tab/>
      </w:r>
      <w:r w:rsidRPr="001651EC">
        <w:rPr>
          <w:rFonts w:ascii="Arial" w:hAnsi="Arial" w:cs="Arial"/>
        </w:rPr>
        <w:t xml:space="preserve">passed) and shall (unless previously renewed, revoked or varied by the Company in </w:t>
      </w:r>
      <w:r>
        <w:rPr>
          <w:rFonts w:ascii="Arial" w:hAnsi="Arial" w:cs="Arial"/>
        </w:rPr>
        <w:tab/>
      </w:r>
      <w:r w:rsidRPr="001651EC">
        <w:rPr>
          <w:rFonts w:ascii="Arial" w:hAnsi="Arial" w:cs="Arial"/>
        </w:rPr>
        <w:t xml:space="preserve">general meeting) expire on the conclusion of the next annual general meeting of the </w:t>
      </w:r>
      <w:r>
        <w:rPr>
          <w:rFonts w:ascii="Arial" w:hAnsi="Arial" w:cs="Arial"/>
        </w:rPr>
        <w:tab/>
      </w:r>
      <w:r w:rsidRPr="001651EC">
        <w:rPr>
          <w:rFonts w:ascii="Arial" w:hAnsi="Arial" w:cs="Arial"/>
        </w:rPr>
        <w:t xml:space="preserve">Company (or, if earlier, close of business on the date falling 15 months after the date </w:t>
      </w:r>
      <w:r>
        <w:rPr>
          <w:rFonts w:ascii="Arial" w:hAnsi="Arial" w:cs="Arial"/>
        </w:rPr>
        <w:tab/>
      </w:r>
      <w:r w:rsidRPr="001651EC">
        <w:rPr>
          <w:rFonts w:ascii="Arial" w:hAnsi="Arial" w:cs="Arial"/>
        </w:rPr>
        <w:t xml:space="preserve">on which this resolution is passed), save that the Company may, before such expiry, </w:t>
      </w:r>
      <w:r>
        <w:rPr>
          <w:rFonts w:ascii="Arial" w:hAnsi="Arial" w:cs="Arial"/>
        </w:rPr>
        <w:tab/>
      </w:r>
      <w:r w:rsidRPr="001651EC">
        <w:rPr>
          <w:rFonts w:ascii="Arial" w:hAnsi="Arial" w:cs="Arial"/>
        </w:rPr>
        <w:t xml:space="preserve">make offers or agreements which would or might require shares to be allotted or </w:t>
      </w:r>
      <w:r>
        <w:rPr>
          <w:rFonts w:ascii="Arial" w:hAnsi="Arial" w:cs="Arial"/>
        </w:rPr>
        <w:tab/>
      </w:r>
      <w:r w:rsidRPr="001651EC">
        <w:rPr>
          <w:rFonts w:ascii="Arial" w:hAnsi="Arial" w:cs="Arial"/>
        </w:rPr>
        <w:t xml:space="preserve">rights to subscribe for or convert securities into shares to be granted after such </w:t>
      </w:r>
      <w:r>
        <w:rPr>
          <w:rFonts w:ascii="Arial" w:hAnsi="Arial" w:cs="Arial"/>
        </w:rPr>
        <w:tab/>
      </w:r>
      <w:r w:rsidRPr="001651EC">
        <w:rPr>
          <w:rFonts w:ascii="Arial" w:hAnsi="Arial" w:cs="Arial"/>
        </w:rPr>
        <w:t xml:space="preserve">expiry, and the Directors may allot shares or grant rights to subscribe for or convert </w:t>
      </w:r>
      <w:r>
        <w:rPr>
          <w:rFonts w:ascii="Arial" w:hAnsi="Arial" w:cs="Arial"/>
        </w:rPr>
        <w:lastRenderedPageBreak/>
        <w:tab/>
      </w:r>
      <w:r w:rsidRPr="001651EC">
        <w:rPr>
          <w:rFonts w:ascii="Arial" w:hAnsi="Arial" w:cs="Arial"/>
        </w:rPr>
        <w:t xml:space="preserve">securities into shares in pursuance of any such offer or agreement as if the authority </w:t>
      </w:r>
      <w:r>
        <w:rPr>
          <w:rFonts w:ascii="Arial" w:hAnsi="Arial" w:cs="Arial"/>
        </w:rPr>
        <w:tab/>
      </w:r>
      <w:r w:rsidRPr="001651EC">
        <w:rPr>
          <w:rFonts w:ascii="Arial" w:hAnsi="Arial" w:cs="Arial"/>
        </w:rPr>
        <w:t>conferred by this resolution had not expired.</w:t>
      </w:r>
    </w:p>
    <w:p w14:paraId="0DB8DBCC" w14:textId="77777777" w:rsidR="001651EC" w:rsidRDefault="001651EC" w:rsidP="00351566">
      <w:pPr>
        <w:rPr>
          <w:rFonts w:ascii="Arial" w:hAnsi="Arial" w:cs="Arial"/>
          <w:highlight w:val="yellow"/>
        </w:rPr>
      </w:pPr>
    </w:p>
    <w:p w14:paraId="07D4E0A7" w14:textId="77777777" w:rsidR="001651EC" w:rsidRPr="00D922EC" w:rsidRDefault="001651EC" w:rsidP="00351566">
      <w:pPr>
        <w:rPr>
          <w:rFonts w:ascii="Arial" w:hAnsi="Arial" w:cs="Arial"/>
          <w:highlight w:val="yellow"/>
        </w:rPr>
      </w:pPr>
    </w:p>
    <w:p w14:paraId="0CBB1B59" w14:textId="77777777" w:rsidR="00025421" w:rsidRPr="001651EC" w:rsidRDefault="00025421" w:rsidP="00025421">
      <w:pPr>
        <w:jc w:val="center"/>
        <w:rPr>
          <w:rFonts w:ascii="Arial" w:hAnsi="Arial" w:cs="Arial"/>
          <w:b/>
          <w:bCs/>
        </w:rPr>
      </w:pPr>
      <w:r w:rsidRPr="001651EC">
        <w:rPr>
          <w:rFonts w:ascii="Arial" w:hAnsi="Arial" w:cs="Arial"/>
          <w:b/>
          <w:bCs/>
        </w:rPr>
        <w:t>Special Resolutions</w:t>
      </w:r>
    </w:p>
    <w:p w14:paraId="0114CD0C" w14:textId="77777777" w:rsidR="00025421" w:rsidRPr="001651EC" w:rsidRDefault="00025421" w:rsidP="00025421">
      <w:pPr>
        <w:jc w:val="center"/>
        <w:rPr>
          <w:rFonts w:ascii="Arial" w:eastAsia="MS Mincho" w:hAnsi="Arial" w:cs="Mangal"/>
          <w:lang w:eastAsia="ja-JP"/>
        </w:rPr>
      </w:pPr>
    </w:p>
    <w:p w14:paraId="160B032E" w14:textId="77777777" w:rsidR="001651EC" w:rsidRPr="001651EC" w:rsidRDefault="001651EC" w:rsidP="004C7035">
      <w:pPr>
        <w:pStyle w:val="NumberedText-123etc"/>
        <w:numPr>
          <w:ilvl w:val="0"/>
          <w:numId w:val="0"/>
        </w:numPr>
        <w:tabs>
          <w:tab w:val="left" w:pos="709"/>
        </w:tabs>
        <w:rPr>
          <w:color w:val="auto"/>
          <w:sz w:val="22"/>
          <w:szCs w:val="22"/>
        </w:rPr>
      </w:pPr>
      <w:r w:rsidRPr="001651EC">
        <w:rPr>
          <w:color w:val="auto"/>
          <w:sz w:val="22"/>
          <w:szCs w:val="22"/>
        </w:rPr>
        <w:t>10</w:t>
      </w:r>
      <w:r w:rsidR="00025421" w:rsidRPr="001651EC">
        <w:rPr>
          <w:color w:val="auto"/>
          <w:sz w:val="22"/>
          <w:szCs w:val="22"/>
        </w:rPr>
        <w:t>.</w:t>
      </w:r>
      <w:r w:rsidR="00025421" w:rsidRPr="001651EC">
        <w:rPr>
          <w:color w:val="auto"/>
          <w:sz w:val="22"/>
          <w:szCs w:val="22"/>
        </w:rPr>
        <w:tab/>
      </w:r>
      <w:r w:rsidRPr="001651EC">
        <w:rPr>
          <w:color w:val="auto"/>
          <w:sz w:val="22"/>
          <w:szCs w:val="22"/>
        </w:rPr>
        <w:t xml:space="preserve">To authorise the Directors (including a duly authorised committee thereof) to: (a) allot </w:t>
      </w:r>
      <w:r w:rsidRPr="001651EC">
        <w:rPr>
          <w:color w:val="auto"/>
          <w:sz w:val="22"/>
          <w:szCs w:val="22"/>
        </w:rPr>
        <w:tab/>
        <w:t xml:space="preserve">equity securities (as defined in section 560 of the Companies Act 2006 (the ‘Act’)) for </w:t>
      </w:r>
      <w:r w:rsidRPr="001651EC">
        <w:rPr>
          <w:color w:val="auto"/>
          <w:sz w:val="22"/>
          <w:szCs w:val="22"/>
        </w:rPr>
        <w:tab/>
        <w:t xml:space="preserve">cash pursuant to the authority conferred by resolution 9; and/or (b) sell ordinary </w:t>
      </w:r>
      <w:r w:rsidRPr="001651EC">
        <w:rPr>
          <w:color w:val="auto"/>
          <w:sz w:val="22"/>
          <w:szCs w:val="22"/>
        </w:rPr>
        <w:tab/>
        <w:t xml:space="preserve">shares held by the Company as treasury shares for cash, in each case as if section </w:t>
      </w:r>
      <w:r w:rsidRPr="001651EC">
        <w:rPr>
          <w:color w:val="auto"/>
          <w:sz w:val="22"/>
          <w:szCs w:val="22"/>
        </w:rPr>
        <w:tab/>
        <w:t xml:space="preserve">561(1) of the Act did not apply to any such allotment and/or sale, provided that this </w:t>
      </w:r>
      <w:r w:rsidRPr="001651EC">
        <w:rPr>
          <w:color w:val="auto"/>
          <w:sz w:val="22"/>
          <w:szCs w:val="22"/>
        </w:rPr>
        <w:tab/>
        <w:t>power shall be limited to:</w:t>
      </w:r>
    </w:p>
    <w:p w14:paraId="3F85A992" w14:textId="77777777" w:rsidR="001651EC" w:rsidRPr="001651EC" w:rsidRDefault="004C7035" w:rsidP="004C7035">
      <w:pPr>
        <w:pStyle w:val="NumberedText-iiiiiietc"/>
        <w:numPr>
          <w:ilvl w:val="0"/>
          <w:numId w:val="0"/>
        </w:numPr>
        <w:tabs>
          <w:tab w:val="left" w:pos="993"/>
        </w:tabs>
        <w:ind w:left="720"/>
        <w:rPr>
          <w:color w:val="auto"/>
          <w:sz w:val="22"/>
          <w:szCs w:val="22"/>
        </w:rPr>
      </w:pPr>
      <w:proofErr w:type="spellStart"/>
      <w:r>
        <w:rPr>
          <w:color w:val="auto"/>
          <w:sz w:val="22"/>
          <w:szCs w:val="22"/>
        </w:rPr>
        <w:t>i</w:t>
      </w:r>
      <w:proofErr w:type="spellEnd"/>
      <w:r>
        <w:rPr>
          <w:color w:val="auto"/>
          <w:sz w:val="22"/>
          <w:szCs w:val="22"/>
        </w:rPr>
        <w:t>.</w:t>
      </w:r>
      <w:r>
        <w:rPr>
          <w:color w:val="auto"/>
          <w:sz w:val="22"/>
          <w:szCs w:val="22"/>
        </w:rPr>
        <w:tab/>
      </w:r>
      <w:r w:rsidR="001651EC" w:rsidRPr="001651EC">
        <w:rPr>
          <w:color w:val="auto"/>
          <w:sz w:val="22"/>
          <w:szCs w:val="22"/>
        </w:rPr>
        <w:t xml:space="preserve">the allotment of equity securities and/or sale of treasury shares in connection with </w:t>
      </w:r>
      <w:r>
        <w:rPr>
          <w:color w:val="auto"/>
          <w:sz w:val="22"/>
          <w:szCs w:val="22"/>
        </w:rPr>
        <w:tab/>
      </w:r>
      <w:r w:rsidR="001651EC" w:rsidRPr="001651EC">
        <w:rPr>
          <w:color w:val="auto"/>
          <w:sz w:val="22"/>
          <w:szCs w:val="22"/>
        </w:rPr>
        <w:t>a rights issue, open offer or any other pre-emptive offer:</w:t>
      </w:r>
    </w:p>
    <w:p w14:paraId="05C70B50" w14:textId="77777777" w:rsidR="001651EC" w:rsidRPr="001651EC" w:rsidRDefault="001651EC" w:rsidP="001651EC">
      <w:pPr>
        <w:numPr>
          <w:ilvl w:val="1"/>
          <w:numId w:val="3"/>
        </w:numPr>
        <w:spacing w:after="113" w:line="220" w:lineRule="atLeast"/>
        <w:rPr>
          <w:rFonts w:ascii="Arial" w:eastAsia="MS Mincho" w:hAnsi="Arial" w:cs="Mangal"/>
          <w:lang w:eastAsia="ja-JP"/>
        </w:rPr>
      </w:pPr>
      <w:r w:rsidRPr="001651EC">
        <w:rPr>
          <w:rFonts w:ascii="Arial" w:eastAsia="MS Mincho" w:hAnsi="Arial" w:cs="Mangal"/>
          <w:lang w:eastAsia="ja-JP"/>
        </w:rPr>
        <w:t>to holders of ordinary shares (excluding any holder of shares held as treasury shares) in proportion (as nearly as may be practicable) to their existing holdings; and</w:t>
      </w:r>
    </w:p>
    <w:p w14:paraId="4009BFF3" w14:textId="77777777" w:rsidR="001651EC" w:rsidRPr="001651EC" w:rsidRDefault="001651EC" w:rsidP="001651EC">
      <w:pPr>
        <w:numPr>
          <w:ilvl w:val="1"/>
          <w:numId w:val="3"/>
        </w:numPr>
        <w:spacing w:after="113" w:line="220" w:lineRule="atLeast"/>
        <w:rPr>
          <w:rFonts w:ascii="Arial" w:eastAsia="MS Mincho" w:hAnsi="Arial" w:cs="Mangal"/>
          <w:lang w:eastAsia="ja-JP"/>
        </w:rPr>
      </w:pPr>
      <w:r w:rsidRPr="001651EC">
        <w:rPr>
          <w:rFonts w:ascii="Arial" w:eastAsia="MS Mincho" w:hAnsi="Arial" w:cs="Mangal"/>
          <w:lang w:eastAsia="ja-JP"/>
        </w:rPr>
        <w:t xml:space="preserve">to holders of other equity securities (excluding any holder of shares held as treasury shares), as required by the rights of those securities, or as the Directors otherwise consider necessary,  </w:t>
      </w:r>
    </w:p>
    <w:p w14:paraId="5115967B" w14:textId="77777777" w:rsidR="001651EC" w:rsidRPr="001651EC" w:rsidRDefault="001651EC" w:rsidP="001651EC">
      <w:pPr>
        <w:spacing w:after="113" w:line="220" w:lineRule="atLeast"/>
        <w:ind w:left="851"/>
        <w:rPr>
          <w:rFonts w:ascii="Arial" w:eastAsia="MS Mincho" w:hAnsi="Arial" w:cs="Mangal"/>
          <w:lang w:eastAsia="ja-JP"/>
        </w:rPr>
      </w:pPr>
      <w:r w:rsidRPr="001651EC">
        <w:rPr>
          <w:rFonts w:ascii="Arial" w:eastAsia="MS Mincho" w:hAnsi="Arial" w:cs="Mangal"/>
          <w:lang w:eastAsia="ja-JP"/>
        </w:rPr>
        <w:t>subject, in either case, to such exclusions or other arrangements as the Directors (including a duly authorised committee thereof) may deem necessary or expedient to deal with fractional entitlements or legal or practical problems arising in any territory, the requirements of any regulatory body or stock exchange or any other matter whatsoever; and</w:t>
      </w:r>
    </w:p>
    <w:p w14:paraId="443AD848" w14:textId="6E07E2B1" w:rsidR="001651EC" w:rsidRPr="001651EC" w:rsidRDefault="001651EC" w:rsidP="001651EC">
      <w:pPr>
        <w:pStyle w:val="NumberedText-iiiiiietc"/>
        <w:numPr>
          <w:ilvl w:val="0"/>
          <w:numId w:val="6"/>
        </w:numPr>
        <w:rPr>
          <w:color w:val="auto"/>
          <w:sz w:val="22"/>
          <w:szCs w:val="22"/>
        </w:rPr>
      </w:pPr>
      <w:r w:rsidRPr="001651EC">
        <w:rPr>
          <w:rFonts w:hint="eastAsia"/>
          <w:color w:val="auto"/>
          <w:sz w:val="22"/>
          <w:szCs w:val="22"/>
        </w:rPr>
        <w:t xml:space="preserve">the allotment (otherwise than pursuant to sub-paragraph </w:t>
      </w:r>
      <w:proofErr w:type="spellStart"/>
      <w:r w:rsidRPr="001651EC">
        <w:rPr>
          <w:rFonts w:hint="eastAsia"/>
          <w:color w:val="auto"/>
          <w:sz w:val="22"/>
          <w:szCs w:val="22"/>
        </w:rPr>
        <w:t>i</w:t>
      </w:r>
      <w:proofErr w:type="spellEnd"/>
      <w:r w:rsidRPr="001651EC">
        <w:rPr>
          <w:color w:val="auto"/>
          <w:sz w:val="22"/>
          <w:szCs w:val="22"/>
        </w:rPr>
        <w:t>.</w:t>
      </w:r>
      <w:r w:rsidRPr="001651EC">
        <w:rPr>
          <w:rFonts w:hint="eastAsia"/>
          <w:color w:val="auto"/>
          <w:sz w:val="22"/>
          <w:szCs w:val="22"/>
        </w:rPr>
        <w:t>) of equity securities up to an aggregate nominal amount of</w:t>
      </w:r>
      <w:r w:rsidRPr="001651EC">
        <w:rPr>
          <w:color w:val="auto"/>
          <w:sz w:val="22"/>
          <w:szCs w:val="22"/>
        </w:rPr>
        <w:t xml:space="preserve"> </w:t>
      </w:r>
      <w:proofErr w:type="gramStart"/>
      <w:r w:rsidRPr="001651EC">
        <w:rPr>
          <w:rFonts w:hint="eastAsia"/>
          <w:color w:val="auto"/>
          <w:sz w:val="22"/>
          <w:szCs w:val="22"/>
        </w:rPr>
        <w:t>£</w:t>
      </w:r>
      <w:r w:rsidR="004423B5">
        <w:rPr>
          <w:color w:val="auto"/>
          <w:sz w:val="22"/>
          <w:szCs w:val="22"/>
        </w:rPr>
        <w:t>12</w:t>
      </w:r>
      <w:r w:rsidRPr="001651EC">
        <w:rPr>
          <w:color w:val="auto"/>
          <w:sz w:val="22"/>
          <w:szCs w:val="22"/>
        </w:rPr>
        <w:t>,</w:t>
      </w:r>
      <w:r w:rsidR="004423B5">
        <w:rPr>
          <w:color w:val="auto"/>
          <w:sz w:val="22"/>
          <w:szCs w:val="22"/>
        </w:rPr>
        <w:t>855</w:t>
      </w:r>
      <w:r w:rsidRPr="001651EC">
        <w:rPr>
          <w:color w:val="auto"/>
          <w:sz w:val="22"/>
          <w:szCs w:val="22"/>
        </w:rPr>
        <w:t>,</w:t>
      </w:r>
      <w:r w:rsidR="004423B5">
        <w:rPr>
          <w:color w:val="auto"/>
          <w:sz w:val="22"/>
          <w:szCs w:val="22"/>
        </w:rPr>
        <w:t>9</w:t>
      </w:r>
      <w:r w:rsidR="00BC2D25">
        <w:rPr>
          <w:color w:val="auto"/>
          <w:sz w:val="22"/>
          <w:szCs w:val="22"/>
        </w:rPr>
        <w:t>82</w:t>
      </w:r>
      <w:r w:rsidR="00980658">
        <w:rPr>
          <w:color w:val="auto"/>
          <w:sz w:val="22"/>
          <w:szCs w:val="22"/>
        </w:rPr>
        <w:t>;</w:t>
      </w:r>
      <w:proofErr w:type="gramEnd"/>
      <w:r w:rsidRPr="001651EC" w:rsidDel="005A7337">
        <w:rPr>
          <w:color w:val="auto"/>
          <w:sz w:val="22"/>
          <w:szCs w:val="22"/>
        </w:rPr>
        <w:t xml:space="preserve"> </w:t>
      </w:r>
    </w:p>
    <w:p w14:paraId="208815B4" w14:textId="205BB5CA" w:rsidR="00025421" w:rsidRPr="001651EC" w:rsidRDefault="004C7035" w:rsidP="004C7035">
      <w:pPr>
        <w:spacing w:after="113" w:line="220" w:lineRule="atLeast"/>
        <w:ind w:left="568"/>
        <w:rPr>
          <w:rFonts w:ascii="Arial" w:eastAsia="MS Mincho" w:hAnsi="Arial" w:cs="Mangal"/>
          <w:lang w:eastAsia="ja-JP"/>
        </w:rPr>
      </w:pPr>
      <w:r>
        <w:rPr>
          <w:rFonts w:ascii="Arial" w:eastAsia="MS Mincho" w:hAnsi="Arial" w:cs="Mangal"/>
          <w:lang w:eastAsia="ja-JP"/>
        </w:rPr>
        <w:tab/>
      </w:r>
      <w:r w:rsidR="001651EC" w:rsidRPr="001651EC">
        <w:rPr>
          <w:rFonts w:ascii="Arial" w:eastAsia="MS Mincho" w:hAnsi="Arial" w:cs="Mangal"/>
          <w:lang w:eastAsia="ja-JP"/>
        </w:rPr>
        <w:t xml:space="preserve">provided that this authority shall expire on the conclusion of the next annual general </w:t>
      </w:r>
      <w:r>
        <w:rPr>
          <w:rFonts w:ascii="Arial" w:eastAsia="MS Mincho" w:hAnsi="Arial" w:cs="Mangal"/>
          <w:lang w:eastAsia="ja-JP"/>
        </w:rPr>
        <w:tab/>
      </w:r>
      <w:r w:rsidR="001651EC" w:rsidRPr="001651EC">
        <w:rPr>
          <w:rFonts w:ascii="Arial" w:eastAsia="MS Mincho" w:hAnsi="Arial" w:cs="Mangal"/>
          <w:lang w:eastAsia="ja-JP"/>
        </w:rPr>
        <w:t xml:space="preserve">meeting of the Company (or, if earlier, close of business on the date falling 15 </w:t>
      </w:r>
      <w:r>
        <w:rPr>
          <w:rFonts w:ascii="Arial" w:eastAsia="MS Mincho" w:hAnsi="Arial" w:cs="Mangal"/>
          <w:lang w:eastAsia="ja-JP"/>
        </w:rPr>
        <w:tab/>
      </w:r>
      <w:r w:rsidR="001651EC" w:rsidRPr="001651EC">
        <w:rPr>
          <w:rFonts w:ascii="Arial" w:eastAsia="MS Mincho" w:hAnsi="Arial" w:cs="Mangal"/>
          <w:lang w:eastAsia="ja-JP"/>
        </w:rPr>
        <w:t xml:space="preserve">months after the date on which this resolution is passed), save that the Company </w:t>
      </w:r>
      <w:r>
        <w:rPr>
          <w:rFonts w:ascii="Arial" w:eastAsia="MS Mincho" w:hAnsi="Arial" w:cs="Mangal"/>
          <w:lang w:eastAsia="ja-JP"/>
        </w:rPr>
        <w:tab/>
      </w:r>
      <w:r w:rsidR="001651EC" w:rsidRPr="001651EC">
        <w:rPr>
          <w:rFonts w:ascii="Arial" w:eastAsia="MS Mincho" w:hAnsi="Arial" w:cs="Mangal"/>
          <w:lang w:eastAsia="ja-JP"/>
        </w:rPr>
        <w:t xml:space="preserve">may, before such expiry, make offers or agreements which would or might require </w:t>
      </w:r>
      <w:r>
        <w:rPr>
          <w:rFonts w:ascii="Arial" w:eastAsia="MS Mincho" w:hAnsi="Arial" w:cs="Mangal"/>
          <w:lang w:eastAsia="ja-JP"/>
        </w:rPr>
        <w:tab/>
      </w:r>
      <w:r w:rsidR="001651EC" w:rsidRPr="001651EC">
        <w:rPr>
          <w:rFonts w:ascii="Arial" w:eastAsia="MS Mincho" w:hAnsi="Arial" w:cs="Mangal"/>
          <w:lang w:eastAsia="ja-JP"/>
        </w:rPr>
        <w:t xml:space="preserve">equity securities to be allotted (and/or </w:t>
      </w:r>
      <w:r w:rsidR="00980658">
        <w:rPr>
          <w:rFonts w:ascii="Arial" w:eastAsia="MS Mincho" w:hAnsi="Arial" w:cs="Mangal"/>
          <w:lang w:eastAsia="ja-JP"/>
        </w:rPr>
        <w:t>treasury shares to be sold</w:t>
      </w:r>
      <w:r w:rsidR="001651EC" w:rsidRPr="001651EC">
        <w:rPr>
          <w:rFonts w:ascii="Arial" w:eastAsia="MS Mincho" w:hAnsi="Arial" w:cs="Mangal"/>
          <w:lang w:eastAsia="ja-JP"/>
        </w:rPr>
        <w:t xml:space="preserve">) after such expiry, </w:t>
      </w:r>
      <w:r>
        <w:rPr>
          <w:rFonts w:ascii="Arial" w:eastAsia="MS Mincho" w:hAnsi="Arial" w:cs="Mangal"/>
          <w:lang w:eastAsia="ja-JP"/>
        </w:rPr>
        <w:tab/>
      </w:r>
      <w:r w:rsidR="001651EC" w:rsidRPr="001651EC">
        <w:rPr>
          <w:rFonts w:ascii="Arial" w:eastAsia="MS Mincho" w:hAnsi="Arial" w:cs="Mangal"/>
          <w:lang w:eastAsia="ja-JP"/>
        </w:rPr>
        <w:t xml:space="preserve">and the Directors may allot equity securities (and/or sell treasury shares) in </w:t>
      </w:r>
      <w:r>
        <w:rPr>
          <w:rFonts w:ascii="Arial" w:eastAsia="MS Mincho" w:hAnsi="Arial" w:cs="Mangal"/>
          <w:lang w:eastAsia="ja-JP"/>
        </w:rPr>
        <w:tab/>
      </w:r>
      <w:r w:rsidR="001651EC" w:rsidRPr="001651EC">
        <w:rPr>
          <w:rFonts w:ascii="Arial" w:eastAsia="MS Mincho" w:hAnsi="Arial" w:cs="Mangal"/>
          <w:lang w:eastAsia="ja-JP"/>
        </w:rPr>
        <w:t xml:space="preserve">pursuance of any such offer or agreement as if the authority conferred by this </w:t>
      </w:r>
      <w:r>
        <w:rPr>
          <w:rFonts w:ascii="Arial" w:eastAsia="MS Mincho" w:hAnsi="Arial" w:cs="Mangal"/>
          <w:lang w:eastAsia="ja-JP"/>
        </w:rPr>
        <w:tab/>
      </w:r>
      <w:r w:rsidR="001651EC" w:rsidRPr="001651EC">
        <w:rPr>
          <w:rFonts w:ascii="Arial" w:eastAsia="MS Mincho" w:hAnsi="Arial" w:cs="Mangal"/>
          <w:lang w:eastAsia="ja-JP"/>
        </w:rPr>
        <w:t>resolution had not expired.</w:t>
      </w:r>
    </w:p>
    <w:p w14:paraId="1FB5622D" w14:textId="77777777" w:rsidR="0090476F" w:rsidRPr="004C7035" w:rsidRDefault="0090476F" w:rsidP="00025421">
      <w:pPr>
        <w:spacing w:after="113" w:line="220" w:lineRule="atLeast"/>
        <w:ind w:left="568"/>
        <w:rPr>
          <w:rFonts w:ascii="Arial" w:eastAsia="MS Mincho" w:hAnsi="Arial" w:cs="Mangal"/>
          <w:highlight w:val="yellow"/>
          <w:lang w:eastAsia="ja-JP"/>
        </w:rPr>
      </w:pPr>
    </w:p>
    <w:p w14:paraId="0C840C47" w14:textId="578FA338" w:rsidR="004C7035" w:rsidRPr="004C7035" w:rsidRDefault="004C7035" w:rsidP="004C7035">
      <w:pPr>
        <w:pStyle w:val="NumberedText-123etc"/>
        <w:numPr>
          <w:ilvl w:val="0"/>
          <w:numId w:val="0"/>
        </w:numPr>
        <w:ind w:left="284" w:hanging="284"/>
        <w:rPr>
          <w:color w:val="auto"/>
          <w:sz w:val="22"/>
          <w:szCs w:val="22"/>
        </w:rPr>
      </w:pPr>
      <w:r w:rsidRPr="004C7035">
        <w:rPr>
          <w:color w:val="auto"/>
          <w:sz w:val="22"/>
          <w:szCs w:val="22"/>
        </w:rPr>
        <w:t>11.</w:t>
      </w:r>
      <w:r w:rsidRPr="004C7035">
        <w:rPr>
          <w:color w:val="auto"/>
          <w:sz w:val="22"/>
          <w:szCs w:val="22"/>
        </w:rPr>
        <w:tab/>
        <w:t xml:space="preserve">To authorise the Company generally and unconditionally for the purposes of section </w:t>
      </w:r>
      <w:r w:rsidRPr="004C7035">
        <w:rPr>
          <w:color w:val="auto"/>
          <w:sz w:val="22"/>
          <w:szCs w:val="22"/>
        </w:rPr>
        <w:tab/>
        <w:t xml:space="preserve">701 of the Companies Act 2006 (the ‘Act’) to make market purchases, within the </w:t>
      </w:r>
      <w:r w:rsidRPr="004C7035">
        <w:rPr>
          <w:color w:val="auto"/>
          <w:sz w:val="22"/>
          <w:szCs w:val="22"/>
        </w:rPr>
        <w:tab/>
        <w:t xml:space="preserve">meaning of section 693(4) of the Act, of its own ordinary shares subject to the </w:t>
      </w:r>
      <w:r w:rsidR="005675D5">
        <w:rPr>
          <w:color w:val="auto"/>
          <w:sz w:val="22"/>
          <w:szCs w:val="22"/>
        </w:rPr>
        <w:tab/>
      </w:r>
      <w:r w:rsidRPr="004C7035">
        <w:rPr>
          <w:color w:val="auto"/>
          <w:sz w:val="22"/>
          <w:szCs w:val="22"/>
        </w:rPr>
        <w:t>following conditions:</w:t>
      </w:r>
    </w:p>
    <w:p w14:paraId="40D7AE8C" w14:textId="744D99BE" w:rsidR="004C7035" w:rsidRPr="004C7035" w:rsidRDefault="004C7035" w:rsidP="004C7035">
      <w:pPr>
        <w:numPr>
          <w:ilvl w:val="1"/>
          <w:numId w:val="4"/>
        </w:numPr>
        <w:spacing w:after="113" w:line="220" w:lineRule="atLeast"/>
        <w:ind w:left="1135" w:hanging="284"/>
        <w:rPr>
          <w:rFonts w:ascii="Arial" w:eastAsia="MS Mincho" w:hAnsi="Arial" w:cs="Mangal"/>
          <w:lang w:eastAsia="ja-JP"/>
        </w:rPr>
      </w:pPr>
      <w:r w:rsidRPr="004C7035">
        <w:rPr>
          <w:rFonts w:ascii="Arial" w:eastAsia="MS Mincho" w:hAnsi="Arial" w:cs="Mangal" w:hint="eastAsia"/>
          <w:lang w:eastAsia="ja-JP"/>
        </w:rPr>
        <w:t xml:space="preserve">the maximum number of </w:t>
      </w:r>
      <w:r w:rsidRPr="004C7035">
        <w:rPr>
          <w:rFonts w:ascii="Arial" w:eastAsia="MS Mincho" w:hAnsi="Arial" w:cs="Mangal"/>
          <w:lang w:eastAsia="ja-JP"/>
        </w:rPr>
        <w:t>such o</w:t>
      </w:r>
      <w:r w:rsidRPr="004C7035">
        <w:rPr>
          <w:rFonts w:ascii="Arial" w:eastAsia="MS Mincho" w:hAnsi="Arial" w:cs="Mangal" w:hint="eastAsia"/>
          <w:lang w:eastAsia="ja-JP"/>
        </w:rPr>
        <w:t xml:space="preserve">rdinary </w:t>
      </w:r>
      <w:r w:rsidRPr="004C7035">
        <w:rPr>
          <w:rFonts w:ascii="Arial" w:eastAsia="MS Mincho" w:hAnsi="Arial" w:cs="Mangal"/>
          <w:lang w:eastAsia="ja-JP"/>
        </w:rPr>
        <w:t>s</w:t>
      </w:r>
      <w:r w:rsidRPr="004C7035">
        <w:rPr>
          <w:rFonts w:ascii="Arial" w:eastAsia="MS Mincho" w:hAnsi="Arial" w:cs="Mangal" w:hint="eastAsia"/>
          <w:lang w:eastAsia="ja-JP"/>
        </w:rPr>
        <w:t xml:space="preserve">hares hereby authorised to be </w:t>
      </w:r>
      <w:r w:rsidRPr="004C7035">
        <w:rPr>
          <w:rFonts w:ascii="Arial" w:eastAsia="MS Mincho" w:hAnsi="Arial" w:cs="Mangal"/>
          <w:lang w:eastAsia="ja-JP"/>
        </w:rPr>
        <w:t xml:space="preserve">purchased is </w:t>
      </w:r>
      <w:proofErr w:type="gramStart"/>
      <w:r w:rsidR="0072064B">
        <w:rPr>
          <w:rFonts w:ascii="Arial" w:eastAsia="MS Mincho" w:hAnsi="Arial" w:cs="Mangal"/>
          <w:lang w:eastAsia="ja-JP"/>
        </w:rPr>
        <w:t>92,037,</w:t>
      </w:r>
      <w:r w:rsidR="00BC2D25">
        <w:rPr>
          <w:rFonts w:ascii="Arial" w:eastAsia="MS Mincho" w:hAnsi="Arial" w:cs="Mangal"/>
          <w:lang w:eastAsia="ja-JP"/>
        </w:rPr>
        <w:t>146</w:t>
      </w:r>
      <w:r w:rsidRPr="004C7035">
        <w:rPr>
          <w:rFonts w:ascii="Arial" w:eastAsia="MS Mincho" w:hAnsi="Arial" w:cs="Mangal" w:hint="eastAsia"/>
          <w:lang w:eastAsia="ja-JP"/>
        </w:rPr>
        <w:t>;</w:t>
      </w:r>
      <w:proofErr w:type="gramEnd"/>
      <w:r w:rsidRPr="004C7035">
        <w:rPr>
          <w:rFonts w:ascii="Arial" w:eastAsia="MS Mincho" w:hAnsi="Arial" w:cs="Mangal"/>
          <w:lang w:eastAsia="ja-JP"/>
        </w:rPr>
        <w:t xml:space="preserve"> </w:t>
      </w:r>
    </w:p>
    <w:p w14:paraId="2D5017E3" w14:textId="77777777" w:rsidR="004C7035" w:rsidRPr="004C7035" w:rsidRDefault="004C7035" w:rsidP="004C7035">
      <w:pPr>
        <w:numPr>
          <w:ilvl w:val="1"/>
          <w:numId w:val="4"/>
        </w:numPr>
        <w:spacing w:after="113" w:line="220" w:lineRule="atLeast"/>
        <w:ind w:left="1135" w:hanging="284"/>
        <w:rPr>
          <w:rFonts w:ascii="Arial" w:eastAsia="MS Mincho" w:hAnsi="Arial" w:cs="Mangal"/>
          <w:lang w:eastAsia="ja-JP"/>
        </w:rPr>
      </w:pPr>
      <w:r w:rsidRPr="004C7035">
        <w:rPr>
          <w:rFonts w:ascii="Arial" w:eastAsia="MS Mincho" w:hAnsi="Arial" w:cs="Mangal"/>
          <w:lang w:eastAsia="ja-JP"/>
        </w:rPr>
        <w:t>the maximum price, exclusive of expenses, which may be paid for any such ordinary share is the higher of:</w:t>
      </w:r>
    </w:p>
    <w:p w14:paraId="74B12FEF" w14:textId="77777777" w:rsidR="004C7035" w:rsidRPr="004C7035" w:rsidRDefault="004C7035" w:rsidP="004C7035">
      <w:pPr>
        <w:numPr>
          <w:ilvl w:val="2"/>
          <w:numId w:val="4"/>
        </w:numPr>
        <w:spacing w:after="113" w:line="220" w:lineRule="atLeast"/>
        <w:ind w:left="1418" w:hanging="284"/>
        <w:rPr>
          <w:rFonts w:ascii="Arial" w:eastAsia="MS Mincho" w:hAnsi="Arial" w:cs="Mangal"/>
          <w:lang w:eastAsia="ja-JP"/>
        </w:rPr>
      </w:pPr>
      <w:r w:rsidRPr="004C7035">
        <w:rPr>
          <w:rFonts w:ascii="Arial" w:eastAsia="MS Mincho" w:hAnsi="Arial" w:cs="Mangal"/>
          <w:lang w:eastAsia="ja-JP"/>
        </w:rPr>
        <w:t>5% above the average of the middle market quotations for the ordinary shares in the Company as derived from the London Stock Exchange Daily Official List for the five business days immediately preceding the date on which such ordinary shares are contracted to be purchased; and</w:t>
      </w:r>
    </w:p>
    <w:p w14:paraId="4C88E72C" w14:textId="77777777" w:rsidR="004C7035" w:rsidRPr="004C7035" w:rsidRDefault="004C7035" w:rsidP="004C7035">
      <w:pPr>
        <w:numPr>
          <w:ilvl w:val="2"/>
          <w:numId w:val="4"/>
        </w:numPr>
        <w:spacing w:after="113" w:line="220" w:lineRule="atLeast"/>
        <w:ind w:left="1418" w:hanging="284"/>
        <w:rPr>
          <w:rFonts w:ascii="Arial" w:eastAsia="MS Mincho" w:hAnsi="Arial" w:cs="Mangal"/>
          <w:lang w:eastAsia="ja-JP"/>
        </w:rPr>
      </w:pPr>
      <w:r w:rsidRPr="004C7035">
        <w:rPr>
          <w:rFonts w:ascii="Arial" w:eastAsia="MS Mincho" w:hAnsi="Arial" w:cs="Mangal"/>
          <w:lang w:eastAsia="ja-JP"/>
        </w:rPr>
        <w:lastRenderedPageBreak/>
        <w:t xml:space="preserve">the higher of the price of the last independent trade and the highest current independent bid on the London Stock Exchange Daily Official List at the time the purchase is carried </w:t>
      </w:r>
      <w:proofErr w:type="gramStart"/>
      <w:r w:rsidRPr="004C7035">
        <w:rPr>
          <w:rFonts w:ascii="Arial" w:eastAsia="MS Mincho" w:hAnsi="Arial" w:cs="Mangal"/>
          <w:lang w:eastAsia="ja-JP"/>
        </w:rPr>
        <w:t>out;</w:t>
      </w:r>
      <w:proofErr w:type="gramEnd"/>
    </w:p>
    <w:p w14:paraId="3B196CDC" w14:textId="2348441F" w:rsidR="004C7035" w:rsidRPr="004C7035" w:rsidRDefault="004C7035" w:rsidP="004C7035">
      <w:pPr>
        <w:numPr>
          <w:ilvl w:val="1"/>
          <w:numId w:val="4"/>
        </w:numPr>
        <w:spacing w:after="113" w:line="220" w:lineRule="atLeast"/>
        <w:ind w:left="1135" w:hanging="284"/>
        <w:rPr>
          <w:rFonts w:ascii="Arial" w:eastAsia="MS Mincho" w:hAnsi="Arial" w:cs="Mangal"/>
          <w:lang w:eastAsia="ja-JP"/>
        </w:rPr>
      </w:pPr>
      <w:r w:rsidRPr="004C7035">
        <w:rPr>
          <w:rFonts w:ascii="Arial" w:eastAsia="MS Mincho" w:hAnsi="Arial" w:cs="Mangal"/>
          <w:lang w:eastAsia="ja-JP"/>
        </w:rPr>
        <w:t xml:space="preserve">the minimum price, exclusive of expenses, which may be paid for any such ordinary share </w:t>
      </w:r>
      <w:r w:rsidR="00B10820">
        <w:rPr>
          <w:rFonts w:ascii="Arial" w:eastAsia="MS Mincho" w:hAnsi="Arial" w:cs="Mangal"/>
          <w:lang w:eastAsia="ja-JP"/>
        </w:rPr>
        <w:t>is the nominal price of that share</w:t>
      </w:r>
      <w:r w:rsidRPr="004C7035">
        <w:rPr>
          <w:rFonts w:ascii="Arial" w:eastAsia="MS Mincho" w:hAnsi="Arial" w:cs="Mangal"/>
          <w:lang w:eastAsia="ja-JP"/>
        </w:rPr>
        <w:t xml:space="preserve">; and </w:t>
      </w:r>
    </w:p>
    <w:p w14:paraId="597200A6" w14:textId="77777777" w:rsidR="004C7035" w:rsidRPr="004C7035" w:rsidRDefault="004C7035" w:rsidP="004C7035">
      <w:pPr>
        <w:numPr>
          <w:ilvl w:val="1"/>
          <w:numId w:val="4"/>
        </w:numPr>
        <w:spacing w:after="113" w:line="220" w:lineRule="atLeast"/>
        <w:ind w:left="1135" w:hanging="284"/>
        <w:rPr>
          <w:rFonts w:ascii="Arial" w:eastAsia="MS Mincho" w:hAnsi="Arial" w:cs="Mangal"/>
          <w:lang w:eastAsia="ja-JP"/>
        </w:rPr>
      </w:pPr>
      <w:r w:rsidRPr="004C7035">
        <w:rPr>
          <w:rFonts w:ascii="Arial" w:eastAsia="MS Mincho" w:hAnsi="Arial" w:cs="Mangal"/>
          <w:lang w:eastAsia="ja-JP"/>
        </w:rPr>
        <w:t>such authority shall (unless renewed prior to such time) expire on the conclusion of the next annual general meeting of the Company (or, if earlier, close of business on the date falling 15 months after the date on which this resolution is passed), save that the Company may, before such expiry, enter into a contract or contracts to purchase its ordinary shares which would or might be completed wholly or partly after such expiry and may purchase its ordinary shares in pursuance of any such contract or contracts as if the authority conferred by this resolution had not expired.</w:t>
      </w:r>
    </w:p>
    <w:p w14:paraId="058FBA26" w14:textId="77777777" w:rsidR="00025421" w:rsidRPr="004C7035" w:rsidRDefault="00025421" w:rsidP="004C7035">
      <w:pPr>
        <w:tabs>
          <w:tab w:val="num" w:pos="568"/>
        </w:tabs>
        <w:spacing w:after="113" w:line="220" w:lineRule="atLeast"/>
        <w:ind w:left="284" w:hanging="284"/>
        <w:rPr>
          <w:rFonts w:ascii="Arial" w:eastAsia="MS Mincho" w:hAnsi="Arial" w:cs="Mangal"/>
          <w:lang w:eastAsia="ja-JP"/>
        </w:rPr>
      </w:pPr>
    </w:p>
    <w:p w14:paraId="75E4EF1C" w14:textId="77777777" w:rsidR="004C7035" w:rsidRPr="004C7035" w:rsidRDefault="004C7035" w:rsidP="004C7035">
      <w:pPr>
        <w:pStyle w:val="NumberedText-123etc"/>
        <w:numPr>
          <w:ilvl w:val="0"/>
          <w:numId w:val="0"/>
        </w:numPr>
        <w:tabs>
          <w:tab w:val="left" w:pos="709"/>
        </w:tabs>
        <w:ind w:left="284" w:hanging="284"/>
        <w:rPr>
          <w:color w:val="auto"/>
          <w:sz w:val="22"/>
          <w:szCs w:val="22"/>
        </w:rPr>
      </w:pPr>
      <w:r w:rsidRPr="004C7035">
        <w:rPr>
          <w:rFonts w:cs="Arial"/>
          <w:color w:val="auto"/>
          <w:sz w:val="22"/>
          <w:szCs w:val="22"/>
        </w:rPr>
        <w:t>13.</w:t>
      </w:r>
      <w:r w:rsidRPr="004C7035">
        <w:rPr>
          <w:rFonts w:cs="Arial"/>
          <w:b/>
          <w:bCs/>
          <w:color w:val="auto"/>
          <w:sz w:val="22"/>
          <w:szCs w:val="22"/>
        </w:rPr>
        <w:tab/>
      </w:r>
      <w:r w:rsidRPr="004C7035">
        <w:rPr>
          <w:rFonts w:cs="Arial"/>
          <w:b/>
          <w:bCs/>
          <w:color w:val="auto"/>
          <w:sz w:val="22"/>
          <w:szCs w:val="22"/>
        </w:rPr>
        <w:tab/>
      </w:r>
      <w:r w:rsidRPr="004C7035">
        <w:rPr>
          <w:color w:val="auto"/>
          <w:sz w:val="22"/>
          <w:szCs w:val="22"/>
        </w:rPr>
        <w:t xml:space="preserve">To authorise the Directors (including a duly authorised committee thereof), subject to </w:t>
      </w:r>
      <w:r>
        <w:rPr>
          <w:color w:val="auto"/>
          <w:sz w:val="22"/>
          <w:szCs w:val="22"/>
        </w:rPr>
        <w:tab/>
      </w:r>
      <w:r w:rsidRPr="004C7035">
        <w:rPr>
          <w:color w:val="auto"/>
          <w:sz w:val="22"/>
          <w:szCs w:val="22"/>
        </w:rPr>
        <w:t xml:space="preserve">and conditional on the passing of resolution 12, to allot equity securities (as </w:t>
      </w:r>
      <w:r>
        <w:rPr>
          <w:color w:val="auto"/>
          <w:sz w:val="22"/>
          <w:szCs w:val="22"/>
        </w:rPr>
        <w:tab/>
      </w:r>
      <w:r w:rsidRPr="004C7035">
        <w:rPr>
          <w:color w:val="auto"/>
          <w:sz w:val="22"/>
          <w:szCs w:val="22"/>
        </w:rPr>
        <w:t xml:space="preserve">defined in section 560 of the Companies Act 2006 (the ‘Act’)) for cash pursuant to the </w:t>
      </w:r>
      <w:r>
        <w:rPr>
          <w:color w:val="auto"/>
          <w:sz w:val="22"/>
          <w:szCs w:val="22"/>
        </w:rPr>
        <w:tab/>
      </w:r>
      <w:r w:rsidRPr="004C7035">
        <w:rPr>
          <w:color w:val="auto"/>
          <w:sz w:val="22"/>
          <w:szCs w:val="22"/>
        </w:rPr>
        <w:t xml:space="preserve">authority conferred by resolution 12 as if section 561(1) of the Act did not apply to </w:t>
      </w:r>
      <w:r>
        <w:rPr>
          <w:color w:val="auto"/>
          <w:sz w:val="22"/>
          <w:szCs w:val="22"/>
        </w:rPr>
        <w:tab/>
      </w:r>
      <w:r w:rsidRPr="004C7035">
        <w:rPr>
          <w:color w:val="auto"/>
          <w:sz w:val="22"/>
          <w:szCs w:val="22"/>
        </w:rPr>
        <w:t xml:space="preserve">any such allotment. </w:t>
      </w:r>
    </w:p>
    <w:p w14:paraId="6AB604EC" w14:textId="4FF8B408" w:rsidR="00025421" w:rsidRPr="00A412CE" w:rsidRDefault="004C7035" w:rsidP="00A412CE">
      <w:pPr>
        <w:spacing w:after="113" w:line="220" w:lineRule="atLeast"/>
        <w:ind w:left="567"/>
        <w:rPr>
          <w:rFonts w:ascii="Arial" w:eastAsia="MS Mincho" w:hAnsi="Arial" w:cs="Mangal"/>
          <w:lang w:eastAsia="ja-JP"/>
        </w:rPr>
      </w:pPr>
      <w:r w:rsidRPr="004C7035">
        <w:rPr>
          <w:rFonts w:ascii="Arial" w:eastAsia="MS Mincho" w:hAnsi="Arial" w:cs="Mangal"/>
          <w:lang w:eastAsia="ja-JP"/>
        </w:rPr>
        <w:tab/>
        <w:t xml:space="preserve">This authority shall apply in addition to any authority granted pursuant to resolution </w:t>
      </w:r>
      <w:r>
        <w:rPr>
          <w:rFonts w:ascii="Arial" w:eastAsia="MS Mincho" w:hAnsi="Arial" w:cs="Mangal"/>
          <w:lang w:eastAsia="ja-JP"/>
        </w:rPr>
        <w:tab/>
      </w:r>
      <w:r w:rsidRPr="004C7035">
        <w:rPr>
          <w:rFonts w:ascii="Arial" w:eastAsia="MS Mincho" w:hAnsi="Arial" w:cs="Mangal"/>
          <w:lang w:eastAsia="ja-JP"/>
        </w:rPr>
        <w:t xml:space="preserve">10, if passed, and shall (unless previously renewed, revoked or varied by the </w:t>
      </w:r>
      <w:r>
        <w:rPr>
          <w:rFonts w:ascii="Arial" w:eastAsia="MS Mincho" w:hAnsi="Arial" w:cs="Mangal"/>
          <w:lang w:eastAsia="ja-JP"/>
        </w:rPr>
        <w:tab/>
      </w:r>
      <w:r w:rsidRPr="004C7035">
        <w:rPr>
          <w:rFonts w:ascii="Arial" w:eastAsia="MS Mincho" w:hAnsi="Arial" w:cs="Mangal"/>
          <w:lang w:eastAsia="ja-JP"/>
        </w:rPr>
        <w:t xml:space="preserve">Company in general meeting) expire on the conclusion of the next annual general </w:t>
      </w:r>
      <w:r>
        <w:rPr>
          <w:rFonts w:ascii="Arial" w:eastAsia="MS Mincho" w:hAnsi="Arial" w:cs="Mangal"/>
          <w:lang w:eastAsia="ja-JP"/>
        </w:rPr>
        <w:tab/>
      </w:r>
      <w:r w:rsidRPr="004C7035">
        <w:rPr>
          <w:rFonts w:ascii="Arial" w:eastAsia="MS Mincho" w:hAnsi="Arial" w:cs="Mangal"/>
          <w:lang w:eastAsia="ja-JP"/>
        </w:rPr>
        <w:t xml:space="preserve">meeting of the Company (or, if earlier, close of business on the date falling 15 </w:t>
      </w:r>
      <w:r>
        <w:rPr>
          <w:rFonts w:ascii="Arial" w:eastAsia="MS Mincho" w:hAnsi="Arial" w:cs="Mangal"/>
          <w:lang w:eastAsia="ja-JP"/>
        </w:rPr>
        <w:tab/>
      </w:r>
      <w:r w:rsidRPr="004C7035">
        <w:rPr>
          <w:rFonts w:ascii="Arial" w:eastAsia="MS Mincho" w:hAnsi="Arial" w:cs="Mangal"/>
          <w:lang w:eastAsia="ja-JP"/>
        </w:rPr>
        <w:t xml:space="preserve">months after the date on which this resolution is passed), save that the Company </w:t>
      </w:r>
      <w:r>
        <w:rPr>
          <w:rFonts w:ascii="Arial" w:eastAsia="MS Mincho" w:hAnsi="Arial" w:cs="Mangal"/>
          <w:lang w:eastAsia="ja-JP"/>
        </w:rPr>
        <w:tab/>
      </w:r>
      <w:r w:rsidRPr="004C7035">
        <w:rPr>
          <w:rFonts w:ascii="Arial" w:eastAsia="MS Mincho" w:hAnsi="Arial" w:cs="Mangal"/>
          <w:lang w:eastAsia="ja-JP"/>
        </w:rPr>
        <w:t xml:space="preserve">may, before such expiry, make offers or agreements which would or might require </w:t>
      </w:r>
      <w:r>
        <w:rPr>
          <w:rFonts w:ascii="Arial" w:eastAsia="MS Mincho" w:hAnsi="Arial" w:cs="Mangal"/>
          <w:lang w:eastAsia="ja-JP"/>
        </w:rPr>
        <w:tab/>
      </w:r>
      <w:r w:rsidRPr="004C7035">
        <w:rPr>
          <w:rFonts w:ascii="Arial" w:eastAsia="MS Mincho" w:hAnsi="Arial" w:cs="Mangal"/>
          <w:lang w:eastAsia="ja-JP"/>
        </w:rPr>
        <w:t xml:space="preserve">equity securities to be allotted after such expiry, and the Directors may allot equity </w:t>
      </w:r>
      <w:r>
        <w:rPr>
          <w:rFonts w:ascii="Arial" w:eastAsia="MS Mincho" w:hAnsi="Arial" w:cs="Mangal"/>
          <w:lang w:eastAsia="ja-JP"/>
        </w:rPr>
        <w:tab/>
      </w:r>
      <w:r w:rsidRPr="004C7035">
        <w:rPr>
          <w:rFonts w:ascii="Arial" w:eastAsia="MS Mincho" w:hAnsi="Arial" w:cs="Mangal"/>
          <w:lang w:eastAsia="ja-JP"/>
        </w:rPr>
        <w:t xml:space="preserve">securities in pursuance of any such offer or agreement as if the authority conferred </w:t>
      </w:r>
      <w:r>
        <w:rPr>
          <w:rFonts w:ascii="Arial" w:eastAsia="MS Mincho" w:hAnsi="Arial" w:cs="Mangal"/>
          <w:lang w:eastAsia="ja-JP"/>
        </w:rPr>
        <w:tab/>
      </w:r>
      <w:r w:rsidRPr="004C7035">
        <w:rPr>
          <w:rFonts w:ascii="Arial" w:eastAsia="MS Mincho" w:hAnsi="Arial" w:cs="Mangal"/>
          <w:lang w:eastAsia="ja-JP"/>
        </w:rPr>
        <w:t>by this resolution had not expired.</w:t>
      </w:r>
      <w:r w:rsidRPr="004C7035" w:rsidDel="00384445">
        <w:rPr>
          <w:rFonts w:ascii="Arial" w:eastAsia="MS Mincho" w:hAnsi="Arial" w:cs="Mangal"/>
          <w:lang w:eastAsia="ja-JP"/>
        </w:rPr>
        <w:t xml:space="preserve"> </w:t>
      </w:r>
    </w:p>
    <w:p w14:paraId="63E7C665" w14:textId="77777777" w:rsidR="0090476F" w:rsidRDefault="0090476F" w:rsidP="00025421">
      <w:pPr>
        <w:rPr>
          <w:rFonts w:ascii="Arial" w:hAnsi="Arial" w:cs="Arial"/>
          <w:b/>
          <w:bCs/>
        </w:rPr>
      </w:pPr>
    </w:p>
    <w:p w14:paraId="4DB309C6" w14:textId="77777777" w:rsidR="004C7035" w:rsidRPr="00A412CE" w:rsidRDefault="00A412CE" w:rsidP="00A412CE">
      <w:pPr>
        <w:pStyle w:val="ListParagraph"/>
        <w:numPr>
          <w:ilvl w:val="0"/>
          <w:numId w:val="7"/>
        </w:numPr>
        <w:spacing w:after="113" w:line="220" w:lineRule="atLeast"/>
        <w:rPr>
          <w:rFonts w:ascii="Arial" w:eastAsia="MS Mincho" w:hAnsi="Arial" w:cs="Mangal"/>
          <w:b/>
          <w:i/>
          <w:lang w:eastAsia="ja-JP"/>
        </w:rPr>
      </w:pPr>
      <w:r>
        <w:rPr>
          <w:rFonts w:ascii="Arial" w:eastAsia="MS Mincho" w:hAnsi="Arial" w:cs="Mangal"/>
          <w:lang w:eastAsia="ja-JP"/>
        </w:rPr>
        <w:tab/>
      </w:r>
      <w:r w:rsidR="004C7035" w:rsidRPr="00A412CE">
        <w:rPr>
          <w:rFonts w:ascii="Arial" w:eastAsia="MS Mincho" w:hAnsi="Arial" w:cs="Mangal"/>
          <w:lang w:eastAsia="ja-JP"/>
        </w:rPr>
        <w:t xml:space="preserve">To authorise and approve that a general meeting, other than an annual general </w:t>
      </w:r>
      <w:r>
        <w:rPr>
          <w:rFonts w:ascii="Arial" w:eastAsia="MS Mincho" w:hAnsi="Arial" w:cs="Mangal"/>
          <w:lang w:eastAsia="ja-JP"/>
        </w:rPr>
        <w:tab/>
      </w:r>
      <w:r w:rsidR="004C7035" w:rsidRPr="00A412CE">
        <w:rPr>
          <w:rFonts w:ascii="Arial" w:eastAsia="MS Mincho" w:hAnsi="Arial" w:cs="Mangal"/>
          <w:lang w:eastAsia="ja-JP"/>
        </w:rPr>
        <w:t>meeting, may be called on not less than 14 clear days’ notice.</w:t>
      </w:r>
    </w:p>
    <w:p w14:paraId="0F3DF0E6" w14:textId="77777777" w:rsidR="00A412CE" w:rsidRDefault="00A412CE" w:rsidP="00025421">
      <w:pPr>
        <w:rPr>
          <w:rFonts w:ascii="Arial" w:hAnsi="Arial" w:cs="Arial"/>
          <w:b/>
          <w:bCs/>
        </w:rPr>
      </w:pPr>
    </w:p>
    <w:p w14:paraId="564F6FEF" w14:textId="4892B64E" w:rsidR="00A412CE" w:rsidRDefault="00671DB2" w:rsidP="00025421">
      <w:pPr>
        <w:rPr>
          <w:rFonts w:ascii="Arial" w:hAnsi="Arial" w:cs="Arial"/>
          <w:b/>
          <w:bCs/>
        </w:rPr>
      </w:pPr>
      <w:r w:rsidRPr="00176C9B">
        <w:rPr>
          <w:noProof/>
        </w:rPr>
        <w:drawing>
          <wp:inline distT="0" distB="0" distL="0" distR="0" wp14:anchorId="3F68B92F" wp14:editId="3E57BB03">
            <wp:extent cx="1195200" cy="610452"/>
            <wp:effectExtent l="0" t="0" r="5080" b="0"/>
            <wp:docPr id="977024353" name="Picture 1" descr="A signature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024353" name="Picture 1" descr="A signature of a person&#10;&#10;Description automatically generated"/>
                    <pic:cNvPicPr/>
                  </pic:nvPicPr>
                  <pic:blipFill>
                    <a:blip r:embed="rId8"/>
                    <a:stretch>
                      <a:fillRect/>
                    </a:stretch>
                  </pic:blipFill>
                  <pic:spPr>
                    <a:xfrm>
                      <a:off x="0" y="0"/>
                      <a:ext cx="1204125" cy="615011"/>
                    </a:xfrm>
                    <a:prstGeom prst="rect">
                      <a:avLst/>
                    </a:prstGeom>
                  </pic:spPr>
                </pic:pic>
              </a:graphicData>
            </a:graphic>
          </wp:inline>
        </w:drawing>
      </w:r>
    </w:p>
    <w:p w14:paraId="63089041" w14:textId="77777777" w:rsidR="0090476F" w:rsidRPr="00B1668E" w:rsidRDefault="0090476F" w:rsidP="00B111C0">
      <w:pPr>
        <w:tabs>
          <w:tab w:val="left" w:pos="880"/>
        </w:tabs>
        <w:rPr>
          <w:rFonts w:ascii="Arial" w:hAnsi="Arial" w:cs="Arial"/>
        </w:rPr>
      </w:pPr>
    </w:p>
    <w:p w14:paraId="5A92E62D" w14:textId="4312CC99" w:rsidR="0090476F" w:rsidRDefault="00BC2D25" w:rsidP="0090476F">
      <w:pPr>
        <w:tabs>
          <w:tab w:val="left" w:pos="880"/>
        </w:tabs>
        <w:ind w:left="770" w:hanging="770"/>
        <w:rPr>
          <w:rFonts w:ascii="Arial" w:hAnsi="Arial" w:cs="Arial"/>
        </w:rPr>
      </w:pPr>
      <w:r>
        <w:rPr>
          <w:rFonts w:ascii="Arial" w:hAnsi="Arial" w:cs="Arial"/>
        </w:rPr>
        <w:t>Iain Jones</w:t>
      </w:r>
    </w:p>
    <w:p w14:paraId="032FECFE" w14:textId="3BC032CC" w:rsidR="00BC2D25" w:rsidRPr="00B1668E" w:rsidRDefault="00BC2D25" w:rsidP="0090476F">
      <w:pPr>
        <w:tabs>
          <w:tab w:val="left" w:pos="880"/>
        </w:tabs>
        <w:ind w:left="770" w:hanging="770"/>
        <w:rPr>
          <w:rFonts w:ascii="Arial" w:hAnsi="Arial" w:cs="Arial"/>
        </w:rPr>
      </w:pPr>
      <w:r>
        <w:rPr>
          <w:rFonts w:ascii="Arial" w:hAnsi="Arial" w:cs="Arial"/>
        </w:rPr>
        <w:t>Company Secretary</w:t>
      </w:r>
    </w:p>
    <w:p w14:paraId="08EBE2D0" w14:textId="473020F1" w:rsidR="0090476F" w:rsidRPr="00025421" w:rsidRDefault="00BC2D25" w:rsidP="00025421">
      <w:pPr>
        <w:rPr>
          <w:rFonts w:ascii="Arial" w:hAnsi="Arial" w:cs="Arial"/>
          <w:b/>
          <w:bCs/>
        </w:rPr>
      </w:pPr>
      <w:r>
        <w:rPr>
          <w:rFonts w:ascii="Arial" w:hAnsi="Arial" w:cs="Arial"/>
        </w:rPr>
        <w:t>8 May 2025</w:t>
      </w:r>
    </w:p>
    <w:sectPr w:rsidR="0090476F" w:rsidRPr="00025421">
      <w:footerReference w:type="even" r:id="rId9"/>
      <w:footerReference w:type="defaul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F7A3A" w14:textId="77777777" w:rsidR="00321167" w:rsidRDefault="00321167" w:rsidP="00321167">
      <w:r>
        <w:separator/>
      </w:r>
    </w:p>
  </w:endnote>
  <w:endnote w:type="continuationSeparator" w:id="0">
    <w:p w14:paraId="1CA9A463" w14:textId="77777777" w:rsidR="00321167" w:rsidRDefault="00321167" w:rsidP="00321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ITC Stone Serif Semi">
    <w:altName w:val="Calibri"/>
    <w:charset w:val="00"/>
    <w:family w:val="auto"/>
    <w:pitch w:val="variable"/>
    <w:sig w:usb0="8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C5844" w14:textId="5D799BF0" w:rsidR="00D2456B" w:rsidRDefault="00D2456B">
    <w:pPr>
      <w:pStyle w:val="Footer"/>
    </w:pPr>
    <w:r>
      <w:rPr>
        <w:noProof/>
      </w:rPr>
      <mc:AlternateContent>
        <mc:Choice Requires="wps">
          <w:drawing>
            <wp:anchor distT="0" distB="0" distL="0" distR="0" simplePos="0" relativeHeight="251659264" behindDoc="0" locked="0" layoutInCell="1" allowOverlap="1" wp14:anchorId="1D601C0F" wp14:editId="0EFDA576">
              <wp:simplePos x="635" y="635"/>
              <wp:positionH relativeFrom="page">
                <wp:align>center</wp:align>
              </wp:positionH>
              <wp:positionV relativeFrom="page">
                <wp:align>bottom</wp:align>
              </wp:positionV>
              <wp:extent cx="443865" cy="443865"/>
              <wp:effectExtent l="0" t="0" r="6350" b="0"/>
              <wp:wrapNone/>
              <wp:docPr id="560217785" name="Text Box 2" descr="INTERNAL - Only to be disclosed outside of abrdn plc where appropri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0BB8FE" w14:textId="15C4AEDC" w:rsidR="00D2456B" w:rsidRPr="00D2456B" w:rsidRDefault="00D2456B" w:rsidP="00D2456B">
                          <w:pPr>
                            <w:rPr>
                              <w:rFonts w:ascii="Calibri" w:eastAsia="Calibri" w:hAnsi="Calibri" w:cs="Calibri"/>
                              <w:noProof/>
                              <w:color w:val="000000"/>
                              <w:sz w:val="20"/>
                              <w:szCs w:val="20"/>
                            </w:rPr>
                          </w:pPr>
                          <w:r w:rsidRPr="00D2456B">
                            <w:rPr>
                              <w:rFonts w:ascii="Calibri" w:eastAsia="Calibri" w:hAnsi="Calibri" w:cs="Calibri"/>
                              <w:noProof/>
                              <w:color w:val="000000"/>
                              <w:sz w:val="20"/>
                              <w:szCs w:val="20"/>
                            </w:rPr>
                            <w:t>INTERNAL - Only to be disclosed outside of abrdn plc where appropriate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601C0F" id="_x0000_t202" coordsize="21600,21600" o:spt="202" path="m,l,21600r21600,l21600,xe">
              <v:stroke joinstyle="miter"/>
              <v:path gradientshapeok="t" o:connecttype="rect"/>
            </v:shapetype>
            <v:shape id="Text Box 2" o:spid="_x0000_s1026" type="#_x0000_t202" alt="INTERNAL - Only to be disclosed outside of abrdn plc where appropriate"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D0BB8FE" w14:textId="15C4AEDC" w:rsidR="00D2456B" w:rsidRPr="00D2456B" w:rsidRDefault="00D2456B" w:rsidP="00D2456B">
                    <w:pPr>
                      <w:rPr>
                        <w:rFonts w:ascii="Calibri" w:eastAsia="Calibri" w:hAnsi="Calibri" w:cs="Calibri"/>
                        <w:noProof/>
                        <w:color w:val="000000"/>
                        <w:sz w:val="20"/>
                        <w:szCs w:val="20"/>
                      </w:rPr>
                    </w:pPr>
                    <w:r w:rsidRPr="00D2456B">
                      <w:rPr>
                        <w:rFonts w:ascii="Calibri" w:eastAsia="Calibri" w:hAnsi="Calibri" w:cs="Calibri"/>
                        <w:noProof/>
                        <w:color w:val="000000"/>
                        <w:sz w:val="20"/>
                        <w:szCs w:val="20"/>
                      </w:rPr>
                      <w:t>INTERNAL - Only to be disclosed outside of abrdn plc where appropriate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E0C14" w14:textId="1AAA0884" w:rsidR="00D2456B" w:rsidRDefault="00D2456B">
    <w:pPr>
      <w:pStyle w:val="Footer"/>
    </w:pPr>
    <w:r>
      <w:rPr>
        <w:noProof/>
      </w:rPr>
      <mc:AlternateContent>
        <mc:Choice Requires="wps">
          <w:drawing>
            <wp:anchor distT="0" distB="0" distL="0" distR="0" simplePos="0" relativeHeight="251660288" behindDoc="0" locked="0" layoutInCell="1" allowOverlap="1" wp14:anchorId="08155EDD" wp14:editId="4EDE4794">
              <wp:simplePos x="914400" y="10074303"/>
              <wp:positionH relativeFrom="page">
                <wp:align>center</wp:align>
              </wp:positionH>
              <wp:positionV relativeFrom="page">
                <wp:align>bottom</wp:align>
              </wp:positionV>
              <wp:extent cx="443865" cy="443865"/>
              <wp:effectExtent l="0" t="0" r="6350" b="0"/>
              <wp:wrapNone/>
              <wp:docPr id="1913516241" name="Text Box 3" descr="INTERNAL - Only to be disclosed outside of abrdn plc where appropri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C10062" w14:textId="35386BFF" w:rsidR="00D2456B" w:rsidRPr="00D2456B" w:rsidRDefault="00D2456B" w:rsidP="00D2456B">
                          <w:pPr>
                            <w:rPr>
                              <w:rFonts w:ascii="Calibri" w:eastAsia="Calibri" w:hAnsi="Calibri" w:cs="Calibri"/>
                              <w:noProof/>
                              <w:color w:val="000000"/>
                              <w:sz w:val="20"/>
                              <w:szCs w:val="20"/>
                            </w:rPr>
                          </w:pPr>
                          <w:r w:rsidRPr="00D2456B">
                            <w:rPr>
                              <w:rFonts w:ascii="Calibri" w:eastAsia="Calibri" w:hAnsi="Calibri" w:cs="Calibri"/>
                              <w:noProof/>
                              <w:color w:val="000000"/>
                              <w:sz w:val="20"/>
                              <w:szCs w:val="20"/>
                            </w:rPr>
                            <w:t>INTERNAL - Only to be disclosed outside of abrdn plc where appropriate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155EDD" id="_x0000_t202" coordsize="21600,21600" o:spt="202" path="m,l,21600r21600,l21600,xe">
              <v:stroke joinstyle="miter"/>
              <v:path gradientshapeok="t" o:connecttype="rect"/>
            </v:shapetype>
            <v:shape id="Text Box 3" o:spid="_x0000_s1027" type="#_x0000_t202" alt="INTERNAL - Only to be disclosed outside of abrdn plc where appropriate"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6C10062" w14:textId="35386BFF" w:rsidR="00D2456B" w:rsidRPr="00D2456B" w:rsidRDefault="00D2456B" w:rsidP="00D2456B">
                    <w:pPr>
                      <w:rPr>
                        <w:rFonts w:ascii="Calibri" w:eastAsia="Calibri" w:hAnsi="Calibri" w:cs="Calibri"/>
                        <w:noProof/>
                        <w:color w:val="000000"/>
                        <w:sz w:val="20"/>
                        <w:szCs w:val="20"/>
                      </w:rPr>
                    </w:pPr>
                    <w:r w:rsidRPr="00D2456B">
                      <w:rPr>
                        <w:rFonts w:ascii="Calibri" w:eastAsia="Calibri" w:hAnsi="Calibri" w:cs="Calibri"/>
                        <w:noProof/>
                        <w:color w:val="000000"/>
                        <w:sz w:val="20"/>
                        <w:szCs w:val="20"/>
                      </w:rPr>
                      <w:t>INTERNAL - Only to be disclosed outside of abrdn plc where appropriate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EA9CE" w14:textId="7C2AC356" w:rsidR="00D2456B" w:rsidRDefault="00D2456B">
    <w:pPr>
      <w:pStyle w:val="Footer"/>
    </w:pPr>
    <w:r>
      <w:rPr>
        <w:noProof/>
      </w:rPr>
      <mc:AlternateContent>
        <mc:Choice Requires="wps">
          <w:drawing>
            <wp:anchor distT="0" distB="0" distL="0" distR="0" simplePos="0" relativeHeight="251658240" behindDoc="0" locked="0" layoutInCell="1" allowOverlap="1" wp14:anchorId="0F94B3B4" wp14:editId="76313BAB">
              <wp:simplePos x="635" y="635"/>
              <wp:positionH relativeFrom="page">
                <wp:align>center</wp:align>
              </wp:positionH>
              <wp:positionV relativeFrom="page">
                <wp:align>bottom</wp:align>
              </wp:positionV>
              <wp:extent cx="443865" cy="443865"/>
              <wp:effectExtent l="0" t="0" r="6350" b="0"/>
              <wp:wrapNone/>
              <wp:docPr id="422510574" name="Text Box 1" descr="INTERNAL - Only to be disclosed outside of abrdn plc where appropri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262779" w14:textId="15C4FCD7" w:rsidR="00D2456B" w:rsidRPr="00D2456B" w:rsidRDefault="00D2456B" w:rsidP="00D2456B">
                          <w:pPr>
                            <w:rPr>
                              <w:rFonts w:ascii="Calibri" w:eastAsia="Calibri" w:hAnsi="Calibri" w:cs="Calibri"/>
                              <w:noProof/>
                              <w:color w:val="000000"/>
                              <w:sz w:val="20"/>
                              <w:szCs w:val="20"/>
                            </w:rPr>
                          </w:pPr>
                          <w:r w:rsidRPr="00D2456B">
                            <w:rPr>
                              <w:rFonts w:ascii="Calibri" w:eastAsia="Calibri" w:hAnsi="Calibri" w:cs="Calibri"/>
                              <w:noProof/>
                              <w:color w:val="000000"/>
                              <w:sz w:val="20"/>
                              <w:szCs w:val="20"/>
                            </w:rPr>
                            <w:t>INTERNAL - Only to be disclosed outside of abrdn plc where appropriate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94B3B4" id="_x0000_t202" coordsize="21600,21600" o:spt="202" path="m,l,21600r21600,l21600,xe">
              <v:stroke joinstyle="miter"/>
              <v:path gradientshapeok="t" o:connecttype="rect"/>
            </v:shapetype>
            <v:shape id="Text Box 1" o:spid="_x0000_s1028" type="#_x0000_t202" alt="INTERNAL - Only to be disclosed outside of abrdn plc where appropriate"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F262779" w14:textId="15C4FCD7" w:rsidR="00D2456B" w:rsidRPr="00D2456B" w:rsidRDefault="00D2456B" w:rsidP="00D2456B">
                    <w:pPr>
                      <w:rPr>
                        <w:rFonts w:ascii="Calibri" w:eastAsia="Calibri" w:hAnsi="Calibri" w:cs="Calibri"/>
                        <w:noProof/>
                        <w:color w:val="000000"/>
                        <w:sz w:val="20"/>
                        <w:szCs w:val="20"/>
                      </w:rPr>
                    </w:pPr>
                    <w:r w:rsidRPr="00D2456B">
                      <w:rPr>
                        <w:rFonts w:ascii="Calibri" w:eastAsia="Calibri" w:hAnsi="Calibri" w:cs="Calibri"/>
                        <w:noProof/>
                        <w:color w:val="000000"/>
                        <w:sz w:val="20"/>
                        <w:szCs w:val="20"/>
                      </w:rPr>
                      <w:t>INTERNAL - Only to be disclosed outside of abrdn plc where appropriate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90D6B" w14:textId="77777777" w:rsidR="00321167" w:rsidRDefault="00321167" w:rsidP="00321167">
      <w:r>
        <w:separator/>
      </w:r>
    </w:p>
  </w:footnote>
  <w:footnote w:type="continuationSeparator" w:id="0">
    <w:p w14:paraId="0F62F9FD" w14:textId="77777777" w:rsidR="00321167" w:rsidRDefault="00321167" w:rsidP="003211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653E3"/>
    <w:multiLevelType w:val="hybridMultilevel"/>
    <w:tmpl w:val="1C0439A8"/>
    <w:lvl w:ilvl="0" w:tplc="8B40A5E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499E7E60"/>
    <w:multiLevelType w:val="hybridMultilevel"/>
    <w:tmpl w:val="68C0EFDE"/>
    <w:lvl w:ilvl="0" w:tplc="C2CA799C">
      <w:start w:val="1"/>
      <w:numFmt w:val="decimal"/>
      <w:pStyle w:val="NumberedText-123etc"/>
      <w:lvlText w:val="%1."/>
      <w:lvlJc w:val="left"/>
      <w:pPr>
        <w:tabs>
          <w:tab w:val="num" w:pos="851"/>
        </w:tabs>
        <w:ind w:left="851" w:hanging="284"/>
      </w:pPr>
      <w:rPr>
        <w:rFonts w:hint="default"/>
        <w:b w:val="0"/>
        <w:i w:val="0"/>
      </w:rPr>
    </w:lvl>
    <w:lvl w:ilvl="1" w:tplc="08090019">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2" w15:restartNumberingAfterBreak="0">
    <w:nsid w:val="57411BAC"/>
    <w:multiLevelType w:val="hybridMultilevel"/>
    <w:tmpl w:val="AEB26F74"/>
    <w:lvl w:ilvl="0" w:tplc="0809000F">
      <w:start w:val="14"/>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8961399"/>
    <w:multiLevelType w:val="hybridMultilevel"/>
    <w:tmpl w:val="186AF314"/>
    <w:lvl w:ilvl="0" w:tplc="0B1EFBBE">
      <w:start w:val="1"/>
      <w:numFmt w:val="lowerRoman"/>
      <w:pStyle w:val="NumberedText-iiiiiietc"/>
      <w:lvlText w:val="%1."/>
      <w:lvlJc w:val="left"/>
      <w:pPr>
        <w:tabs>
          <w:tab w:val="num" w:pos="993"/>
        </w:tabs>
        <w:ind w:left="993" w:hanging="283"/>
      </w:pPr>
      <w:rPr>
        <w:rFonts w:ascii="Arial" w:eastAsia="MS Mincho" w:hAnsi="Arial" w:cs="Mangal"/>
        <w:b w:val="0"/>
        <w:i w:val="0"/>
        <w:sz w:val="22"/>
        <w:szCs w:val="28"/>
      </w:rPr>
    </w:lvl>
    <w:lvl w:ilvl="1" w:tplc="D352A52A">
      <w:start w:val="1"/>
      <w:numFmt w:val="lowerLetter"/>
      <w:lvlText w:val="%2)"/>
      <w:lvlJc w:val="left"/>
      <w:pPr>
        <w:tabs>
          <w:tab w:val="num" w:pos="1724"/>
        </w:tabs>
        <w:ind w:left="1724" w:hanging="360"/>
      </w:pPr>
      <w:rPr>
        <w:rFonts w:ascii="Arial" w:eastAsia="MS Mincho" w:hAnsi="Arial" w:cs="Mangal"/>
      </w:rPr>
    </w:lvl>
    <w:lvl w:ilvl="2" w:tplc="0809001B">
      <w:start w:val="1"/>
      <w:numFmt w:val="lowerRoman"/>
      <w:lvlText w:val="%3."/>
      <w:lvlJc w:val="right"/>
      <w:pPr>
        <w:tabs>
          <w:tab w:val="num" w:pos="2444"/>
        </w:tabs>
        <w:ind w:left="2444" w:hanging="180"/>
      </w:pPr>
    </w:lvl>
    <w:lvl w:ilvl="3" w:tplc="96C2083C">
      <w:start w:val="2"/>
      <w:numFmt w:val="upperRoman"/>
      <w:lvlText w:val="%4."/>
      <w:lvlJc w:val="left"/>
      <w:pPr>
        <w:ind w:left="3524" w:hanging="720"/>
      </w:pPr>
      <w:rPr>
        <w:rFonts w:hint="default"/>
      </w:r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4" w15:restartNumberingAfterBreak="0">
    <w:nsid w:val="6F7815D3"/>
    <w:multiLevelType w:val="hybridMultilevel"/>
    <w:tmpl w:val="A8AE86AE"/>
    <w:lvl w:ilvl="0" w:tplc="08090015">
      <w:start w:val="1"/>
      <w:numFmt w:val="upperLetter"/>
      <w:lvlText w:val="%1."/>
      <w:lvlJc w:val="left"/>
      <w:pPr>
        <w:ind w:left="1004" w:hanging="360"/>
      </w:pPr>
    </w:lvl>
    <w:lvl w:ilvl="1" w:tplc="0809001B">
      <w:start w:val="1"/>
      <w:numFmt w:val="lowerRoman"/>
      <w:lvlText w:val="%2."/>
      <w:lvlJc w:val="right"/>
      <w:pPr>
        <w:ind w:left="1724" w:hanging="360"/>
      </w:pPr>
    </w:lvl>
    <w:lvl w:ilvl="2" w:tplc="08090017">
      <w:start w:val="1"/>
      <w:numFmt w:val="lowerLetter"/>
      <w:lvlText w:val="%3)"/>
      <w:lvlJc w:val="lef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1477186736">
    <w:abstractNumId w:val="3"/>
  </w:num>
  <w:num w:numId="2" w16cid:durableId="793452102">
    <w:abstractNumId w:val="3"/>
  </w:num>
  <w:num w:numId="3" w16cid:durableId="321668331">
    <w:abstractNumId w:val="3"/>
    <w:lvlOverride w:ilvl="0">
      <w:startOverride w:val="1"/>
    </w:lvlOverride>
  </w:num>
  <w:num w:numId="4" w16cid:durableId="1337340682">
    <w:abstractNumId w:val="4"/>
  </w:num>
  <w:num w:numId="5" w16cid:durableId="205222877">
    <w:abstractNumId w:val="1"/>
  </w:num>
  <w:num w:numId="6" w16cid:durableId="1766222201">
    <w:abstractNumId w:val="3"/>
    <w:lvlOverride w:ilvl="0">
      <w:startOverride w:val="2"/>
    </w:lvlOverride>
  </w:num>
  <w:num w:numId="7" w16cid:durableId="933317177">
    <w:abstractNumId w:val="2"/>
  </w:num>
  <w:num w:numId="8" w16cid:durableId="797143482">
    <w:abstractNumId w:val="3"/>
  </w:num>
  <w:num w:numId="9" w16cid:durableId="790593461">
    <w:abstractNumId w:val="0"/>
  </w:num>
  <w:num w:numId="10" w16cid:durableId="1000083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957"/>
    <w:rsid w:val="00025421"/>
    <w:rsid w:val="00043378"/>
    <w:rsid w:val="00045204"/>
    <w:rsid w:val="000F6CFE"/>
    <w:rsid w:val="001651EC"/>
    <w:rsid w:val="00165957"/>
    <w:rsid w:val="001D7B07"/>
    <w:rsid w:val="0020704D"/>
    <w:rsid w:val="0028320C"/>
    <w:rsid w:val="003007F7"/>
    <w:rsid w:val="00321167"/>
    <w:rsid w:val="00351566"/>
    <w:rsid w:val="003904C5"/>
    <w:rsid w:val="00392E99"/>
    <w:rsid w:val="004423B5"/>
    <w:rsid w:val="004C7035"/>
    <w:rsid w:val="0054395A"/>
    <w:rsid w:val="00564074"/>
    <w:rsid w:val="005675D5"/>
    <w:rsid w:val="005814DD"/>
    <w:rsid w:val="005F1982"/>
    <w:rsid w:val="005F66C4"/>
    <w:rsid w:val="00671DB2"/>
    <w:rsid w:val="00686BC3"/>
    <w:rsid w:val="0072064B"/>
    <w:rsid w:val="00747AED"/>
    <w:rsid w:val="007F1EA0"/>
    <w:rsid w:val="00854B73"/>
    <w:rsid w:val="0090476F"/>
    <w:rsid w:val="00980658"/>
    <w:rsid w:val="009A4E22"/>
    <w:rsid w:val="00A31ED7"/>
    <w:rsid w:val="00A412CE"/>
    <w:rsid w:val="00A60DA4"/>
    <w:rsid w:val="00AD233A"/>
    <w:rsid w:val="00AF672C"/>
    <w:rsid w:val="00B10820"/>
    <w:rsid w:val="00B111C0"/>
    <w:rsid w:val="00B6463D"/>
    <w:rsid w:val="00B761DD"/>
    <w:rsid w:val="00B830F6"/>
    <w:rsid w:val="00BC2D25"/>
    <w:rsid w:val="00BD1E6B"/>
    <w:rsid w:val="00C05351"/>
    <w:rsid w:val="00CA0D21"/>
    <w:rsid w:val="00D2456B"/>
    <w:rsid w:val="00D922EC"/>
    <w:rsid w:val="00DF4670"/>
    <w:rsid w:val="00EA4E4B"/>
    <w:rsid w:val="00EE0710"/>
    <w:rsid w:val="00F42ECF"/>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FD62E59"/>
  <w15:docId w15:val="{C5211A28-8292-42C1-934F-F36F1C234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8"/>
        <w:lang w:val="en-GB" w:eastAsia="zh-CN"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957"/>
    <w:pPr>
      <w:spacing w:after="0" w:line="240" w:lineRule="auto"/>
    </w:pPr>
    <w:rPr>
      <w:rFonts w:ascii="ITC Stone Serif Semi" w:eastAsia="PMingLiU" w:hAnsi="ITC Stone Serif Semi" w:cs="Times New Roman"/>
      <w:szCs w:val="22"/>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165957"/>
    <w:rPr>
      <w:b/>
    </w:rPr>
  </w:style>
  <w:style w:type="paragraph" w:customStyle="1" w:styleId="NumberedText-iiiiiietc">
    <w:name w:val="Numbered Text - i ii iii etc."/>
    <w:basedOn w:val="Normal"/>
    <w:rsid w:val="00351566"/>
    <w:pPr>
      <w:numPr>
        <w:numId w:val="1"/>
      </w:numPr>
      <w:spacing w:after="113" w:line="220" w:lineRule="atLeast"/>
    </w:pPr>
    <w:rPr>
      <w:rFonts w:ascii="Arial" w:eastAsia="MS Mincho" w:hAnsi="Arial" w:cs="Mangal"/>
      <w:color w:val="0A2F73"/>
      <w:sz w:val="18"/>
      <w:szCs w:val="24"/>
      <w:lang w:eastAsia="ja-JP"/>
    </w:rPr>
  </w:style>
  <w:style w:type="paragraph" w:styleId="Header">
    <w:name w:val="header"/>
    <w:basedOn w:val="Normal"/>
    <w:link w:val="HeaderChar"/>
    <w:uiPriority w:val="99"/>
    <w:unhideWhenUsed/>
    <w:rsid w:val="00321167"/>
    <w:pPr>
      <w:tabs>
        <w:tab w:val="center" w:pos="4513"/>
        <w:tab w:val="right" w:pos="9026"/>
      </w:tabs>
    </w:pPr>
  </w:style>
  <w:style w:type="character" w:customStyle="1" w:styleId="HeaderChar">
    <w:name w:val="Header Char"/>
    <w:basedOn w:val="DefaultParagraphFont"/>
    <w:link w:val="Header"/>
    <w:uiPriority w:val="99"/>
    <w:rsid w:val="00321167"/>
    <w:rPr>
      <w:rFonts w:ascii="ITC Stone Serif Semi" w:eastAsia="PMingLiU" w:hAnsi="ITC Stone Serif Semi" w:cs="Times New Roman"/>
      <w:szCs w:val="22"/>
      <w:lang w:eastAsia="en-US" w:bidi="ar-SA"/>
    </w:rPr>
  </w:style>
  <w:style w:type="paragraph" w:styleId="Footer">
    <w:name w:val="footer"/>
    <w:basedOn w:val="Normal"/>
    <w:link w:val="FooterChar"/>
    <w:uiPriority w:val="99"/>
    <w:unhideWhenUsed/>
    <w:rsid w:val="00321167"/>
    <w:pPr>
      <w:tabs>
        <w:tab w:val="center" w:pos="4513"/>
        <w:tab w:val="right" w:pos="9026"/>
      </w:tabs>
    </w:pPr>
  </w:style>
  <w:style w:type="character" w:customStyle="1" w:styleId="FooterChar">
    <w:name w:val="Footer Char"/>
    <w:basedOn w:val="DefaultParagraphFont"/>
    <w:link w:val="Footer"/>
    <w:uiPriority w:val="99"/>
    <w:rsid w:val="00321167"/>
    <w:rPr>
      <w:rFonts w:ascii="ITC Stone Serif Semi" w:eastAsia="PMingLiU" w:hAnsi="ITC Stone Serif Semi" w:cs="Times New Roman"/>
      <w:szCs w:val="22"/>
      <w:lang w:eastAsia="en-US" w:bidi="ar-SA"/>
    </w:rPr>
  </w:style>
  <w:style w:type="paragraph" w:styleId="BalloonText">
    <w:name w:val="Balloon Text"/>
    <w:basedOn w:val="Normal"/>
    <w:link w:val="BalloonTextChar"/>
    <w:uiPriority w:val="99"/>
    <w:semiHidden/>
    <w:unhideWhenUsed/>
    <w:rsid w:val="00B111C0"/>
    <w:rPr>
      <w:rFonts w:ascii="Tahoma" w:hAnsi="Tahoma" w:cs="Tahoma"/>
      <w:sz w:val="16"/>
      <w:szCs w:val="16"/>
    </w:rPr>
  </w:style>
  <w:style w:type="character" w:customStyle="1" w:styleId="BalloonTextChar">
    <w:name w:val="Balloon Text Char"/>
    <w:basedOn w:val="DefaultParagraphFont"/>
    <w:link w:val="BalloonText"/>
    <w:uiPriority w:val="99"/>
    <w:semiHidden/>
    <w:rsid w:val="00B111C0"/>
    <w:rPr>
      <w:rFonts w:ascii="Tahoma" w:eastAsia="PMingLiU" w:hAnsi="Tahoma" w:cs="Tahoma"/>
      <w:sz w:val="16"/>
      <w:szCs w:val="16"/>
      <w:lang w:eastAsia="en-US" w:bidi="ar-SA"/>
    </w:rPr>
  </w:style>
  <w:style w:type="paragraph" w:customStyle="1" w:styleId="NumberedText-123etc">
    <w:name w:val="Numbered Text - 1. 2. 3. etc."/>
    <w:basedOn w:val="Normal"/>
    <w:link w:val="NumberedText-123etcChar"/>
    <w:rsid w:val="001651EC"/>
    <w:pPr>
      <w:numPr>
        <w:numId w:val="5"/>
      </w:numPr>
      <w:tabs>
        <w:tab w:val="clear" w:pos="851"/>
        <w:tab w:val="num" w:pos="568"/>
      </w:tabs>
      <w:spacing w:after="113" w:line="220" w:lineRule="atLeast"/>
      <w:ind w:left="568"/>
    </w:pPr>
    <w:rPr>
      <w:rFonts w:ascii="Arial" w:eastAsia="MS Mincho" w:hAnsi="Arial" w:cs="Mangal"/>
      <w:color w:val="0A2F73"/>
      <w:sz w:val="18"/>
      <w:szCs w:val="24"/>
      <w:lang w:eastAsia="ja-JP"/>
    </w:rPr>
  </w:style>
  <w:style w:type="character" w:customStyle="1" w:styleId="NumberedText-123etcChar">
    <w:name w:val="Numbered Text - 1. 2. 3. etc. Char"/>
    <w:link w:val="NumberedText-123etc"/>
    <w:rsid w:val="001651EC"/>
    <w:rPr>
      <w:rFonts w:ascii="Arial" w:eastAsia="MS Mincho" w:hAnsi="Arial" w:cs="Mangal"/>
      <w:color w:val="0A2F73"/>
      <w:sz w:val="18"/>
      <w:szCs w:val="24"/>
      <w:lang w:eastAsia="ja-JP" w:bidi="ar-SA"/>
    </w:rPr>
  </w:style>
  <w:style w:type="paragraph" w:styleId="ListParagraph">
    <w:name w:val="List Paragraph"/>
    <w:basedOn w:val="Normal"/>
    <w:uiPriority w:val="34"/>
    <w:qFormat/>
    <w:rsid w:val="00165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2B07E-D2B3-496F-9189-B66D1915C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3</Pages>
  <Words>1273</Words>
  <Characters>7260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Aberdeen Asset Management</Company>
  <LinksUpToDate>false</LinksUpToDate>
  <CharactersWithSpaces>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Smith</dc:creator>
  <cp:lastModifiedBy>Alison Wood</cp:lastModifiedBy>
  <cp:revision>15</cp:revision>
  <cp:lastPrinted>2023-04-05T14:43:00Z</cp:lastPrinted>
  <dcterms:created xsi:type="dcterms:W3CDTF">2022-04-04T10:22:00Z</dcterms:created>
  <dcterms:modified xsi:type="dcterms:W3CDTF">2025-05-09T13:27:00Z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192effee,21643eb9,720df0d1</vt:lpwstr>
  </property>
  <property fmtid="{D5CDD505-2E9C-101B-9397-08002B2CF9AE}" pid="3" name="ClassificationContentMarkingFooterFontProps">
    <vt:lpwstr>#000000,10,Calibri</vt:lpwstr>
  </property>
  <property fmtid="{D5CDD505-2E9C-101B-9397-08002B2CF9AE}" pid="4" name="ClassificationContentMarkingFooterText">
    <vt:lpwstr>INTERNAL - Only to be disclosed outside of abrdn plc where appropriate</vt:lpwstr>
  </property>
  <property fmtid="{D5CDD505-2E9C-101B-9397-08002B2CF9AE}" pid="5" name="MSIP_Label_daedb74c-5c9d-4922-8c2a-58c941882563_Enabled">
    <vt:lpwstr>true</vt:lpwstr>
  </property>
  <property fmtid="{D5CDD505-2E9C-101B-9397-08002B2CF9AE}" pid="6" name="MSIP_Label_daedb74c-5c9d-4922-8c2a-58c941882563_SetDate">
    <vt:lpwstr>2023-06-06T12:56:26Z</vt:lpwstr>
  </property>
  <property fmtid="{D5CDD505-2E9C-101B-9397-08002B2CF9AE}" pid="7" name="MSIP_Label_daedb74c-5c9d-4922-8c2a-58c941882563_Method">
    <vt:lpwstr>Privileged</vt:lpwstr>
  </property>
  <property fmtid="{D5CDD505-2E9C-101B-9397-08002B2CF9AE}" pid="8" name="MSIP_Label_daedb74c-5c9d-4922-8c2a-58c941882563_Name">
    <vt:lpwstr>Internal</vt:lpwstr>
  </property>
  <property fmtid="{D5CDD505-2E9C-101B-9397-08002B2CF9AE}" pid="9" name="MSIP_Label_daedb74c-5c9d-4922-8c2a-58c941882563_SiteId">
    <vt:lpwstr>27b2553d-4a89-4c74-88e1-d1d590624294</vt:lpwstr>
  </property>
  <property fmtid="{D5CDD505-2E9C-101B-9397-08002B2CF9AE}" pid="10" name="MSIP_Label_daedb74c-5c9d-4922-8c2a-58c941882563_ActionId">
    <vt:lpwstr>414a505c-8145-4b8d-b089-550c1b207eba</vt:lpwstr>
  </property>
  <property fmtid="{D5CDD505-2E9C-101B-9397-08002B2CF9AE}" pid="11" name="MSIP_Label_daedb74c-5c9d-4922-8c2a-58c941882563_ContentBits">
    <vt:lpwstr>2</vt:lpwstr>
  </property>
</Properties>
</file>