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6C4BD" w14:textId="77777777" w:rsidR="00F122E0" w:rsidRPr="00F122E0" w:rsidRDefault="00F122E0" w:rsidP="00F122E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122E0">
        <w:rPr>
          <w:rFonts w:ascii="Arial" w:hAnsi="Arial" w:cs="Arial"/>
          <w:b/>
          <w:bCs/>
          <w:sz w:val="20"/>
          <w:szCs w:val="20"/>
        </w:rPr>
        <w:t>TYMAN PLC</w:t>
      </w:r>
    </w:p>
    <w:p w14:paraId="05135BAD" w14:textId="519152C4" w:rsidR="00F122E0" w:rsidRPr="00F122E0" w:rsidRDefault="00F122E0" w:rsidP="00F122E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122E0">
        <w:rPr>
          <w:rFonts w:ascii="Arial" w:hAnsi="Arial" w:cs="Arial"/>
          <w:b/>
          <w:bCs/>
          <w:sz w:val="20"/>
          <w:szCs w:val="20"/>
        </w:rPr>
        <w:t>Result</w:t>
      </w:r>
      <w:r w:rsidR="00F87480">
        <w:rPr>
          <w:rFonts w:ascii="Arial" w:hAnsi="Arial" w:cs="Arial"/>
          <w:b/>
          <w:bCs/>
          <w:sz w:val="20"/>
          <w:szCs w:val="20"/>
        </w:rPr>
        <w:t>s</w:t>
      </w:r>
      <w:r w:rsidRPr="00F122E0">
        <w:rPr>
          <w:rFonts w:ascii="Arial" w:hAnsi="Arial" w:cs="Arial"/>
          <w:b/>
          <w:bCs/>
          <w:sz w:val="20"/>
          <w:szCs w:val="20"/>
        </w:rPr>
        <w:t xml:space="preserve"> of</w:t>
      </w:r>
      <w:r w:rsidR="00F87480">
        <w:rPr>
          <w:rFonts w:ascii="Arial" w:hAnsi="Arial" w:cs="Arial"/>
          <w:b/>
          <w:bCs/>
          <w:sz w:val="20"/>
          <w:szCs w:val="20"/>
        </w:rPr>
        <w:t xml:space="preserve"> the 202</w:t>
      </w:r>
      <w:r w:rsidR="0011258D">
        <w:rPr>
          <w:rFonts w:ascii="Arial" w:hAnsi="Arial" w:cs="Arial"/>
          <w:b/>
          <w:bCs/>
          <w:sz w:val="20"/>
          <w:szCs w:val="20"/>
        </w:rPr>
        <w:t>1</w:t>
      </w:r>
      <w:r w:rsidRPr="00F122E0">
        <w:rPr>
          <w:rFonts w:ascii="Arial" w:hAnsi="Arial" w:cs="Arial"/>
          <w:b/>
          <w:bCs/>
          <w:sz w:val="20"/>
          <w:szCs w:val="20"/>
        </w:rPr>
        <w:t xml:space="preserve"> Annual General Meeting</w:t>
      </w:r>
    </w:p>
    <w:p w14:paraId="5EFDD7ED" w14:textId="69F23A37" w:rsidR="00F122E0" w:rsidRDefault="00F87480" w:rsidP="00F122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 the 202</w:t>
      </w:r>
      <w:r w:rsidR="0011258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Annual General Meeting of Tyman plc (the </w:t>
      </w:r>
      <w:r>
        <w:rPr>
          <w:rFonts w:ascii="Arial" w:hAnsi="Arial" w:cs="Arial"/>
          <w:b/>
          <w:bCs/>
          <w:sz w:val="20"/>
          <w:szCs w:val="20"/>
        </w:rPr>
        <w:t>Company</w:t>
      </w:r>
      <w:r>
        <w:rPr>
          <w:rFonts w:ascii="Arial" w:hAnsi="Arial" w:cs="Arial"/>
          <w:sz w:val="20"/>
          <w:szCs w:val="20"/>
        </w:rPr>
        <w:t xml:space="preserve">), which was held </w:t>
      </w:r>
      <w:r w:rsidR="0011258D">
        <w:rPr>
          <w:rFonts w:ascii="Arial" w:hAnsi="Arial" w:cs="Arial"/>
          <w:sz w:val="20"/>
          <w:szCs w:val="20"/>
        </w:rPr>
        <w:t xml:space="preserve">and broadcast via live audiocast from Latham &amp; Watkins (London) LLP, 99 Bishopsgate, </w:t>
      </w:r>
      <w:r>
        <w:rPr>
          <w:rFonts w:ascii="Arial" w:hAnsi="Arial" w:cs="Arial"/>
          <w:sz w:val="20"/>
          <w:szCs w:val="20"/>
        </w:rPr>
        <w:t>London</w:t>
      </w:r>
      <w:r w:rsidR="0011258D">
        <w:rPr>
          <w:rFonts w:ascii="Arial" w:hAnsi="Arial" w:cs="Arial"/>
          <w:sz w:val="20"/>
          <w:szCs w:val="20"/>
        </w:rPr>
        <w:t xml:space="preserve"> EC2M 3XF</w:t>
      </w:r>
      <w:r>
        <w:rPr>
          <w:rFonts w:ascii="Arial" w:hAnsi="Arial" w:cs="Arial"/>
          <w:sz w:val="20"/>
          <w:szCs w:val="20"/>
        </w:rPr>
        <w:t xml:space="preserve">, United Kingdom, at 10.30 am on 20 May </w:t>
      </w:r>
      <w:r w:rsidR="00915446">
        <w:rPr>
          <w:rFonts w:ascii="Arial" w:hAnsi="Arial" w:cs="Arial"/>
          <w:sz w:val="20"/>
          <w:szCs w:val="20"/>
        </w:rPr>
        <w:t>2021</w:t>
      </w:r>
      <w:r>
        <w:rPr>
          <w:rFonts w:ascii="Arial" w:hAnsi="Arial" w:cs="Arial"/>
          <w:sz w:val="20"/>
          <w:szCs w:val="20"/>
        </w:rPr>
        <w:t>, all the resolutions were voted on by poll and were passed by its shareholders.</w:t>
      </w:r>
    </w:p>
    <w:p w14:paraId="3FA95907" w14:textId="7DFD3FFF" w:rsidR="00F87480" w:rsidRPr="00F87480" w:rsidRDefault="00F87480" w:rsidP="00F122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accordance with Rule 9.6.2 of the Listing Rules, copies of the special resolutions passed at the meeting will be submitted </w:t>
      </w:r>
      <w:r w:rsidRPr="00F87480">
        <w:rPr>
          <w:rFonts w:ascii="Arial" w:hAnsi="Arial" w:cs="Arial"/>
          <w:sz w:val="20"/>
          <w:szCs w:val="20"/>
        </w:rPr>
        <w:t xml:space="preserve">to the National Storage Mechanism and will shortly be available for inspection at: </w:t>
      </w:r>
      <w:hyperlink r:id="rId7" w:anchor="/nsm/nationalstoragemechanism" w:history="1">
        <w:r w:rsidRPr="00D87C8E">
          <w:rPr>
            <w:rStyle w:val="Hyperlink"/>
            <w:rFonts w:ascii="Arial" w:hAnsi="Arial" w:cs="Arial"/>
            <w:sz w:val="20"/>
            <w:szCs w:val="20"/>
          </w:rPr>
          <w:t>https://data.fca.org.uk/#/nsm/nationalstoragemechanism</w:t>
        </w:r>
      </w:hyperlink>
      <w:r w:rsidRPr="00F8748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5E9A59A" w14:textId="1865B35C" w:rsidR="00F122E0" w:rsidRPr="00F122E0" w:rsidRDefault="00F122E0" w:rsidP="00F122E0">
      <w:pPr>
        <w:rPr>
          <w:rFonts w:ascii="Arial" w:hAnsi="Arial" w:cs="Arial"/>
          <w:sz w:val="20"/>
          <w:szCs w:val="20"/>
        </w:rPr>
      </w:pPr>
      <w:r w:rsidRPr="00F122E0">
        <w:rPr>
          <w:rFonts w:ascii="Arial" w:hAnsi="Arial" w:cs="Arial"/>
          <w:sz w:val="20"/>
          <w:szCs w:val="20"/>
        </w:rPr>
        <w:t>The full text of each resolution is contained in the 202</w:t>
      </w:r>
      <w:r w:rsidR="0011258D">
        <w:rPr>
          <w:rFonts w:ascii="Arial" w:hAnsi="Arial" w:cs="Arial"/>
          <w:sz w:val="20"/>
          <w:szCs w:val="20"/>
        </w:rPr>
        <w:t>1</w:t>
      </w:r>
      <w:r w:rsidRPr="00F122E0">
        <w:rPr>
          <w:rFonts w:ascii="Arial" w:hAnsi="Arial" w:cs="Arial"/>
          <w:sz w:val="20"/>
          <w:szCs w:val="20"/>
        </w:rPr>
        <w:t xml:space="preserve"> Notice of Annual General Meeting</w:t>
      </w:r>
      <w:r w:rsidR="0052235D">
        <w:rPr>
          <w:rFonts w:ascii="Arial" w:hAnsi="Arial" w:cs="Arial"/>
          <w:sz w:val="20"/>
          <w:szCs w:val="20"/>
        </w:rPr>
        <w:t xml:space="preserve"> (the </w:t>
      </w:r>
      <w:r w:rsidR="0052235D">
        <w:rPr>
          <w:rFonts w:ascii="Arial" w:hAnsi="Arial" w:cs="Arial"/>
          <w:b/>
          <w:bCs/>
          <w:sz w:val="20"/>
          <w:szCs w:val="20"/>
        </w:rPr>
        <w:t>Notice</w:t>
      </w:r>
      <w:r w:rsidR="0052235D">
        <w:rPr>
          <w:rFonts w:ascii="Arial" w:hAnsi="Arial" w:cs="Arial"/>
          <w:sz w:val="20"/>
          <w:szCs w:val="20"/>
        </w:rPr>
        <w:t>)</w:t>
      </w:r>
      <w:r w:rsidRPr="00F122E0">
        <w:rPr>
          <w:rFonts w:ascii="Arial" w:hAnsi="Arial" w:cs="Arial"/>
          <w:sz w:val="20"/>
          <w:szCs w:val="20"/>
        </w:rPr>
        <w:t xml:space="preserve">, which is available on the </w:t>
      </w:r>
      <w:r w:rsidR="00AC0CE8">
        <w:rPr>
          <w:rFonts w:ascii="Arial" w:hAnsi="Arial" w:cs="Arial"/>
          <w:sz w:val="20"/>
          <w:szCs w:val="20"/>
        </w:rPr>
        <w:t xml:space="preserve">Company’s </w:t>
      </w:r>
      <w:r w:rsidRPr="00F122E0">
        <w:rPr>
          <w:rFonts w:ascii="Arial" w:hAnsi="Arial" w:cs="Arial"/>
          <w:sz w:val="20"/>
          <w:szCs w:val="20"/>
        </w:rPr>
        <w:t>website.</w:t>
      </w:r>
      <w:r w:rsidR="0052235D">
        <w:rPr>
          <w:rFonts w:ascii="Arial" w:hAnsi="Arial" w:cs="Arial"/>
          <w:sz w:val="20"/>
          <w:szCs w:val="20"/>
        </w:rPr>
        <w:t xml:space="preserve"> Terms defined in the Notice shall have the same meaning when used in this announcement unless otherwise defined herein. </w:t>
      </w:r>
    </w:p>
    <w:p w14:paraId="1F82F318" w14:textId="5A14CC85" w:rsidR="00F122E0" w:rsidRPr="00F122E0" w:rsidRDefault="00F87480" w:rsidP="00F122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results of the poll for each resolution are as follows: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275"/>
        <w:gridCol w:w="804"/>
        <w:gridCol w:w="1039"/>
        <w:gridCol w:w="1040"/>
        <w:gridCol w:w="1228"/>
        <w:gridCol w:w="851"/>
        <w:gridCol w:w="1134"/>
      </w:tblGrid>
      <w:tr w:rsidR="00AC0CE8" w:rsidRPr="00F122E0" w14:paraId="5F6C455E" w14:textId="6E37C401" w:rsidTr="00162F72">
        <w:tc>
          <w:tcPr>
            <w:tcW w:w="704" w:type="dxa"/>
          </w:tcPr>
          <w:p w14:paraId="1843CB28" w14:textId="642B69F7" w:rsidR="00F122E0" w:rsidRPr="00162F72" w:rsidRDefault="00F122E0" w:rsidP="00F122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F72">
              <w:rPr>
                <w:rFonts w:ascii="Arial" w:hAnsi="Arial" w:cs="Arial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1418" w:type="dxa"/>
          </w:tcPr>
          <w:p w14:paraId="7BD5811D" w14:textId="1A33A350" w:rsidR="00F122E0" w:rsidRPr="00162F72" w:rsidRDefault="00F122E0" w:rsidP="00F122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F72">
              <w:rPr>
                <w:rFonts w:ascii="Arial" w:hAnsi="Arial" w:cs="Arial"/>
                <w:b/>
                <w:bCs/>
                <w:sz w:val="18"/>
                <w:szCs w:val="18"/>
              </w:rPr>
              <w:t>Resolution</w:t>
            </w:r>
          </w:p>
        </w:tc>
        <w:tc>
          <w:tcPr>
            <w:tcW w:w="2079" w:type="dxa"/>
            <w:gridSpan w:val="2"/>
          </w:tcPr>
          <w:p w14:paraId="1C79B004" w14:textId="211A6C69" w:rsidR="00F122E0" w:rsidRPr="00162F72" w:rsidRDefault="00F122E0" w:rsidP="00F122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F72">
              <w:rPr>
                <w:rFonts w:ascii="Arial" w:hAnsi="Arial" w:cs="Arial"/>
                <w:b/>
                <w:bCs/>
                <w:sz w:val="18"/>
                <w:szCs w:val="18"/>
              </w:rPr>
              <w:t>In favour</w:t>
            </w:r>
          </w:p>
        </w:tc>
        <w:tc>
          <w:tcPr>
            <w:tcW w:w="2079" w:type="dxa"/>
            <w:gridSpan w:val="2"/>
          </w:tcPr>
          <w:p w14:paraId="6AA8A98E" w14:textId="324DB4A6" w:rsidR="00F122E0" w:rsidRPr="00162F72" w:rsidRDefault="00F122E0" w:rsidP="00F122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F72">
              <w:rPr>
                <w:rFonts w:ascii="Arial" w:hAnsi="Arial" w:cs="Arial"/>
                <w:b/>
                <w:bCs/>
                <w:sz w:val="18"/>
                <w:szCs w:val="18"/>
              </w:rPr>
              <w:t>Discretion</w:t>
            </w:r>
          </w:p>
        </w:tc>
        <w:tc>
          <w:tcPr>
            <w:tcW w:w="2079" w:type="dxa"/>
            <w:gridSpan w:val="2"/>
          </w:tcPr>
          <w:p w14:paraId="6294EA04" w14:textId="53E987FF" w:rsidR="00F122E0" w:rsidRPr="00162F72" w:rsidRDefault="00F122E0" w:rsidP="00F122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F72">
              <w:rPr>
                <w:rFonts w:ascii="Arial" w:hAnsi="Arial" w:cs="Arial"/>
                <w:b/>
                <w:bCs/>
                <w:sz w:val="18"/>
                <w:szCs w:val="18"/>
              </w:rPr>
              <w:t>Against</w:t>
            </w:r>
          </w:p>
        </w:tc>
        <w:tc>
          <w:tcPr>
            <w:tcW w:w="1134" w:type="dxa"/>
          </w:tcPr>
          <w:p w14:paraId="6C673BD8" w14:textId="59B5B619" w:rsidR="00F122E0" w:rsidRPr="00162F72" w:rsidRDefault="00F122E0" w:rsidP="00F122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F72">
              <w:rPr>
                <w:rFonts w:ascii="Arial" w:hAnsi="Arial" w:cs="Arial"/>
                <w:b/>
                <w:bCs/>
                <w:sz w:val="18"/>
                <w:szCs w:val="18"/>
              </w:rPr>
              <w:t>Withheld</w:t>
            </w:r>
          </w:p>
        </w:tc>
      </w:tr>
      <w:tr w:rsidR="00472724" w:rsidRPr="00F122E0" w14:paraId="56BD184F" w14:textId="4F6FB372" w:rsidTr="00162F72">
        <w:tc>
          <w:tcPr>
            <w:tcW w:w="704" w:type="dxa"/>
          </w:tcPr>
          <w:p w14:paraId="57AE19CA" w14:textId="77777777" w:rsidR="00472724" w:rsidRPr="00162F72" w:rsidRDefault="00472724" w:rsidP="00F122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2030C6" w14:textId="77777777" w:rsidR="00472724" w:rsidRPr="00162F72" w:rsidRDefault="00472724" w:rsidP="00F122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6FC0653" w14:textId="374E3955" w:rsidR="00472724" w:rsidRPr="00162F72" w:rsidRDefault="00472724" w:rsidP="00F122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F72">
              <w:rPr>
                <w:rFonts w:ascii="Arial" w:hAnsi="Arial" w:cs="Arial"/>
                <w:b/>
                <w:bCs/>
                <w:sz w:val="18"/>
                <w:szCs w:val="18"/>
              </w:rPr>
              <w:t>No. of shares</w:t>
            </w:r>
          </w:p>
        </w:tc>
        <w:tc>
          <w:tcPr>
            <w:tcW w:w="804" w:type="dxa"/>
          </w:tcPr>
          <w:p w14:paraId="6D8B9BA8" w14:textId="4214501E" w:rsidR="00472724" w:rsidRPr="00162F72" w:rsidRDefault="00472724" w:rsidP="00F122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F72">
              <w:rPr>
                <w:rFonts w:ascii="Arial" w:hAnsi="Arial" w:cs="Arial"/>
                <w:b/>
                <w:bCs/>
                <w:sz w:val="18"/>
                <w:szCs w:val="18"/>
              </w:rPr>
              <w:t>% of shares voted</w:t>
            </w:r>
          </w:p>
        </w:tc>
        <w:tc>
          <w:tcPr>
            <w:tcW w:w="1039" w:type="dxa"/>
          </w:tcPr>
          <w:p w14:paraId="1FDF5F63" w14:textId="30AF0DE0" w:rsidR="00472724" w:rsidRPr="00162F72" w:rsidRDefault="00472724" w:rsidP="00F122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F72">
              <w:rPr>
                <w:rFonts w:ascii="Arial" w:hAnsi="Arial" w:cs="Arial"/>
                <w:b/>
                <w:bCs/>
                <w:sz w:val="18"/>
                <w:szCs w:val="18"/>
              </w:rPr>
              <w:t>No. of shares</w:t>
            </w:r>
          </w:p>
        </w:tc>
        <w:tc>
          <w:tcPr>
            <w:tcW w:w="1040" w:type="dxa"/>
          </w:tcPr>
          <w:p w14:paraId="575B2D68" w14:textId="2FDC25E1" w:rsidR="00472724" w:rsidRPr="00162F72" w:rsidRDefault="00472724" w:rsidP="00F122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F72">
              <w:rPr>
                <w:rFonts w:ascii="Arial" w:hAnsi="Arial" w:cs="Arial"/>
                <w:b/>
                <w:bCs/>
                <w:sz w:val="18"/>
                <w:szCs w:val="18"/>
              </w:rPr>
              <w:t>% of shares voted</w:t>
            </w:r>
          </w:p>
        </w:tc>
        <w:tc>
          <w:tcPr>
            <w:tcW w:w="1228" w:type="dxa"/>
          </w:tcPr>
          <w:p w14:paraId="5FE9E3D1" w14:textId="055A40A0" w:rsidR="00472724" w:rsidRPr="00162F72" w:rsidRDefault="00472724" w:rsidP="00F122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F72">
              <w:rPr>
                <w:rFonts w:ascii="Arial" w:hAnsi="Arial" w:cs="Arial"/>
                <w:b/>
                <w:bCs/>
                <w:sz w:val="18"/>
                <w:szCs w:val="18"/>
              </w:rPr>
              <w:t>No. of shares</w:t>
            </w:r>
          </w:p>
        </w:tc>
        <w:tc>
          <w:tcPr>
            <w:tcW w:w="851" w:type="dxa"/>
          </w:tcPr>
          <w:p w14:paraId="2AD5BE7D" w14:textId="1CEDA0FD" w:rsidR="00472724" w:rsidRPr="00162F72" w:rsidRDefault="00472724" w:rsidP="00F122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F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% </w:t>
            </w:r>
            <w:r w:rsidR="00162F72" w:rsidRPr="00162F72">
              <w:rPr>
                <w:rFonts w:ascii="Arial" w:hAnsi="Arial" w:cs="Arial"/>
                <w:b/>
                <w:bCs/>
                <w:sz w:val="18"/>
                <w:szCs w:val="18"/>
              </w:rPr>
              <w:t>of shares voted</w:t>
            </w:r>
          </w:p>
        </w:tc>
        <w:tc>
          <w:tcPr>
            <w:tcW w:w="1134" w:type="dxa"/>
          </w:tcPr>
          <w:p w14:paraId="0B43FE80" w14:textId="7E8BBB40" w:rsidR="00472724" w:rsidRPr="00162F72" w:rsidRDefault="00472724" w:rsidP="00F122E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2F72">
              <w:rPr>
                <w:rFonts w:ascii="Arial" w:hAnsi="Arial" w:cs="Arial"/>
                <w:b/>
                <w:bCs/>
                <w:sz w:val="18"/>
                <w:szCs w:val="18"/>
              </w:rPr>
              <w:t>No. of shares</w:t>
            </w:r>
          </w:p>
        </w:tc>
      </w:tr>
      <w:tr w:rsidR="00472724" w:rsidRPr="00F122E0" w14:paraId="28AD928F" w14:textId="4A871F0F" w:rsidTr="00162F72">
        <w:tc>
          <w:tcPr>
            <w:tcW w:w="704" w:type="dxa"/>
          </w:tcPr>
          <w:p w14:paraId="2F5A7474" w14:textId="041F0E9B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0C80657B" w14:textId="0F96980E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Receive and adopt the Annual Report</w:t>
            </w:r>
          </w:p>
          <w:p w14:paraId="3C32533E" w14:textId="1082FF14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1B047D7" w14:textId="4E572577" w:rsidR="00472724" w:rsidRPr="00162F72" w:rsidRDefault="004B65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168,816,361</w:t>
            </w:r>
          </w:p>
        </w:tc>
        <w:tc>
          <w:tcPr>
            <w:tcW w:w="804" w:type="dxa"/>
          </w:tcPr>
          <w:p w14:paraId="12C0E68A" w14:textId="535571C7" w:rsidR="00472724" w:rsidRPr="00162F72" w:rsidRDefault="004B65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99.99</w:t>
            </w:r>
          </w:p>
        </w:tc>
        <w:tc>
          <w:tcPr>
            <w:tcW w:w="1039" w:type="dxa"/>
          </w:tcPr>
          <w:p w14:paraId="0D58F11C" w14:textId="0FFABB02" w:rsidR="00472724" w:rsidRPr="00162F72" w:rsidRDefault="004B65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</w:tcPr>
          <w:p w14:paraId="282682C2" w14:textId="20E4FBCB" w:rsidR="00472724" w:rsidRPr="00162F72" w:rsidRDefault="004B65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6873202B" w14:textId="602ABE45" w:rsidR="00472724" w:rsidRPr="00162F72" w:rsidRDefault="004B65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12,937</w:t>
            </w:r>
          </w:p>
        </w:tc>
        <w:tc>
          <w:tcPr>
            <w:tcW w:w="851" w:type="dxa"/>
          </w:tcPr>
          <w:p w14:paraId="23A60DB4" w14:textId="70E6F52F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134" w:type="dxa"/>
          </w:tcPr>
          <w:p w14:paraId="3CBF62E2" w14:textId="3CDE76AE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30,959</w:t>
            </w:r>
          </w:p>
        </w:tc>
      </w:tr>
      <w:tr w:rsidR="0011258D" w:rsidRPr="00F122E0" w14:paraId="1B9742B6" w14:textId="77777777" w:rsidTr="00162F72">
        <w:tc>
          <w:tcPr>
            <w:tcW w:w="704" w:type="dxa"/>
          </w:tcPr>
          <w:p w14:paraId="60C0A096" w14:textId="14E70BA6" w:rsidR="0011258D" w:rsidRPr="00162F72" w:rsidRDefault="0011258D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2DADFD1C" w14:textId="77777777" w:rsidR="0011258D" w:rsidRPr="00162F72" w:rsidRDefault="0011258D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Approve the final dividend</w:t>
            </w:r>
          </w:p>
          <w:p w14:paraId="58DD844A" w14:textId="3D7E346D" w:rsidR="00915446" w:rsidRPr="00162F72" w:rsidRDefault="00915446" w:rsidP="00F122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528F701" w14:textId="5B22AB5C" w:rsidR="0011258D" w:rsidRPr="00162F72" w:rsidRDefault="004B65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168,860,257</w:t>
            </w:r>
          </w:p>
        </w:tc>
        <w:tc>
          <w:tcPr>
            <w:tcW w:w="804" w:type="dxa"/>
          </w:tcPr>
          <w:p w14:paraId="4F98BF53" w14:textId="3D322246" w:rsidR="0011258D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39" w:type="dxa"/>
          </w:tcPr>
          <w:p w14:paraId="31F0A473" w14:textId="4759B4B7" w:rsidR="0011258D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</w:tcPr>
          <w:p w14:paraId="77E1ACAF" w14:textId="5776AFCA" w:rsidR="0011258D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27AABEC5" w14:textId="7F42B404" w:rsidR="0011258D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C655585" w14:textId="3D010347" w:rsidR="0011258D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68EB3DF" w14:textId="6AE77E27" w:rsidR="0011258D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72724" w:rsidRPr="00F122E0" w14:paraId="14548F76" w14:textId="1541492D" w:rsidTr="00162F72">
        <w:tc>
          <w:tcPr>
            <w:tcW w:w="704" w:type="dxa"/>
          </w:tcPr>
          <w:p w14:paraId="25DC3192" w14:textId="06A8EB15" w:rsidR="00472724" w:rsidRPr="00162F72" w:rsidRDefault="0011258D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66C80F2D" w14:textId="02A3ADFD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Approve the Directors’ Remuneration Report</w:t>
            </w:r>
          </w:p>
          <w:p w14:paraId="0B667BAB" w14:textId="11BEFBA1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5A3097D" w14:textId="663E85F3" w:rsidR="00472724" w:rsidRPr="00162F72" w:rsidRDefault="004B65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153,510,584</w:t>
            </w:r>
          </w:p>
        </w:tc>
        <w:tc>
          <w:tcPr>
            <w:tcW w:w="804" w:type="dxa"/>
          </w:tcPr>
          <w:p w14:paraId="0AAFED5C" w14:textId="3DC5BF74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96.45</w:t>
            </w:r>
          </w:p>
        </w:tc>
        <w:tc>
          <w:tcPr>
            <w:tcW w:w="1039" w:type="dxa"/>
          </w:tcPr>
          <w:p w14:paraId="1A319A19" w14:textId="664EAC77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</w:tcPr>
          <w:p w14:paraId="7BF162FB" w14:textId="733B3D93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766F3655" w14:textId="279B62F7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5,647,668</w:t>
            </w:r>
          </w:p>
        </w:tc>
        <w:tc>
          <w:tcPr>
            <w:tcW w:w="851" w:type="dxa"/>
          </w:tcPr>
          <w:p w14:paraId="23846486" w14:textId="49932157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3.55</w:t>
            </w:r>
          </w:p>
        </w:tc>
        <w:tc>
          <w:tcPr>
            <w:tcW w:w="1134" w:type="dxa"/>
          </w:tcPr>
          <w:p w14:paraId="04A10B5C" w14:textId="60E054C1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9,702,005</w:t>
            </w:r>
          </w:p>
        </w:tc>
      </w:tr>
      <w:tr w:rsidR="00472724" w:rsidRPr="00F122E0" w14:paraId="1E6DCF35" w14:textId="313D6AE4" w:rsidTr="00162F72">
        <w:tc>
          <w:tcPr>
            <w:tcW w:w="704" w:type="dxa"/>
          </w:tcPr>
          <w:p w14:paraId="0B104E74" w14:textId="11449D2C" w:rsidR="00472724" w:rsidRPr="00162F72" w:rsidRDefault="0011258D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19212ED6" w14:textId="6306256B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Approve the new Remuneration Policy</w:t>
            </w:r>
          </w:p>
          <w:p w14:paraId="0B9E6E8B" w14:textId="6CBFE781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8037907" w14:textId="7F0B32C3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152,491,342</w:t>
            </w:r>
          </w:p>
        </w:tc>
        <w:tc>
          <w:tcPr>
            <w:tcW w:w="804" w:type="dxa"/>
          </w:tcPr>
          <w:p w14:paraId="1846D3AB" w14:textId="499253B7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90.31</w:t>
            </w:r>
          </w:p>
        </w:tc>
        <w:tc>
          <w:tcPr>
            <w:tcW w:w="1039" w:type="dxa"/>
          </w:tcPr>
          <w:p w14:paraId="7032FD97" w14:textId="0DA26B4D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</w:tcPr>
          <w:p w14:paraId="6F378C14" w14:textId="2AFB17F4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4105CFC8" w14:textId="44E35F0B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16,362,020</w:t>
            </w:r>
          </w:p>
        </w:tc>
        <w:tc>
          <w:tcPr>
            <w:tcW w:w="851" w:type="dxa"/>
          </w:tcPr>
          <w:p w14:paraId="1700F085" w14:textId="12AD1887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9.69</w:t>
            </w:r>
          </w:p>
        </w:tc>
        <w:tc>
          <w:tcPr>
            <w:tcW w:w="1134" w:type="dxa"/>
          </w:tcPr>
          <w:p w14:paraId="1C3A7596" w14:textId="6655E62B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6,895</w:t>
            </w:r>
          </w:p>
        </w:tc>
      </w:tr>
      <w:tr w:rsidR="00472724" w:rsidRPr="00F122E0" w14:paraId="2C96F29E" w14:textId="09BDBD48" w:rsidTr="00162F72">
        <w:tc>
          <w:tcPr>
            <w:tcW w:w="704" w:type="dxa"/>
          </w:tcPr>
          <w:p w14:paraId="75B2D64E" w14:textId="26DA5240" w:rsidR="00472724" w:rsidRPr="00162F72" w:rsidRDefault="0011258D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33507521" w14:textId="13C67078" w:rsidR="00472724" w:rsidRPr="00162F72" w:rsidRDefault="0011258D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E</w:t>
            </w:r>
            <w:r w:rsidR="00472724" w:rsidRPr="00162F72">
              <w:rPr>
                <w:rFonts w:ascii="Arial" w:hAnsi="Arial" w:cs="Arial"/>
                <w:sz w:val="18"/>
                <w:szCs w:val="18"/>
              </w:rPr>
              <w:t xml:space="preserve">lect </w:t>
            </w:r>
            <w:r w:rsidRPr="00162F72">
              <w:rPr>
                <w:rFonts w:ascii="Arial" w:hAnsi="Arial" w:cs="Arial"/>
                <w:sz w:val="18"/>
                <w:szCs w:val="18"/>
              </w:rPr>
              <w:t>Nicky Hartery</w:t>
            </w:r>
            <w:r w:rsidR="00472724" w:rsidRPr="00162F72">
              <w:rPr>
                <w:rFonts w:ascii="Arial" w:hAnsi="Arial" w:cs="Arial"/>
                <w:sz w:val="18"/>
                <w:szCs w:val="18"/>
              </w:rPr>
              <w:t xml:space="preserve"> as Director</w:t>
            </w:r>
          </w:p>
          <w:p w14:paraId="68D4550F" w14:textId="0CFF258E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4D021DA" w14:textId="7067C8C9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168,815,486</w:t>
            </w:r>
          </w:p>
        </w:tc>
        <w:tc>
          <w:tcPr>
            <w:tcW w:w="804" w:type="dxa"/>
          </w:tcPr>
          <w:p w14:paraId="2FAF7646" w14:textId="2C165B12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99.97</w:t>
            </w:r>
          </w:p>
        </w:tc>
        <w:tc>
          <w:tcPr>
            <w:tcW w:w="1039" w:type="dxa"/>
          </w:tcPr>
          <w:p w14:paraId="7959193E" w14:textId="70B080DA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</w:tcPr>
          <w:p w14:paraId="6A2A5A1B" w14:textId="3E4C17B1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75CF9DF0" w14:textId="0632BC97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43,596</w:t>
            </w:r>
          </w:p>
        </w:tc>
        <w:tc>
          <w:tcPr>
            <w:tcW w:w="851" w:type="dxa"/>
          </w:tcPr>
          <w:p w14:paraId="38EB021D" w14:textId="17B2F783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1134" w:type="dxa"/>
          </w:tcPr>
          <w:p w14:paraId="4F133910" w14:textId="5DAE7F8C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1,175</w:t>
            </w:r>
          </w:p>
        </w:tc>
      </w:tr>
      <w:tr w:rsidR="00472724" w:rsidRPr="00F122E0" w14:paraId="307AC7E4" w14:textId="2F8106B6" w:rsidTr="00162F72">
        <w:tc>
          <w:tcPr>
            <w:tcW w:w="704" w:type="dxa"/>
          </w:tcPr>
          <w:p w14:paraId="35E66600" w14:textId="12E5B97A" w:rsidR="00472724" w:rsidRPr="00162F72" w:rsidRDefault="0011258D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7580892A" w14:textId="62B24587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 xml:space="preserve">Re-elect </w:t>
            </w:r>
            <w:r w:rsidR="0011258D" w:rsidRPr="00162F72">
              <w:rPr>
                <w:rFonts w:ascii="Arial" w:hAnsi="Arial" w:cs="Arial"/>
                <w:sz w:val="18"/>
                <w:szCs w:val="18"/>
              </w:rPr>
              <w:t>Jo Hallas</w:t>
            </w:r>
            <w:r w:rsidRPr="00162F72">
              <w:rPr>
                <w:rFonts w:ascii="Arial" w:hAnsi="Arial" w:cs="Arial"/>
                <w:sz w:val="18"/>
                <w:szCs w:val="18"/>
              </w:rPr>
              <w:t xml:space="preserve"> as Director</w:t>
            </w:r>
          </w:p>
          <w:p w14:paraId="62E3D63B" w14:textId="683C89D4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99E732B" w14:textId="38CD1861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168,858,302</w:t>
            </w:r>
          </w:p>
        </w:tc>
        <w:tc>
          <w:tcPr>
            <w:tcW w:w="804" w:type="dxa"/>
          </w:tcPr>
          <w:p w14:paraId="2EB51B61" w14:textId="3B29AAD5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39" w:type="dxa"/>
          </w:tcPr>
          <w:p w14:paraId="74E81B25" w14:textId="488B7349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</w:tcPr>
          <w:p w14:paraId="07666284" w14:textId="28D2A36B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7DDE1008" w14:textId="33D408ED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B19F7F2" w14:textId="686749C2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3EB3D2D" w14:textId="41D3486C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1,955</w:t>
            </w:r>
          </w:p>
        </w:tc>
      </w:tr>
      <w:tr w:rsidR="00472724" w:rsidRPr="00F122E0" w14:paraId="3758C933" w14:textId="72969EA4" w:rsidTr="00162F72">
        <w:tc>
          <w:tcPr>
            <w:tcW w:w="704" w:type="dxa"/>
          </w:tcPr>
          <w:p w14:paraId="715350B7" w14:textId="06B5C75F" w:rsidR="00472724" w:rsidRPr="00162F72" w:rsidRDefault="0011258D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17310233" w14:textId="2C2580FF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 xml:space="preserve">Re-elect </w:t>
            </w:r>
            <w:r w:rsidR="0011258D" w:rsidRPr="00162F72">
              <w:rPr>
                <w:rFonts w:ascii="Arial" w:hAnsi="Arial" w:cs="Arial"/>
                <w:sz w:val="18"/>
                <w:szCs w:val="18"/>
              </w:rPr>
              <w:t>Jason Ashton</w:t>
            </w:r>
            <w:r w:rsidRPr="00162F72">
              <w:rPr>
                <w:rFonts w:ascii="Arial" w:hAnsi="Arial" w:cs="Arial"/>
                <w:sz w:val="18"/>
                <w:szCs w:val="18"/>
              </w:rPr>
              <w:t xml:space="preserve"> as Director</w:t>
            </w:r>
          </w:p>
          <w:p w14:paraId="244C62FC" w14:textId="6BB4EE90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17E239B" w14:textId="2586BD9D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168,821,285</w:t>
            </w:r>
          </w:p>
        </w:tc>
        <w:tc>
          <w:tcPr>
            <w:tcW w:w="804" w:type="dxa"/>
          </w:tcPr>
          <w:p w14:paraId="7F28C4C6" w14:textId="687E37CC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99.98</w:t>
            </w:r>
          </w:p>
        </w:tc>
        <w:tc>
          <w:tcPr>
            <w:tcW w:w="1039" w:type="dxa"/>
          </w:tcPr>
          <w:p w14:paraId="5A11ED78" w14:textId="4D2F6EE4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</w:tcPr>
          <w:p w14:paraId="7CCFF313" w14:textId="2FBDFC3E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50AD21FA" w14:textId="36DCA014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37,797</w:t>
            </w:r>
          </w:p>
        </w:tc>
        <w:tc>
          <w:tcPr>
            <w:tcW w:w="851" w:type="dxa"/>
          </w:tcPr>
          <w:p w14:paraId="1CFD5A40" w14:textId="0B527943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134" w:type="dxa"/>
          </w:tcPr>
          <w:p w14:paraId="1750FBBB" w14:textId="39826617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1,175</w:t>
            </w:r>
          </w:p>
        </w:tc>
      </w:tr>
      <w:tr w:rsidR="00472724" w:rsidRPr="00F122E0" w14:paraId="281F0D5D" w14:textId="77777777" w:rsidTr="00162F72">
        <w:tc>
          <w:tcPr>
            <w:tcW w:w="704" w:type="dxa"/>
          </w:tcPr>
          <w:p w14:paraId="5174FAAE" w14:textId="633CA30C" w:rsidR="00472724" w:rsidRPr="00162F72" w:rsidRDefault="0011258D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2C60362A" w14:textId="7BA47980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 xml:space="preserve">Re-elect </w:t>
            </w:r>
            <w:r w:rsidR="0011258D" w:rsidRPr="00162F72">
              <w:rPr>
                <w:rFonts w:ascii="Arial" w:hAnsi="Arial" w:cs="Arial"/>
                <w:sz w:val="18"/>
                <w:szCs w:val="18"/>
              </w:rPr>
              <w:t>Paul Withers</w:t>
            </w:r>
            <w:r w:rsidRPr="00162F72">
              <w:rPr>
                <w:rFonts w:ascii="Arial" w:hAnsi="Arial" w:cs="Arial"/>
                <w:sz w:val="18"/>
                <w:szCs w:val="18"/>
              </w:rPr>
              <w:t xml:space="preserve"> as Director</w:t>
            </w:r>
          </w:p>
          <w:p w14:paraId="0FC1D442" w14:textId="4500022C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9F8A2CC" w14:textId="67DF87BF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168,282,233</w:t>
            </w:r>
          </w:p>
        </w:tc>
        <w:tc>
          <w:tcPr>
            <w:tcW w:w="804" w:type="dxa"/>
          </w:tcPr>
          <w:p w14:paraId="728A3623" w14:textId="0C9FEC17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99.66</w:t>
            </w:r>
          </w:p>
        </w:tc>
        <w:tc>
          <w:tcPr>
            <w:tcW w:w="1039" w:type="dxa"/>
          </w:tcPr>
          <w:p w14:paraId="3B4BC83D" w14:textId="6E30DD7C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</w:tcPr>
          <w:p w14:paraId="654D98CF" w14:textId="63ADC18D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6CEC366E" w14:textId="425852FA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578,024</w:t>
            </w:r>
          </w:p>
        </w:tc>
        <w:tc>
          <w:tcPr>
            <w:tcW w:w="851" w:type="dxa"/>
          </w:tcPr>
          <w:p w14:paraId="3CF1161E" w14:textId="59392D79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  <w:tc>
          <w:tcPr>
            <w:tcW w:w="1134" w:type="dxa"/>
          </w:tcPr>
          <w:p w14:paraId="43F1A3A0" w14:textId="01925FF7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472724" w:rsidRPr="00F122E0" w14:paraId="4E887834" w14:textId="77777777" w:rsidTr="00162F72">
        <w:tc>
          <w:tcPr>
            <w:tcW w:w="704" w:type="dxa"/>
          </w:tcPr>
          <w:p w14:paraId="4A507343" w14:textId="6CB508E1" w:rsidR="00472724" w:rsidRPr="00162F72" w:rsidRDefault="0011258D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52B89016" w14:textId="4C9BDBC7" w:rsidR="00472724" w:rsidRPr="00162F72" w:rsidRDefault="0011258D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Re-e</w:t>
            </w:r>
            <w:r w:rsidR="00472724" w:rsidRPr="00162F72">
              <w:rPr>
                <w:rFonts w:ascii="Arial" w:hAnsi="Arial" w:cs="Arial"/>
                <w:sz w:val="18"/>
                <w:szCs w:val="18"/>
              </w:rPr>
              <w:t xml:space="preserve">lect </w:t>
            </w:r>
            <w:r w:rsidRPr="00162F72">
              <w:rPr>
                <w:rFonts w:ascii="Arial" w:hAnsi="Arial" w:cs="Arial"/>
                <w:sz w:val="18"/>
                <w:szCs w:val="18"/>
              </w:rPr>
              <w:t>Pamela Bingham</w:t>
            </w:r>
            <w:r w:rsidR="00472724" w:rsidRPr="00162F72">
              <w:rPr>
                <w:rFonts w:ascii="Arial" w:hAnsi="Arial" w:cs="Arial"/>
                <w:sz w:val="18"/>
                <w:szCs w:val="18"/>
              </w:rPr>
              <w:t xml:space="preserve"> as Director</w:t>
            </w:r>
          </w:p>
          <w:p w14:paraId="0B62C050" w14:textId="51BCCAB0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67870E9" w14:textId="410AEE0A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168,238,200</w:t>
            </w:r>
          </w:p>
        </w:tc>
        <w:tc>
          <w:tcPr>
            <w:tcW w:w="804" w:type="dxa"/>
          </w:tcPr>
          <w:p w14:paraId="35908F29" w14:textId="7C04F8CB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99.63</w:t>
            </w:r>
          </w:p>
        </w:tc>
        <w:tc>
          <w:tcPr>
            <w:tcW w:w="1039" w:type="dxa"/>
          </w:tcPr>
          <w:p w14:paraId="05D0DCAF" w14:textId="65C97350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</w:tcPr>
          <w:p w14:paraId="38AECF4F" w14:textId="7C59AFBB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2553EA35" w14:textId="76AFCE75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620,102</w:t>
            </w:r>
          </w:p>
        </w:tc>
        <w:tc>
          <w:tcPr>
            <w:tcW w:w="851" w:type="dxa"/>
          </w:tcPr>
          <w:p w14:paraId="1F4CCB4C" w14:textId="344937FC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0.37</w:t>
            </w:r>
          </w:p>
        </w:tc>
        <w:tc>
          <w:tcPr>
            <w:tcW w:w="1134" w:type="dxa"/>
          </w:tcPr>
          <w:p w14:paraId="42DA5F58" w14:textId="06D1E1FA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1,955</w:t>
            </w:r>
          </w:p>
        </w:tc>
      </w:tr>
      <w:tr w:rsidR="00472724" w:rsidRPr="00F122E0" w14:paraId="5DD82CF1" w14:textId="77777777" w:rsidTr="00162F72">
        <w:tc>
          <w:tcPr>
            <w:tcW w:w="704" w:type="dxa"/>
          </w:tcPr>
          <w:p w14:paraId="6478366F" w14:textId="54C3A142" w:rsidR="00472724" w:rsidRPr="00162F72" w:rsidRDefault="0011258D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0AA3EC8E" w14:textId="1260D33F" w:rsidR="00472724" w:rsidRPr="00162F72" w:rsidRDefault="0011258D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Re-e</w:t>
            </w:r>
            <w:r w:rsidR="00472724" w:rsidRPr="00162F72">
              <w:rPr>
                <w:rFonts w:ascii="Arial" w:hAnsi="Arial" w:cs="Arial"/>
                <w:sz w:val="18"/>
                <w:szCs w:val="18"/>
              </w:rPr>
              <w:t xml:space="preserve">lect </w:t>
            </w:r>
            <w:r w:rsidRPr="00162F72">
              <w:rPr>
                <w:rFonts w:ascii="Arial" w:hAnsi="Arial" w:cs="Arial"/>
                <w:sz w:val="18"/>
                <w:szCs w:val="18"/>
              </w:rPr>
              <w:t>Helen Clatworthy</w:t>
            </w:r>
            <w:r w:rsidR="00472724" w:rsidRPr="00162F72">
              <w:rPr>
                <w:rFonts w:ascii="Arial" w:hAnsi="Arial" w:cs="Arial"/>
                <w:sz w:val="18"/>
                <w:szCs w:val="18"/>
              </w:rPr>
              <w:t xml:space="preserve"> as Director</w:t>
            </w:r>
          </w:p>
          <w:p w14:paraId="72CD2E77" w14:textId="6742D9A1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47C8BE2" w14:textId="6897F73E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168,283,953</w:t>
            </w:r>
          </w:p>
        </w:tc>
        <w:tc>
          <w:tcPr>
            <w:tcW w:w="804" w:type="dxa"/>
          </w:tcPr>
          <w:p w14:paraId="790F324B" w14:textId="1096E156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99.66</w:t>
            </w:r>
          </w:p>
        </w:tc>
        <w:tc>
          <w:tcPr>
            <w:tcW w:w="1039" w:type="dxa"/>
          </w:tcPr>
          <w:p w14:paraId="5709553D" w14:textId="074F6614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</w:tcPr>
          <w:p w14:paraId="1C17F7E1" w14:textId="0C0BCBD6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5E8D29BC" w14:textId="17B80181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574,349</w:t>
            </w:r>
          </w:p>
        </w:tc>
        <w:tc>
          <w:tcPr>
            <w:tcW w:w="851" w:type="dxa"/>
          </w:tcPr>
          <w:p w14:paraId="6886F792" w14:textId="43B8AC12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  <w:tc>
          <w:tcPr>
            <w:tcW w:w="1134" w:type="dxa"/>
          </w:tcPr>
          <w:p w14:paraId="2321AC35" w14:textId="0E5B668B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1,955</w:t>
            </w:r>
          </w:p>
        </w:tc>
      </w:tr>
      <w:tr w:rsidR="00472724" w:rsidRPr="00F122E0" w14:paraId="7D334617" w14:textId="77777777" w:rsidTr="00162F72">
        <w:tc>
          <w:tcPr>
            <w:tcW w:w="704" w:type="dxa"/>
          </w:tcPr>
          <w:p w14:paraId="49410286" w14:textId="6DAE0D30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11258D" w:rsidRPr="00162F7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62C132B2" w14:textId="77777777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Reappoint PwC as Auditors</w:t>
            </w:r>
          </w:p>
          <w:p w14:paraId="5E0ABAE0" w14:textId="7BF435CF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CB0084D" w14:textId="31CBF792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168,841,364</w:t>
            </w:r>
          </w:p>
        </w:tc>
        <w:tc>
          <w:tcPr>
            <w:tcW w:w="804" w:type="dxa"/>
          </w:tcPr>
          <w:p w14:paraId="683B6583" w14:textId="1BFBE3ED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99.99</w:t>
            </w:r>
          </w:p>
        </w:tc>
        <w:tc>
          <w:tcPr>
            <w:tcW w:w="1039" w:type="dxa"/>
          </w:tcPr>
          <w:p w14:paraId="49B22FE0" w14:textId="2EFEC969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</w:tcPr>
          <w:p w14:paraId="53E383AF" w14:textId="7F81992F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5A3FAC36" w14:textId="4A920AB3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17,717</w:t>
            </w:r>
          </w:p>
        </w:tc>
        <w:tc>
          <w:tcPr>
            <w:tcW w:w="851" w:type="dxa"/>
          </w:tcPr>
          <w:p w14:paraId="57BE7313" w14:textId="5804EFB5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  <w:r w:rsidR="00E239C6" w:rsidRPr="00162F72">
              <w:rPr>
                <w:rFonts w:ascii="Arial" w:hAnsi="Arial" w:cs="Arial"/>
                <w:sz w:val="18"/>
                <w:szCs w:val="18"/>
              </w:rPr>
              <w:t>.01</w:t>
            </w:r>
          </w:p>
        </w:tc>
        <w:tc>
          <w:tcPr>
            <w:tcW w:w="1134" w:type="dxa"/>
          </w:tcPr>
          <w:p w14:paraId="1313E48A" w14:textId="30F67CF0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1,176</w:t>
            </w:r>
          </w:p>
        </w:tc>
      </w:tr>
      <w:tr w:rsidR="00472724" w:rsidRPr="00F122E0" w14:paraId="3CB3820E" w14:textId="77777777" w:rsidTr="00162F72">
        <w:tc>
          <w:tcPr>
            <w:tcW w:w="704" w:type="dxa"/>
          </w:tcPr>
          <w:p w14:paraId="3314D6E5" w14:textId="410DE6CF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</w:t>
            </w:r>
            <w:r w:rsidR="0011258D" w:rsidRPr="00162F7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1F6E34D8" w14:textId="0B506F05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Authorise Board to set remuneration of Auditors</w:t>
            </w:r>
          </w:p>
          <w:p w14:paraId="4184D074" w14:textId="6775709D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F3DD400" w14:textId="4EB174E9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168,855,188</w:t>
            </w:r>
          </w:p>
        </w:tc>
        <w:tc>
          <w:tcPr>
            <w:tcW w:w="804" w:type="dxa"/>
          </w:tcPr>
          <w:p w14:paraId="21FAC005" w14:textId="488E471B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39" w:type="dxa"/>
          </w:tcPr>
          <w:p w14:paraId="2BA54640" w14:textId="147BFE4D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</w:tcPr>
          <w:p w14:paraId="7E84D532" w14:textId="73D791C2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48F3D819" w14:textId="732B55CD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3,894</w:t>
            </w:r>
          </w:p>
        </w:tc>
        <w:tc>
          <w:tcPr>
            <w:tcW w:w="851" w:type="dxa"/>
          </w:tcPr>
          <w:p w14:paraId="67DF8B28" w14:textId="5A802B68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  <w:r w:rsidR="00E239C6" w:rsidRPr="00162F72">
              <w:rPr>
                <w:rFonts w:ascii="Arial" w:hAnsi="Arial" w:cs="Arial"/>
                <w:sz w:val="18"/>
                <w:szCs w:val="18"/>
              </w:rPr>
              <w:t>.00</w:t>
            </w:r>
          </w:p>
          <w:p w14:paraId="4DB61784" w14:textId="49C6BA22" w:rsidR="00F201CE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8E788C" w14:textId="43D1A0AB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1,175</w:t>
            </w:r>
          </w:p>
        </w:tc>
      </w:tr>
      <w:tr w:rsidR="00472724" w:rsidRPr="00F122E0" w14:paraId="7136AC8C" w14:textId="77777777" w:rsidTr="00162F72">
        <w:tc>
          <w:tcPr>
            <w:tcW w:w="704" w:type="dxa"/>
          </w:tcPr>
          <w:p w14:paraId="4D911BD7" w14:textId="6C519B81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</w:t>
            </w:r>
            <w:r w:rsidR="0011258D" w:rsidRPr="00162F7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4B2D098C" w14:textId="625030FB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Authorise political donations and expenditure</w:t>
            </w:r>
          </w:p>
          <w:p w14:paraId="52E5EF41" w14:textId="0F8DBA34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A187CE2" w14:textId="5B5A25BF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138,627,537</w:t>
            </w:r>
          </w:p>
        </w:tc>
        <w:tc>
          <w:tcPr>
            <w:tcW w:w="804" w:type="dxa"/>
          </w:tcPr>
          <w:p w14:paraId="787BD5FF" w14:textId="2E38ABC5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95.02</w:t>
            </w:r>
          </w:p>
        </w:tc>
        <w:tc>
          <w:tcPr>
            <w:tcW w:w="1039" w:type="dxa"/>
          </w:tcPr>
          <w:p w14:paraId="41CD870E" w14:textId="4F22745D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</w:tcPr>
          <w:p w14:paraId="04C301D3" w14:textId="77D6FEC8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4829B80B" w14:textId="3BB4F198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7,267,612</w:t>
            </w:r>
          </w:p>
        </w:tc>
        <w:tc>
          <w:tcPr>
            <w:tcW w:w="851" w:type="dxa"/>
          </w:tcPr>
          <w:p w14:paraId="03866746" w14:textId="615CC32E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4.98</w:t>
            </w:r>
          </w:p>
        </w:tc>
        <w:tc>
          <w:tcPr>
            <w:tcW w:w="1134" w:type="dxa"/>
          </w:tcPr>
          <w:p w14:paraId="3C7BB760" w14:textId="2900C04A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22,965,108</w:t>
            </w:r>
          </w:p>
        </w:tc>
      </w:tr>
      <w:tr w:rsidR="00472724" w:rsidRPr="00F122E0" w14:paraId="6C9FBC21" w14:textId="77777777" w:rsidTr="00162F72">
        <w:tc>
          <w:tcPr>
            <w:tcW w:w="704" w:type="dxa"/>
          </w:tcPr>
          <w:p w14:paraId="021FD52F" w14:textId="2EC381D4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</w:t>
            </w:r>
            <w:r w:rsidR="0011258D" w:rsidRPr="00162F7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05AB4B17" w14:textId="1DB56BC1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 xml:space="preserve">Approve </w:t>
            </w:r>
            <w:r w:rsidR="0011258D" w:rsidRPr="00162F72">
              <w:rPr>
                <w:rFonts w:ascii="Arial" w:hAnsi="Arial" w:cs="Arial"/>
                <w:sz w:val="18"/>
                <w:szCs w:val="18"/>
              </w:rPr>
              <w:t xml:space="preserve">amendment </w:t>
            </w:r>
            <w:proofErr w:type="gramStart"/>
            <w:r w:rsidR="0011258D" w:rsidRPr="00162F72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162F72">
              <w:rPr>
                <w:rFonts w:ascii="Arial" w:hAnsi="Arial" w:cs="Arial"/>
                <w:sz w:val="18"/>
                <w:szCs w:val="18"/>
              </w:rPr>
              <w:t xml:space="preserve"> LTIP</w:t>
            </w:r>
            <w:proofErr w:type="gramEnd"/>
            <w:r w:rsidR="0011258D" w:rsidRPr="00162F72">
              <w:rPr>
                <w:rFonts w:ascii="Arial" w:hAnsi="Arial" w:cs="Arial"/>
                <w:sz w:val="18"/>
                <w:szCs w:val="18"/>
              </w:rPr>
              <w:t xml:space="preserve"> Rules</w:t>
            </w:r>
          </w:p>
          <w:p w14:paraId="1A421942" w14:textId="0A33F0D8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4CFC0C2" w14:textId="6623313E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156,474,367</w:t>
            </w:r>
          </w:p>
        </w:tc>
        <w:tc>
          <w:tcPr>
            <w:tcW w:w="804" w:type="dxa"/>
          </w:tcPr>
          <w:p w14:paraId="6122C3C4" w14:textId="430152F8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93.04</w:t>
            </w:r>
          </w:p>
        </w:tc>
        <w:tc>
          <w:tcPr>
            <w:tcW w:w="1039" w:type="dxa"/>
          </w:tcPr>
          <w:p w14:paraId="0DBD289F" w14:textId="24D8DCC5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</w:tcPr>
          <w:p w14:paraId="2CCC1D40" w14:textId="2E9A41E4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2D8AF0A6" w14:textId="184C3609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11,698,930</w:t>
            </w:r>
          </w:p>
        </w:tc>
        <w:tc>
          <w:tcPr>
            <w:tcW w:w="851" w:type="dxa"/>
          </w:tcPr>
          <w:p w14:paraId="463EE653" w14:textId="22E75184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6.96</w:t>
            </w:r>
          </w:p>
        </w:tc>
        <w:tc>
          <w:tcPr>
            <w:tcW w:w="1134" w:type="dxa"/>
          </w:tcPr>
          <w:p w14:paraId="62AB9C80" w14:textId="02C87AEA" w:rsidR="00472724" w:rsidRPr="00162F72" w:rsidRDefault="00503DE3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686,960</w:t>
            </w:r>
          </w:p>
        </w:tc>
      </w:tr>
      <w:tr w:rsidR="00472724" w:rsidRPr="00F122E0" w14:paraId="6B8A0EE2" w14:textId="77777777" w:rsidTr="00162F72">
        <w:tc>
          <w:tcPr>
            <w:tcW w:w="704" w:type="dxa"/>
          </w:tcPr>
          <w:p w14:paraId="7E0D6C18" w14:textId="607E38A2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740472A2" w14:textId="6A3475B7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Authorise issuance and allotment of shares and Rights</w:t>
            </w:r>
          </w:p>
          <w:p w14:paraId="63F8C1D0" w14:textId="6B4C9531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9303462" w14:textId="48FD29AC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167,529,488</w:t>
            </w:r>
          </w:p>
        </w:tc>
        <w:tc>
          <w:tcPr>
            <w:tcW w:w="804" w:type="dxa"/>
          </w:tcPr>
          <w:p w14:paraId="29567C0E" w14:textId="2CEDB963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99.34</w:t>
            </w:r>
          </w:p>
        </w:tc>
        <w:tc>
          <w:tcPr>
            <w:tcW w:w="1039" w:type="dxa"/>
          </w:tcPr>
          <w:p w14:paraId="75E1E080" w14:textId="36EDE242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</w:tcPr>
          <w:p w14:paraId="756E9046" w14:textId="5F0DC8E7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2DA1BE59" w14:textId="1D9D174F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1,112,821</w:t>
            </w:r>
          </w:p>
        </w:tc>
        <w:tc>
          <w:tcPr>
            <w:tcW w:w="851" w:type="dxa"/>
          </w:tcPr>
          <w:p w14:paraId="31102BFB" w14:textId="3C362C19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  <w:tc>
          <w:tcPr>
            <w:tcW w:w="1134" w:type="dxa"/>
          </w:tcPr>
          <w:p w14:paraId="04F9504B" w14:textId="7F41CE2E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217,948</w:t>
            </w:r>
          </w:p>
        </w:tc>
      </w:tr>
      <w:tr w:rsidR="00472724" w:rsidRPr="00F122E0" w14:paraId="10E23EE3" w14:textId="77777777" w:rsidTr="00162F72">
        <w:tc>
          <w:tcPr>
            <w:tcW w:w="704" w:type="dxa"/>
          </w:tcPr>
          <w:p w14:paraId="2A69D270" w14:textId="4C2B849A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*16</w:t>
            </w:r>
          </w:p>
        </w:tc>
        <w:tc>
          <w:tcPr>
            <w:tcW w:w="1418" w:type="dxa"/>
          </w:tcPr>
          <w:p w14:paraId="07B6A8D2" w14:textId="7CBEC15B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Dis-apply pre-emption rights (general power)</w:t>
            </w:r>
          </w:p>
          <w:p w14:paraId="38BAE08A" w14:textId="0838D7AC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444DD67" w14:textId="5962534E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168,603,618</w:t>
            </w:r>
          </w:p>
        </w:tc>
        <w:tc>
          <w:tcPr>
            <w:tcW w:w="804" w:type="dxa"/>
          </w:tcPr>
          <w:p w14:paraId="10EEBF5E" w14:textId="1DB28597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99.98</w:t>
            </w:r>
          </w:p>
        </w:tc>
        <w:tc>
          <w:tcPr>
            <w:tcW w:w="1039" w:type="dxa"/>
          </w:tcPr>
          <w:p w14:paraId="323031DF" w14:textId="64BBAD6C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</w:tcPr>
          <w:p w14:paraId="7DF5FEBE" w14:textId="0EF8F196" w:rsidR="00472724" w:rsidRPr="00162F72" w:rsidRDefault="00F201CE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613AAAD8" w14:textId="5575F78E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38,691</w:t>
            </w:r>
          </w:p>
        </w:tc>
        <w:tc>
          <w:tcPr>
            <w:tcW w:w="851" w:type="dxa"/>
          </w:tcPr>
          <w:p w14:paraId="22B908FF" w14:textId="1D9CEE1B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134" w:type="dxa"/>
          </w:tcPr>
          <w:p w14:paraId="63B77A78" w14:textId="1AB54A78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217,948</w:t>
            </w:r>
          </w:p>
        </w:tc>
      </w:tr>
      <w:tr w:rsidR="00472724" w:rsidRPr="00F122E0" w14:paraId="185DCD08" w14:textId="77777777" w:rsidTr="00162F72">
        <w:tc>
          <w:tcPr>
            <w:tcW w:w="704" w:type="dxa"/>
          </w:tcPr>
          <w:p w14:paraId="52935684" w14:textId="3C8ADD10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*17</w:t>
            </w:r>
          </w:p>
        </w:tc>
        <w:tc>
          <w:tcPr>
            <w:tcW w:w="1418" w:type="dxa"/>
          </w:tcPr>
          <w:p w14:paraId="22B3E82C" w14:textId="575AC10C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Dis-apply pre-emption rights (additional authority)</w:t>
            </w:r>
          </w:p>
          <w:p w14:paraId="796AEDCD" w14:textId="17333639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631C83D" w14:textId="652BE778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161,124,029</w:t>
            </w:r>
          </w:p>
        </w:tc>
        <w:tc>
          <w:tcPr>
            <w:tcW w:w="804" w:type="dxa"/>
          </w:tcPr>
          <w:p w14:paraId="0EDB7BE5" w14:textId="15422780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95.54</w:t>
            </w:r>
          </w:p>
        </w:tc>
        <w:tc>
          <w:tcPr>
            <w:tcW w:w="1039" w:type="dxa"/>
          </w:tcPr>
          <w:p w14:paraId="152CA85B" w14:textId="25F21F2F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</w:tcPr>
          <w:p w14:paraId="6D436C52" w14:textId="54A32511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4E9F67A5" w14:textId="4F6F27AF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7,518,279</w:t>
            </w:r>
          </w:p>
        </w:tc>
        <w:tc>
          <w:tcPr>
            <w:tcW w:w="851" w:type="dxa"/>
          </w:tcPr>
          <w:p w14:paraId="54580779" w14:textId="7F5BD610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4.46</w:t>
            </w:r>
          </w:p>
        </w:tc>
        <w:tc>
          <w:tcPr>
            <w:tcW w:w="1134" w:type="dxa"/>
          </w:tcPr>
          <w:p w14:paraId="7D253B38" w14:textId="3327B231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217,949</w:t>
            </w:r>
          </w:p>
        </w:tc>
      </w:tr>
      <w:tr w:rsidR="00472724" w:rsidRPr="00F122E0" w14:paraId="60236213" w14:textId="77777777" w:rsidTr="00162F72">
        <w:tc>
          <w:tcPr>
            <w:tcW w:w="704" w:type="dxa"/>
          </w:tcPr>
          <w:p w14:paraId="618F5EC8" w14:textId="364F95D7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*18</w:t>
            </w:r>
          </w:p>
        </w:tc>
        <w:tc>
          <w:tcPr>
            <w:tcW w:w="1418" w:type="dxa"/>
          </w:tcPr>
          <w:p w14:paraId="6FAC5D5A" w14:textId="77777777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Authorise market purchase of ordinary shares</w:t>
            </w:r>
          </w:p>
          <w:p w14:paraId="5434054F" w14:textId="268FA4A7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ABC7BB1" w14:textId="632882D9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168,527,143</w:t>
            </w:r>
          </w:p>
        </w:tc>
        <w:tc>
          <w:tcPr>
            <w:tcW w:w="804" w:type="dxa"/>
          </w:tcPr>
          <w:p w14:paraId="5BE226E4" w14:textId="1E2EA6BB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99.85</w:t>
            </w:r>
          </w:p>
        </w:tc>
        <w:tc>
          <w:tcPr>
            <w:tcW w:w="1039" w:type="dxa"/>
          </w:tcPr>
          <w:p w14:paraId="0DFAE0C2" w14:textId="7EBF1E09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</w:tcPr>
          <w:p w14:paraId="6C8D237A" w14:textId="04F031C4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7D96F794" w14:textId="5DD36CAE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253,195</w:t>
            </w:r>
          </w:p>
        </w:tc>
        <w:tc>
          <w:tcPr>
            <w:tcW w:w="851" w:type="dxa"/>
          </w:tcPr>
          <w:p w14:paraId="23A4D723" w14:textId="4E620E12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1134" w:type="dxa"/>
          </w:tcPr>
          <w:p w14:paraId="35E2FD7D" w14:textId="53987EFB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79,919</w:t>
            </w:r>
          </w:p>
        </w:tc>
      </w:tr>
      <w:tr w:rsidR="00472724" w:rsidRPr="00F122E0" w14:paraId="0196727E" w14:textId="77777777" w:rsidTr="00162F72">
        <w:tc>
          <w:tcPr>
            <w:tcW w:w="704" w:type="dxa"/>
          </w:tcPr>
          <w:p w14:paraId="449550AF" w14:textId="08DDDE5F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*</w:t>
            </w:r>
            <w:r w:rsidR="007F2505" w:rsidRPr="00162F7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418" w:type="dxa"/>
          </w:tcPr>
          <w:p w14:paraId="2D6A24BB" w14:textId="212DFF13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Authorise the calling of general meetings on not less than 14 clear days' notice</w:t>
            </w:r>
          </w:p>
          <w:p w14:paraId="2F4511F5" w14:textId="51A7CCD7" w:rsidR="00472724" w:rsidRPr="00162F72" w:rsidRDefault="00472724" w:rsidP="00F122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7CEC052" w14:textId="423D03FE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147,797,155</w:t>
            </w:r>
          </w:p>
        </w:tc>
        <w:tc>
          <w:tcPr>
            <w:tcW w:w="804" w:type="dxa"/>
          </w:tcPr>
          <w:p w14:paraId="21B4B4E0" w14:textId="5B543063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87.53</w:t>
            </w:r>
          </w:p>
        </w:tc>
        <w:tc>
          <w:tcPr>
            <w:tcW w:w="1039" w:type="dxa"/>
          </w:tcPr>
          <w:p w14:paraId="2C8BB9DC" w14:textId="47D11F94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0" w:type="dxa"/>
          </w:tcPr>
          <w:p w14:paraId="07660784" w14:textId="3CB553E5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</w:tcPr>
          <w:p w14:paraId="703AF737" w14:textId="7D4904A2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21,063,101</w:t>
            </w:r>
          </w:p>
        </w:tc>
        <w:tc>
          <w:tcPr>
            <w:tcW w:w="851" w:type="dxa"/>
          </w:tcPr>
          <w:p w14:paraId="212AF5E3" w14:textId="2471F3CA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12.47</w:t>
            </w:r>
          </w:p>
        </w:tc>
        <w:tc>
          <w:tcPr>
            <w:tcW w:w="1134" w:type="dxa"/>
          </w:tcPr>
          <w:p w14:paraId="7B839274" w14:textId="1C4C3CA7" w:rsidR="00472724" w:rsidRPr="00162F72" w:rsidRDefault="00E239C6" w:rsidP="00F122E0">
            <w:pPr>
              <w:rPr>
                <w:rFonts w:ascii="Arial" w:hAnsi="Arial" w:cs="Arial"/>
                <w:sz w:val="18"/>
                <w:szCs w:val="18"/>
              </w:rPr>
            </w:pPr>
            <w:r w:rsidRPr="00162F72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4703BBBE" w14:textId="77777777" w:rsidR="00AC0CE8" w:rsidRDefault="00AC0CE8" w:rsidP="00F122E0">
      <w:pPr>
        <w:rPr>
          <w:rFonts w:ascii="Arial" w:hAnsi="Arial" w:cs="Arial"/>
          <w:b/>
          <w:bCs/>
          <w:sz w:val="20"/>
          <w:szCs w:val="20"/>
        </w:rPr>
      </w:pPr>
    </w:p>
    <w:p w14:paraId="00AC368D" w14:textId="0D747045" w:rsidR="00F122E0" w:rsidRPr="00F122E0" w:rsidRDefault="00F122E0" w:rsidP="00F122E0">
      <w:pPr>
        <w:rPr>
          <w:rFonts w:ascii="Arial" w:hAnsi="Arial" w:cs="Arial"/>
          <w:b/>
          <w:bCs/>
          <w:sz w:val="20"/>
          <w:szCs w:val="20"/>
        </w:rPr>
      </w:pPr>
      <w:r w:rsidRPr="00F122E0">
        <w:rPr>
          <w:rFonts w:ascii="Arial" w:hAnsi="Arial" w:cs="Arial"/>
          <w:b/>
          <w:bCs/>
          <w:sz w:val="20"/>
          <w:szCs w:val="20"/>
        </w:rPr>
        <w:t>Notes:</w:t>
      </w:r>
    </w:p>
    <w:p w14:paraId="07B3E172" w14:textId="072E1452" w:rsidR="00AC0CE8" w:rsidRDefault="00AC0CE8" w:rsidP="00F122E0">
      <w:pPr>
        <w:pStyle w:val="ListParagraph"/>
        <w:numPr>
          <w:ilvl w:val="0"/>
          <w:numId w:val="1"/>
        </w:numPr>
        <w:ind w:left="6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“*” denotes a special resolution.</w:t>
      </w:r>
    </w:p>
    <w:p w14:paraId="0DCE4551" w14:textId="77777777" w:rsidR="00AC0CE8" w:rsidRDefault="00AC0CE8" w:rsidP="00AC0CE8">
      <w:pPr>
        <w:pStyle w:val="ListParagraph"/>
        <w:ind w:left="617"/>
        <w:rPr>
          <w:rFonts w:ascii="Arial" w:hAnsi="Arial" w:cs="Arial"/>
          <w:sz w:val="20"/>
          <w:szCs w:val="20"/>
        </w:rPr>
      </w:pPr>
    </w:p>
    <w:p w14:paraId="7DEBE32E" w14:textId="57AFA0AD" w:rsidR="00F122E0" w:rsidRPr="00F122E0" w:rsidRDefault="00F122E0" w:rsidP="00F122E0">
      <w:pPr>
        <w:pStyle w:val="ListParagraph"/>
        <w:numPr>
          <w:ilvl w:val="0"/>
          <w:numId w:val="1"/>
        </w:numPr>
        <w:ind w:left="617"/>
        <w:rPr>
          <w:rFonts w:ascii="Arial" w:hAnsi="Arial" w:cs="Arial"/>
          <w:sz w:val="20"/>
          <w:szCs w:val="20"/>
        </w:rPr>
      </w:pPr>
      <w:r w:rsidRPr="00F122E0">
        <w:rPr>
          <w:rFonts w:ascii="Arial" w:hAnsi="Arial" w:cs="Arial"/>
          <w:sz w:val="20"/>
          <w:szCs w:val="20"/>
        </w:rPr>
        <w:t>A "vote withheld" is not a vote in law and is not counted in the calculation of the proportion of the votes "for" and "against" a resolution.</w:t>
      </w:r>
    </w:p>
    <w:p w14:paraId="08919A3D" w14:textId="77777777" w:rsidR="00F122E0" w:rsidRPr="00F122E0" w:rsidRDefault="00F122E0" w:rsidP="00F122E0">
      <w:pPr>
        <w:pStyle w:val="ListParagraph"/>
        <w:ind w:left="617"/>
        <w:rPr>
          <w:rFonts w:ascii="Arial" w:hAnsi="Arial" w:cs="Arial"/>
          <w:sz w:val="20"/>
          <w:szCs w:val="20"/>
        </w:rPr>
      </w:pPr>
    </w:p>
    <w:p w14:paraId="07BA3548" w14:textId="4AFBC359" w:rsidR="00F122E0" w:rsidRPr="00F122E0" w:rsidRDefault="00F122E0" w:rsidP="00F122E0">
      <w:pPr>
        <w:pStyle w:val="ListParagraph"/>
        <w:numPr>
          <w:ilvl w:val="0"/>
          <w:numId w:val="1"/>
        </w:numPr>
        <w:ind w:left="617"/>
        <w:rPr>
          <w:rFonts w:ascii="Arial" w:hAnsi="Arial" w:cs="Arial"/>
          <w:sz w:val="20"/>
          <w:szCs w:val="20"/>
        </w:rPr>
      </w:pPr>
      <w:r w:rsidRPr="00F122E0">
        <w:rPr>
          <w:rFonts w:ascii="Arial" w:hAnsi="Arial" w:cs="Arial"/>
          <w:sz w:val="20"/>
          <w:szCs w:val="20"/>
        </w:rPr>
        <w:t>The number of 5 pence Ordinary shares in issue (excluding shares held in Treasury) on 20 May 20</w:t>
      </w:r>
      <w:r w:rsidR="00F87480">
        <w:rPr>
          <w:rFonts w:ascii="Arial" w:hAnsi="Arial" w:cs="Arial"/>
          <w:sz w:val="20"/>
          <w:szCs w:val="20"/>
        </w:rPr>
        <w:t>2</w:t>
      </w:r>
      <w:r w:rsidR="007F2505">
        <w:rPr>
          <w:rFonts w:ascii="Arial" w:hAnsi="Arial" w:cs="Arial"/>
          <w:sz w:val="20"/>
          <w:szCs w:val="20"/>
        </w:rPr>
        <w:t>1</w:t>
      </w:r>
      <w:r w:rsidRPr="00F122E0">
        <w:rPr>
          <w:rFonts w:ascii="Arial" w:hAnsi="Arial" w:cs="Arial"/>
          <w:sz w:val="20"/>
          <w:szCs w:val="20"/>
        </w:rPr>
        <w:t xml:space="preserve"> was</w:t>
      </w:r>
      <w:r w:rsidR="001040DF">
        <w:rPr>
          <w:rFonts w:ascii="Arial" w:hAnsi="Arial" w:cs="Arial"/>
          <w:sz w:val="20"/>
          <w:szCs w:val="20"/>
        </w:rPr>
        <w:t xml:space="preserve"> </w:t>
      </w:r>
      <w:r w:rsidR="00F87480" w:rsidRPr="001040DF">
        <w:rPr>
          <w:rFonts w:ascii="Arial" w:hAnsi="Arial" w:cs="Arial"/>
          <w:sz w:val="20"/>
          <w:szCs w:val="20"/>
        </w:rPr>
        <w:t>196,</w:t>
      </w:r>
      <w:r w:rsidR="007F2505">
        <w:rPr>
          <w:rFonts w:ascii="Arial" w:hAnsi="Arial" w:cs="Arial"/>
          <w:sz w:val="20"/>
          <w:szCs w:val="20"/>
        </w:rPr>
        <w:t>240,636</w:t>
      </w:r>
      <w:r w:rsidRPr="00F122E0">
        <w:rPr>
          <w:rFonts w:ascii="Arial" w:hAnsi="Arial" w:cs="Arial"/>
          <w:sz w:val="20"/>
          <w:szCs w:val="20"/>
        </w:rPr>
        <w:t>. Shareholders are entitled to one vote per share.</w:t>
      </w:r>
    </w:p>
    <w:p w14:paraId="0D9AB5A5" w14:textId="77777777" w:rsidR="00F122E0" w:rsidRPr="00F122E0" w:rsidRDefault="00F122E0" w:rsidP="00F122E0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37DF7692" w14:textId="4C80CEC2" w:rsidR="00F122E0" w:rsidRPr="00F122E0" w:rsidRDefault="00F122E0" w:rsidP="004C5607">
      <w:pPr>
        <w:pStyle w:val="ListParagraph"/>
        <w:keepNext/>
        <w:numPr>
          <w:ilvl w:val="0"/>
          <w:numId w:val="1"/>
        </w:numPr>
        <w:ind w:left="617"/>
        <w:rPr>
          <w:rFonts w:ascii="Arial" w:hAnsi="Arial" w:cs="Arial"/>
          <w:sz w:val="20"/>
          <w:szCs w:val="20"/>
        </w:rPr>
      </w:pPr>
      <w:r w:rsidRPr="00F122E0">
        <w:rPr>
          <w:rFonts w:ascii="Arial" w:hAnsi="Arial" w:cs="Arial"/>
          <w:sz w:val="20"/>
          <w:szCs w:val="20"/>
        </w:rPr>
        <w:lastRenderedPageBreak/>
        <w:t xml:space="preserve">The total votes </w:t>
      </w:r>
      <w:proofErr w:type="gramStart"/>
      <w:r w:rsidRPr="00F122E0">
        <w:rPr>
          <w:rFonts w:ascii="Arial" w:hAnsi="Arial" w:cs="Arial"/>
          <w:sz w:val="20"/>
          <w:szCs w:val="20"/>
        </w:rPr>
        <w:t>cast</w:t>
      </w:r>
      <w:proofErr w:type="gramEnd"/>
      <w:r w:rsidRPr="00F122E0">
        <w:rPr>
          <w:rFonts w:ascii="Arial" w:hAnsi="Arial" w:cs="Arial"/>
          <w:sz w:val="20"/>
          <w:szCs w:val="20"/>
        </w:rPr>
        <w:t xml:space="preserve"> and votes withheld lodged as a percentage of Tyman plc's issued share capital (excluding shares held in Treasury) was </w:t>
      </w:r>
      <w:r w:rsidR="004C5607">
        <w:rPr>
          <w:rFonts w:ascii="Arial" w:hAnsi="Arial" w:cs="Arial"/>
          <w:sz w:val="20"/>
          <w:szCs w:val="20"/>
        </w:rPr>
        <w:t>approximately 86.0</w:t>
      </w:r>
      <w:r w:rsidRPr="00F122E0">
        <w:rPr>
          <w:rFonts w:ascii="Arial" w:hAnsi="Arial" w:cs="Arial"/>
          <w:sz w:val="20"/>
          <w:szCs w:val="20"/>
        </w:rPr>
        <w:t>%.</w:t>
      </w:r>
    </w:p>
    <w:p w14:paraId="5D3C44DA" w14:textId="77777777" w:rsidR="00472724" w:rsidRDefault="00472724" w:rsidP="004C5607">
      <w:pPr>
        <w:keepNext/>
        <w:rPr>
          <w:rFonts w:ascii="Arial" w:hAnsi="Arial" w:cs="Arial"/>
          <w:sz w:val="20"/>
          <w:szCs w:val="20"/>
        </w:rPr>
      </w:pPr>
    </w:p>
    <w:p w14:paraId="7DE5B2B6" w14:textId="0A75BDF1" w:rsidR="00F122E0" w:rsidRPr="00F122E0" w:rsidRDefault="00F122E0" w:rsidP="004C5607">
      <w:pPr>
        <w:keepNext/>
        <w:rPr>
          <w:rFonts w:ascii="Arial" w:hAnsi="Arial" w:cs="Arial"/>
          <w:sz w:val="20"/>
          <w:szCs w:val="20"/>
        </w:rPr>
      </w:pPr>
      <w:r w:rsidRPr="00F122E0">
        <w:rPr>
          <w:rFonts w:ascii="Arial" w:hAnsi="Arial" w:cs="Arial"/>
          <w:sz w:val="20"/>
          <w:szCs w:val="20"/>
        </w:rPr>
        <w:t>20 May 202</w:t>
      </w:r>
      <w:r w:rsidR="007F2505">
        <w:rPr>
          <w:rFonts w:ascii="Arial" w:hAnsi="Arial" w:cs="Arial"/>
          <w:sz w:val="20"/>
          <w:szCs w:val="20"/>
        </w:rPr>
        <w:t>1</w:t>
      </w:r>
    </w:p>
    <w:p w14:paraId="7005F38A" w14:textId="77777777" w:rsidR="00F122E0" w:rsidRPr="00F122E0" w:rsidRDefault="00F122E0" w:rsidP="00F122E0">
      <w:pPr>
        <w:rPr>
          <w:rFonts w:ascii="Arial" w:hAnsi="Arial" w:cs="Arial"/>
          <w:sz w:val="20"/>
          <w:szCs w:val="20"/>
        </w:rPr>
      </w:pPr>
    </w:p>
    <w:p w14:paraId="2F5CE60D" w14:textId="77777777" w:rsidR="00F122E0" w:rsidRPr="00F122E0" w:rsidRDefault="00F122E0" w:rsidP="00F122E0">
      <w:pPr>
        <w:rPr>
          <w:rFonts w:ascii="Arial" w:hAnsi="Arial" w:cs="Arial"/>
          <w:sz w:val="20"/>
          <w:szCs w:val="20"/>
        </w:rPr>
      </w:pPr>
      <w:r w:rsidRPr="00F122E0">
        <w:rPr>
          <w:rFonts w:ascii="Arial" w:hAnsi="Arial" w:cs="Arial"/>
          <w:sz w:val="20"/>
          <w:szCs w:val="20"/>
        </w:rPr>
        <w:t>Enquiries:</w:t>
      </w:r>
    </w:p>
    <w:p w14:paraId="19F25060" w14:textId="77777777" w:rsidR="00F122E0" w:rsidRPr="00F122E0" w:rsidRDefault="00F122E0" w:rsidP="00F122E0">
      <w:pPr>
        <w:rPr>
          <w:rFonts w:ascii="Arial" w:hAnsi="Arial" w:cs="Arial"/>
          <w:sz w:val="20"/>
          <w:szCs w:val="20"/>
        </w:rPr>
      </w:pPr>
    </w:p>
    <w:p w14:paraId="00022994" w14:textId="77777777" w:rsidR="00F122E0" w:rsidRPr="00F122E0" w:rsidRDefault="00F122E0" w:rsidP="00F122E0">
      <w:pPr>
        <w:rPr>
          <w:rFonts w:ascii="Arial" w:hAnsi="Arial" w:cs="Arial"/>
          <w:sz w:val="20"/>
          <w:szCs w:val="20"/>
        </w:rPr>
      </w:pPr>
      <w:r w:rsidRPr="00F122E0">
        <w:rPr>
          <w:rFonts w:ascii="Arial" w:hAnsi="Arial" w:cs="Arial"/>
          <w:sz w:val="20"/>
          <w:szCs w:val="20"/>
        </w:rPr>
        <w:t>Tyman plc</w:t>
      </w:r>
    </w:p>
    <w:p w14:paraId="6E01B6CE" w14:textId="77777777" w:rsidR="00F122E0" w:rsidRPr="00F122E0" w:rsidRDefault="00F122E0" w:rsidP="00F122E0">
      <w:pPr>
        <w:rPr>
          <w:rFonts w:ascii="Arial" w:hAnsi="Arial" w:cs="Arial"/>
          <w:sz w:val="20"/>
          <w:szCs w:val="20"/>
        </w:rPr>
      </w:pPr>
    </w:p>
    <w:p w14:paraId="52CEE4D6" w14:textId="456A32B4" w:rsidR="00F122E0" w:rsidRPr="00F122E0" w:rsidRDefault="00472724" w:rsidP="00F122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</w:t>
      </w:r>
      <w:r w:rsidR="00F122E0" w:rsidRPr="00F122E0">
        <w:rPr>
          <w:rFonts w:ascii="Arial" w:hAnsi="Arial" w:cs="Arial"/>
          <w:sz w:val="20"/>
          <w:szCs w:val="20"/>
        </w:rPr>
        <w:t>020 7976 8000</w:t>
      </w:r>
    </w:p>
    <w:p w14:paraId="662DD203" w14:textId="77777777" w:rsidR="00F122E0" w:rsidRPr="00F122E0" w:rsidRDefault="00F122E0" w:rsidP="00F122E0">
      <w:pPr>
        <w:rPr>
          <w:rFonts w:ascii="Arial" w:hAnsi="Arial" w:cs="Arial"/>
          <w:sz w:val="20"/>
          <w:szCs w:val="20"/>
        </w:rPr>
      </w:pPr>
    </w:p>
    <w:p w14:paraId="06DEA8FE" w14:textId="7B6B5F5F" w:rsidR="00F122E0" w:rsidRPr="00F122E0" w:rsidRDefault="00F122E0" w:rsidP="00F122E0">
      <w:pPr>
        <w:rPr>
          <w:rFonts w:ascii="Arial" w:hAnsi="Arial" w:cs="Arial"/>
          <w:sz w:val="20"/>
          <w:szCs w:val="20"/>
        </w:rPr>
      </w:pPr>
      <w:r w:rsidRPr="00F122E0">
        <w:rPr>
          <w:rFonts w:ascii="Arial" w:hAnsi="Arial" w:cs="Arial"/>
          <w:sz w:val="20"/>
          <w:szCs w:val="20"/>
        </w:rPr>
        <w:t>Peter Ho – General Counsel &amp; Company Secretary</w:t>
      </w:r>
    </w:p>
    <w:p w14:paraId="3B73BF3E" w14:textId="77777777" w:rsidR="00D232F5" w:rsidRPr="00F122E0" w:rsidRDefault="00D232F5">
      <w:pPr>
        <w:rPr>
          <w:rFonts w:ascii="Arial" w:hAnsi="Arial" w:cs="Arial"/>
          <w:sz w:val="20"/>
          <w:szCs w:val="20"/>
        </w:rPr>
      </w:pPr>
    </w:p>
    <w:sectPr w:rsidR="00D232F5" w:rsidRPr="00F122E0" w:rsidSect="00472724">
      <w:pgSz w:w="11906" w:h="16838"/>
      <w:pgMar w:top="1440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2CA12" w14:textId="77777777" w:rsidR="00DF24A5" w:rsidRDefault="00DF24A5" w:rsidP="00472724">
      <w:pPr>
        <w:spacing w:after="0" w:line="240" w:lineRule="auto"/>
      </w:pPr>
      <w:r>
        <w:separator/>
      </w:r>
    </w:p>
  </w:endnote>
  <w:endnote w:type="continuationSeparator" w:id="0">
    <w:p w14:paraId="097D26D8" w14:textId="77777777" w:rsidR="00DF24A5" w:rsidRDefault="00DF24A5" w:rsidP="0047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80A83" w14:textId="77777777" w:rsidR="00DF24A5" w:rsidRDefault="00DF24A5" w:rsidP="00472724">
      <w:pPr>
        <w:spacing w:after="0" w:line="240" w:lineRule="auto"/>
      </w:pPr>
      <w:r>
        <w:separator/>
      </w:r>
    </w:p>
  </w:footnote>
  <w:footnote w:type="continuationSeparator" w:id="0">
    <w:p w14:paraId="739C4CB0" w14:textId="77777777" w:rsidR="00DF24A5" w:rsidRDefault="00DF24A5" w:rsidP="00472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A022D3"/>
    <w:multiLevelType w:val="hybridMultilevel"/>
    <w:tmpl w:val="B43C0ACE"/>
    <w:lvl w:ilvl="0" w:tplc="3D9CF5EA">
      <w:start w:val="1"/>
      <w:numFmt w:val="decimal"/>
      <w:lvlText w:val="%1."/>
      <w:lvlJc w:val="left"/>
      <w:pPr>
        <w:ind w:left="977" w:hanging="61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E0"/>
    <w:rsid w:val="000118D2"/>
    <w:rsid w:val="001040DF"/>
    <w:rsid w:val="0011258D"/>
    <w:rsid w:val="00162F72"/>
    <w:rsid w:val="001D55CB"/>
    <w:rsid w:val="002F7DAB"/>
    <w:rsid w:val="003F2E38"/>
    <w:rsid w:val="00472724"/>
    <w:rsid w:val="004A6ED4"/>
    <w:rsid w:val="004B65CE"/>
    <w:rsid w:val="004C5607"/>
    <w:rsid w:val="004D442D"/>
    <w:rsid w:val="004E7311"/>
    <w:rsid w:val="00503DE3"/>
    <w:rsid w:val="0052235D"/>
    <w:rsid w:val="007F2505"/>
    <w:rsid w:val="008A6767"/>
    <w:rsid w:val="00915446"/>
    <w:rsid w:val="00AC0CE8"/>
    <w:rsid w:val="00BF7700"/>
    <w:rsid w:val="00C6021C"/>
    <w:rsid w:val="00D232F5"/>
    <w:rsid w:val="00DF24A5"/>
    <w:rsid w:val="00E239C6"/>
    <w:rsid w:val="00F122E0"/>
    <w:rsid w:val="00F201CE"/>
    <w:rsid w:val="00F8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D4AD"/>
  <w15:chartTrackingRefBased/>
  <w15:docId w15:val="{395D5556-246F-4DBF-9494-4C9917F5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2E0"/>
    <w:pPr>
      <w:ind w:left="720"/>
      <w:contextualSpacing/>
    </w:pPr>
  </w:style>
  <w:style w:type="table" w:styleId="TableGrid">
    <w:name w:val="Table Grid"/>
    <w:basedOn w:val="TableNormal"/>
    <w:uiPriority w:val="39"/>
    <w:rsid w:val="00F12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74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4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2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724"/>
  </w:style>
  <w:style w:type="paragraph" w:styleId="Footer">
    <w:name w:val="footer"/>
    <w:basedOn w:val="Normal"/>
    <w:link w:val="FooterChar"/>
    <w:uiPriority w:val="99"/>
    <w:unhideWhenUsed/>
    <w:rsid w:val="004727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724"/>
  </w:style>
  <w:style w:type="character" w:styleId="FollowedHyperlink">
    <w:name w:val="FollowedHyperlink"/>
    <w:basedOn w:val="DefaultParagraphFont"/>
    <w:uiPriority w:val="99"/>
    <w:semiHidden/>
    <w:unhideWhenUsed/>
    <w:rsid w:val="008A67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ta.fca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515</Words>
  <Characters>2936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</dc:creator>
  <cp:keywords/>
  <dc:description/>
  <cp:lastModifiedBy>Sinead van Duuren</cp:lastModifiedBy>
  <cp:revision>2</cp:revision>
  <dcterms:created xsi:type="dcterms:W3CDTF">2021-05-20T15:31:00Z</dcterms:created>
  <dcterms:modified xsi:type="dcterms:W3CDTF">2021-05-20T15:31:00Z</dcterms:modified>
</cp:coreProperties>
</file>