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58FE4" w14:textId="77777777" w:rsidR="00283CF6" w:rsidRPr="00C33C4C" w:rsidRDefault="00283CF6">
      <w:pPr>
        <w:spacing w:before="5" w:line="140" w:lineRule="exact"/>
        <w:rPr>
          <w:rFonts w:ascii="Arial" w:hAnsi="Arial" w:cs="Arial"/>
          <w:sz w:val="21"/>
          <w:szCs w:val="21"/>
          <w:lang w:val="en-GB"/>
        </w:rPr>
      </w:pPr>
    </w:p>
    <w:p w14:paraId="2B4DDDE5" w14:textId="77777777" w:rsidR="00655B5C" w:rsidRPr="00C33C4C" w:rsidRDefault="00655B5C" w:rsidP="00655B5C">
      <w:pPr>
        <w:pStyle w:val="BodyText"/>
        <w:rPr>
          <w:rFonts w:cs="Arial"/>
          <w:b/>
          <w:sz w:val="21"/>
          <w:szCs w:val="21"/>
          <w:lang w:val="en-GB"/>
        </w:rPr>
      </w:pPr>
      <w:r w:rsidRPr="00C33C4C">
        <w:rPr>
          <w:rFonts w:cs="Arial"/>
          <w:b/>
          <w:sz w:val="21"/>
          <w:szCs w:val="21"/>
          <w:lang w:val="en-GB"/>
        </w:rPr>
        <w:t>Company number: 06165540</w:t>
      </w:r>
    </w:p>
    <w:p w14:paraId="65465947" w14:textId="77777777" w:rsidR="00961A44" w:rsidRPr="00C33C4C" w:rsidRDefault="00961A44" w:rsidP="00655B5C">
      <w:pPr>
        <w:pStyle w:val="BodyText"/>
        <w:rPr>
          <w:rFonts w:cs="Arial"/>
          <w:b/>
          <w:sz w:val="21"/>
          <w:szCs w:val="21"/>
          <w:lang w:val="en-GB"/>
        </w:rPr>
      </w:pPr>
    </w:p>
    <w:p w14:paraId="56DBF6BF" w14:textId="77777777" w:rsidR="00655B5C" w:rsidRPr="00C33C4C" w:rsidRDefault="00655B5C" w:rsidP="00655B5C">
      <w:pPr>
        <w:jc w:val="center"/>
        <w:rPr>
          <w:rFonts w:ascii="Arial" w:hAnsi="Arial" w:cs="Arial"/>
          <w:b/>
          <w:sz w:val="21"/>
          <w:szCs w:val="21"/>
          <w:lang w:val="en-GB"/>
        </w:rPr>
      </w:pPr>
      <w:r w:rsidRPr="00C33C4C">
        <w:rPr>
          <w:rFonts w:ascii="Arial" w:hAnsi="Arial" w:cs="Arial"/>
          <w:b/>
          <w:sz w:val="21"/>
          <w:szCs w:val="21"/>
          <w:lang w:val="en-GB"/>
        </w:rPr>
        <w:t>THE COMPANIES ACT 2006</w:t>
      </w:r>
    </w:p>
    <w:p w14:paraId="4F95E430" w14:textId="77777777" w:rsidR="00655B5C" w:rsidRPr="00C33C4C" w:rsidRDefault="00655B5C" w:rsidP="00655B5C">
      <w:pPr>
        <w:jc w:val="center"/>
        <w:rPr>
          <w:rFonts w:ascii="Arial" w:hAnsi="Arial" w:cs="Arial"/>
          <w:b/>
          <w:sz w:val="21"/>
          <w:szCs w:val="21"/>
          <w:lang w:val="en-GB"/>
        </w:rPr>
      </w:pPr>
    </w:p>
    <w:p w14:paraId="445FE75E" w14:textId="77777777" w:rsidR="00655B5C" w:rsidRPr="00C33C4C" w:rsidRDefault="00655B5C" w:rsidP="00655B5C">
      <w:pPr>
        <w:jc w:val="center"/>
        <w:rPr>
          <w:rFonts w:ascii="Arial" w:hAnsi="Arial" w:cs="Arial"/>
          <w:b/>
          <w:sz w:val="21"/>
          <w:szCs w:val="21"/>
          <w:lang w:val="en-GB"/>
        </w:rPr>
      </w:pPr>
      <w:r w:rsidRPr="00C33C4C">
        <w:rPr>
          <w:rFonts w:ascii="Arial" w:hAnsi="Arial" w:cs="Arial"/>
          <w:b/>
          <w:sz w:val="21"/>
          <w:szCs w:val="21"/>
          <w:lang w:val="en-GB"/>
        </w:rPr>
        <w:t>ORDINARY/SPECIAL RESOLUTIONS</w:t>
      </w:r>
    </w:p>
    <w:p w14:paraId="2E3BEA80" w14:textId="77777777" w:rsidR="00655B5C" w:rsidRPr="00C33C4C" w:rsidRDefault="00655B5C" w:rsidP="00655B5C">
      <w:pPr>
        <w:jc w:val="center"/>
        <w:rPr>
          <w:rFonts w:ascii="Arial" w:hAnsi="Arial" w:cs="Arial"/>
          <w:b/>
          <w:sz w:val="21"/>
          <w:szCs w:val="21"/>
          <w:lang w:val="en-GB"/>
        </w:rPr>
      </w:pPr>
    </w:p>
    <w:p w14:paraId="4B9FF2D0" w14:textId="77777777" w:rsidR="00655B5C" w:rsidRPr="00C33C4C" w:rsidRDefault="00655B5C" w:rsidP="00655B5C">
      <w:pPr>
        <w:jc w:val="center"/>
        <w:rPr>
          <w:rFonts w:ascii="Arial" w:hAnsi="Arial" w:cs="Arial"/>
          <w:b/>
          <w:sz w:val="21"/>
          <w:szCs w:val="21"/>
          <w:lang w:val="en-GB"/>
        </w:rPr>
      </w:pPr>
      <w:r w:rsidRPr="00C33C4C">
        <w:rPr>
          <w:rFonts w:ascii="Arial" w:hAnsi="Arial" w:cs="Arial"/>
          <w:b/>
          <w:sz w:val="21"/>
          <w:szCs w:val="21"/>
          <w:lang w:val="en-GB"/>
        </w:rPr>
        <w:t>of</w:t>
      </w:r>
    </w:p>
    <w:p w14:paraId="5232E5E3" w14:textId="77777777" w:rsidR="00655B5C" w:rsidRPr="00C33C4C" w:rsidRDefault="00655B5C" w:rsidP="00655B5C">
      <w:pPr>
        <w:jc w:val="center"/>
        <w:rPr>
          <w:rFonts w:ascii="Arial" w:hAnsi="Arial" w:cs="Arial"/>
          <w:b/>
          <w:sz w:val="21"/>
          <w:szCs w:val="21"/>
          <w:lang w:val="en-GB"/>
        </w:rPr>
      </w:pPr>
    </w:p>
    <w:p w14:paraId="05AA0485" w14:textId="77777777" w:rsidR="00655B5C" w:rsidRPr="00C33C4C" w:rsidRDefault="00655B5C" w:rsidP="00655B5C">
      <w:pPr>
        <w:jc w:val="center"/>
        <w:rPr>
          <w:rFonts w:ascii="Arial" w:hAnsi="Arial" w:cs="Arial"/>
          <w:b/>
          <w:sz w:val="21"/>
          <w:szCs w:val="21"/>
          <w:lang w:val="en-GB"/>
        </w:rPr>
      </w:pPr>
      <w:r w:rsidRPr="00C33C4C">
        <w:rPr>
          <w:rFonts w:ascii="Arial" w:hAnsi="Arial" w:cs="Arial"/>
          <w:b/>
          <w:sz w:val="21"/>
          <w:szCs w:val="21"/>
          <w:lang w:val="en-GB"/>
        </w:rPr>
        <w:t>HILTON FOOD GROUP PLC</w:t>
      </w:r>
    </w:p>
    <w:p w14:paraId="667C07A1" w14:textId="77777777" w:rsidR="00655B5C" w:rsidRPr="00C33C4C" w:rsidRDefault="00655B5C" w:rsidP="00655B5C">
      <w:pPr>
        <w:jc w:val="center"/>
        <w:rPr>
          <w:rFonts w:ascii="Arial" w:hAnsi="Arial" w:cs="Arial"/>
          <w:b/>
          <w:sz w:val="21"/>
          <w:szCs w:val="21"/>
          <w:lang w:val="en-GB"/>
        </w:rPr>
      </w:pPr>
      <w:r w:rsidRPr="00C33C4C">
        <w:rPr>
          <w:rFonts w:ascii="Arial" w:hAnsi="Arial" w:cs="Arial"/>
          <w:b/>
          <w:sz w:val="21"/>
          <w:szCs w:val="21"/>
          <w:lang w:val="en-GB"/>
        </w:rPr>
        <w:t>(the “Company”)</w:t>
      </w:r>
    </w:p>
    <w:p w14:paraId="3F3D96DC" w14:textId="77777777" w:rsidR="00655B5C" w:rsidRPr="00C33C4C" w:rsidRDefault="00655B5C" w:rsidP="00655B5C">
      <w:pPr>
        <w:jc w:val="center"/>
        <w:rPr>
          <w:rFonts w:ascii="Arial" w:hAnsi="Arial" w:cs="Arial"/>
          <w:b/>
          <w:sz w:val="21"/>
          <w:szCs w:val="21"/>
          <w:lang w:val="en-GB"/>
        </w:rPr>
      </w:pPr>
    </w:p>
    <w:p w14:paraId="68D84650" w14:textId="77777777" w:rsidR="00B95473" w:rsidRPr="00256D9B" w:rsidRDefault="00B95473" w:rsidP="00B95473">
      <w:pPr>
        <w:jc w:val="center"/>
        <w:rPr>
          <w:rFonts w:ascii="Arial" w:hAnsi="Arial" w:cs="Arial"/>
          <w:b/>
          <w:sz w:val="21"/>
          <w:szCs w:val="21"/>
        </w:rPr>
      </w:pPr>
      <w:r w:rsidRPr="00256D9B">
        <w:rPr>
          <w:rFonts w:ascii="Arial" w:hAnsi="Arial" w:cs="Arial"/>
          <w:b/>
          <w:sz w:val="21"/>
          <w:szCs w:val="21"/>
        </w:rPr>
        <w:t>Passed on 2</w:t>
      </w:r>
      <w:r>
        <w:rPr>
          <w:rFonts w:ascii="Arial" w:hAnsi="Arial" w:cs="Arial"/>
          <w:b/>
          <w:sz w:val="21"/>
          <w:szCs w:val="21"/>
        </w:rPr>
        <w:t>3</w:t>
      </w:r>
      <w:r w:rsidRPr="00256D9B">
        <w:rPr>
          <w:rFonts w:ascii="Arial" w:hAnsi="Arial" w:cs="Arial"/>
          <w:b/>
          <w:sz w:val="21"/>
          <w:szCs w:val="21"/>
        </w:rPr>
        <w:t xml:space="preserve"> May 202</w:t>
      </w:r>
      <w:r>
        <w:rPr>
          <w:rFonts w:ascii="Arial" w:hAnsi="Arial" w:cs="Arial"/>
          <w:b/>
          <w:sz w:val="21"/>
          <w:szCs w:val="21"/>
        </w:rPr>
        <w:t>3</w:t>
      </w:r>
    </w:p>
    <w:p w14:paraId="4C0E4BB8" w14:textId="77777777" w:rsidR="00B95473" w:rsidRPr="00256D9B" w:rsidRDefault="00B95473" w:rsidP="00B95473">
      <w:pPr>
        <w:rPr>
          <w:rFonts w:ascii="Arial" w:hAnsi="Arial" w:cs="Arial"/>
          <w:sz w:val="21"/>
          <w:szCs w:val="21"/>
        </w:rPr>
      </w:pPr>
    </w:p>
    <w:p w14:paraId="5B7BB7D2" w14:textId="77777777" w:rsidR="00B95473" w:rsidRPr="00256D9B" w:rsidRDefault="00B95473" w:rsidP="00B95473">
      <w:pPr>
        <w:rPr>
          <w:rFonts w:ascii="Arial" w:hAnsi="Arial" w:cs="Arial"/>
          <w:sz w:val="21"/>
          <w:szCs w:val="21"/>
        </w:rPr>
      </w:pPr>
      <w:r w:rsidRPr="00256D9B">
        <w:rPr>
          <w:rFonts w:ascii="Arial" w:hAnsi="Arial" w:cs="Arial"/>
          <w:sz w:val="21"/>
          <w:szCs w:val="21"/>
        </w:rPr>
        <w:t xml:space="preserve">At the annual general meeting of the Company, duly convened and held and broadcast from Hilton Food Group plc, 2-8 The Interchange, Latham Road, Huntingdon, </w:t>
      </w:r>
      <w:proofErr w:type="spellStart"/>
      <w:r w:rsidRPr="00256D9B">
        <w:rPr>
          <w:rFonts w:ascii="Arial" w:hAnsi="Arial" w:cs="Arial"/>
          <w:sz w:val="21"/>
          <w:szCs w:val="21"/>
        </w:rPr>
        <w:t>Cambridgeshire</w:t>
      </w:r>
      <w:proofErr w:type="spellEnd"/>
      <w:r w:rsidRPr="00256D9B">
        <w:rPr>
          <w:rFonts w:ascii="Arial" w:hAnsi="Arial" w:cs="Arial"/>
          <w:sz w:val="21"/>
          <w:szCs w:val="21"/>
        </w:rPr>
        <w:t xml:space="preserve"> PE29 6YE on Tuesday 2</w:t>
      </w:r>
      <w:r>
        <w:rPr>
          <w:rFonts w:ascii="Arial" w:hAnsi="Arial" w:cs="Arial"/>
          <w:sz w:val="21"/>
          <w:szCs w:val="21"/>
        </w:rPr>
        <w:t>3</w:t>
      </w:r>
      <w:r w:rsidRPr="00256D9B">
        <w:rPr>
          <w:rFonts w:ascii="Arial" w:hAnsi="Arial" w:cs="Arial"/>
          <w:sz w:val="21"/>
          <w:szCs w:val="21"/>
        </w:rPr>
        <w:t xml:space="preserve"> May 202</w:t>
      </w:r>
      <w:r>
        <w:rPr>
          <w:rFonts w:ascii="Arial" w:hAnsi="Arial" w:cs="Arial"/>
          <w:sz w:val="21"/>
          <w:szCs w:val="21"/>
        </w:rPr>
        <w:t>3</w:t>
      </w:r>
      <w:r w:rsidRPr="00256D9B">
        <w:rPr>
          <w:rFonts w:ascii="Arial" w:hAnsi="Arial" w:cs="Arial"/>
          <w:sz w:val="21"/>
          <w:szCs w:val="21"/>
        </w:rPr>
        <w:t xml:space="preserve">, the following resolutions were duly passed by the Company as ordinary or special resolutions as indicated: </w:t>
      </w:r>
    </w:p>
    <w:p w14:paraId="45B7D09F" w14:textId="77777777" w:rsidR="00F21EEF" w:rsidRPr="00C33C4C" w:rsidRDefault="00F21EEF" w:rsidP="00655B5C">
      <w:pPr>
        <w:rPr>
          <w:rFonts w:ascii="Arial" w:hAnsi="Arial" w:cs="Arial"/>
          <w:sz w:val="21"/>
          <w:szCs w:val="21"/>
          <w:lang w:val="en-GB"/>
        </w:rPr>
      </w:pPr>
    </w:p>
    <w:p w14:paraId="37CB3BF4" w14:textId="77777777" w:rsidR="00E072EF" w:rsidRPr="00256D9B" w:rsidRDefault="00E072EF" w:rsidP="00E072EF">
      <w:pPr>
        <w:pStyle w:val="BodyText"/>
        <w:kinsoku w:val="0"/>
        <w:overflowPunct w:val="0"/>
        <w:spacing w:before="39"/>
        <w:ind w:left="40" w:firstLine="0"/>
        <w:rPr>
          <w:rFonts w:cs="Arial"/>
          <w:b/>
          <w:color w:val="000000"/>
          <w:sz w:val="22"/>
          <w:szCs w:val="22"/>
        </w:rPr>
      </w:pPr>
      <w:r w:rsidRPr="00256D9B">
        <w:rPr>
          <w:rFonts w:cs="Arial"/>
          <w:b/>
          <w:color w:val="231F20"/>
          <w:spacing w:val="-4"/>
          <w:sz w:val="22"/>
          <w:szCs w:val="22"/>
        </w:rPr>
        <w:t>Ordinary</w:t>
      </w:r>
      <w:r w:rsidRPr="00256D9B">
        <w:rPr>
          <w:rFonts w:cs="Arial"/>
          <w:b/>
          <w:color w:val="231F20"/>
          <w:spacing w:val="-14"/>
          <w:sz w:val="22"/>
          <w:szCs w:val="22"/>
        </w:rPr>
        <w:t xml:space="preserve"> </w:t>
      </w:r>
      <w:r w:rsidRPr="00256D9B">
        <w:rPr>
          <w:rFonts w:cs="Arial"/>
          <w:b/>
          <w:color w:val="231F20"/>
          <w:spacing w:val="-8"/>
          <w:sz w:val="22"/>
          <w:szCs w:val="22"/>
        </w:rPr>
        <w:t>resolutions</w:t>
      </w:r>
    </w:p>
    <w:p w14:paraId="092AF314" w14:textId="77777777" w:rsidR="00B861C9" w:rsidRPr="0099207B" w:rsidRDefault="00B861C9" w:rsidP="00B861C9">
      <w:pPr>
        <w:pStyle w:val="BodyText"/>
        <w:widowControl/>
        <w:tabs>
          <w:tab w:val="left" w:pos="394"/>
        </w:tabs>
        <w:kinsoku w:val="0"/>
        <w:overflowPunct w:val="0"/>
        <w:autoSpaceDE w:val="0"/>
        <w:autoSpaceDN w:val="0"/>
        <w:adjustRightInd w:val="0"/>
        <w:spacing w:before="56" w:line="200" w:lineRule="exact"/>
        <w:ind w:left="392" w:right="125" w:hanging="284"/>
        <w:rPr>
          <w:rFonts w:cs="Arial"/>
          <w:color w:val="231F20"/>
          <w:spacing w:val="-6"/>
          <w:sz w:val="20"/>
          <w:szCs w:val="20"/>
        </w:rPr>
      </w:pPr>
      <w:r w:rsidRPr="0099207B">
        <w:rPr>
          <w:rFonts w:cs="Arial"/>
          <w:color w:val="231F20"/>
          <w:spacing w:val="-6"/>
          <w:sz w:val="20"/>
          <w:szCs w:val="20"/>
        </w:rPr>
        <w:t xml:space="preserve">13. That the Directors be generally and unconditionally </w:t>
      </w:r>
      <w:proofErr w:type="spellStart"/>
      <w:r w:rsidRPr="0099207B">
        <w:rPr>
          <w:rFonts w:cs="Arial"/>
          <w:color w:val="231F20"/>
          <w:spacing w:val="-6"/>
          <w:sz w:val="20"/>
          <w:szCs w:val="20"/>
        </w:rPr>
        <w:t>authorised</w:t>
      </w:r>
      <w:proofErr w:type="spellEnd"/>
      <w:r w:rsidRPr="0099207B">
        <w:rPr>
          <w:rFonts w:cs="Arial"/>
          <w:color w:val="231F20"/>
          <w:spacing w:val="-6"/>
          <w:sz w:val="20"/>
          <w:szCs w:val="20"/>
        </w:rPr>
        <w:t xml:space="preserve"> for the purposes of Section 551 of the Companies Act 2006 (the “Act”) to exercise all the powers of the Company to:</w:t>
      </w:r>
    </w:p>
    <w:p w14:paraId="4FBC0D72" w14:textId="77777777" w:rsidR="00B861C9" w:rsidRPr="0099207B" w:rsidRDefault="00B861C9" w:rsidP="00B861C9">
      <w:pPr>
        <w:pStyle w:val="BodyText"/>
        <w:widowControl/>
        <w:tabs>
          <w:tab w:val="left" w:pos="394"/>
        </w:tabs>
        <w:kinsoku w:val="0"/>
        <w:overflowPunct w:val="0"/>
        <w:autoSpaceDE w:val="0"/>
        <w:autoSpaceDN w:val="0"/>
        <w:adjustRightInd w:val="0"/>
        <w:spacing w:before="56" w:line="200" w:lineRule="exact"/>
        <w:ind w:left="676" w:right="126" w:hanging="283"/>
        <w:rPr>
          <w:rFonts w:cs="Arial"/>
          <w:color w:val="231F20"/>
          <w:spacing w:val="-6"/>
          <w:sz w:val="20"/>
          <w:szCs w:val="20"/>
        </w:rPr>
      </w:pPr>
      <w:r w:rsidRPr="0099207B">
        <w:rPr>
          <w:rFonts w:cs="Arial"/>
          <w:color w:val="231F20"/>
          <w:spacing w:val="-6"/>
          <w:sz w:val="20"/>
          <w:szCs w:val="20"/>
        </w:rPr>
        <w:t>(a) allot shares in the Company and grant rights to subscribe for or convert any security into shares in the Company up to an aggregate nominal amount of £2,983,408.10; and</w:t>
      </w:r>
    </w:p>
    <w:p w14:paraId="7C5CBDAE" w14:textId="77777777" w:rsidR="00B861C9" w:rsidRPr="0099207B" w:rsidRDefault="00B861C9" w:rsidP="00B861C9">
      <w:pPr>
        <w:pStyle w:val="BodyText"/>
        <w:widowControl/>
        <w:tabs>
          <w:tab w:val="left" w:pos="394"/>
        </w:tabs>
        <w:kinsoku w:val="0"/>
        <w:overflowPunct w:val="0"/>
        <w:autoSpaceDE w:val="0"/>
        <w:autoSpaceDN w:val="0"/>
        <w:adjustRightInd w:val="0"/>
        <w:spacing w:before="56" w:line="200" w:lineRule="exact"/>
        <w:ind w:left="676" w:right="126" w:hanging="283"/>
        <w:rPr>
          <w:rFonts w:cs="Arial"/>
          <w:color w:val="231F20"/>
          <w:spacing w:val="-6"/>
          <w:sz w:val="20"/>
          <w:szCs w:val="20"/>
        </w:rPr>
      </w:pPr>
      <w:r w:rsidRPr="0099207B">
        <w:rPr>
          <w:rFonts w:cs="Arial"/>
          <w:color w:val="231F20"/>
          <w:spacing w:val="-6"/>
          <w:sz w:val="20"/>
          <w:szCs w:val="20"/>
        </w:rPr>
        <w:t>(b) allot equity securities (as defined in Section 560 of the Act) up to an aggregate nominal amount of £5,966,816.20 (such amount to be reduced by the nominal amount of any shares allotted or rights granted under paragraph (a) of this resolution 14) in connection with an offer by way of a rights issue to:</w:t>
      </w:r>
    </w:p>
    <w:p w14:paraId="0CE5B24D" w14:textId="77777777" w:rsidR="00B861C9" w:rsidRPr="0099207B" w:rsidRDefault="00B861C9" w:rsidP="00B861C9">
      <w:pPr>
        <w:pStyle w:val="BodyText"/>
        <w:widowControl/>
        <w:tabs>
          <w:tab w:val="left" w:pos="394"/>
        </w:tabs>
        <w:kinsoku w:val="0"/>
        <w:overflowPunct w:val="0"/>
        <w:autoSpaceDE w:val="0"/>
        <w:autoSpaceDN w:val="0"/>
        <w:adjustRightInd w:val="0"/>
        <w:spacing w:before="56" w:line="200" w:lineRule="exact"/>
        <w:ind w:left="856" w:right="125" w:hanging="181"/>
        <w:rPr>
          <w:rFonts w:cs="Arial"/>
          <w:color w:val="231F20"/>
          <w:spacing w:val="-6"/>
          <w:sz w:val="20"/>
          <w:szCs w:val="20"/>
        </w:rPr>
      </w:pPr>
      <w:r w:rsidRPr="0099207B">
        <w:rPr>
          <w:rFonts w:cs="Arial"/>
          <w:color w:val="231F20"/>
          <w:spacing w:val="-6"/>
          <w:sz w:val="20"/>
          <w:szCs w:val="20"/>
        </w:rPr>
        <w:t>(i) the holders of Ordinary Shares in the Company in proportion (as nearly as may be practicable) to the respective numbers of Ordinary Shares held by them; and</w:t>
      </w:r>
    </w:p>
    <w:p w14:paraId="62F5F1A3" w14:textId="77777777" w:rsidR="00B861C9" w:rsidRPr="0099207B" w:rsidRDefault="00B861C9" w:rsidP="00B861C9">
      <w:pPr>
        <w:pStyle w:val="BodyText"/>
        <w:widowControl/>
        <w:tabs>
          <w:tab w:val="left" w:pos="394"/>
        </w:tabs>
        <w:kinsoku w:val="0"/>
        <w:overflowPunct w:val="0"/>
        <w:autoSpaceDE w:val="0"/>
        <w:autoSpaceDN w:val="0"/>
        <w:adjustRightInd w:val="0"/>
        <w:spacing w:before="56" w:line="200" w:lineRule="exact"/>
        <w:ind w:left="885" w:right="125" w:hanging="210"/>
        <w:rPr>
          <w:rFonts w:cs="Arial"/>
          <w:color w:val="231F20"/>
          <w:spacing w:val="-6"/>
          <w:sz w:val="20"/>
          <w:szCs w:val="20"/>
        </w:rPr>
      </w:pPr>
      <w:r w:rsidRPr="0099207B">
        <w:rPr>
          <w:rFonts w:cs="Arial"/>
          <w:color w:val="231F20"/>
          <w:spacing w:val="-6"/>
          <w:sz w:val="20"/>
          <w:szCs w:val="20"/>
        </w:rPr>
        <w:t>(ii) holders of other equity securities, as required by the rights of those securities or, subject to such rights, as the Directors of the Company otherwise consider necessary,</w:t>
      </w:r>
    </w:p>
    <w:p w14:paraId="1043E6DD" w14:textId="77777777" w:rsidR="00B861C9" w:rsidRPr="0099207B" w:rsidRDefault="00B861C9" w:rsidP="0099207B">
      <w:pPr>
        <w:pStyle w:val="BodyText"/>
        <w:widowControl/>
        <w:kinsoku w:val="0"/>
        <w:overflowPunct w:val="0"/>
        <w:autoSpaceDE w:val="0"/>
        <w:autoSpaceDN w:val="0"/>
        <w:adjustRightInd w:val="0"/>
        <w:spacing w:before="56" w:line="200" w:lineRule="exact"/>
        <w:ind w:left="450" w:right="125" w:firstLine="0"/>
        <w:rPr>
          <w:rFonts w:cs="Arial"/>
          <w:color w:val="231F20"/>
          <w:spacing w:val="-6"/>
          <w:sz w:val="20"/>
          <w:szCs w:val="20"/>
        </w:rPr>
      </w:pPr>
      <w:r w:rsidRPr="0099207B">
        <w:rPr>
          <w:rFonts w:cs="Arial"/>
          <w:color w:val="231F20"/>
          <w:spacing w:val="-6"/>
          <w:sz w:val="20"/>
          <w:szCs w:val="20"/>
        </w:rPr>
        <w:t>and so that the Directors of the Company may impose any limits or restrictions and make any arrangements which they consider necessary or appropriate to deal with treasury shares, fractional entitlements, record dates, legal, regulatory or practical problems in, or under the laws of, any territory or any other matter.</w:t>
      </w:r>
    </w:p>
    <w:p w14:paraId="17FC6E4D" w14:textId="77777777" w:rsidR="00B861C9" w:rsidRPr="0099207B" w:rsidRDefault="00B861C9" w:rsidP="00B861C9">
      <w:pPr>
        <w:pStyle w:val="BodyText"/>
        <w:widowControl/>
        <w:tabs>
          <w:tab w:val="left" w:pos="394"/>
        </w:tabs>
        <w:kinsoku w:val="0"/>
        <w:overflowPunct w:val="0"/>
        <w:autoSpaceDE w:val="0"/>
        <w:autoSpaceDN w:val="0"/>
        <w:adjustRightInd w:val="0"/>
        <w:spacing w:before="56" w:line="200" w:lineRule="exact"/>
        <w:ind w:left="391" w:right="125" w:firstLine="0"/>
        <w:rPr>
          <w:rFonts w:cs="Arial"/>
          <w:color w:val="231F20"/>
          <w:spacing w:val="-6"/>
          <w:sz w:val="20"/>
          <w:szCs w:val="20"/>
        </w:rPr>
      </w:pPr>
      <w:r w:rsidRPr="0099207B">
        <w:rPr>
          <w:rFonts w:cs="Arial"/>
          <w:color w:val="231F20"/>
          <w:spacing w:val="-6"/>
          <w:sz w:val="20"/>
          <w:szCs w:val="20"/>
        </w:rPr>
        <w:t>These authorities shall apply in substitution for all previous authorities (but without prejudice to the validity of any allotment pursuant to such previous authority) and shall expire at the end of the next annual general meeting of the Company or, if earlier, 15 months after the date of this resolution, save that the Company may before such expiry make any offer or agreement which would or might require shares to be allotted or rights granted to subscribe for or convert any security into shares after such expiry and the Directors may allot shares or grant such rights in pursuance of any such offer or agreement as if the power and authority conferred by this resolution had not expired.</w:t>
      </w:r>
    </w:p>
    <w:p w14:paraId="4ED3F654" w14:textId="77777777" w:rsidR="00E072EF" w:rsidRPr="00256D9B" w:rsidRDefault="00E072EF" w:rsidP="00E072EF">
      <w:pPr>
        <w:pStyle w:val="BodyText"/>
        <w:kinsoku w:val="0"/>
        <w:overflowPunct w:val="0"/>
        <w:spacing w:before="129" w:line="331" w:lineRule="exact"/>
        <w:ind w:left="40" w:firstLine="0"/>
        <w:rPr>
          <w:rFonts w:cs="Arial"/>
          <w:b/>
          <w:color w:val="000000"/>
          <w:sz w:val="22"/>
          <w:szCs w:val="22"/>
        </w:rPr>
      </w:pPr>
      <w:r w:rsidRPr="00256D9B">
        <w:rPr>
          <w:rFonts w:cs="Arial"/>
          <w:b/>
          <w:color w:val="231F20"/>
          <w:spacing w:val="-6"/>
          <w:sz w:val="22"/>
          <w:szCs w:val="22"/>
        </w:rPr>
        <w:t>Special</w:t>
      </w:r>
      <w:r w:rsidRPr="00256D9B">
        <w:rPr>
          <w:rFonts w:cs="Arial"/>
          <w:b/>
          <w:color w:val="231F20"/>
          <w:spacing w:val="-14"/>
          <w:sz w:val="22"/>
          <w:szCs w:val="22"/>
        </w:rPr>
        <w:t xml:space="preserve"> </w:t>
      </w:r>
      <w:r w:rsidRPr="00256D9B">
        <w:rPr>
          <w:rFonts w:cs="Arial"/>
          <w:b/>
          <w:color w:val="231F20"/>
          <w:spacing w:val="-8"/>
          <w:sz w:val="22"/>
          <w:szCs w:val="22"/>
        </w:rPr>
        <w:t>resolutions</w:t>
      </w:r>
    </w:p>
    <w:p w14:paraId="153EC2E6"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392" w:right="125" w:hanging="284"/>
        <w:rPr>
          <w:rFonts w:cs="Arial"/>
          <w:color w:val="231F20"/>
          <w:spacing w:val="-6"/>
          <w:sz w:val="20"/>
          <w:szCs w:val="20"/>
        </w:rPr>
      </w:pPr>
      <w:r w:rsidRPr="00106F8D">
        <w:rPr>
          <w:rFonts w:cs="Arial"/>
          <w:color w:val="231F20"/>
          <w:spacing w:val="-6"/>
        </w:rPr>
        <w:t>14. T</w:t>
      </w:r>
      <w:r w:rsidRPr="0099207B">
        <w:rPr>
          <w:rFonts w:cs="Arial"/>
          <w:color w:val="231F20"/>
          <w:spacing w:val="-6"/>
          <w:sz w:val="20"/>
          <w:szCs w:val="20"/>
        </w:rPr>
        <w:t>hat, subject to the passing of resolution 13 above, the Directors be generally and unconditionally empowered for the purposes of Section 570 of the Act to allot equity securities (within the meaning of Section 560 of the Act) for cash:</w:t>
      </w:r>
    </w:p>
    <w:p w14:paraId="23C7B6A4"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676" w:right="126" w:hanging="283"/>
        <w:rPr>
          <w:rFonts w:cs="Arial"/>
          <w:color w:val="231F20"/>
          <w:spacing w:val="-6"/>
          <w:sz w:val="20"/>
          <w:szCs w:val="20"/>
        </w:rPr>
      </w:pPr>
      <w:r w:rsidRPr="0099207B">
        <w:rPr>
          <w:rFonts w:cs="Arial"/>
          <w:color w:val="231F20"/>
          <w:spacing w:val="-6"/>
          <w:sz w:val="20"/>
          <w:szCs w:val="20"/>
        </w:rPr>
        <w:tab/>
        <w:t>(a) pursuant to the authority conferred by resolution 13 above; or</w:t>
      </w:r>
    </w:p>
    <w:p w14:paraId="3FB67730"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676" w:right="126" w:hanging="283"/>
        <w:rPr>
          <w:rFonts w:cs="Arial"/>
          <w:color w:val="231F20"/>
          <w:spacing w:val="-6"/>
          <w:sz w:val="20"/>
          <w:szCs w:val="20"/>
        </w:rPr>
      </w:pPr>
      <w:r w:rsidRPr="0099207B">
        <w:rPr>
          <w:rFonts w:cs="Arial"/>
          <w:color w:val="231F20"/>
          <w:spacing w:val="-6"/>
          <w:sz w:val="20"/>
          <w:szCs w:val="20"/>
        </w:rPr>
        <w:tab/>
        <w:t xml:space="preserve">(b) where the allotment constitutes an allotment by virtue of Section 560(3) of the Act, </w:t>
      </w:r>
    </w:p>
    <w:p w14:paraId="56073C76" w14:textId="771C8FA0" w:rsidR="00812A44" w:rsidRPr="0099207B" w:rsidRDefault="00812A44" w:rsidP="0099207B">
      <w:pPr>
        <w:pStyle w:val="BodyText"/>
        <w:widowControl/>
        <w:kinsoku w:val="0"/>
        <w:overflowPunct w:val="0"/>
        <w:autoSpaceDE w:val="0"/>
        <w:autoSpaceDN w:val="0"/>
        <w:adjustRightInd w:val="0"/>
        <w:spacing w:before="56" w:line="200" w:lineRule="exact"/>
        <w:ind w:left="450" w:right="126" w:hanging="13"/>
        <w:rPr>
          <w:rFonts w:cs="Arial"/>
          <w:color w:val="231F20"/>
          <w:spacing w:val="-6"/>
          <w:sz w:val="20"/>
          <w:szCs w:val="20"/>
        </w:rPr>
      </w:pPr>
      <w:r w:rsidRPr="0099207B">
        <w:rPr>
          <w:rFonts w:cs="Arial"/>
          <w:color w:val="231F20"/>
          <w:spacing w:val="-6"/>
          <w:sz w:val="20"/>
          <w:szCs w:val="20"/>
        </w:rPr>
        <w:tab/>
        <w:t>in each case as if Section 561 of the Act did not apply to any such allotment, provided that this power shall be limited to:</w:t>
      </w:r>
    </w:p>
    <w:p w14:paraId="6EA75467"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1129" w:right="125"/>
        <w:rPr>
          <w:rFonts w:cs="Arial"/>
          <w:color w:val="231F20"/>
          <w:spacing w:val="-6"/>
          <w:sz w:val="20"/>
          <w:szCs w:val="20"/>
        </w:rPr>
      </w:pPr>
      <w:r w:rsidRPr="0099207B">
        <w:rPr>
          <w:rFonts w:cs="Arial"/>
          <w:color w:val="231F20"/>
          <w:spacing w:val="-6"/>
          <w:sz w:val="20"/>
          <w:szCs w:val="20"/>
        </w:rPr>
        <w:t>(i) the allotment of equity securities in connection with an offer of equity securities (but in the case of an allotment pursuant to the authority granted under paragraph (b) of resolution 13, such power shall be limited to the allotment of equity securities in connection with a pre-emptive offer only) to:</w:t>
      </w:r>
    </w:p>
    <w:p w14:paraId="245DF5F2"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1366" w:right="125" w:hanging="255"/>
        <w:rPr>
          <w:rFonts w:cs="Arial"/>
          <w:color w:val="231F20"/>
          <w:spacing w:val="-6"/>
          <w:sz w:val="20"/>
          <w:szCs w:val="20"/>
        </w:rPr>
      </w:pPr>
      <w:r w:rsidRPr="0099207B">
        <w:rPr>
          <w:rFonts w:cs="Arial"/>
          <w:color w:val="231F20"/>
          <w:spacing w:val="-6"/>
          <w:sz w:val="20"/>
          <w:szCs w:val="20"/>
        </w:rPr>
        <w:t>(A) the holders of Ordinary Shares in proportion (as nearly as may be practicable) to the respective numbers of Ordinary Shares held by them; and</w:t>
      </w:r>
    </w:p>
    <w:p w14:paraId="43B10893"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1366" w:right="125" w:hanging="255"/>
        <w:rPr>
          <w:rFonts w:cs="Arial"/>
          <w:color w:val="231F20"/>
          <w:spacing w:val="-6"/>
          <w:sz w:val="20"/>
          <w:szCs w:val="20"/>
        </w:rPr>
      </w:pPr>
      <w:r w:rsidRPr="0099207B">
        <w:rPr>
          <w:rFonts w:cs="Arial"/>
          <w:color w:val="231F20"/>
          <w:spacing w:val="-6"/>
          <w:sz w:val="20"/>
          <w:szCs w:val="20"/>
        </w:rPr>
        <w:t>(B) holders of other equity securities, as required by the rights of those securities or, subject to such rights, as the Directors of the Company otherwise consider necessary,</w:t>
      </w:r>
    </w:p>
    <w:p w14:paraId="79A2CA10"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1082" w:right="125" w:firstLine="0"/>
        <w:rPr>
          <w:rFonts w:cs="Arial"/>
          <w:color w:val="231F20"/>
          <w:spacing w:val="-6"/>
          <w:sz w:val="20"/>
          <w:szCs w:val="20"/>
        </w:rPr>
      </w:pPr>
      <w:r w:rsidRPr="0099207B">
        <w:rPr>
          <w:rFonts w:cs="Arial"/>
          <w:color w:val="231F20"/>
          <w:spacing w:val="-6"/>
          <w:sz w:val="20"/>
          <w:szCs w:val="20"/>
        </w:rPr>
        <w:t>and so that the Directors of the Company may impose any limits or restrictions and make any arrangements which they consider necessary or appropriate to deal with treasury shares, fractional entitlements, record dates, legal, regulatory or practical problems in, or under the laws of, any territory or any other matter;</w:t>
      </w:r>
    </w:p>
    <w:p w14:paraId="752EBFC5"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1129" w:right="125"/>
        <w:rPr>
          <w:rFonts w:cs="Arial"/>
          <w:color w:val="231F20"/>
          <w:spacing w:val="-6"/>
          <w:sz w:val="20"/>
          <w:szCs w:val="20"/>
        </w:rPr>
      </w:pPr>
      <w:r w:rsidRPr="0099207B">
        <w:rPr>
          <w:rFonts w:cs="Arial"/>
          <w:color w:val="231F20"/>
          <w:spacing w:val="-6"/>
          <w:sz w:val="20"/>
          <w:szCs w:val="20"/>
        </w:rPr>
        <w:t>(ii) the grant of options to subscribe for shares in the Company, and the allotment of such shares pursuant to the exercise of options granted, under the terms of any share option scheme adopted or operated by the Company;</w:t>
      </w:r>
    </w:p>
    <w:p w14:paraId="1D7FE16E"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1157" w:right="125" w:hanging="255"/>
        <w:rPr>
          <w:rFonts w:cs="Arial"/>
          <w:color w:val="231F20"/>
          <w:spacing w:val="-6"/>
          <w:sz w:val="20"/>
          <w:szCs w:val="20"/>
        </w:rPr>
      </w:pPr>
      <w:r w:rsidRPr="0099207B">
        <w:rPr>
          <w:rFonts w:cs="Arial"/>
          <w:color w:val="231F20"/>
          <w:spacing w:val="-6"/>
          <w:sz w:val="20"/>
          <w:szCs w:val="20"/>
        </w:rPr>
        <w:t>(iii) the allotment of equity securities or sale of treasury shares, other than pursuant to paragraphs (i) and (ii) above of this resolution, up to an aggregate nominal amount of £895,022.44; and</w:t>
      </w:r>
    </w:p>
    <w:p w14:paraId="4DF7EBFD"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1157" w:right="125" w:hanging="255"/>
        <w:rPr>
          <w:rFonts w:cs="Arial"/>
          <w:color w:val="231F20"/>
          <w:spacing w:val="-6"/>
          <w:sz w:val="20"/>
          <w:szCs w:val="20"/>
        </w:rPr>
      </w:pPr>
      <w:r w:rsidRPr="0099207B">
        <w:rPr>
          <w:rFonts w:cs="Arial"/>
          <w:color w:val="231F20"/>
          <w:spacing w:val="-6"/>
          <w:sz w:val="20"/>
          <w:szCs w:val="20"/>
        </w:rPr>
        <w:t xml:space="preserve">(iv) the allotment of equity securities or sale of treasury shares, other than pursuant to paragraphs (i), (ii) and (iii) above of this resolution, up to an aggregate nominal amount of 20% of any allotment of equity securities or sale of treasury shares from time to time under paragraph 14(b)(iii) above, such authority to be used only for the purposes of making a follow-on </w:t>
      </w:r>
      <w:r w:rsidRPr="0099207B">
        <w:rPr>
          <w:rFonts w:cs="Arial"/>
          <w:color w:val="231F20"/>
          <w:spacing w:val="-6"/>
          <w:sz w:val="20"/>
          <w:szCs w:val="20"/>
        </w:rPr>
        <w:lastRenderedPageBreak/>
        <w:t>offer which the directors determine to be of a kind contemplated by the Statement of Principles on Disapplying Pre-Emption Rights most recently published by the Pre-Emption Group prior to the date of this notice.</w:t>
      </w:r>
    </w:p>
    <w:p w14:paraId="3B251723"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289" w:right="125" w:firstLine="0"/>
        <w:rPr>
          <w:rFonts w:cs="Arial"/>
          <w:color w:val="231F20"/>
          <w:spacing w:val="-6"/>
          <w:sz w:val="20"/>
          <w:szCs w:val="20"/>
        </w:rPr>
      </w:pPr>
      <w:r w:rsidRPr="0099207B">
        <w:rPr>
          <w:rFonts w:cs="Arial"/>
          <w:color w:val="231F20"/>
          <w:spacing w:val="-6"/>
          <w:sz w:val="20"/>
          <w:szCs w:val="20"/>
        </w:rPr>
        <w:t>This power shall (unless previously renewed, varied or revoked by the Company in general meeting) expire at the conclusion of the next annual general meeting of the Company following the passing of this resolution or, if earlier, on the date 15 months after the passing of such resolution, save that the Company may before the expiry of this power make any offer or enter into any agreement which would or might require equity securities to be allotted, or treasury shares sold, after such expiry and the Directors may allot equity securities or sell treasury shares in pursuance of any such offer or agreement as if the power conferred by this resolution had not expired.</w:t>
      </w:r>
    </w:p>
    <w:p w14:paraId="18F56578"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266" w:right="125" w:hanging="266"/>
        <w:rPr>
          <w:rFonts w:cs="Arial"/>
          <w:color w:val="231F20"/>
          <w:spacing w:val="-6"/>
          <w:sz w:val="20"/>
          <w:szCs w:val="20"/>
        </w:rPr>
      </w:pPr>
      <w:r w:rsidRPr="0099207B">
        <w:rPr>
          <w:rFonts w:cs="Arial"/>
          <w:color w:val="231F20"/>
          <w:spacing w:val="-6"/>
          <w:sz w:val="20"/>
          <w:szCs w:val="20"/>
        </w:rPr>
        <w:t>15. That, subject to the passing of resolution 13 above, the Directors be generally and unconditionally empowered for the purposes of Section 570 of the Act, in addition to any authority granted under resolution 14 above, to allot equity securities (within the meaning of Section 560 of the Act) for cash:</w:t>
      </w:r>
    </w:p>
    <w:p w14:paraId="19427893"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447" w:right="125" w:hanging="181"/>
        <w:rPr>
          <w:rFonts w:cs="Arial"/>
          <w:color w:val="231F20"/>
          <w:spacing w:val="-6"/>
          <w:sz w:val="20"/>
          <w:szCs w:val="20"/>
        </w:rPr>
      </w:pPr>
      <w:r w:rsidRPr="0099207B">
        <w:rPr>
          <w:rFonts w:cs="Arial"/>
          <w:color w:val="231F20"/>
          <w:spacing w:val="-6"/>
          <w:sz w:val="20"/>
          <w:szCs w:val="20"/>
        </w:rPr>
        <w:t>(a) pursuant to the authority conferred by resolution 13 above; or</w:t>
      </w:r>
    </w:p>
    <w:p w14:paraId="261859EC"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447" w:right="125" w:hanging="181"/>
        <w:rPr>
          <w:rFonts w:cs="Arial"/>
          <w:color w:val="231F20"/>
          <w:spacing w:val="-6"/>
          <w:sz w:val="20"/>
          <w:szCs w:val="20"/>
        </w:rPr>
      </w:pPr>
      <w:r w:rsidRPr="0099207B">
        <w:rPr>
          <w:rFonts w:cs="Arial"/>
          <w:color w:val="231F20"/>
          <w:spacing w:val="-6"/>
          <w:sz w:val="20"/>
          <w:szCs w:val="20"/>
        </w:rPr>
        <w:t>(b) where the allotment constitutes an allotment by virtue of Section 560(3) of the Act,</w:t>
      </w:r>
    </w:p>
    <w:p w14:paraId="0F3E8742"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447" w:right="125" w:hanging="181"/>
        <w:rPr>
          <w:rFonts w:cs="Arial"/>
          <w:color w:val="231F20"/>
          <w:spacing w:val="-6"/>
          <w:sz w:val="20"/>
          <w:szCs w:val="20"/>
        </w:rPr>
      </w:pPr>
      <w:r w:rsidRPr="0099207B">
        <w:rPr>
          <w:rFonts w:cs="Arial"/>
          <w:color w:val="231F20"/>
          <w:spacing w:val="-6"/>
          <w:sz w:val="20"/>
          <w:szCs w:val="20"/>
        </w:rPr>
        <w:t>in each case as if Section 561 of the Act did not apply to any such allotment, provided that this power shall be limited to:</w:t>
      </w:r>
    </w:p>
    <w:p w14:paraId="6CD79E41"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856" w:right="125" w:hanging="181"/>
        <w:rPr>
          <w:rFonts w:cs="Arial"/>
          <w:color w:val="231F20"/>
          <w:spacing w:val="-6"/>
          <w:sz w:val="20"/>
          <w:szCs w:val="20"/>
        </w:rPr>
      </w:pPr>
      <w:r w:rsidRPr="0099207B">
        <w:rPr>
          <w:rFonts w:cs="Arial"/>
          <w:color w:val="231F20"/>
          <w:spacing w:val="-6"/>
          <w:sz w:val="20"/>
          <w:szCs w:val="20"/>
        </w:rPr>
        <w:t>(i) the allotment of equity securities or sale of treasury shares up to an aggregate nominal amount of £895,022.44 to be used only for the purpose of financing (or refinancing, if the authority is to be used within 12 months after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 and</w:t>
      </w:r>
    </w:p>
    <w:p w14:paraId="26DF150E"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856" w:right="125" w:hanging="181"/>
        <w:rPr>
          <w:rFonts w:cs="Arial"/>
          <w:color w:val="231F20"/>
          <w:spacing w:val="-6"/>
          <w:sz w:val="20"/>
          <w:szCs w:val="20"/>
        </w:rPr>
      </w:pPr>
      <w:r w:rsidRPr="0099207B">
        <w:rPr>
          <w:rFonts w:cs="Arial"/>
          <w:color w:val="231F20"/>
          <w:spacing w:val="-6"/>
          <w:sz w:val="20"/>
          <w:szCs w:val="20"/>
        </w:rPr>
        <w:t>(ii) the allotment of equity securities or sale of treasury shares, other than pursuant to paragraph (i) above of this resolution, up to an aggregate nominal amount of 20% of any allotment of equity securities or sale of treasury shares from time to time under paragraph (i) above of this resolution such authority to be used only for the purposes of making a follow-on offer which the board determines should be of a kind contemplated by the Statement of Principles on Disapplying Pre-Emption Rights most recently published by the Pre-Emption Group prior to the date of this notice.</w:t>
      </w:r>
    </w:p>
    <w:p w14:paraId="57379439"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289" w:right="125" w:firstLine="0"/>
        <w:rPr>
          <w:rFonts w:cs="Arial"/>
          <w:color w:val="231F20"/>
          <w:spacing w:val="-6"/>
          <w:sz w:val="20"/>
          <w:szCs w:val="20"/>
        </w:rPr>
      </w:pPr>
      <w:r w:rsidRPr="0099207B">
        <w:rPr>
          <w:rFonts w:cs="Arial"/>
          <w:color w:val="231F20"/>
          <w:spacing w:val="-6"/>
          <w:sz w:val="20"/>
          <w:szCs w:val="20"/>
        </w:rPr>
        <w:t>This power shall (unless previously renewed, varied or revoked by the Company in general meeting) expire at the conclusion of the next annual general meeting of the Company following the passing of this resolution or, if earlier, on the date 15 months after the passing of such resolution, save that the Company may before the expiry of this power make any offer or enter into any agreement which would or might require equity securities to be allotted, or treasury shares sold, after such expiry and the Directors may allot equity securities or sell treasury shares in pursuance of any such offer or agreement as if the power  conferred by this resolution had not expired.</w:t>
      </w:r>
    </w:p>
    <w:p w14:paraId="0A3E3C41"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266" w:right="125" w:hanging="266"/>
        <w:rPr>
          <w:rFonts w:cs="Arial"/>
          <w:color w:val="231F20"/>
          <w:spacing w:val="-6"/>
          <w:sz w:val="20"/>
          <w:szCs w:val="20"/>
        </w:rPr>
      </w:pPr>
      <w:r w:rsidRPr="0099207B">
        <w:rPr>
          <w:rFonts w:cs="Arial"/>
          <w:color w:val="231F20"/>
          <w:spacing w:val="-6"/>
          <w:sz w:val="20"/>
          <w:szCs w:val="20"/>
        </w:rPr>
        <w:t xml:space="preserve">16. That the Company be generally and unconditionally </w:t>
      </w:r>
      <w:proofErr w:type="spellStart"/>
      <w:r w:rsidRPr="0099207B">
        <w:rPr>
          <w:rFonts w:cs="Arial"/>
          <w:color w:val="231F20"/>
          <w:spacing w:val="-6"/>
          <w:sz w:val="20"/>
          <w:szCs w:val="20"/>
        </w:rPr>
        <w:t>authorised</w:t>
      </w:r>
      <w:proofErr w:type="spellEnd"/>
      <w:r w:rsidRPr="0099207B">
        <w:rPr>
          <w:rFonts w:cs="Arial"/>
          <w:color w:val="231F20"/>
          <w:spacing w:val="-6"/>
          <w:sz w:val="20"/>
          <w:szCs w:val="20"/>
        </w:rPr>
        <w:t xml:space="preserve"> for the purposes of Section 701 of the Act to make market purchases (as defined in Section 693(4) of the Act) of Ordinary Shares in such manner and on such terms as the Directors of the Company may from time to time determine, and where such shares are held as treasury shares, the Company may use them for the purposes set out in Sections 727 or 729 of the Act, including for the purpose of its employee share schemes, provided that: </w:t>
      </w:r>
    </w:p>
    <w:p w14:paraId="109A5286"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266" w:right="125" w:hanging="266"/>
        <w:rPr>
          <w:rFonts w:cs="Arial"/>
          <w:color w:val="231F20"/>
          <w:spacing w:val="-6"/>
          <w:sz w:val="20"/>
          <w:szCs w:val="20"/>
        </w:rPr>
      </w:pPr>
      <w:r w:rsidRPr="0099207B">
        <w:rPr>
          <w:rFonts w:cs="Arial"/>
          <w:color w:val="231F20"/>
          <w:spacing w:val="-6"/>
          <w:sz w:val="20"/>
          <w:szCs w:val="20"/>
        </w:rPr>
        <w:tab/>
        <w:t>(a) the maximum number of Ordinary Shares which may be purchased is 8,950,244;</w:t>
      </w:r>
    </w:p>
    <w:p w14:paraId="0B5C880B"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289" w:right="125" w:hanging="181"/>
        <w:rPr>
          <w:rFonts w:cs="Arial"/>
          <w:color w:val="231F20"/>
          <w:spacing w:val="-6"/>
          <w:sz w:val="20"/>
          <w:szCs w:val="20"/>
        </w:rPr>
      </w:pPr>
      <w:r w:rsidRPr="0099207B">
        <w:rPr>
          <w:rFonts w:cs="Arial"/>
          <w:color w:val="231F20"/>
          <w:spacing w:val="-6"/>
          <w:sz w:val="20"/>
          <w:szCs w:val="20"/>
        </w:rPr>
        <w:tab/>
        <w:t>(b) the minimum purchase price which may be paid for any Ordinary Share is 10 pence (exclusive of expenses);</w:t>
      </w:r>
    </w:p>
    <w:p w14:paraId="77DBCBA9"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516" w:right="126"/>
        <w:rPr>
          <w:rFonts w:cs="Arial"/>
          <w:color w:val="231F20"/>
          <w:spacing w:val="-6"/>
          <w:sz w:val="20"/>
          <w:szCs w:val="20"/>
        </w:rPr>
      </w:pPr>
      <w:r w:rsidRPr="0099207B">
        <w:rPr>
          <w:rFonts w:cs="Arial"/>
          <w:color w:val="231F20"/>
          <w:spacing w:val="-6"/>
          <w:sz w:val="20"/>
          <w:szCs w:val="20"/>
        </w:rPr>
        <w:t>(c) the maximum purchase price which may be paid for any Ordinary Share shall not be more than the higher of (in each case exclusive of expenses):</w:t>
      </w:r>
    </w:p>
    <w:p w14:paraId="4620FF0A"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856" w:right="125" w:hanging="181"/>
        <w:rPr>
          <w:rFonts w:cs="Arial"/>
          <w:color w:val="231F20"/>
          <w:spacing w:val="-6"/>
          <w:sz w:val="20"/>
          <w:szCs w:val="20"/>
        </w:rPr>
      </w:pPr>
      <w:r w:rsidRPr="0099207B">
        <w:rPr>
          <w:rFonts w:cs="Arial"/>
          <w:color w:val="231F20"/>
          <w:spacing w:val="-6"/>
          <w:sz w:val="20"/>
          <w:szCs w:val="20"/>
        </w:rPr>
        <w:t>(i) 5% above the average middle market quotations for an Ordinary Share as derived from the London Stock Exchange Daily Official List for the five business days immediately preceding the day on which the purchase is made; and</w:t>
      </w:r>
    </w:p>
    <w:p w14:paraId="7AE50B28"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856" w:right="125" w:hanging="181"/>
        <w:rPr>
          <w:rFonts w:cs="Arial"/>
          <w:color w:val="231F20"/>
          <w:spacing w:val="-6"/>
          <w:sz w:val="20"/>
          <w:szCs w:val="20"/>
        </w:rPr>
      </w:pPr>
      <w:r w:rsidRPr="0099207B">
        <w:rPr>
          <w:rFonts w:cs="Arial"/>
          <w:color w:val="231F20"/>
          <w:spacing w:val="-6"/>
          <w:sz w:val="20"/>
          <w:szCs w:val="20"/>
        </w:rPr>
        <w:t>(ii) an amount equal to the higher of the price of the last independent trade and the highest current independent bid as derived from the London Stock Exchange at the time the purchase is carried out.</w:t>
      </w:r>
    </w:p>
    <w:p w14:paraId="3FE9E648"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289" w:right="125" w:firstLine="0"/>
        <w:rPr>
          <w:rFonts w:cs="Arial"/>
          <w:color w:val="231F20"/>
          <w:spacing w:val="-6"/>
          <w:sz w:val="20"/>
          <w:szCs w:val="20"/>
        </w:rPr>
      </w:pPr>
      <w:r w:rsidRPr="0099207B">
        <w:rPr>
          <w:rFonts w:cs="Arial"/>
          <w:color w:val="231F20"/>
          <w:spacing w:val="-6"/>
          <w:sz w:val="20"/>
          <w:szCs w:val="20"/>
        </w:rPr>
        <w:t>This authority shall take effect on the date of passing of this resolution and shall (unless previously revoked, renewed or varied) expire on the conclusion of the next annual general meeting of the Company after the passing of this resolution or, if earlier, 15 months after the date of passing of this resolution, save in relation to purchases of Ordinary Shares the contract for which was concluded before the expiry of this authority and which will or may be executed wholly or partly after such expiry.</w:t>
      </w:r>
    </w:p>
    <w:p w14:paraId="0B342F9A" w14:textId="77777777" w:rsidR="00812A44" w:rsidRPr="0099207B" w:rsidRDefault="00812A44" w:rsidP="00812A44">
      <w:pPr>
        <w:pStyle w:val="BodyText"/>
        <w:widowControl/>
        <w:tabs>
          <w:tab w:val="left" w:pos="394"/>
        </w:tabs>
        <w:kinsoku w:val="0"/>
        <w:overflowPunct w:val="0"/>
        <w:autoSpaceDE w:val="0"/>
        <w:autoSpaceDN w:val="0"/>
        <w:adjustRightInd w:val="0"/>
        <w:spacing w:before="56" w:line="200" w:lineRule="exact"/>
        <w:ind w:left="289" w:right="125" w:hanging="181"/>
        <w:rPr>
          <w:rFonts w:cs="Arial"/>
          <w:color w:val="231F20"/>
          <w:spacing w:val="-6"/>
          <w:sz w:val="20"/>
          <w:szCs w:val="20"/>
        </w:rPr>
      </w:pPr>
      <w:r w:rsidRPr="0099207B">
        <w:rPr>
          <w:rFonts w:cs="Arial"/>
          <w:color w:val="231F20"/>
          <w:spacing w:val="-6"/>
          <w:sz w:val="20"/>
          <w:szCs w:val="20"/>
        </w:rPr>
        <w:t>17. That a general meeting other than an annual general meeting may be called on not less than 14 clear days’ notice.</w:t>
      </w:r>
    </w:p>
    <w:p w14:paraId="6C12D972" w14:textId="77777777" w:rsidR="00812A44" w:rsidRPr="00106F8D" w:rsidRDefault="00812A44" w:rsidP="00812A44">
      <w:pPr>
        <w:pStyle w:val="BodyText"/>
        <w:widowControl/>
        <w:tabs>
          <w:tab w:val="left" w:pos="394"/>
        </w:tabs>
        <w:kinsoku w:val="0"/>
        <w:overflowPunct w:val="0"/>
        <w:autoSpaceDE w:val="0"/>
        <w:autoSpaceDN w:val="0"/>
        <w:adjustRightInd w:val="0"/>
        <w:spacing w:before="56" w:line="200" w:lineRule="exact"/>
        <w:ind w:left="289" w:right="125" w:hanging="181"/>
        <w:rPr>
          <w:rFonts w:cs="Arial"/>
          <w:color w:val="231F20"/>
          <w:spacing w:val="-6"/>
        </w:rPr>
      </w:pPr>
    </w:p>
    <w:p w14:paraId="47C39344" w14:textId="77777777" w:rsidR="00655B5C" w:rsidRPr="00C33C4C" w:rsidRDefault="00655B5C">
      <w:pPr>
        <w:spacing w:before="4" w:line="160" w:lineRule="exact"/>
        <w:rPr>
          <w:rFonts w:ascii="Arial" w:hAnsi="Arial" w:cs="Arial"/>
          <w:sz w:val="21"/>
          <w:szCs w:val="21"/>
          <w:lang w:val="en-GB"/>
        </w:rPr>
      </w:pPr>
    </w:p>
    <w:p w14:paraId="34F56C60" w14:textId="77777777" w:rsidR="00655B5C" w:rsidRPr="00C33C4C" w:rsidRDefault="00655B5C">
      <w:pPr>
        <w:spacing w:before="4" w:line="160" w:lineRule="exact"/>
        <w:rPr>
          <w:rFonts w:ascii="Arial" w:hAnsi="Arial" w:cs="Arial"/>
          <w:sz w:val="21"/>
          <w:szCs w:val="21"/>
          <w:lang w:val="en-GB"/>
        </w:rPr>
      </w:pPr>
    </w:p>
    <w:p w14:paraId="55AC6D53" w14:textId="77777777" w:rsidR="00961A44" w:rsidRPr="00C33C4C" w:rsidRDefault="00961A44">
      <w:pPr>
        <w:spacing w:before="4" w:line="160" w:lineRule="exact"/>
        <w:rPr>
          <w:rFonts w:ascii="Arial" w:hAnsi="Arial" w:cs="Arial"/>
          <w:sz w:val="21"/>
          <w:szCs w:val="21"/>
          <w:lang w:val="en-GB"/>
        </w:rPr>
      </w:pPr>
    </w:p>
    <w:p w14:paraId="52EAE1B7" w14:textId="77777777" w:rsidR="00961A44" w:rsidRPr="00C33C4C" w:rsidRDefault="00961A44">
      <w:pPr>
        <w:spacing w:before="4" w:line="160" w:lineRule="exact"/>
        <w:rPr>
          <w:rFonts w:ascii="Arial" w:hAnsi="Arial" w:cs="Arial"/>
          <w:sz w:val="21"/>
          <w:szCs w:val="21"/>
          <w:lang w:val="en-GB"/>
        </w:rPr>
      </w:pPr>
    </w:p>
    <w:p w14:paraId="17E21E26" w14:textId="77777777" w:rsidR="00655B5C" w:rsidRPr="00C33C4C" w:rsidRDefault="00655B5C" w:rsidP="00655B5C">
      <w:pPr>
        <w:pStyle w:val="BodyText1"/>
        <w:spacing w:after="0"/>
        <w:ind w:left="0"/>
        <w:jc w:val="left"/>
        <w:rPr>
          <w:rFonts w:cs="Arial"/>
        </w:rPr>
      </w:pPr>
      <w:r w:rsidRPr="00C33C4C">
        <w:rPr>
          <w:rFonts w:cs="Arial"/>
        </w:rPr>
        <w:t>……………………………..</w:t>
      </w:r>
    </w:p>
    <w:p w14:paraId="58AB4429" w14:textId="77777777" w:rsidR="00655B5C" w:rsidRPr="00C33C4C" w:rsidRDefault="00655B5C" w:rsidP="00655B5C">
      <w:pPr>
        <w:pStyle w:val="BodyText1"/>
        <w:spacing w:after="0"/>
        <w:ind w:left="0"/>
        <w:jc w:val="left"/>
        <w:rPr>
          <w:rFonts w:cs="Arial"/>
          <w:b/>
        </w:rPr>
      </w:pPr>
      <w:r w:rsidRPr="00C33C4C">
        <w:rPr>
          <w:rFonts w:cs="Arial"/>
          <w:b/>
        </w:rPr>
        <w:t>Chairman</w:t>
      </w:r>
    </w:p>
    <w:p w14:paraId="3D62C71D" w14:textId="77777777" w:rsidR="00655B5C" w:rsidRPr="00C33C4C" w:rsidRDefault="00655B5C" w:rsidP="00655B5C">
      <w:pPr>
        <w:pStyle w:val="BodyText1"/>
        <w:spacing w:after="0"/>
        <w:rPr>
          <w:rFonts w:cs="Arial"/>
        </w:rPr>
      </w:pPr>
    </w:p>
    <w:p w14:paraId="117D84CC" w14:textId="77777777" w:rsidR="00655B5C" w:rsidRPr="00C33C4C" w:rsidRDefault="00655B5C" w:rsidP="00655B5C">
      <w:pPr>
        <w:pStyle w:val="BodyText1"/>
        <w:spacing w:after="0"/>
        <w:rPr>
          <w:rFonts w:cs="Arial"/>
        </w:rPr>
      </w:pPr>
    </w:p>
    <w:p w14:paraId="175C30BF" w14:textId="77777777" w:rsidR="00655B5C" w:rsidRPr="00C33C4C" w:rsidRDefault="00655B5C" w:rsidP="00336EBA">
      <w:pPr>
        <w:pStyle w:val="BodyText1"/>
        <w:spacing w:after="0"/>
        <w:ind w:left="0"/>
        <w:rPr>
          <w:rFonts w:cs="Arial"/>
        </w:rPr>
      </w:pPr>
    </w:p>
    <w:p w14:paraId="46C6D06D" w14:textId="77777777" w:rsidR="00655B5C" w:rsidRPr="00C33C4C" w:rsidRDefault="00655B5C" w:rsidP="00655B5C">
      <w:pPr>
        <w:rPr>
          <w:rFonts w:ascii="Arial" w:hAnsi="Arial" w:cs="Arial"/>
          <w:b/>
          <w:sz w:val="21"/>
          <w:szCs w:val="21"/>
          <w:lang w:val="en-GB"/>
        </w:rPr>
      </w:pPr>
      <w:r w:rsidRPr="00C33C4C">
        <w:rPr>
          <w:rFonts w:ascii="Arial" w:hAnsi="Arial" w:cs="Arial"/>
          <w:b/>
          <w:sz w:val="21"/>
          <w:szCs w:val="21"/>
          <w:lang w:val="en-GB"/>
        </w:rPr>
        <w:t>PRESENTED BY:</w:t>
      </w:r>
    </w:p>
    <w:p w14:paraId="5436B28C" w14:textId="77777777" w:rsidR="00655B5C" w:rsidRPr="00C33C4C" w:rsidRDefault="00655B5C" w:rsidP="00655B5C">
      <w:pPr>
        <w:rPr>
          <w:rFonts w:ascii="Arial" w:hAnsi="Arial" w:cs="Arial"/>
          <w:sz w:val="21"/>
          <w:szCs w:val="21"/>
          <w:lang w:val="en-GB"/>
        </w:rPr>
      </w:pPr>
      <w:r w:rsidRPr="00C33C4C">
        <w:rPr>
          <w:rFonts w:ascii="Arial" w:hAnsi="Arial" w:cs="Arial"/>
          <w:sz w:val="21"/>
          <w:szCs w:val="21"/>
          <w:lang w:val="en-GB"/>
        </w:rPr>
        <w:t>The Company Secretary,</w:t>
      </w:r>
    </w:p>
    <w:p w14:paraId="516C939A" w14:textId="77777777" w:rsidR="00655B5C" w:rsidRPr="00C33C4C" w:rsidRDefault="00655B5C" w:rsidP="00655B5C">
      <w:pPr>
        <w:rPr>
          <w:rFonts w:ascii="Arial" w:hAnsi="Arial" w:cs="Arial"/>
          <w:sz w:val="21"/>
          <w:szCs w:val="21"/>
          <w:lang w:val="en-GB"/>
        </w:rPr>
      </w:pPr>
      <w:r w:rsidRPr="00C33C4C">
        <w:rPr>
          <w:rFonts w:ascii="Arial" w:hAnsi="Arial" w:cs="Arial"/>
          <w:sz w:val="21"/>
          <w:szCs w:val="21"/>
          <w:lang w:val="en-GB"/>
        </w:rPr>
        <w:t>Hilton Food Group plc,</w:t>
      </w:r>
    </w:p>
    <w:p w14:paraId="4D67669E" w14:textId="77777777" w:rsidR="00655B5C" w:rsidRPr="00C33C4C" w:rsidRDefault="00655B5C" w:rsidP="00655B5C">
      <w:pPr>
        <w:rPr>
          <w:rFonts w:ascii="Arial" w:hAnsi="Arial" w:cs="Arial"/>
          <w:sz w:val="21"/>
          <w:szCs w:val="21"/>
          <w:lang w:val="en-GB"/>
        </w:rPr>
      </w:pPr>
      <w:r w:rsidRPr="00C33C4C">
        <w:rPr>
          <w:rFonts w:ascii="Arial" w:hAnsi="Arial" w:cs="Arial"/>
          <w:sz w:val="21"/>
          <w:szCs w:val="21"/>
          <w:lang w:val="en-GB"/>
        </w:rPr>
        <w:t>2-8 Interchange, Latham Road</w:t>
      </w:r>
    </w:p>
    <w:p w14:paraId="19FBF5AC" w14:textId="11FA1B93" w:rsidR="00655B5C" w:rsidRPr="0099207B" w:rsidRDefault="00655B5C" w:rsidP="0099207B">
      <w:pPr>
        <w:rPr>
          <w:rFonts w:ascii="Arial" w:hAnsi="Arial" w:cs="Arial"/>
          <w:sz w:val="21"/>
          <w:szCs w:val="21"/>
          <w:lang w:val="en-GB"/>
        </w:rPr>
      </w:pPr>
      <w:r w:rsidRPr="00C33C4C">
        <w:rPr>
          <w:rFonts w:ascii="Arial" w:hAnsi="Arial" w:cs="Arial"/>
          <w:sz w:val="21"/>
          <w:szCs w:val="21"/>
          <w:lang w:val="en-GB"/>
        </w:rPr>
        <w:t>Huntingdon, Cambridgeshire, PE29 6YE</w:t>
      </w:r>
    </w:p>
    <w:sectPr w:rsidR="00655B5C" w:rsidRPr="0099207B" w:rsidSect="00E072EF">
      <w:pgSz w:w="11906" w:h="16840"/>
      <w:pgMar w:top="851" w:right="991" w:bottom="851"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LT Std 45 Light">
    <w:panose1 w:val="020B0403020202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 Alternate">
    <w:panose1 w:val="020B0500000000000000"/>
    <w:charset w:val="00"/>
    <w:family w:val="swiss"/>
    <w:pitch w:val="variable"/>
    <w:sig w:usb0="A000002F" w:usb1="10000048" w:usb2="00000000" w:usb3="00000000" w:csb0="00000111" w:csb1="00000000"/>
  </w:font>
  <w:font w:name="Univers LT Std 55">
    <w:panose1 w:val="020B0603020202020204"/>
    <w:charset w:val="00"/>
    <w:family w:val="swiss"/>
    <w:notTrueType/>
    <w:pitch w:val="variable"/>
    <w:sig w:usb0="800000AF"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AE268270"/>
    <w:lvl w:ilvl="0">
      <w:start w:val="14"/>
      <w:numFmt w:val="decimal"/>
      <w:lvlText w:val="%1."/>
      <w:lvlJc w:val="left"/>
      <w:pPr>
        <w:ind w:left="393" w:hanging="284"/>
      </w:pPr>
      <w:rPr>
        <w:rFonts w:ascii="Univers LT Std 45 Light" w:hAnsi="Univers LT Std 45 Light" w:cs="Univers LT Std 45 Light" w:hint="default"/>
        <w:b w:val="0"/>
        <w:bCs w:val="0"/>
        <w:color w:val="231F20"/>
        <w:spacing w:val="-9"/>
        <w:sz w:val="17"/>
        <w:szCs w:val="17"/>
      </w:rPr>
    </w:lvl>
    <w:lvl w:ilvl="1">
      <w:start w:val="1"/>
      <w:numFmt w:val="lowerLetter"/>
      <w:lvlText w:val="(%2)"/>
      <w:lvlJc w:val="left"/>
      <w:pPr>
        <w:ind w:left="677" w:hanging="284"/>
      </w:pPr>
      <w:rPr>
        <w:rFonts w:ascii="Univers LT Std 45 Light" w:hAnsi="Univers LT Std 45 Light" w:cs="Univers LT Std 45 Light" w:hint="default"/>
        <w:b w:val="0"/>
        <w:bCs w:val="0"/>
        <w:color w:val="231F20"/>
        <w:spacing w:val="-1"/>
        <w:sz w:val="17"/>
        <w:szCs w:val="17"/>
      </w:rPr>
    </w:lvl>
    <w:lvl w:ilvl="2">
      <w:start w:val="1"/>
      <w:numFmt w:val="lowerRoman"/>
      <w:lvlText w:val="(%3)"/>
      <w:lvlJc w:val="left"/>
      <w:pPr>
        <w:ind w:left="960" w:hanging="284"/>
      </w:pPr>
      <w:rPr>
        <w:rFonts w:ascii="Univers LT Std 45 Light" w:hAnsi="Univers LT Std 45 Light" w:cs="Univers LT Std 45 Light" w:hint="default"/>
        <w:b w:val="0"/>
        <w:bCs w:val="0"/>
        <w:color w:val="231F20"/>
        <w:sz w:val="17"/>
        <w:szCs w:val="17"/>
      </w:rPr>
    </w:lvl>
    <w:lvl w:ilvl="3">
      <w:start w:val="1"/>
      <w:numFmt w:val="upperLetter"/>
      <w:lvlText w:val="(%4)"/>
      <w:lvlJc w:val="left"/>
      <w:pPr>
        <w:ind w:left="2108" w:hanging="284"/>
      </w:pPr>
      <w:rPr>
        <w:rFonts w:ascii="Arial" w:eastAsia="Arial" w:hAnsi="Arial" w:cstheme="minorBidi" w:hint="default"/>
      </w:rPr>
    </w:lvl>
    <w:lvl w:ilvl="4">
      <w:numFmt w:val="bullet"/>
      <w:lvlText w:val="•"/>
      <w:lvlJc w:val="left"/>
      <w:pPr>
        <w:ind w:left="3256" w:hanging="284"/>
      </w:pPr>
      <w:rPr>
        <w:rFonts w:hint="default"/>
      </w:rPr>
    </w:lvl>
    <w:lvl w:ilvl="5">
      <w:numFmt w:val="bullet"/>
      <w:lvlText w:val="•"/>
      <w:lvlJc w:val="left"/>
      <w:pPr>
        <w:ind w:left="4404" w:hanging="284"/>
      </w:pPr>
      <w:rPr>
        <w:rFonts w:hint="default"/>
      </w:rPr>
    </w:lvl>
    <w:lvl w:ilvl="6">
      <w:numFmt w:val="bullet"/>
      <w:lvlText w:val="•"/>
      <w:lvlJc w:val="left"/>
      <w:pPr>
        <w:ind w:left="5552" w:hanging="284"/>
      </w:pPr>
      <w:rPr>
        <w:rFonts w:hint="default"/>
      </w:rPr>
    </w:lvl>
    <w:lvl w:ilvl="7">
      <w:numFmt w:val="bullet"/>
      <w:lvlText w:val="•"/>
      <w:lvlJc w:val="left"/>
      <w:pPr>
        <w:ind w:left="6701" w:hanging="284"/>
      </w:pPr>
      <w:rPr>
        <w:rFonts w:hint="default"/>
      </w:rPr>
    </w:lvl>
    <w:lvl w:ilvl="8">
      <w:numFmt w:val="bullet"/>
      <w:lvlText w:val="•"/>
      <w:lvlJc w:val="left"/>
      <w:pPr>
        <w:ind w:left="7849" w:hanging="284"/>
      </w:pPr>
      <w:rPr>
        <w:rFonts w:hint="default"/>
      </w:rPr>
    </w:lvl>
  </w:abstractNum>
  <w:abstractNum w:abstractNumId="1" w15:restartNumberingAfterBreak="0">
    <w:nsid w:val="0A743BF7"/>
    <w:multiLevelType w:val="hybridMultilevel"/>
    <w:tmpl w:val="935A46BE"/>
    <w:lvl w:ilvl="0" w:tplc="9E4C76B4">
      <w:start w:val="1"/>
      <w:numFmt w:val="lowerLetter"/>
      <w:lvlText w:val="(%1)"/>
      <w:lvlJc w:val="left"/>
      <w:pPr>
        <w:ind w:left="560" w:hanging="227"/>
      </w:pPr>
      <w:rPr>
        <w:rFonts w:ascii="Calibri" w:eastAsia="Calibri" w:hAnsi="Calibri" w:hint="default"/>
        <w:spacing w:val="-13"/>
        <w:w w:val="103"/>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04E16"/>
    <w:multiLevelType w:val="hybridMultilevel"/>
    <w:tmpl w:val="0DD4FE6A"/>
    <w:lvl w:ilvl="0" w:tplc="C2B2DCF2">
      <w:start w:val="1"/>
      <w:numFmt w:val="lowerRoman"/>
      <w:lvlText w:val="(%1)"/>
      <w:lvlJc w:val="left"/>
      <w:pPr>
        <w:ind w:left="787" w:hanging="227"/>
      </w:pPr>
      <w:rPr>
        <w:rFonts w:ascii="Calibri" w:eastAsia="Calibri" w:hAnsi="Calibri" w:hint="default"/>
        <w:spacing w:val="-9"/>
        <w:w w:val="103"/>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928CF"/>
    <w:multiLevelType w:val="multilevel"/>
    <w:tmpl w:val="3528BB94"/>
    <w:styleLink w:val="NumberingSchedule"/>
    <w:lvl w:ilvl="0">
      <w:start w:val="1"/>
      <w:numFmt w:val="decimal"/>
      <w:pStyle w:val="ScheduleHeading"/>
      <w:suff w:val="space"/>
      <w:lvlText w:val="SCHEDULE %1"/>
      <w:lvlJc w:val="left"/>
      <w:pPr>
        <w:ind w:left="0" w:firstLine="0"/>
      </w:pPr>
      <w:rPr>
        <w:rFonts w:ascii="Arial" w:hAnsi="Arial" w:hint="default"/>
        <w:b/>
        <w:i w:val="0"/>
        <w:sz w:val="21"/>
      </w:rPr>
    </w:lvl>
    <w:lvl w:ilvl="1">
      <w:start w:val="1"/>
      <w:numFmt w:val="none"/>
      <w:pStyle w:val="RestartNumberingSchedules"/>
      <w:suff w:val="nothing"/>
      <w:lvlText w:val="%2"/>
      <w:lvlJc w:val="left"/>
      <w:pPr>
        <w:ind w:left="-32767" w:firstLine="32767"/>
      </w:pPr>
      <w:rPr>
        <w:rFonts w:hint="default"/>
      </w:rPr>
    </w:lvl>
    <w:lvl w:ilvl="2">
      <w:start w:val="1"/>
      <w:numFmt w:val="decimal"/>
      <w:pStyle w:val="SchHeading1"/>
      <w:lvlText w:val="%3."/>
      <w:lvlJc w:val="left"/>
      <w:pPr>
        <w:tabs>
          <w:tab w:val="num" w:pos="720"/>
        </w:tabs>
        <w:ind w:left="720" w:hanging="720"/>
      </w:pPr>
      <w:rPr>
        <w:rFonts w:hint="default"/>
      </w:rPr>
    </w:lvl>
    <w:lvl w:ilvl="3">
      <w:start w:val="1"/>
      <w:numFmt w:val="decimal"/>
      <w:pStyle w:val="SchParagraph2"/>
      <w:lvlText w:val="%3.%4"/>
      <w:lvlJc w:val="left"/>
      <w:pPr>
        <w:tabs>
          <w:tab w:val="num" w:pos="720"/>
        </w:tabs>
        <w:ind w:left="720" w:hanging="720"/>
      </w:pPr>
      <w:rPr>
        <w:rFonts w:hint="default"/>
        <w:b w:val="0"/>
        <w:i w:val="0"/>
      </w:rPr>
    </w:lvl>
    <w:lvl w:ilvl="4">
      <w:start w:val="1"/>
      <w:numFmt w:val="lowerLetter"/>
      <w:pStyle w:val="SchParagraph3"/>
      <w:lvlText w:val="(%5)"/>
      <w:lvlJc w:val="left"/>
      <w:pPr>
        <w:tabs>
          <w:tab w:val="num" w:pos="1440"/>
        </w:tabs>
        <w:ind w:left="1440" w:hanging="720"/>
      </w:pPr>
      <w:rPr>
        <w:rFonts w:hint="default"/>
        <w:b w:val="0"/>
        <w:i w:val="0"/>
      </w:rPr>
    </w:lvl>
    <w:lvl w:ilvl="5">
      <w:start w:val="1"/>
      <w:numFmt w:val="lowerRoman"/>
      <w:pStyle w:val="SchParagraph4"/>
      <w:lvlText w:val="(%6)"/>
      <w:lvlJc w:val="left"/>
      <w:pPr>
        <w:tabs>
          <w:tab w:val="num" w:pos="2160"/>
        </w:tabs>
        <w:ind w:left="2160" w:hanging="720"/>
      </w:pPr>
      <w:rPr>
        <w:rFonts w:hint="default"/>
        <w:b w:val="0"/>
        <w:i w:val="0"/>
      </w:rPr>
    </w:lvl>
    <w:lvl w:ilvl="6">
      <w:start w:val="1"/>
      <w:numFmt w:val="upperLetter"/>
      <w:pStyle w:val="SchParagraph5"/>
      <w:lvlText w:val="(%7)"/>
      <w:lvlJc w:val="left"/>
      <w:pPr>
        <w:tabs>
          <w:tab w:val="num" w:pos="2880"/>
        </w:tabs>
        <w:ind w:left="3391" w:hanging="1231"/>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C86839"/>
    <w:multiLevelType w:val="hybridMultilevel"/>
    <w:tmpl w:val="35624248"/>
    <w:lvl w:ilvl="0" w:tplc="205CE134">
      <w:start w:val="13"/>
      <w:numFmt w:val="decimal"/>
      <w:lvlText w:val="%1."/>
      <w:lvlJc w:val="left"/>
      <w:pPr>
        <w:ind w:hanging="227"/>
      </w:pPr>
      <w:rPr>
        <w:rFonts w:ascii="Arial" w:eastAsia="Arial" w:hAnsi="Arial" w:hint="default"/>
        <w:color w:val="231F20"/>
        <w:spacing w:val="-6"/>
        <w:w w:val="73"/>
        <w:sz w:val="21"/>
        <w:szCs w:val="21"/>
      </w:rPr>
    </w:lvl>
    <w:lvl w:ilvl="1" w:tplc="80E8C32C">
      <w:start w:val="1"/>
      <w:numFmt w:val="lowerLetter"/>
      <w:lvlText w:val="(%2)"/>
      <w:lvlJc w:val="left"/>
      <w:pPr>
        <w:ind w:hanging="227"/>
      </w:pPr>
      <w:rPr>
        <w:rFonts w:ascii="Arial" w:eastAsia="Arial" w:hAnsi="Arial" w:hint="default"/>
        <w:color w:val="231F20"/>
        <w:spacing w:val="-13"/>
        <w:w w:val="93"/>
        <w:sz w:val="21"/>
        <w:szCs w:val="21"/>
      </w:rPr>
    </w:lvl>
    <w:lvl w:ilvl="2" w:tplc="282EAF48">
      <w:start w:val="1"/>
      <w:numFmt w:val="lowerRoman"/>
      <w:lvlText w:val="(%3)"/>
      <w:lvlJc w:val="left"/>
      <w:pPr>
        <w:ind w:hanging="227"/>
      </w:pPr>
      <w:rPr>
        <w:rFonts w:ascii="Arial" w:eastAsia="Arial" w:hAnsi="Arial" w:hint="default"/>
        <w:color w:val="231F20"/>
        <w:spacing w:val="-9"/>
        <w:w w:val="93"/>
        <w:sz w:val="21"/>
        <w:szCs w:val="21"/>
      </w:rPr>
    </w:lvl>
    <w:lvl w:ilvl="3" w:tplc="6818FFB2">
      <w:start w:val="1"/>
      <w:numFmt w:val="upperLetter"/>
      <w:lvlText w:val="(%4)"/>
      <w:lvlJc w:val="left"/>
      <w:pPr>
        <w:ind w:hanging="227"/>
      </w:pPr>
      <w:rPr>
        <w:rFonts w:ascii="Arial" w:eastAsia="Arial" w:hAnsi="Arial" w:hint="default"/>
        <w:color w:val="231F20"/>
        <w:spacing w:val="-8"/>
        <w:w w:val="93"/>
        <w:sz w:val="18"/>
        <w:szCs w:val="18"/>
      </w:rPr>
    </w:lvl>
    <w:lvl w:ilvl="4" w:tplc="06961E2E">
      <w:start w:val="1"/>
      <w:numFmt w:val="bullet"/>
      <w:lvlText w:val="•"/>
      <w:lvlJc w:val="left"/>
      <w:rPr>
        <w:rFonts w:hint="default"/>
      </w:rPr>
    </w:lvl>
    <w:lvl w:ilvl="5" w:tplc="13AE6EA4">
      <w:start w:val="1"/>
      <w:numFmt w:val="bullet"/>
      <w:lvlText w:val="•"/>
      <w:lvlJc w:val="left"/>
      <w:rPr>
        <w:rFonts w:hint="default"/>
      </w:rPr>
    </w:lvl>
    <w:lvl w:ilvl="6" w:tplc="17AA3298">
      <w:start w:val="1"/>
      <w:numFmt w:val="bullet"/>
      <w:lvlText w:val="•"/>
      <w:lvlJc w:val="left"/>
      <w:rPr>
        <w:rFonts w:hint="default"/>
      </w:rPr>
    </w:lvl>
    <w:lvl w:ilvl="7" w:tplc="52422608">
      <w:start w:val="1"/>
      <w:numFmt w:val="bullet"/>
      <w:lvlText w:val="•"/>
      <w:lvlJc w:val="left"/>
      <w:rPr>
        <w:rFonts w:hint="default"/>
      </w:rPr>
    </w:lvl>
    <w:lvl w:ilvl="8" w:tplc="751055A2">
      <w:start w:val="1"/>
      <w:numFmt w:val="bullet"/>
      <w:lvlText w:val="•"/>
      <w:lvlJc w:val="left"/>
      <w:rPr>
        <w:rFonts w:hint="default"/>
      </w:rPr>
    </w:lvl>
  </w:abstractNum>
  <w:abstractNum w:abstractNumId="5" w15:restartNumberingAfterBreak="0">
    <w:nsid w:val="23CD35EA"/>
    <w:multiLevelType w:val="hybridMultilevel"/>
    <w:tmpl w:val="0DD4FE6A"/>
    <w:lvl w:ilvl="0" w:tplc="C2B2DCF2">
      <w:start w:val="1"/>
      <w:numFmt w:val="lowerRoman"/>
      <w:lvlText w:val="(%1)"/>
      <w:lvlJc w:val="left"/>
      <w:pPr>
        <w:ind w:left="787" w:hanging="227"/>
      </w:pPr>
      <w:rPr>
        <w:rFonts w:ascii="Calibri" w:eastAsia="Calibri" w:hAnsi="Calibri" w:hint="default"/>
        <w:spacing w:val="-9"/>
        <w:w w:val="103"/>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A54350"/>
    <w:multiLevelType w:val="hybridMultilevel"/>
    <w:tmpl w:val="1A547D6E"/>
    <w:lvl w:ilvl="0" w:tplc="40E01B6A">
      <w:start w:val="1"/>
      <w:numFmt w:val="decimal"/>
      <w:lvlText w:val="%1."/>
      <w:lvlJc w:val="left"/>
      <w:pPr>
        <w:ind w:left="1553" w:hanging="284"/>
        <w:jc w:val="right"/>
      </w:pPr>
      <w:rPr>
        <w:rFonts w:ascii="Univers LT Std 45 Light" w:eastAsia="Univers LT Std 45 Light" w:hAnsi="Univers LT Std 45 Light" w:hint="default"/>
        <w:color w:val="231F20"/>
        <w:spacing w:val="-9"/>
        <w:sz w:val="17"/>
        <w:szCs w:val="17"/>
      </w:rPr>
    </w:lvl>
    <w:lvl w:ilvl="1" w:tplc="0BD2C508">
      <w:start w:val="1"/>
      <w:numFmt w:val="lowerLetter"/>
      <w:lvlText w:val="(%2)"/>
      <w:lvlJc w:val="left"/>
      <w:pPr>
        <w:ind w:left="1837" w:hanging="284"/>
      </w:pPr>
      <w:rPr>
        <w:rFonts w:ascii="Univers LT Std 45 Light" w:eastAsia="Univers LT Std 45 Light" w:hAnsi="Univers LT Std 45 Light" w:hint="default"/>
        <w:color w:val="231F20"/>
        <w:spacing w:val="-1"/>
        <w:sz w:val="17"/>
        <w:szCs w:val="17"/>
      </w:rPr>
    </w:lvl>
    <w:lvl w:ilvl="2" w:tplc="443E878E">
      <w:start w:val="1"/>
      <w:numFmt w:val="lowerRoman"/>
      <w:lvlText w:val="(%3)"/>
      <w:lvlJc w:val="left"/>
      <w:pPr>
        <w:ind w:left="2120" w:hanging="284"/>
      </w:pPr>
      <w:rPr>
        <w:rFonts w:ascii="Univers LT Std 45 Light" w:eastAsia="Univers LT Std 45 Light" w:hAnsi="Univers LT Std 45 Light" w:hint="default"/>
        <w:color w:val="231F20"/>
        <w:sz w:val="17"/>
        <w:szCs w:val="17"/>
      </w:rPr>
    </w:lvl>
    <w:lvl w:ilvl="3" w:tplc="D2B28D3E">
      <w:start w:val="1"/>
      <w:numFmt w:val="upperLetter"/>
      <w:lvlText w:val="(%4)"/>
      <w:lvlJc w:val="left"/>
      <w:pPr>
        <w:ind w:left="2552" w:hanging="262"/>
      </w:pPr>
      <w:rPr>
        <w:rFonts w:ascii="Univers LT Std 45 Light" w:eastAsia="Univers LT Std 45 Light" w:hAnsi="Univers LT Std 45 Light" w:hint="default"/>
        <w:color w:val="231F20"/>
        <w:spacing w:val="5"/>
        <w:sz w:val="17"/>
        <w:szCs w:val="17"/>
      </w:rPr>
    </w:lvl>
    <w:lvl w:ilvl="4" w:tplc="29EEDA4C">
      <w:start w:val="1"/>
      <w:numFmt w:val="bullet"/>
      <w:lvlText w:val="•"/>
      <w:lvlJc w:val="left"/>
      <w:pPr>
        <w:ind w:left="2007" w:hanging="262"/>
      </w:pPr>
      <w:rPr>
        <w:rFonts w:hint="default"/>
      </w:rPr>
    </w:lvl>
    <w:lvl w:ilvl="5" w:tplc="1F3C85A8">
      <w:start w:val="1"/>
      <w:numFmt w:val="bullet"/>
      <w:lvlText w:val="•"/>
      <w:lvlJc w:val="left"/>
      <w:pPr>
        <w:ind w:left="2120" w:hanging="262"/>
      </w:pPr>
      <w:rPr>
        <w:rFonts w:hint="default"/>
      </w:rPr>
    </w:lvl>
    <w:lvl w:ilvl="6" w:tplc="DD8CDBD8">
      <w:start w:val="1"/>
      <w:numFmt w:val="bullet"/>
      <w:lvlText w:val="•"/>
      <w:lvlJc w:val="left"/>
      <w:pPr>
        <w:ind w:left="2120" w:hanging="262"/>
      </w:pPr>
      <w:rPr>
        <w:rFonts w:hint="default"/>
      </w:rPr>
    </w:lvl>
    <w:lvl w:ilvl="7" w:tplc="994EB29E">
      <w:start w:val="1"/>
      <w:numFmt w:val="bullet"/>
      <w:lvlText w:val="•"/>
      <w:lvlJc w:val="left"/>
      <w:pPr>
        <w:ind w:left="2289" w:hanging="262"/>
      </w:pPr>
      <w:rPr>
        <w:rFonts w:hint="default"/>
      </w:rPr>
    </w:lvl>
    <w:lvl w:ilvl="8" w:tplc="D06C4DBE">
      <w:start w:val="1"/>
      <w:numFmt w:val="bullet"/>
      <w:lvlText w:val="•"/>
      <w:lvlJc w:val="left"/>
      <w:pPr>
        <w:ind w:left="2290" w:hanging="262"/>
      </w:pPr>
      <w:rPr>
        <w:rFonts w:hint="default"/>
      </w:rPr>
    </w:lvl>
  </w:abstractNum>
  <w:abstractNum w:abstractNumId="7" w15:restartNumberingAfterBreak="0">
    <w:nsid w:val="444E27BF"/>
    <w:multiLevelType w:val="hybridMultilevel"/>
    <w:tmpl w:val="2490FA26"/>
    <w:lvl w:ilvl="0" w:tplc="4E8EF8EE">
      <w:start w:val="1"/>
      <w:numFmt w:val="bullet"/>
      <w:lvlText w:val="•"/>
      <w:lvlJc w:val="left"/>
      <w:pPr>
        <w:ind w:left="564" w:hanging="227"/>
      </w:pPr>
      <w:rPr>
        <w:rFonts w:ascii="Calibri" w:eastAsia="Calibri" w:hAnsi="Calibri" w:hint="default"/>
        <w:w w:val="59"/>
        <w:sz w:val="18"/>
        <w:szCs w:val="18"/>
      </w:rPr>
    </w:lvl>
    <w:lvl w:ilvl="1" w:tplc="630631D6">
      <w:start w:val="1"/>
      <w:numFmt w:val="bullet"/>
      <w:lvlText w:val="•"/>
      <w:lvlJc w:val="left"/>
      <w:pPr>
        <w:ind w:left="1578" w:hanging="227"/>
      </w:pPr>
      <w:rPr>
        <w:rFonts w:hint="default"/>
      </w:rPr>
    </w:lvl>
    <w:lvl w:ilvl="2" w:tplc="34843146">
      <w:start w:val="1"/>
      <w:numFmt w:val="bullet"/>
      <w:lvlText w:val="•"/>
      <w:lvlJc w:val="left"/>
      <w:pPr>
        <w:ind w:left="2592" w:hanging="227"/>
      </w:pPr>
      <w:rPr>
        <w:rFonts w:hint="default"/>
      </w:rPr>
    </w:lvl>
    <w:lvl w:ilvl="3" w:tplc="BBA89A42">
      <w:start w:val="1"/>
      <w:numFmt w:val="bullet"/>
      <w:lvlText w:val="•"/>
      <w:lvlJc w:val="left"/>
      <w:pPr>
        <w:ind w:left="3606" w:hanging="227"/>
      </w:pPr>
      <w:rPr>
        <w:rFonts w:hint="default"/>
      </w:rPr>
    </w:lvl>
    <w:lvl w:ilvl="4" w:tplc="81AAB944">
      <w:start w:val="1"/>
      <w:numFmt w:val="bullet"/>
      <w:lvlText w:val="•"/>
      <w:lvlJc w:val="left"/>
      <w:pPr>
        <w:ind w:left="4620" w:hanging="227"/>
      </w:pPr>
      <w:rPr>
        <w:rFonts w:hint="default"/>
      </w:rPr>
    </w:lvl>
    <w:lvl w:ilvl="5" w:tplc="FE408D64">
      <w:start w:val="1"/>
      <w:numFmt w:val="bullet"/>
      <w:lvlText w:val="•"/>
      <w:lvlJc w:val="left"/>
      <w:pPr>
        <w:ind w:left="5634" w:hanging="227"/>
      </w:pPr>
      <w:rPr>
        <w:rFonts w:hint="default"/>
      </w:rPr>
    </w:lvl>
    <w:lvl w:ilvl="6" w:tplc="B642B730">
      <w:start w:val="1"/>
      <w:numFmt w:val="bullet"/>
      <w:lvlText w:val="•"/>
      <w:lvlJc w:val="left"/>
      <w:pPr>
        <w:ind w:left="6648" w:hanging="227"/>
      </w:pPr>
      <w:rPr>
        <w:rFonts w:hint="default"/>
      </w:rPr>
    </w:lvl>
    <w:lvl w:ilvl="7" w:tplc="3C5260F0">
      <w:start w:val="1"/>
      <w:numFmt w:val="bullet"/>
      <w:lvlText w:val="•"/>
      <w:lvlJc w:val="left"/>
      <w:pPr>
        <w:ind w:left="7663" w:hanging="227"/>
      </w:pPr>
      <w:rPr>
        <w:rFonts w:hint="default"/>
      </w:rPr>
    </w:lvl>
    <w:lvl w:ilvl="8" w:tplc="46EAF716">
      <w:start w:val="1"/>
      <w:numFmt w:val="bullet"/>
      <w:lvlText w:val="•"/>
      <w:lvlJc w:val="left"/>
      <w:pPr>
        <w:ind w:left="8677" w:hanging="227"/>
      </w:pPr>
      <w:rPr>
        <w:rFonts w:hint="default"/>
      </w:rPr>
    </w:lvl>
  </w:abstractNum>
  <w:abstractNum w:abstractNumId="8" w15:restartNumberingAfterBreak="0">
    <w:nsid w:val="46894A4F"/>
    <w:multiLevelType w:val="hybridMultilevel"/>
    <w:tmpl w:val="1318ED00"/>
    <w:lvl w:ilvl="0" w:tplc="C900815A">
      <w:start w:val="1"/>
      <w:numFmt w:val="bullet"/>
      <w:lvlText w:val="–"/>
      <w:lvlJc w:val="left"/>
      <w:pPr>
        <w:ind w:left="1780" w:hanging="170"/>
      </w:pPr>
      <w:rPr>
        <w:rFonts w:ascii="Univers LT Std 45 Light" w:eastAsia="Univers LT Std 45 Light" w:hAnsi="Univers LT Std 45 Light" w:hint="default"/>
        <w:color w:val="231F20"/>
        <w:sz w:val="17"/>
        <w:szCs w:val="17"/>
      </w:rPr>
    </w:lvl>
    <w:lvl w:ilvl="1" w:tplc="C5B0AD56">
      <w:start w:val="1"/>
      <w:numFmt w:val="bullet"/>
      <w:lvlText w:val="•"/>
      <w:lvlJc w:val="left"/>
      <w:pPr>
        <w:ind w:left="2876" w:hanging="170"/>
      </w:pPr>
      <w:rPr>
        <w:rFonts w:hint="default"/>
      </w:rPr>
    </w:lvl>
    <w:lvl w:ilvl="2" w:tplc="2FCC0AD8">
      <w:start w:val="1"/>
      <w:numFmt w:val="bullet"/>
      <w:lvlText w:val="•"/>
      <w:lvlJc w:val="left"/>
      <w:pPr>
        <w:ind w:left="3973" w:hanging="170"/>
      </w:pPr>
      <w:rPr>
        <w:rFonts w:hint="default"/>
      </w:rPr>
    </w:lvl>
    <w:lvl w:ilvl="3" w:tplc="6F1E50AC">
      <w:start w:val="1"/>
      <w:numFmt w:val="bullet"/>
      <w:lvlText w:val="•"/>
      <w:lvlJc w:val="left"/>
      <w:pPr>
        <w:ind w:left="5070" w:hanging="170"/>
      </w:pPr>
      <w:rPr>
        <w:rFonts w:hint="default"/>
      </w:rPr>
    </w:lvl>
    <w:lvl w:ilvl="4" w:tplc="4DB6AA1A">
      <w:start w:val="1"/>
      <w:numFmt w:val="bullet"/>
      <w:lvlText w:val="•"/>
      <w:lvlJc w:val="left"/>
      <w:pPr>
        <w:ind w:left="6166" w:hanging="170"/>
      </w:pPr>
      <w:rPr>
        <w:rFonts w:hint="default"/>
      </w:rPr>
    </w:lvl>
    <w:lvl w:ilvl="5" w:tplc="22B006B0">
      <w:start w:val="1"/>
      <w:numFmt w:val="bullet"/>
      <w:lvlText w:val="•"/>
      <w:lvlJc w:val="left"/>
      <w:pPr>
        <w:ind w:left="7263" w:hanging="170"/>
      </w:pPr>
      <w:rPr>
        <w:rFonts w:hint="default"/>
      </w:rPr>
    </w:lvl>
    <w:lvl w:ilvl="6" w:tplc="D110CEAC">
      <w:start w:val="1"/>
      <w:numFmt w:val="bullet"/>
      <w:lvlText w:val="•"/>
      <w:lvlJc w:val="left"/>
      <w:pPr>
        <w:ind w:left="8359" w:hanging="170"/>
      </w:pPr>
      <w:rPr>
        <w:rFonts w:hint="default"/>
      </w:rPr>
    </w:lvl>
    <w:lvl w:ilvl="7" w:tplc="53CC527A">
      <w:start w:val="1"/>
      <w:numFmt w:val="bullet"/>
      <w:lvlText w:val="•"/>
      <w:lvlJc w:val="left"/>
      <w:pPr>
        <w:ind w:left="9456" w:hanging="170"/>
      </w:pPr>
      <w:rPr>
        <w:rFonts w:hint="default"/>
      </w:rPr>
    </w:lvl>
    <w:lvl w:ilvl="8" w:tplc="835CBFFC">
      <w:start w:val="1"/>
      <w:numFmt w:val="bullet"/>
      <w:lvlText w:val="•"/>
      <w:lvlJc w:val="left"/>
      <w:pPr>
        <w:ind w:left="10552" w:hanging="170"/>
      </w:pPr>
      <w:rPr>
        <w:rFonts w:hint="default"/>
      </w:rPr>
    </w:lvl>
  </w:abstractNum>
  <w:abstractNum w:abstractNumId="9" w15:restartNumberingAfterBreak="0">
    <w:nsid w:val="48386109"/>
    <w:multiLevelType w:val="hybridMultilevel"/>
    <w:tmpl w:val="65A28DDC"/>
    <w:lvl w:ilvl="0" w:tplc="64CC3AFE">
      <w:start w:val="13"/>
      <w:numFmt w:val="decimal"/>
      <w:lvlText w:val="%1."/>
      <w:lvlJc w:val="left"/>
      <w:pPr>
        <w:ind w:left="333" w:hanging="227"/>
      </w:pPr>
      <w:rPr>
        <w:rFonts w:ascii="Arial" w:eastAsia="Calibri" w:hAnsi="Arial" w:cs="Arial" w:hint="default"/>
        <w:spacing w:val="-6"/>
        <w:w w:val="80"/>
        <w:sz w:val="21"/>
        <w:szCs w:val="21"/>
      </w:rPr>
    </w:lvl>
    <w:lvl w:ilvl="1" w:tplc="A69C5F08">
      <w:start w:val="1"/>
      <w:numFmt w:val="lowerLetter"/>
      <w:lvlText w:val="(%2)"/>
      <w:lvlJc w:val="left"/>
      <w:pPr>
        <w:ind w:left="560" w:hanging="227"/>
      </w:pPr>
      <w:rPr>
        <w:rFonts w:ascii="Arial" w:eastAsia="Calibri" w:hAnsi="Arial" w:cs="Arial" w:hint="default"/>
        <w:spacing w:val="-13"/>
        <w:w w:val="103"/>
        <w:sz w:val="21"/>
        <w:szCs w:val="21"/>
      </w:rPr>
    </w:lvl>
    <w:lvl w:ilvl="2" w:tplc="D7D0C9EA">
      <w:start w:val="1"/>
      <w:numFmt w:val="lowerRoman"/>
      <w:lvlText w:val="(%3)"/>
      <w:lvlJc w:val="left"/>
      <w:pPr>
        <w:ind w:left="787" w:hanging="227"/>
      </w:pPr>
      <w:rPr>
        <w:rFonts w:ascii="Arial" w:eastAsia="Calibri" w:hAnsi="Arial" w:cs="Arial" w:hint="default"/>
        <w:spacing w:val="-9"/>
        <w:w w:val="103"/>
        <w:sz w:val="21"/>
        <w:szCs w:val="21"/>
      </w:rPr>
    </w:lvl>
    <w:lvl w:ilvl="3" w:tplc="B0043F84">
      <w:start w:val="1"/>
      <w:numFmt w:val="upperLetter"/>
      <w:lvlText w:val="(%4)"/>
      <w:lvlJc w:val="left"/>
      <w:pPr>
        <w:ind w:left="1014" w:hanging="227"/>
      </w:pPr>
      <w:rPr>
        <w:rFonts w:ascii="Calibri" w:eastAsia="Calibri" w:hAnsi="Calibri" w:hint="default"/>
        <w:spacing w:val="-8"/>
        <w:w w:val="103"/>
        <w:sz w:val="18"/>
        <w:szCs w:val="18"/>
      </w:rPr>
    </w:lvl>
    <w:lvl w:ilvl="4" w:tplc="FC6EBE26">
      <w:start w:val="1"/>
      <w:numFmt w:val="bullet"/>
      <w:lvlText w:val="•"/>
      <w:lvlJc w:val="left"/>
      <w:pPr>
        <w:ind w:left="790" w:hanging="227"/>
      </w:pPr>
      <w:rPr>
        <w:rFonts w:hint="default"/>
      </w:rPr>
    </w:lvl>
    <w:lvl w:ilvl="5" w:tplc="4B6A6FE2">
      <w:start w:val="1"/>
      <w:numFmt w:val="bullet"/>
      <w:lvlText w:val="•"/>
      <w:lvlJc w:val="left"/>
      <w:pPr>
        <w:ind w:left="1014" w:hanging="227"/>
      </w:pPr>
      <w:rPr>
        <w:rFonts w:hint="default"/>
      </w:rPr>
    </w:lvl>
    <w:lvl w:ilvl="6" w:tplc="97704BBC">
      <w:start w:val="1"/>
      <w:numFmt w:val="bullet"/>
      <w:lvlText w:val="•"/>
      <w:lvlJc w:val="left"/>
      <w:pPr>
        <w:ind w:left="2896" w:hanging="227"/>
      </w:pPr>
      <w:rPr>
        <w:rFonts w:hint="default"/>
      </w:rPr>
    </w:lvl>
    <w:lvl w:ilvl="7" w:tplc="C818E804">
      <w:start w:val="1"/>
      <w:numFmt w:val="bullet"/>
      <w:lvlText w:val="•"/>
      <w:lvlJc w:val="left"/>
      <w:pPr>
        <w:ind w:left="4778" w:hanging="227"/>
      </w:pPr>
      <w:rPr>
        <w:rFonts w:hint="default"/>
      </w:rPr>
    </w:lvl>
    <w:lvl w:ilvl="8" w:tplc="9ADC604E">
      <w:start w:val="1"/>
      <w:numFmt w:val="bullet"/>
      <w:lvlText w:val="•"/>
      <w:lvlJc w:val="left"/>
      <w:pPr>
        <w:ind w:left="6660" w:hanging="227"/>
      </w:pPr>
      <w:rPr>
        <w:rFonts w:hint="default"/>
      </w:rPr>
    </w:lvl>
  </w:abstractNum>
  <w:abstractNum w:abstractNumId="10" w15:restartNumberingAfterBreak="0">
    <w:nsid w:val="51656161"/>
    <w:multiLevelType w:val="multilevel"/>
    <w:tmpl w:val="00000885"/>
    <w:lvl w:ilvl="0">
      <w:start w:val="1"/>
      <w:numFmt w:val="decimal"/>
      <w:lvlText w:val="%1."/>
      <w:lvlJc w:val="left"/>
      <w:pPr>
        <w:ind w:left="393" w:hanging="284"/>
      </w:pPr>
      <w:rPr>
        <w:rFonts w:ascii="Univers LT Std 45 Light" w:hAnsi="Univers LT Std 45 Light" w:cs="Univers LT Std 45 Light"/>
        <w:b w:val="0"/>
        <w:bCs w:val="0"/>
        <w:color w:val="231F20"/>
        <w:spacing w:val="-9"/>
        <w:sz w:val="17"/>
        <w:szCs w:val="17"/>
      </w:rPr>
    </w:lvl>
    <w:lvl w:ilvl="1">
      <w:start w:val="1"/>
      <w:numFmt w:val="lowerLetter"/>
      <w:lvlText w:val="(%2)"/>
      <w:lvlJc w:val="left"/>
      <w:pPr>
        <w:ind w:left="677" w:hanging="284"/>
      </w:pPr>
      <w:rPr>
        <w:rFonts w:ascii="Univers LT Std 45 Light" w:hAnsi="Univers LT Std 45 Light" w:cs="Univers LT Std 45 Light"/>
        <w:b w:val="0"/>
        <w:bCs w:val="0"/>
        <w:color w:val="231F20"/>
        <w:spacing w:val="-1"/>
        <w:sz w:val="17"/>
        <w:szCs w:val="17"/>
      </w:rPr>
    </w:lvl>
    <w:lvl w:ilvl="2">
      <w:start w:val="1"/>
      <w:numFmt w:val="lowerRoman"/>
      <w:lvlText w:val="(%3)"/>
      <w:lvlJc w:val="left"/>
      <w:pPr>
        <w:ind w:left="960" w:hanging="284"/>
      </w:pPr>
      <w:rPr>
        <w:rFonts w:ascii="Univers LT Std 45 Light" w:hAnsi="Univers LT Std 45 Light" w:cs="Univers LT Std 45 Light"/>
        <w:b w:val="0"/>
        <w:bCs w:val="0"/>
        <w:color w:val="231F20"/>
        <w:sz w:val="17"/>
        <w:szCs w:val="17"/>
      </w:rPr>
    </w:lvl>
    <w:lvl w:ilvl="3">
      <w:numFmt w:val="bullet"/>
      <w:lvlText w:val="•"/>
      <w:lvlJc w:val="left"/>
      <w:pPr>
        <w:ind w:left="2108" w:hanging="284"/>
      </w:pPr>
    </w:lvl>
    <w:lvl w:ilvl="4">
      <w:numFmt w:val="bullet"/>
      <w:lvlText w:val="•"/>
      <w:lvlJc w:val="left"/>
      <w:pPr>
        <w:ind w:left="3256" w:hanging="284"/>
      </w:pPr>
    </w:lvl>
    <w:lvl w:ilvl="5">
      <w:numFmt w:val="bullet"/>
      <w:lvlText w:val="•"/>
      <w:lvlJc w:val="left"/>
      <w:pPr>
        <w:ind w:left="4404" w:hanging="284"/>
      </w:pPr>
    </w:lvl>
    <w:lvl w:ilvl="6">
      <w:numFmt w:val="bullet"/>
      <w:lvlText w:val="•"/>
      <w:lvlJc w:val="left"/>
      <w:pPr>
        <w:ind w:left="5552" w:hanging="284"/>
      </w:pPr>
    </w:lvl>
    <w:lvl w:ilvl="7">
      <w:numFmt w:val="bullet"/>
      <w:lvlText w:val="•"/>
      <w:lvlJc w:val="left"/>
      <w:pPr>
        <w:ind w:left="6701" w:hanging="284"/>
      </w:pPr>
    </w:lvl>
    <w:lvl w:ilvl="8">
      <w:numFmt w:val="bullet"/>
      <w:lvlText w:val="•"/>
      <w:lvlJc w:val="left"/>
      <w:pPr>
        <w:ind w:left="7849" w:hanging="284"/>
      </w:pPr>
    </w:lvl>
  </w:abstractNum>
  <w:abstractNum w:abstractNumId="11" w15:restartNumberingAfterBreak="0">
    <w:nsid w:val="55DC16D9"/>
    <w:multiLevelType w:val="multilevel"/>
    <w:tmpl w:val="00000885"/>
    <w:lvl w:ilvl="0">
      <w:start w:val="1"/>
      <w:numFmt w:val="decimal"/>
      <w:lvlText w:val="%1."/>
      <w:lvlJc w:val="left"/>
      <w:pPr>
        <w:ind w:left="393" w:hanging="284"/>
      </w:pPr>
      <w:rPr>
        <w:rFonts w:ascii="Univers LT Std 45 Light" w:hAnsi="Univers LT Std 45 Light" w:cs="Univers LT Std 45 Light"/>
        <w:b w:val="0"/>
        <w:bCs w:val="0"/>
        <w:color w:val="231F20"/>
        <w:spacing w:val="-9"/>
        <w:sz w:val="17"/>
        <w:szCs w:val="17"/>
      </w:rPr>
    </w:lvl>
    <w:lvl w:ilvl="1">
      <w:start w:val="1"/>
      <w:numFmt w:val="lowerLetter"/>
      <w:lvlText w:val="(%2)"/>
      <w:lvlJc w:val="left"/>
      <w:pPr>
        <w:ind w:left="677" w:hanging="284"/>
      </w:pPr>
      <w:rPr>
        <w:rFonts w:ascii="Univers LT Std 45 Light" w:hAnsi="Univers LT Std 45 Light" w:cs="Univers LT Std 45 Light"/>
        <w:b w:val="0"/>
        <w:bCs w:val="0"/>
        <w:color w:val="231F20"/>
        <w:spacing w:val="-1"/>
        <w:sz w:val="17"/>
        <w:szCs w:val="17"/>
      </w:rPr>
    </w:lvl>
    <w:lvl w:ilvl="2">
      <w:start w:val="1"/>
      <w:numFmt w:val="lowerRoman"/>
      <w:lvlText w:val="(%3)"/>
      <w:lvlJc w:val="left"/>
      <w:pPr>
        <w:ind w:left="960" w:hanging="284"/>
      </w:pPr>
      <w:rPr>
        <w:rFonts w:ascii="Univers LT Std 45 Light" w:hAnsi="Univers LT Std 45 Light" w:cs="Univers LT Std 45 Light"/>
        <w:b w:val="0"/>
        <w:bCs w:val="0"/>
        <w:color w:val="231F20"/>
        <w:sz w:val="17"/>
        <w:szCs w:val="17"/>
      </w:rPr>
    </w:lvl>
    <w:lvl w:ilvl="3">
      <w:numFmt w:val="bullet"/>
      <w:lvlText w:val="•"/>
      <w:lvlJc w:val="left"/>
      <w:pPr>
        <w:ind w:left="2108" w:hanging="284"/>
      </w:pPr>
    </w:lvl>
    <w:lvl w:ilvl="4">
      <w:numFmt w:val="bullet"/>
      <w:lvlText w:val="•"/>
      <w:lvlJc w:val="left"/>
      <w:pPr>
        <w:ind w:left="3256" w:hanging="284"/>
      </w:pPr>
    </w:lvl>
    <w:lvl w:ilvl="5">
      <w:numFmt w:val="bullet"/>
      <w:lvlText w:val="•"/>
      <w:lvlJc w:val="left"/>
      <w:pPr>
        <w:ind w:left="4404" w:hanging="284"/>
      </w:pPr>
    </w:lvl>
    <w:lvl w:ilvl="6">
      <w:numFmt w:val="bullet"/>
      <w:lvlText w:val="•"/>
      <w:lvlJc w:val="left"/>
      <w:pPr>
        <w:ind w:left="5552" w:hanging="284"/>
      </w:pPr>
    </w:lvl>
    <w:lvl w:ilvl="7">
      <w:numFmt w:val="bullet"/>
      <w:lvlText w:val="•"/>
      <w:lvlJc w:val="left"/>
      <w:pPr>
        <w:ind w:left="6701" w:hanging="284"/>
      </w:pPr>
    </w:lvl>
    <w:lvl w:ilvl="8">
      <w:numFmt w:val="bullet"/>
      <w:lvlText w:val="•"/>
      <w:lvlJc w:val="left"/>
      <w:pPr>
        <w:ind w:left="7849" w:hanging="284"/>
      </w:pPr>
    </w:lvl>
  </w:abstractNum>
  <w:abstractNum w:abstractNumId="12" w15:restartNumberingAfterBreak="0">
    <w:nsid w:val="59155065"/>
    <w:multiLevelType w:val="hybridMultilevel"/>
    <w:tmpl w:val="EC12FA20"/>
    <w:lvl w:ilvl="0" w:tplc="40E62C4A">
      <w:start w:val="11"/>
      <w:numFmt w:val="decimal"/>
      <w:lvlText w:val="%1"/>
      <w:lvlJc w:val="left"/>
      <w:pPr>
        <w:ind w:left="278" w:hanging="165"/>
      </w:pPr>
      <w:rPr>
        <w:rFonts w:ascii="Calibri" w:eastAsia="Calibri" w:hAnsi="Calibri" w:hint="default"/>
        <w:spacing w:val="-10"/>
        <w:w w:val="80"/>
        <w:sz w:val="18"/>
        <w:szCs w:val="18"/>
      </w:rPr>
    </w:lvl>
    <w:lvl w:ilvl="1" w:tplc="A0DEDA86">
      <w:start w:val="1"/>
      <w:numFmt w:val="bullet"/>
      <w:lvlText w:val="•"/>
      <w:lvlJc w:val="left"/>
      <w:pPr>
        <w:ind w:left="583" w:hanging="165"/>
      </w:pPr>
      <w:rPr>
        <w:rFonts w:hint="default"/>
      </w:rPr>
    </w:lvl>
    <w:lvl w:ilvl="2" w:tplc="F620EC5E">
      <w:start w:val="1"/>
      <w:numFmt w:val="bullet"/>
      <w:lvlText w:val="•"/>
      <w:lvlJc w:val="left"/>
      <w:pPr>
        <w:ind w:left="889" w:hanging="165"/>
      </w:pPr>
      <w:rPr>
        <w:rFonts w:hint="default"/>
      </w:rPr>
    </w:lvl>
    <w:lvl w:ilvl="3" w:tplc="619AE5D0">
      <w:start w:val="1"/>
      <w:numFmt w:val="bullet"/>
      <w:lvlText w:val="•"/>
      <w:lvlJc w:val="left"/>
      <w:pPr>
        <w:ind w:left="1195" w:hanging="165"/>
      </w:pPr>
      <w:rPr>
        <w:rFonts w:hint="default"/>
      </w:rPr>
    </w:lvl>
    <w:lvl w:ilvl="4" w:tplc="1AAC803C">
      <w:start w:val="1"/>
      <w:numFmt w:val="bullet"/>
      <w:lvlText w:val="•"/>
      <w:lvlJc w:val="left"/>
      <w:pPr>
        <w:ind w:left="1500" w:hanging="165"/>
      </w:pPr>
      <w:rPr>
        <w:rFonts w:hint="default"/>
      </w:rPr>
    </w:lvl>
    <w:lvl w:ilvl="5" w:tplc="FFC255AA">
      <w:start w:val="1"/>
      <w:numFmt w:val="bullet"/>
      <w:lvlText w:val="•"/>
      <w:lvlJc w:val="left"/>
      <w:pPr>
        <w:ind w:left="1806" w:hanging="165"/>
      </w:pPr>
      <w:rPr>
        <w:rFonts w:hint="default"/>
      </w:rPr>
    </w:lvl>
    <w:lvl w:ilvl="6" w:tplc="D8BAD702">
      <w:start w:val="1"/>
      <w:numFmt w:val="bullet"/>
      <w:lvlText w:val="•"/>
      <w:lvlJc w:val="left"/>
      <w:pPr>
        <w:ind w:left="2112" w:hanging="165"/>
      </w:pPr>
      <w:rPr>
        <w:rFonts w:hint="default"/>
      </w:rPr>
    </w:lvl>
    <w:lvl w:ilvl="7" w:tplc="0030A94A">
      <w:start w:val="1"/>
      <w:numFmt w:val="bullet"/>
      <w:lvlText w:val="•"/>
      <w:lvlJc w:val="left"/>
      <w:pPr>
        <w:ind w:left="2417" w:hanging="165"/>
      </w:pPr>
      <w:rPr>
        <w:rFonts w:hint="default"/>
      </w:rPr>
    </w:lvl>
    <w:lvl w:ilvl="8" w:tplc="19C85ADE">
      <w:start w:val="1"/>
      <w:numFmt w:val="bullet"/>
      <w:lvlText w:val="•"/>
      <w:lvlJc w:val="left"/>
      <w:pPr>
        <w:ind w:left="2723" w:hanging="165"/>
      </w:pPr>
      <w:rPr>
        <w:rFonts w:hint="default"/>
      </w:rPr>
    </w:lvl>
  </w:abstractNum>
  <w:abstractNum w:abstractNumId="13" w15:restartNumberingAfterBreak="0">
    <w:nsid w:val="59C23928"/>
    <w:multiLevelType w:val="hybridMultilevel"/>
    <w:tmpl w:val="935A46BE"/>
    <w:lvl w:ilvl="0" w:tplc="9E4C76B4">
      <w:start w:val="1"/>
      <w:numFmt w:val="lowerLetter"/>
      <w:lvlText w:val="(%1)"/>
      <w:lvlJc w:val="left"/>
      <w:pPr>
        <w:ind w:left="560" w:hanging="227"/>
      </w:pPr>
      <w:rPr>
        <w:rFonts w:ascii="Calibri" w:eastAsia="Calibri" w:hAnsi="Calibri" w:hint="default"/>
        <w:spacing w:val="-13"/>
        <w:w w:val="103"/>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4C61A7"/>
    <w:multiLevelType w:val="hybridMultilevel"/>
    <w:tmpl w:val="0A7CA290"/>
    <w:lvl w:ilvl="0" w:tplc="190E7FBA">
      <w:start w:val="1"/>
      <w:numFmt w:val="bullet"/>
      <w:lvlText w:val="–"/>
      <w:lvlJc w:val="left"/>
      <w:pPr>
        <w:ind w:left="1609" w:hanging="170"/>
      </w:pPr>
      <w:rPr>
        <w:rFonts w:ascii="Univers LT Std 45 Light" w:eastAsia="Univers LT Std 45 Light" w:hAnsi="Univers LT Std 45 Light" w:hint="default"/>
        <w:color w:val="231F20"/>
        <w:sz w:val="17"/>
        <w:szCs w:val="17"/>
      </w:rPr>
    </w:lvl>
    <w:lvl w:ilvl="1" w:tplc="5FA84DE0">
      <w:start w:val="1"/>
      <w:numFmt w:val="bullet"/>
      <w:lvlText w:val="•"/>
      <w:lvlJc w:val="left"/>
      <w:pPr>
        <w:ind w:left="2723" w:hanging="170"/>
      </w:pPr>
      <w:rPr>
        <w:rFonts w:hint="default"/>
      </w:rPr>
    </w:lvl>
    <w:lvl w:ilvl="2" w:tplc="08646764">
      <w:start w:val="1"/>
      <w:numFmt w:val="bullet"/>
      <w:lvlText w:val="•"/>
      <w:lvlJc w:val="left"/>
      <w:pPr>
        <w:ind w:left="3837" w:hanging="170"/>
      </w:pPr>
      <w:rPr>
        <w:rFonts w:hint="default"/>
      </w:rPr>
    </w:lvl>
    <w:lvl w:ilvl="3" w:tplc="FAFC636A">
      <w:start w:val="1"/>
      <w:numFmt w:val="bullet"/>
      <w:lvlText w:val="•"/>
      <w:lvlJc w:val="left"/>
      <w:pPr>
        <w:ind w:left="4950" w:hanging="170"/>
      </w:pPr>
      <w:rPr>
        <w:rFonts w:hint="default"/>
      </w:rPr>
    </w:lvl>
    <w:lvl w:ilvl="4" w:tplc="71CAE608">
      <w:start w:val="1"/>
      <w:numFmt w:val="bullet"/>
      <w:lvlText w:val="•"/>
      <w:lvlJc w:val="left"/>
      <w:pPr>
        <w:ind w:left="6064" w:hanging="170"/>
      </w:pPr>
      <w:rPr>
        <w:rFonts w:hint="default"/>
      </w:rPr>
    </w:lvl>
    <w:lvl w:ilvl="5" w:tplc="645816EC">
      <w:start w:val="1"/>
      <w:numFmt w:val="bullet"/>
      <w:lvlText w:val="•"/>
      <w:lvlJc w:val="left"/>
      <w:pPr>
        <w:ind w:left="7177" w:hanging="170"/>
      </w:pPr>
      <w:rPr>
        <w:rFonts w:hint="default"/>
      </w:rPr>
    </w:lvl>
    <w:lvl w:ilvl="6" w:tplc="B5E22968">
      <w:start w:val="1"/>
      <w:numFmt w:val="bullet"/>
      <w:lvlText w:val="•"/>
      <w:lvlJc w:val="left"/>
      <w:pPr>
        <w:ind w:left="8291" w:hanging="170"/>
      </w:pPr>
      <w:rPr>
        <w:rFonts w:hint="default"/>
      </w:rPr>
    </w:lvl>
    <w:lvl w:ilvl="7" w:tplc="CBD2F20C">
      <w:start w:val="1"/>
      <w:numFmt w:val="bullet"/>
      <w:lvlText w:val="•"/>
      <w:lvlJc w:val="left"/>
      <w:pPr>
        <w:ind w:left="9404" w:hanging="170"/>
      </w:pPr>
      <w:rPr>
        <w:rFonts w:hint="default"/>
      </w:rPr>
    </w:lvl>
    <w:lvl w:ilvl="8" w:tplc="61347E24">
      <w:start w:val="1"/>
      <w:numFmt w:val="bullet"/>
      <w:lvlText w:val="•"/>
      <w:lvlJc w:val="left"/>
      <w:pPr>
        <w:ind w:left="10518" w:hanging="170"/>
      </w:pPr>
      <w:rPr>
        <w:rFonts w:hint="default"/>
      </w:rPr>
    </w:lvl>
  </w:abstractNum>
  <w:abstractNum w:abstractNumId="15" w15:restartNumberingAfterBreak="0">
    <w:nsid w:val="5F4346EA"/>
    <w:multiLevelType w:val="hybridMultilevel"/>
    <w:tmpl w:val="7B1C5798"/>
    <w:lvl w:ilvl="0" w:tplc="B8A64F8A">
      <w:start w:val="1"/>
      <w:numFmt w:val="decimal"/>
      <w:lvlText w:val="%1."/>
      <w:lvlJc w:val="left"/>
      <w:pPr>
        <w:ind w:left="333" w:hanging="227"/>
      </w:pPr>
      <w:rPr>
        <w:rFonts w:ascii="Calibri" w:eastAsia="Calibri" w:hAnsi="Calibri" w:hint="default"/>
        <w:spacing w:val="-6"/>
        <w:w w:val="80"/>
        <w:sz w:val="18"/>
        <w:szCs w:val="18"/>
      </w:rPr>
    </w:lvl>
    <w:lvl w:ilvl="1" w:tplc="B4B4D88A">
      <w:start w:val="1"/>
      <w:numFmt w:val="lowerLetter"/>
      <w:lvlText w:val="(%2)"/>
      <w:lvlJc w:val="left"/>
      <w:pPr>
        <w:ind w:left="560" w:hanging="227"/>
      </w:pPr>
      <w:rPr>
        <w:rFonts w:ascii="Calibri" w:eastAsia="Calibri" w:hAnsi="Calibri" w:hint="default"/>
        <w:spacing w:val="-13"/>
        <w:w w:val="103"/>
        <w:sz w:val="18"/>
        <w:szCs w:val="18"/>
      </w:rPr>
    </w:lvl>
    <w:lvl w:ilvl="2" w:tplc="CDC82B16">
      <w:start w:val="1"/>
      <w:numFmt w:val="bullet"/>
      <w:lvlText w:val="•"/>
      <w:lvlJc w:val="left"/>
      <w:pPr>
        <w:ind w:left="1687" w:hanging="227"/>
      </w:pPr>
      <w:rPr>
        <w:rFonts w:hint="default"/>
      </w:rPr>
    </w:lvl>
    <w:lvl w:ilvl="3" w:tplc="545A81DC">
      <w:start w:val="1"/>
      <w:numFmt w:val="bullet"/>
      <w:lvlText w:val="•"/>
      <w:lvlJc w:val="left"/>
      <w:pPr>
        <w:ind w:left="2814" w:hanging="227"/>
      </w:pPr>
      <w:rPr>
        <w:rFonts w:hint="default"/>
      </w:rPr>
    </w:lvl>
    <w:lvl w:ilvl="4" w:tplc="47EE023A">
      <w:start w:val="1"/>
      <w:numFmt w:val="bullet"/>
      <w:lvlText w:val="•"/>
      <w:lvlJc w:val="left"/>
      <w:pPr>
        <w:ind w:left="3942" w:hanging="227"/>
      </w:pPr>
      <w:rPr>
        <w:rFonts w:hint="default"/>
      </w:rPr>
    </w:lvl>
    <w:lvl w:ilvl="5" w:tplc="D53E2C74">
      <w:start w:val="1"/>
      <w:numFmt w:val="bullet"/>
      <w:lvlText w:val="•"/>
      <w:lvlJc w:val="left"/>
      <w:pPr>
        <w:ind w:left="5069" w:hanging="227"/>
      </w:pPr>
      <w:rPr>
        <w:rFonts w:hint="default"/>
      </w:rPr>
    </w:lvl>
    <w:lvl w:ilvl="6" w:tplc="D1485C98">
      <w:start w:val="1"/>
      <w:numFmt w:val="bullet"/>
      <w:lvlText w:val="•"/>
      <w:lvlJc w:val="left"/>
      <w:pPr>
        <w:ind w:left="6196" w:hanging="227"/>
      </w:pPr>
      <w:rPr>
        <w:rFonts w:hint="default"/>
      </w:rPr>
    </w:lvl>
    <w:lvl w:ilvl="7" w:tplc="C2107C1E">
      <w:start w:val="1"/>
      <w:numFmt w:val="bullet"/>
      <w:lvlText w:val="•"/>
      <w:lvlJc w:val="left"/>
      <w:pPr>
        <w:ind w:left="7323" w:hanging="227"/>
      </w:pPr>
      <w:rPr>
        <w:rFonts w:hint="default"/>
      </w:rPr>
    </w:lvl>
    <w:lvl w:ilvl="8" w:tplc="F93882B2">
      <w:start w:val="1"/>
      <w:numFmt w:val="bullet"/>
      <w:lvlText w:val="•"/>
      <w:lvlJc w:val="left"/>
      <w:pPr>
        <w:ind w:left="8451" w:hanging="227"/>
      </w:pPr>
      <w:rPr>
        <w:rFonts w:hint="default"/>
      </w:rPr>
    </w:lvl>
  </w:abstractNum>
  <w:abstractNum w:abstractNumId="16" w15:restartNumberingAfterBreak="0">
    <w:nsid w:val="5FC669E4"/>
    <w:multiLevelType w:val="multilevel"/>
    <w:tmpl w:val="3528BB94"/>
    <w:numStyleLink w:val="NumberingSchedule"/>
  </w:abstractNum>
  <w:abstractNum w:abstractNumId="17" w15:restartNumberingAfterBreak="0">
    <w:nsid w:val="5FEA575E"/>
    <w:multiLevelType w:val="hybridMultilevel"/>
    <w:tmpl w:val="3F285016"/>
    <w:lvl w:ilvl="0" w:tplc="D4B0F126">
      <w:start w:val="1"/>
      <w:numFmt w:val="decimal"/>
      <w:lvlText w:val="%1."/>
      <w:lvlJc w:val="left"/>
      <w:pPr>
        <w:ind w:left="333" w:hanging="227"/>
      </w:pPr>
      <w:rPr>
        <w:rFonts w:ascii="Arial" w:eastAsia="Calibri" w:hAnsi="Arial" w:cs="Arial" w:hint="default"/>
        <w:spacing w:val="-6"/>
        <w:w w:val="80"/>
        <w:sz w:val="21"/>
        <w:szCs w:val="21"/>
      </w:rPr>
    </w:lvl>
    <w:lvl w:ilvl="1" w:tplc="9E4C76B4">
      <w:start w:val="1"/>
      <w:numFmt w:val="lowerLetter"/>
      <w:lvlText w:val="(%2)"/>
      <w:lvlJc w:val="left"/>
      <w:pPr>
        <w:ind w:left="560" w:hanging="227"/>
      </w:pPr>
      <w:rPr>
        <w:rFonts w:ascii="Calibri" w:eastAsia="Calibri" w:hAnsi="Calibri" w:hint="default"/>
        <w:spacing w:val="-13"/>
        <w:w w:val="103"/>
        <w:sz w:val="18"/>
        <w:szCs w:val="18"/>
      </w:rPr>
    </w:lvl>
    <w:lvl w:ilvl="2" w:tplc="C2B2DCF2">
      <w:start w:val="1"/>
      <w:numFmt w:val="lowerRoman"/>
      <w:lvlText w:val="(%3)"/>
      <w:lvlJc w:val="left"/>
      <w:pPr>
        <w:ind w:left="787" w:hanging="227"/>
      </w:pPr>
      <w:rPr>
        <w:rFonts w:ascii="Calibri" w:eastAsia="Calibri" w:hAnsi="Calibri" w:hint="default"/>
        <w:spacing w:val="-9"/>
        <w:w w:val="103"/>
        <w:sz w:val="18"/>
        <w:szCs w:val="18"/>
      </w:rPr>
    </w:lvl>
    <w:lvl w:ilvl="3" w:tplc="B0043F84">
      <w:start w:val="1"/>
      <w:numFmt w:val="upperLetter"/>
      <w:lvlText w:val="(%4)"/>
      <w:lvlJc w:val="left"/>
      <w:pPr>
        <w:ind w:left="1014" w:hanging="227"/>
      </w:pPr>
      <w:rPr>
        <w:rFonts w:ascii="Calibri" w:eastAsia="Calibri" w:hAnsi="Calibri" w:hint="default"/>
        <w:spacing w:val="-8"/>
        <w:w w:val="103"/>
        <w:sz w:val="18"/>
        <w:szCs w:val="18"/>
      </w:rPr>
    </w:lvl>
    <w:lvl w:ilvl="4" w:tplc="FC6EBE26">
      <w:start w:val="1"/>
      <w:numFmt w:val="bullet"/>
      <w:lvlText w:val="•"/>
      <w:lvlJc w:val="left"/>
      <w:pPr>
        <w:ind w:left="790" w:hanging="227"/>
      </w:pPr>
      <w:rPr>
        <w:rFonts w:hint="default"/>
      </w:rPr>
    </w:lvl>
    <w:lvl w:ilvl="5" w:tplc="4B6A6FE2">
      <w:start w:val="1"/>
      <w:numFmt w:val="bullet"/>
      <w:lvlText w:val="•"/>
      <w:lvlJc w:val="left"/>
      <w:pPr>
        <w:ind w:left="1014" w:hanging="227"/>
      </w:pPr>
      <w:rPr>
        <w:rFonts w:hint="default"/>
      </w:rPr>
    </w:lvl>
    <w:lvl w:ilvl="6" w:tplc="97704BBC">
      <w:start w:val="1"/>
      <w:numFmt w:val="bullet"/>
      <w:lvlText w:val="•"/>
      <w:lvlJc w:val="left"/>
      <w:pPr>
        <w:ind w:left="2896" w:hanging="227"/>
      </w:pPr>
      <w:rPr>
        <w:rFonts w:hint="default"/>
      </w:rPr>
    </w:lvl>
    <w:lvl w:ilvl="7" w:tplc="C818E804">
      <w:start w:val="1"/>
      <w:numFmt w:val="bullet"/>
      <w:lvlText w:val="•"/>
      <w:lvlJc w:val="left"/>
      <w:pPr>
        <w:ind w:left="4778" w:hanging="227"/>
      </w:pPr>
      <w:rPr>
        <w:rFonts w:hint="default"/>
      </w:rPr>
    </w:lvl>
    <w:lvl w:ilvl="8" w:tplc="9ADC604E">
      <w:start w:val="1"/>
      <w:numFmt w:val="bullet"/>
      <w:lvlText w:val="•"/>
      <w:lvlJc w:val="left"/>
      <w:pPr>
        <w:ind w:left="6660" w:hanging="227"/>
      </w:pPr>
      <w:rPr>
        <w:rFonts w:hint="default"/>
      </w:rPr>
    </w:lvl>
  </w:abstractNum>
  <w:abstractNum w:abstractNumId="18" w15:restartNumberingAfterBreak="0">
    <w:nsid w:val="6B3A50F4"/>
    <w:multiLevelType w:val="hybridMultilevel"/>
    <w:tmpl w:val="D1D0BD16"/>
    <w:lvl w:ilvl="0" w:tplc="B00AF4B2">
      <w:start w:val="1"/>
      <w:numFmt w:val="decimal"/>
      <w:lvlText w:val="(%1)"/>
      <w:lvlJc w:val="left"/>
      <w:pPr>
        <w:ind w:left="1723" w:hanging="284"/>
      </w:pPr>
      <w:rPr>
        <w:rFonts w:ascii="Univers LT Std 45 Light" w:eastAsia="Univers LT Std 45 Light" w:hAnsi="Univers LT Std 45 Light" w:hint="default"/>
        <w:color w:val="231F20"/>
        <w:spacing w:val="-5"/>
        <w:sz w:val="17"/>
        <w:szCs w:val="17"/>
      </w:rPr>
    </w:lvl>
    <w:lvl w:ilvl="1" w:tplc="EC5AC0B8">
      <w:start w:val="1"/>
      <w:numFmt w:val="bullet"/>
      <w:lvlText w:val="•"/>
      <w:lvlJc w:val="left"/>
      <w:pPr>
        <w:ind w:left="2826" w:hanging="284"/>
      </w:pPr>
      <w:rPr>
        <w:rFonts w:hint="default"/>
      </w:rPr>
    </w:lvl>
    <w:lvl w:ilvl="2" w:tplc="E166C908">
      <w:start w:val="1"/>
      <w:numFmt w:val="bullet"/>
      <w:lvlText w:val="•"/>
      <w:lvlJc w:val="left"/>
      <w:pPr>
        <w:ind w:left="3928" w:hanging="284"/>
      </w:pPr>
      <w:rPr>
        <w:rFonts w:hint="default"/>
      </w:rPr>
    </w:lvl>
    <w:lvl w:ilvl="3" w:tplc="CBF643CC">
      <w:start w:val="1"/>
      <w:numFmt w:val="bullet"/>
      <w:lvlText w:val="•"/>
      <w:lvlJc w:val="left"/>
      <w:pPr>
        <w:ind w:left="5030" w:hanging="284"/>
      </w:pPr>
      <w:rPr>
        <w:rFonts w:hint="default"/>
      </w:rPr>
    </w:lvl>
    <w:lvl w:ilvl="4" w:tplc="7EA033DC">
      <w:start w:val="1"/>
      <w:numFmt w:val="bullet"/>
      <w:lvlText w:val="•"/>
      <w:lvlJc w:val="left"/>
      <w:pPr>
        <w:ind w:left="6132" w:hanging="284"/>
      </w:pPr>
      <w:rPr>
        <w:rFonts w:hint="default"/>
      </w:rPr>
    </w:lvl>
    <w:lvl w:ilvl="5" w:tplc="D35E3A74">
      <w:start w:val="1"/>
      <w:numFmt w:val="bullet"/>
      <w:lvlText w:val="•"/>
      <w:lvlJc w:val="left"/>
      <w:pPr>
        <w:ind w:left="7234" w:hanging="284"/>
      </w:pPr>
      <w:rPr>
        <w:rFonts w:hint="default"/>
      </w:rPr>
    </w:lvl>
    <w:lvl w:ilvl="6" w:tplc="E368C7A2">
      <w:start w:val="1"/>
      <w:numFmt w:val="bullet"/>
      <w:lvlText w:val="•"/>
      <w:lvlJc w:val="left"/>
      <w:pPr>
        <w:ind w:left="8336" w:hanging="284"/>
      </w:pPr>
      <w:rPr>
        <w:rFonts w:hint="default"/>
      </w:rPr>
    </w:lvl>
    <w:lvl w:ilvl="7" w:tplc="4FA6E22C">
      <w:start w:val="1"/>
      <w:numFmt w:val="bullet"/>
      <w:lvlText w:val="•"/>
      <w:lvlJc w:val="left"/>
      <w:pPr>
        <w:ind w:left="9439" w:hanging="284"/>
      </w:pPr>
      <w:rPr>
        <w:rFonts w:hint="default"/>
      </w:rPr>
    </w:lvl>
    <w:lvl w:ilvl="8" w:tplc="47724B42">
      <w:start w:val="1"/>
      <w:numFmt w:val="bullet"/>
      <w:lvlText w:val="•"/>
      <w:lvlJc w:val="left"/>
      <w:pPr>
        <w:ind w:left="10541" w:hanging="284"/>
      </w:pPr>
      <w:rPr>
        <w:rFonts w:hint="default"/>
      </w:rPr>
    </w:lvl>
  </w:abstractNum>
  <w:abstractNum w:abstractNumId="19" w15:restartNumberingAfterBreak="0">
    <w:nsid w:val="6BD930B0"/>
    <w:multiLevelType w:val="hybridMultilevel"/>
    <w:tmpl w:val="935A46BE"/>
    <w:lvl w:ilvl="0" w:tplc="9E4C76B4">
      <w:start w:val="1"/>
      <w:numFmt w:val="lowerLetter"/>
      <w:lvlText w:val="(%1)"/>
      <w:lvlJc w:val="left"/>
      <w:pPr>
        <w:ind w:left="560" w:hanging="227"/>
      </w:pPr>
      <w:rPr>
        <w:rFonts w:ascii="Calibri" w:eastAsia="Calibri" w:hAnsi="Calibri" w:hint="default"/>
        <w:spacing w:val="-13"/>
        <w:w w:val="103"/>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B36F3B"/>
    <w:multiLevelType w:val="hybridMultilevel"/>
    <w:tmpl w:val="0DD4FE6A"/>
    <w:lvl w:ilvl="0" w:tplc="C2B2DCF2">
      <w:start w:val="1"/>
      <w:numFmt w:val="lowerRoman"/>
      <w:lvlText w:val="(%1)"/>
      <w:lvlJc w:val="left"/>
      <w:pPr>
        <w:ind w:left="787" w:hanging="227"/>
      </w:pPr>
      <w:rPr>
        <w:rFonts w:ascii="Calibri" w:eastAsia="Calibri" w:hAnsi="Calibri" w:hint="default"/>
        <w:spacing w:val="-9"/>
        <w:w w:val="103"/>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B7114C"/>
    <w:multiLevelType w:val="hybridMultilevel"/>
    <w:tmpl w:val="935A46BE"/>
    <w:lvl w:ilvl="0" w:tplc="9E4C76B4">
      <w:start w:val="1"/>
      <w:numFmt w:val="lowerLetter"/>
      <w:lvlText w:val="(%1)"/>
      <w:lvlJc w:val="left"/>
      <w:pPr>
        <w:ind w:left="560" w:hanging="227"/>
      </w:pPr>
      <w:rPr>
        <w:rFonts w:ascii="Calibri" w:eastAsia="Calibri" w:hAnsi="Calibri" w:hint="default"/>
        <w:spacing w:val="-13"/>
        <w:w w:val="103"/>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C2451E"/>
    <w:multiLevelType w:val="hybridMultilevel"/>
    <w:tmpl w:val="A350A4DA"/>
    <w:lvl w:ilvl="0" w:tplc="E114498C">
      <w:start w:val="1"/>
      <w:numFmt w:val="decimal"/>
      <w:lvlText w:val="(%1)"/>
      <w:lvlJc w:val="left"/>
      <w:pPr>
        <w:ind w:left="386" w:hanging="277"/>
      </w:pPr>
      <w:rPr>
        <w:rFonts w:ascii="Calibri" w:eastAsia="Calibri" w:hAnsi="Calibri" w:hint="default"/>
        <w:spacing w:val="-9"/>
        <w:w w:val="103"/>
        <w:sz w:val="18"/>
        <w:szCs w:val="18"/>
      </w:rPr>
    </w:lvl>
    <w:lvl w:ilvl="1" w:tplc="E1B468EE">
      <w:start w:val="1"/>
      <w:numFmt w:val="bullet"/>
      <w:lvlText w:val="•"/>
      <w:lvlJc w:val="left"/>
      <w:pPr>
        <w:ind w:left="1418" w:hanging="277"/>
      </w:pPr>
      <w:rPr>
        <w:rFonts w:hint="default"/>
      </w:rPr>
    </w:lvl>
    <w:lvl w:ilvl="2" w:tplc="CC4ACB46">
      <w:start w:val="1"/>
      <w:numFmt w:val="bullet"/>
      <w:lvlText w:val="•"/>
      <w:lvlJc w:val="left"/>
      <w:pPr>
        <w:ind w:left="2450" w:hanging="277"/>
      </w:pPr>
      <w:rPr>
        <w:rFonts w:hint="default"/>
      </w:rPr>
    </w:lvl>
    <w:lvl w:ilvl="3" w:tplc="DFDC8024">
      <w:start w:val="1"/>
      <w:numFmt w:val="bullet"/>
      <w:lvlText w:val="•"/>
      <w:lvlJc w:val="left"/>
      <w:pPr>
        <w:ind w:left="3482" w:hanging="277"/>
      </w:pPr>
      <w:rPr>
        <w:rFonts w:hint="default"/>
      </w:rPr>
    </w:lvl>
    <w:lvl w:ilvl="4" w:tplc="683E9CFC">
      <w:start w:val="1"/>
      <w:numFmt w:val="bullet"/>
      <w:lvlText w:val="•"/>
      <w:lvlJc w:val="left"/>
      <w:pPr>
        <w:ind w:left="4514" w:hanging="277"/>
      </w:pPr>
      <w:rPr>
        <w:rFonts w:hint="default"/>
      </w:rPr>
    </w:lvl>
    <w:lvl w:ilvl="5" w:tplc="F22655D0">
      <w:start w:val="1"/>
      <w:numFmt w:val="bullet"/>
      <w:lvlText w:val="•"/>
      <w:lvlJc w:val="left"/>
      <w:pPr>
        <w:ind w:left="5546" w:hanging="277"/>
      </w:pPr>
      <w:rPr>
        <w:rFonts w:hint="default"/>
      </w:rPr>
    </w:lvl>
    <w:lvl w:ilvl="6" w:tplc="8B7EEEAC">
      <w:start w:val="1"/>
      <w:numFmt w:val="bullet"/>
      <w:lvlText w:val="•"/>
      <w:lvlJc w:val="left"/>
      <w:pPr>
        <w:ind w:left="6577" w:hanging="277"/>
      </w:pPr>
      <w:rPr>
        <w:rFonts w:hint="default"/>
      </w:rPr>
    </w:lvl>
    <w:lvl w:ilvl="7" w:tplc="0512C988">
      <w:start w:val="1"/>
      <w:numFmt w:val="bullet"/>
      <w:lvlText w:val="•"/>
      <w:lvlJc w:val="left"/>
      <w:pPr>
        <w:ind w:left="7609" w:hanging="277"/>
      </w:pPr>
      <w:rPr>
        <w:rFonts w:hint="default"/>
      </w:rPr>
    </w:lvl>
    <w:lvl w:ilvl="8" w:tplc="16C01B7E">
      <w:start w:val="1"/>
      <w:numFmt w:val="bullet"/>
      <w:lvlText w:val="•"/>
      <w:lvlJc w:val="left"/>
      <w:pPr>
        <w:ind w:left="8641" w:hanging="277"/>
      </w:pPr>
      <w:rPr>
        <w:rFonts w:hint="default"/>
      </w:rPr>
    </w:lvl>
  </w:abstractNum>
  <w:abstractNum w:abstractNumId="23" w15:restartNumberingAfterBreak="0">
    <w:nsid w:val="7F8E340B"/>
    <w:multiLevelType w:val="hybridMultilevel"/>
    <w:tmpl w:val="805A97EA"/>
    <w:lvl w:ilvl="0" w:tplc="99109126">
      <w:start w:val="1"/>
      <w:numFmt w:val="decimal"/>
      <w:lvlText w:val="%1."/>
      <w:lvlJc w:val="left"/>
      <w:pPr>
        <w:ind w:left="1723" w:hanging="284"/>
        <w:jc w:val="right"/>
      </w:pPr>
      <w:rPr>
        <w:rFonts w:ascii="Univers LT Std 45 Light" w:eastAsia="Univers LT Std 45 Light" w:hAnsi="Univers LT Std 45 Light" w:hint="default"/>
        <w:color w:val="231F20"/>
        <w:spacing w:val="-9"/>
        <w:sz w:val="17"/>
        <w:szCs w:val="17"/>
      </w:rPr>
    </w:lvl>
    <w:lvl w:ilvl="1" w:tplc="03A08F18">
      <w:start w:val="1"/>
      <w:numFmt w:val="lowerLetter"/>
      <w:lvlText w:val="(%2)"/>
      <w:lvlJc w:val="left"/>
      <w:pPr>
        <w:ind w:left="1837" w:hanging="284"/>
      </w:pPr>
      <w:rPr>
        <w:rFonts w:ascii="Univers LT Std 45 Light" w:eastAsia="Univers LT Std 45 Light" w:hAnsi="Univers LT Std 45 Light" w:hint="default"/>
        <w:color w:val="231F20"/>
        <w:spacing w:val="-1"/>
        <w:sz w:val="17"/>
        <w:szCs w:val="17"/>
      </w:rPr>
    </w:lvl>
    <w:lvl w:ilvl="2" w:tplc="09F8ECD6">
      <w:start w:val="1"/>
      <w:numFmt w:val="bullet"/>
      <w:lvlText w:val="•"/>
      <w:lvlJc w:val="left"/>
      <w:pPr>
        <w:ind w:left="3049" w:hanging="284"/>
      </w:pPr>
      <w:rPr>
        <w:rFonts w:hint="default"/>
      </w:rPr>
    </w:lvl>
    <w:lvl w:ilvl="3" w:tplc="526C8CC8">
      <w:start w:val="1"/>
      <w:numFmt w:val="bullet"/>
      <w:lvlText w:val="•"/>
      <w:lvlJc w:val="left"/>
      <w:pPr>
        <w:ind w:left="4261" w:hanging="284"/>
      </w:pPr>
      <w:rPr>
        <w:rFonts w:hint="default"/>
      </w:rPr>
    </w:lvl>
    <w:lvl w:ilvl="4" w:tplc="4A089C48">
      <w:start w:val="1"/>
      <w:numFmt w:val="bullet"/>
      <w:lvlText w:val="•"/>
      <w:lvlJc w:val="left"/>
      <w:pPr>
        <w:ind w:left="5473" w:hanging="284"/>
      </w:pPr>
      <w:rPr>
        <w:rFonts w:hint="default"/>
      </w:rPr>
    </w:lvl>
    <w:lvl w:ilvl="5" w:tplc="FE9A01AC">
      <w:start w:val="1"/>
      <w:numFmt w:val="bullet"/>
      <w:lvlText w:val="•"/>
      <w:lvlJc w:val="left"/>
      <w:pPr>
        <w:ind w:left="6685" w:hanging="284"/>
      </w:pPr>
      <w:rPr>
        <w:rFonts w:hint="default"/>
      </w:rPr>
    </w:lvl>
    <w:lvl w:ilvl="6" w:tplc="A1C80128">
      <w:start w:val="1"/>
      <w:numFmt w:val="bullet"/>
      <w:lvlText w:val="•"/>
      <w:lvlJc w:val="left"/>
      <w:pPr>
        <w:ind w:left="7897" w:hanging="284"/>
      </w:pPr>
      <w:rPr>
        <w:rFonts w:hint="default"/>
      </w:rPr>
    </w:lvl>
    <w:lvl w:ilvl="7" w:tplc="A6442516">
      <w:start w:val="1"/>
      <w:numFmt w:val="bullet"/>
      <w:lvlText w:val="•"/>
      <w:lvlJc w:val="left"/>
      <w:pPr>
        <w:ind w:left="9109" w:hanging="284"/>
      </w:pPr>
      <w:rPr>
        <w:rFonts w:hint="default"/>
      </w:rPr>
    </w:lvl>
    <w:lvl w:ilvl="8" w:tplc="34F27E5A">
      <w:start w:val="1"/>
      <w:numFmt w:val="bullet"/>
      <w:lvlText w:val="•"/>
      <w:lvlJc w:val="left"/>
      <w:pPr>
        <w:ind w:left="10321" w:hanging="284"/>
      </w:pPr>
      <w:rPr>
        <w:rFonts w:hint="default"/>
      </w:rPr>
    </w:lvl>
  </w:abstractNum>
  <w:num w:numId="1" w16cid:durableId="1403403154">
    <w:abstractNumId w:val="4"/>
  </w:num>
  <w:num w:numId="2" w16cid:durableId="1581140198">
    <w:abstractNumId w:val="3"/>
  </w:num>
  <w:num w:numId="3" w16cid:durableId="1618757982">
    <w:abstractNumId w:val="16"/>
  </w:num>
  <w:num w:numId="4" w16cid:durableId="2144809880">
    <w:abstractNumId w:val="12"/>
  </w:num>
  <w:num w:numId="5" w16cid:durableId="688414262">
    <w:abstractNumId w:val="7"/>
  </w:num>
  <w:num w:numId="6" w16cid:durableId="1128888073">
    <w:abstractNumId w:val="15"/>
  </w:num>
  <w:num w:numId="7" w16cid:durableId="1825662630">
    <w:abstractNumId w:val="9"/>
  </w:num>
  <w:num w:numId="8" w16cid:durableId="223565437">
    <w:abstractNumId w:val="22"/>
  </w:num>
  <w:num w:numId="9" w16cid:durableId="314989900">
    <w:abstractNumId w:val="17"/>
  </w:num>
  <w:num w:numId="10" w16cid:durableId="1356686727">
    <w:abstractNumId w:val="21"/>
  </w:num>
  <w:num w:numId="11" w16cid:durableId="1286275330">
    <w:abstractNumId w:val="5"/>
  </w:num>
  <w:num w:numId="12" w16cid:durableId="214396858">
    <w:abstractNumId w:val="19"/>
  </w:num>
  <w:num w:numId="13" w16cid:durableId="1325742706">
    <w:abstractNumId w:val="2"/>
  </w:num>
  <w:num w:numId="14" w16cid:durableId="1797403936">
    <w:abstractNumId w:val="13"/>
  </w:num>
  <w:num w:numId="15" w16cid:durableId="593632235">
    <w:abstractNumId w:val="20"/>
  </w:num>
  <w:num w:numId="16" w16cid:durableId="974528905">
    <w:abstractNumId w:val="1"/>
  </w:num>
  <w:num w:numId="17" w16cid:durableId="568734049">
    <w:abstractNumId w:val="23"/>
  </w:num>
  <w:num w:numId="18" w16cid:durableId="1058553868">
    <w:abstractNumId w:val="18"/>
  </w:num>
  <w:num w:numId="19" w16cid:durableId="1372876498">
    <w:abstractNumId w:val="8"/>
  </w:num>
  <w:num w:numId="20" w16cid:durableId="1282759474">
    <w:abstractNumId w:val="14"/>
  </w:num>
  <w:num w:numId="21" w16cid:durableId="167521901">
    <w:abstractNumId w:val="6"/>
  </w:num>
  <w:num w:numId="22" w16cid:durableId="1438255543">
    <w:abstractNumId w:val="0"/>
  </w:num>
  <w:num w:numId="23" w16cid:durableId="1794207689">
    <w:abstractNumId w:val="11"/>
  </w:num>
  <w:num w:numId="24" w16cid:durableId="1323509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6"/>
    <w:rsid w:val="001C1500"/>
    <w:rsid w:val="00283CF6"/>
    <w:rsid w:val="00336EBA"/>
    <w:rsid w:val="00346E57"/>
    <w:rsid w:val="003D137C"/>
    <w:rsid w:val="00655B5C"/>
    <w:rsid w:val="006B4939"/>
    <w:rsid w:val="00812A44"/>
    <w:rsid w:val="00913591"/>
    <w:rsid w:val="00961A44"/>
    <w:rsid w:val="0099207B"/>
    <w:rsid w:val="00AC66A7"/>
    <w:rsid w:val="00B861C9"/>
    <w:rsid w:val="00B95473"/>
    <w:rsid w:val="00C33C4C"/>
    <w:rsid w:val="00E072EF"/>
    <w:rsid w:val="00E65601"/>
    <w:rsid w:val="00F21EEF"/>
    <w:rsid w:val="00F83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9F9D"/>
  <w15:docId w15:val="{C57AD702-6C0B-4751-82FE-E0CD09E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62"/>
      <w:ind w:left="110"/>
      <w:outlineLvl w:val="0"/>
    </w:pPr>
    <w:rPr>
      <w:rFonts w:ascii="Arial" w:eastAsia="Arial" w:hAnsi="Arial"/>
      <w:b/>
      <w:bCs/>
      <w:sz w:val="18"/>
      <w:szCs w:val="18"/>
    </w:rPr>
  </w:style>
  <w:style w:type="paragraph" w:styleId="Heading2">
    <w:name w:val="heading 2"/>
    <w:basedOn w:val="Normal"/>
    <w:link w:val="Heading2Char"/>
    <w:uiPriority w:val="1"/>
    <w:qFormat/>
    <w:rsid w:val="00961A44"/>
    <w:pPr>
      <w:spacing w:before="51"/>
      <w:ind w:left="1335"/>
      <w:outlineLvl w:val="1"/>
    </w:pPr>
    <w:rPr>
      <w:rFonts w:ascii="Calibri" w:eastAsia="Calibri" w:hAnsi="Calibri"/>
      <w:sz w:val="32"/>
      <w:szCs w:val="32"/>
    </w:rPr>
  </w:style>
  <w:style w:type="paragraph" w:styleId="Heading3">
    <w:name w:val="heading 3"/>
    <w:basedOn w:val="Normal"/>
    <w:link w:val="Heading3Char"/>
    <w:uiPriority w:val="1"/>
    <w:qFormat/>
    <w:rsid w:val="00961A44"/>
    <w:pPr>
      <w:ind w:left="186"/>
      <w:outlineLvl w:val="2"/>
    </w:pPr>
    <w:rPr>
      <w:rFonts w:ascii="Calibri" w:eastAsia="Calibri" w:hAnsi="Calibri"/>
      <w:sz w:val="20"/>
      <w:szCs w:val="20"/>
    </w:rPr>
  </w:style>
  <w:style w:type="paragraph" w:styleId="Heading4">
    <w:name w:val="heading 4"/>
    <w:basedOn w:val="Normal"/>
    <w:next w:val="Normal"/>
    <w:link w:val="Heading4Char"/>
    <w:uiPriority w:val="1"/>
    <w:unhideWhenUsed/>
    <w:qFormat/>
    <w:rsid w:val="00961A4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1"/>
    <w:qFormat/>
    <w:rsid w:val="00E072EF"/>
    <w:pPr>
      <w:ind w:left="1270"/>
      <w:outlineLvl w:val="4"/>
    </w:pPr>
    <w:rPr>
      <w:rFonts w:ascii="DIN Alternate" w:eastAsia="DIN Alternate" w:hAnsi="DIN Alternate"/>
      <w:b/>
      <w:bCs/>
      <w:sz w:val="20"/>
      <w:szCs w:val="20"/>
    </w:rPr>
  </w:style>
  <w:style w:type="paragraph" w:styleId="Heading6">
    <w:name w:val="heading 6"/>
    <w:basedOn w:val="Normal"/>
    <w:link w:val="Heading6Char"/>
    <w:uiPriority w:val="1"/>
    <w:qFormat/>
    <w:rsid w:val="00E072EF"/>
    <w:pPr>
      <w:ind w:left="1520"/>
      <w:outlineLvl w:val="5"/>
    </w:pPr>
    <w:rPr>
      <w:rFonts w:ascii="Univers LT Std 55" w:eastAsia="Univers LT Std 55" w:hAnsi="Univers LT Std 55"/>
      <w:sz w:val="20"/>
      <w:szCs w:val="20"/>
    </w:rPr>
  </w:style>
  <w:style w:type="paragraph" w:styleId="Heading7">
    <w:name w:val="heading 7"/>
    <w:basedOn w:val="Normal"/>
    <w:link w:val="Heading7Char"/>
    <w:uiPriority w:val="1"/>
    <w:qFormat/>
    <w:rsid w:val="00E072EF"/>
    <w:pPr>
      <w:spacing w:before="57"/>
      <w:ind w:left="1440"/>
      <w:outlineLvl w:val="6"/>
    </w:pPr>
    <w:rPr>
      <w:rFonts w:ascii="Univers LT Std 45 Light" w:eastAsia="Univers LT Std 45 Light" w:hAnsi="Univers LT Std 45 Light"/>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1"/>
      <w:ind w:left="337" w:hanging="227"/>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ScheduleHeading">
    <w:name w:val="Schedule Heading"/>
    <w:basedOn w:val="Normal"/>
    <w:next w:val="BodyText"/>
    <w:rsid w:val="00655B5C"/>
    <w:pPr>
      <w:keepNext/>
      <w:pageBreakBefore/>
      <w:widowControl/>
      <w:numPr>
        <w:numId w:val="3"/>
      </w:numPr>
      <w:spacing w:before="240" w:after="240" w:line="240" w:lineRule="atLeast"/>
      <w:jc w:val="center"/>
      <w:outlineLvl w:val="0"/>
    </w:pPr>
    <w:rPr>
      <w:rFonts w:ascii="Arial" w:eastAsia="Times New Roman" w:hAnsi="Arial" w:cs="Times New Roman"/>
      <w:b/>
      <w:caps/>
      <w:sz w:val="21"/>
      <w:szCs w:val="21"/>
      <w:lang w:val="en-GB" w:eastAsia="en-GB"/>
    </w:rPr>
  </w:style>
  <w:style w:type="paragraph" w:customStyle="1" w:styleId="SchParagraph2">
    <w:name w:val="SchParagraph 2"/>
    <w:basedOn w:val="BodyText"/>
    <w:next w:val="BodyText2"/>
    <w:uiPriority w:val="59"/>
    <w:rsid w:val="00655B5C"/>
    <w:pPr>
      <w:widowControl/>
      <w:numPr>
        <w:ilvl w:val="3"/>
        <w:numId w:val="3"/>
      </w:numPr>
      <w:spacing w:before="0" w:after="240" w:line="240" w:lineRule="atLeast"/>
      <w:jc w:val="both"/>
    </w:pPr>
    <w:rPr>
      <w:rFonts w:eastAsia="Times New Roman" w:cs="Times New Roman"/>
      <w:sz w:val="21"/>
      <w:szCs w:val="21"/>
      <w:lang w:val="en-GB" w:eastAsia="en-GB"/>
    </w:rPr>
  </w:style>
  <w:style w:type="paragraph" w:customStyle="1" w:styleId="SchHeading1">
    <w:name w:val="SchHeading 1"/>
    <w:basedOn w:val="BodyText"/>
    <w:next w:val="Normal"/>
    <w:rsid w:val="00655B5C"/>
    <w:pPr>
      <w:keepNext/>
      <w:widowControl/>
      <w:numPr>
        <w:ilvl w:val="2"/>
        <w:numId w:val="3"/>
      </w:numPr>
      <w:spacing w:before="240" w:after="240" w:line="240" w:lineRule="atLeast"/>
      <w:jc w:val="both"/>
    </w:pPr>
    <w:rPr>
      <w:rFonts w:eastAsia="Times New Roman" w:cs="Times New Roman"/>
      <w:b/>
      <w:sz w:val="21"/>
      <w:szCs w:val="21"/>
      <w:lang w:val="en-GB" w:eastAsia="en-GB"/>
    </w:rPr>
  </w:style>
  <w:style w:type="paragraph" w:customStyle="1" w:styleId="SchParagraph3">
    <w:name w:val="SchParagraph 3"/>
    <w:basedOn w:val="BodyText"/>
    <w:next w:val="BodyText3"/>
    <w:uiPriority w:val="59"/>
    <w:rsid w:val="00655B5C"/>
    <w:pPr>
      <w:widowControl/>
      <w:numPr>
        <w:ilvl w:val="4"/>
        <w:numId w:val="3"/>
      </w:numPr>
      <w:spacing w:before="0" w:after="240" w:line="240" w:lineRule="atLeast"/>
      <w:jc w:val="both"/>
    </w:pPr>
    <w:rPr>
      <w:rFonts w:eastAsia="Times New Roman" w:cs="Times New Roman"/>
      <w:sz w:val="21"/>
      <w:szCs w:val="21"/>
      <w:lang w:val="en-GB" w:eastAsia="en-GB"/>
    </w:rPr>
  </w:style>
  <w:style w:type="paragraph" w:customStyle="1" w:styleId="SchParagraph4">
    <w:name w:val="SchParagraph 4"/>
    <w:basedOn w:val="BodyText"/>
    <w:next w:val="Normal"/>
    <w:uiPriority w:val="59"/>
    <w:rsid w:val="00655B5C"/>
    <w:pPr>
      <w:widowControl/>
      <w:numPr>
        <w:ilvl w:val="5"/>
        <w:numId w:val="3"/>
      </w:numPr>
      <w:spacing w:before="0" w:after="240" w:line="240" w:lineRule="atLeast"/>
      <w:jc w:val="both"/>
    </w:pPr>
    <w:rPr>
      <w:rFonts w:eastAsia="Times New Roman" w:cs="Times New Roman"/>
      <w:sz w:val="21"/>
      <w:szCs w:val="21"/>
      <w:lang w:val="en-GB" w:eastAsia="en-GB"/>
    </w:rPr>
  </w:style>
  <w:style w:type="paragraph" w:customStyle="1" w:styleId="SchParagraph5">
    <w:name w:val="SchParagraph 5"/>
    <w:basedOn w:val="BodyText"/>
    <w:next w:val="Normal"/>
    <w:uiPriority w:val="59"/>
    <w:rsid w:val="00655B5C"/>
    <w:pPr>
      <w:widowControl/>
      <w:numPr>
        <w:ilvl w:val="6"/>
        <w:numId w:val="3"/>
      </w:numPr>
      <w:spacing w:before="0" w:after="240" w:line="240" w:lineRule="atLeast"/>
      <w:jc w:val="both"/>
    </w:pPr>
    <w:rPr>
      <w:rFonts w:eastAsia="Times New Roman" w:cs="Times New Roman"/>
      <w:sz w:val="21"/>
      <w:szCs w:val="21"/>
      <w:lang w:val="en-GB" w:eastAsia="en-GB"/>
    </w:rPr>
  </w:style>
  <w:style w:type="paragraph" w:customStyle="1" w:styleId="RestartNumberingSchedules">
    <w:name w:val="Restart Numbering Schedules"/>
    <w:basedOn w:val="BodyText"/>
    <w:uiPriority w:val="59"/>
    <w:rsid w:val="00655B5C"/>
    <w:pPr>
      <w:widowControl/>
      <w:numPr>
        <w:ilvl w:val="1"/>
        <w:numId w:val="3"/>
      </w:numPr>
      <w:spacing w:before="0" w:after="240" w:line="240" w:lineRule="atLeast"/>
      <w:jc w:val="both"/>
    </w:pPr>
    <w:rPr>
      <w:rFonts w:eastAsia="Times New Roman" w:cs="Times New Roman"/>
      <w:vanish/>
      <w:color w:val="00B050"/>
      <w:sz w:val="21"/>
      <w:szCs w:val="21"/>
      <w:lang w:val="en-GB" w:eastAsia="en-GB"/>
    </w:rPr>
  </w:style>
  <w:style w:type="numbering" w:customStyle="1" w:styleId="NumberingSchedule">
    <w:name w:val="Numbering Schedule"/>
    <w:uiPriority w:val="99"/>
    <w:rsid w:val="00655B5C"/>
    <w:pPr>
      <w:numPr>
        <w:numId w:val="2"/>
      </w:numPr>
    </w:pPr>
  </w:style>
  <w:style w:type="paragraph" w:styleId="BodyText2">
    <w:name w:val="Body Text 2"/>
    <w:basedOn w:val="Normal"/>
    <w:link w:val="BodyText2Char"/>
    <w:uiPriority w:val="99"/>
    <w:semiHidden/>
    <w:unhideWhenUsed/>
    <w:rsid w:val="00655B5C"/>
    <w:pPr>
      <w:spacing w:after="120" w:line="480" w:lineRule="auto"/>
    </w:pPr>
  </w:style>
  <w:style w:type="character" w:customStyle="1" w:styleId="BodyText2Char">
    <w:name w:val="Body Text 2 Char"/>
    <w:basedOn w:val="DefaultParagraphFont"/>
    <w:link w:val="BodyText2"/>
    <w:uiPriority w:val="99"/>
    <w:semiHidden/>
    <w:rsid w:val="00655B5C"/>
  </w:style>
  <w:style w:type="paragraph" w:styleId="BodyText3">
    <w:name w:val="Body Text 3"/>
    <w:basedOn w:val="Normal"/>
    <w:link w:val="BodyText3Char"/>
    <w:uiPriority w:val="99"/>
    <w:semiHidden/>
    <w:unhideWhenUsed/>
    <w:rsid w:val="00655B5C"/>
    <w:pPr>
      <w:spacing w:after="120"/>
    </w:pPr>
    <w:rPr>
      <w:sz w:val="16"/>
      <w:szCs w:val="16"/>
    </w:rPr>
  </w:style>
  <w:style w:type="character" w:customStyle="1" w:styleId="BodyText3Char">
    <w:name w:val="Body Text 3 Char"/>
    <w:basedOn w:val="DefaultParagraphFont"/>
    <w:link w:val="BodyText3"/>
    <w:uiPriority w:val="99"/>
    <w:semiHidden/>
    <w:rsid w:val="00655B5C"/>
    <w:rPr>
      <w:sz w:val="16"/>
      <w:szCs w:val="16"/>
    </w:rPr>
  </w:style>
  <w:style w:type="paragraph" w:customStyle="1" w:styleId="BodyText1">
    <w:name w:val="Body Text 1"/>
    <w:basedOn w:val="BodyText"/>
    <w:next w:val="BodyText2"/>
    <w:qFormat/>
    <w:rsid w:val="00655B5C"/>
    <w:pPr>
      <w:widowControl/>
      <w:spacing w:before="0" w:after="240" w:line="240" w:lineRule="atLeast"/>
      <w:ind w:left="720" w:firstLine="0"/>
      <w:jc w:val="both"/>
    </w:pPr>
    <w:rPr>
      <w:rFonts w:eastAsia="Times New Roman" w:cs="Times New Roman"/>
      <w:sz w:val="21"/>
      <w:szCs w:val="21"/>
      <w:lang w:val="en-GB" w:eastAsia="en-GB"/>
    </w:rPr>
  </w:style>
  <w:style w:type="character" w:customStyle="1" w:styleId="Heading4Char">
    <w:name w:val="Heading 4 Char"/>
    <w:basedOn w:val="DefaultParagraphFont"/>
    <w:link w:val="Heading4"/>
    <w:uiPriority w:val="1"/>
    <w:rsid w:val="00961A44"/>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1"/>
    <w:rsid w:val="00961A44"/>
    <w:rPr>
      <w:rFonts w:ascii="Calibri" w:eastAsia="Calibri" w:hAnsi="Calibri"/>
      <w:sz w:val="32"/>
      <w:szCs w:val="32"/>
    </w:rPr>
  </w:style>
  <w:style w:type="character" w:customStyle="1" w:styleId="Heading3Char">
    <w:name w:val="Heading 3 Char"/>
    <w:basedOn w:val="DefaultParagraphFont"/>
    <w:link w:val="Heading3"/>
    <w:uiPriority w:val="1"/>
    <w:rsid w:val="00961A44"/>
    <w:rPr>
      <w:rFonts w:ascii="Calibri" w:eastAsia="Calibri" w:hAnsi="Calibri"/>
      <w:sz w:val="20"/>
      <w:szCs w:val="20"/>
    </w:rPr>
  </w:style>
  <w:style w:type="character" w:customStyle="1" w:styleId="Heading5Char">
    <w:name w:val="Heading 5 Char"/>
    <w:basedOn w:val="DefaultParagraphFont"/>
    <w:link w:val="Heading5"/>
    <w:uiPriority w:val="1"/>
    <w:rsid w:val="00E072EF"/>
    <w:rPr>
      <w:rFonts w:ascii="DIN Alternate" w:eastAsia="DIN Alternate" w:hAnsi="DIN Alternate"/>
      <w:b/>
      <w:bCs/>
      <w:sz w:val="20"/>
      <w:szCs w:val="20"/>
    </w:rPr>
  </w:style>
  <w:style w:type="character" w:customStyle="1" w:styleId="Heading6Char">
    <w:name w:val="Heading 6 Char"/>
    <w:basedOn w:val="DefaultParagraphFont"/>
    <w:link w:val="Heading6"/>
    <w:uiPriority w:val="1"/>
    <w:rsid w:val="00E072EF"/>
    <w:rPr>
      <w:rFonts w:ascii="Univers LT Std 55" w:eastAsia="Univers LT Std 55" w:hAnsi="Univers LT Std 55"/>
      <w:sz w:val="20"/>
      <w:szCs w:val="20"/>
    </w:rPr>
  </w:style>
  <w:style w:type="character" w:customStyle="1" w:styleId="Heading7Char">
    <w:name w:val="Heading 7 Char"/>
    <w:basedOn w:val="DefaultParagraphFont"/>
    <w:link w:val="Heading7"/>
    <w:uiPriority w:val="1"/>
    <w:rsid w:val="00E072EF"/>
    <w:rPr>
      <w:rFonts w:ascii="Univers LT Std 45 Light" w:eastAsia="Univers LT Std 45 Light" w:hAnsi="Univers LT Std 45 Light"/>
      <w:b/>
      <w:bCs/>
      <w:sz w:val="17"/>
      <w:szCs w:val="17"/>
    </w:rPr>
  </w:style>
  <w:style w:type="character" w:customStyle="1" w:styleId="Heading1Char">
    <w:name w:val="Heading 1 Char"/>
    <w:basedOn w:val="DefaultParagraphFont"/>
    <w:link w:val="Heading1"/>
    <w:uiPriority w:val="1"/>
    <w:rsid w:val="00E072EF"/>
    <w:rPr>
      <w:rFonts w:ascii="Arial" w:eastAsia="Arial" w:hAnsi="Arial"/>
      <w:b/>
      <w:bCs/>
      <w:sz w:val="18"/>
      <w:szCs w:val="18"/>
    </w:rPr>
  </w:style>
  <w:style w:type="character" w:customStyle="1" w:styleId="BodyTextChar">
    <w:name w:val="Body Text Char"/>
    <w:basedOn w:val="DefaultParagraphFont"/>
    <w:link w:val="BodyText"/>
    <w:uiPriority w:val="1"/>
    <w:rsid w:val="00E072EF"/>
    <w:rPr>
      <w:rFonts w:ascii="Arial" w:eastAsia="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1506</Words>
  <Characters>8589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Hilton Foods</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George</dc:creator>
  <cp:lastModifiedBy>Neil George</cp:lastModifiedBy>
  <cp:revision>2</cp:revision>
  <cp:lastPrinted>2023-05-22T08:09:00Z</cp:lastPrinted>
  <dcterms:created xsi:type="dcterms:W3CDTF">2023-05-22T08:25:00Z</dcterms:created>
  <dcterms:modified xsi:type="dcterms:W3CDTF">2023-05-22T08:25:00Z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LastSaved">
    <vt:filetime>2020-05-19T00:00:00Z</vt:filetime>
  </property>
</Properties>
</file>