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17F2" w14:textId="77777777" w:rsidR="0065205A" w:rsidRPr="005D7F0C" w:rsidRDefault="00CB6E30" w:rsidP="00CB6E30">
      <w:pPr>
        <w:spacing w:before="240" w:after="240" w:line="240" w:lineRule="auto"/>
        <w:rPr>
          <w:rFonts w:ascii="Arial" w:eastAsia="Times New Roman" w:hAnsi="Arial" w:cs="Arial"/>
          <w:b/>
          <w:lang w:eastAsia="en-GB"/>
        </w:rPr>
      </w:pPr>
      <w:r w:rsidRPr="005D7F0C">
        <w:rPr>
          <w:rFonts w:ascii="Arial" w:eastAsia="Times New Roman" w:hAnsi="Arial" w:cs="Arial"/>
          <w:b/>
          <w:lang w:eastAsia="en-GB"/>
        </w:rPr>
        <w:t xml:space="preserve">Hargreaves Lansdown plc </w:t>
      </w:r>
    </w:p>
    <w:p w14:paraId="72AA90E1" w14:textId="77777777" w:rsidR="00CB6E30" w:rsidRPr="005D7F0C" w:rsidRDefault="00CB6E30" w:rsidP="00CB6E30">
      <w:pPr>
        <w:spacing w:before="240" w:after="240" w:line="240" w:lineRule="auto"/>
        <w:rPr>
          <w:rFonts w:ascii="Arial" w:eastAsia="Times New Roman" w:hAnsi="Arial" w:cs="Arial"/>
          <w:b/>
          <w:lang w:eastAsia="en-GB"/>
        </w:rPr>
      </w:pPr>
      <w:r w:rsidRPr="005D7F0C">
        <w:rPr>
          <w:rFonts w:ascii="Arial" w:eastAsia="Times New Roman" w:hAnsi="Arial" w:cs="Arial"/>
          <w:b/>
          <w:lang w:eastAsia="en-GB"/>
        </w:rPr>
        <w:t>Results of Annual General Meeting ("AGM")</w:t>
      </w:r>
    </w:p>
    <w:p w14:paraId="1484EC38" w14:textId="0AB916AB" w:rsidR="00CB6E30" w:rsidRPr="005D7F0C" w:rsidRDefault="00CB6E30" w:rsidP="00CB6E30">
      <w:pPr>
        <w:spacing w:before="240" w:after="240" w:line="240" w:lineRule="auto"/>
        <w:rPr>
          <w:rFonts w:ascii="Arial" w:eastAsia="Times New Roman" w:hAnsi="Arial" w:cs="Arial"/>
          <w:lang w:eastAsia="en-GB"/>
        </w:rPr>
      </w:pPr>
      <w:r w:rsidRPr="005D7F0C">
        <w:rPr>
          <w:rFonts w:ascii="Arial" w:eastAsia="Times New Roman" w:hAnsi="Arial" w:cs="Arial"/>
          <w:lang w:eastAsia="en-GB"/>
        </w:rPr>
        <w:t xml:space="preserve">The Board is pleased to announce that at the AGM of the Company held on </w:t>
      </w:r>
      <w:r w:rsidR="009F74BA">
        <w:rPr>
          <w:rFonts w:ascii="Arial" w:eastAsia="Times New Roman" w:hAnsi="Arial" w:cs="Arial"/>
          <w:lang w:eastAsia="en-GB"/>
        </w:rPr>
        <w:t>Friday 8</w:t>
      </w:r>
      <w:r w:rsidR="009F74BA" w:rsidRPr="009F74BA">
        <w:rPr>
          <w:rFonts w:ascii="Arial" w:eastAsia="Times New Roman" w:hAnsi="Arial" w:cs="Arial"/>
          <w:vertAlign w:val="superscript"/>
          <w:lang w:eastAsia="en-GB"/>
        </w:rPr>
        <w:t>th</w:t>
      </w:r>
      <w:r w:rsidR="009F74BA">
        <w:rPr>
          <w:rFonts w:ascii="Arial" w:eastAsia="Times New Roman" w:hAnsi="Arial" w:cs="Arial"/>
          <w:lang w:eastAsia="en-GB"/>
        </w:rPr>
        <w:t xml:space="preserve"> December 2023</w:t>
      </w:r>
      <w:r w:rsidRPr="005D7F0C">
        <w:rPr>
          <w:rFonts w:ascii="Arial" w:eastAsia="Times New Roman" w:hAnsi="Arial" w:cs="Arial"/>
          <w:lang w:eastAsia="en-GB"/>
        </w:rPr>
        <w:t xml:space="preserve">, all of the resolutions proposed </w:t>
      </w:r>
      <w:r w:rsidR="004A2C0E" w:rsidRPr="005D7F0C">
        <w:rPr>
          <w:rFonts w:ascii="Arial" w:eastAsia="Times New Roman" w:hAnsi="Arial" w:cs="Arial"/>
          <w:lang w:eastAsia="en-GB"/>
        </w:rPr>
        <w:t>at the</w:t>
      </w:r>
      <w:r w:rsidRPr="005D7F0C">
        <w:rPr>
          <w:rFonts w:ascii="Arial" w:eastAsia="Times New Roman" w:hAnsi="Arial" w:cs="Arial"/>
          <w:lang w:eastAsia="en-GB"/>
        </w:rPr>
        <w:t xml:space="preserve"> Meeting were duly passed </w:t>
      </w:r>
      <w:r w:rsidR="00050BFF" w:rsidRPr="005D7F0C">
        <w:rPr>
          <w:rFonts w:ascii="Arial" w:eastAsia="Times New Roman" w:hAnsi="Arial" w:cs="Arial"/>
          <w:lang w:eastAsia="en-GB"/>
        </w:rPr>
        <w:t>by shareholders</w:t>
      </w:r>
      <w:r w:rsidRPr="005D7F0C">
        <w:rPr>
          <w:rFonts w:ascii="Arial" w:eastAsia="Times New Roman" w:hAnsi="Arial" w:cs="Arial"/>
          <w:lang w:eastAsia="en-GB"/>
        </w:rPr>
        <w:t>.</w:t>
      </w:r>
    </w:p>
    <w:p w14:paraId="359FEC8E" w14:textId="5B19264B" w:rsidR="004E757A" w:rsidRPr="00FE0E68" w:rsidRDefault="00CB6E30" w:rsidP="00CB6E30">
      <w:pPr>
        <w:spacing w:before="240" w:after="240" w:line="240" w:lineRule="auto"/>
        <w:rPr>
          <w:rFonts w:ascii="Arial" w:eastAsia="Times New Roman" w:hAnsi="Arial" w:cs="Arial"/>
          <w:lang w:eastAsia="en-GB"/>
        </w:rPr>
      </w:pPr>
      <w:r w:rsidRPr="005D7F0C">
        <w:rPr>
          <w:rFonts w:ascii="Arial" w:eastAsia="Times New Roman" w:hAnsi="Arial" w:cs="Arial"/>
          <w:lang w:eastAsia="en-GB"/>
        </w:rPr>
        <w:t xml:space="preserve">For information, </w:t>
      </w:r>
      <w:r w:rsidR="00007948" w:rsidRPr="005D7F0C">
        <w:rPr>
          <w:rFonts w:ascii="Arial" w:eastAsia="Times New Roman" w:hAnsi="Arial" w:cs="Arial"/>
          <w:lang w:eastAsia="en-GB"/>
        </w:rPr>
        <w:t xml:space="preserve">full details of the votes received </w:t>
      </w:r>
      <w:r w:rsidRPr="005D7F0C">
        <w:rPr>
          <w:rFonts w:ascii="Arial" w:eastAsia="Times New Roman" w:hAnsi="Arial" w:cs="Arial"/>
          <w:lang w:eastAsia="en-GB"/>
        </w:rPr>
        <w:t>were as follows:</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49"/>
        <w:gridCol w:w="1318"/>
        <w:gridCol w:w="726"/>
        <w:gridCol w:w="1318"/>
        <w:gridCol w:w="615"/>
        <w:gridCol w:w="1318"/>
        <w:gridCol w:w="793"/>
        <w:gridCol w:w="1214"/>
      </w:tblGrid>
      <w:tr w:rsidR="002018DF" w:rsidRPr="009228F7" w14:paraId="263A05C9" w14:textId="07A96E73" w:rsidTr="00B37884">
        <w:trPr>
          <w:jc w:val="center"/>
        </w:trPr>
        <w:tc>
          <w:tcPr>
            <w:tcW w:w="1155" w:type="pct"/>
            <w:vMerge w:val="restart"/>
            <w:shd w:val="clear" w:color="auto" w:fill="FFFFFF"/>
            <w:tcMar>
              <w:top w:w="57" w:type="dxa"/>
              <w:left w:w="57" w:type="dxa"/>
              <w:bottom w:w="57" w:type="dxa"/>
              <w:right w:w="57" w:type="dxa"/>
            </w:tcMar>
            <w:vAlign w:val="center"/>
            <w:hideMark/>
          </w:tcPr>
          <w:p w14:paraId="69318A6B" w14:textId="77777777" w:rsidR="002018DF" w:rsidRPr="009228F7" w:rsidRDefault="002018DF" w:rsidP="00CB6E30">
            <w:pPr>
              <w:spacing w:before="240" w:after="240" w:line="240" w:lineRule="auto"/>
              <w:jc w:val="center"/>
              <w:rPr>
                <w:rFonts w:ascii="Arial" w:eastAsia="Times New Roman" w:hAnsi="Arial" w:cs="Arial"/>
                <w:sz w:val="19"/>
                <w:lang w:eastAsia="en-GB"/>
              </w:rPr>
            </w:pPr>
            <w:r w:rsidRPr="009228F7">
              <w:rPr>
                <w:rFonts w:ascii="Arial" w:eastAsia="Times New Roman" w:hAnsi="Arial" w:cs="Arial"/>
                <w:sz w:val="19"/>
                <w:lang w:eastAsia="en-GB"/>
              </w:rPr>
              <w:t>Resolution Number</w:t>
            </w:r>
          </w:p>
        </w:tc>
        <w:tc>
          <w:tcPr>
            <w:tcW w:w="1093" w:type="pct"/>
            <w:gridSpan w:val="2"/>
            <w:shd w:val="clear" w:color="auto" w:fill="FFFFFF"/>
            <w:tcMar>
              <w:top w:w="57" w:type="dxa"/>
              <w:left w:w="57" w:type="dxa"/>
              <w:bottom w:w="57" w:type="dxa"/>
              <w:right w:w="57" w:type="dxa"/>
            </w:tcMar>
            <w:vAlign w:val="center"/>
            <w:hideMark/>
          </w:tcPr>
          <w:p w14:paraId="2C982A2D" w14:textId="77777777" w:rsidR="002018DF" w:rsidRPr="009228F7" w:rsidRDefault="002018DF" w:rsidP="005D7F0C">
            <w:pPr>
              <w:spacing w:before="240" w:after="240" w:line="240" w:lineRule="auto"/>
              <w:jc w:val="center"/>
              <w:rPr>
                <w:rFonts w:ascii="Arial" w:eastAsia="Times New Roman" w:hAnsi="Arial" w:cs="Arial"/>
                <w:sz w:val="19"/>
                <w:lang w:eastAsia="en-GB"/>
              </w:rPr>
            </w:pPr>
            <w:r w:rsidRPr="009228F7">
              <w:rPr>
                <w:rFonts w:ascii="Arial" w:eastAsia="Times New Roman" w:hAnsi="Arial" w:cs="Arial"/>
                <w:sz w:val="19"/>
                <w:lang w:eastAsia="en-GB"/>
              </w:rPr>
              <w:t>For</w:t>
            </w:r>
          </w:p>
        </w:tc>
        <w:tc>
          <w:tcPr>
            <w:tcW w:w="974" w:type="pct"/>
            <w:gridSpan w:val="2"/>
            <w:shd w:val="clear" w:color="auto" w:fill="FFFFFF"/>
            <w:tcMar>
              <w:top w:w="57" w:type="dxa"/>
              <w:left w:w="57" w:type="dxa"/>
              <w:bottom w:w="57" w:type="dxa"/>
              <w:right w:w="57" w:type="dxa"/>
            </w:tcMar>
            <w:vAlign w:val="center"/>
            <w:hideMark/>
          </w:tcPr>
          <w:p w14:paraId="6496CB20" w14:textId="77777777" w:rsidR="002018DF" w:rsidRPr="009228F7" w:rsidRDefault="002018DF" w:rsidP="005D7F0C">
            <w:pPr>
              <w:spacing w:before="240" w:after="240" w:line="240" w:lineRule="auto"/>
              <w:jc w:val="center"/>
              <w:rPr>
                <w:rFonts w:ascii="Arial" w:eastAsia="Times New Roman" w:hAnsi="Arial" w:cs="Arial"/>
                <w:sz w:val="19"/>
                <w:lang w:eastAsia="en-GB"/>
              </w:rPr>
            </w:pPr>
            <w:r w:rsidRPr="009228F7">
              <w:rPr>
                <w:rFonts w:ascii="Arial" w:eastAsia="Times New Roman" w:hAnsi="Arial" w:cs="Arial"/>
                <w:sz w:val="19"/>
                <w:lang w:eastAsia="en-GB"/>
              </w:rPr>
              <w:t>Against</w:t>
            </w:r>
          </w:p>
        </w:tc>
        <w:tc>
          <w:tcPr>
            <w:tcW w:w="705" w:type="pct"/>
            <w:shd w:val="clear" w:color="auto" w:fill="FFFFFF"/>
            <w:tcMar>
              <w:top w:w="57" w:type="dxa"/>
              <w:left w:w="57" w:type="dxa"/>
              <w:bottom w:w="57" w:type="dxa"/>
              <w:right w:w="57" w:type="dxa"/>
            </w:tcMar>
            <w:vAlign w:val="center"/>
            <w:hideMark/>
          </w:tcPr>
          <w:p w14:paraId="373A0D4B" w14:textId="77777777" w:rsidR="006423F2" w:rsidRDefault="002018DF" w:rsidP="005D7F0C">
            <w:pPr>
              <w:spacing w:before="240" w:after="240" w:line="240" w:lineRule="auto"/>
              <w:jc w:val="center"/>
              <w:rPr>
                <w:rFonts w:ascii="Arial" w:eastAsia="Times New Roman" w:hAnsi="Arial" w:cs="Arial"/>
                <w:sz w:val="19"/>
                <w:lang w:eastAsia="en-GB"/>
              </w:rPr>
            </w:pPr>
            <w:r w:rsidRPr="00C22157">
              <w:rPr>
                <w:rFonts w:ascii="Arial" w:eastAsia="Times New Roman" w:hAnsi="Arial" w:cs="Arial"/>
                <w:sz w:val="19"/>
                <w:lang w:eastAsia="en-GB"/>
              </w:rPr>
              <w:t xml:space="preserve">Total </w:t>
            </w:r>
          </w:p>
          <w:p w14:paraId="07FB6F1C" w14:textId="2FBB15A4" w:rsidR="002018DF" w:rsidRPr="009228F7" w:rsidRDefault="002018DF" w:rsidP="005D7F0C">
            <w:pPr>
              <w:spacing w:before="240" w:after="240" w:line="240" w:lineRule="auto"/>
              <w:jc w:val="center"/>
              <w:rPr>
                <w:rFonts w:ascii="Arial" w:eastAsia="Times New Roman" w:hAnsi="Arial" w:cs="Arial"/>
                <w:sz w:val="19"/>
                <w:lang w:eastAsia="en-GB"/>
              </w:rPr>
            </w:pPr>
            <w:r w:rsidRPr="00C22157">
              <w:rPr>
                <w:rFonts w:ascii="Arial" w:eastAsia="Times New Roman" w:hAnsi="Arial" w:cs="Arial"/>
                <w:sz w:val="19"/>
                <w:lang w:eastAsia="en-GB"/>
              </w:rPr>
              <w:t>Vote *</w:t>
            </w:r>
          </w:p>
        </w:tc>
        <w:tc>
          <w:tcPr>
            <w:tcW w:w="424" w:type="pct"/>
            <w:vMerge w:val="restart"/>
            <w:shd w:val="clear" w:color="auto" w:fill="FFFFFF"/>
            <w:tcMar>
              <w:top w:w="57" w:type="dxa"/>
              <w:left w:w="57" w:type="dxa"/>
              <w:bottom w:w="57" w:type="dxa"/>
              <w:right w:w="57" w:type="dxa"/>
            </w:tcMar>
            <w:vAlign w:val="center"/>
            <w:hideMark/>
          </w:tcPr>
          <w:p w14:paraId="7D15720F" w14:textId="232AD702" w:rsidR="002018DF" w:rsidRPr="009228F7" w:rsidRDefault="002018DF" w:rsidP="005D7F0C">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 of ISC</w:t>
            </w:r>
            <w:r w:rsidR="00D513E2">
              <w:rPr>
                <w:rFonts w:ascii="Arial" w:eastAsia="Times New Roman" w:hAnsi="Arial" w:cs="Arial"/>
                <w:sz w:val="19"/>
                <w:lang w:eastAsia="en-GB"/>
              </w:rPr>
              <w:t xml:space="preserve"> voted</w:t>
            </w:r>
          </w:p>
          <w:p w14:paraId="53E2288A" w14:textId="434EC13B" w:rsidR="002018DF" w:rsidRPr="009228F7" w:rsidRDefault="002018DF" w:rsidP="005D7F0C">
            <w:pPr>
              <w:spacing w:before="240" w:after="240" w:line="240" w:lineRule="auto"/>
              <w:jc w:val="center"/>
              <w:rPr>
                <w:rFonts w:ascii="Arial" w:eastAsia="Times New Roman" w:hAnsi="Arial" w:cs="Arial"/>
                <w:sz w:val="19"/>
                <w:lang w:eastAsia="en-GB"/>
              </w:rPr>
            </w:pPr>
          </w:p>
        </w:tc>
        <w:tc>
          <w:tcPr>
            <w:tcW w:w="649" w:type="pct"/>
            <w:shd w:val="clear" w:color="auto" w:fill="FFFFFF"/>
          </w:tcPr>
          <w:p w14:paraId="09FED752" w14:textId="240D3CB1" w:rsidR="002018DF" w:rsidRPr="009228F7" w:rsidRDefault="005D7F0C" w:rsidP="005D7F0C">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Withheld</w:t>
            </w:r>
            <w:r w:rsidR="002018DF">
              <w:rPr>
                <w:rFonts w:ascii="Arial" w:eastAsia="Times New Roman" w:hAnsi="Arial" w:cs="Arial"/>
                <w:sz w:val="19"/>
                <w:lang w:eastAsia="en-GB"/>
              </w:rPr>
              <w:t xml:space="preserve"> *</w:t>
            </w:r>
          </w:p>
        </w:tc>
      </w:tr>
      <w:tr w:rsidR="00747976" w:rsidRPr="009228F7" w14:paraId="3B6747AC" w14:textId="10971858" w:rsidTr="00B37884">
        <w:trPr>
          <w:jc w:val="center"/>
        </w:trPr>
        <w:tc>
          <w:tcPr>
            <w:tcW w:w="1155" w:type="pct"/>
            <w:vMerge/>
            <w:shd w:val="clear" w:color="auto" w:fill="FFFFFF"/>
            <w:vAlign w:val="center"/>
            <w:hideMark/>
          </w:tcPr>
          <w:p w14:paraId="1AFCA6B8" w14:textId="77777777" w:rsidR="002018DF" w:rsidRPr="009228F7" w:rsidRDefault="002018DF" w:rsidP="008F5D08">
            <w:pPr>
              <w:spacing w:before="240" w:after="240" w:line="240" w:lineRule="auto"/>
              <w:jc w:val="center"/>
              <w:rPr>
                <w:rFonts w:ascii="Arial" w:eastAsia="Times New Roman" w:hAnsi="Arial" w:cs="Arial"/>
                <w:sz w:val="19"/>
                <w:lang w:eastAsia="en-GB"/>
              </w:rPr>
            </w:pPr>
          </w:p>
        </w:tc>
        <w:tc>
          <w:tcPr>
            <w:tcW w:w="705" w:type="pct"/>
            <w:shd w:val="clear" w:color="auto" w:fill="FFFFFF"/>
            <w:tcMar>
              <w:top w:w="57" w:type="dxa"/>
              <w:left w:w="57" w:type="dxa"/>
              <w:bottom w:w="57" w:type="dxa"/>
              <w:right w:w="57" w:type="dxa"/>
            </w:tcMar>
            <w:vAlign w:val="center"/>
            <w:hideMark/>
          </w:tcPr>
          <w:p w14:paraId="6994AB3F" w14:textId="77777777" w:rsidR="002018DF" w:rsidRPr="009228F7" w:rsidRDefault="002018DF" w:rsidP="005D7F0C">
            <w:pPr>
              <w:spacing w:before="240" w:after="240" w:line="240" w:lineRule="auto"/>
              <w:ind w:right="67"/>
              <w:jc w:val="center"/>
              <w:rPr>
                <w:rFonts w:ascii="Arial" w:eastAsia="Times New Roman" w:hAnsi="Arial" w:cs="Arial"/>
                <w:sz w:val="19"/>
                <w:lang w:eastAsia="en-GB"/>
              </w:rPr>
            </w:pPr>
            <w:r w:rsidRPr="009228F7">
              <w:rPr>
                <w:rFonts w:ascii="Arial" w:eastAsia="Times New Roman" w:hAnsi="Arial" w:cs="Arial"/>
                <w:sz w:val="19"/>
                <w:lang w:eastAsia="en-GB"/>
              </w:rPr>
              <w:t>No. of Votes</w:t>
            </w:r>
          </w:p>
        </w:tc>
        <w:tc>
          <w:tcPr>
            <w:tcW w:w="388" w:type="pct"/>
            <w:shd w:val="clear" w:color="auto" w:fill="FFFFFF"/>
            <w:tcMar>
              <w:top w:w="57" w:type="dxa"/>
              <w:left w:w="57" w:type="dxa"/>
              <w:bottom w:w="57" w:type="dxa"/>
              <w:right w:w="57" w:type="dxa"/>
            </w:tcMar>
            <w:vAlign w:val="center"/>
            <w:hideMark/>
          </w:tcPr>
          <w:p w14:paraId="077A77E4" w14:textId="77777777" w:rsidR="002018DF" w:rsidRPr="009228F7" w:rsidRDefault="002018DF" w:rsidP="005D7F0C">
            <w:pPr>
              <w:spacing w:before="240" w:after="240" w:line="240" w:lineRule="auto"/>
              <w:jc w:val="center"/>
              <w:rPr>
                <w:rFonts w:ascii="Arial" w:eastAsia="Times New Roman" w:hAnsi="Arial" w:cs="Arial"/>
                <w:sz w:val="19"/>
                <w:lang w:eastAsia="en-GB"/>
              </w:rPr>
            </w:pPr>
            <w:r w:rsidRPr="009228F7">
              <w:rPr>
                <w:rFonts w:ascii="Arial" w:eastAsia="Times New Roman" w:hAnsi="Arial" w:cs="Arial"/>
                <w:sz w:val="19"/>
                <w:lang w:eastAsia="en-GB"/>
              </w:rPr>
              <w:t>%</w:t>
            </w:r>
          </w:p>
        </w:tc>
        <w:tc>
          <w:tcPr>
            <w:tcW w:w="705" w:type="pct"/>
            <w:shd w:val="clear" w:color="auto" w:fill="FFFFFF"/>
            <w:tcMar>
              <w:top w:w="57" w:type="dxa"/>
              <w:left w:w="57" w:type="dxa"/>
              <w:bottom w:w="57" w:type="dxa"/>
              <w:right w:w="57" w:type="dxa"/>
            </w:tcMar>
            <w:vAlign w:val="center"/>
            <w:hideMark/>
          </w:tcPr>
          <w:p w14:paraId="00561DCE" w14:textId="77777777" w:rsidR="002018DF" w:rsidRPr="009228F7" w:rsidRDefault="002018DF" w:rsidP="005D7F0C">
            <w:pPr>
              <w:spacing w:before="240" w:after="240" w:line="240" w:lineRule="auto"/>
              <w:jc w:val="center"/>
              <w:rPr>
                <w:rFonts w:ascii="Arial" w:eastAsia="Times New Roman" w:hAnsi="Arial" w:cs="Arial"/>
                <w:sz w:val="19"/>
                <w:lang w:eastAsia="en-GB"/>
              </w:rPr>
            </w:pPr>
            <w:r w:rsidRPr="009228F7">
              <w:rPr>
                <w:rFonts w:ascii="Arial" w:eastAsia="Times New Roman" w:hAnsi="Arial" w:cs="Arial"/>
                <w:sz w:val="19"/>
                <w:lang w:eastAsia="en-GB"/>
              </w:rPr>
              <w:t>No. of Votes</w:t>
            </w:r>
          </w:p>
        </w:tc>
        <w:tc>
          <w:tcPr>
            <w:tcW w:w="269" w:type="pct"/>
            <w:shd w:val="clear" w:color="auto" w:fill="FFFFFF"/>
            <w:tcMar>
              <w:top w:w="57" w:type="dxa"/>
              <w:left w:w="57" w:type="dxa"/>
              <w:bottom w:w="57" w:type="dxa"/>
              <w:right w:w="57" w:type="dxa"/>
            </w:tcMar>
            <w:vAlign w:val="center"/>
            <w:hideMark/>
          </w:tcPr>
          <w:p w14:paraId="02C20F41" w14:textId="77777777" w:rsidR="002018DF" w:rsidRPr="009228F7" w:rsidRDefault="002018DF" w:rsidP="005D7F0C">
            <w:pPr>
              <w:spacing w:before="240" w:after="240" w:line="240" w:lineRule="auto"/>
              <w:jc w:val="center"/>
              <w:rPr>
                <w:rFonts w:ascii="Arial" w:eastAsia="Times New Roman" w:hAnsi="Arial" w:cs="Arial"/>
                <w:sz w:val="19"/>
                <w:lang w:eastAsia="en-GB"/>
              </w:rPr>
            </w:pPr>
            <w:r w:rsidRPr="009228F7">
              <w:rPr>
                <w:rFonts w:ascii="Arial" w:eastAsia="Times New Roman" w:hAnsi="Arial" w:cs="Arial"/>
                <w:sz w:val="19"/>
                <w:lang w:eastAsia="en-GB"/>
              </w:rPr>
              <w:t>%</w:t>
            </w:r>
          </w:p>
        </w:tc>
        <w:tc>
          <w:tcPr>
            <w:tcW w:w="705" w:type="pct"/>
            <w:shd w:val="clear" w:color="auto" w:fill="FFFFFF"/>
            <w:tcMar>
              <w:top w:w="57" w:type="dxa"/>
              <w:left w:w="57" w:type="dxa"/>
              <w:bottom w:w="57" w:type="dxa"/>
              <w:right w:w="57" w:type="dxa"/>
            </w:tcMar>
            <w:vAlign w:val="center"/>
            <w:hideMark/>
          </w:tcPr>
          <w:p w14:paraId="69CFD28E" w14:textId="77777777" w:rsidR="002018DF" w:rsidRPr="009228F7" w:rsidRDefault="002018DF" w:rsidP="005D7F0C">
            <w:pPr>
              <w:spacing w:before="240" w:after="240" w:line="240" w:lineRule="auto"/>
              <w:jc w:val="center"/>
              <w:rPr>
                <w:rFonts w:ascii="Arial" w:eastAsia="Times New Roman" w:hAnsi="Arial" w:cs="Arial"/>
                <w:sz w:val="19"/>
                <w:lang w:eastAsia="en-GB"/>
              </w:rPr>
            </w:pPr>
            <w:r w:rsidRPr="009228F7">
              <w:rPr>
                <w:rFonts w:ascii="Arial" w:eastAsia="Times New Roman" w:hAnsi="Arial" w:cs="Arial"/>
                <w:sz w:val="19"/>
                <w:lang w:eastAsia="en-GB"/>
              </w:rPr>
              <w:t>No. of Votes</w:t>
            </w:r>
          </w:p>
        </w:tc>
        <w:tc>
          <w:tcPr>
            <w:tcW w:w="424" w:type="pct"/>
            <w:vMerge/>
            <w:shd w:val="clear" w:color="auto" w:fill="FFFFFF"/>
            <w:tcMar>
              <w:top w:w="57" w:type="dxa"/>
              <w:left w:w="57" w:type="dxa"/>
              <w:bottom w:w="57" w:type="dxa"/>
              <w:right w:w="57" w:type="dxa"/>
            </w:tcMar>
            <w:vAlign w:val="center"/>
            <w:hideMark/>
          </w:tcPr>
          <w:p w14:paraId="64CD84AA" w14:textId="0F63A74A" w:rsidR="002018DF" w:rsidRPr="009228F7" w:rsidRDefault="002018DF" w:rsidP="005D7F0C">
            <w:pPr>
              <w:spacing w:before="240" w:after="240" w:line="240" w:lineRule="auto"/>
              <w:jc w:val="center"/>
              <w:rPr>
                <w:rFonts w:ascii="Arial" w:eastAsia="Times New Roman" w:hAnsi="Arial" w:cs="Arial"/>
                <w:sz w:val="19"/>
                <w:lang w:eastAsia="en-GB"/>
              </w:rPr>
            </w:pPr>
          </w:p>
        </w:tc>
        <w:tc>
          <w:tcPr>
            <w:tcW w:w="649" w:type="pct"/>
            <w:shd w:val="clear" w:color="auto" w:fill="FFFFFF"/>
          </w:tcPr>
          <w:p w14:paraId="0F8D9A40" w14:textId="6AD0BCEB" w:rsidR="002018DF" w:rsidRPr="009228F7" w:rsidRDefault="002018DF" w:rsidP="005D7F0C">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No. of votes</w:t>
            </w:r>
          </w:p>
        </w:tc>
      </w:tr>
      <w:tr w:rsidR="00B37884" w:rsidRPr="009228F7" w14:paraId="59CDA282" w14:textId="46633828" w:rsidTr="00B37884">
        <w:trPr>
          <w:trHeight w:hRule="exact" w:val="1134"/>
          <w:jc w:val="center"/>
        </w:trPr>
        <w:tc>
          <w:tcPr>
            <w:tcW w:w="1155" w:type="pct"/>
            <w:shd w:val="clear" w:color="auto" w:fill="FFFFFF"/>
            <w:tcMar>
              <w:top w:w="57" w:type="dxa"/>
              <w:left w:w="57" w:type="dxa"/>
              <w:bottom w:w="57" w:type="dxa"/>
              <w:right w:w="57" w:type="dxa"/>
            </w:tcMar>
            <w:vAlign w:val="center"/>
            <w:hideMark/>
          </w:tcPr>
          <w:p w14:paraId="04356A21" w14:textId="77777777" w:rsidR="00B37884" w:rsidRPr="009228F7" w:rsidRDefault="00B37884" w:rsidP="00B37884">
            <w:pPr>
              <w:spacing w:before="240" w:after="240" w:line="240" w:lineRule="auto"/>
              <w:jc w:val="center"/>
              <w:rPr>
                <w:rFonts w:ascii="Arial" w:eastAsia="Times New Roman" w:hAnsi="Arial" w:cs="Arial"/>
                <w:sz w:val="19"/>
                <w:lang w:eastAsia="en-GB"/>
              </w:rPr>
            </w:pPr>
            <w:r w:rsidRPr="009228F7">
              <w:rPr>
                <w:rFonts w:ascii="Arial" w:eastAsia="Times New Roman" w:hAnsi="Arial" w:cs="Arial"/>
                <w:sz w:val="19"/>
                <w:lang w:eastAsia="en-GB"/>
              </w:rPr>
              <w:t>1. Receive the Report of Directors and Audited Accounts</w:t>
            </w:r>
          </w:p>
        </w:tc>
        <w:tc>
          <w:tcPr>
            <w:tcW w:w="70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103522E6" w14:textId="52B27FFB" w:rsidR="00B37884" w:rsidRPr="00F90984" w:rsidRDefault="00B37884" w:rsidP="00B37884">
            <w:pPr>
              <w:spacing w:after="0" w:line="240" w:lineRule="auto"/>
              <w:jc w:val="center"/>
              <w:rPr>
                <w:rFonts w:asciiTheme="minorHAnsi" w:hAnsiTheme="minorHAnsi" w:cstheme="minorHAnsi"/>
                <w:lang w:eastAsia="en-GB"/>
              </w:rPr>
            </w:pPr>
            <w:r>
              <w:rPr>
                <w:rFonts w:ascii="Arial" w:hAnsi="Arial" w:cs="Arial"/>
                <w:sz w:val="20"/>
                <w:szCs w:val="20"/>
              </w:rPr>
              <w:t>397,839,710</w:t>
            </w:r>
          </w:p>
        </w:tc>
        <w:tc>
          <w:tcPr>
            <w:tcW w:w="388" w:type="pct"/>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618879CA" w14:textId="24E49887" w:rsidR="00B37884" w:rsidRPr="00F90984" w:rsidRDefault="00B37884" w:rsidP="00B37884">
            <w:pPr>
              <w:jc w:val="center"/>
              <w:rPr>
                <w:rFonts w:asciiTheme="minorHAnsi" w:hAnsiTheme="minorHAnsi" w:cstheme="minorHAnsi"/>
              </w:rPr>
            </w:pPr>
            <w:r>
              <w:rPr>
                <w:rFonts w:ascii="Arial" w:hAnsi="Arial" w:cs="Arial"/>
                <w:sz w:val="20"/>
                <w:szCs w:val="20"/>
              </w:rPr>
              <w:t>99.85</w:t>
            </w:r>
          </w:p>
        </w:tc>
        <w:tc>
          <w:tcPr>
            <w:tcW w:w="705" w:type="pct"/>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FF1DC8D" w14:textId="70BC2C6F" w:rsidR="00B37884" w:rsidRPr="00287589" w:rsidRDefault="00B37884" w:rsidP="00B37884">
            <w:pPr>
              <w:jc w:val="center"/>
              <w:rPr>
                <w:rFonts w:asciiTheme="minorHAnsi" w:hAnsiTheme="minorHAnsi" w:cstheme="minorHAnsi"/>
              </w:rPr>
            </w:pPr>
            <w:r>
              <w:rPr>
                <w:rFonts w:ascii="Arial" w:hAnsi="Arial" w:cs="Arial"/>
                <w:sz w:val="20"/>
                <w:szCs w:val="20"/>
              </w:rPr>
              <w:t>616,257</w:t>
            </w:r>
          </w:p>
        </w:tc>
        <w:tc>
          <w:tcPr>
            <w:tcW w:w="269" w:type="pct"/>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CA71657" w14:textId="7E01A3C5" w:rsidR="00B37884" w:rsidRPr="00F90984" w:rsidRDefault="00B37884" w:rsidP="00B37884">
            <w:pPr>
              <w:jc w:val="center"/>
              <w:rPr>
                <w:rFonts w:asciiTheme="minorHAnsi" w:hAnsiTheme="minorHAnsi" w:cstheme="minorHAnsi"/>
              </w:rPr>
            </w:pPr>
            <w:r>
              <w:rPr>
                <w:rFonts w:ascii="Arial" w:hAnsi="Arial" w:cs="Arial"/>
                <w:sz w:val="20"/>
                <w:szCs w:val="20"/>
              </w:rPr>
              <w:t>0.15</w:t>
            </w:r>
          </w:p>
        </w:tc>
        <w:tc>
          <w:tcPr>
            <w:tcW w:w="705" w:type="pct"/>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3110F108" w14:textId="1FF4A9BD" w:rsidR="00B37884" w:rsidRPr="00B81033" w:rsidRDefault="00B37884" w:rsidP="00B37884">
            <w:pPr>
              <w:jc w:val="center"/>
            </w:pPr>
            <w:r>
              <w:rPr>
                <w:rFonts w:ascii="Arial" w:hAnsi="Arial" w:cs="Arial"/>
                <w:sz w:val="20"/>
                <w:szCs w:val="20"/>
              </w:rPr>
              <w:t>398,455,967</w:t>
            </w:r>
          </w:p>
        </w:tc>
        <w:tc>
          <w:tcPr>
            <w:tcW w:w="424" w:type="pct"/>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1FB8942" w14:textId="0820842A" w:rsidR="00B37884" w:rsidRPr="00DE10AB" w:rsidRDefault="00B37884" w:rsidP="00B37884">
            <w:pPr>
              <w:jc w:val="center"/>
            </w:pPr>
            <w:r>
              <w:rPr>
                <w:rFonts w:ascii="Arial" w:hAnsi="Arial" w:cs="Arial"/>
                <w:sz w:val="20"/>
                <w:szCs w:val="20"/>
              </w:rPr>
              <w:t>84.01%</w:t>
            </w:r>
          </w:p>
        </w:tc>
        <w:tc>
          <w:tcPr>
            <w:tcW w:w="649" w:type="pct"/>
            <w:tcBorders>
              <w:top w:val="single" w:sz="4" w:space="0" w:color="auto"/>
              <w:left w:val="nil"/>
              <w:bottom w:val="single" w:sz="4" w:space="0" w:color="auto"/>
              <w:right w:val="single" w:sz="4" w:space="0" w:color="auto"/>
            </w:tcBorders>
            <w:shd w:val="clear" w:color="auto" w:fill="auto"/>
            <w:vAlign w:val="bottom"/>
          </w:tcPr>
          <w:p w14:paraId="676E2521" w14:textId="627B0431" w:rsidR="00B37884" w:rsidRPr="00DE10AB" w:rsidRDefault="00B37884" w:rsidP="00B37884">
            <w:pPr>
              <w:jc w:val="center"/>
            </w:pPr>
            <w:r>
              <w:rPr>
                <w:rFonts w:ascii="Arial" w:hAnsi="Arial" w:cs="Arial"/>
                <w:sz w:val="20"/>
                <w:szCs w:val="20"/>
              </w:rPr>
              <w:t>6,994,553</w:t>
            </w:r>
          </w:p>
        </w:tc>
      </w:tr>
      <w:tr w:rsidR="00B37884" w:rsidRPr="009228F7" w14:paraId="7693478F" w14:textId="07935196" w:rsidTr="00B37884">
        <w:trPr>
          <w:trHeight w:hRule="exact" w:val="1134"/>
          <w:jc w:val="center"/>
        </w:trPr>
        <w:tc>
          <w:tcPr>
            <w:tcW w:w="1155" w:type="pct"/>
            <w:shd w:val="clear" w:color="auto" w:fill="FFFFFF"/>
            <w:tcMar>
              <w:top w:w="57" w:type="dxa"/>
              <w:left w:w="57" w:type="dxa"/>
              <w:bottom w:w="57" w:type="dxa"/>
              <w:right w:w="57" w:type="dxa"/>
            </w:tcMar>
            <w:vAlign w:val="center"/>
          </w:tcPr>
          <w:p w14:paraId="40E0470B" w14:textId="77777777" w:rsidR="00B37884" w:rsidRPr="009228F7" w:rsidRDefault="00B37884" w:rsidP="00B37884">
            <w:pPr>
              <w:spacing w:before="240" w:after="240" w:line="240" w:lineRule="auto"/>
              <w:jc w:val="center"/>
              <w:rPr>
                <w:rFonts w:ascii="Arial" w:eastAsia="Times New Roman" w:hAnsi="Arial" w:cs="Arial"/>
                <w:sz w:val="19"/>
                <w:lang w:eastAsia="en-GB"/>
              </w:rPr>
            </w:pPr>
            <w:r w:rsidRPr="009228F7">
              <w:rPr>
                <w:rFonts w:ascii="Arial" w:eastAsia="Times New Roman" w:hAnsi="Arial" w:cs="Arial"/>
                <w:sz w:val="19"/>
                <w:lang w:eastAsia="en-GB"/>
              </w:rPr>
              <w:t>2. Approve the final dividend</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77124776" w14:textId="245CA9D6" w:rsidR="00B37884" w:rsidRPr="00F90984" w:rsidRDefault="00B37884" w:rsidP="00B37884">
            <w:pPr>
              <w:jc w:val="center"/>
              <w:rPr>
                <w:rFonts w:asciiTheme="minorHAnsi" w:hAnsiTheme="minorHAnsi" w:cstheme="minorHAnsi"/>
              </w:rPr>
            </w:pPr>
            <w:r>
              <w:rPr>
                <w:rFonts w:ascii="Arial" w:hAnsi="Arial" w:cs="Arial"/>
                <w:sz w:val="20"/>
                <w:szCs w:val="20"/>
              </w:rPr>
              <w:t>405,431,812</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134C6B3D" w14:textId="11EC4F03" w:rsidR="00B37884" w:rsidRPr="00F90984" w:rsidRDefault="00B37884" w:rsidP="00B37884">
            <w:pPr>
              <w:jc w:val="center"/>
              <w:rPr>
                <w:rFonts w:asciiTheme="minorHAnsi" w:hAnsiTheme="minorHAnsi" w:cstheme="minorHAnsi"/>
              </w:rPr>
            </w:pPr>
            <w:r>
              <w:rPr>
                <w:rFonts w:ascii="Arial" w:hAnsi="Arial" w:cs="Arial"/>
                <w:sz w:val="20"/>
                <w:szCs w:val="20"/>
              </w:rPr>
              <w:t>100.00</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5BAAFE4" w14:textId="319FD885" w:rsidR="00B37884" w:rsidRPr="00F90984" w:rsidRDefault="00B37884" w:rsidP="00B37884">
            <w:pPr>
              <w:jc w:val="center"/>
              <w:rPr>
                <w:rFonts w:asciiTheme="minorHAnsi" w:hAnsiTheme="minorHAnsi" w:cstheme="minorHAnsi"/>
              </w:rPr>
            </w:pPr>
            <w:r>
              <w:rPr>
                <w:rFonts w:ascii="Arial" w:hAnsi="Arial" w:cs="Arial"/>
                <w:sz w:val="20"/>
                <w:szCs w:val="20"/>
              </w:rPr>
              <w:t>6,782</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15FAA887" w14:textId="5C422328" w:rsidR="00B37884" w:rsidRPr="00F90984" w:rsidRDefault="00B37884" w:rsidP="00B37884">
            <w:pPr>
              <w:jc w:val="center"/>
              <w:rPr>
                <w:rFonts w:asciiTheme="minorHAnsi" w:hAnsiTheme="minorHAnsi" w:cstheme="minorHAnsi"/>
              </w:rPr>
            </w:pPr>
            <w:r>
              <w:rPr>
                <w:rFonts w:ascii="Arial" w:hAnsi="Arial" w:cs="Arial"/>
                <w:sz w:val="20"/>
                <w:szCs w:val="20"/>
              </w:rPr>
              <w:t>0.00</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4C200FB2" w14:textId="704BA240" w:rsidR="00B37884" w:rsidRPr="00B81033" w:rsidRDefault="00B37884" w:rsidP="00B37884">
            <w:pPr>
              <w:jc w:val="center"/>
            </w:pPr>
            <w:r>
              <w:rPr>
                <w:rFonts w:ascii="Arial" w:hAnsi="Arial" w:cs="Arial"/>
                <w:sz w:val="20"/>
                <w:szCs w:val="20"/>
              </w:rPr>
              <w:t>405,438,594</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506F28A" w14:textId="209C6098" w:rsidR="00B37884" w:rsidRPr="00DE10AB" w:rsidRDefault="00B37884" w:rsidP="00B37884">
            <w:pPr>
              <w:jc w:val="center"/>
            </w:pPr>
            <w:r>
              <w:rPr>
                <w:rFonts w:ascii="Arial" w:hAnsi="Arial" w:cs="Arial"/>
                <w:sz w:val="20"/>
                <w:szCs w:val="20"/>
              </w:rPr>
              <w:t>85.48%</w:t>
            </w:r>
          </w:p>
        </w:tc>
        <w:tc>
          <w:tcPr>
            <w:tcW w:w="649" w:type="pct"/>
            <w:tcBorders>
              <w:top w:val="nil"/>
              <w:left w:val="nil"/>
              <w:bottom w:val="single" w:sz="4" w:space="0" w:color="auto"/>
              <w:right w:val="single" w:sz="4" w:space="0" w:color="auto"/>
            </w:tcBorders>
            <w:shd w:val="clear" w:color="auto" w:fill="auto"/>
            <w:vAlign w:val="bottom"/>
          </w:tcPr>
          <w:p w14:paraId="39AD9EDD" w14:textId="2A327E10" w:rsidR="00B37884" w:rsidRPr="00DE10AB" w:rsidRDefault="00B37884" w:rsidP="00B37884">
            <w:pPr>
              <w:jc w:val="center"/>
            </w:pPr>
            <w:r>
              <w:rPr>
                <w:rFonts w:ascii="Arial" w:hAnsi="Arial" w:cs="Arial"/>
                <w:sz w:val="20"/>
                <w:szCs w:val="20"/>
              </w:rPr>
              <w:t>11,926</w:t>
            </w:r>
          </w:p>
        </w:tc>
      </w:tr>
      <w:tr w:rsidR="00B37884" w:rsidRPr="009228F7" w14:paraId="6AB11448" w14:textId="77777777" w:rsidTr="00B37884">
        <w:trPr>
          <w:trHeight w:hRule="exact" w:val="1134"/>
          <w:jc w:val="center"/>
        </w:trPr>
        <w:tc>
          <w:tcPr>
            <w:tcW w:w="1155" w:type="pct"/>
            <w:shd w:val="clear" w:color="auto" w:fill="FFFFFF"/>
            <w:tcMar>
              <w:top w:w="57" w:type="dxa"/>
              <w:left w:w="57" w:type="dxa"/>
              <w:bottom w:w="57" w:type="dxa"/>
              <w:right w:w="57" w:type="dxa"/>
            </w:tcMar>
            <w:vAlign w:val="center"/>
          </w:tcPr>
          <w:p w14:paraId="35222A7A" w14:textId="11E410F9" w:rsidR="00B37884" w:rsidRPr="009228F7" w:rsidRDefault="00B37884" w:rsidP="00B37884">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3. Approve Directors’ Report on Remuneration</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7AC4540C" w14:textId="6E1AF34B" w:rsidR="00B37884" w:rsidRPr="00F90984" w:rsidRDefault="00B37884" w:rsidP="00B37884">
            <w:pPr>
              <w:jc w:val="center"/>
              <w:rPr>
                <w:rFonts w:asciiTheme="minorHAnsi" w:hAnsiTheme="minorHAnsi" w:cstheme="minorHAnsi"/>
              </w:rPr>
            </w:pPr>
            <w:r>
              <w:rPr>
                <w:rFonts w:ascii="Arial" w:hAnsi="Arial" w:cs="Arial"/>
                <w:sz w:val="20"/>
                <w:szCs w:val="20"/>
              </w:rPr>
              <w:t>302,104,242</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58D9465F" w14:textId="1AF46907" w:rsidR="00B37884" w:rsidRPr="00F90984" w:rsidRDefault="00B37884" w:rsidP="00B37884">
            <w:pPr>
              <w:jc w:val="center"/>
              <w:rPr>
                <w:rFonts w:asciiTheme="minorHAnsi" w:hAnsiTheme="minorHAnsi" w:cstheme="minorHAnsi"/>
              </w:rPr>
            </w:pPr>
            <w:r>
              <w:rPr>
                <w:rFonts w:ascii="Arial" w:hAnsi="Arial" w:cs="Arial"/>
                <w:sz w:val="20"/>
                <w:szCs w:val="20"/>
              </w:rPr>
              <w:t>96.96</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26D87A6" w14:textId="2D6DF0DC" w:rsidR="00B37884" w:rsidRPr="00F90984" w:rsidRDefault="00B37884" w:rsidP="00B37884">
            <w:pPr>
              <w:jc w:val="center"/>
              <w:rPr>
                <w:rFonts w:asciiTheme="minorHAnsi" w:hAnsiTheme="minorHAnsi" w:cstheme="minorHAnsi"/>
              </w:rPr>
            </w:pPr>
            <w:r>
              <w:rPr>
                <w:rFonts w:ascii="Arial" w:hAnsi="Arial" w:cs="Arial"/>
                <w:sz w:val="20"/>
                <w:szCs w:val="20"/>
              </w:rPr>
              <w:t>9,466,162</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5EF9BCAD" w14:textId="6DBDEE0D" w:rsidR="00B37884" w:rsidRPr="00F90984" w:rsidRDefault="00B37884" w:rsidP="00B37884">
            <w:pPr>
              <w:jc w:val="center"/>
              <w:rPr>
                <w:rFonts w:asciiTheme="minorHAnsi" w:hAnsiTheme="minorHAnsi" w:cstheme="minorHAnsi"/>
              </w:rPr>
            </w:pPr>
            <w:r>
              <w:rPr>
                <w:rFonts w:ascii="Arial" w:hAnsi="Arial" w:cs="Arial"/>
                <w:sz w:val="20"/>
                <w:szCs w:val="20"/>
              </w:rPr>
              <w:t>3.04</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DC81CBA" w14:textId="2A626987" w:rsidR="00B37884" w:rsidRPr="00B81033" w:rsidRDefault="00B37884" w:rsidP="00B37884">
            <w:pPr>
              <w:jc w:val="center"/>
            </w:pPr>
            <w:r>
              <w:rPr>
                <w:rFonts w:ascii="Arial" w:hAnsi="Arial" w:cs="Arial"/>
                <w:sz w:val="20"/>
                <w:szCs w:val="20"/>
              </w:rPr>
              <w:t>311,570,404</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102EA47" w14:textId="1C771CD0" w:rsidR="00B37884" w:rsidRPr="00DE10AB" w:rsidRDefault="00B37884" w:rsidP="00B37884">
            <w:pPr>
              <w:jc w:val="center"/>
            </w:pPr>
            <w:r>
              <w:rPr>
                <w:rFonts w:ascii="Arial" w:hAnsi="Arial" w:cs="Arial"/>
                <w:sz w:val="20"/>
                <w:szCs w:val="20"/>
              </w:rPr>
              <w:t>65.69%</w:t>
            </w:r>
          </w:p>
        </w:tc>
        <w:tc>
          <w:tcPr>
            <w:tcW w:w="649" w:type="pct"/>
            <w:tcBorders>
              <w:top w:val="nil"/>
              <w:left w:val="nil"/>
              <w:bottom w:val="single" w:sz="4" w:space="0" w:color="auto"/>
              <w:right w:val="single" w:sz="4" w:space="0" w:color="auto"/>
            </w:tcBorders>
            <w:shd w:val="clear" w:color="auto" w:fill="auto"/>
            <w:vAlign w:val="bottom"/>
          </w:tcPr>
          <w:p w14:paraId="17E2966A" w14:textId="209916F4" w:rsidR="00B37884" w:rsidRPr="00DE10AB" w:rsidRDefault="00B37884" w:rsidP="00B37884">
            <w:pPr>
              <w:jc w:val="center"/>
            </w:pPr>
            <w:r>
              <w:rPr>
                <w:rFonts w:ascii="Arial" w:hAnsi="Arial" w:cs="Arial"/>
                <w:sz w:val="20"/>
                <w:szCs w:val="20"/>
              </w:rPr>
              <w:t>93,880,116</w:t>
            </w:r>
          </w:p>
        </w:tc>
      </w:tr>
      <w:tr w:rsidR="00B37884" w:rsidRPr="009228F7" w14:paraId="521C7873" w14:textId="54B4670A" w:rsidTr="00B37884">
        <w:trPr>
          <w:trHeight w:hRule="exact" w:val="1134"/>
          <w:jc w:val="center"/>
        </w:trPr>
        <w:tc>
          <w:tcPr>
            <w:tcW w:w="1155" w:type="pct"/>
            <w:shd w:val="clear" w:color="auto" w:fill="FFFFFF"/>
            <w:tcMar>
              <w:top w:w="57" w:type="dxa"/>
              <w:left w:w="57" w:type="dxa"/>
              <w:bottom w:w="57" w:type="dxa"/>
              <w:right w:w="57" w:type="dxa"/>
            </w:tcMar>
            <w:vAlign w:val="center"/>
            <w:hideMark/>
          </w:tcPr>
          <w:p w14:paraId="0B2D3855" w14:textId="41E78B49" w:rsidR="00B37884" w:rsidRPr="009228F7" w:rsidRDefault="00B37884" w:rsidP="00B37884">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4</w:t>
            </w:r>
            <w:r w:rsidRPr="009228F7">
              <w:rPr>
                <w:rFonts w:ascii="Arial" w:eastAsia="Times New Roman" w:hAnsi="Arial" w:cs="Arial"/>
                <w:sz w:val="19"/>
                <w:lang w:eastAsia="en-GB"/>
              </w:rPr>
              <w:t>. Approve Directors</w:t>
            </w:r>
            <w:r>
              <w:rPr>
                <w:rFonts w:ascii="Arial" w:eastAsia="Times New Roman" w:hAnsi="Arial" w:cs="Arial"/>
                <w:sz w:val="19"/>
                <w:lang w:eastAsia="en-GB"/>
              </w:rPr>
              <w:t>’ Remuneration Policy</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60D6C043" w14:textId="2C125BBE" w:rsidR="00B37884" w:rsidRPr="00F90984" w:rsidRDefault="00B37884" w:rsidP="00B37884">
            <w:pPr>
              <w:jc w:val="center"/>
              <w:rPr>
                <w:rFonts w:asciiTheme="minorHAnsi" w:hAnsiTheme="minorHAnsi" w:cstheme="minorHAnsi"/>
              </w:rPr>
            </w:pPr>
            <w:r>
              <w:rPr>
                <w:rFonts w:ascii="Arial" w:hAnsi="Arial" w:cs="Arial"/>
                <w:sz w:val="20"/>
                <w:szCs w:val="20"/>
              </w:rPr>
              <w:t>293,385,741</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99AAAB3" w14:textId="57565E57" w:rsidR="00B37884" w:rsidRPr="00F90984" w:rsidRDefault="00B37884" w:rsidP="00B37884">
            <w:pPr>
              <w:jc w:val="center"/>
              <w:rPr>
                <w:rFonts w:asciiTheme="minorHAnsi" w:hAnsiTheme="minorHAnsi" w:cstheme="minorHAnsi"/>
              </w:rPr>
            </w:pPr>
            <w:r>
              <w:rPr>
                <w:rFonts w:ascii="Arial" w:hAnsi="Arial" w:cs="Arial"/>
                <w:sz w:val="20"/>
                <w:szCs w:val="20"/>
              </w:rPr>
              <w:t>95.09</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D935F22" w14:textId="276E130A" w:rsidR="00B37884" w:rsidRPr="00F90984" w:rsidRDefault="00B37884" w:rsidP="00B37884">
            <w:pPr>
              <w:jc w:val="center"/>
              <w:rPr>
                <w:rFonts w:asciiTheme="minorHAnsi" w:hAnsiTheme="minorHAnsi" w:cstheme="minorHAnsi"/>
              </w:rPr>
            </w:pPr>
            <w:r>
              <w:rPr>
                <w:rFonts w:ascii="Arial" w:hAnsi="Arial" w:cs="Arial"/>
                <w:sz w:val="20"/>
                <w:szCs w:val="20"/>
              </w:rPr>
              <w:t>15,147,800</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9B5677B" w14:textId="44DD1B88" w:rsidR="00B37884" w:rsidRPr="00F90984" w:rsidRDefault="00B37884" w:rsidP="00B37884">
            <w:pPr>
              <w:jc w:val="center"/>
              <w:rPr>
                <w:rFonts w:asciiTheme="minorHAnsi" w:hAnsiTheme="minorHAnsi" w:cstheme="minorHAnsi"/>
              </w:rPr>
            </w:pPr>
            <w:r>
              <w:rPr>
                <w:rFonts w:ascii="Arial" w:hAnsi="Arial" w:cs="Arial"/>
                <w:sz w:val="20"/>
                <w:szCs w:val="20"/>
              </w:rPr>
              <w:t>4.91</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F4FA224" w14:textId="71761362" w:rsidR="00B37884" w:rsidRPr="00B81033" w:rsidRDefault="00B37884" w:rsidP="00B37884">
            <w:pPr>
              <w:jc w:val="center"/>
            </w:pPr>
            <w:r>
              <w:rPr>
                <w:rFonts w:ascii="Arial" w:hAnsi="Arial" w:cs="Arial"/>
                <w:sz w:val="20"/>
                <w:szCs w:val="20"/>
              </w:rPr>
              <w:t>308,533,541</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D0C0B5A" w14:textId="59D294C8" w:rsidR="00B37884" w:rsidRPr="00DE10AB" w:rsidRDefault="00B37884" w:rsidP="00B37884">
            <w:pPr>
              <w:jc w:val="center"/>
            </w:pPr>
            <w:r>
              <w:rPr>
                <w:rFonts w:ascii="Arial" w:hAnsi="Arial" w:cs="Arial"/>
                <w:sz w:val="20"/>
                <w:szCs w:val="20"/>
              </w:rPr>
              <w:t>65.05%</w:t>
            </w:r>
          </w:p>
        </w:tc>
        <w:tc>
          <w:tcPr>
            <w:tcW w:w="649" w:type="pct"/>
            <w:tcBorders>
              <w:top w:val="nil"/>
              <w:left w:val="nil"/>
              <w:bottom w:val="single" w:sz="4" w:space="0" w:color="auto"/>
              <w:right w:val="single" w:sz="4" w:space="0" w:color="auto"/>
            </w:tcBorders>
            <w:shd w:val="clear" w:color="auto" w:fill="auto"/>
            <w:vAlign w:val="bottom"/>
          </w:tcPr>
          <w:p w14:paraId="27E1D3E9" w14:textId="7EA291FF" w:rsidR="00B37884" w:rsidRPr="00DE10AB" w:rsidRDefault="00B37884" w:rsidP="00B37884">
            <w:pPr>
              <w:jc w:val="center"/>
            </w:pPr>
            <w:r>
              <w:rPr>
                <w:rFonts w:ascii="Arial" w:hAnsi="Arial" w:cs="Arial"/>
                <w:sz w:val="20"/>
                <w:szCs w:val="20"/>
              </w:rPr>
              <w:t>96,916,978</w:t>
            </w:r>
          </w:p>
        </w:tc>
      </w:tr>
      <w:tr w:rsidR="00B37884" w:rsidRPr="009228F7" w14:paraId="660B77BD" w14:textId="1D8B4CFD" w:rsidTr="00B37884">
        <w:trPr>
          <w:trHeight w:hRule="exact" w:val="1134"/>
          <w:jc w:val="center"/>
        </w:trPr>
        <w:tc>
          <w:tcPr>
            <w:tcW w:w="1155" w:type="pct"/>
            <w:shd w:val="clear" w:color="auto" w:fill="FFFFFF"/>
            <w:tcMar>
              <w:top w:w="57" w:type="dxa"/>
              <w:left w:w="57" w:type="dxa"/>
              <w:bottom w:w="57" w:type="dxa"/>
              <w:right w:w="57" w:type="dxa"/>
            </w:tcMar>
            <w:vAlign w:val="center"/>
          </w:tcPr>
          <w:p w14:paraId="0C716048" w14:textId="5F1ACC1F" w:rsidR="00B37884" w:rsidRPr="009228F7" w:rsidRDefault="00B37884" w:rsidP="00B37884">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5</w:t>
            </w:r>
            <w:r w:rsidRPr="009228F7">
              <w:rPr>
                <w:rFonts w:ascii="Arial" w:eastAsia="Times New Roman" w:hAnsi="Arial" w:cs="Arial"/>
                <w:sz w:val="19"/>
                <w:lang w:eastAsia="en-GB"/>
              </w:rPr>
              <w:t xml:space="preserve">. Re-appointment of Auditors </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748766FF" w14:textId="3DC7DF92" w:rsidR="00B37884" w:rsidRPr="00F90984" w:rsidRDefault="00B37884" w:rsidP="00B37884">
            <w:pPr>
              <w:jc w:val="center"/>
              <w:rPr>
                <w:rFonts w:asciiTheme="minorHAnsi" w:hAnsiTheme="minorHAnsi" w:cstheme="minorHAnsi"/>
              </w:rPr>
            </w:pPr>
            <w:r>
              <w:rPr>
                <w:rFonts w:ascii="Arial" w:hAnsi="Arial" w:cs="Arial"/>
                <w:sz w:val="20"/>
                <w:szCs w:val="20"/>
              </w:rPr>
              <w:t>397,915,215</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987315C" w14:textId="37D8A84D" w:rsidR="00B37884" w:rsidRPr="00F90984" w:rsidRDefault="00B37884" w:rsidP="00B37884">
            <w:pPr>
              <w:jc w:val="center"/>
              <w:rPr>
                <w:rFonts w:asciiTheme="minorHAnsi" w:hAnsiTheme="minorHAnsi" w:cstheme="minorHAnsi"/>
              </w:rPr>
            </w:pPr>
            <w:r>
              <w:rPr>
                <w:rFonts w:ascii="Arial" w:hAnsi="Arial" w:cs="Arial"/>
                <w:sz w:val="20"/>
                <w:szCs w:val="20"/>
              </w:rPr>
              <w:t>98.15</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27D5F7B" w14:textId="0DBD57A9" w:rsidR="00B37884" w:rsidRPr="00F90984" w:rsidRDefault="00B37884" w:rsidP="00B37884">
            <w:pPr>
              <w:jc w:val="center"/>
              <w:rPr>
                <w:rFonts w:asciiTheme="minorHAnsi" w:hAnsiTheme="minorHAnsi" w:cstheme="minorHAnsi"/>
              </w:rPr>
            </w:pPr>
            <w:r>
              <w:rPr>
                <w:rFonts w:ascii="Arial" w:hAnsi="Arial" w:cs="Arial"/>
                <w:sz w:val="20"/>
                <w:szCs w:val="20"/>
              </w:rPr>
              <w:t>7,520,836</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3EC4A8FB" w14:textId="33D89F06" w:rsidR="00B37884" w:rsidRPr="00F90984" w:rsidRDefault="00B37884" w:rsidP="00B37884">
            <w:pPr>
              <w:jc w:val="center"/>
              <w:rPr>
                <w:rFonts w:asciiTheme="minorHAnsi" w:hAnsiTheme="minorHAnsi" w:cstheme="minorHAnsi"/>
              </w:rPr>
            </w:pPr>
            <w:r>
              <w:rPr>
                <w:rFonts w:ascii="Arial" w:hAnsi="Arial" w:cs="Arial"/>
                <w:sz w:val="20"/>
                <w:szCs w:val="20"/>
              </w:rPr>
              <w:t>1.85</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199380F9" w14:textId="18597E9A" w:rsidR="00B37884" w:rsidRPr="00B81033" w:rsidRDefault="00B37884" w:rsidP="00B37884">
            <w:pPr>
              <w:jc w:val="center"/>
            </w:pPr>
            <w:r>
              <w:rPr>
                <w:rFonts w:ascii="Arial" w:hAnsi="Arial" w:cs="Arial"/>
                <w:sz w:val="20"/>
                <w:szCs w:val="20"/>
              </w:rPr>
              <w:t>405,436,051</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4AC7977D" w14:textId="3C5A901E" w:rsidR="00B37884" w:rsidRPr="00DE10AB" w:rsidRDefault="00B37884" w:rsidP="00B37884">
            <w:pPr>
              <w:jc w:val="center"/>
            </w:pPr>
            <w:r>
              <w:rPr>
                <w:rFonts w:ascii="Arial" w:hAnsi="Arial" w:cs="Arial"/>
                <w:sz w:val="20"/>
                <w:szCs w:val="20"/>
              </w:rPr>
              <w:t>85.48%</w:t>
            </w:r>
          </w:p>
        </w:tc>
        <w:tc>
          <w:tcPr>
            <w:tcW w:w="649" w:type="pct"/>
            <w:tcBorders>
              <w:top w:val="nil"/>
              <w:left w:val="nil"/>
              <w:bottom w:val="single" w:sz="4" w:space="0" w:color="auto"/>
              <w:right w:val="single" w:sz="4" w:space="0" w:color="auto"/>
            </w:tcBorders>
            <w:shd w:val="clear" w:color="auto" w:fill="auto"/>
            <w:vAlign w:val="bottom"/>
          </w:tcPr>
          <w:p w14:paraId="04155A5C" w14:textId="7957B53F" w:rsidR="00B37884" w:rsidRPr="00DE10AB" w:rsidRDefault="00B37884" w:rsidP="00B37884">
            <w:pPr>
              <w:jc w:val="center"/>
            </w:pPr>
            <w:r>
              <w:rPr>
                <w:rFonts w:ascii="Arial" w:hAnsi="Arial" w:cs="Arial"/>
                <w:sz w:val="20"/>
                <w:szCs w:val="20"/>
              </w:rPr>
              <w:t>14,469</w:t>
            </w:r>
          </w:p>
        </w:tc>
      </w:tr>
      <w:tr w:rsidR="00B37884" w:rsidRPr="009228F7" w14:paraId="0C7C2076" w14:textId="423823BC" w:rsidTr="00B37884">
        <w:trPr>
          <w:trHeight w:hRule="exact" w:val="1134"/>
          <w:jc w:val="center"/>
        </w:trPr>
        <w:tc>
          <w:tcPr>
            <w:tcW w:w="1155" w:type="pct"/>
            <w:shd w:val="clear" w:color="auto" w:fill="FFFFFF"/>
            <w:tcMar>
              <w:top w:w="57" w:type="dxa"/>
              <w:left w:w="57" w:type="dxa"/>
              <w:bottom w:w="57" w:type="dxa"/>
              <w:right w:w="57" w:type="dxa"/>
            </w:tcMar>
            <w:vAlign w:val="center"/>
            <w:hideMark/>
          </w:tcPr>
          <w:p w14:paraId="60FD8BFD" w14:textId="5B9F1C0A" w:rsidR="00B37884" w:rsidRPr="009228F7" w:rsidRDefault="00B37884" w:rsidP="00B37884">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6</w:t>
            </w:r>
            <w:r w:rsidRPr="009228F7">
              <w:rPr>
                <w:rFonts w:ascii="Arial" w:eastAsia="Times New Roman" w:hAnsi="Arial" w:cs="Arial"/>
                <w:sz w:val="19"/>
                <w:lang w:eastAsia="en-GB"/>
              </w:rPr>
              <w:t>. Auditors</w:t>
            </w:r>
            <w:r>
              <w:rPr>
                <w:rFonts w:ascii="Arial" w:eastAsia="Times New Roman" w:hAnsi="Arial" w:cs="Arial"/>
                <w:sz w:val="19"/>
                <w:lang w:eastAsia="en-GB"/>
              </w:rPr>
              <w:t>’</w:t>
            </w:r>
            <w:r w:rsidRPr="009228F7">
              <w:rPr>
                <w:rFonts w:ascii="Arial" w:eastAsia="Times New Roman" w:hAnsi="Arial" w:cs="Arial"/>
                <w:sz w:val="19"/>
                <w:lang w:eastAsia="en-GB"/>
              </w:rPr>
              <w:t xml:space="preserve"> Remuneration</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79F04C30" w14:textId="34D136BC" w:rsidR="00B37884" w:rsidRPr="00F90984" w:rsidRDefault="00B37884" w:rsidP="00B37884">
            <w:pPr>
              <w:jc w:val="center"/>
              <w:rPr>
                <w:rFonts w:asciiTheme="minorHAnsi" w:hAnsiTheme="minorHAnsi" w:cstheme="minorHAnsi"/>
              </w:rPr>
            </w:pPr>
            <w:r>
              <w:rPr>
                <w:rFonts w:ascii="Arial" w:hAnsi="Arial" w:cs="Arial"/>
                <w:sz w:val="20"/>
                <w:szCs w:val="20"/>
              </w:rPr>
              <w:t>405,373,279</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12A7C121" w14:textId="592DA615" w:rsidR="00B37884" w:rsidRPr="00F90984" w:rsidRDefault="00B37884" w:rsidP="00B37884">
            <w:pPr>
              <w:jc w:val="center"/>
              <w:rPr>
                <w:rFonts w:asciiTheme="minorHAnsi" w:hAnsiTheme="minorHAnsi" w:cstheme="minorHAnsi"/>
              </w:rPr>
            </w:pPr>
            <w:r>
              <w:rPr>
                <w:rFonts w:ascii="Arial" w:hAnsi="Arial" w:cs="Arial"/>
                <w:sz w:val="20"/>
                <w:szCs w:val="20"/>
              </w:rPr>
              <w:t>99.99</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48A8D3D9" w14:textId="47496106" w:rsidR="00B37884" w:rsidRPr="00F90984" w:rsidRDefault="00B37884" w:rsidP="00B37884">
            <w:pPr>
              <w:jc w:val="center"/>
              <w:rPr>
                <w:rFonts w:asciiTheme="minorHAnsi" w:hAnsiTheme="minorHAnsi" w:cstheme="minorHAnsi"/>
              </w:rPr>
            </w:pPr>
            <w:r>
              <w:rPr>
                <w:rFonts w:ascii="Arial" w:hAnsi="Arial" w:cs="Arial"/>
                <w:sz w:val="20"/>
                <w:szCs w:val="20"/>
              </w:rPr>
              <w:t>60,036</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FD402E7" w14:textId="651C0482" w:rsidR="00B37884" w:rsidRPr="00F90984" w:rsidRDefault="00B37884" w:rsidP="00B37884">
            <w:pPr>
              <w:jc w:val="center"/>
              <w:rPr>
                <w:rFonts w:asciiTheme="minorHAnsi" w:hAnsiTheme="minorHAnsi" w:cstheme="minorHAnsi"/>
              </w:rPr>
            </w:pPr>
            <w:r>
              <w:rPr>
                <w:rFonts w:ascii="Arial" w:hAnsi="Arial" w:cs="Arial"/>
                <w:sz w:val="20"/>
                <w:szCs w:val="20"/>
              </w:rPr>
              <w:t>0.01</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53800DF1" w14:textId="7EE5ED8D" w:rsidR="00B37884" w:rsidRPr="00B81033" w:rsidRDefault="00B37884" w:rsidP="00B37884">
            <w:pPr>
              <w:jc w:val="center"/>
            </w:pPr>
            <w:r>
              <w:rPr>
                <w:rFonts w:ascii="Arial" w:hAnsi="Arial" w:cs="Arial"/>
                <w:sz w:val="20"/>
                <w:szCs w:val="20"/>
              </w:rPr>
              <w:t>405,433,315</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2A3AEF7" w14:textId="55D743DD" w:rsidR="00B37884" w:rsidRPr="00DE10AB" w:rsidRDefault="00B37884" w:rsidP="00B37884">
            <w:pPr>
              <w:jc w:val="center"/>
            </w:pPr>
            <w:r>
              <w:rPr>
                <w:rFonts w:ascii="Arial" w:hAnsi="Arial" w:cs="Arial"/>
                <w:sz w:val="20"/>
                <w:szCs w:val="20"/>
              </w:rPr>
              <w:t>85.48%</w:t>
            </w:r>
          </w:p>
        </w:tc>
        <w:tc>
          <w:tcPr>
            <w:tcW w:w="649" w:type="pct"/>
            <w:tcBorders>
              <w:top w:val="nil"/>
              <w:left w:val="nil"/>
              <w:bottom w:val="single" w:sz="4" w:space="0" w:color="auto"/>
              <w:right w:val="single" w:sz="4" w:space="0" w:color="auto"/>
            </w:tcBorders>
            <w:shd w:val="clear" w:color="auto" w:fill="auto"/>
            <w:vAlign w:val="bottom"/>
          </w:tcPr>
          <w:p w14:paraId="7EBFB27E" w14:textId="3E53690D" w:rsidR="00B37884" w:rsidRPr="00DE10AB" w:rsidRDefault="00B37884" w:rsidP="00B37884">
            <w:pPr>
              <w:jc w:val="center"/>
            </w:pPr>
            <w:r>
              <w:rPr>
                <w:rFonts w:ascii="Arial" w:hAnsi="Arial" w:cs="Arial"/>
                <w:sz w:val="20"/>
                <w:szCs w:val="20"/>
              </w:rPr>
              <w:t>17,205</w:t>
            </w:r>
          </w:p>
        </w:tc>
      </w:tr>
      <w:tr w:rsidR="00B37884" w:rsidRPr="009228F7" w14:paraId="1DD25566" w14:textId="1B2F8BC1" w:rsidTr="00B37884">
        <w:trPr>
          <w:trHeight w:hRule="exact" w:val="1134"/>
          <w:jc w:val="center"/>
        </w:trPr>
        <w:tc>
          <w:tcPr>
            <w:tcW w:w="1155" w:type="pct"/>
            <w:shd w:val="clear" w:color="auto" w:fill="FFFFFF"/>
            <w:tcMar>
              <w:top w:w="57" w:type="dxa"/>
              <w:left w:w="57" w:type="dxa"/>
              <w:bottom w:w="57" w:type="dxa"/>
              <w:right w:w="57" w:type="dxa"/>
            </w:tcMar>
            <w:vAlign w:val="center"/>
          </w:tcPr>
          <w:p w14:paraId="10F6038C" w14:textId="1140AA54" w:rsidR="00B37884" w:rsidRPr="009228F7" w:rsidRDefault="00B37884" w:rsidP="00B37884">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7. [Re-election of Deanna Oppenheimer – Non-Executive Chair]**</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48F2B992" w14:textId="2AFE2604" w:rsidR="00B37884" w:rsidRPr="00747976" w:rsidRDefault="00B37884" w:rsidP="00B37884">
            <w:pPr>
              <w:jc w:val="center"/>
              <w:rPr>
                <w:rFonts w:ascii="Arial" w:hAnsi="Arial" w:cs="Arial"/>
                <w:sz w:val="19"/>
                <w:szCs w:val="19"/>
              </w:rPr>
            </w:pPr>
            <w:r w:rsidRPr="00747976">
              <w:rPr>
                <w:rFonts w:ascii="Arial" w:hAnsi="Arial" w:cs="Arial"/>
                <w:sz w:val="19"/>
                <w:szCs w:val="19"/>
              </w:rPr>
              <w:t>WITHDRAWN</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2C5FA38" w14:textId="5FE1ED06" w:rsidR="00B37884" w:rsidRPr="00747976" w:rsidRDefault="00B37884" w:rsidP="00B37884">
            <w:pPr>
              <w:jc w:val="center"/>
              <w:rPr>
                <w:rFonts w:ascii="Arial" w:hAnsi="Arial" w:cs="Arial"/>
                <w:sz w:val="19"/>
                <w:szCs w:val="19"/>
              </w:rPr>
            </w:pP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01D0A91" w14:textId="6B1E59F3" w:rsidR="00B37884" w:rsidRPr="00747976" w:rsidRDefault="00B37884" w:rsidP="00B37884">
            <w:pPr>
              <w:jc w:val="center"/>
              <w:rPr>
                <w:rFonts w:ascii="Arial" w:hAnsi="Arial" w:cs="Arial"/>
                <w:sz w:val="19"/>
                <w:szCs w:val="19"/>
              </w:rPr>
            </w:pPr>
            <w:r w:rsidRPr="00747976">
              <w:rPr>
                <w:rFonts w:ascii="Arial" w:hAnsi="Arial" w:cs="Arial"/>
                <w:sz w:val="19"/>
                <w:szCs w:val="19"/>
              </w:rPr>
              <w:t>WITHDRAWN</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152B1673" w14:textId="73184F22" w:rsidR="00B37884" w:rsidRPr="00747976" w:rsidRDefault="00B37884" w:rsidP="00B37884">
            <w:pPr>
              <w:jc w:val="center"/>
              <w:rPr>
                <w:rFonts w:ascii="Arial" w:hAnsi="Arial" w:cs="Arial"/>
                <w:sz w:val="19"/>
                <w:szCs w:val="19"/>
              </w:rPr>
            </w:pP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3108EEFA" w14:textId="0E040008" w:rsidR="00B37884" w:rsidRPr="00747976" w:rsidRDefault="00B37884" w:rsidP="00B37884">
            <w:pPr>
              <w:jc w:val="center"/>
              <w:rPr>
                <w:rFonts w:ascii="Arial" w:hAnsi="Arial" w:cs="Arial"/>
                <w:sz w:val="19"/>
                <w:szCs w:val="19"/>
              </w:rPr>
            </w:pPr>
            <w:r w:rsidRPr="00747976">
              <w:rPr>
                <w:rFonts w:ascii="Arial" w:hAnsi="Arial" w:cs="Arial"/>
                <w:sz w:val="19"/>
                <w:szCs w:val="19"/>
              </w:rPr>
              <w:t>WITHDRAWN</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3EC4C550" w14:textId="21F8D25C" w:rsidR="00B37884" w:rsidRPr="00747976" w:rsidRDefault="00B37884" w:rsidP="00B37884">
            <w:pPr>
              <w:jc w:val="center"/>
              <w:rPr>
                <w:rFonts w:ascii="Arial" w:hAnsi="Arial" w:cs="Arial"/>
                <w:sz w:val="19"/>
                <w:szCs w:val="19"/>
              </w:rPr>
            </w:pPr>
          </w:p>
        </w:tc>
        <w:tc>
          <w:tcPr>
            <w:tcW w:w="649" w:type="pct"/>
            <w:tcBorders>
              <w:top w:val="nil"/>
              <w:left w:val="nil"/>
              <w:bottom w:val="single" w:sz="4" w:space="0" w:color="auto"/>
              <w:right w:val="single" w:sz="4" w:space="0" w:color="auto"/>
            </w:tcBorders>
            <w:shd w:val="clear" w:color="auto" w:fill="auto"/>
            <w:vAlign w:val="bottom"/>
          </w:tcPr>
          <w:p w14:paraId="0A1127E2" w14:textId="1A33D8EA" w:rsidR="00B37884" w:rsidRPr="00747976" w:rsidRDefault="00B37884" w:rsidP="00B37884">
            <w:pPr>
              <w:jc w:val="center"/>
              <w:rPr>
                <w:rFonts w:ascii="Arial" w:hAnsi="Arial" w:cs="Arial"/>
                <w:sz w:val="19"/>
                <w:szCs w:val="19"/>
              </w:rPr>
            </w:pPr>
            <w:r w:rsidRPr="00747976">
              <w:rPr>
                <w:rFonts w:ascii="Arial" w:hAnsi="Arial" w:cs="Arial"/>
                <w:sz w:val="19"/>
                <w:szCs w:val="19"/>
              </w:rPr>
              <w:t>WITHDRAWN</w:t>
            </w:r>
          </w:p>
        </w:tc>
      </w:tr>
      <w:tr w:rsidR="00B37884" w:rsidRPr="009228F7" w14:paraId="4DB64CA3" w14:textId="4F33C87E" w:rsidTr="00B37884">
        <w:trPr>
          <w:trHeight w:hRule="exact" w:val="1134"/>
          <w:jc w:val="center"/>
        </w:trPr>
        <w:tc>
          <w:tcPr>
            <w:tcW w:w="1155" w:type="pct"/>
            <w:shd w:val="clear" w:color="auto" w:fill="FFFFFF"/>
            <w:tcMar>
              <w:top w:w="57" w:type="dxa"/>
              <w:left w:w="57" w:type="dxa"/>
              <w:bottom w:w="57" w:type="dxa"/>
              <w:right w:w="57" w:type="dxa"/>
            </w:tcMar>
            <w:vAlign w:val="center"/>
          </w:tcPr>
          <w:p w14:paraId="2922DA89" w14:textId="36CBCA76" w:rsidR="00B37884" w:rsidRPr="009228F7" w:rsidRDefault="00B37884" w:rsidP="00B37884">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8</w:t>
            </w:r>
            <w:r w:rsidRPr="009228F7">
              <w:rPr>
                <w:rFonts w:ascii="Arial" w:eastAsia="Times New Roman" w:hAnsi="Arial" w:cs="Arial"/>
                <w:sz w:val="19"/>
                <w:lang w:eastAsia="en-GB"/>
              </w:rPr>
              <w:t>. </w:t>
            </w:r>
            <w:r>
              <w:rPr>
                <w:rFonts w:ascii="Arial" w:eastAsia="Times New Roman" w:hAnsi="Arial" w:cs="Arial"/>
                <w:sz w:val="19"/>
                <w:lang w:eastAsia="en-GB"/>
              </w:rPr>
              <w:t>Re-e</w:t>
            </w:r>
            <w:r w:rsidRPr="009228F7">
              <w:rPr>
                <w:rFonts w:ascii="Arial" w:eastAsia="Times New Roman" w:hAnsi="Arial" w:cs="Arial"/>
                <w:sz w:val="19"/>
                <w:lang w:eastAsia="en-GB"/>
              </w:rPr>
              <w:t>lection of</w:t>
            </w:r>
            <w:r>
              <w:rPr>
                <w:rFonts w:ascii="Arial" w:eastAsia="Times New Roman" w:hAnsi="Arial" w:cs="Arial"/>
                <w:sz w:val="19"/>
                <w:lang w:eastAsia="en-GB"/>
              </w:rPr>
              <w:t xml:space="preserve"> Dan Olley - </w:t>
            </w:r>
            <w:r w:rsidRPr="009228F7">
              <w:rPr>
                <w:rFonts w:ascii="Arial" w:eastAsia="Times New Roman" w:hAnsi="Arial" w:cs="Arial"/>
                <w:sz w:val="19"/>
                <w:lang w:eastAsia="en-GB"/>
              </w:rPr>
              <w:t xml:space="preserve">Executive </w:t>
            </w:r>
            <w:r>
              <w:rPr>
                <w:rFonts w:ascii="Arial" w:eastAsia="Times New Roman" w:hAnsi="Arial" w:cs="Arial"/>
                <w:sz w:val="19"/>
                <w:lang w:eastAsia="en-GB"/>
              </w:rPr>
              <w:t>Director</w:t>
            </w:r>
          </w:p>
        </w:tc>
        <w:tc>
          <w:tcPr>
            <w:tcW w:w="70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39268140" w14:textId="7539D012" w:rsidR="00B37884" w:rsidRPr="00F90984" w:rsidRDefault="00B37884" w:rsidP="00B37884">
            <w:pPr>
              <w:jc w:val="center"/>
              <w:rPr>
                <w:rFonts w:asciiTheme="minorHAnsi" w:hAnsiTheme="minorHAnsi" w:cstheme="minorHAnsi"/>
              </w:rPr>
            </w:pPr>
            <w:r>
              <w:rPr>
                <w:rFonts w:ascii="Arial" w:hAnsi="Arial" w:cs="Arial"/>
                <w:sz w:val="20"/>
                <w:szCs w:val="20"/>
              </w:rPr>
              <w:t>403,429,156</w:t>
            </w:r>
          </w:p>
        </w:tc>
        <w:tc>
          <w:tcPr>
            <w:tcW w:w="388" w:type="pct"/>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15395908" w14:textId="45F03CAC" w:rsidR="00B37884" w:rsidRPr="00F90984" w:rsidRDefault="00B37884" w:rsidP="00B37884">
            <w:pPr>
              <w:jc w:val="center"/>
              <w:rPr>
                <w:rFonts w:asciiTheme="minorHAnsi" w:hAnsiTheme="minorHAnsi" w:cstheme="minorHAnsi"/>
              </w:rPr>
            </w:pPr>
            <w:r>
              <w:rPr>
                <w:rFonts w:ascii="Arial" w:hAnsi="Arial" w:cs="Arial"/>
                <w:sz w:val="20"/>
                <w:szCs w:val="20"/>
              </w:rPr>
              <w:t>99.51</w:t>
            </w:r>
          </w:p>
        </w:tc>
        <w:tc>
          <w:tcPr>
            <w:tcW w:w="705" w:type="pct"/>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54194725" w14:textId="2C546F52" w:rsidR="00B37884" w:rsidRPr="00F90984" w:rsidRDefault="00B37884" w:rsidP="00B37884">
            <w:pPr>
              <w:jc w:val="center"/>
              <w:rPr>
                <w:rFonts w:asciiTheme="minorHAnsi" w:hAnsiTheme="minorHAnsi" w:cstheme="minorHAnsi"/>
              </w:rPr>
            </w:pPr>
            <w:r>
              <w:rPr>
                <w:rFonts w:ascii="Arial" w:hAnsi="Arial" w:cs="Arial"/>
                <w:sz w:val="20"/>
                <w:szCs w:val="20"/>
              </w:rPr>
              <w:t>1,995,611</w:t>
            </w:r>
          </w:p>
        </w:tc>
        <w:tc>
          <w:tcPr>
            <w:tcW w:w="269" w:type="pct"/>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68CB3BF8" w14:textId="3E3F78A7" w:rsidR="00B37884" w:rsidRPr="00F90984" w:rsidRDefault="00B37884" w:rsidP="00B37884">
            <w:pPr>
              <w:jc w:val="center"/>
              <w:rPr>
                <w:rFonts w:asciiTheme="minorHAnsi" w:hAnsiTheme="minorHAnsi" w:cstheme="minorHAnsi"/>
              </w:rPr>
            </w:pPr>
            <w:r>
              <w:rPr>
                <w:rFonts w:ascii="Arial" w:hAnsi="Arial" w:cs="Arial"/>
                <w:sz w:val="20"/>
                <w:szCs w:val="20"/>
              </w:rPr>
              <w:t>0.49</w:t>
            </w:r>
          </w:p>
        </w:tc>
        <w:tc>
          <w:tcPr>
            <w:tcW w:w="705" w:type="pct"/>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57C877A7" w14:textId="24046CAC" w:rsidR="00B37884" w:rsidRPr="00B81033" w:rsidRDefault="00B37884" w:rsidP="00B37884">
            <w:pPr>
              <w:jc w:val="center"/>
            </w:pPr>
            <w:r>
              <w:rPr>
                <w:rFonts w:ascii="Arial" w:hAnsi="Arial" w:cs="Arial"/>
                <w:sz w:val="20"/>
                <w:szCs w:val="20"/>
              </w:rPr>
              <w:t>405,424,767</w:t>
            </w:r>
          </w:p>
        </w:tc>
        <w:tc>
          <w:tcPr>
            <w:tcW w:w="424" w:type="pct"/>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40A32459" w14:textId="58C9B955" w:rsidR="00B37884" w:rsidRPr="00DE10AB" w:rsidRDefault="00B37884" w:rsidP="00B37884">
            <w:pPr>
              <w:jc w:val="center"/>
            </w:pPr>
            <w:r>
              <w:rPr>
                <w:rFonts w:ascii="Arial" w:hAnsi="Arial" w:cs="Arial"/>
                <w:sz w:val="20"/>
                <w:szCs w:val="20"/>
              </w:rPr>
              <w:t>85.48%</w:t>
            </w:r>
          </w:p>
        </w:tc>
        <w:tc>
          <w:tcPr>
            <w:tcW w:w="649" w:type="pct"/>
            <w:tcBorders>
              <w:top w:val="single" w:sz="4" w:space="0" w:color="auto"/>
              <w:left w:val="nil"/>
              <w:bottom w:val="single" w:sz="4" w:space="0" w:color="auto"/>
              <w:right w:val="single" w:sz="4" w:space="0" w:color="auto"/>
            </w:tcBorders>
            <w:shd w:val="clear" w:color="auto" w:fill="auto"/>
            <w:vAlign w:val="bottom"/>
          </w:tcPr>
          <w:p w14:paraId="109F56E1" w14:textId="4DD7CA38" w:rsidR="00B37884" w:rsidRPr="00DE10AB" w:rsidRDefault="00B37884" w:rsidP="00B37884">
            <w:pPr>
              <w:jc w:val="center"/>
            </w:pPr>
            <w:r>
              <w:rPr>
                <w:rFonts w:ascii="Arial" w:hAnsi="Arial" w:cs="Arial"/>
                <w:sz w:val="20"/>
                <w:szCs w:val="20"/>
              </w:rPr>
              <w:t>25,753</w:t>
            </w:r>
          </w:p>
        </w:tc>
      </w:tr>
      <w:tr w:rsidR="00B37884" w:rsidRPr="009228F7" w14:paraId="2A006802" w14:textId="77777777" w:rsidTr="00B37884">
        <w:trPr>
          <w:trHeight w:hRule="exact" w:val="1134"/>
          <w:jc w:val="center"/>
        </w:trPr>
        <w:tc>
          <w:tcPr>
            <w:tcW w:w="1155" w:type="pct"/>
            <w:shd w:val="clear" w:color="auto" w:fill="FFFFFF"/>
            <w:tcMar>
              <w:top w:w="57" w:type="dxa"/>
              <w:left w:w="57" w:type="dxa"/>
              <w:bottom w:w="57" w:type="dxa"/>
              <w:right w:w="57" w:type="dxa"/>
            </w:tcMar>
            <w:vAlign w:val="center"/>
          </w:tcPr>
          <w:p w14:paraId="08DC1FE4" w14:textId="2B5CACE8" w:rsidR="00B37884" w:rsidRDefault="00B37884" w:rsidP="00B37884">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lastRenderedPageBreak/>
              <w:t>9. Election of Amy Stirling – Executive Director</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7FC0317C" w14:textId="6A75A61A" w:rsidR="00B37884" w:rsidRPr="00F90984" w:rsidRDefault="00B37884" w:rsidP="00B37884">
            <w:pPr>
              <w:jc w:val="center"/>
              <w:rPr>
                <w:rFonts w:asciiTheme="minorHAnsi" w:hAnsiTheme="minorHAnsi" w:cstheme="minorHAnsi"/>
              </w:rPr>
            </w:pPr>
            <w:r>
              <w:rPr>
                <w:rFonts w:ascii="Arial" w:hAnsi="Arial" w:cs="Arial"/>
                <w:sz w:val="20"/>
                <w:szCs w:val="20"/>
              </w:rPr>
              <w:t>404,741,739</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B376314" w14:textId="3E721288" w:rsidR="00B37884" w:rsidRPr="00F90984" w:rsidRDefault="00B37884" w:rsidP="00B37884">
            <w:pPr>
              <w:jc w:val="center"/>
              <w:rPr>
                <w:rFonts w:asciiTheme="minorHAnsi" w:hAnsiTheme="minorHAnsi" w:cstheme="minorHAnsi"/>
              </w:rPr>
            </w:pPr>
            <w:r>
              <w:rPr>
                <w:rFonts w:ascii="Arial" w:hAnsi="Arial" w:cs="Arial"/>
                <w:sz w:val="20"/>
                <w:szCs w:val="20"/>
              </w:rPr>
              <w:t>99.83</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66E0A1A6" w14:textId="393DB224" w:rsidR="00B37884" w:rsidRPr="00F90984" w:rsidRDefault="00B37884" w:rsidP="00B37884">
            <w:pPr>
              <w:jc w:val="center"/>
              <w:rPr>
                <w:rFonts w:asciiTheme="minorHAnsi" w:hAnsiTheme="minorHAnsi" w:cstheme="minorHAnsi"/>
              </w:rPr>
            </w:pPr>
            <w:r>
              <w:rPr>
                <w:rFonts w:ascii="Arial" w:hAnsi="Arial" w:cs="Arial"/>
                <w:sz w:val="20"/>
                <w:szCs w:val="20"/>
              </w:rPr>
              <w:t>685,128</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52A63DA9" w14:textId="0EE7D48A" w:rsidR="00B37884" w:rsidRPr="00F90984" w:rsidRDefault="00B37884" w:rsidP="00B37884">
            <w:pPr>
              <w:jc w:val="center"/>
              <w:rPr>
                <w:rFonts w:asciiTheme="minorHAnsi" w:hAnsiTheme="minorHAnsi" w:cstheme="minorHAnsi"/>
              </w:rPr>
            </w:pPr>
            <w:r>
              <w:rPr>
                <w:rFonts w:ascii="Arial" w:hAnsi="Arial" w:cs="Arial"/>
                <w:sz w:val="20"/>
                <w:szCs w:val="20"/>
              </w:rPr>
              <w:t>0.17</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4E986CDD" w14:textId="6ED17438" w:rsidR="00B37884" w:rsidRPr="00B81033" w:rsidRDefault="00B37884" w:rsidP="00B37884">
            <w:pPr>
              <w:jc w:val="center"/>
            </w:pPr>
            <w:r>
              <w:rPr>
                <w:rFonts w:ascii="Arial" w:hAnsi="Arial" w:cs="Arial"/>
                <w:sz w:val="20"/>
                <w:szCs w:val="20"/>
              </w:rPr>
              <w:t>405,426,867</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48952669" w14:textId="74646A1F" w:rsidR="00B37884" w:rsidRPr="00DE10AB" w:rsidRDefault="00B37884" w:rsidP="00B37884">
            <w:pPr>
              <w:jc w:val="center"/>
            </w:pPr>
            <w:r>
              <w:rPr>
                <w:rFonts w:ascii="Arial" w:hAnsi="Arial" w:cs="Arial"/>
                <w:sz w:val="20"/>
                <w:szCs w:val="20"/>
              </w:rPr>
              <w:t>85.48%</w:t>
            </w:r>
          </w:p>
        </w:tc>
        <w:tc>
          <w:tcPr>
            <w:tcW w:w="649" w:type="pct"/>
            <w:tcBorders>
              <w:top w:val="nil"/>
              <w:left w:val="nil"/>
              <w:bottom w:val="single" w:sz="4" w:space="0" w:color="auto"/>
              <w:right w:val="single" w:sz="4" w:space="0" w:color="auto"/>
            </w:tcBorders>
            <w:shd w:val="clear" w:color="auto" w:fill="auto"/>
            <w:vAlign w:val="bottom"/>
          </w:tcPr>
          <w:p w14:paraId="1CEF78F7" w14:textId="4B48291D" w:rsidR="00B37884" w:rsidRPr="00DE10AB" w:rsidRDefault="00B37884" w:rsidP="00B37884">
            <w:pPr>
              <w:jc w:val="center"/>
            </w:pPr>
            <w:r>
              <w:rPr>
                <w:rFonts w:ascii="Arial" w:hAnsi="Arial" w:cs="Arial"/>
                <w:sz w:val="20"/>
                <w:szCs w:val="20"/>
              </w:rPr>
              <w:t>23,653</w:t>
            </w:r>
          </w:p>
        </w:tc>
      </w:tr>
      <w:tr w:rsidR="00B37884" w:rsidRPr="009228F7" w14:paraId="29E49ABA" w14:textId="74D69331" w:rsidTr="00B37884">
        <w:trPr>
          <w:trHeight w:hRule="exact" w:val="1134"/>
          <w:jc w:val="center"/>
        </w:trPr>
        <w:tc>
          <w:tcPr>
            <w:tcW w:w="1155" w:type="pct"/>
            <w:shd w:val="clear" w:color="auto" w:fill="FFFFFF"/>
            <w:tcMar>
              <w:top w:w="57" w:type="dxa"/>
              <w:left w:w="57" w:type="dxa"/>
              <w:bottom w:w="57" w:type="dxa"/>
              <w:right w:w="57" w:type="dxa"/>
            </w:tcMar>
            <w:vAlign w:val="center"/>
          </w:tcPr>
          <w:p w14:paraId="2E9CD0D9" w14:textId="56DB5A47" w:rsidR="00B37884" w:rsidRPr="009228F7" w:rsidRDefault="00B37884" w:rsidP="00B37884">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10</w:t>
            </w:r>
            <w:r w:rsidRPr="009228F7">
              <w:rPr>
                <w:rFonts w:ascii="Arial" w:eastAsia="Times New Roman" w:hAnsi="Arial" w:cs="Arial"/>
                <w:sz w:val="19"/>
                <w:lang w:eastAsia="en-GB"/>
              </w:rPr>
              <w:t xml:space="preserve">. Re-Election of </w:t>
            </w:r>
            <w:r>
              <w:rPr>
                <w:rFonts w:ascii="Arial" w:eastAsia="Times New Roman" w:hAnsi="Arial" w:cs="Arial"/>
                <w:sz w:val="19"/>
                <w:lang w:eastAsia="en-GB"/>
              </w:rPr>
              <w:t>Roger Perkin</w:t>
            </w:r>
            <w:r w:rsidRPr="009228F7">
              <w:rPr>
                <w:rFonts w:ascii="Arial" w:eastAsia="Times New Roman" w:hAnsi="Arial" w:cs="Arial"/>
                <w:sz w:val="19"/>
                <w:lang w:eastAsia="en-GB"/>
              </w:rPr>
              <w:t>– Non–Executive Director</w:t>
            </w:r>
            <w:r>
              <w:rPr>
                <w:rFonts w:ascii="Arial" w:eastAsia="Times New Roman" w:hAnsi="Arial" w:cs="Arial"/>
                <w:sz w:val="19"/>
                <w:lang w:eastAsia="en-GB"/>
              </w:rPr>
              <w:t>***</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5104D160" w14:textId="1B3C808D" w:rsidR="00B37884" w:rsidRPr="00F90984" w:rsidRDefault="00B37884" w:rsidP="00B37884">
            <w:pPr>
              <w:jc w:val="center"/>
              <w:rPr>
                <w:rFonts w:asciiTheme="minorHAnsi" w:hAnsiTheme="minorHAnsi" w:cstheme="minorHAnsi"/>
              </w:rPr>
            </w:pPr>
            <w:r w:rsidRPr="00747976">
              <w:rPr>
                <w:rFonts w:ascii="Arial" w:hAnsi="Arial" w:cs="Arial"/>
                <w:sz w:val="19"/>
                <w:szCs w:val="19"/>
              </w:rPr>
              <w:t>WITHDRAWN</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40E120B9" w14:textId="3E7E36BC" w:rsidR="00B37884" w:rsidRPr="00F90984" w:rsidRDefault="00B37884" w:rsidP="00B37884">
            <w:pPr>
              <w:jc w:val="center"/>
              <w:rPr>
                <w:rFonts w:asciiTheme="minorHAnsi" w:hAnsiTheme="minorHAnsi" w:cstheme="minorHAnsi"/>
              </w:rPr>
            </w:pP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17B132AD" w14:textId="0CDB1B4F" w:rsidR="00B37884" w:rsidRPr="00F90984" w:rsidRDefault="00B37884" w:rsidP="00B37884">
            <w:pPr>
              <w:jc w:val="center"/>
              <w:rPr>
                <w:rFonts w:asciiTheme="minorHAnsi" w:hAnsiTheme="minorHAnsi" w:cstheme="minorHAnsi"/>
              </w:rPr>
            </w:pPr>
            <w:r w:rsidRPr="00747976">
              <w:rPr>
                <w:rFonts w:ascii="Arial" w:hAnsi="Arial" w:cs="Arial"/>
                <w:sz w:val="19"/>
                <w:szCs w:val="19"/>
              </w:rPr>
              <w:t>WITHDRAWN</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3F1C5AF" w14:textId="1B02DFFE" w:rsidR="00B37884" w:rsidRPr="00F90984" w:rsidRDefault="00B37884" w:rsidP="00B37884">
            <w:pPr>
              <w:jc w:val="center"/>
              <w:rPr>
                <w:rFonts w:asciiTheme="minorHAnsi" w:hAnsiTheme="minorHAnsi" w:cstheme="minorHAnsi"/>
              </w:rPr>
            </w:pP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6D396BD7" w14:textId="19149224" w:rsidR="00B37884" w:rsidRPr="00B81033" w:rsidRDefault="00B37884" w:rsidP="00B37884">
            <w:pPr>
              <w:jc w:val="center"/>
            </w:pPr>
            <w:r w:rsidRPr="00747976">
              <w:rPr>
                <w:rFonts w:ascii="Arial" w:hAnsi="Arial" w:cs="Arial"/>
                <w:sz w:val="19"/>
                <w:szCs w:val="19"/>
              </w:rPr>
              <w:t>WITHDRAWN</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4EEB09D2" w14:textId="0C1F2708" w:rsidR="00B37884" w:rsidRPr="00DE10AB" w:rsidRDefault="00B37884" w:rsidP="00B37884">
            <w:pPr>
              <w:jc w:val="center"/>
            </w:pPr>
          </w:p>
        </w:tc>
        <w:tc>
          <w:tcPr>
            <w:tcW w:w="649" w:type="pct"/>
            <w:tcBorders>
              <w:top w:val="nil"/>
              <w:left w:val="nil"/>
              <w:bottom w:val="single" w:sz="4" w:space="0" w:color="auto"/>
              <w:right w:val="single" w:sz="4" w:space="0" w:color="auto"/>
            </w:tcBorders>
            <w:shd w:val="clear" w:color="auto" w:fill="auto"/>
            <w:vAlign w:val="bottom"/>
          </w:tcPr>
          <w:p w14:paraId="66D9C824" w14:textId="70F5DF15" w:rsidR="00B37884" w:rsidRPr="00DE10AB" w:rsidRDefault="00B37884" w:rsidP="00B37884">
            <w:pPr>
              <w:jc w:val="center"/>
            </w:pPr>
            <w:r w:rsidRPr="00747976">
              <w:rPr>
                <w:rFonts w:ascii="Arial" w:hAnsi="Arial" w:cs="Arial"/>
                <w:sz w:val="19"/>
                <w:szCs w:val="19"/>
              </w:rPr>
              <w:t>WITHDRAWN</w:t>
            </w:r>
          </w:p>
        </w:tc>
      </w:tr>
      <w:tr w:rsidR="00795045" w:rsidRPr="009228F7" w14:paraId="44820EAD" w14:textId="4BE00B55" w:rsidTr="00B1635B">
        <w:trPr>
          <w:trHeight w:hRule="exact" w:val="1134"/>
          <w:jc w:val="center"/>
        </w:trPr>
        <w:tc>
          <w:tcPr>
            <w:tcW w:w="1155" w:type="pct"/>
            <w:shd w:val="clear" w:color="auto" w:fill="FFFFFF"/>
            <w:tcMar>
              <w:top w:w="57" w:type="dxa"/>
              <w:left w:w="57" w:type="dxa"/>
              <w:bottom w:w="57" w:type="dxa"/>
              <w:right w:w="57" w:type="dxa"/>
            </w:tcMar>
            <w:vAlign w:val="center"/>
            <w:hideMark/>
          </w:tcPr>
          <w:p w14:paraId="42109874" w14:textId="257623B8" w:rsidR="00795045" w:rsidRPr="009228F7" w:rsidRDefault="00795045" w:rsidP="00795045">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11. Re-E</w:t>
            </w:r>
            <w:r w:rsidRPr="009228F7">
              <w:rPr>
                <w:rFonts w:ascii="Arial" w:eastAsia="Times New Roman" w:hAnsi="Arial" w:cs="Arial"/>
                <w:sz w:val="19"/>
                <w:lang w:eastAsia="en-GB"/>
              </w:rPr>
              <w:t xml:space="preserve">lection of </w:t>
            </w:r>
            <w:r>
              <w:rPr>
                <w:rFonts w:ascii="Arial" w:eastAsia="Times New Roman" w:hAnsi="Arial" w:cs="Arial"/>
                <w:sz w:val="19"/>
                <w:lang w:eastAsia="en-GB"/>
              </w:rPr>
              <w:t>John Troiano</w:t>
            </w:r>
            <w:r w:rsidRPr="009228F7">
              <w:rPr>
                <w:rFonts w:ascii="Arial" w:eastAsia="Times New Roman" w:hAnsi="Arial" w:cs="Arial"/>
                <w:sz w:val="19"/>
                <w:lang w:eastAsia="en-GB"/>
              </w:rPr>
              <w:t xml:space="preserve"> – Non-Executive Director</w:t>
            </w:r>
          </w:p>
        </w:tc>
        <w:tc>
          <w:tcPr>
            <w:tcW w:w="70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11B56D8A" w14:textId="697C00B1" w:rsidR="00795045" w:rsidRPr="00F90984" w:rsidRDefault="00795045" w:rsidP="00795045">
            <w:pPr>
              <w:jc w:val="center"/>
              <w:rPr>
                <w:rFonts w:asciiTheme="minorHAnsi" w:hAnsiTheme="minorHAnsi" w:cstheme="minorHAnsi"/>
              </w:rPr>
            </w:pPr>
            <w:r>
              <w:rPr>
                <w:rFonts w:ascii="Arial" w:hAnsi="Arial" w:cs="Arial"/>
                <w:sz w:val="20"/>
                <w:szCs w:val="20"/>
              </w:rPr>
              <w:t>311,330,142</w:t>
            </w:r>
          </w:p>
        </w:tc>
        <w:tc>
          <w:tcPr>
            <w:tcW w:w="388" w:type="pct"/>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83800F9" w14:textId="5533768B" w:rsidR="00795045" w:rsidRPr="00F90984" w:rsidRDefault="00795045" w:rsidP="00795045">
            <w:pPr>
              <w:jc w:val="center"/>
              <w:rPr>
                <w:rFonts w:asciiTheme="minorHAnsi" w:hAnsiTheme="minorHAnsi" w:cstheme="minorHAnsi"/>
              </w:rPr>
            </w:pPr>
            <w:r>
              <w:rPr>
                <w:rFonts w:ascii="Arial" w:hAnsi="Arial" w:cs="Arial"/>
                <w:sz w:val="20"/>
                <w:szCs w:val="20"/>
              </w:rPr>
              <w:t>76.79</w:t>
            </w:r>
          </w:p>
        </w:tc>
        <w:tc>
          <w:tcPr>
            <w:tcW w:w="705" w:type="pct"/>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178A595B" w14:textId="32579015" w:rsidR="00795045" w:rsidRPr="00F90984" w:rsidRDefault="00795045" w:rsidP="00795045">
            <w:pPr>
              <w:jc w:val="center"/>
              <w:rPr>
                <w:rFonts w:asciiTheme="minorHAnsi" w:hAnsiTheme="minorHAnsi" w:cstheme="minorHAnsi"/>
              </w:rPr>
            </w:pPr>
            <w:r>
              <w:rPr>
                <w:rFonts w:ascii="Arial" w:hAnsi="Arial" w:cs="Arial"/>
                <w:sz w:val="20"/>
                <w:szCs w:val="20"/>
              </w:rPr>
              <w:t>94,096,570</w:t>
            </w:r>
          </w:p>
        </w:tc>
        <w:tc>
          <w:tcPr>
            <w:tcW w:w="269" w:type="pct"/>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3192A624" w14:textId="643F4A72" w:rsidR="00795045" w:rsidRPr="00F90984" w:rsidRDefault="00795045" w:rsidP="00795045">
            <w:pPr>
              <w:jc w:val="center"/>
              <w:rPr>
                <w:rFonts w:asciiTheme="minorHAnsi" w:hAnsiTheme="minorHAnsi" w:cstheme="minorHAnsi"/>
              </w:rPr>
            </w:pPr>
            <w:r>
              <w:rPr>
                <w:rFonts w:ascii="Arial" w:hAnsi="Arial" w:cs="Arial"/>
                <w:sz w:val="20"/>
                <w:szCs w:val="20"/>
              </w:rPr>
              <w:t>23.21</w:t>
            </w:r>
          </w:p>
        </w:tc>
        <w:tc>
          <w:tcPr>
            <w:tcW w:w="705" w:type="pct"/>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61FC81C0" w14:textId="6B17E8EE" w:rsidR="00795045" w:rsidRPr="00B81033" w:rsidRDefault="00795045" w:rsidP="00795045">
            <w:pPr>
              <w:jc w:val="center"/>
            </w:pPr>
            <w:r>
              <w:rPr>
                <w:rFonts w:ascii="Arial" w:hAnsi="Arial" w:cs="Arial"/>
                <w:sz w:val="20"/>
                <w:szCs w:val="20"/>
              </w:rPr>
              <w:t>405,426,712</w:t>
            </w:r>
          </w:p>
        </w:tc>
        <w:tc>
          <w:tcPr>
            <w:tcW w:w="424" w:type="pct"/>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F0A9850" w14:textId="0F4FD36C" w:rsidR="00795045" w:rsidRPr="00DE10AB" w:rsidRDefault="00795045" w:rsidP="00795045">
            <w:pPr>
              <w:jc w:val="center"/>
            </w:pPr>
            <w:r>
              <w:rPr>
                <w:rFonts w:ascii="Arial" w:hAnsi="Arial" w:cs="Arial"/>
                <w:sz w:val="20"/>
                <w:szCs w:val="20"/>
              </w:rPr>
              <w:t>85.48%</w:t>
            </w:r>
          </w:p>
        </w:tc>
        <w:tc>
          <w:tcPr>
            <w:tcW w:w="649" w:type="pct"/>
            <w:tcBorders>
              <w:top w:val="single" w:sz="4" w:space="0" w:color="auto"/>
              <w:left w:val="nil"/>
              <w:bottom w:val="single" w:sz="4" w:space="0" w:color="auto"/>
              <w:right w:val="single" w:sz="4" w:space="0" w:color="auto"/>
            </w:tcBorders>
            <w:shd w:val="clear" w:color="auto" w:fill="auto"/>
            <w:vAlign w:val="bottom"/>
          </w:tcPr>
          <w:p w14:paraId="6D1F9830" w14:textId="046E8B83" w:rsidR="00795045" w:rsidRPr="00DE10AB" w:rsidRDefault="00795045" w:rsidP="00795045">
            <w:pPr>
              <w:jc w:val="center"/>
            </w:pPr>
            <w:r>
              <w:rPr>
                <w:rFonts w:ascii="Arial" w:hAnsi="Arial" w:cs="Arial"/>
                <w:sz w:val="20"/>
                <w:szCs w:val="20"/>
              </w:rPr>
              <w:t>23,808</w:t>
            </w:r>
          </w:p>
        </w:tc>
      </w:tr>
      <w:tr w:rsidR="00795045" w:rsidRPr="009228F7" w14:paraId="254231AE" w14:textId="701E613F" w:rsidTr="00B37884">
        <w:trPr>
          <w:trHeight w:hRule="exact" w:val="1134"/>
          <w:jc w:val="center"/>
        </w:trPr>
        <w:tc>
          <w:tcPr>
            <w:tcW w:w="1155" w:type="pct"/>
            <w:shd w:val="clear" w:color="auto" w:fill="FFFFFF"/>
            <w:tcMar>
              <w:top w:w="57" w:type="dxa"/>
              <w:left w:w="57" w:type="dxa"/>
              <w:bottom w:w="57" w:type="dxa"/>
              <w:right w:w="57" w:type="dxa"/>
            </w:tcMar>
            <w:vAlign w:val="center"/>
            <w:hideMark/>
          </w:tcPr>
          <w:p w14:paraId="4C79E5FA" w14:textId="26B02F80" w:rsidR="00795045" w:rsidRPr="009228F7" w:rsidRDefault="00795045" w:rsidP="00795045">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12. Re-E</w:t>
            </w:r>
            <w:r w:rsidRPr="009228F7">
              <w:rPr>
                <w:rFonts w:ascii="Arial" w:eastAsia="Times New Roman" w:hAnsi="Arial" w:cs="Arial"/>
                <w:sz w:val="19"/>
                <w:lang w:eastAsia="en-GB"/>
              </w:rPr>
              <w:t>lection of</w:t>
            </w:r>
            <w:r>
              <w:rPr>
                <w:rFonts w:ascii="Arial" w:eastAsia="Times New Roman" w:hAnsi="Arial" w:cs="Arial"/>
                <w:sz w:val="19"/>
                <w:lang w:eastAsia="en-GB"/>
              </w:rPr>
              <w:t xml:space="preserve"> Andrea Blance</w:t>
            </w:r>
            <w:r w:rsidRPr="009228F7">
              <w:rPr>
                <w:rFonts w:ascii="Arial" w:eastAsia="Times New Roman" w:hAnsi="Arial" w:cs="Arial"/>
                <w:sz w:val="19"/>
                <w:lang w:eastAsia="en-GB"/>
              </w:rPr>
              <w:t>– Non-Executive Director</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7B788D92" w14:textId="1FEAD9B0" w:rsidR="00795045" w:rsidRPr="00F90984" w:rsidRDefault="00795045" w:rsidP="00795045">
            <w:pPr>
              <w:jc w:val="center"/>
              <w:rPr>
                <w:rFonts w:asciiTheme="minorHAnsi" w:hAnsiTheme="minorHAnsi" w:cstheme="minorHAnsi"/>
              </w:rPr>
            </w:pPr>
            <w:r>
              <w:rPr>
                <w:rFonts w:ascii="Arial" w:hAnsi="Arial" w:cs="Arial"/>
                <w:sz w:val="20"/>
                <w:szCs w:val="20"/>
              </w:rPr>
              <w:t>305,340,730</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5ADC0D81" w14:textId="0FADF827" w:rsidR="00795045" w:rsidRPr="00F90984" w:rsidRDefault="00795045" w:rsidP="00795045">
            <w:pPr>
              <w:jc w:val="center"/>
              <w:rPr>
                <w:rFonts w:asciiTheme="minorHAnsi" w:hAnsiTheme="minorHAnsi" w:cstheme="minorHAnsi"/>
              </w:rPr>
            </w:pPr>
            <w:r>
              <w:rPr>
                <w:rFonts w:ascii="Arial" w:hAnsi="Arial" w:cs="Arial"/>
                <w:sz w:val="20"/>
                <w:szCs w:val="20"/>
              </w:rPr>
              <w:t>75.86</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46FEE441" w14:textId="2015A106" w:rsidR="00795045" w:rsidRPr="00F90984" w:rsidRDefault="00795045" w:rsidP="00795045">
            <w:pPr>
              <w:jc w:val="center"/>
              <w:rPr>
                <w:rFonts w:asciiTheme="minorHAnsi" w:hAnsiTheme="minorHAnsi" w:cstheme="minorHAnsi"/>
              </w:rPr>
            </w:pPr>
            <w:r>
              <w:rPr>
                <w:rFonts w:ascii="Arial" w:hAnsi="Arial" w:cs="Arial"/>
                <w:sz w:val="20"/>
                <w:szCs w:val="20"/>
              </w:rPr>
              <w:t>97,149,978</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3B877C03" w14:textId="78CF2723" w:rsidR="00795045" w:rsidRPr="00F90984" w:rsidRDefault="00795045" w:rsidP="00795045">
            <w:pPr>
              <w:jc w:val="center"/>
              <w:rPr>
                <w:rFonts w:asciiTheme="minorHAnsi" w:hAnsiTheme="minorHAnsi" w:cstheme="minorHAnsi"/>
              </w:rPr>
            </w:pPr>
            <w:r>
              <w:rPr>
                <w:rFonts w:ascii="Arial" w:hAnsi="Arial" w:cs="Arial"/>
                <w:sz w:val="20"/>
                <w:szCs w:val="20"/>
              </w:rPr>
              <w:t>24.14</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57AD563B" w14:textId="3E1D6040" w:rsidR="00795045" w:rsidRPr="00B81033" w:rsidRDefault="00795045" w:rsidP="00795045">
            <w:pPr>
              <w:jc w:val="center"/>
            </w:pPr>
            <w:r>
              <w:rPr>
                <w:rFonts w:ascii="Arial" w:hAnsi="Arial" w:cs="Arial"/>
                <w:sz w:val="20"/>
                <w:szCs w:val="20"/>
              </w:rPr>
              <w:t>402,490,708</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FD1F8CA" w14:textId="08025EE1" w:rsidR="00795045" w:rsidRPr="00DE10AB" w:rsidRDefault="00795045" w:rsidP="00795045">
            <w:pPr>
              <w:jc w:val="center"/>
            </w:pPr>
            <w:r>
              <w:rPr>
                <w:rFonts w:ascii="Arial" w:hAnsi="Arial" w:cs="Arial"/>
                <w:sz w:val="20"/>
                <w:szCs w:val="20"/>
              </w:rPr>
              <w:t>84.86%</w:t>
            </w:r>
          </w:p>
        </w:tc>
        <w:tc>
          <w:tcPr>
            <w:tcW w:w="649" w:type="pct"/>
            <w:tcBorders>
              <w:top w:val="nil"/>
              <w:left w:val="nil"/>
              <w:bottom w:val="single" w:sz="4" w:space="0" w:color="auto"/>
              <w:right w:val="single" w:sz="4" w:space="0" w:color="auto"/>
            </w:tcBorders>
            <w:shd w:val="clear" w:color="auto" w:fill="auto"/>
            <w:vAlign w:val="bottom"/>
          </w:tcPr>
          <w:p w14:paraId="588598CF" w14:textId="5DFE993B" w:rsidR="00795045" w:rsidRPr="00DE10AB" w:rsidRDefault="00795045" w:rsidP="00795045">
            <w:pPr>
              <w:jc w:val="center"/>
            </w:pPr>
            <w:r>
              <w:rPr>
                <w:rFonts w:ascii="Arial" w:hAnsi="Arial" w:cs="Arial"/>
                <w:sz w:val="20"/>
                <w:szCs w:val="20"/>
              </w:rPr>
              <w:t>2,959,812</w:t>
            </w:r>
          </w:p>
        </w:tc>
      </w:tr>
      <w:tr w:rsidR="00795045" w:rsidRPr="009228F7" w14:paraId="12A46D24" w14:textId="18441ED5" w:rsidTr="00B37884">
        <w:trPr>
          <w:trHeight w:hRule="exact" w:val="1134"/>
          <w:jc w:val="center"/>
        </w:trPr>
        <w:tc>
          <w:tcPr>
            <w:tcW w:w="1155" w:type="pct"/>
            <w:shd w:val="clear" w:color="auto" w:fill="FFFFFF"/>
            <w:tcMar>
              <w:top w:w="57" w:type="dxa"/>
              <w:left w:w="57" w:type="dxa"/>
              <w:bottom w:w="57" w:type="dxa"/>
              <w:right w:w="57" w:type="dxa"/>
            </w:tcMar>
            <w:vAlign w:val="center"/>
          </w:tcPr>
          <w:p w14:paraId="7778A0F2" w14:textId="0098144D" w:rsidR="00795045" w:rsidRPr="009228F7" w:rsidRDefault="00795045" w:rsidP="00795045">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13. Re-Election of Moni Mannings – Non-Executive Director</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69C361B7" w14:textId="0B494ED1" w:rsidR="00795045" w:rsidRPr="00F90984" w:rsidRDefault="00795045" w:rsidP="00795045">
            <w:pPr>
              <w:jc w:val="center"/>
              <w:rPr>
                <w:rFonts w:asciiTheme="minorHAnsi" w:hAnsiTheme="minorHAnsi" w:cstheme="minorHAnsi"/>
              </w:rPr>
            </w:pPr>
            <w:r>
              <w:rPr>
                <w:rFonts w:ascii="Arial" w:hAnsi="Arial" w:cs="Arial"/>
                <w:sz w:val="20"/>
                <w:szCs w:val="20"/>
              </w:rPr>
              <w:t>297,766,629</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788A8CA" w14:textId="16616E5C" w:rsidR="00795045" w:rsidRPr="00F90984" w:rsidRDefault="00795045" w:rsidP="00795045">
            <w:pPr>
              <w:jc w:val="center"/>
              <w:rPr>
                <w:rFonts w:asciiTheme="minorHAnsi" w:hAnsiTheme="minorHAnsi" w:cstheme="minorHAnsi"/>
              </w:rPr>
            </w:pPr>
            <w:r>
              <w:rPr>
                <w:rFonts w:ascii="Arial" w:hAnsi="Arial" w:cs="Arial"/>
                <w:sz w:val="20"/>
                <w:szCs w:val="20"/>
              </w:rPr>
              <w:t>73.98</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0BFF1CD" w14:textId="32D38F5F" w:rsidR="00795045" w:rsidRPr="00F90984" w:rsidRDefault="00795045" w:rsidP="00795045">
            <w:pPr>
              <w:jc w:val="center"/>
              <w:rPr>
                <w:rFonts w:asciiTheme="minorHAnsi" w:hAnsiTheme="minorHAnsi" w:cstheme="minorHAnsi"/>
              </w:rPr>
            </w:pPr>
            <w:r>
              <w:rPr>
                <w:rFonts w:ascii="Arial" w:hAnsi="Arial" w:cs="Arial"/>
                <w:sz w:val="20"/>
                <w:szCs w:val="20"/>
              </w:rPr>
              <w:t>104,718,374</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EAC0396" w14:textId="79300214" w:rsidR="00795045" w:rsidRPr="00F90984" w:rsidRDefault="00795045" w:rsidP="00795045">
            <w:pPr>
              <w:jc w:val="center"/>
              <w:rPr>
                <w:rFonts w:asciiTheme="minorHAnsi" w:hAnsiTheme="minorHAnsi" w:cstheme="minorHAnsi"/>
              </w:rPr>
            </w:pPr>
            <w:r>
              <w:rPr>
                <w:rFonts w:ascii="Arial" w:hAnsi="Arial" w:cs="Arial"/>
                <w:sz w:val="20"/>
                <w:szCs w:val="20"/>
              </w:rPr>
              <w:t>26.02</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8128196" w14:textId="41CCBFE9" w:rsidR="00795045" w:rsidRPr="00B81033" w:rsidRDefault="00795045" w:rsidP="00795045">
            <w:pPr>
              <w:jc w:val="center"/>
            </w:pPr>
            <w:r>
              <w:rPr>
                <w:rFonts w:ascii="Arial" w:hAnsi="Arial" w:cs="Arial"/>
                <w:sz w:val="20"/>
                <w:szCs w:val="20"/>
              </w:rPr>
              <w:t>402,485,003</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69022724" w14:textId="66EB3737" w:rsidR="00795045" w:rsidRPr="00DE10AB" w:rsidRDefault="00795045" w:rsidP="00795045">
            <w:pPr>
              <w:jc w:val="center"/>
            </w:pPr>
            <w:r>
              <w:rPr>
                <w:rFonts w:ascii="Arial" w:hAnsi="Arial" w:cs="Arial"/>
                <w:sz w:val="20"/>
                <w:szCs w:val="20"/>
              </w:rPr>
              <w:t>84.86%</w:t>
            </w:r>
          </w:p>
        </w:tc>
        <w:tc>
          <w:tcPr>
            <w:tcW w:w="649" w:type="pct"/>
            <w:tcBorders>
              <w:top w:val="nil"/>
              <w:left w:val="nil"/>
              <w:bottom w:val="single" w:sz="4" w:space="0" w:color="auto"/>
              <w:right w:val="single" w:sz="4" w:space="0" w:color="auto"/>
            </w:tcBorders>
            <w:shd w:val="clear" w:color="auto" w:fill="auto"/>
            <w:vAlign w:val="bottom"/>
          </w:tcPr>
          <w:p w14:paraId="085F9EDC" w14:textId="68B2368F" w:rsidR="00795045" w:rsidRPr="00DE10AB" w:rsidRDefault="00795045" w:rsidP="00795045">
            <w:pPr>
              <w:jc w:val="center"/>
            </w:pPr>
            <w:r>
              <w:rPr>
                <w:rFonts w:ascii="Arial" w:hAnsi="Arial" w:cs="Arial"/>
                <w:sz w:val="20"/>
                <w:szCs w:val="20"/>
              </w:rPr>
              <w:t>2,965,517</w:t>
            </w:r>
          </w:p>
        </w:tc>
      </w:tr>
      <w:tr w:rsidR="00795045" w:rsidRPr="009228F7" w14:paraId="46BE19E5" w14:textId="575E0A5A" w:rsidTr="00B37884">
        <w:trPr>
          <w:trHeight w:hRule="exact" w:val="1134"/>
          <w:jc w:val="center"/>
        </w:trPr>
        <w:tc>
          <w:tcPr>
            <w:tcW w:w="1155" w:type="pct"/>
            <w:shd w:val="clear" w:color="auto" w:fill="FFFFFF"/>
            <w:tcMar>
              <w:top w:w="57" w:type="dxa"/>
              <w:left w:w="57" w:type="dxa"/>
              <w:bottom w:w="57" w:type="dxa"/>
              <w:right w:w="57" w:type="dxa"/>
            </w:tcMar>
            <w:vAlign w:val="center"/>
          </w:tcPr>
          <w:p w14:paraId="48FBC87B" w14:textId="111C1038" w:rsidR="00795045" w:rsidRPr="009228F7" w:rsidRDefault="00795045" w:rsidP="00795045">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14. Re-Election of Adrian Collins - Non-Executive Director</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7E46FEAE" w14:textId="17E3F646" w:rsidR="00795045" w:rsidRPr="00F90984" w:rsidRDefault="00795045" w:rsidP="00795045">
            <w:pPr>
              <w:jc w:val="center"/>
              <w:rPr>
                <w:rFonts w:asciiTheme="minorHAnsi" w:hAnsiTheme="minorHAnsi" w:cstheme="minorHAnsi"/>
              </w:rPr>
            </w:pPr>
            <w:r>
              <w:rPr>
                <w:rFonts w:ascii="Arial" w:hAnsi="Arial" w:cs="Arial"/>
                <w:sz w:val="20"/>
                <w:szCs w:val="20"/>
              </w:rPr>
              <w:t>401,702,986</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4A55DEA" w14:textId="1F6BAB9B" w:rsidR="00795045" w:rsidRPr="00F90984" w:rsidRDefault="00795045" w:rsidP="00795045">
            <w:pPr>
              <w:jc w:val="center"/>
              <w:rPr>
                <w:rFonts w:asciiTheme="minorHAnsi" w:hAnsiTheme="minorHAnsi" w:cstheme="minorHAnsi"/>
              </w:rPr>
            </w:pPr>
            <w:r>
              <w:rPr>
                <w:rFonts w:ascii="Arial" w:hAnsi="Arial" w:cs="Arial"/>
                <w:sz w:val="20"/>
                <w:szCs w:val="20"/>
              </w:rPr>
              <w:t>99.81</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5710817E" w14:textId="00A31A6D" w:rsidR="00795045" w:rsidRPr="00F90984" w:rsidRDefault="00795045" w:rsidP="00795045">
            <w:pPr>
              <w:jc w:val="center"/>
              <w:rPr>
                <w:rFonts w:asciiTheme="minorHAnsi" w:hAnsiTheme="minorHAnsi" w:cstheme="minorHAnsi"/>
              </w:rPr>
            </w:pPr>
            <w:r>
              <w:rPr>
                <w:rFonts w:ascii="Arial" w:hAnsi="Arial" w:cs="Arial"/>
                <w:sz w:val="20"/>
                <w:szCs w:val="20"/>
              </w:rPr>
              <w:t>783,626</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F44B46A" w14:textId="0C397528" w:rsidR="00795045" w:rsidRPr="00F90984" w:rsidRDefault="00795045" w:rsidP="00795045">
            <w:pPr>
              <w:jc w:val="center"/>
              <w:rPr>
                <w:rFonts w:asciiTheme="minorHAnsi" w:hAnsiTheme="minorHAnsi" w:cstheme="minorHAnsi"/>
              </w:rPr>
            </w:pPr>
            <w:r>
              <w:rPr>
                <w:rFonts w:ascii="Arial" w:hAnsi="Arial" w:cs="Arial"/>
                <w:sz w:val="20"/>
                <w:szCs w:val="20"/>
              </w:rPr>
              <w:t>0.19</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9CA00B9" w14:textId="135043CC" w:rsidR="00795045" w:rsidRPr="00B81033" w:rsidRDefault="00795045" w:rsidP="00795045">
            <w:pPr>
              <w:jc w:val="center"/>
            </w:pPr>
            <w:r>
              <w:rPr>
                <w:rFonts w:ascii="Arial" w:hAnsi="Arial" w:cs="Arial"/>
                <w:sz w:val="20"/>
                <w:szCs w:val="20"/>
              </w:rPr>
              <w:t>402,486,612</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558ABE94" w14:textId="094593EF" w:rsidR="00795045" w:rsidRPr="00DE10AB" w:rsidRDefault="00795045" w:rsidP="00795045">
            <w:pPr>
              <w:jc w:val="center"/>
            </w:pPr>
            <w:r>
              <w:rPr>
                <w:rFonts w:ascii="Arial" w:hAnsi="Arial" w:cs="Arial"/>
                <w:sz w:val="20"/>
                <w:szCs w:val="20"/>
              </w:rPr>
              <w:t>84.86%</w:t>
            </w:r>
          </w:p>
        </w:tc>
        <w:tc>
          <w:tcPr>
            <w:tcW w:w="649" w:type="pct"/>
            <w:tcBorders>
              <w:top w:val="nil"/>
              <w:left w:val="nil"/>
              <w:bottom w:val="single" w:sz="4" w:space="0" w:color="auto"/>
              <w:right w:val="single" w:sz="4" w:space="0" w:color="auto"/>
            </w:tcBorders>
            <w:shd w:val="clear" w:color="auto" w:fill="auto"/>
            <w:vAlign w:val="bottom"/>
          </w:tcPr>
          <w:p w14:paraId="4DC013E2" w14:textId="4D48F71A" w:rsidR="00795045" w:rsidRPr="00DE10AB" w:rsidRDefault="00795045" w:rsidP="00795045">
            <w:pPr>
              <w:jc w:val="center"/>
            </w:pPr>
            <w:r>
              <w:rPr>
                <w:rFonts w:ascii="Arial" w:hAnsi="Arial" w:cs="Arial"/>
                <w:sz w:val="20"/>
                <w:szCs w:val="20"/>
              </w:rPr>
              <w:t>2,963,908</w:t>
            </w:r>
          </w:p>
        </w:tc>
      </w:tr>
      <w:tr w:rsidR="00795045" w:rsidRPr="009228F7" w14:paraId="00697FBA" w14:textId="5CC7A23C" w:rsidTr="00B37884">
        <w:trPr>
          <w:trHeight w:hRule="exact" w:val="1134"/>
          <w:jc w:val="center"/>
        </w:trPr>
        <w:tc>
          <w:tcPr>
            <w:tcW w:w="1155" w:type="pct"/>
            <w:shd w:val="clear" w:color="auto" w:fill="FFFFFF"/>
            <w:tcMar>
              <w:top w:w="57" w:type="dxa"/>
              <w:left w:w="57" w:type="dxa"/>
              <w:bottom w:w="57" w:type="dxa"/>
              <w:right w:w="57" w:type="dxa"/>
            </w:tcMar>
            <w:vAlign w:val="center"/>
          </w:tcPr>
          <w:p w14:paraId="33987D94" w14:textId="591C0312" w:rsidR="00795045" w:rsidRDefault="00795045" w:rsidP="00795045">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15. Re-Election of Penny James - Non-Executive Director</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7C1674A6" w14:textId="033C7648" w:rsidR="00795045" w:rsidRDefault="00795045" w:rsidP="00795045">
            <w:pPr>
              <w:jc w:val="center"/>
              <w:rPr>
                <w:rFonts w:asciiTheme="minorHAnsi" w:hAnsiTheme="minorHAnsi" w:cstheme="minorHAnsi"/>
              </w:rPr>
            </w:pPr>
            <w:r>
              <w:rPr>
                <w:rFonts w:ascii="Arial" w:hAnsi="Arial" w:cs="Arial"/>
                <w:sz w:val="20"/>
                <w:szCs w:val="20"/>
              </w:rPr>
              <w:t>292,037,671</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485F500" w14:textId="41924B13" w:rsidR="00795045" w:rsidRDefault="00795045" w:rsidP="00795045">
            <w:pPr>
              <w:jc w:val="center"/>
              <w:rPr>
                <w:rFonts w:asciiTheme="minorHAnsi" w:hAnsiTheme="minorHAnsi" w:cstheme="minorHAnsi"/>
              </w:rPr>
            </w:pPr>
            <w:r>
              <w:rPr>
                <w:rFonts w:ascii="Arial" w:hAnsi="Arial" w:cs="Arial"/>
                <w:sz w:val="20"/>
                <w:szCs w:val="20"/>
              </w:rPr>
              <w:t>72.56</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214BBAC" w14:textId="2456E41C" w:rsidR="00795045" w:rsidRDefault="00795045" w:rsidP="00795045">
            <w:pPr>
              <w:jc w:val="center"/>
              <w:rPr>
                <w:rFonts w:asciiTheme="minorHAnsi" w:hAnsiTheme="minorHAnsi" w:cstheme="minorHAnsi"/>
              </w:rPr>
            </w:pPr>
            <w:r>
              <w:rPr>
                <w:rFonts w:ascii="Arial" w:hAnsi="Arial" w:cs="Arial"/>
                <w:sz w:val="20"/>
                <w:szCs w:val="20"/>
              </w:rPr>
              <w:t>110,449,837</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10707195" w14:textId="3479C63D" w:rsidR="00795045" w:rsidRDefault="00795045" w:rsidP="00795045">
            <w:pPr>
              <w:jc w:val="center"/>
              <w:rPr>
                <w:rFonts w:asciiTheme="minorHAnsi" w:hAnsiTheme="minorHAnsi" w:cstheme="minorHAnsi"/>
              </w:rPr>
            </w:pPr>
            <w:r>
              <w:rPr>
                <w:rFonts w:ascii="Arial" w:hAnsi="Arial" w:cs="Arial"/>
                <w:sz w:val="20"/>
                <w:szCs w:val="20"/>
              </w:rPr>
              <w:t>27.44</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44C2082B" w14:textId="3EB6D140" w:rsidR="00795045" w:rsidRDefault="00795045" w:rsidP="00795045">
            <w:pPr>
              <w:jc w:val="center"/>
            </w:pPr>
            <w:r>
              <w:rPr>
                <w:rFonts w:ascii="Arial" w:hAnsi="Arial" w:cs="Arial"/>
                <w:sz w:val="20"/>
                <w:szCs w:val="20"/>
              </w:rPr>
              <w:t>402,487,508</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62C02572" w14:textId="06865BD8" w:rsidR="00795045" w:rsidRPr="006F4DD0" w:rsidRDefault="00795045" w:rsidP="00795045">
            <w:pPr>
              <w:jc w:val="center"/>
            </w:pPr>
            <w:r>
              <w:rPr>
                <w:rFonts w:ascii="Arial" w:hAnsi="Arial" w:cs="Arial"/>
                <w:sz w:val="20"/>
                <w:szCs w:val="20"/>
              </w:rPr>
              <w:t>84.86%</w:t>
            </w:r>
          </w:p>
        </w:tc>
        <w:tc>
          <w:tcPr>
            <w:tcW w:w="649" w:type="pct"/>
            <w:tcBorders>
              <w:top w:val="nil"/>
              <w:left w:val="nil"/>
              <w:bottom w:val="single" w:sz="4" w:space="0" w:color="auto"/>
              <w:right w:val="single" w:sz="4" w:space="0" w:color="auto"/>
            </w:tcBorders>
            <w:shd w:val="clear" w:color="auto" w:fill="auto"/>
            <w:vAlign w:val="bottom"/>
          </w:tcPr>
          <w:p w14:paraId="71A7CF88" w14:textId="6B7E2DE8" w:rsidR="00795045" w:rsidRPr="006F4DD0" w:rsidRDefault="00795045" w:rsidP="00795045">
            <w:pPr>
              <w:jc w:val="center"/>
            </w:pPr>
            <w:r>
              <w:rPr>
                <w:rFonts w:ascii="Arial" w:hAnsi="Arial" w:cs="Arial"/>
                <w:sz w:val="20"/>
                <w:szCs w:val="20"/>
              </w:rPr>
              <w:t>2,963,012</w:t>
            </w:r>
          </w:p>
        </w:tc>
      </w:tr>
      <w:tr w:rsidR="00795045" w:rsidRPr="009228F7" w14:paraId="6AD49DE1" w14:textId="4DD17849" w:rsidTr="00B37884">
        <w:trPr>
          <w:trHeight w:hRule="exact" w:val="1134"/>
          <w:jc w:val="center"/>
        </w:trPr>
        <w:tc>
          <w:tcPr>
            <w:tcW w:w="1155" w:type="pct"/>
            <w:shd w:val="clear" w:color="auto" w:fill="FFFFFF"/>
            <w:tcMar>
              <w:top w:w="57" w:type="dxa"/>
              <w:left w:w="57" w:type="dxa"/>
              <w:bottom w:w="57" w:type="dxa"/>
              <w:right w:w="57" w:type="dxa"/>
            </w:tcMar>
            <w:vAlign w:val="center"/>
          </w:tcPr>
          <w:p w14:paraId="4BB9AF24" w14:textId="2BD555B7" w:rsidR="00795045" w:rsidRDefault="00795045" w:rsidP="00795045">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16. Re-Election of Darren Pope - Non-Executive Director</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2D80E433" w14:textId="62B3FF36" w:rsidR="00795045" w:rsidRDefault="00795045" w:rsidP="00795045">
            <w:pPr>
              <w:jc w:val="center"/>
              <w:rPr>
                <w:rFonts w:asciiTheme="minorHAnsi" w:hAnsiTheme="minorHAnsi" w:cstheme="minorHAnsi"/>
              </w:rPr>
            </w:pPr>
            <w:r>
              <w:rPr>
                <w:rFonts w:ascii="Arial" w:hAnsi="Arial" w:cs="Arial"/>
                <w:sz w:val="20"/>
                <w:szCs w:val="20"/>
              </w:rPr>
              <w:t>306,254,441</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44BF567D" w14:textId="2E52A40B" w:rsidR="00795045" w:rsidRDefault="00795045" w:rsidP="00795045">
            <w:pPr>
              <w:jc w:val="center"/>
              <w:rPr>
                <w:rFonts w:asciiTheme="minorHAnsi" w:hAnsiTheme="minorHAnsi" w:cstheme="minorHAnsi"/>
              </w:rPr>
            </w:pPr>
            <w:r>
              <w:rPr>
                <w:rFonts w:ascii="Arial" w:hAnsi="Arial" w:cs="Arial"/>
                <w:sz w:val="20"/>
                <w:szCs w:val="20"/>
              </w:rPr>
              <w:t>76.09</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B65CAB4" w14:textId="336C0347" w:rsidR="00795045" w:rsidRDefault="00795045" w:rsidP="00795045">
            <w:pPr>
              <w:jc w:val="center"/>
              <w:rPr>
                <w:rFonts w:asciiTheme="minorHAnsi" w:hAnsiTheme="minorHAnsi" w:cstheme="minorHAnsi"/>
              </w:rPr>
            </w:pPr>
            <w:r>
              <w:rPr>
                <w:rFonts w:ascii="Arial" w:hAnsi="Arial" w:cs="Arial"/>
                <w:sz w:val="20"/>
                <w:szCs w:val="20"/>
              </w:rPr>
              <w:t>96,230,477</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B1E5EAB" w14:textId="51C686FF" w:rsidR="00795045" w:rsidRDefault="00795045" w:rsidP="00795045">
            <w:pPr>
              <w:jc w:val="center"/>
              <w:rPr>
                <w:rFonts w:asciiTheme="minorHAnsi" w:hAnsiTheme="minorHAnsi" w:cstheme="minorHAnsi"/>
              </w:rPr>
            </w:pPr>
            <w:r>
              <w:rPr>
                <w:rFonts w:ascii="Arial" w:hAnsi="Arial" w:cs="Arial"/>
                <w:sz w:val="20"/>
                <w:szCs w:val="20"/>
              </w:rPr>
              <w:t>23.91</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7228297" w14:textId="4835B40F" w:rsidR="00795045" w:rsidRDefault="00795045" w:rsidP="00795045">
            <w:pPr>
              <w:jc w:val="center"/>
            </w:pPr>
            <w:r>
              <w:rPr>
                <w:rFonts w:ascii="Arial" w:hAnsi="Arial" w:cs="Arial"/>
                <w:sz w:val="20"/>
                <w:szCs w:val="20"/>
              </w:rPr>
              <w:t>402,484,918</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1F8A4BB" w14:textId="4F4991F8" w:rsidR="00795045" w:rsidRPr="006F4DD0" w:rsidRDefault="00795045" w:rsidP="00795045">
            <w:pPr>
              <w:jc w:val="center"/>
            </w:pPr>
            <w:r>
              <w:rPr>
                <w:rFonts w:ascii="Arial" w:hAnsi="Arial" w:cs="Arial"/>
                <w:sz w:val="20"/>
                <w:szCs w:val="20"/>
              </w:rPr>
              <w:t>84.86%</w:t>
            </w:r>
          </w:p>
        </w:tc>
        <w:tc>
          <w:tcPr>
            <w:tcW w:w="649" w:type="pct"/>
            <w:tcBorders>
              <w:top w:val="nil"/>
              <w:left w:val="nil"/>
              <w:bottom w:val="single" w:sz="4" w:space="0" w:color="auto"/>
              <w:right w:val="single" w:sz="4" w:space="0" w:color="auto"/>
            </w:tcBorders>
            <w:shd w:val="clear" w:color="auto" w:fill="auto"/>
            <w:vAlign w:val="bottom"/>
          </w:tcPr>
          <w:p w14:paraId="7800674D" w14:textId="5471ADDC" w:rsidR="00795045" w:rsidRPr="006F4DD0" w:rsidRDefault="00795045" w:rsidP="00795045">
            <w:pPr>
              <w:jc w:val="center"/>
            </w:pPr>
            <w:r>
              <w:rPr>
                <w:rFonts w:ascii="Arial" w:hAnsi="Arial" w:cs="Arial"/>
                <w:sz w:val="20"/>
                <w:szCs w:val="20"/>
              </w:rPr>
              <w:t>2,965,602</w:t>
            </w:r>
          </w:p>
        </w:tc>
      </w:tr>
      <w:tr w:rsidR="00795045" w:rsidRPr="009228F7" w14:paraId="194B3B4E" w14:textId="77777777" w:rsidTr="00B37884">
        <w:trPr>
          <w:trHeight w:hRule="exact" w:val="1134"/>
          <w:jc w:val="center"/>
        </w:trPr>
        <w:tc>
          <w:tcPr>
            <w:tcW w:w="1155" w:type="pct"/>
            <w:shd w:val="clear" w:color="auto" w:fill="FFFFFF"/>
            <w:tcMar>
              <w:top w:w="57" w:type="dxa"/>
              <w:left w:w="57" w:type="dxa"/>
              <w:bottom w:w="57" w:type="dxa"/>
              <w:right w:w="57" w:type="dxa"/>
            </w:tcMar>
            <w:vAlign w:val="center"/>
          </w:tcPr>
          <w:p w14:paraId="3362A1F2" w14:textId="37B35FF6" w:rsidR="00795045" w:rsidRDefault="00795045" w:rsidP="00795045">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17. Election of Michael Morley – Non-Executive Director</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69EB7F8D" w14:textId="2827B7CD" w:rsidR="00795045" w:rsidRDefault="00795045" w:rsidP="00795045">
            <w:pPr>
              <w:jc w:val="center"/>
              <w:rPr>
                <w:rFonts w:asciiTheme="minorHAnsi" w:hAnsiTheme="minorHAnsi" w:cstheme="minorHAnsi"/>
              </w:rPr>
            </w:pPr>
            <w:r>
              <w:rPr>
                <w:rFonts w:ascii="Arial" w:hAnsi="Arial" w:cs="Arial"/>
                <w:sz w:val="20"/>
                <w:szCs w:val="20"/>
              </w:rPr>
              <w:t>405,332,927</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A893EBC" w14:textId="16C2F603" w:rsidR="00795045" w:rsidRDefault="00795045" w:rsidP="00795045">
            <w:pPr>
              <w:jc w:val="center"/>
              <w:rPr>
                <w:rFonts w:asciiTheme="minorHAnsi" w:hAnsiTheme="minorHAnsi" w:cstheme="minorHAnsi"/>
              </w:rPr>
            </w:pPr>
            <w:r>
              <w:rPr>
                <w:rFonts w:ascii="Arial" w:hAnsi="Arial" w:cs="Arial"/>
                <w:sz w:val="20"/>
                <w:szCs w:val="20"/>
              </w:rPr>
              <w:t>99.98</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4E386519" w14:textId="50648FF4" w:rsidR="00795045" w:rsidRDefault="00795045" w:rsidP="00795045">
            <w:pPr>
              <w:jc w:val="center"/>
              <w:rPr>
                <w:rFonts w:asciiTheme="minorHAnsi" w:hAnsiTheme="minorHAnsi" w:cstheme="minorHAnsi"/>
              </w:rPr>
            </w:pPr>
            <w:r>
              <w:rPr>
                <w:rFonts w:ascii="Arial" w:hAnsi="Arial" w:cs="Arial"/>
                <w:sz w:val="20"/>
                <w:szCs w:val="20"/>
              </w:rPr>
              <w:t>87,362</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648B4FC3" w14:textId="3CF36CB1" w:rsidR="00795045" w:rsidRDefault="00795045" w:rsidP="00795045">
            <w:pPr>
              <w:jc w:val="center"/>
              <w:rPr>
                <w:rFonts w:asciiTheme="minorHAnsi" w:hAnsiTheme="minorHAnsi" w:cstheme="minorHAnsi"/>
              </w:rPr>
            </w:pPr>
            <w:r>
              <w:rPr>
                <w:rFonts w:ascii="Arial" w:hAnsi="Arial" w:cs="Arial"/>
                <w:sz w:val="20"/>
                <w:szCs w:val="20"/>
              </w:rPr>
              <w:t>0.02</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4F7FEA51" w14:textId="619D8F1A" w:rsidR="00795045" w:rsidRDefault="00795045" w:rsidP="00795045">
            <w:pPr>
              <w:jc w:val="center"/>
            </w:pPr>
            <w:r>
              <w:rPr>
                <w:rFonts w:ascii="Arial" w:hAnsi="Arial" w:cs="Arial"/>
                <w:sz w:val="20"/>
                <w:szCs w:val="20"/>
              </w:rPr>
              <w:t>405,420,289</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94D16A4" w14:textId="7487B940" w:rsidR="00795045" w:rsidRPr="006F4DD0" w:rsidRDefault="00795045" w:rsidP="00795045">
            <w:pPr>
              <w:jc w:val="center"/>
            </w:pPr>
            <w:r>
              <w:rPr>
                <w:rFonts w:ascii="Arial" w:hAnsi="Arial" w:cs="Arial"/>
                <w:sz w:val="20"/>
                <w:szCs w:val="20"/>
              </w:rPr>
              <w:t>85.47%</w:t>
            </w:r>
          </w:p>
        </w:tc>
        <w:tc>
          <w:tcPr>
            <w:tcW w:w="649" w:type="pct"/>
            <w:tcBorders>
              <w:top w:val="nil"/>
              <w:left w:val="nil"/>
              <w:bottom w:val="single" w:sz="4" w:space="0" w:color="auto"/>
              <w:right w:val="single" w:sz="4" w:space="0" w:color="auto"/>
            </w:tcBorders>
            <w:shd w:val="clear" w:color="auto" w:fill="auto"/>
            <w:vAlign w:val="bottom"/>
          </w:tcPr>
          <w:p w14:paraId="1D6A7D07" w14:textId="15DAC02B" w:rsidR="00795045" w:rsidRPr="006F4DD0" w:rsidRDefault="00795045" w:rsidP="00795045">
            <w:pPr>
              <w:jc w:val="center"/>
            </w:pPr>
            <w:r>
              <w:rPr>
                <w:rFonts w:ascii="Arial" w:hAnsi="Arial" w:cs="Arial"/>
                <w:sz w:val="20"/>
                <w:szCs w:val="20"/>
              </w:rPr>
              <w:t>30,231</w:t>
            </w:r>
          </w:p>
        </w:tc>
      </w:tr>
      <w:tr w:rsidR="00795045" w:rsidRPr="009228F7" w14:paraId="627251BF" w14:textId="4287EC8F" w:rsidTr="00B37884">
        <w:trPr>
          <w:trHeight w:hRule="exact" w:val="1134"/>
          <w:jc w:val="center"/>
        </w:trPr>
        <w:tc>
          <w:tcPr>
            <w:tcW w:w="1155" w:type="pct"/>
            <w:shd w:val="clear" w:color="auto" w:fill="FFFFFF"/>
            <w:tcMar>
              <w:top w:w="57" w:type="dxa"/>
              <w:left w:w="57" w:type="dxa"/>
              <w:bottom w:w="57" w:type="dxa"/>
              <w:right w:w="57" w:type="dxa"/>
            </w:tcMar>
            <w:vAlign w:val="center"/>
          </w:tcPr>
          <w:p w14:paraId="05F42FC6" w14:textId="364E34CD" w:rsidR="00795045" w:rsidRPr="009228F7" w:rsidRDefault="00795045" w:rsidP="00795045">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18.</w:t>
            </w:r>
            <w:r w:rsidRPr="009228F7">
              <w:rPr>
                <w:rFonts w:ascii="Arial" w:eastAsia="Times New Roman" w:hAnsi="Arial" w:cs="Arial"/>
                <w:sz w:val="19"/>
                <w:lang w:eastAsia="en-GB"/>
              </w:rPr>
              <w:t xml:space="preserve"> Authority to Purchase Own Shares **</w:t>
            </w:r>
            <w:r w:rsidR="009358CC">
              <w:rPr>
                <w:rFonts w:ascii="Arial" w:eastAsia="Times New Roman" w:hAnsi="Arial" w:cs="Arial"/>
                <w:sz w:val="19"/>
                <w:lang w:eastAsia="en-GB"/>
              </w:rPr>
              <w:t>**</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03D980A5" w14:textId="040AE51A" w:rsidR="00795045" w:rsidRPr="00F90984" w:rsidRDefault="00795045" w:rsidP="00795045">
            <w:pPr>
              <w:jc w:val="center"/>
              <w:rPr>
                <w:rFonts w:asciiTheme="minorHAnsi" w:hAnsiTheme="minorHAnsi" w:cstheme="minorHAnsi"/>
              </w:rPr>
            </w:pPr>
            <w:r>
              <w:rPr>
                <w:rFonts w:ascii="Arial" w:hAnsi="Arial" w:cs="Arial"/>
                <w:sz w:val="20"/>
                <w:szCs w:val="20"/>
              </w:rPr>
              <w:t>304,094,212</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4A28F8E2" w14:textId="3103C1C1" w:rsidR="00795045" w:rsidRPr="00F90984" w:rsidRDefault="00795045" w:rsidP="00795045">
            <w:pPr>
              <w:jc w:val="center"/>
              <w:rPr>
                <w:rFonts w:asciiTheme="minorHAnsi" w:hAnsiTheme="minorHAnsi" w:cstheme="minorHAnsi"/>
              </w:rPr>
            </w:pPr>
            <w:r>
              <w:rPr>
                <w:rFonts w:ascii="Arial" w:hAnsi="Arial" w:cs="Arial"/>
                <w:sz w:val="20"/>
                <w:szCs w:val="20"/>
              </w:rPr>
              <w:t>75.01</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0E0BFC2" w14:textId="782CE280" w:rsidR="00795045" w:rsidRPr="00F90984" w:rsidRDefault="00795045" w:rsidP="00795045">
            <w:pPr>
              <w:jc w:val="center"/>
              <w:rPr>
                <w:rFonts w:asciiTheme="minorHAnsi" w:hAnsiTheme="minorHAnsi" w:cstheme="minorHAnsi"/>
              </w:rPr>
            </w:pPr>
            <w:r>
              <w:rPr>
                <w:rFonts w:ascii="Arial" w:hAnsi="Arial" w:cs="Arial"/>
                <w:sz w:val="20"/>
                <w:szCs w:val="20"/>
              </w:rPr>
              <w:t>101,320,719</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69293E28" w14:textId="6CFA3D16" w:rsidR="00795045" w:rsidRPr="00F90984" w:rsidRDefault="00795045" w:rsidP="00795045">
            <w:pPr>
              <w:jc w:val="center"/>
              <w:rPr>
                <w:rFonts w:asciiTheme="minorHAnsi" w:hAnsiTheme="minorHAnsi" w:cstheme="minorHAnsi"/>
              </w:rPr>
            </w:pPr>
            <w:r>
              <w:rPr>
                <w:rFonts w:ascii="Arial" w:hAnsi="Arial" w:cs="Arial"/>
                <w:sz w:val="20"/>
                <w:szCs w:val="20"/>
              </w:rPr>
              <w:t>24.99</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6E4265B6" w14:textId="5706671B" w:rsidR="00795045" w:rsidRPr="00B81033" w:rsidRDefault="00795045" w:rsidP="00795045">
            <w:pPr>
              <w:jc w:val="center"/>
            </w:pPr>
            <w:r>
              <w:rPr>
                <w:rFonts w:ascii="Arial" w:hAnsi="Arial" w:cs="Arial"/>
                <w:sz w:val="20"/>
                <w:szCs w:val="20"/>
              </w:rPr>
              <w:t>405,414,931</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444E783" w14:textId="2BAE693A" w:rsidR="00795045" w:rsidRPr="00DE10AB" w:rsidRDefault="00795045" w:rsidP="00795045">
            <w:pPr>
              <w:jc w:val="center"/>
            </w:pPr>
            <w:r>
              <w:rPr>
                <w:rFonts w:ascii="Arial" w:hAnsi="Arial" w:cs="Arial"/>
                <w:sz w:val="20"/>
                <w:szCs w:val="20"/>
              </w:rPr>
              <w:t>85.47%</w:t>
            </w:r>
          </w:p>
        </w:tc>
        <w:tc>
          <w:tcPr>
            <w:tcW w:w="649" w:type="pct"/>
            <w:tcBorders>
              <w:top w:val="nil"/>
              <w:left w:val="nil"/>
              <w:bottom w:val="single" w:sz="4" w:space="0" w:color="auto"/>
              <w:right w:val="single" w:sz="4" w:space="0" w:color="auto"/>
            </w:tcBorders>
            <w:shd w:val="clear" w:color="auto" w:fill="auto"/>
            <w:vAlign w:val="bottom"/>
          </w:tcPr>
          <w:p w14:paraId="738AFFE4" w14:textId="5D07978E" w:rsidR="00795045" w:rsidRPr="00DE10AB" w:rsidRDefault="00795045" w:rsidP="00795045">
            <w:pPr>
              <w:jc w:val="center"/>
            </w:pPr>
            <w:r>
              <w:rPr>
                <w:rFonts w:ascii="Arial" w:hAnsi="Arial" w:cs="Arial"/>
                <w:sz w:val="20"/>
                <w:szCs w:val="20"/>
              </w:rPr>
              <w:t>35,589</w:t>
            </w:r>
          </w:p>
        </w:tc>
      </w:tr>
      <w:tr w:rsidR="00795045" w:rsidRPr="009228F7" w14:paraId="08805669" w14:textId="3687B4C8" w:rsidTr="00B37884">
        <w:trPr>
          <w:trHeight w:hRule="exact" w:val="1134"/>
          <w:jc w:val="center"/>
        </w:trPr>
        <w:tc>
          <w:tcPr>
            <w:tcW w:w="1155" w:type="pct"/>
            <w:shd w:val="clear" w:color="auto" w:fill="FFFFFF"/>
            <w:tcMar>
              <w:top w:w="57" w:type="dxa"/>
              <w:left w:w="57" w:type="dxa"/>
              <w:bottom w:w="57" w:type="dxa"/>
              <w:right w:w="57" w:type="dxa"/>
            </w:tcMar>
            <w:vAlign w:val="center"/>
          </w:tcPr>
          <w:p w14:paraId="56B6FF53" w14:textId="68979A0C" w:rsidR="00795045" w:rsidRPr="009228F7" w:rsidRDefault="00795045" w:rsidP="00795045">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19</w:t>
            </w:r>
            <w:r w:rsidRPr="009228F7">
              <w:rPr>
                <w:rFonts w:ascii="Arial" w:eastAsia="Times New Roman" w:hAnsi="Arial" w:cs="Arial"/>
                <w:sz w:val="19"/>
                <w:lang w:eastAsia="en-GB"/>
              </w:rPr>
              <w:t>.  Authority to Allot Shares</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456E056B" w14:textId="074E195A" w:rsidR="00795045" w:rsidRPr="00F90984" w:rsidRDefault="00795045" w:rsidP="00795045">
            <w:pPr>
              <w:jc w:val="center"/>
              <w:rPr>
                <w:rFonts w:asciiTheme="minorHAnsi" w:hAnsiTheme="minorHAnsi" w:cstheme="minorHAnsi"/>
              </w:rPr>
            </w:pPr>
            <w:r>
              <w:rPr>
                <w:rFonts w:ascii="Arial" w:hAnsi="Arial" w:cs="Arial"/>
                <w:sz w:val="20"/>
                <w:szCs w:val="20"/>
              </w:rPr>
              <w:t>303,328,110</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8D2B3C9" w14:textId="5A2F4159" w:rsidR="00795045" w:rsidRPr="00F90984" w:rsidRDefault="00795045" w:rsidP="00795045">
            <w:pPr>
              <w:jc w:val="center"/>
              <w:rPr>
                <w:rFonts w:asciiTheme="minorHAnsi" w:hAnsiTheme="minorHAnsi" w:cstheme="minorHAnsi"/>
              </w:rPr>
            </w:pPr>
            <w:r>
              <w:rPr>
                <w:rFonts w:ascii="Arial" w:hAnsi="Arial" w:cs="Arial"/>
                <w:sz w:val="20"/>
                <w:szCs w:val="20"/>
              </w:rPr>
              <w:t>75.38</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3647FEA9" w14:textId="61EAE140" w:rsidR="00795045" w:rsidRPr="00F90984" w:rsidRDefault="00795045" w:rsidP="00795045">
            <w:pPr>
              <w:jc w:val="center"/>
              <w:rPr>
                <w:rFonts w:asciiTheme="minorHAnsi" w:hAnsiTheme="minorHAnsi" w:cstheme="minorHAnsi"/>
              </w:rPr>
            </w:pPr>
            <w:r>
              <w:rPr>
                <w:rFonts w:ascii="Arial" w:hAnsi="Arial" w:cs="Arial"/>
                <w:sz w:val="20"/>
                <w:szCs w:val="20"/>
              </w:rPr>
              <w:t>99,067,618</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3016EAB" w14:textId="0AD04000" w:rsidR="00795045" w:rsidRPr="00F90984" w:rsidRDefault="00795045" w:rsidP="00795045">
            <w:pPr>
              <w:jc w:val="center"/>
              <w:rPr>
                <w:rFonts w:asciiTheme="minorHAnsi" w:hAnsiTheme="minorHAnsi" w:cstheme="minorHAnsi"/>
              </w:rPr>
            </w:pPr>
            <w:r>
              <w:rPr>
                <w:rFonts w:ascii="Arial" w:hAnsi="Arial" w:cs="Arial"/>
                <w:sz w:val="20"/>
                <w:szCs w:val="20"/>
              </w:rPr>
              <w:t>24.62</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68FF3E5B" w14:textId="7233FB1E" w:rsidR="00795045" w:rsidRPr="00B81033" w:rsidRDefault="00795045" w:rsidP="00795045">
            <w:pPr>
              <w:jc w:val="center"/>
            </w:pPr>
            <w:r>
              <w:rPr>
                <w:rFonts w:ascii="Arial" w:hAnsi="Arial" w:cs="Arial"/>
                <w:sz w:val="20"/>
                <w:szCs w:val="20"/>
              </w:rPr>
              <w:t>402,395,728</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230817A8" w14:textId="4F3593CD" w:rsidR="00795045" w:rsidRPr="00DE10AB" w:rsidRDefault="00795045" w:rsidP="00795045">
            <w:pPr>
              <w:jc w:val="center"/>
            </w:pPr>
            <w:r>
              <w:rPr>
                <w:rFonts w:ascii="Arial" w:hAnsi="Arial" w:cs="Arial"/>
                <w:sz w:val="20"/>
                <w:szCs w:val="20"/>
              </w:rPr>
              <w:t>84.84%</w:t>
            </w:r>
          </w:p>
        </w:tc>
        <w:tc>
          <w:tcPr>
            <w:tcW w:w="649" w:type="pct"/>
            <w:tcBorders>
              <w:top w:val="nil"/>
              <w:left w:val="nil"/>
              <w:bottom w:val="single" w:sz="4" w:space="0" w:color="auto"/>
              <w:right w:val="single" w:sz="4" w:space="0" w:color="auto"/>
            </w:tcBorders>
            <w:shd w:val="clear" w:color="auto" w:fill="auto"/>
            <w:vAlign w:val="bottom"/>
          </w:tcPr>
          <w:p w14:paraId="0F2F2650" w14:textId="5573FA82" w:rsidR="00795045" w:rsidRPr="00DE10AB" w:rsidRDefault="00795045" w:rsidP="00795045">
            <w:pPr>
              <w:jc w:val="center"/>
            </w:pPr>
            <w:r>
              <w:rPr>
                <w:rFonts w:ascii="Arial" w:hAnsi="Arial" w:cs="Arial"/>
                <w:sz w:val="20"/>
                <w:szCs w:val="20"/>
              </w:rPr>
              <w:t>3,054,791</w:t>
            </w:r>
          </w:p>
        </w:tc>
      </w:tr>
      <w:tr w:rsidR="00795045" w:rsidRPr="009228F7" w14:paraId="17F6C303" w14:textId="1EDD93BF" w:rsidTr="00795045">
        <w:trPr>
          <w:trHeight w:hRule="exact" w:val="1134"/>
          <w:jc w:val="center"/>
        </w:trPr>
        <w:tc>
          <w:tcPr>
            <w:tcW w:w="1155" w:type="pct"/>
            <w:shd w:val="clear" w:color="auto" w:fill="FFFFFF"/>
            <w:tcMar>
              <w:top w:w="57" w:type="dxa"/>
              <w:left w:w="57" w:type="dxa"/>
              <w:bottom w:w="57" w:type="dxa"/>
              <w:right w:w="57" w:type="dxa"/>
            </w:tcMar>
            <w:vAlign w:val="center"/>
            <w:hideMark/>
          </w:tcPr>
          <w:p w14:paraId="3E7FAD79" w14:textId="29564049" w:rsidR="00795045" w:rsidRPr="009228F7" w:rsidRDefault="00795045" w:rsidP="00795045">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20</w:t>
            </w:r>
            <w:r w:rsidRPr="009228F7">
              <w:rPr>
                <w:rFonts w:ascii="Arial" w:eastAsia="Times New Roman" w:hAnsi="Arial" w:cs="Arial"/>
                <w:sz w:val="19"/>
                <w:lang w:eastAsia="en-GB"/>
              </w:rPr>
              <w:t>. Authority to Dis-apply Statutory Pre-emption Rights **</w:t>
            </w:r>
            <w:r>
              <w:rPr>
                <w:rFonts w:ascii="Arial" w:eastAsia="Times New Roman" w:hAnsi="Arial" w:cs="Arial"/>
                <w:sz w:val="19"/>
                <w:lang w:eastAsia="en-GB"/>
              </w:rPr>
              <w:t>**</w:t>
            </w:r>
            <w:r w:rsidRPr="009228F7">
              <w:rPr>
                <w:rFonts w:ascii="Arial" w:eastAsia="Times New Roman" w:hAnsi="Arial" w:cs="Arial"/>
                <w:sz w:val="19"/>
                <w:lang w:eastAsia="en-GB"/>
              </w:rPr>
              <w:t xml:space="preserve">  </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432EBEB1" w14:textId="5D5E41AA" w:rsidR="00795045" w:rsidRPr="00F90984" w:rsidRDefault="00795045" w:rsidP="00795045">
            <w:pPr>
              <w:jc w:val="center"/>
              <w:rPr>
                <w:rFonts w:asciiTheme="minorHAnsi" w:hAnsiTheme="minorHAnsi" w:cstheme="minorHAnsi"/>
              </w:rPr>
            </w:pPr>
            <w:r>
              <w:rPr>
                <w:rFonts w:ascii="Arial" w:hAnsi="Arial" w:cs="Arial"/>
                <w:sz w:val="20"/>
                <w:szCs w:val="20"/>
              </w:rPr>
              <w:t>310,476,994</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3566DEE" w14:textId="0409FAF1" w:rsidR="00795045" w:rsidRPr="00F90984" w:rsidRDefault="00795045" w:rsidP="00795045">
            <w:pPr>
              <w:jc w:val="center"/>
              <w:rPr>
                <w:rFonts w:asciiTheme="minorHAnsi" w:hAnsiTheme="minorHAnsi" w:cstheme="minorHAnsi"/>
              </w:rPr>
            </w:pPr>
            <w:r>
              <w:rPr>
                <w:rFonts w:ascii="Arial" w:hAnsi="Arial" w:cs="Arial"/>
                <w:sz w:val="20"/>
                <w:szCs w:val="20"/>
              </w:rPr>
              <w:t>76.58</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55C4374D" w14:textId="0DEC9D69" w:rsidR="00795045" w:rsidRPr="00F90984" w:rsidRDefault="00795045" w:rsidP="00795045">
            <w:pPr>
              <w:jc w:val="center"/>
              <w:rPr>
                <w:rFonts w:asciiTheme="minorHAnsi" w:hAnsiTheme="minorHAnsi" w:cstheme="minorHAnsi"/>
              </w:rPr>
            </w:pPr>
            <w:r>
              <w:rPr>
                <w:rFonts w:ascii="Arial" w:hAnsi="Arial" w:cs="Arial"/>
                <w:sz w:val="20"/>
                <w:szCs w:val="20"/>
              </w:rPr>
              <w:t>94,948,546</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638A57EB" w14:textId="495F7EEA" w:rsidR="00795045" w:rsidRPr="00F90984" w:rsidRDefault="00795045" w:rsidP="00795045">
            <w:pPr>
              <w:jc w:val="center"/>
              <w:rPr>
                <w:rFonts w:asciiTheme="minorHAnsi" w:hAnsiTheme="minorHAnsi" w:cstheme="minorHAnsi"/>
              </w:rPr>
            </w:pPr>
            <w:r>
              <w:rPr>
                <w:rFonts w:ascii="Arial" w:hAnsi="Arial" w:cs="Arial"/>
                <w:sz w:val="20"/>
                <w:szCs w:val="20"/>
              </w:rPr>
              <w:t>23.42</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4D5BAF22" w14:textId="6F94B291" w:rsidR="00795045" w:rsidRPr="00B81033" w:rsidRDefault="00795045" w:rsidP="00795045">
            <w:pPr>
              <w:jc w:val="center"/>
            </w:pPr>
            <w:r>
              <w:rPr>
                <w:rFonts w:ascii="Arial" w:hAnsi="Arial" w:cs="Arial"/>
                <w:sz w:val="20"/>
                <w:szCs w:val="20"/>
              </w:rPr>
              <w:t>405,425,540</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515A803F" w14:textId="36936388" w:rsidR="00795045" w:rsidRPr="00DE10AB" w:rsidRDefault="00795045" w:rsidP="00795045">
            <w:pPr>
              <w:jc w:val="center"/>
            </w:pPr>
            <w:r>
              <w:rPr>
                <w:rFonts w:ascii="Arial" w:hAnsi="Arial" w:cs="Arial"/>
                <w:sz w:val="20"/>
                <w:szCs w:val="20"/>
              </w:rPr>
              <w:t>85.48%</w:t>
            </w:r>
          </w:p>
        </w:tc>
        <w:tc>
          <w:tcPr>
            <w:tcW w:w="649" w:type="pct"/>
            <w:tcBorders>
              <w:top w:val="nil"/>
              <w:left w:val="nil"/>
              <w:bottom w:val="single" w:sz="4" w:space="0" w:color="auto"/>
              <w:right w:val="single" w:sz="4" w:space="0" w:color="auto"/>
            </w:tcBorders>
            <w:shd w:val="clear" w:color="auto" w:fill="auto"/>
            <w:vAlign w:val="bottom"/>
          </w:tcPr>
          <w:p w14:paraId="3579C135" w14:textId="4F5E1FD0" w:rsidR="00795045" w:rsidRPr="00DE10AB" w:rsidRDefault="00795045" w:rsidP="00795045">
            <w:pPr>
              <w:jc w:val="center"/>
            </w:pPr>
            <w:r>
              <w:rPr>
                <w:rFonts w:ascii="Arial" w:hAnsi="Arial" w:cs="Arial"/>
                <w:sz w:val="20"/>
                <w:szCs w:val="20"/>
              </w:rPr>
              <w:t>24,980</w:t>
            </w:r>
          </w:p>
        </w:tc>
      </w:tr>
      <w:tr w:rsidR="00795045" w:rsidRPr="009228F7" w14:paraId="6DA9ADED" w14:textId="1AF5D849" w:rsidTr="00B1635B">
        <w:trPr>
          <w:trHeight w:hRule="exact" w:val="1134"/>
          <w:jc w:val="center"/>
        </w:trPr>
        <w:tc>
          <w:tcPr>
            <w:tcW w:w="1155" w:type="pct"/>
            <w:shd w:val="clear" w:color="auto" w:fill="FFFFFF"/>
            <w:tcMar>
              <w:top w:w="57" w:type="dxa"/>
              <w:left w:w="57" w:type="dxa"/>
              <w:bottom w:w="57" w:type="dxa"/>
              <w:right w:w="57" w:type="dxa"/>
            </w:tcMar>
            <w:vAlign w:val="center"/>
          </w:tcPr>
          <w:p w14:paraId="70A4008F" w14:textId="42A095EE" w:rsidR="00795045" w:rsidRPr="009228F7" w:rsidRDefault="00795045" w:rsidP="00795045">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lastRenderedPageBreak/>
              <w:t>21. A</w:t>
            </w:r>
            <w:r w:rsidRPr="009228F7">
              <w:rPr>
                <w:rFonts w:ascii="Arial" w:eastAsia="Times New Roman" w:hAnsi="Arial" w:cs="Arial"/>
                <w:sz w:val="19"/>
                <w:lang w:eastAsia="en-GB"/>
              </w:rPr>
              <w:t>pprove short notice for general meetings *</w:t>
            </w:r>
            <w:r w:rsidR="009358CC">
              <w:rPr>
                <w:rFonts w:ascii="Arial" w:eastAsia="Times New Roman" w:hAnsi="Arial" w:cs="Arial"/>
                <w:sz w:val="19"/>
                <w:lang w:eastAsia="en-GB"/>
              </w:rPr>
              <w:t>***</w:t>
            </w:r>
            <w:r w:rsidRPr="009228F7">
              <w:rPr>
                <w:rFonts w:ascii="Arial" w:eastAsia="Times New Roman" w:hAnsi="Arial" w:cs="Arial"/>
                <w:sz w:val="19"/>
                <w:lang w:eastAsia="en-GB"/>
              </w:rPr>
              <w:t xml:space="preserve"> </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5EB6702C" w14:textId="68F74C5F" w:rsidR="00795045" w:rsidRPr="00F90984" w:rsidRDefault="00795045" w:rsidP="00795045">
            <w:pPr>
              <w:jc w:val="center"/>
              <w:rPr>
                <w:rFonts w:asciiTheme="minorHAnsi" w:hAnsiTheme="minorHAnsi" w:cstheme="minorHAnsi"/>
              </w:rPr>
            </w:pPr>
            <w:r>
              <w:rPr>
                <w:rFonts w:ascii="Arial" w:hAnsi="Arial" w:cs="Arial"/>
                <w:sz w:val="20"/>
                <w:szCs w:val="20"/>
              </w:rPr>
              <w:t>393,805,298</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17FA3C80" w14:textId="7239C23C" w:rsidR="00795045" w:rsidRPr="00F90984" w:rsidRDefault="00795045" w:rsidP="00795045">
            <w:pPr>
              <w:jc w:val="center"/>
              <w:rPr>
                <w:rFonts w:asciiTheme="minorHAnsi" w:hAnsiTheme="minorHAnsi" w:cstheme="minorHAnsi"/>
              </w:rPr>
            </w:pPr>
            <w:r>
              <w:rPr>
                <w:rFonts w:ascii="Arial" w:hAnsi="Arial" w:cs="Arial"/>
                <w:sz w:val="20"/>
                <w:szCs w:val="20"/>
              </w:rPr>
              <w:t>97.84</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5EFBF48" w14:textId="2CDD5CF4" w:rsidR="00795045" w:rsidRPr="00F90984" w:rsidRDefault="00795045" w:rsidP="00795045">
            <w:pPr>
              <w:jc w:val="center"/>
              <w:rPr>
                <w:rFonts w:asciiTheme="minorHAnsi" w:hAnsiTheme="minorHAnsi" w:cstheme="minorHAnsi"/>
              </w:rPr>
            </w:pPr>
            <w:r>
              <w:rPr>
                <w:rFonts w:ascii="Arial" w:hAnsi="Arial" w:cs="Arial"/>
                <w:sz w:val="20"/>
                <w:szCs w:val="20"/>
              </w:rPr>
              <w:t>8,689,303</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98A239F" w14:textId="4343B882" w:rsidR="00795045" w:rsidRPr="00F90984" w:rsidRDefault="00795045" w:rsidP="00795045">
            <w:pPr>
              <w:jc w:val="center"/>
              <w:rPr>
                <w:rFonts w:asciiTheme="minorHAnsi" w:hAnsiTheme="minorHAnsi" w:cstheme="minorHAnsi"/>
              </w:rPr>
            </w:pPr>
            <w:r>
              <w:rPr>
                <w:rFonts w:ascii="Arial" w:hAnsi="Arial" w:cs="Arial"/>
                <w:sz w:val="20"/>
                <w:szCs w:val="20"/>
              </w:rPr>
              <w:t>2.16</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138544FC" w14:textId="180A3217" w:rsidR="00795045" w:rsidRPr="00B81033" w:rsidRDefault="00795045" w:rsidP="00795045">
            <w:pPr>
              <w:jc w:val="center"/>
            </w:pPr>
            <w:r>
              <w:rPr>
                <w:rFonts w:ascii="Arial" w:hAnsi="Arial" w:cs="Arial"/>
                <w:sz w:val="20"/>
                <w:szCs w:val="20"/>
              </w:rPr>
              <w:t>402,494,601</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AB43030" w14:textId="5A304E2E" w:rsidR="00795045" w:rsidRPr="00DE10AB" w:rsidRDefault="00795045" w:rsidP="00795045">
            <w:pPr>
              <w:jc w:val="center"/>
            </w:pPr>
            <w:r>
              <w:rPr>
                <w:rFonts w:ascii="Arial" w:hAnsi="Arial" w:cs="Arial"/>
                <w:sz w:val="20"/>
                <w:szCs w:val="20"/>
              </w:rPr>
              <w:t>84.86%</w:t>
            </w:r>
          </w:p>
        </w:tc>
        <w:tc>
          <w:tcPr>
            <w:tcW w:w="649" w:type="pct"/>
            <w:tcBorders>
              <w:top w:val="nil"/>
              <w:left w:val="nil"/>
              <w:bottom w:val="single" w:sz="4" w:space="0" w:color="auto"/>
              <w:right w:val="single" w:sz="4" w:space="0" w:color="auto"/>
            </w:tcBorders>
            <w:shd w:val="clear" w:color="auto" w:fill="auto"/>
            <w:vAlign w:val="bottom"/>
          </w:tcPr>
          <w:p w14:paraId="64772DAD" w14:textId="0A3432E6" w:rsidR="00795045" w:rsidRPr="00DE10AB" w:rsidRDefault="00795045" w:rsidP="00795045">
            <w:pPr>
              <w:jc w:val="center"/>
            </w:pPr>
            <w:r>
              <w:rPr>
                <w:rFonts w:ascii="Arial" w:hAnsi="Arial" w:cs="Arial"/>
                <w:sz w:val="20"/>
                <w:szCs w:val="20"/>
              </w:rPr>
              <w:t>2,955,919</w:t>
            </w:r>
          </w:p>
        </w:tc>
      </w:tr>
      <w:tr w:rsidR="00795045" w:rsidRPr="009228F7" w14:paraId="672B69CD" w14:textId="77777777" w:rsidTr="006C7F62">
        <w:trPr>
          <w:trHeight w:hRule="exact" w:val="1290"/>
          <w:jc w:val="center"/>
        </w:trPr>
        <w:tc>
          <w:tcPr>
            <w:tcW w:w="1155" w:type="pct"/>
            <w:shd w:val="clear" w:color="auto" w:fill="FFFFFF"/>
            <w:tcMar>
              <w:top w:w="57" w:type="dxa"/>
              <w:left w:w="57" w:type="dxa"/>
              <w:bottom w:w="57" w:type="dxa"/>
              <w:right w:w="57" w:type="dxa"/>
            </w:tcMar>
            <w:vAlign w:val="center"/>
          </w:tcPr>
          <w:p w14:paraId="662C94AA" w14:textId="3DF75CF7" w:rsidR="00795045" w:rsidRDefault="006C7F62" w:rsidP="00795045">
            <w:pPr>
              <w:spacing w:before="240" w:after="240" w:line="240" w:lineRule="auto"/>
              <w:jc w:val="center"/>
              <w:rPr>
                <w:rFonts w:ascii="Arial" w:eastAsia="Times New Roman" w:hAnsi="Arial" w:cs="Arial"/>
                <w:sz w:val="19"/>
                <w:lang w:eastAsia="en-GB"/>
              </w:rPr>
            </w:pPr>
            <w:r>
              <w:rPr>
                <w:rFonts w:ascii="Arial" w:eastAsia="Times New Roman" w:hAnsi="Arial" w:cs="Arial"/>
                <w:sz w:val="19"/>
                <w:lang w:eastAsia="en-GB"/>
              </w:rPr>
              <w:t>22. Approve the Hargreaves Lansdown plc Performance Share Plan</w:t>
            </w:r>
          </w:p>
        </w:tc>
        <w:tc>
          <w:tcPr>
            <w:tcW w:w="705" w:type="pct"/>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bottom"/>
          </w:tcPr>
          <w:p w14:paraId="5750392A" w14:textId="0F916285" w:rsidR="00795045" w:rsidRPr="00F90984" w:rsidRDefault="00795045" w:rsidP="00795045">
            <w:pPr>
              <w:jc w:val="center"/>
              <w:rPr>
                <w:rFonts w:asciiTheme="minorHAnsi" w:hAnsiTheme="minorHAnsi" w:cstheme="minorHAnsi"/>
              </w:rPr>
            </w:pPr>
            <w:r>
              <w:rPr>
                <w:rFonts w:ascii="Arial" w:hAnsi="Arial" w:cs="Arial"/>
                <w:sz w:val="20"/>
                <w:szCs w:val="20"/>
              </w:rPr>
              <w:t>299,628,254</w:t>
            </w:r>
          </w:p>
        </w:tc>
        <w:tc>
          <w:tcPr>
            <w:tcW w:w="388"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3BADE051" w14:textId="577D4E4C" w:rsidR="00795045" w:rsidRPr="00F90984" w:rsidRDefault="00795045" w:rsidP="00795045">
            <w:pPr>
              <w:jc w:val="center"/>
              <w:rPr>
                <w:rFonts w:asciiTheme="minorHAnsi" w:hAnsiTheme="minorHAnsi" w:cstheme="minorHAnsi"/>
              </w:rPr>
            </w:pPr>
            <w:r>
              <w:rPr>
                <w:rFonts w:ascii="Arial" w:hAnsi="Arial" w:cs="Arial"/>
                <w:sz w:val="20"/>
                <w:szCs w:val="20"/>
              </w:rPr>
              <w:t>74.46</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18835806" w14:textId="7D31AC79" w:rsidR="00795045" w:rsidRPr="00F90984" w:rsidRDefault="00795045" w:rsidP="00795045">
            <w:pPr>
              <w:jc w:val="center"/>
              <w:rPr>
                <w:rFonts w:asciiTheme="minorHAnsi" w:hAnsiTheme="minorHAnsi" w:cstheme="minorHAnsi"/>
              </w:rPr>
            </w:pPr>
            <w:r>
              <w:rPr>
                <w:rFonts w:ascii="Arial" w:hAnsi="Arial" w:cs="Arial"/>
                <w:sz w:val="20"/>
                <w:szCs w:val="20"/>
              </w:rPr>
              <w:t>102,764,402</w:t>
            </w:r>
          </w:p>
        </w:tc>
        <w:tc>
          <w:tcPr>
            <w:tcW w:w="269"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01D4946F" w14:textId="75B28940" w:rsidR="00795045" w:rsidRPr="00F90984" w:rsidRDefault="00795045" w:rsidP="00795045">
            <w:pPr>
              <w:jc w:val="center"/>
              <w:rPr>
                <w:rFonts w:asciiTheme="minorHAnsi" w:hAnsiTheme="minorHAnsi" w:cstheme="minorHAnsi"/>
              </w:rPr>
            </w:pPr>
            <w:r>
              <w:rPr>
                <w:rFonts w:ascii="Arial" w:hAnsi="Arial" w:cs="Arial"/>
                <w:sz w:val="20"/>
                <w:szCs w:val="20"/>
              </w:rPr>
              <w:t>25.54</w:t>
            </w:r>
          </w:p>
        </w:tc>
        <w:tc>
          <w:tcPr>
            <w:tcW w:w="705"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534F06EB" w14:textId="5D4860A6" w:rsidR="00795045" w:rsidRPr="00B81033" w:rsidRDefault="00795045" w:rsidP="00795045">
            <w:pPr>
              <w:jc w:val="center"/>
            </w:pPr>
            <w:r>
              <w:rPr>
                <w:rFonts w:ascii="Arial" w:hAnsi="Arial" w:cs="Arial"/>
                <w:sz w:val="20"/>
                <w:szCs w:val="20"/>
              </w:rPr>
              <w:t>402,392,656</w:t>
            </w:r>
          </w:p>
        </w:tc>
        <w:tc>
          <w:tcPr>
            <w:tcW w:w="424" w:type="pct"/>
            <w:tcBorders>
              <w:top w:val="nil"/>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19C93FBD" w14:textId="3CB098A5" w:rsidR="00795045" w:rsidRPr="00DE10AB" w:rsidRDefault="00795045" w:rsidP="00795045">
            <w:pPr>
              <w:jc w:val="center"/>
            </w:pPr>
            <w:r>
              <w:rPr>
                <w:rFonts w:ascii="Arial" w:hAnsi="Arial" w:cs="Arial"/>
                <w:sz w:val="20"/>
                <w:szCs w:val="20"/>
              </w:rPr>
              <w:t>84.84%</w:t>
            </w:r>
          </w:p>
        </w:tc>
        <w:tc>
          <w:tcPr>
            <w:tcW w:w="649" w:type="pct"/>
            <w:tcBorders>
              <w:top w:val="nil"/>
              <w:left w:val="nil"/>
              <w:bottom w:val="single" w:sz="4" w:space="0" w:color="auto"/>
              <w:right w:val="single" w:sz="4" w:space="0" w:color="auto"/>
            </w:tcBorders>
            <w:shd w:val="clear" w:color="auto" w:fill="auto"/>
            <w:vAlign w:val="bottom"/>
          </w:tcPr>
          <w:p w14:paraId="589F0263" w14:textId="5DDCD1B3" w:rsidR="00795045" w:rsidRPr="00DE10AB" w:rsidRDefault="00795045" w:rsidP="00795045">
            <w:pPr>
              <w:jc w:val="center"/>
            </w:pPr>
            <w:r>
              <w:rPr>
                <w:rFonts w:ascii="Arial" w:hAnsi="Arial" w:cs="Arial"/>
                <w:sz w:val="20"/>
                <w:szCs w:val="20"/>
              </w:rPr>
              <w:t>3,057,864</w:t>
            </w:r>
          </w:p>
        </w:tc>
      </w:tr>
    </w:tbl>
    <w:p w14:paraId="56658F8B" w14:textId="77777777" w:rsidR="00747976" w:rsidRPr="005D7F0C" w:rsidRDefault="00747976" w:rsidP="00747976">
      <w:pPr>
        <w:spacing w:before="240" w:after="240" w:line="240" w:lineRule="auto"/>
        <w:rPr>
          <w:rFonts w:ascii="Arial" w:eastAsia="Times New Roman" w:hAnsi="Arial" w:cs="Arial"/>
          <w:lang w:eastAsia="en-GB"/>
        </w:rPr>
      </w:pPr>
      <w:r w:rsidRPr="005D7F0C">
        <w:rPr>
          <w:rFonts w:ascii="Arial" w:eastAsia="Times New Roman" w:hAnsi="Arial" w:cs="Arial"/>
          <w:lang w:eastAsia="en-GB"/>
        </w:rPr>
        <w:t xml:space="preserve">Results of the poll can also be viewed on the Company’s website: </w:t>
      </w:r>
      <w:hyperlink r:id="rId7" w:history="1">
        <w:r w:rsidRPr="005D7F0C">
          <w:rPr>
            <w:rStyle w:val="Hyperlink"/>
            <w:rFonts w:ascii="Arial" w:eastAsia="Times New Roman" w:hAnsi="Arial" w:cs="Arial"/>
            <w:lang w:eastAsia="en-GB"/>
          </w:rPr>
          <w:t>www.hl.co.uk/investor-relations/investor-information/agm</w:t>
        </w:r>
      </w:hyperlink>
      <w:r w:rsidRPr="005D7F0C">
        <w:rPr>
          <w:rFonts w:ascii="Arial" w:eastAsia="Times New Roman" w:hAnsi="Arial" w:cs="Arial"/>
          <w:lang w:eastAsia="en-GB"/>
        </w:rPr>
        <w:t>.</w:t>
      </w:r>
    </w:p>
    <w:p w14:paraId="55077ADA" w14:textId="77777777" w:rsidR="00747976" w:rsidRPr="005D7F0C" w:rsidRDefault="00747976" w:rsidP="00747976">
      <w:pPr>
        <w:spacing w:before="240" w:after="240" w:line="240" w:lineRule="auto"/>
        <w:rPr>
          <w:rFonts w:ascii="Arial" w:eastAsia="Times New Roman" w:hAnsi="Arial" w:cs="Arial"/>
          <w:lang w:eastAsia="en-GB"/>
        </w:rPr>
      </w:pPr>
      <w:r w:rsidRPr="005D7F0C">
        <w:rPr>
          <w:rFonts w:ascii="Arial" w:eastAsia="Times New Roman" w:hAnsi="Arial" w:cs="Arial"/>
          <w:lang w:eastAsia="en-GB"/>
        </w:rPr>
        <w:t>* A vote withheld is not a vote in law and is not counted in the calculation of the proportion of votes 'for' or 'against' a resolution.</w:t>
      </w:r>
    </w:p>
    <w:p w14:paraId="23680D09" w14:textId="55213FE2" w:rsidR="007F46D9" w:rsidRPr="00D90901" w:rsidRDefault="00747976" w:rsidP="00CB6E30">
      <w:pPr>
        <w:spacing w:before="240" w:after="240" w:line="240" w:lineRule="auto"/>
        <w:rPr>
          <w:rFonts w:ascii="Arial" w:eastAsia="Times New Roman" w:hAnsi="Arial" w:cs="Arial"/>
          <w:lang w:eastAsia="en-GB"/>
        </w:rPr>
      </w:pPr>
      <w:r w:rsidRPr="00747976">
        <w:rPr>
          <w:rFonts w:ascii="Arial" w:eastAsia="Times New Roman" w:hAnsi="Arial" w:cs="Arial"/>
          <w:lang w:eastAsia="en-GB"/>
        </w:rPr>
        <w:t>*</w:t>
      </w:r>
      <w:r>
        <w:rPr>
          <w:rFonts w:ascii="Arial" w:eastAsia="Times New Roman" w:hAnsi="Arial" w:cs="Arial"/>
          <w:lang w:eastAsia="en-GB"/>
        </w:rPr>
        <w:t>*</w:t>
      </w:r>
      <w:r w:rsidRPr="00747976">
        <w:rPr>
          <w:rFonts w:ascii="Arial" w:eastAsia="Times New Roman" w:hAnsi="Arial" w:cs="Arial"/>
          <w:lang w:eastAsia="en-GB"/>
        </w:rPr>
        <w:t xml:space="preserve"> As announced by RNS on </w:t>
      </w:r>
      <w:r>
        <w:rPr>
          <w:rFonts w:ascii="Arial" w:eastAsia="Times New Roman" w:hAnsi="Arial" w:cs="Arial"/>
          <w:lang w:eastAsia="en-GB"/>
        </w:rPr>
        <w:t>29 November 2023</w:t>
      </w:r>
      <w:r w:rsidRPr="00747976">
        <w:rPr>
          <w:rFonts w:ascii="Arial" w:eastAsia="Times New Roman" w:hAnsi="Arial" w:cs="Arial"/>
          <w:lang w:eastAsia="en-GB"/>
        </w:rPr>
        <w:t xml:space="preserve">, the Company confirms that the resolution to re-elect Deanna Oppenheimer as </w:t>
      </w:r>
      <w:r w:rsidRPr="00D90901">
        <w:rPr>
          <w:rFonts w:ascii="Arial" w:eastAsia="Times New Roman" w:hAnsi="Arial" w:cs="Arial"/>
          <w:lang w:eastAsia="en-GB"/>
        </w:rPr>
        <w:t>Non-Executive Chair of the Company (Resolution 7 of the Notice) is now withdrawn. The withdrawal of Resolution 7 did not otherwise affect the validity of the Notice, the proxy form or any proxy votes already submitted on other resolutions. The numbering of all other proposed resolutions at the Annual General Meeting remained unchanged.</w:t>
      </w:r>
    </w:p>
    <w:p w14:paraId="520072D6" w14:textId="5E5C1B5F" w:rsidR="00747976" w:rsidRPr="00747976" w:rsidRDefault="00747976" w:rsidP="00747976">
      <w:pPr>
        <w:spacing w:before="240" w:after="240" w:line="240" w:lineRule="auto"/>
        <w:rPr>
          <w:rFonts w:ascii="Arial" w:eastAsia="Times New Roman" w:hAnsi="Arial" w:cs="Arial"/>
          <w:lang w:eastAsia="en-GB"/>
        </w:rPr>
      </w:pPr>
      <w:r w:rsidRPr="00D90901">
        <w:rPr>
          <w:rFonts w:ascii="Arial" w:eastAsia="Times New Roman" w:hAnsi="Arial" w:cs="Arial"/>
          <w:lang w:eastAsia="en-GB"/>
        </w:rPr>
        <w:t>*** As announced by RNS on 29 November 2023, the Company confirms that the resolution to re-elect Roger Perkin as Non-Executive Director of the</w:t>
      </w:r>
      <w:r w:rsidRPr="00747976">
        <w:rPr>
          <w:rFonts w:ascii="Arial" w:eastAsia="Times New Roman" w:hAnsi="Arial" w:cs="Arial"/>
          <w:lang w:eastAsia="en-GB"/>
        </w:rPr>
        <w:t xml:space="preserve"> Company (Resolution </w:t>
      </w:r>
      <w:r>
        <w:rPr>
          <w:rFonts w:ascii="Arial" w:eastAsia="Times New Roman" w:hAnsi="Arial" w:cs="Arial"/>
          <w:lang w:eastAsia="en-GB"/>
        </w:rPr>
        <w:t>10</w:t>
      </w:r>
      <w:r w:rsidRPr="00747976">
        <w:rPr>
          <w:rFonts w:ascii="Arial" w:eastAsia="Times New Roman" w:hAnsi="Arial" w:cs="Arial"/>
          <w:lang w:eastAsia="en-GB"/>
        </w:rPr>
        <w:t xml:space="preserve"> of the Notice) is now withdrawn. The withdrawal of Resolution </w:t>
      </w:r>
      <w:r>
        <w:rPr>
          <w:rFonts w:ascii="Arial" w:eastAsia="Times New Roman" w:hAnsi="Arial" w:cs="Arial"/>
          <w:lang w:eastAsia="en-GB"/>
        </w:rPr>
        <w:t>10</w:t>
      </w:r>
      <w:r w:rsidRPr="00747976">
        <w:rPr>
          <w:rFonts w:ascii="Arial" w:eastAsia="Times New Roman" w:hAnsi="Arial" w:cs="Arial"/>
          <w:lang w:eastAsia="en-GB"/>
        </w:rPr>
        <w:t xml:space="preserve"> did not otherwise affect the validity of the Notice, the proxy form or any proxy votes already submitted on other resolutions. The numbering of all other proposed resolutions at the Annual General Meeting remained unchanged.</w:t>
      </w:r>
    </w:p>
    <w:p w14:paraId="097D188C" w14:textId="0CA1EAC9" w:rsidR="00CB6E30" w:rsidRPr="005D7F0C" w:rsidRDefault="00CB6E30" w:rsidP="00CB6E30">
      <w:pPr>
        <w:spacing w:before="240" w:after="240" w:line="240" w:lineRule="auto"/>
        <w:rPr>
          <w:rFonts w:ascii="Arial" w:eastAsia="Times New Roman" w:hAnsi="Arial" w:cs="Arial"/>
          <w:lang w:eastAsia="en-GB"/>
        </w:rPr>
      </w:pPr>
      <w:r w:rsidRPr="005D7F0C">
        <w:rPr>
          <w:rFonts w:ascii="Arial" w:eastAsia="Times New Roman" w:hAnsi="Arial" w:cs="Arial"/>
          <w:lang w:eastAsia="en-GB"/>
        </w:rPr>
        <w:t>**</w:t>
      </w:r>
      <w:r w:rsidR="00747976">
        <w:rPr>
          <w:rFonts w:ascii="Arial" w:eastAsia="Times New Roman" w:hAnsi="Arial" w:cs="Arial"/>
          <w:lang w:eastAsia="en-GB"/>
        </w:rPr>
        <w:t>**</w:t>
      </w:r>
      <w:r w:rsidRPr="005D7F0C">
        <w:rPr>
          <w:rFonts w:ascii="Arial" w:eastAsia="Times New Roman" w:hAnsi="Arial" w:cs="Arial"/>
          <w:lang w:eastAsia="en-GB"/>
        </w:rPr>
        <w:t xml:space="preserve"> Special Resolutions requiring a 75% majority.</w:t>
      </w:r>
    </w:p>
    <w:p w14:paraId="1F236D9B" w14:textId="123B529E" w:rsidR="0065205A" w:rsidRDefault="0065205A" w:rsidP="0065205A">
      <w:pPr>
        <w:spacing w:after="0" w:line="240" w:lineRule="auto"/>
        <w:rPr>
          <w:rFonts w:ascii="Arial" w:eastAsia="Times New Roman" w:hAnsi="Arial" w:cs="Arial"/>
          <w:lang w:eastAsia="en-GB"/>
        </w:rPr>
      </w:pPr>
      <w:r w:rsidRPr="005D7F0C">
        <w:rPr>
          <w:rFonts w:ascii="Arial" w:eastAsia="Times New Roman" w:hAnsi="Arial" w:cs="Arial"/>
          <w:lang w:eastAsia="en-GB"/>
        </w:rPr>
        <w:t>In accordance with Listing Rule 9.6.3(1), two copies of the resolutions (other than those resolutions comprising ordinary business) passed by the Company at its Annual G</w:t>
      </w:r>
      <w:r w:rsidR="00D64BB9" w:rsidRPr="005D7F0C">
        <w:rPr>
          <w:rFonts w:ascii="Arial" w:eastAsia="Times New Roman" w:hAnsi="Arial" w:cs="Arial"/>
          <w:lang w:eastAsia="en-GB"/>
        </w:rPr>
        <w:t xml:space="preserve">eneral Meeting (‘AGM') held on </w:t>
      </w:r>
      <w:r w:rsidR="009F74BA">
        <w:rPr>
          <w:rFonts w:ascii="Arial" w:eastAsia="Times New Roman" w:hAnsi="Arial" w:cs="Arial"/>
          <w:lang w:eastAsia="en-GB"/>
        </w:rPr>
        <w:t>8</w:t>
      </w:r>
      <w:r w:rsidR="009F74BA" w:rsidRPr="009F74BA">
        <w:rPr>
          <w:rFonts w:ascii="Arial" w:eastAsia="Times New Roman" w:hAnsi="Arial" w:cs="Arial"/>
          <w:vertAlign w:val="superscript"/>
          <w:lang w:eastAsia="en-GB"/>
        </w:rPr>
        <w:t>th</w:t>
      </w:r>
      <w:r w:rsidR="009F74BA">
        <w:rPr>
          <w:rFonts w:ascii="Arial" w:eastAsia="Times New Roman" w:hAnsi="Arial" w:cs="Arial"/>
          <w:lang w:eastAsia="en-GB"/>
        </w:rPr>
        <w:t xml:space="preserve"> December 2023</w:t>
      </w:r>
      <w:r w:rsidRPr="005D7F0C">
        <w:rPr>
          <w:rFonts w:ascii="Arial" w:eastAsia="Times New Roman" w:hAnsi="Arial" w:cs="Arial"/>
          <w:lang w:eastAsia="en-GB"/>
        </w:rPr>
        <w:t xml:space="preserve"> have been submitted to the </w:t>
      </w:r>
      <w:r w:rsidR="00007948" w:rsidRPr="005D7F0C">
        <w:rPr>
          <w:rFonts w:ascii="Arial" w:eastAsia="Times New Roman" w:hAnsi="Arial" w:cs="Arial"/>
          <w:lang w:eastAsia="en-GB"/>
        </w:rPr>
        <w:t>Financial Conduct Authority</w:t>
      </w:r>
      <w:r w:rsidRPr="005D7F0C">
        <w:rPr>
          <w:rFonts w:ascii="Arial" w:eastAsia="Times New Roman" w:hAnsi="Arial" w:cs="Arial"/>
          <w:lang w:eastAsia="en-GB"/>
        </w:rPr>
        <w:t>.</w:t>
      </w:r>
    </w:p>
    <w:p w14:paraId="1E313C7A" w14:textId="77777777" w:rsidR="00387544" w:rsidRDefault="00387544" w:rsidP="0065205A">
      <w:pPr>
        <w:spacing w:after="0" w:line="240" w:lineRule="auto"/>
        <w:rPr>
          <w:rFonts w:ascii="Arial" w:eastAsia="Times New Roman" w:hAnsi="Arial" w:cs="Arial"/>
          <w:lang w:eastAsia="en-GB"/>
        </w:rPr>
      </w:pPr>
    </w:p>
    <w:p w14:paraId="61496747" w14:textId="40F04137" w:rsidR="00387544" w:rsidRPr="00387544" w:rsidRDefault="00387544" w:rsidP="00387544">
      <w:pPr>
        <w:rPr>
          <w:rFonts w:ascii="Arial" w:hAnsi="Arial"/>
        </w:rPr>
      </w:pPr>
      <w:r w:rsidRPr="00387544">
        <w:rPr>
          <w:rFonts w:ascii="Arial" w:hAnsi="Arial" w:cs="Arial"/>
          <w:color w:val="000000"/>
        </w:rPr>
        <w:t>The Board notes that resolution 11 (re-election of J Troiano), resolution 12 (re-election of A Blance), resolution 13 (re-election of M Mannings), resolution 15 (re-election of P James), resolution 16 (re-election of D Pope), resolution 18 (authority to purchase its own shares), resolution 19 (authority to allot shares), resolution 20 (authority to dis-apply statutory pre-emption rights)  and resolution 22 (</w:t>
      </w:r>
      <w:r>
        <w:rPr>
          <w:rFonts w:ascii="Arial" w:eastAsia="Times New Roman" w:hAnsi="Arial" w:cs="Arial"/>
          <w:lang w:eastAsia="en-GB"/>
        </w:rPr>
        <w:t>a</w:t>
      </w:r>
      <w:r w:rsidRPr="00387544">
        <w:rPr>
          <w:rFonts w:ascii="Arial" w:eastAsia="Times New Roman" w:hAnsi="Arial" w:cs="Arial"/>
          <w:lang w:eastAsia="en-GB"/>
        </w:rPr>
        <w:t xml:space="preserve">pprove the Hargreaves Lansdown plc Performance Share Plan) </w:t>
      </w:r>
      <w:r w:rsidRPr="00387544">
        <w:rPr>
          <w:rFonts w:ascii="Arial" w:hAnsi="Arial" w:cs="Arial"/>
          <w:color w:val="000000"/>
        </w:rPr>
        <w:t xml:space="preserve"> were passed but with less than 80% of support. The Board will consult with the specific shareholders who did not vote in favour to understand any concerns.</w:t>
      </w:r>
    </w:p>
    <w:p w14:paraId="2D30965F" w14:textId="77777777" w:rsidR="0065205A" w:rsidRPr="005D7F0C" w:rsidRDefault="0065205A" w:rsidP="0065205A">
      <w:pPr>
        <w:spacing w:after="0" w:line="240" w:lineRule="auto"/>
        <w:jc w:val="both"/>
        <w:rPr>
          <w:rFonts w:ascii="Arial" w:eastAsia="Times New Roman" w:hAnsi="Arial" w:cs="Arial"/>
          <w:lang w:eastAsia="en-GB"/>
        </w:rPr>
      </w:pPr>
    </w:p>
    <w:p w14:paraId="3C0583CB" w14:textId="61ECC82E" w:rsidR="0065205A" w:rsidRPr="005D7F0C" w:rsidRDefault="0065205A" w:rsidP="0065205A">
      <w:pPr>
        <w:spacing w:after="0" w:line="240" w:lineRule="auto"/>
        <w:ind w:right="-661"/>
        <w:rPr>
          <w:rFonts w:ascii="Arial" w:eastAsia="Times New Roman" w:hAnsi="Arial" w:cs="Arial"/>
          <w:lang w:eastAsia="en-GB"/>
        </w:rPr>
      </w:pPr>
      <w:r w:rsidRPr="005D7F0C">
        <w:rPr>
          <w:rFonts w:ascii="Arial" w:eastAsia="Times New Roman" w:hAnsi="Arial" w:cs="Arial"/>
          <w:lang w:eastAsia="en-GB"/>
        </w:rPr>
        <w:t xml:space="preserve">A copy of this document has been submitted to the National Storage Mechanism and will shortly be available for inspection at: </w:t>
      </w:r>
      <w:hyperlink r:id="rId8" w:history="1">
        <w:r w:rsidR="00625D5B">
          <w:rPr>
            <w:rStyle w:val="Hyperlink"/>
          </w:rPr>
          <w:t>https://data.fca.org.uk/#/nsm/nationalstoragemechanism</w:t>
        </w:r>
      </w:hyperlink>
      <w:r w:rsidR="00050BFF" w:rsidRPr="005D7F0C">
        <w:rPr>
          <w:rFonts w:ascii="Arial" w:eastAsia="Times New Roman" w:hAnsi="Arial" w:cs="Arial"/>
          <w:lang w:eastAsia="en-GB"/>
        </w:rPr>
        <w:t>.</w:t>
      </w:r>
    </w:p>
    <w:p w14:paraId="681EA5F7" w14:textId="7513F776" w:rsidR="005D7F0C" w:rsidRDefault="005D7F0C" w:rsidP="005D7F0C">
      <w:pPr>
        <w:spacing w:after="0" w:line="240" w:lineRule="auto"/>
        <w:rPr>
          <w:rFonts w:ascii="Arial" w:eastAsia="Times New Roman" w:hAnsi="Arial" w:cs="Arial"/>
          <w:lang w:eastAsia="en-GB"/>
        </w:rPr>
      </w:pPr>
    </w:p>
    <w:p w14:paraId="1A096B32" w14:textId="77777777" w:rsidR="005D7F0C" w:rsidRPr="005D7F0C" w:rsidRDefault="005D7F0C" w:rsidP="005D7F0C">
      <w:pPr>
        <w:spacing w:after="0" w:line="240" w:lineRule="auto"/>
        <w:rPr>
          <w:rFonts w:ascii="Arial" w:eastAsia="Times New Roman" w:hAnsi="Arial" w:cs="Arial"/>
          <w:lang w:eastAsia="en-GB"/>
        </w:rPr>
      </w:pPr>
    </w:p>
    <w:p w14:paraId="5F8DCE00" w14:textId="40A81CBA" w:rsidR="005D7F0C" w:rsidRDefault="004A59ED" w:rsidP="005D7F0C">
      <w:pPr>
        <w:pStyle w:val="HTMLPreformatted"/>
        <w:rPr>
          <w:rFonts w:ascii="Arial" w:hAnsi="Arial" w:cs="Arial"/>
          <w:sz w:val="22"/>
          <w:szCs w:val="22"/>
        </w:rPr>
      </w:pPr>
      <w:r>
        <w:rPr>
          <w:rFonts w:ascii="Arial" w:hAnsi="Arial" w:cs="Arial"/>
          <w:sz w:val="22"/>
          <w:szCs w:val="22"/>
        </w:rPr>
        <w:t>Claire Chapman</w:t>
      </w:r>
    </w:p>
    <w:p w14:paraId="0C62CF9C" w14:textId="10FCC966" w:rsidR="003C30B9" w:rsidRPr="003F6DD3" w:rsidRDefault="003C30B9" w:rsidP="005D7F0C">
      <w:pPr>
        <w:pStyle w:val="HTMLPreformatted"/>
        <w:rPr>
          <w:rFonts w:ascii="Arial" w:hAnsi="Arial" w:cs="Arial"/>
          <w:sz w:val="22"/>
          <w:szCs w:val="22"/>
        </w:rPr>
      </w:pPr>
      <w:r>
        <w:rPr>
          <w:rFonts w:ascii="Arial" w:hAnsi="Arial" w:cs="Arial"/>
          <w:sz w:val="22"/>
          <w:szCs w:val="22"/>
        </w:rPr>
        <w:t>Company Secretary</w:t>
      </w:r>
    </w:p>
    <w:p w14:paraId="5E24B263" w14:textId="77777777" w:rsidR="005D7F0C" w:rsidRDefault="005D7F0C" w:rsidP="005D7F0C">
      <w:pPr>
        <w:pStyle w:val="HTMLPreformatted"/>
        <w:rPr>
          <w:rFonts w:ascii="Arial" w:hAnsi="Arial" w:cs="Arial"/>
          <w:sz w:val="22"/>
          <w:szCs w:val="22"/>
        </w:rPr>
      </w:pPr>
    </w:p>
    <w:p w14:paraId="603767F7" w14:textId="7662246B" w:rsidR="005D7F0C" w:rsidRPr="005D7F0C" w:rsidRDefault="005D7F0C" w:rsidP="005D7F0C">
      <w:pPr>
        <w:shd w:val="clear" w:color="auto" w:fill="FFFFFF"/>
        <w:spacing w:after="0"/>
        <w:rPr>
          <w:rFonts w:ascii="Arial" w:eastAsia="Times New Roman" w:hAnsi="Arial" w:cs="Arial"/>
          <w:lang w:eastAsia="en-GB"/>
        </w:rPr>
      </w:pPr>
      <w:r w:rsidRPr="005D7F0C">
        <w:rPr>
          <w:rFonts w:ascii="Arial" w:eastAsia="Times New Roman" w:hAnsi="Arial" w:cs="Arial"/>
          <w:lang w:eastAsia="en-GB"/>
        </w:rPr>
        <w:t>Enquiries: </w:t>
      </w:r>
    </w:p>
    <w:p w14:paraId="489C49B1" w14:textId="77777777" w:rsidR="005D7F0C" w:rsidRPr="0079610F" w:rsidRDefault="005D7F0C" w:rsidP="005D7F0C">
      <w:pPr>
        <w:shd w:val="clear" w:color="auto" w:fill="FFFFFF"/>
        <w:spacing w:after="0"/>
        <w:rPr>
          <w:rFonts w:ascii="Arial" w:eastAsia="Times New Roman" w:hAnsi="Arial" w:cs="Arial"/>
          <w:lang w:eastAsia="en-GB"/>
        </w:rPr>
      </w:pPr>
      <w:r w:rsidRPr="0079610F">
        <w:rPr>
          <w:rFonts w:ascii="Arial" w:eastAsia="Times New Roman" w:hAnsi="Arial" w:cs="Arial"/>
          <w:lang w:eastAsia="en-GB"/>
        </w:rPr>
        <w:t>Danny Cox, Head of Communications:</w:t>
      </w:r>
    </w:p>
    <w:p w14:paraId="2EC3F8C6" w14:textId="77777777" w:rsidR="005D7F0C" w:rsidRPr="0079610F" w:rsidRDefault="005D7F0C" w:rsidP="005D7F0C">
      <w:pPr>
        <w:shd w:val="clear" w:color="auto" w:fill="FFFFFF"/>
        <w:spacing w:after="0"/>
        <w:rPr>
          <w:rFonts w:ascii="Arial" w:eastAsia="Times New Roman" w:hAnsi="Arial" w:cs="Arial"/>
          <w:lang w:eastAsia="en-GB"/>
        </w:rPr>
      </w:pPr>
      <w:r w:rsidRPr="0079610F">
        <w:rPr>
          <w:rFonts w:ascii="Arial" w:eastAsia="Times New Roman" w:hAnsi="Arial" w:cs="Arial"/>
          <w:lang w:eastAsia="en-GB"/>
        </w:rPr>
        <w:lastRenderedPageBreak/>
        <w:t>07989 672 071</w:t>
      </w:r>
    </w:p>
    <w:p w14:paraId="10FC2414" w14:textId="77777777" w:rsidR="005D7F0C" w:rsidRPr="0079610F" w:rsidRDefault="005D7F0C" w:rsidP="005D7F0C">
      <w:pPr>
        <w:shd w:val="clear" w:color="auto" w:fill="FFFFFF"/>
        <w:spacing w:after="0"/>
        <w:rPr>
          <w:rFonts w:ascii="Arial" w:eastAsia="Times New Roman" w:hAnsi="Arial" w:cs="Arial"/>
          <w:lang w:eastAsia="en-GB"/>
        </w:rPr>
      </w:pPr>
    </w:p>
    <w:p w14:paraId="33BB697F" w14:textId="0615E4EE" w:rsidR="005D7F0C" w:rsidRPr="005D7F0C" w:rsidRDefault="005D7F0C" w:rsidP="005D7F0C">
      <w:pPr>
        <w:shd w:val="clear" w:color="auto" w:fill="FFFFFF"/>
        <w:spacing w:after="0"/>
        <w:rPr>
          <w:rFonts w:ascii="Arial" w:eastAsia="Times New Roman" w:hAnsi="Arial" w:cs="Arial"/>
          <w:lang w:eastAsia="en-GB"/>
        </w:rPr>
      </w:pPr>
      <w:r w:rsidRPr="0079610F">
        <w:rPr>
          <w:rFonts w:ascii="Arial" w:eastAsia="Times New Roman" w:hAnsi="Arial" w:cs="Arial"/>
          <w:lang w:eastAsia="en-GB"/>
        </w:rPr>
        <w:t>James Found, Head of Investor Relations:</w:t>
      </w:r>
    </w:p>
    <w:p w14:paraId="37CAEA6E" w14:textId="77777777" w:rsidR="005D7F0C" w:rsidRPr="005D7F0C" w:rsidRDefault="005D7F0C" w:rsidP="005D7F0C">
      <w:pPr>
        <w:shd w:val="clear" w:color="auto" w:fill="FFFFFF"/>
        <w:spacing w:after="0"/>
        <w:rPr>
          <w:rFonts w:ascii="Arial" w:eastAsia="Times New Roman" w:hAnsi="Arial" w:cs="Arial"/>
          <w:lang w:eastAsia="en-GB"/>
        </w:rPr>
      </w:pPr>
      <w:r w:rsidRPr="005D7F0C">
        <w:rPr>
          <w:rFonts w:ascii="Arial" w:eastAsia="Times New Roman" w:hAnsi="Arial" w:cs="Arial"/>
          <w:lang w:eastAsia="en-GB"/>
        </w:rPr>
        <w:t>07970 066 634</w:t>
      </w:r>
    </w:p>
    <w:p w14:paraId="5F58B86A" w14:textId="7CB80C1B" w:rsidR="005D7F0C" w:rsidRDefault="005D7F0C" w:rsidP="00F32849">
      <w:pPr>
        <w:spacing w:after="0" w:line="240" w:lineRule="auto"/>
        <w:rPr>
          <w:rFonts w:ascii="Arial" w:eastAsia="Times New Roman" w:hAnsi="Arial" w:cs="Arial"/>
          <w:lang w:eastAsia="en-GB"/>
        </w:rPr>
      </w:pPr>
    </w:p>
    <w:p w14:paraId="3BB55F52" w14:textId="77777777" w:rsidR="005D7F0C" w:rsidRPr="005D7F0C" w:rsidRDefault="005D7F0C" w:rsidP="00F32849">
      <w:pPr>
        <w:spacing w:after="0" w:line="240" w:lineRule="auto"/>
        <w:rPr>
          <w:rFonts w:ascii="Arial" w:eastAsia="Times New Roman" w:hAnsi="Arial" w:cs="Arial"/>
          <w:lang w:eastAsia="en-GB"/>
        </w:rPr>
      </w:pPr>
    </w:p>
    <w:p w14:paraId="53190FB3" w14:textId="7AD1D802" w:rsidR="00F32849" w:rsidRPr="005D7F0C" w:rsidRDefault="00F32849" w:rsidP="00F32849">
      <w:pPr>
        <w:spacing w:after="0" w:line="240" w:lineRule="auto"/>
        <w:rPr>
          <w:rFonts w:ascii="Arial" w:eastAsia="Times New Roman" w:hAnsi="Arial" w:cs="Arial"/>
          <w:lang w:eastAsia="en-GB"/>
        </w:rPr>
      </w:pPr>
      <w:r w:rsidRPr="005D7F0C">
        <w:rPr>
          <w:rFonts w:ascii="Arial" w:eastAsia="Times New Roman" w:hAnsi="Arial" w:cs="Arial"/>
          <w:lang w:eastAsia="en-GB"/>
        </w:rPr>
        <w:t>LEI: 2138008ZCE93ZDSESG90</w:t>
      </w:r>
    </w:p>
    <w:p w14:paraId="037C348D" w14:textId="77777777" w:rsidR="00F32849" w:rsidRPr="005D7F0C" w:rsidRDefault="00F32849" w:rsidP="009228F7">
      <w:pPr>
        <w:spacing w:after="0" w:line="240" w:lineRule="auto"/>
        <w:rPr>
          <w:rFonts w:ascii="Arial" w:eastAsia="Times New Roman" w:hAnsi="Arial" w:cs="Arial"/>
          <w:lang w:eastAsia="en-GB"/>
        </w:rPr>
      </w:pPr>
      <w:r w:rsidRPr="005D7F0C">
        <w:rPr>
          <w:rFonts w:ascii="Arial" w:eastAsia="Times New Roman" w:hAnsi="Arial" w:cs="Arial"/>
          <w:lang w:eastAsia="en-GB"/>
        </w:rPr>
        <w:t>Company Number: 02122142</w:t>
      </w:r>
    </w:p>
    <w:sectPr w:rsidR="00F32849" w:rsidRPr="005D7F0C" w:rsidSect="009228F7">
      <w:footerReference w:type="default" r:id="rId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9F1E1" w14:textId="77777777" w:rsidR="004A59ED" w:rsidRDefault="004A59ED" w:rsidP="004A59ED">
      <w:pPr>
        <w:spacing w:after="0" w:line="240" w:lineRule="auto"/>
      </w:pPr>
      <w:r>
        <w:separator/>
      </w:r>
    </w:p>
  </w:endnote>
  <w:endnote w:type="continuationSeparator" w:id="0">
    <w:p w14:paraId="4C8437C1" w14:textId="77777777" w:rsidR="004A59ED" w:rsidRDefault="004A59ED" w:rsidP="004A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ffra Medium">
    <w:altName w:val="Effra Medium"/>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EFA3" w14:textId="673822CD" w:rsidR="009F74BA" w:rsidRDefault="009F74BA">
    <w:pPr>
      <w:pStyle w:val="Footer"/>
    </w:pPr>
    <w:r>
      <w:rPr>
        <w:noProof/>
      </w:rPr>
      <mc:AlternateContent>
        <mc:Choice Requires="wps">
          <w:drawing>
            <wp:anchor distT="0" distB="0" distL="114300" distR="114300" simplePos="0" relativeHeight="251659264" behindDoc="0" locked="0" layoutInCell="0" allowOverlap="1" wp14:anchorId="6F9BFCF1" wp14:editId="27715414">
              <wp:simplePos x="0" y="0"/>
              <wp:positionH relativeFrom="page">
                <wp:posOffset>0</wp:posOffset>
              </wp:positionH>
              <wp:positionV relativeFrom="page">
                <wp:posOffset>10227945</wp:posOffset>
              </wp:positionV>
              <wp:extent cx="7560310" cy="273050"/>
              <wp:effectExtent l="0" t="0" r="0" b="12700"/>
              <wp:wrapNone/>
              <wp:docPr id="1866688670" name="MSIPCM13f145488ef1e85219d66a24" descr="{&quot;HashCode&quot;:39346162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2F2FED" w14:textId="2C8CEF59" w:rsidR="009F74BA" w:rsidRPr="009F74BA" w:rsidRDefault="009F74BA" w:rsidP="009F74BA">
                          <w:pPr>
                            <w:spacing w:after="0"/>
                            <w:jc w:val="right"/>
                            <w:rPr>
                              <w:rFonts w:cs="Calibri"/>
                              <w:color w:val="FF0000"/>
                              <w:sz w:val="20"/>
                            </w:rPr>
                          </w:pPr>
                          <w:r w:rsidRPr="009F74BA">
                            <w:rPr>
                              <w:rFonts w:cs="Calibri"/>
                              <w:color w:val="FF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F9BFCF1" id="_x0000_t202" coordsize="21600,21600" o:spt="202" path="m,l,21600r21600,l21600,xe">
              <v:stroke joinstyle="miter"/>
              <v:path gradientshapeok="t" o:connecttype="rect"/>
            </v:shapetype>
            <v:shape id="MSIPCM13f145488ef1e85219d66a24" o:spid="_x0000_s1026" type="#_x0000_t202" alt="{&quot;HashCode&quot;:39346162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" o:allowincell="f" filled="f" stroked="f" strokeweight=".5pt">
              <v:textbox inset=",0,20pt,0">
                <w:txbxContent>
                  <w:p w14:paraId="6C2F2FED" w14:textId="2C8CEF59" w:rsidR="009F74BA" w:rsidRPr="009F74BA" w:rsidRDefault="009F74BA" w:rsidP="009F74BA">
                    <w:pPr>
                      <w:spacing w:after="0"/>
                      <w:jc w:val="right"/>
                      <w:rPr>
                        <w:rFonts w:cs="Calibri"/>
                        <w:color w:val="FF0000"/>
                        <w:sz w:val="20"/>
                      </w:rPr>
                    </w:pPr>
                    <w:r w:rsidRPr="009F74BA">
                      <w:rPr>
                        <w:rFonts w:cs="Calibri"/>
                        <w:color w:val="FF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FA69" w14:textId="77777777" w:rsidR="004A59ED" w:rsidRDefault="004A59ED" w:rsidP="004A59ED">
      <w:pPr>
        <w:spacing w:after="0" w:line="240" w:lineRule="auto"/>
      </w:pPr>
      <w:r>
        <w:separator/>
      </w:r>
    </w:p>
  </w:footnote>
  <w:footnote w:type="continuationSeparator" w:id="0">
    <w:p w14:paraId="7BC76780" w14:textId="77777777" w:rsidR="004A59ED" w:rsidRDefault="004A59ED" w:rsidP="004A59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30"/>
    <w:rsid w:val="00007948"/>
    <w:rsid w:val="00050BFF"/>
    <w:rsid w:val="000A4AC9"/>
    <w:rsid w:val="000B50AD"/>
    <w:rsid w:val="000D73B7"/>
    <w:rsid w:val="00105CDF"/>
    <w:rsid w:val="00107B0D"/>
    <w:rsid w:val="00150CDA"/>
    <w:rsid w:val="00183249"/>
    <w:rsid w:val="0018669A"/>
    <w:rsid w:val="001A033F"/>
    <w:rsid w:val="001A1320"/>
    <w:rsid w:val="001A4A02"/>
    <w:rsid w:val="001D405D"/>
    <w:rsid w:val="002018DF"/>
    <w:rsid w:val="0022477D"/>
    <w:rsid w:val="002563A2"/>
    <w:rsid w:val="00265C87"/>
    <w:rsid w:val="00270103"/>
    <w:rsid w:val="002702EA"/>
    <w:rsid w:val="00287589"/>
    <w:rsid w:val="00343964"/>
    <w:rsid w:val="00350403"/>
    <w:rsid w:val="003559D3"/>
    <w:rsid w:val="00356639"/>
    <w:rsid w:val="00387544"/>
    <w:rsid w:val="0039142D"/>
    <w:rsid w:val="003C30B9"/>
    <w:rsid w:val="004037D0"/>
    <w:rsid w:val="004443E6"/>
    <w:rsid w:val="00461B0D"/>
    <w:rsid w:val="004A2C0E"/>
    <w:rsid w:val="004A59ED"/>
    <w:rsid w:val="004B6FE6"/>
    <w:rsid w:val="004C75A2"/>
    <w:rsid w:val="004D10DE"/>
    <w:rsid w:val="004D1DE9"/>
    <w:rsid w:val="004E1C94"/>
    <w:rsid w:val="004E757A"/>
    <w:rsid w:val="004F0F02"/>
    <w:rsid w:val="00545874"/>
    <w:rsid w:val="00555FEA"/>
    <w:rsid w:val="00561240"/>
    <w:rsid w:val="00561D35"/>
    <w:rsid w:val="005B4B6F"/>
    <w:rsid w:val="005D7F0C"/>
    <w:rsid w:val="005E1689"/>
    <w:rsid w:val="00625D5B"/>
    <w:rsid w:val="006423F2"/>
    <w:rsid w:val="0065205A"/>
    <w:rsid w:val="00653AFD"/>
    <w:rsid w:val="006A203E"/>
    <w:rsid w:val="006C248C"/>
    <w:rsid w:val="006C69B2"/>
    <w:rsid w:val="006C7F62"/>
    <w:rsid w:val="006F4DD0"/>
    <w:rsid w:val="00711224"/>
    <w:rsid w:val="00747976"/>
    <w:rsid w:val="00761D47"/>
    <w:rsid w:val="00790773"/>
    <w:rsid w:val="00795045"/>
    <w:rsid w:val="0079610F"/>
    <w:rsid w:val="007B299D"/>
    <w:rsid w:val="007F46D9"/>
    <w:rsid w:val="00802285"/>
    <w:rsid w:val="0080338B"/>
    <w:rsid w:val="0083051B"/>
    <w:rsid w:val="00832E91"/>
    <w:rsid w:val="008628D0"/>
    <w:rsid w:val="008A4B37"/>
    <w:rsid w:val="008B5ADA"/>
    <w:rsid w:val="008E0878"/>
    <w:rsid w:val="008F4FF1"/>
    <w:rsid w:val="008F5D08"/>
    <w:rsid w:val="00901010"/>
    <w:rsid w:val="009014A0"/>
    <w:rsid w:val="009228F7"/>
    <w:rsid w:val="00931252"/>
    <w:rsid w:val="009358CC"/>
    <w:rsid w:val="00940D7A"/>
    <w:rsid w:val="00946127"/>
    <w:rsid w:val="00950A26"/>
    <w:rsid w:val="009E1167"/>
    <w:rsid w:val="009F33DE"/>
    <w:rsid w:val="009F74BA"/>
    <w:rsid w:val="00A87A41"/>
    <w:rsid w:val="00AA4AD6"/>
    <w:rsid w:val="00AB167A"/>
    <w:rsid w:val="00AC6BF9"/>
    <w:rsid w:val="00AD56BE"/>
    <w:rsid w:val="00AE7D84"/>
    <w:rsid w:val="00AF54C8"/>
    <w:rsid w:val="00B247D1"/>
    <w:rsid w:val="00B37884"/>
    <w:rsid w:val="00B8411D"/>
    <w:rsid w:val="00B8645A"/>
    <w:rsid w:val="00B956B4"/>
    <w:rsid w:val="00BA7323"/>
    <w:rsid w:val="00BB743F"/>
    <w:rsid w:val="00BC3769"/>
    <w:rsid w:val="00BD31D0"/>
    <w:rsid w:val="00BE5C5D"/>
    <w:rsid w:val="00C04B64"/>
    <w:rsid w:val="00C22157"/>
    <w:rsid w:val="00C23E08"/>
    <w:rsid w:val="00C478F9"/>
    <w:rsid w:val="00C506C9"/>
    <w:rsid w:val="00C962C4"/>
    <w:rsid w:val="00CA2E78"/>
    <w:rsid w:val="00CB6E30"/>
    <w:rsid w:val="00CE5F33"/>
    <w:rsid w:val="00CF2311"/>
    <w:rsid w:val="00D513E2"/>
    <w:rsid w:val="00D64BB9"/>
    <w:rsid w:val="00D86F0C"/>
    <w:rsid w:val="00D90901"/>
    <w:rsid w:val="00DA31F0"/>
    <w:rsid w:val="00DA520E"/>
    <w:rsid w:val="00DB2411"/>
    <w:rsid w:val="00DE3B04"/>
    <w:rsid w:val="00E3219B"/>
    <w:rsid w:val="00E62326"/>
    <w:rsid w:val="00E675D2"/>
    <w:rsid w:val="00E97535"/>
    <w:rsid w:val="00EA0344"/>
    <w:rsid w:val="00EA417C"/>
    <w:rsid w:val="00EB06F1"/>
    <w:rsid w:val="00EB6E36"/>
    <w:rsid w:val="00ED672C"/>
    <w:rsid w:val="00EE1DA9"/>
    <w:rsid w:val="00F20526"/>
    <w:rsid w:val="00F31AFE"/>
    <w:rsid w:val="00F32849"/>
    <w:rsid w:val="00F35CC5"/>
    <w:rsid w:val="00F51EF6"/>
    <w:rsid w:val="00F90984"/>
    <w:rsid w:val="00F92B02"/>
    <w:rsid w:val="00FB3E2A"/>
    <w:rsid w:val="00FB6974"/>
    <w:rsid w:val="00FD756A"/>
    <w:rsid w:val="00FE0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BFC2E7"/>
  <w15:chartTrackingRefBased/>
  <w15:docId w15:val="{61F54B36-8108-4517-B91A-874449A4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63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CB6E30"/>
    <w:pPr>
      <w:spacing w:before="240" w:after="240" w:line="240" w:lineRule="auto"/>
    </w:pPr>
    <w:rPr>
      <w:rFonts w:ascii="Times New Roman" w:eastAsia="Times New Roman" w:hAnsi="Times New Roman"/>
      <w:sz w:val="24"/>
      <w:szCs w:val="24"/>
      <w:lang w:eastAsia="en-GB"/>
    </w:rPr>
  </w:style>
  <w:style w:type="character" w:customStyle="1" w:styleId="c3">
    <w:name w:val="c3"/>
    <w:basedOn w:val="DefaultParagraphFont"/>
    <w:rsid w:val="00CB6E30"/>
  </w:style>
  <w:style w:type="paragraph" w:customStyle="1" w:styleId="c4">
    <w:name w:val="c4"/>
    <w:basedOn w:val="Normal"/>
    <w:rsid w:val="00CB6E30"/>
    <w:pPr>
      <w:spacing w:before="240" w:after="240" w:line="240" w:lineRule="auto"/>
    </w:pPr>
    <w:rPr>
      <w:rFonts w:ascii="Times New Roman" w:eastAsia="Times New Roman" w:hAnsi="Times New Roman"/>
      <w:sz w:val="24"/>
      <w:szCs w:val="24"/>
      <w:lang w:eastAsia="en-GB"/>
    </w:rPr>
  </w:style>
  <w:style w:type="character" w:customStyle="1" w:styleId="c1">
    <w:name w:val="c1"/>
    <w:basedOn w:val="DefaultParagraphFont"/>
    <w:rsid w:val="00CB6E30"/>
  </w:style>
  <w:style w:type="paragraph" w:customStyle="1" w:styleId="c6">
    <w:name w:val="c6"/>
    <w:basedOn w:val="Normal"/>
    <w:rsid w:val="00CB6E30"/>
    <w:pPr>
      <w:spacing w:before="240" w:after="240" w:line="240" w:lineRule="auto"/>
    </w:pPr>
    <w:rPr>
      <w:rFonts w:ascii="Times New Roman" w:eastAsia="Times New Roman" w:hAnsi="Times New Roman"/>
      <w:sz w:val="24"/>
      <w:szCs w:val="24"/>
      <w:lang w:eastAsia="en-GB"/>
    </w:rPr>
  </w:style>
  <w:style w:type="character" w:customStyle="1" w:styleId="c5">
    <w:name w:val="c5"/>
    <w:basedOn w:val="DefaultParagraphFont"/>
    <w:rsid w:val="00CB6E30"/>
  </w:style>
  <w:style w:type="paragraph" w:customStyle="1" w:styleId="c8">
    <w:name w:val="c8"/>
    <w:basedOn w:val="Normal"/>
    <w:rsid w:val="00CB6E30"/>
    <w:pPr>
      <w:spacing w:before="240" w:after="240" w:line="240" w:lineRule="auto"/>
    </w:pPr>
    <w:rPr>
      <w:rFonts w:ascii="Times New Roman" w:eastAsia="Times New Roman" w:hAnsi="Times New Roman"/>
      <w:sz w:val="24"/>
      <w:szCs w:val="24"/>
      <w:lang w:eastAsia="en-GB"/>
    </w:rPr>
  </w:style>
  <w:style w:type="paragraph" w:customStyle="1" w:styleId="c17">
    <w:name w:val="c17"/>
    <w:basedOn w:val="Normal"/>
    <w:rsid w:val="00CB6E30"/>
    <w:pPr>
      <w:spacing w:before="240" w:after="240" w:line="240" w:lineRule="auto"/>
    </w:pPr>
    <w:rPr>
      <w:rFonts w:ascii="Times New Roman" w:eastAsia="Times New Roman" w:hAnsi="Times New Roman"/>
      <w:sz w:val="24"/>
      <w:szCs w:val="24"/>
      <w:lang w:eastAsia="en-GB"/>
    </w:rPr>
  </w:style>
  <w:style w:type="paragraph" w:customStyle="1" w:styleId="c20">
    <w:name w:val="c20"/>
    <w:basedOn w:val="Normal"/>
    <w:rsid w:val="00CB6E30"/>
    <w:pPr>
      <w:spacing w:before="240" w:after="240" w:line="240" w:lineRule="auto"/>
    </w:pPr>
    <w:rPr>
      <w:rFonts w:ascii="Times New Roman" w:eastAsia="Times New Roman" w:hAnsi="Times New Roman"/>
      <w:sz w:val="24"/>
      <w:szCs w:val="24"/>
      <w:lang w:eastAsia="en-GB"/>
    </w:rPr>
  </w:style>
  <w:style w:type="character" w:customStyle="1" w:styleId="c19">
    <w:name w:val="c19"/>
    <w:basedOn w:val="DefaultParagraphFont"/>
    <w:rsid w:val="00CB6E30"/>
  </w:style>
  <w:style w:type="paragraph" w:customStyle="1" w:styleId="c21">
    <w:name w:val="c21"/>
    <w:basedOn w:val="Normal"/>
    <w:rsid w:val="00CB6E30"/>
    <w:pPr>
      <w:spacing w:before="240" w:after="240" w:line="240" w:lineRule="auto"/>
    </w:pPr>
    <w:rPr>
      <w:rFonts w:ascii="Times New Roman" w:eastAsia="Times New Roman" w:hAnsi="Times New Roman"/>
      <w:sz w:val="24"/>
      <w:szCs w:val="24"/>
      <w:lang w:eastAsia="en-GB"/>
    </w:rPr>
  </w:style>
  <w:style w:type="paragraph" w:customStyle="1" w:styleId="c22">
    <w:name w:val="c22"/>
    <w:basedOn w:val="Normal"/>
    <w:rsid w:val="00CB6E30"/>
    <w:pPr>
      <w:spacing w:before="240" w:after="240" w:line="240" w:lineRule="auto"/>
    </w:pPr>
    <w:rPr>
      <w:rFonts w:ascii="Times New Roman" w:eastAsia="Times New Roman" w:hAnsi="Times New Roman"/>
      <w:sz w:val="24"/>
      <w:szCs w:val="24"/>
      <w:lang w:eastAsia="en-GB"/>
    </w:rPr>
  </w:style>
  <w:style w:type="character" w:styleId="Hyperlink">
    <w:name w:val="Hyperlink"/>
    <w:uiPriority w:val="99"/>
    <w:unhideWhenUsed/>
    <w:rsid w:val="00107B0D"/>
    <w:rPr>
      <w:color w:val="0000FF"/>
      <w:u w:val="single"/>
    </w:rPr>
  </w:style>
  <w:style w:type="paragraph" w:styleId="BalloonText">
    <w:name w:val="Balloon Text"/>
    <w:basedOn w:val="Normal"/>
    <w:link w:val="BalloonTextChar"/>
    <w:uiPriority w:val="99"/>
    <w:semiHidden/>
    <w:unhideWhenUsed/>
    <w:rsid w:val="00E321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219B"/>
    <w:rPr>
      <w:rFonts w:ascii="Tahoma" w:hAnsi="Tahoma" w:cs="Tahoma"/>
      <w:sz w:val="16"/>
      <w:szCs w:val="16"/>
      <w:lang w:eastAsia="en-US"/>
    </w:rPr>
  </w:style>
  <w:style w:type="paragraph" w:customStyle="1" w:styleId="Default">
    <w:name w:val="Default"/>
    <w:rsid w:val="00BB743F"/>
    <w:pPr>
      <w:autoSpaceDE w:val="0"/>
      <w:autoSpaceDN w:val="0"/>
      <w:adjustRightInd w:val="0"/>
    </w:pPr>
    <w:rPr>
      <w:rFonts w:ascii="Effra Medium" w:hAnsi="Effra Medium" w:cs="Effra Medium"/>
      <w:color w:val="000000"/>
      <w:sz w:val="24"/>
      <w:szCs w:val="24"/>
    </w:rPr>
  </w:style>
  <w:style w:type="paragraph" w:customStyle="1" w:styleId="Pa0">
    <w:name w:val="Pa0"/>
    <w:basedOn w:val="Default"/>
    <w:next w:val="Default"/>
    <w:uiPriority w:val="99"/>
    <w:rsid w:val="00BB743F"/>
    <w:pPr>
      <w:spacing w:line="241" w:lineRule="atLeast"/>
    </w:pPr>
    <w:rPr>
      <w:rFonts w:cs="Times New Roman"/>
      <w:color w:val="auto"/>
    </w:rPr>
  </w:style>
  <w:style w:type="character" w:customStyle="1" w:styleId="A2">
    <w:name w:val="A2"/>
    <w:uiPriority w:val="99"/>
    <w:rsid w:val="00BB743F"/>
    <w:rPr>
      <w:rFonts w:cs="Effra Medium"/>
      <w:color w:val="000000"/>
      <w:sz w:val="16"/>
      <w:szCs w:val="16"/>
    </w:rPr>
  </w:style>
  <w:style w:type="table" w:styleId="TableGrid">
    <w:name w:val="Table Grid"/>
    <w:basedOn w:val="TableNormal"/>
    <w:uiPriority w:val="59"/>
    <w:rsid w:val="004E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5D7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rsid w:val="005D7F0C"/>
    <w:rPr>
      <w:rFonts w:ascii="Courier New" w:eastAsia="Times New Roman" w:hAnsi="Courier New" w:cs="Courier New"/>
    </w:rPr>
  </w:style>
  <w:style w:type="character" w:styleId="UnresolvedMention">
    <w:name w:val="Unresolved Mention"/>
    <w:basedOn w:val="DefaultParagraphFont"/>
    <w:uiPriority w:val="99"/>
    <w:semiHidden/>
    <w:unhideWhenUsed/>
    <w:rsid w:val="005D7F0C"/>
    <w:rPr>
      <w:color w:val="605E5C"/>
      <w:shd w:val="clear" w:color="auto" w:fill="E1DFDD"/>
    </w:rPr>
  </w:style>
  <w:style w:type="character" w:styleId="FollowedHyperlink">
    <w:name w:val="FollowedHyperlink"/>
    <w:basedOn w:val="DefaultParagraphFont"/>
    <w:uiPriority w:val="99"/>
    <w:semiHidden/>
    <w:unhideWhenUsed/>
    <w:rsid w:val="004A59ED"/>
    <w:rPr>
      <w:color w:val="954F72" w:themeColor="followedHyperlink"/>
      <w:u w:val="single"/>
    </w:rPr>
  </w:style>
  <w:style w:type="paragraph" w:styleId="Header">
    <w:name w:val="header"/>
    <w:basedOn w:val="Normal"/>
    <w:link w:val="HeaderChar"/>
    <w:uiPriority w:val="99"/>
    <w:unhideWhenUsed/>
    <w:rsid w:val="009F7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4BA"/>
    <w:rPr>
      <w:sz w:val="22"/>
      <w:szCs w:val="22"/>
      <w:lang w:eastAsia="en-US"/>
    </w:rPr>
  </w:style>
  <w:style w:type="paragraph" w:styleId="Footer">
    <w:name w:val="footer"/>
    <w:basedOn w:val="Normal"/>
    <w:link w:val="FooterChar"/>
    <w:uiPriority w:val="99"/>
    <w:unhideWhenUsed/>
    <w:rsid w:val="009F7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4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9332">
      <w:bodyDiv w:val="1"/>
      <w:marLeft w:val="0"/>
      <w:marRight w:val="0"/>
      <w:marTop w:val="0"/>
      <w:marBottom w:val="0"/>
      <w:divBdr>
        <w:top w:val="none" w:sz="0" w:space="0" w:color="auto"/>
        <w:left w:val="none" w:sz="0" w:space="0" w:color="auto"/>
        <w:bottom w:val="none" w:sz="0" w:space="0" w:color="auto"/>
        <w:right w:val="none" w:sz="0" w:space="0" w:color="auto"/>
      </w:divBdr>
    </w:div>
    <w:div w:id="7105690">
      <w:bodyDiv w:val="1"/>
      <w:marLeft w:val="0"/>
      <w:marRight w:val="0"/>
      <w:marTop w:val="0"/>
      <w:marBottom w:val="0"/>
      <w:divBdr>
        <w:top w:val="none" w:sz="0" w:space="0" w:color="auto"/>
        <w:left w:val="none" w:sz="0" w:space="0" w:color="auto"/>
        <w:bottom w:val="none" w:sz="0" w:space="0" w:color="auto"/>
        <w:right w:val="none" w:sz="0" w:space="0" w:color="auto"/>
      </w:divBdr>
    </w:div>
    <w:div w:id="51731358">
      <w:bodyDiv w:val="1"/>
      <w:marLeft w:val="0"/>
      <w:marRight w:val="0"/>
      <w:marTop w:val="0"/>
      <w:marBottom w:val="0"/>
      <w:divBdr>
        <w:top w:val="none" w:sz="0" w:space="0" w:color="auto"/>
        <w:left w:val="none" w:sz="0" w:space="0" w:color="auto"/>
        <w:bottom w:val="none" w:sz="0" w:space="0" w:color="auto"/>
        <w:right w:val="none" w:sz="0" w:space="0" w:color="auto"/>
      </w:divBdr>
    </w:div>
    <w:div w:id="63767565">
      <w:bodyDiv w:val="1"/>
      <w:marLeft w:val="0"/>
      <w:marRight w:val="0"/>
      <w:marTop w:val="0"/>
      <w:marBottom w:val="0"/>
      <w:divBdr>
        <w:top w:val="none" w:sz="0" w:space="0" w:color="auto"/>
        <w:left w:val="none" w:sz="0" w:space="0" w:color="auto"/>
        <w:bottom w:val="none" w:sz="0" w:space="0" w:color="auto"/>
        <w:right w:val="none" w:sz="0" w:space="0" w:color="auto"/>
      </w:divBdr>
    </w:div>
    <w:div w:id="71506641">
      <w:bodyDiv w:val="1"/>
      <w:marLeft w:val="0"/>
      <w:marRight w:val="0"/>
      <w:marTop w:val="0"/>
      <w:marBottom w:val="0"/>
      <w:divBdr>
        <w:top w:val="none" w:sz="0" w:space="0" w:color="auto"/>
        <w:left w:val="none" w:sz="0" w:space="0" w:color="auto"/>
        <w:bottom w:val="none" w:sz="0" w:space="0" w:color="auto"/>
        <w:right w:val="none" w:sz="0" w:space="0" w:color="auto"/>
      </w:divBdr>
    </w:div>
    <w:div w:id="74212029">
      <w:bodyDiv w:val="1"/>
      <w:marLeft w:val="0"/>
      <w:marRight w:val="0"/>
      <w:marTop w:val="0"/>
      <w:marBottom w:val="0"/>
      <w:divBdr>
        <w:top w:val="none" w:sz="0" w:space="0" w:color="auto"/>
        <w:left w:val="none" w:sz="0" w:space="0" w:color="auto"/>
        <w:bottom w:val="none" w:sz="0" w:space="0" w:color="auto"/>
        <w:right w:val="none" w:sz="0" w:space="0" w:color="auto"/>
      </w:divBdr>
    </w:div>
    <w:div w:id="93938750">
      <w:bodyDiv w:val="1"/>
      <w:marLeft w:val="0"/>
      <w:marRight w:val="0"/>
      <w:marTop w:val="0"/>
      <w:marBottom w:val="0"/>
      <w:divBdr>
        <w:top w:val="none" w:sz="0" w:space="0" w:color="auto"/>
        <w:left w:val="none" w:sz="0" w:space="0" w:color="auto"/>
        <w:bottom w:val="none" w:sz="0" w:space="0" w:color="auto"/>
        <w:right w:val="none" w:sz="0" w:space="0" w:color="auto"/>
      </w:divBdr>
    </w:div>
    <w:div w:id="105008805">
      <w:bodyDiv w:val="1"/>
      <w:marLeft w:val="0"/>
      <w:marRight w:val="0"/>
      <w:marTop w:val="0"/>
      <w:marBottom w:val="0"/>
      <w:divBdr>
        <w:top w:val="none" w:sz="0" w:space="0" w:color="auto"/>
        <w:left w:val="none" w:sz="0" w:space="0" w:color="auto"/>
        <w:bottom w:val="none" w:sz="0" w:space="0" w:color="auto"/>
        <w:right w:val="none" w:sz="0" w:space="0" w:color="auto"/>
      </w:divBdr>
    </w:div>
    <w:div w:id="156849674">
      <w:bodyDiv w:val="1"/>
      <w:marLeft w:val="0"/>
      <w:marRight w:val="0"/>
      <w:marTop w:val="0"/>
      <w:marBottom w:val="0"/>
      <w:divBdr>
        <w:top w:val="none" w:sz="0" w:space="0" w:color="auto"/>
        <w:left w:val="none" w:sz="0" w:space="0" w:color="auto"/>
        <w:bottom w:val="none" w:sz="0" w:space="0" w:color="auto"/>
        <w:right w:val="none" w:sz="0" w:space="0" w:color="auto"/>
      </w:divBdr>
    </w:div>
    <w:div w:id="180170693">
      <w:bodyDiv w:val="1"/>
      <w:marLeft w:val="0"/>
      <w:marRight w:val="0"/>
      <w:marTop w:val="0"/>
      <w:marBottom w:val="0"/>
      <w:divBdr>
        <w:top w:val="none" w:sz="0" w:space="0" w:color="auto"/>
        <w:left w:val="none" w:sz="0" w:space="0" w:color="auto"/>
        <w:bottom w:val="none" w:sz="0" w:space="0" w:color="auto"/>
        <w:right w:val="none" w:sz="0" w:space="0" w:color="auto"/>
      </w:divBdr>
    </w:div>
    <w:div w:id="239876595">
      <w:bodyDiv w:val="1"/>
      <w:marLeft w:val="0"/>
      <w:marRight w:val="0"/>
      <w:marTop w:val="0"/>
      <w:marBottom w:val="0"/>
      <w:divBdr>
        <w:top w:val="none" w:sz="0" w:space="0" w:color="auto"/>
        <w:left w:val="none" w:sz="0" w:space="0" w:color="auto"/>
        <w:bottom w:val="none" w:sz="0" w:space="0" w:color="auto"/>
        <w:right w:val="none" w:sz="0" w:space="0" w:color="auto"/>
      </w:divBdr>
    </w:div>
    <w:div w:id="353074305">
      <w:bodyDiv w:val="1"/>
      <w:marLeft w:val="0"/>
      <w:marRight w:val="0"/>
      <w:marTop w:val="0"/>
      <w:marBottom w:val="0"/>
      <w:divBdr>
        <w:top w:val="none" w:sz="0" w:space="0" w:color="auto"/>
        <w:left w:val="none" w:sz="0" w:space="0" w:color="auto"/>
        <w:bottom w:val="none" w:sz="0" w:space="0" w:color="auto"/>
        <w:right w:val="none" w:sz="0" w:space="0" w:color="auto"/>
      </w:divBdr>
    </w:div>
    <w:div w:id="387456451">
      <w:bodyDiv w:val="1"/>
      <w:marLeft w:val="0"/>
      <w:marRight w:val="0"/>
      <w:marTop w:val="0"/>
      <w:marBottom w:val="0"/>
      <w:divBdr>
        <w:top w:val="none" w:sz="0" w:space="0" w:color="auto"/>
        <w:left w:val="none" w:sz="0" w:space="0" w:color="auto"/>
        <w:bottom w:val="none" w:sz="0" w:space="0" w:color="auto"/>
        <w:right w:val="none" w:sz="0" w:space="0" w:color="auto"/>
      </w:divBdr>
    </w:div>
    <w:div w:id="388458031">
      <w:bodyDiv w:val="1"/>
      <w:marLeft w:val="0"/>
      <w:marRight w:val="0"/>
      <w:marTop w:val="0"/>
      <w:marBottom w:val="0"/>
      <w:divBdr>
        <w:top w:val="none" w:sz="0" w:space="0" w:color="auto"/>
        <w:left w:val="none" w:sz="0" w:space="0" w:color="auto"/>
        <w:bottom w:val="none" w:sz="0" w:space="0" w:color="auto"/>
        <w:right w:val="none" w:sz="0" w:space="0" w:color="auto"/>
      </w:divBdr>
    </w:div>
    <w:div w:id="396635496">
      <w:bodyDiv w:val="1"/>
      <w:marLeft w:val="0"/>
      <w:marRight w:val="0"/>
      <w:marTop w:val="0"/>
      <w:marBottom w:val="0"/>
      <w:divBdr>
        <w:top w:val="none" w:sz="0" w:space="0" w:color="auto"/>
        <w:left w:val="none" w:sz="0" w:space="0" w:color="auto"/>
        <w:bottom w:val="none" w:sz="0" w:space="0" w:color="auto"/>
        <w:right w:val="none" w:sz="0" w:space="0" w:color="auto"/>
      </w:divBdr>
      <w:divsChild>
        <w:div w:id="349990737">
          <w:marLeft w:val="0"/>
          <w:marRight w:val="120"/>
          <w:marTop w:val="4"/>
          <w:marBottom w:val="0"/>
          <w:divBdr>
            <w:top w:val="none" w:sz="0" w:space="0" w:color="auto"/>
            <w:left w:val="none" w:sz="0" w:space="0" w:color="auto"/>
            <w:bottom w:val="none" w:sz="0" w:space="0" w:color="auto"/>
            <w:right w:val="none" w:sz="0" w:space="0" w:color="auto"/>
          </w:divBdr>
          <w:divsChild>
            <w:div w:id="59679125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400060175">
      <w:bodyDiv w:val="1"/>
      <w:marLeft w:val="0"/>
      <w:marRight w:val="0"/>
      <w:marTop w:val="0"/>
      <w:marBottom w:val="0"/>
      <w:divBdr>
        <w:top w:val="none" w:sz="0" w:space="0" w:color="auto"/>
        <w:left w:val="none" w:sz="0" w:space="0" w:color="auto"/>
        <w:bottom w:val="none" w:sz="0" w:space="0" w:color="auto"/>
        <w:right w:val="none" w:sz="0" w:space="0" w:color="auto"/>
      </w:divBdr>
    </w:div>
    <w:div w:id="402029999">
      <w:bodyDiv w:val="1"/>
      <w:marLeft w:val="0"/>
      <w:marRight w:val="0"/>
      <w:marTop w:val="0"/>
      <w:marBottom w:val="0"/>
      <w:divBdr>
        <w:top w:val="none" w:sz="0" w:space="0" w:color="auto"/>
        <w:left w:val="none" w:sz="0" w:space="0" w:color="auto"/>
        <w:bottom w:val="none" w:sz="0" w:space="0" w:color="auto"/>
        <w:right w:val="none" w:sz="0" w:space="0" w:color="auto"/>
      </w:divBdr>
    </w:div>
    <w:div w:id="464155130">
      <w:bodyDiv w:val="1"/>
      <w:marLeft w:val="0"/>
      <w:marRight w:val="0"/>
      <w:marTop w:val="0"/>
      <w:marBottom w:val="0"/>
      <w:divBdr>
        <w:top w:val="none" w:sz="0" w:space="0" w:color="auto"/>
        <w:left w:val="none" w:sz="0" w:space="0" w:color="auto"/>
        <w:bottom w:val="none" w:sz="0" w:space="0" w:color="auto"/>
        <w:right w:val="none" w:sz="0" w:space="0" w:color="auto"/>
      </w:divBdr>
    </w:div>
    <w:div w:id="516040950">
      <w:bodyDiv w:val="1"/>
      <w:marLeft w:val="0"/>
      <w:marRight w:val="0"/>
      <w:marTop w:val="0"/>
      <w:marBottom w:val="0"/>
      <w:divBdr>
        <w:top w:val="none" w:sz="0" w:space="0" w:color="auto"/>
        <w:left w:val="none" w:sz="0" w:space="0" w:color="auto"/>
        <w:bottom w:val="none" w:sz="0" w:space="0" w:color="auto"/>
        <w:right w:val="none" w:sz="0" w:space="0" w:color="auto"/>
      </w:divBdr>
    </w:div>
    <w:div w:id="542518726">
      <w:bodyDiv w:val="1"/>
      <w:marLeft w:val="0"/>
      <w:marRight w:val="0"/>
      <w:marTop w:val="0"/>
      <w:marBottom w:val="0"/>
      <w:divBdr>
        <w:top w:val="none" w:sz="0" w:space="0" w:color="auto"/>
        <w:left w:val="none" w:sz="0" w:space="0" w:color="auto"/>
        <w:bottom w:val="none" w:sz="0" w:space="0" w:color="auto"/>
        <w:right w:val="none" w:sz="0" w:space="0" w:color="auto"/>
      </w:divBdr>
    </w:div>
    <w:div w:id="548300433">
      <w:bodyDiv w:val="1"/>
      <w:marLeft w:val="0"/>
      <w:marRight w:val="0"/>
      <w:marTop w:val="0"/>
      <w:marBottom w:val="0"/>
      <w:divBdr>
        <w:top w:val="none" w:sz="0" w:space="0" w:color="auto"/>
        <w:left w:val="none" w:sz="0" w:space="0" w:color="auto"/>
        <w:bottom w:val="none" w:sz="0" w:space="0" w:color="auto"/>
        <w:right w:val="none" w:sz="0" w:space="0" w:color="auto"/>
      </w:divBdr>
    </w:div>
    <w:div w:id="575356971">
      <w:bodyDiv w:val="1"/>
      <w:marLeft w:val="0"/>
      <w:marRight w:val="0"/>
      <w:marTop w:val="0"/>
      <w:marBottom w:val="0"/>
      <w:divBdr>
        <w:top w:val="none" w:sz="0" w:space="0" w:color="auto"/>
        <w:left w:val="none" w:sz="0" w:space="0" w:color="auto"/>
        <w:bottom w:val="none" w:sz="0" w:space="0" w:color="auto"/>
        <w:right w:val="none" w:sz="0" w:space="0" w:color="auto"/>
      </w:divBdr>
    </w:div>
    <w:div w:id="596207026">
      <w:bodyDiv w:val="1"/>
      <w:marLeft w:val="0"/>
      <w:marRight w:val="0"/>
      <w:marTop w:val="0"/>
      <w:marBottom w:val="0"/>
      <w:divBdr>
        <w:top w:val="none" w:sz="0" w:space="0" w:color="auto"/>
        <w:left w:val="none" w:sz="0" w:space="0" w:color="auto"/>
        <w:bottom w:val="none" w:sz="0" w:space="0" w:color="auto"/>
        <w:right w:val="none" w:sz="0" w:space="0" w:color="auto"/>
      </w:divBdr>
    </w:div>
    <w:div w:id="600259572">
      <w:bodyDiv w:val="1"/>
      <w:marLeft w:val="0"/>
      <w:marRight w:val="0"/>
      <w:marTop w:val="0"/>
      <w:marBottom w:val="0"/>
      <w:divBdr>
        <w:top w:val="none" w:sz="0" w:space="0" w:color="auto"/>
        <w:left w:val="none" w:sz="0" w:space="0" w:color="auto"/>
        <w:bottom w:val="none" w:sz="0" w:space="0" w:color="auto"/>
        <w:right w:val="none" w:sz="0" w:space="0" w:color="auto"/>
      </w:divBdr>
    </w:div>
    <w:div w:id="603419754">
      <w:bodyDiv w:val="1"/>
      <w:marLeft w:val="0"/>
      <w:marRight w:val="0"/>
      <w:marTop w:val="0"/>
      <w:marBottom w:val="0"/>
      <w:divBdr>
        <w:top w:val="none" w:sz="0" w:space="0" w:color="auto"/>
        <w:left w:val="none" w:sz="0" w:space="0" w:color="auto"/>
        <w:bottom w:val="none" w:sz="0" w:space="0" w:color="auto"/>
        <w:right w:val="none" w:sz="0" w:space="0" w:color="auto"/>
      </w:divBdr>
    </w:div>
    <w:div w:id="616260773">
      <w:bodyDiv w:val="1"/>
      <w:marLeft w:val="0"/>
      <w:marRight w:val="0"/>
      <w:marTop w:val="0"/>
      <w:marBottom w:val="0"/>
      <w:divBdr>
        <w:top w:val="none" w:sz="0" w:space="0" w:color="auto"/>
        <w:left w:val="none" w:sz="0" w:space="0" w:color="auto"/>
        <w:bottom w:val="none" w:sz="0" w:space="0" w:color="auto"/>
        <w:right w:val="none" w:sz="0" w:space="0" w:color="auto"/>
      </w:divBdr>
    </w:div>
    <w:div w:id="639726969">
      <w:bodyDiv w:val="1"/>
      <w:marLeft w:val="0"/>
      <w:marRight w:val="0"/>
      <w:marTop w:val="0"/>
      <w:marBottom w:val="0"/>
      <w:divBdr>
        <w:top w:val="none" w:sz="0" w:space="0" w:color="auto"/>
        <w:left w:val="none" w:sz="0" w:space="0" w:color="auto"/>
        <w:bottom w:val="none" w:sz="0" w:space="0" w:color="auto"/>
        <w:right w:val="none" w:sz="0" w:space="0" w:color="auto"/>
      </w:divBdr>
    </w:div>
    <w:div w:id="696201399">
      <w:bodyDiv w:val="1"/>
      <w:marLeft w:val="0"/>
      <w:marRight w:val="0"/>
      <w:marTop w:val="0"/>
      <w:marBottom w:val="0"/>
      <w:divBdr>
        <w:top w:val="none" w:sz="0" w:space="0" w:color="auto"/>
        <w:left w:val="none" w:sz="0" w:space="0" w:color="auto"/>
        <w:bottom w:val="none" w:sz="0" w:space="0" w:color="auto"/>
        <w:right w:val="none" w:sz="0" w:space="0" w:color="auto"/>
      </w:divBdr>
    </w:div>
    <w:div w:id="707536152">
      <w:bodyDiv w:val="1"/>
      <w:marLeft w:val="0"/>
      <w:marRight w:val="0"/>
      <w:marTop w:val="0"/>
      <w:marBottom w:val="0"/>
      <w:divBdr>
        <w:top w:val="none" w:sz="0" w:space="0" w:color="auto"/>
        <w:left w:val="none" w:sz="0" w:space="0" w:color="auto"/>
        <w:bottom w:val="none" w:sz="0" w:space="0" w:color="auto"/>
        <w:right w:val="none" w:sz="0" w:space="0" w:color="auto"/>
      </w:divBdr>
    </w:div>
    <w:div w:id="821389729">
      <w:bodyDiv w:val="1"/>
      <w:marLeft w:val="0"/>
      <w:marRight w:val="0"/>
      <w:marTop w:val="0"/>
      <w:marBottom w:val="0"/>
      <w:divBdr>
        <w:top w:val="none" w:sz="0" w:space="0" w:color="auto"/>
        <w:left w:val="none" w:sz="0" w:space="0" w:color="auto"/>
        <w:bottom w:val="none" w:sz="0" w:space="0" w:color="auto"/>
        <w:right w:val="none" w:sz="0" w:space="0" w:color="auto"/>
      </w:divBdr>
    </w:div>
    <w:div w:id="870144666">
      <w:bodyDiv w:val="1"/>
      <w:marLeft w:val="0"/>
      <w:marRight w:val="0"/>
      <w:marTop w:val="0"/>
      <w:marBottom w:val="0"/>
      <w:divBdr>
        <w:top w:val="none" w:sz="0" w:space="0" w:color="auto"/>
        <w:left w:val="none" w:sz="0" w:space="0" w:color="auto"/>
        <w:bottom w:val="none" w:sz="0" w:space="0" w:color="auto"/>
        <w:right w:val="none" w:sz="0" w:space="0" w:color="auto"/>
      </w:divBdr>
    </w:div>
    <w:div w:id="891422856">
      <w:bodyDiv w:val="1"/>
      <w:marLeft w:val="0"/>
      <w:marRight w:val="0"/>
      <w:marTop w:val="0"/>
      <w:marBottom w:val="0"/>
      <w:divBdr>
        <w:top w:val="none" w:sz="0" w:space="0" w:color="auto"/>
        <w:left w:val="none" w:sz="0" w:space="0" w:color="auto"/>
        <w:bottom w:val="none" w:sz="0" w:space="0" w:color="auto"/>
        <w:right w:val="none" w:sz="0" w:space="0" w:color="auto"/>
      </w:divBdr>
    </w:div>
    <w:div w:id="930089049">
      <w:bodyDiv w:val="1"/>
      <w:marLeft w:val="0"/>
      <w:marRight w:val="0"/>
      <w:marTop w:val="0"/>
      <w:marBottom w:val="0"/>
      <w:divBdr>
        <w:top w:val="none" w:sz="0" w:space="0" w:color="auto"/>
        <w:left w:val="none" w:sz="0" w:space="0" w:color="auto"/>
        <w:bottom w:val="none" w:sz="0" w:space="0" w:color="auto"/>
        <w:right w:val="none" w:sz="0" w:space="0" w:color="auto"/>
      </w:divBdr>
    </w:div>
    <w:div w:id="932475329">
      <w:bodyDiv w:val="1"/>
      <w:marLeft w:val="0"/>
      <w:marRight w:val="0"/>
      <w:marTop w:val="0"/>
      <w:marBottom w:val="0"/>
      <w:divBdr>
        <w:top w:val="none" w:sz="0" w:space="0" w:color="auto"/>
        <w:left w:val="none" w:sz="0" w:space="0" w:color="auto"/>
        <w:bottom w:val="none" w:sz="0" w:space="0" w:color="auto"/>
        <w:right w:val="none" w:sz="0" w:space="0" w:color="auto"/>
      </w:divBdr>
    </w:div>
    <w:div w:id="971713691">
      <w:bodyDiv w:val="1"/>
      <w:marLeft w:val="0"/>
      <w:marRight w:val="0"/>
      <w:marTop w:val="0"/>
      <w:marBottom w:val="0"/>
      <w:divBdr>
        <w:top w:val="none" w:sz="0" w:space="0" w:color="auto"/>
        <w:left w:val="none" w:sz="0" w:space="0" w:color="auto"/>
        <w:bottom w:val="none" w:sz="0" w:space="0" w:color="auto"/>
        <w:right w:val="none" w:sz="0" w:space="0" w:color="auto"/>
      </w:divBdr>
    </w:div>
    <w:div w:id="1016031762">
      <w:bodyDiv w:val="1"/>
      <w:marLeft w:val="0"/>
      <w:marRight w:val="0"/>
      <w:marTop w:val="0"/>
      <w:marBottom w:val="0"/>
      <w:divBdr>
        <w:top w:val="none" w:sz="0" w:space="0" w:color="auto"/>
        <w:left w:val="none" w:sz="0" w:space="0" w:color="auto"/>
        <w:bottom w:val="none" w:sz="0" w:space="0" w:color="auto"/>
        <w:right w:val="none" w:sz="0" w:space="0" w:color="auto"/>
      </w:divBdr>
    </w:div>
    <w:div w:id="1060589412">
      <w:bodyDiv w:val="1"/>
      <w:marLeft w:val="0"/>
      <w:marRight w:val="0"/>
      <w:marTop w:val="0"/>
      <w:marBottom w:val="0"/>
      <w:divBdr>
        <w:top w:val="none" w:sz="0" w:space="0" w:color="auto"/>
        <w:left w:val="none" w:sz="0" w:space="0" w:color="auto"/>
        <w:bottom w:val="none" w:sz="0" w:space="0" w:color="auto"/>
        <w:right w:val="none" w:sz="0" w:space="0" w:color="auto"/>
      </w:divBdr>
    </w:div>
    <w:div w:id="1066756127">
      <w:bodyDiv w:val="1"/>
      <w:marLeft w:val="0"/>
      <w:marRight w:val="0"/>
      <w:marTop w:val="0"/>
      <w:marBottom w:val="0"/>
      <w:divBdr>
        <w:top w:val="none" w:sz="0" w:space="0" w:color="auto"/>
        <w:left w:val="none" w:sz="0" w:space="0" w:color="auto"/>
        <w:bottom w:val="none" w:sz="0" w:space="0" w:color="auto"/>
        <w:right w:val="none" w:sz="0" w:space="0" w:color="auto"/>
      </w:divBdr>
    </w:div>
    <w:div w:id="1087189094">
      <w:bodyDiv w:val="1"/>
      <w:marLeft w:val="0"/>
      <w:marRight w:val="0"/>
      <w:marTop w:val="0"/>
      <w:marBottom w:val="0"/>
      <w:divBdr>
        <w:top w:val="none" w:sz="0" w:space="0" w:color="auto"/>
        <w:left w:val="none" w:sz="0" w:space="0" w:color="auto"/>
        <w:bottom w:val="none" w:sz="0" w:space="0" w:color="auto"/>
        <w:right w:val="none" w:sz="0" w:space="0" w:color="auto"/>
      </w:divBdr>
    </w:div>
    <w:div w:id="1110391355">
      <w:bodyDiv w:val="1"/>
      <w:marLeft w:val="0"/>
      <w:marRight w:val="0"/>
      <w:marTop w:val="0"/>
      <w:marBottom w:val="0"/>
      <w:divBdr>
        <w:top w:val="none" w:sz="0" w:space="0" w:color="auto"/>
        <w:left w:val="none" w:sz="0" w:space="0" w:color="auto"/>
        <w:bottom w:val="none" w:sz="0" w:space="0" w:color="auto"/>
        <w:right w:val="none" w:sz="0" w:space="0" w:color="auto"/>
      </w:divBdr>
    </w:div>
    <w:div w:id="1189180928">
      <w:bodyDiv w:val="1"/>
      <w:marLeft w:val="0"/>
      <w:marRight w:val="0"/>
      <w:marTop w:val="0"/>
      <w:marBottom w:val="0"/>
      <w:divBdr>
        <w:top w:val="none" w:sz="0" w:space="0" w:color="auto"/>
        <w:left w:val="none" w:sz="0" w:space="0" w:color="auto"/>
        <w:bottom w:val="none" w:sz="0" w:space="0" w:color="auto"/>
        <w:right w:val="none" w:sz="0" w:space="0" w:color="auto"/>
      </w:divBdr>
    </w:div>
    <w:div w:id="1219367417">
      <w:bodyDiv w:val="1"/>
      <w:marLeft w:val="0"/>
      <w:marRight w:val="0"/>
      <w:marTop w:val="0"/>
      <w:marBottom w:val="0"/>
      <w:divBdr>
        <w:top w:val="none" w:sz="0" w:space="0" w:color="auto"/>
        <w:left w:val="none" w:sz="0" w:space="0" w:color="auto"/>
        <w:bottom w:val="none" w:sz="0" w:space="0" w:color="auto"/>
        <w:right w:val="none" w:sz="0" w:space="0" w:color="auto"/>
      </w:divBdr>
    </w:div>
    <w:div w:id="1238051438">
      <w:bodyDiv w:val="1"/>
      <w:marLeft w:val="0"/>
      <w:marRight w:val="0"/>
      <w:marTop w:val="0"/>
      <w:marBottom w:val="0"/>
      <w:divBdr>
        <w:top w:val="none" w:sz="0" w:space="0" w:color="auto"/>
        <w:left w:val="none" w:sz="0" w:space="0" w:color="auto"/>
        <w:bottom w:val="none" w:sz="0" w:space="0" w:color="auto"/>
        <w:right w:val="none" w:sz="0" w:space="0" w:color="auto"/>
      </w:divBdr>
    </w:div>
    <w:div w:id="1268268619">
      <w:bodyDiv w:val="1"/>
      <w:marLeft w:val="0"/>
      <w:marRight w:val="0"/>
      <w:marTop w:val="0"/>
      <w:marBottom w:val="0"/>
      <w:divBdr>
        <w:top w:val="none" w:sz="0" w:space="0" w:color="auto"/>
        <w:left w:val="none" w:sz="0" w:space="0" w:color="auto"/>
        <w:bottom w:val="none" w:sz="0" w:space="0" w:color="auto"/>
        <w:right w:val="none" w:sz="0" w:space="0" w:color="auto"/>
      </w:divBdr>
    </w:div>
    <w:div w:id="1286040655">
      <w:bodyDiv w:val="1"/>
      <w:marLeft w:val="0"/>
      <w:marRight w:val="0"/>
      <w:marTop w:val="0"/>
      <w:marBottom w:val="0"/>
      <w:divBdr>
        <w:top w:val="none" w:sz="0" w:space="0" w:color="auto"/>
        <w:left w:val="none" w:sz="0" w:space="0" w:color="auto"/>
        <w:bottom w:val="none" w:sz="0" w:space="0" w:color="auto"/>
        <w:right w:val="none" w:sz="0" w:space="0" w:color="auto"/>
      </w:divBdr>
    </w:div>
    <w:div w:id="1301108242">
      <w:bodyDiv w:val="1"/>
      <w:marLeft w:val="0"/>
      <w:marRight w:val="0"/>
      <w:marTop w:val="0"/>
      <w:marBottom w:val="0"/>
      <w:divBdr>
        <w:top w:val="none" w:sz="0" w:space="0" w:color="auto"/>
        <w:left w:val="none" w:sz="0" w:space="0" w:color="auto"/>
        <w:bottom w:val="none" w:sz="0" w:space="0" w:color="auto"/>
        <w:right w:val="none" w:sz="0" w:space="0" w:color="auto"/>
      </w:divBdr>
    </w:div>
    <w:div w:id="1301308431">
      <w:bodyDiv w:val="1"/>
      <w:marLeft w:val="0"/>
      <w:marRight w:val="0"/>
      <w:marTop w:val="0"/>
      <w:marBottom w:val="0"/>
      <w:divBdr>
        <w:top w:val="none" w:sz="0" w:space="0" w:color="auto"/>
        <w:left w:val="none" w:sz="0" w:space="0" w:color="auto"/>
        <w:bottom w:val="none" w:sz="0" w:space="0" w:color="auto"/>
        <w:right w:val="none" w:sz="0" w:space="0" w:color="auto"/>
      </w:divBdr>
    </w:div>
    <w:div w:id="1331787670">
      <w:bodyDiv w:val="1"/>
      <w:marLeft w:val="0"/>
      <w:marRight w:val="0"/>
      <w:marTop w:val="0"/>
      <w:marBottom w:val="0"/>
      <w:divBdr>
        <w:top w:val="none" w:sz="0" w:space="0" w:color="auto"/>
        <w:left w:val="none" w:sz="0" w:space="0" w:color="auto"/>
        <w:bottom w:val="none" w:sz="0" w:space="0" w:color="auto"/>
        <w:right w:val="none" w:sz="0" w:space="0" w:color="auto"/>
      </w:divBdr>
    </w:div>
    <w:div w:id="1349213221">
      <w:bodyDiv w:val="1"/>
      <w:marLeft w:val="0"/>
      <w:marRight w:val="0"/>
      <w:marTop w:val="0"/>
      <w:marBottom w:val="0"/>
      <w:divBdr>
        <w:top w:val="none" w:sz="0" w:space="0" w:color="auto"/>
        <w:left w:val="none" w:sz="0" w:space="0" w:color="auto"/>
        <w:bottom w:val="none" w:sz="0" w:space="0" w:color="auto"/>
        <w:right w:val="none" w:sz="0" w:space="0" w:color="auto"/>
      </w:divBdr>
    </w:div>
    <w:div w:id="1377120971">
      <w:bodyDiv w:val="1"/>
      <w:marLeft w:val="0"/>
      <w:marRight w:val="0"/>
      <w:marTop w:val="0"/>
      <w:marBottom w:val="0"/>
      <w:divBdr>
        <w:top w:val="none" w:sz="0" w:space="0" w:color="auto"/>
        <w:left w:val="none" w:sz="0" w:space="0" w:color="auto"/>
        <w:bottom w:val="none" w:sz="0" w:space="0" w:color="auto"/>
        <w:right w:val="none" w:sz="0" w:space="0" w:color="auto"/>
      </w:divBdr>
    </w:div>
    <w:div w:id="1379237286">
      <w:bodyDiv w:val="1"/>
      <w:marLeft w:val="0"/>
      <w:marRight w:val="0"/>
      <w:marTop w:val="0"/>
      <w:marBottom w:val="0"/>
      <w:divBdr>
        <w:top w:val="none" w:sz="0" w:space="0" w:color="auto"/>
        <w:left w:val="none" w:sz="0" w:space="0" w:color="auto"/>
        <w:bottom w:val="none" w:sz="0" w:space="0" w:color="auto"/>
        <w:right w:val="none" w:sz="0" w:space="0" w:color="auto"/>
      </w:divBdr>
    </w:div>
    <w:div w:id="1400589228">
      <w:bodyDiv w:val="1"/>
      <w:marLeft w:val="0"/>
      <w:marRight w:val="0"/>
      <w:marTop w:val="0"/>
      <w:marBottom w:val="0"/>
      <w:divBdr>
        <w:top w:val="none" w:sz="0" w:space="0" w:color="auto"/>
        <w:left w:val="none" w:sz="0" w:space="0" w:color="auto"/>
        <w:bottom w:val="none" w:sz="0" w:space="0" w:color="auto"/>
        <w:right w:val="none" w:sz="0" w:space="0" w:color="auto"/>
      </w:divBdr>
    </w:div>
    <w:div w:id="1408917596">
      <w:bodyDiv w:val="1"/>
      <w:marLeft w:val="0"/>
      <w:marRight w:val="0"/>
      <w:marTop w:val="0"/>
      <w:marBottom w:val="0"/>
      <w:divBdr>
        <w:top w:val="none" w:sz="0" w:space="0" w:color="auto"/>
        <w:left w:val="none" w:sz="0" w:space="0" w:color="auto"/>
        <w:bottom w:val="none" w:sz="0" w:space="0" w:color="auto"/>
        <w:right w:val="none" w:sz="0" w:space="0" w:color="auto"/>
      </w:divBdr>
    </w:div>
    <w:div w:id="1453743939">
      <w:bodyDiv w:val="1"/>
      <w:marLeft w:val="0"/>
      <w:marRight w:val="0"/>
      <w:marTop w:val="0"/>
      <w:marBottom w:val="0"/>
      <w:divBdr>
        <w:top w:val="none" w:sz="0" w:space="0" w:color="auto"/>
        <w:left w:val="none" w:sz="0" w:space="0" w:color="auto"/>
        <w:bottom w:val="none" w:sz="0" w:space="0" w:color="auto"/>
        <w:right w:val="none" w:sz="0" w:space="0" w:color="auto"/>
      </w:divBdr>
    </w:div>
    <w:div w:id="1467550556">
      <w:bodyDiv w:val="1"/>
      <w:marLeft w:val="0"/>
      <w:marRight w:val="0"/>
      <w:marTop w:val="0"/>
      <w:marBottom w:val="0"/>
      <w:divBdr>
        <w:top w:val="none" w:sz="0" w:space="0" w:color="auto"/>
        <w:left w:val="none" w:sz="0" w:space="0" w:color="auto"/>
        <w:bottom w:val="none" w:sz="0" w:space="0" w:color="auto"/>
        <w:right w:val="none" w:sz="0" w:space="0" w:color="auto"/>
      </w:divBdr>
    </w:div>
    <w:div w:id="1485703910">
      <w:bodyDiv w:val="1"/>
      <w:marLeft w:val="0"/>
      <w:marRight w:val="0"/>
      <w:marTop w:val="0"/>
      <w:marBottom w:val="0"/>
      <w:divBdr>
        <w:top w:val="none" w:sz="0" w:space="0" w:color="auto"/>
        <w:left w:val="none" w:sz="0" w:space="0" w:color="auto"/>
        <w:bottom w:val="none" w:sz="0" w:space="0" w:color="auto"/>
        <w:right w:val="none" w:sz="0" w:space="0" w:color="auto"/>
      </w:divBdr>
    </w:div>
    <w:div w:id="1500147851">
      <w:bodyDiv w:val="1"/>
      <w:marLeft w:val="0"/>
      <w:marRight w:val="0"/>
      <w:marTop w:val="0"/>
      <w:marBottom w:val="0"/>
      <w:divBdr>
        <w:top w:val="none" w:sz="0" w:space="0" w:color="auto"/>
        <w:left w:val="none" w:sz="0" w:space="0" w:color="auto"/>
        <w:bottom w:val="none" w:sz="0" w:space="0" w:color="auto"/>
        <w:right w:val="none" w:sz="0" w:space="0" w:color="auto"/>
      </w:divBdr>
    </w:div>
    <w:div w:id="1500274562">
      <w:bodyDiv w:val="1"/>
      <w:marLeft w:val="0"/>
      <w:marRight w:val="0"/>
      <w:marTop w:val="0"/>
      <w:marBottom w:val="0"/>
      <w:divBdr>
        <w:top w:val="none" w:sz="0" w:space="0" w:color="auto"/>
        <w:left w:val="none" w:sz="0" w:space="0" w:color="auto"/>
        <w:bottom w:val="none" w:sz="0" w:space="0" w:color="auto"/>
        <w:right w:val="none" w:sz="0" w:space="0" w:color="auto"/>
      </w:divBdr>
    </w:div>
    <w:div w:id="1507672745">
      <w:bodyDiv w:val="1"/>
      <w:marLeft w:val="0"/>
      <w:marRight w:val="0"/>
      <w:marTop w:val="0"/>
      <w:marBottom w:val="0"/>
      <w:divBdr>
        <w:top w:val="none" w:sz="0" w:space="0" w:color="auto"/>
        <w:left w:val="none" w:sz="0" w:space="0" w:color="auto"/>
        <w:bottom w:val="none" w:sz="0" w:space="0" w:color="auto"/>
        <w:right w:val="none" w:sz="0" w:space="0" w:color="auto"/>
      </w:divBdr>
    </w:div>
    <w:div w:id="1524172104">
      <w:bodyDiv w:val="1"/>
      <w:marLeft w:val="0"/>
      <w:marRight w:val="0"/>
      <w:marTop w:val="0"/>
      <w:marBottom w:val="0"/>
      <w:divBdr>
        <w:top w:val="none" w:sz="0" w:space="0" w:color="auto"/>
        <w:left w:val="none" w:sz="0" w:space="0" w:color="auto"/>
        <w:bottom w:val="none" w:sz="0" w:space="0" w:color="auto"/>
        <w:right w:val="none" w:sz="0" w:space="0" w:color="auto"/>
      </w:divBdr>
    </w:div>
    <w:div w:id="1545756703">
      <w:bodyDiv w:val="1"/>
      <w:marLeft w:val="0"/>
      <w:marRight w:val="0"/>
      <w:marTop w:val="0"/>
      <w:marBottom w:val="0"/>
      <w:divBdr>
        <w:top w:val="none" w:sz="0" w:space="0" w:color="auto"/>
        <w:left w:val="none" w:sz="0" w:space="0" w:color="auto"/>
        <w:bottom w:val="none" w:sz="0" w:space="0" w:color="auto"/>
        <w:right w:val="none" w:sz="0" w:space="0" w:color="auto"/>
      </w:divBdr>
    </w:div>
    <w:div w:id="1550612041">
      <w:bodyDiv w:val="1"/>
      <w:marLeft w:val="0"/>
      <w:marRight w:val="0"/>
      <w:marTop w:val="0"/>
      <w:marBottom w:val="0"/>
      <w:divBdr>
        <w:top w:val="none" w:sz="0" w:space="0" w:color="auto"/>
        <w:left w:val="none" w:sz="0" w:space="0" w:color="auto"/>
        <w:bottom w:val="none" w:sz="0" w:space="0" w:color="auto"/>
        <w:right w:val="none" w:sz="0" w:space="0" w:color="auto"/>
      </w:divBdr>
    </w:div>
    <w:div w:id="1577665850">
      <w:bodyDiv w:val="1"/>
      <w:marLeft w:val="0"/>
      <w:marRight w:val="0"/>
      <w:marTop w:val="0"/>
      <w:marBottom w:val="0"/>
      <w:divBdr>
        <w:top w:val="none" w:sz="0" w:space="0" w:color="auto"/>
        <w:left w:val="none" w:sz="0" w:space="0" w:color="auto"/>
        <w:bottom w:val="none" w:sz="0" w:space="0" w:color="auto"/>
        <w:right w:val="none" w:sz="0" w:space="0" w:color="auto"/>
      </w:divBdr>
    </w:div>
    <w:div w:id="1633943627">
      <w:bodyDiv w:val="1"/>
      <w:marLeft w:val="0"/>
      <w:marRight w:val="0"/>
      <w:marTop w:val="0"/>
      <w:marBottom w:val="0"/>
      <w:divBdr>
        <w:top w:val="none" w:sz="0" w:space="0" w:color="auto"/>
        <w:left w:val="none" w:sz="0" w:space="0" w:color="auto"/>
        <w:bottom w:val="none" w:sz="0" w:space="0" w:color="auto"/>
        <w:right w:val="none" w:sz="0" w:space="0" w:color="auto"/>
      </w:divBdr>
    </w:div>
    <w:div w:id="1667703168">
      <w:bodyDiv w:val="1"/>
      <w:marLeft w:val="0"/>
      <w:marRight w:val="0"/>
      <w:marTop w:val="0"/>
      <w:marBottom w:val="0"/>
      <w:divBdr>
        <w:top w:val="none" w:sz="0" w:space="0" w:color="auto"/>
        <w:left w:val="none" w:sz="0" w:space="0" w:color="auto"/>
        <w:bottom w:val="none" w:sz="0" w:space="0" w:color="auto"/>
        <w:right w:val="none" w:sz="0" w:space="0" w:color="auto"/>
      </w:divBdr>
    </w:div>
    <w:div w:id="1694501883">
      <w:bodyDiv w:val="1"/>
      <w:marLeft w:val="0"/>
      <w:marRight w:val="0"/>
      <w:marTop w:val="0"/>
      <w:marBottom w:val="0"/>
      <w:divBdr>
        <w:top w:val="none" w:sz="0" w:space="0" w:color="auto"/>
        <w:left w:val="none" w:sz="0" w:space="0" w:color="auto"/>
        <w:bottom w:val="none" w:sz="0" w:space="0" w:color="auto"/>
        <w:right w:val="none" w:sz="0" w:space="0" w:color="auto"/>
      </w:divBdr>
    </w:div>
    <w:div w:id="1718622159">
      <w:bodyDiv w:val="1"/>
      <w:marLeft w:val="0"/>
      <w:marRight w:val="0"/>
      <w:marTop w:val="0"/>
      <w:marBottom w:val="0"/>
      <w:divBdr>
        <w:top w:val="none" w:sz="0" w:space="0" w:color="auto"/>
        <w:left w:val="none" w:sz="0" w:space="0" w:color="auto"/>
        <w:bottom w:val="none" w:sz="0" w:space="0" w:color="auto"/>
        <w:right w:val="none" w:sz="0" w:space="0" w:color="auto"/>
      </w:divBdr>
    </w:div>
    <w:div w:id="1722241187">
      <w:bodyDiv w:val="1"/>
      <w:marLeft w:val="0"/>
      <w:marRight w:val="0"/>
      <w:marTop w:val="0"/>
      <w:marBottom w:val="0"/>
      <w:divBdr>
        <w:top w:val="none" w:sz="0" w:space="0" w:color="auto"/>
        <w:left w:val="none" w:sz="0" w:space="0" w:color="auto"/>
        <w:bottom w:val="none" w:sz="0" w:space="0" w:color="auto"/>
        <w:right w:val="none" w:sz="0" w:space="0" w:color="auto"/>
      </w:divBdr>
    </w:div>
    <w:div w:id="1796169591">
      <w:bodyDiv w:val="1"/>
      <w:marLeft w:val="0"/>
      <w:marRight w:val="0"/>
      <w:marTop w:val="0"/>
      <w:marBottom w:val="0"/>
      <w:divBdr>
        <w:top w:val="none" w:sz="0" w:space="0" w:color="auto"/>
        <w:left w:val="none" w:sz="0" w:space="0" w:color="auto"/>
        <w:bottom w:val="none" w:sz="0" w:space="0" w:color="auto"/>
        <w:right w:val="none" w:sz="0" w:space="0" w:color="auto"/>
      </w:divBdr>
    </w:div>
    <w:div w:id="1832524077">
      <w:bodyDiv w:val="1"/>
      <w:marLeft w:val="0"/>
      <w:marRight w:val="0"/>
      <w:marTop w:val="0"/>
      <w:marBottom w:val="0"/>
      <w:divBdr>
        <w:top w:val="none" w:sz="0" w:space="0" w:color="auto"/>
        <w:left w:val="none" w:sz="0" w:space="0" w:color="auto"/>
        <w:bottom w:val="none" w:sz="0" w:space="0" w:color="auto"/>
        <w:right w:val="none" w:sz="0" w:space="0" w:color="auto"/>
      </w:divBdr>
    </w:div>
    <w:div w:id="1882472939">
      <w:bodyDiv w:val="1"/>
      <w:marLeft w:val="0"/>
      <w:marRight w:val="0"/>
      <w:marTop w:val="0"/>
      <w:marBottom w:val="0"/>
      <w:divBdr>
        <w:top w:val="none" w:sz="0" w:space="0" w:color="auto"/>
        <w:left w:val="none" w:sz="0" w:space="0" w:color="auto"/>
        <w:bottom w:val="none" w:sz="0" w:space="0" w:color="auto"/>
        <w:right w:val="none" w:sz="0" w:space="0" w:color="auto"/>
      </w:divBdr>
    </w:div>
    <w:div w:id="1918439030">
      <w:bodyDiv w:val="1"/>
      <w:marLeft w:val="0"/>
      <w:marRight w:val="0"/>
      <w:marTop w:val="0"/>
      <w:marBottom w:val="0"/>
      <w:divBdr>
        <w:top w:val="none" w:sz="0" w:space="0" w:color="auto"/>
        <w:left w:val="none" w:sz="0" w:space="0" w:color="auto"/>
        <w:bottom w:val="none" w:sz="0" w:space="0" w:color="auto"/>
        <w:right w:val="none" w:sz="0" w:space="0" w:color="auto"/>
      </w:divBdr>
    </w:div>
    <w:div w:id="1944726120">
      <w:bodyDiv w:val="1"/>
      <w:marLeft w:val="0"/>
      <w:marRight w:val="0"/>
      <w:marTop w:val="0"/>
      <w:marBottom w:val="0"/>
      <w:divBdr>
        <w:top w:val="none" w:sz="0" w:space="0" w:color="auto"/>
        <w:left w:val="none" w:sz="0" w:space="0" w:color="auto"/>
        <w:bottom w:val="none" w:sz="0" w:space="0" w:color="auto"/>
        <w:right w:val="none" w:sz="0" w:space="0" w:color="auto"/>
      </w:divBdr>
    </w:div>
    <w:div w:id="2021616772">
      <w:bodyDiv w:val="1"/>
      <w:marLeft w:val="0"/>
      <w:marRight w:val="0"/>
      <w:marTop w:val="0"/>
      <w:marBottom w:val="0"/>
      <w:divBdr>
        <w:top w:val="none" w:sz="0" w:space="0" w:color="auto"/>
        <w:left w:val="none" w:sz="0" w:space="0" w:color="auto"/>
        <w:bottom w:val="none" w:sz="0" w:space="0" w:color="auto"/>
        <w:right w:val="none" w:sz="0" w:space="0" w:color="auto"/>
      </w:divBdr>
    </w:div>
    <w:div w:id="2025670383">
      <w:bodyDiv w:val="1"/>
      <w:marLeft w:val="0"/>
      <w:marRight w:val="0"/>
      <w:marTop w:val="0"/>
      <w:marBottom w:val="0"/>
      <w:divBdr>
        <w:top w:val="none" w:sz="0" w:space="0" w:color="auto"/>
        <w:left w:val="none" w:sz="0" w:space="0" w:color="auto"/>
        <w:bottom w:val="none" w:sz="0" w:space="0" w:color="auto"/>
        <w:right w:val="none" w:sz="0" w:space="0" w:color="auto"/>
      </w:divBdr>
    </w:div>
    <w:div w:id="20358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data.fca.org.uk%2F%23%2Fnsm%2Fnationalstoragemechanism&amp;data=05%7C01%7Cvictoria.orme%40hl.co.uk%7C255d7b03df47419496b508dab3379fc4%7C90578e2dfce84c57a1a62b4909a9dc4d%7C0%7C0%7C638019348742285564%7CUnknown%7CTWFpbGZsb3d8eyJWIjoiMC4wLjAwMDAiLCJQIjoiV2luMzIiLCJBTiI6Ik1haWwiLCJXVCI6Mn0%3D%7C3000%7C%7C%7C&amp;sdata=YecIAZ8s19BMEY5GmVguKDJo%2Fo4XLATllYk14%2BAk2Gk%3D&amp;reserved=0" TargetMode="External"/><Relationship Id="rId3" Type="http://schemas.openxmlformats.org/officeDocument/2006/relationships/settings" Target="settings.xml"/><Relationship Id="rId7" Type="http://schemas.openxmlformats.org/officeDocument/2006/relationships/hyperlink" Target="http://www.hl.co.uk/investor-relations/investor-information/ag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CCAB5-5F47-4DAB-B203-4501CBA2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Hargreaves Lansdown</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3judymat</dc:creator>
  <cp:keywords/>
  <cp:lastModifiedBy>Dawn Carey</cp:lastModifiedBy>
  <cp:revision>6</cp:revision>
  <cp:lastPrinted>2019-10-10T14:12:00Z</cp:lastPrinted>
  <dcterms:created xsi:type="dcterms:W3CDTF">2023-12-08T12:26:00Z</dcterms:created>
  <dcterms:modified xsi:type="dcterms:W3CDTF">2023-12-08T16:43:00Z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1218006071</vt:i4>
  </property>
  <property fmtid="{D5CDD505-2E9C-101B-9397-08002B2CF9AE}" pid="4" name="_EmailSubject">
    <vt:lpwstr>AGM results</vt:lpwstr>
  </property>
  <property fmtid="{D5CDD505-2E9C-101B-9397-08002B2CF9AE}" pid="5" name="_AuthorEmail">
    <vt:lpwstr>Tierney.Stockwell@equiniti.com</vt:lpwstr>
  </property>
  <property fmtid="{D5CDD505-2E9C-101B-9397-08002B2CF9AE}" pid="6" name="_AuthorEmailDisplayName">
    <vt:lpwstr>Stockwell, Tierney</vt:lpwstr>
  </property>
  <property fmtid="{D5CDD505-2E9C-101B-9397-08002B2CF9AE}" pid="7" name="_ReviewingToolsShownOnce">
    <vt:lpwstr/>
  </property>
  <property fmtid="{D5CDD505-2E9C-101B-9397-08002B2CF9AE}" pid="8" name="MSIP_Label_0a622585-af05-44db-b3d8-454afa2297eb_Enabled">
    <vt:lpwstr>true</vt:lpwstr>
  </property>
  <property fmtid="{D5CDD505-2E9C-101B-9397-08002B2CF9AE}" pid="9" name="MSIP_Label_0a622585-af05-44db-b3d8-454afa2297eb_SetDate">
    <vt:lpwstr>2023-12-08T16:43:27Z</vt:lpwstr>
  </property>
  <property fmtid="{D5CDD505-2E9C-101B-9397-08002B2CF9AE}" pid="10" name="MSIP_Label_0a622585-af05-44db-b3d8-454afa2297eb_Method">
    <vt:lpwstr>Standard</vt:lpwstr>
  </property>
  <property fmtid="{D5CDD505-2E9C-101B-9397-08002B2CF9AE}" pid="11" name="MSIP_Label_0a622585-af05-44db-b3d8-454afa2297eb_Name">
    <vt:lpwstr>AIP-Confidential</vt:lpwstr>
  </property>
  <property fmtid="{D5CDD505-2E9C-101B-9397-08002B2CF9AE}" pid="12" name="MSIP_Label_0a622585-af05-44db-b3d8-454afa2297eb_SiteId">
    <vt:lpwstr>90578e2d-fce8-4c57-a1a6-2b4909a9dc4d</vt:lpwstr>
  </property>
  <property fmtid="{D5CDD505-2E9C-101B-9397-08002B2CF9AE}" pid="13" name="MSIP_Label_0a622585-af05-44db-b3d8-454afa2297eb_ActionId">
    <vt:lpwstr>c0186b20-8d57-43a4-bca2-ffbd7fad91e2</vt:lpwstr>
  </property>
  <property fmtid="{D5CDD505-2E9C-101B-9397-08002B2CF9AE}" pid="14" name="MSIP_Label_0a622585-af05-44db-b3d8-454afa2297eb_ContentBits">
    <vt:lpwstr>2</vt:lpwstr>
  </property>
</Properties>
</file>