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540A" w14:textId="6DF18219" w:rsidR="00DF5423" w:rsidRDefault="00DF5423" w:rsidP="00DF5423">
      <w:pPr>
        <w:spacing w:line="240" w:lineRule="auto"/>
        <w:rPr>
          <w:rFonts w:cs="Arial"/>
          <w:b/>
          <w:bCs/>
          <w:sz w:val="21"/>
          <w:szCs w:val="21"/>
        </w:rPr>
      </w:pPr>
      <w:r>
        <w:rPr>
          <w:rFonts w:cs="Arial"/>
          <w:b/>
          <w:bCs/>
          <w:sz w:val="21"/>
          <w:szCs w:val="21"/>
        </w:rPr>
        <w:t xml:space="preserve">A notification in accordance with LR 6.4.13, that the resolutions listed below were passed as special business at the Annual General Meeting of NCC Group plc (“Company”), held on Tuesday 3 March 2026 at the offices of </w:t>
      </w:r>
      <w:r w:rsidRPr="00DF5423">
        <w:rPr>
          <w:rFonts w:cs="Arial"/>
          <w:b/>
          <w:bCs/>
          <w:sz w:val="21"/>
          <w:szCs w:val="21"/>
        </w:rPr>
        <w:t>offices of NCC Group plc, XYZ Building, 2 Hardman Boulevard, Spinningfields, Manchester M3 3AQ.</w:t>
      </w:r>
    </w:p>
    <w:p w14:paraId="799F8953" w14:textId="77777777" w:rsidR="00111410" w:rsidRPr="004378D9" w:rsidRDefault="00111410" w:rsidP="00111410">
      <w:pPr>
        <w:spacing w:line="240" w:lineRule="auto"/>
        <w:rPr>
          <w:rFonts w:cs="Arial"/>
          <w:b/>
          <w:bCs/>
          <w:color w:val="000000"/>
        </w:rPr>
      </w:pPr>
    </w:p>
    <w:p w14:paraId="78643E0B" w14:textId="77777777" w:rsidR="00291CE1" w:rsidRPr="00F65731" w:rsidRDefault="00291CE1" w:rsidP="00F65731">
      <w:pPr>
        <w:spacing w:line="240" w:lineRule="auto"/>
        <w:rPr>
          <w:rFonts w:cs="Arial"/>
          <w:b/>
          <w:bCs/>
          <w:color w:val="000000"/>
        </w:rPr>
      </w:pPr>
      <w:r w:rsidRPr="00F65731">
        <w:rPr>
          <w:rFonts w:cs="Arial"/>
          <w:b/>
          <w:bCs/>
          <w:color w:val="000000"/>
        </w:rPr>
        <w:t>Ordinary Resolution</w:t>
      </w:r>
    </w:p>
    <w:p w14:paraId="38AD26CE" w14:textId="77777777" w:rsidR="00291CE1" w:rsidRPr="00F65731" w:rsidRDefault="00291CE1" w:rsidP="00F65731">
      <w:pPr>
        <w:pStyle w:val="ListParagraph"/>
        <w:jc w:val="both"/>
        <w:rPr>
          <w:rFonts w:ascii="Arial" w:eastAsia="Calibri" w:hAnsi="Arial" w:cs="Arial"/>
          <w:sz w:val="20"/>
          <w:szCs w:val="20"/>
          <w:lang w:eastAsia="en-US"/>
        </w:rPr>
      </w:pPr>
    </w:p>
    <w:p w14:paraId="72FD19D3" w14:textId="77777777" w:rsidR="0059479F" w:rsidRDefault="0059479F" w:rsidP="0059479F">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That the Directors be generally and unconditionally authorised in accordance with section 551 of the Companies Act 2006 to exercise all the powers of the Company to allot shares in the Company and to grant rights to subscribe for, or to convert any security into, shares in the Company (“Rights”): </w:t>
      </w:r>
    </w:p>
    <w:p w14:paraId="4B706FDE" w14:textId="77777777" w:rsidR="0059479F" w:rsidRDefault="0059479F"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13307641" w14:textId="77777777" w:rsidR="0059479F" w:rsidRDefault="0059479F" w:rsidP="0059479F">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(a) up to an aggregate nominal amount of £1,050,759.00; and </w:t>
      </w:r>
    </w:p>
    <w:p w14:paraId="2FD81BB7" w14:textId="77777777" w:rsidR="0059479F" w:rsidRDefault="0059479F" w:rsidP="0059479F">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70179667" w14:textId="722FD3AA" w:rsidR="0059479F" w:rsidRPr="00291F85" w:rsidRDefault="0059479F"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(b) up to a further aggregate nominal amount of £1,050,759.00 provided that: (</w:t>
      </w:r>
      <w:proofErr w:type="spellStart"/>
      <w:r w:rsidRPr="00291F85">
        <w:rPr>
          <w:rFonts w:ascii="Arial" w:eastAsia="Calibri" w:hAnsi="Arial" w:cs="Arial"/>
          <w:color w:val="000000" w:themeColor="text1"/>
          <w:sz w:val="20"/>
          <w:szCs w:val="20"/>
          <w:lang w:eastAsia="en-US"/>
        </w:rPr>
        <w:t>i</w:t>
      </w:r>
      <w:proofErr w:type="spellEnd"/>
      <w:r w:rsidRPr="00291F85">
        <w:rPr>
          <w:rFonts w:ascii="Arial" w:eastAsia="Calibri" w:hAnsi="Arial" w:cs="Arial"/>
          <w:color w:val="000000" w:themeColor="text1"/>
          <w:sz w:val="20"/>
          <w:szCs w:val="20"/>
          <w:lang w:eastAsia="en-US"/>
        </w:rPr>
        <w:t>) they are equity securities (within the meaning of section 560(1) of the Companies Act 2006); and (ii) they are offered by way of a rights issue to holders of ordinary shares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and to holders of other equity securities if required by the rights of those securities, in each case subject to such exclusions or other arrangements as the Directors may deem necessary or expedient to deal with treasury shares, fractional entitlements or legal or practical problems arising under the laws of any territory or the requirements of any regulatory body or stock exchange or by virtue of shares being represented by depositary receipts or any other matter, provided that this authority shall expire on the earlier of the conclusion of the next Annual General Meeting of the Company, or on 3 June 2027, save that the Company shall be entitled to make offers or agreements before the expiry of such authority which would or might require shares to be allotted or Rights to be granted after such expiry and the Directors shall be entitled to allot shares and grant Rights pursuant to any such offer or agreement as if this authority had not expired and all unexercised authorities previously granted to the Directors to allot shares and grant Rights be and are hereby revoked.</w:t>
      </w:r>
    </w:p>
    <w:p w14:paraId="1ED639B9" w14:textId="77777777" w:rsidR="00B3724C" w:rsidRPr="00291F85" w:rsidRDefault="00B3724C" w:rsidP="00291F85">
      <w:pPr>
        <w:rPr>
          <w:rFonts w:eastAsia="Calibri"/>
          <w:color w:val="000000" w:themeColor="text1"/>
        </w:rPr>
      </w:pPr>
    </w:p>
    <w:p w14:paraId="16E79526" w14:textId="77777777" w:rsidR="0018156A" w:rsidRPr="008859FD" w:rsidRDefault="0018156A" w:rsidP="0018156A">
      <w:pPr>
        <w:spacing w:line="240" w:lineRule="auto"/>
        <w:rPr>
          <w:rFonts w:cs="Arial"/>
          <w:b/>
          <w:bCs/>
          <w:color w:val="000000" w:themeColor="text1"/>
        </w:rPr>
      </w:pPr>
      <w:r w:rsidRPr="008859FD">
        <w:rPr>
          <w:rFonts w:cs="Arial"/>
          <w:b/>
          <w:bCs/>
          <w:color w:val="000000" w:themeColor="text1"/>
        </w:rPr>
        <w:t>Special Resolution</w:t>
      </w:r>
      <w:r w:rsidR="00F4142C" w:rsidRPr="008859FD">
        <w:rPr>
          <w:rFonts w:cs="Arial"/>
          <w:b/>
          <w:bCs/>
          <w:color w:val="000000" w:themeColor="text1"/>
        </w:rPr>
        <w:t>s</w:t>
      </w:r>
    </w:p>
    <w:p w14:paraId="4D5198CA" w14:textId="77777777" w:rsidR="0018156A" w:rsidRPr="00291F85" w:rsidRDefault="0018156A" w:rsidP="00A735E3">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D0EFACB" w14:textId="77777777" w:rsidR="0059479F" w:rsidRPr="00291F85" w:rsidRDefault="0059479F" w:rsidP="00EA030D">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That, subject to the passing of Resolution 13 and pursuant to sections 570 and 573 of the Companies Act 2006, the Directors be authorised to allot equity securities (within the meaning of section 5601(1) of the Companies Act 2006) for cash under the authority given by Resolution 13 and/or to sell ordinary shares held by the Company as treasury shares for cash as if section 561(1) of the Companies Act 2006 did not apply to any such allotment or sale, such authority being limited: </w:t>
      </w:r>
    </w:p>
    <w:p w14:paraId="4DE90AF1" w14:textId="77777777" w:rsidR="0059479F" w:rsidRPr="00291F85" w:rsidRDefault="0059479F"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09D9DA32" w14:textId="77777777" w:rsidR="0059479F" w:rsidRPr="00291F85" w:rsidRDefault="0059479F" w:rsidP="0059479F">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(a) to the allotment of equity securities and the sale of treasury shares for cash in connection with or pursuant to an offer of equity securities by way of rights issue, open offer or other pre-emptive offer (but in the case of the authority granted under paragraph (b) of Resolution 13 by way of rights issue only) to the holders of ordinary shares in the Company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and to holders of other equity securities if required by the rights of those securities, in each case subject to such exclusions or other arrangements as the Directors may consider necessary or expedient to deal with treasury shares, fractional entitlements or legal or practical problems under the laws of any territory or the regulations or requirements of any regulatory authority or any stock exchange in any territory or by virtue of shares being represented by depositary receipts or other matter; </w:t>
      </w:r>
    </w:p>
    <w:p w14:paraId="7A8F6285" w14:textId="77777777" w:rsidR="0059479F" w:rsidRPr="00291F85" w:rsidRDefault="0059479F" w:rsidP="0059479F">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1AFFE3DC" w14:textId="28164CDC" w:rsidR="0059479F" w:rsidRPr="00291F85" w:rsidRDefault="0059479F" w:rsidP="0059479F">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(b) to the allotment of equity securities or sale of treasury shares (otherwise than pursuant to sub-paragraph (a) above), up to an aggregate nominal amount of £315,227.00; and </w:t>
      </w:r>
    </w:p>
    <w:p w14:paraId="75AA5392" w14:textId="77777777" w:rsidR="0059479F" w:rsidRPr="00291F85" w:rsidRDefault="0059479F" w:rsidP="0059479F">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5F2379C" w14:textId="7A24ED23" w:rsidR="0059479F" w:rsidRPr="00291F85" w:rsidRDefault="0059479F"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lastRenderedPageBreak/>
        <w:t>(c) to the allotment of equity securities or sale of treasury shares (otherwise than pursuant to sub-paragraph (a) above), up to an aggregate nominal amount equal to 20% of any allotment of equity securities or sale of treasury shares from time to time pursuant to sub-paragraph (b) above, such authority to be used only for the purposes of making a follow-on offer which the Directors determine to be a kind contemplated by paragraph 3 of Section 2B of the Statement of Principles on Disapplying Pre-Emption Rights most recently published by the Pre-Emption Group prior to the date of this Notice, and such power shall expire on the earlier of the conclusion of the next Annual General Meeting of the Company, or on 3 June 2027, save that the Company may before such expiry make an offer or agreement which would or might require equity securities to be allotted or treasury shares to be sold after such expiry, and the Directors may allot equity securities or sell treasury shares in pursuance of such an offer or agreement as if the power conferred by this resolution had not expired and all unexercised authorities previously granted to the Directors under sections 570 and 573 of the Companies Act 2006 be and are hereby revoked.</w:t>
      </w:r>
    </w:p>
    <w:p w14:paraId="146111DC" w14:textId="77777777" w:rsidR="0059479F" w:rsidRPr="00291F85" w:rsidRDefault="0059479F" w:rsidP="00291F85">
      <w:pPr>
        <w:pStyle w:val="ListParagraph"/>
        <w:autoSpaceDE w:val="0"/>
        <w:autoSpaceDN w:val="0"/>
        <w:adjustRightInd w:val="0"/>
        <w:contextualSpacing/>
        <w:jc w:val="both"/>
        <w:rPr>
          <w:rFonts w:ascii="Arial" w:eastAsia="Calibri" w:hAnsi="Arial" w:cs="Arial"/>
          <w:color w:val="FF0000"/>
          <w:sz w:val="20"/>
          <w:szCs w:val="20"/>
          <w:lang w:eastAsia="en-US"/>
        </w:rPr>
      </w:pPr>
    </w:p>
    <w:p w14:paraId="71BD9950" w14:textId="77777777" w:rsidR="008859FD" w:rsidRDefault="008859FD" w:rsidP="00EA030D">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That, subject to the passing of Resolution 13, the Directors be authorised in addition to any authority granted under Resolution 14 to allot equity securities (within the meaning of section 560 of Companies Act 2006) for cash under the authority given by Resolution 14 and/ or to sell ordinary shares held by the Company as treasury shares for cash as if section 561(1) of the Companies Act 2006 did not apply to any such allotment or sale, such authority to be: </w:t>
      </w:r>
    </w:p>
    <w:p w14:paraId="68AE65D3" w14:textId="77777777" w:rsidR="008859FD" w:rsidRDefault="008859FD"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55B8E654" w14:textId="77777777" w:rsidR="008859FD" w:rsidRDefault="008859FD" w:rsidP="008859FD">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(a) limited to the allotment of equity securities or sale of treasury shares up to a nominal amount of £315,227.00 used only for the purposes of financing (or refinancing, if the authority is to be used within 12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and </w:t>
      </w:r>
    </w:p>
    <w:p w14:paraId="678483AE" w14:textId="77777777" w:rsidR="008859FD" w:rsidRDefault="008859FD" w:rsidP="008859FD">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5CA6D12" w14:textId="77777777" w:rsidR="008859FD" w:rsidRDefault="008859FD" w:rsidP="008859FD">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(b) otherwise than pursuant to sub-paragraph (a) above, up to an aggregate nominal amount equal to 20% of any allotment of equity securities or sale of treasury shares from time to time pursuant to sub-paragraph (a)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w:t>
      </w:r>
    </w:p>
    <w:p w14:paraId="4D51E6C4" w14:textId="77777777" w:rsidR="008859FD" w:rsidRDefault="008859FD" w:rsidP="008859FD">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BC3388A" w14:textId="1CB7AC18" w:rsidR="008859FD" w:rsidRPr="00291F85" w:rsidRDefault="008859FD"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and such power shall expire on the earlier of the conclusion of the next Annual General Meeting of the Company, or on 3 June 2027, save that the Company may before such expiry make an offer or agreement which would or might require equity securities to be allotted or treasury shares to be sold after such expiry, and the Directors may allot equity securities or sell treasury shares in pursuance of such an offer or agreement as if the power conferred by this resolution had not expired.</w:t>
      </w:r>
    </w:p>
    <w:p w14:paraId="325CEB29" w14:textId="77777777" w:rsidR="008859FD" w:rsidRDefault="008859FD" w:rsidP="00291F85">
      <w:pPr>
        <w:pStyle w:val="ListParagraph"/>
        <w:autoSpaceDE w:val="0"/>
        <w:autoSpaceDN w:val="0"/>
        <w:adjustRightInd w:val="0"/>
        <w:contextualSpacing/>
        <w:jc w:val="both"/>
        <w:rPr>
          <w:rFonts w:ascii="Arial" w:eastAsia="Calibri" w:hAnsi="Arial" w:cs="Arial"/>
          <w:color w:val="FF0000"/>
          <w:sz w:val="20"/>
          <w:szCs w:val="20"/>
          <w:lang w:eastAsia="en-US"/>
        </w:rPr>
      </w:pPr>
    </w:p>
    <w:p w14:paraId="59A2D1A4" w14:textId="77777777" w:rsidR="00E62979" w:rsidRDefault="00E62979" w:rsidP="00EA030D">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That the Company be generally and unconditionally authorised pursuant to section 701 of the Companies Act 2006 to make market purchases (within the meaning of section 693(4) of the Companies Act 2006) of up to 31,522,700 ordinary shares of 1p each in the capital of the Company (being approximately 10% of the current issued ordinary share capital of the Company) on such terms and in such manner as the Directors may from time to time determine, provided that: </w:t>
      </w:r>
    </w:p>
    <w:p w14:paraId="1C9CC401" w14:textId="77777777" w:rsidR="00E62979" w:rsidRDefault="00E62979"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(a) the minimum price (excluding expenses) which may be paid for an ordinary share is 1p; and </w:t>
      </w:r>
    </w:p>
    <w:p w14:paraId="3747A429" w14:textId="77777777" w:rsidR="00E62979" w:rsidRDefault="00E62979"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313EF947" w14:textId="77777777" w:rsidR="00E62979" w:rsidRDefault="00E62979" w:rsidP="004576CF">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(b) the maximum price (excluding expenses) which may be paid for an ordinary share is the higher of: </w:t>
      </w:r>
    </w:p>
    <w:p w14:paraId="1FE20AA0" w14:textId="77777777" w:rsidR="004576CF" w:rsidRDefault="004576CF"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4530E1F" w14:textId="77777777" w:rsidR="00E62979" w:rsidRDefault="00E62979"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w:t>
      </w:r>
      <w:proofErr w:type="spellStart"/>
      <w:r w:rsidRPr="00291F85">
        <w:rPr>
          <w:rFonts w:ascii="Arial" w:eastAsia="Calibri" w:hAnsi="Arial" w:cs="Arial"/>
          <w:color w:val="000000" w:themeColor="text1"/>
          <w:sz w:val="20"/>
          <w:szCs w:val="20"/>
          <w:lang w:eastAsia="en-US"/>
        </w:rPr>
        <w:t>i</w:t>
      </w:r>
      <w:proofErr w:type="spellEnd"/>
      <w:r w:rsidRPr="00291F85">
        <w:rPr>
          <w:rFonts w:ascii="Arial" w:eastAsia="Calibri" w:hAnsi="Arial" w:cs="Arial"/>
          <w:color w:val="000000" w:themeColor="text1"/>
          <w:sz w:val="20"/>
          <w:szCs w:val="20"/>
          <w:lang w:eastAsia="en-US"/>
        </w:rPr>
        <w:t xml:space="preserve">) an amount equal to 105% of the average of the middle market quotations for an ordinary share in the Company as derived from the Daily Official List of the London Stock Exchange plc for the five business days immediately preceding the day on which the purchase is made; and </w:t>
      </w:r>
    </w:p>
    <w:p w14:paraId="0EF6B658" w14:textId="77777777" w:rsidR="004576CF" w:rsidRDefault="004576CF" w:rsidP="004576CF">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7957647" w14:textId="0218DD84" w:rsidR="004576CF" w:rsidRDefault="00E62979"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(ii) an amount equal to the higher of the price of the last independent trade and the highest current independent bid for an ordinary share on the trading venue where the purchase is carried out, </w:t>
      </w:r>
    </w:p>
    <w:p w14:paraId="17EF784B" w14:textId="77777777" w:rsidR="004576CF" w:rsidRDefault="004576CF"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1DEC8546" w14:textId="57E56F66" w:rsidR="008859FD" w:rsidRPr="00291F85" w:rsidRDefault="00E62979"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and (unless revoked, varied or renewed) this authority shall expire on the earlier of the conclusion of the next Annual General Meeting of the Company, or on 3 June 2027, provided that the Company may, before such expiry, make a contract to purchase its own shares which would or might be executed wholly or partly after such expiry, and the Company may make a purchase of its own shares in pursuance of such contract as if the authority hereby conferred had not expired.</w:t>
      </w:r>
    </w:p>
    <w:p w14:paraId="43358355" w14:textId="77777777" w:rsidR="008859FD" w:rsidRDefault="008859FD" w:rsidP="00291F85">
      <w:pPr>
        <w:pStyle w:val="ListParagraph"/>
        <w:autoSpaceDE w:val="0"/>
        <w:autoSpaceDN w:val="0"/>
        <w:adjustRightInd w:val="0"/>
        <w:contextualSpacing/>
        <w:jc w:val="both"/>
        <w:rPr>
          <w:rFonts w:ascii="Arial" w:eastAsia="Calibri" w:hAnsi="Arial" w:cs="Arial"/>
          <w:color w:val="FF0000"/>
          <w:sz w:val="20"/>
          <w:szCs w:val="20"/>
          <w:lang w:eastAsia="en-US"/>
        </w:rPr>
      </w:pPr>
    </w:p>
    <w:p w14:paraId="4083AA9A" w14:textId="028E1F54" w:rsidR="008859FD" w:rsidRPr="00291F85" w:rsidRDefault="00212656" w:rsidP="00EA030D">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That a general meeting of the Company other than an Annual General Meeting may be called on no less than 14 clear days’ notice.</w:t>
      </w:r>
    </w:p>
    <w:p w14:paraId="6E97CB48" w14:textId="77777777" w:rsidR="00A97792" w:rsidRPr="0059479F" w:rsidRDefault="00A97792" w:rsidP="00A735E3">
      <w:pPr>
        <w:pStyle w:val="ListParagraph"/>
        <w:autoSpaceDE w:val="0"/>
        <w:autoSpaceDN w:val="0"/>
        <w:adjustRightInd w:val="0"/>
        <w:contextualSpacing/>
        <w:jc w:val="both"/>
        <w:rPr>
          <w:rFonts w:ascii="Arial" w:eastAsia="Calibri" w:hAnsi="Arial" w:cs="Arial"/>
          <w:color w:val="FF0000"/>
          <w:sz w:val="20"/>
          <w:szCs w:val="20"/>
          <w:lang w:eastAsia="en-US"/>
        </w:rPr>
      </w:pPr>
    </w:p>
    <w:p w14:paraId="505E71E8" w14:textId="0D874D75" w:rsidR="00F4142C" w:rsidRPr="00991F22" w:rsidRDefault="00F4142C" w:rsidP="00F4142C">
      <w:pPr>
        <w:spacing w:line="240" w:lineRule="auto"/>
        <w:rPr>
          <w:rFonts w:cs="Arial"/>
          <w:b/>
          <w:bCs/>
          <w:color w:val="000000" w:themeColor="text1"/>
        </w:rPr>
      </w:pPr>
      <w:r w:rsidRPr="00991F22">
        <w:rPr>
          <w:rFonts w:cs="Arial"/>
          <w:b/>
          <w:bCs/>
          <w:color w:val="000000" w:themeColor="text1"/>
        </w:rPr>
        <w:t>Ordinary Resolution</w:t>
      </w:r>
    </w:p>
    <w:p w14:paraId="72D85182" w14:textId="77777777" w:rsidR="00471910" w:rsidRPr="0059479F" w:rsidRDefault="00471910" w:rsidP="003F4D36">
      <w:pPr>
        <w:autoSpaceDE w:val="0"/>
        <w:autoSpaceDN w:val="0"/>
        <w:adjustRightInd w:val="0"/>
        <w:contextualSpacing/>
        <w:rPr>
          <w:rFonts w:eastAsia="Calibri" w:cs="Arial"/>
          <w:color w:val="FF0000"/>
        </w:rPr>
      </w:pPr>
    </w:p>
    <w:p w14:paraId="7C30E5B4" w14:textId="77777777" w:rsidR="00991F22" w:rsidRDefault="00991F22" w:rsidP="0085630C">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That, in accordance with sections 366 and 367 of the Companies Act 2006, the Company and all companies which are subsidiaries of the Company at the date on which this resolution is passed or during the period when this resolution has effect be generally and unconditionally authorised, in aggregate, to: </w:t>
      </w:r>
    </w:p>
    <w:p w14:paraId="02BC9F8E"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04BC6128"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(a) make political donations to political parties and/or independent election candidates not exceeding £25,000 in </w:t>
      </w:r>
      <w:proofErr w:type="gramStart"/>
      <w:r w:rsidRPr="00291F85">
        <w:rPr>
          <w:rFonts w:ascii="Arial" w:eastAsia="Calibri" w:hAnsi="Arial" w:cs="Arial"/>
          <w:color w:val="000000" w:themeColor="text1"/>
          <w:sz w:val="20"/>
          <w:szCs w:val="20"/>
          <w:lang w:eastAsia="en-US"/>
        </w:rPr>
        <w:t>total;</w:t>
      </w:r>
      <w:proofErr w:type="gramEnd"/>
      <w:r w:rsidRPr="00291F85">
        <w:rPr>
          <w:rFonts w:ascii="Arial" w:eastAsia="Calibri" w:hAnsi="Arial" w:cs="Arial"/>
          <w:color w:val="000000" w:themeColor="text1"/>
          <w:sz w:val="20"/>
          <w:szCs w:val="20"/>
          <w:lang w:eastAsia="en-US"/>
        </w:rPr>
        <w:t xml:space="preserve"> </w:t>
      </w:r>
    </w:p>
    <w:p w14:paraId="104AC3D8"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3B334C36"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(b) make political donations to political organisations other than political parties not exceeding £25,000 in total; and </w:t>
      </w:r>
    </w:p>
    <w:p w14:paraId="19BD12CF"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2A4FFDF"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 xml:space="preserve">(c) incur political expenditure not exceeding £25,000 in total, </w:t>
      </w:r>
    </w:p>
    <w:p w14:paraId="220B93E2" w14:textId="77777777" w:rsidR="00991F22" w:rsidRDefault="00991F22"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207F4ECA" w14:textId="0E81BBBA" w:rsidR="00991F22" w:rsidRDefault="00991F22" w:rsidP="00991F22">
      <w:pPr>
        <w:pStyle w:val="ListParagraph"/>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(as such terms are defined in sections 363 to 365 of the Companies Act 2006), in each case during the period beginning with the date of the passing of this resolution and ending at the conclusion of the next Annual General Meeting of the Company, provided that the authorised sum referred to in paragraphs (a), (b) and (c) above may be comprised of one or more amounts in different currencies which, for the purposes of calculating the said sum, shall be converted into Pounds Sterling at the exchange rate published in the London edition of the Financial Times on the date on which the relevant donation is made or expenditure incurred (or the first business day thereafter) or, if earlier, on the day in which the Company enters into any contract or undertaking in relation to the same, and provided that, in any event, the aggregate amount of political donations and political expenditure made or incurred by the Company and its subsidiaries pursuant to this resolution shall not exceed £75,000.</w:t>
      </w:r>
    </w:p>
    <w:p w14:paraId="5C85F692" w14:textId="77777777" w:rsidR="00FD5450" w:rsidRDefault="00FD5450" w:rsidP="00991F22">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71CE5A97" w14:textId="43413D75" w:rsidR="00FD5450" w:rsidRPr="00991F22" w:rsidRDefault="00FD5450" w:rsidP="00FD5450">
      <w:pPr>
        <w:spacing w:line="240" w:lineRule="auto"/>
        <w:rPr>
          <w:rFonts w:cs="Arial"/>
          <w:b/>
          <w:bCs/>
          <w:color w:val="000000" w:themeColor="text1"/>
        </w:rPr>
      </w:pPr>
      <w:r>
        <w:rPr>
          <w:rFonts w:cs="Arial"/>
          <w:b/>
          <w:bCs/>
          <w:color w:val="000000" w:themeColor="text1"/>
        </w:rPr>
        <w:t>Special</w:t>
      </w:r>
      <w:r w:rsidRPr="00991F22">
        <w:rPr>
          <w:rFonts w:cs="Arial"/>
          <w:b/>
          <w:bCs/>
          <w:color w:val="000000" w:themeColor="text1"/>
        </w:rPr>
        <w:t xml:space="preserve"> Resolution</w:t>
      </w:r>
    </w:p>
    <w:p w14:paraId="4E5AD4E6" w14:textId="77777777" w:rsidR="00FD5450" w:rsidRPr="00291F85" w:rsidRDefault="00FD5450" w:rsidP="00291F8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6C3AA250" w14:textId="3DF0B74A" w:rsidR="00991F22" w:rsidRPr="00291F85" w:rsidRDefault="00FD5450" w:rsidP="0085630C">
      <w:pPr>
        <w:pStyle w:val="ListParagraph"/>
        <w:numPr>
          <w:ilvl w:val="0"/>
          <w:numId w:val="3"/>
        </w:numPr>
        <w:autoSpaceDE w:val="0"/>
        <w:autoSpaceDN w:val="0"/>
        <w:adjustRightInd w:val="0"/>
        <w:contextualSpacing/>
        <w:jc w:val="both"/>
        <w:rPr>
          <w:rFonts w:ascii="Arial" w:eastAsia="Calibri" w:hAnsi="Arial" w:cs="Arial"/>
          <w:color w:val="000000" w:themeColor="text1"/>
          <w:sz w:val="20"/>
          <w:szCs w:val="20"/>
          <w:lang w:eastAsia="en-US"/>
        </w:rPr>
      </w:pPr>
      <w:r w:rsidRPr="00291F85">
        <w:rPr>
          <w:rFonts w:ascii="Arial" w:eastAsia="Calibri" w:hAnsi="Arial" w:cs="Arial"/>
          <w:color w:val="000000" w:themeColor="text1"/>
          <w:sz w:val="20"/>
          <w:szCs w:val="20"/>
          <w:lang w:eastAsia="en-US"/>
        </w:rPr>
        <w:t>That, with effect from the end of the AGM, the Articles of Association produced to this meeting and initialled by the Chair for the purpose of identification, are adopted as the Articles of Association of the Company in substitution for, and to the exclusion of, the Company’s existing Articles of Association.</w:t>
      </w:r>
    </w:p>
    <w:p w14:paraId="5655A683" w14:textId="77777777" w:rsidR="00991F22" w:rsidRPr="00291F85" w:rsidRDefault="00991F22" w:rsidP="00291F85">
      <w:pPr>
        <w:autoSpaceDE w:val="0"/>
        <w:autoSpaceDN w:val="0"/>
        <w:adjustRightInd w:val="0"/>
        <w:contextualSpacing/>
        <w:rPr>
          <w:rFonts w:eastAsia="Calibri" w:cs="Arial"/>
          <w:color w:val="FF0000"/>
        </w:rPr>
      </w:pPr>
    </w:p>
    <w:p w14:paraId="252E48D2" w14:textId="77777777" w:rsidR="00F009E4" w:rsidRDefault="00F009E4" w:rsidP="000D1D55">
      <w:pPr>
        <w:pStyle w:val="ListParagraph"/>
        <w:autoSpaceDE w:val="0"/>
        <w:autoSpaceDN w:val="0"/>
        <w:adjustRightInd w:val="0"/>
        <w:contextualSpacing/>
        <w:jc w:val="both"/>
        <w:rPr>
          <w:rFonts w:ascii="Arial" w:eastAsia="Calibri" w:hAnsi="Arial" w:cs="Arial"/>
          <w:color w:val="000000" w:themeColor="text1"/>
          <w:sz w:val="20"/>
          <w:szCs w:val="20"/>
          <w:lang w:eastAsia="en-US"/>
        </w:rPr>
      </w:pPr>
    </w:p>
    <w:p w14:paraId="436A14FC" w14:textId="77777777" w:rsidR="00EA2EF3" w:rsidRDefault="00EA2EF3" w:rsidP="00A705A8">
      <w:pPr>
        <w:pStyle w:val="ListParagraph"/>
        <w:rPr>
          <w:rFonts w:eastAsia="Calibri"/>
          <w:lang w:eastAsia="en-US"/>
        </w:rPr>
      </w:pPr>
    </w:p>
    <w:p w14:paraId="78362E4B" w14:textId="7F1146D8" w:rsidR="000341C3" w:rsidRPr="00D16BF0" w:rsidRDefault="00EA2EF3" w:rsidP="005D6B34">
      <w:pPr>
        <w:pStyle w:val="ListParagraph"/>
        <w:rPr>
          <w:rFonts w:cs="Arial"/>
          <w:b/>
          <w:bCs/>
          <w:color w:val="000000"/>
          <w:szCs w:val="18"/>
        </w:rPr>
      </w:pPr>
      <w:r>
        <w:rPr>
          <w:rFonts w:eastAsia="Calibri"/>
          <w:color w:val="FF0000"/>
          <w:lang w:eastAsia="en-US"/>
        </w:rPr>
        <w:tab/>
      </w:r>
      <w:r>
        <w:rPr>
          <w:rFonts w:eastAsia="Calibri"/>
          <w:color w:val="FF0000"/>
          <w:lang w:eastAsia="en-US"/>
        </w:rPr>
        <w:tab/>
      </w:r>
      <w:r>
        <w:rPr>
          <w:rFonts w:eastAsia="Calibri"/>
          <w:color w:val="FF0000"/>
          <w:lang w:eastAsia="en-US"/>
        </w:rPr>
        <w:tab/>
      </w:r>
      <w:r>
        <w:rPr>
          <w:rFonts w:eastAsia="Calibri"/>
          <w:color w:val="FF0000"/>
          <w:lang w:eastAsia="en-US"/>
        </w:rPr>
        <w:tab/>
      </w:r>
    </w:p>
    <w:sectPr w:rsidR="000341C3" w:rsidRPr="00D16BF0" w:rsidSect="00FA64AE">
      <w:pgSz w:w="11906" w:h="16838"/>
      <w:pgMar w:top="1440" w:right="1440" w:bottom="1440"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D56F" w14:textId="77777777" w:rsidR="00D5728A" w:rsidRDefault="00D5728A" w:rsidP="00FA64AE">
      <w:pPr>
        <w:spacing w:line="240" w:lineRule="auto"/>
      </w:pPr>
      <w:r>
        <w:separator/>
      </w:r>
    </w:p>
  </w:endnote>
  <w:endnote w:type="continuationSeparator" w:id="0">
    <w:p w14:paraId="27EF27CC" w14:textId="77777777" w:rsidR="00D5728A" w:rsidRDefault="00D5728A" w:rsidP="00FA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DA62" w14:textId="77777777" w:rsidR="00D5728A" w:rsidRDefault="00D5728A" w:rsidP="00FA64AE">
      <w:pPr>
        <w:spacing w:line="240" w:lineRule="auto"/>
      </w:pPr>
      <w:r>
        <w:separator/>
      </w:r>
    </w:p>
  </w:footnote>
  <w:footnote w:type="continuationSeparator" w:id="0">
    <w:p w14:paraId="76C895DB" w14:textId="77777777" w:rsidR="00D5728A" w:rsidRDefault="00D5728A" w:rsidP="00FA64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5A25530"/>
    <w:lvl w:ilvl="0">
      <w:start w:val="1"/>
      <w:numFmt w:val="decimal"/>
      <w:pStyle w:val="ListNumber2"/>
      <w:lvlText w:val="%1."/>
      <w:lvlJc w:val="left"/>
      <w:pPr>
        <w:tabs>
          <w:tab w:val="num" w:pos="643"/>
        </w:tabs>
        <w:ind w:left="643" w:hanging="360"/>
      </w:pPr>
    </w:lvl>
  </w:abstractNum>
  <w:abstractNum w:abstractNumId="1" w15:restartNumberingAfterBreak="0">
    <w:nsid w:val="065E6791"/>
    <w:multiLevelType w:val="hybridMultilevel"/>
    <w:tmpl w:val="842C30DC"/>
    <w:lvl w:ilvl="0" w:tplc="71CAAEE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5E3CFB"/>
    <w:multiLevelType w:val="hybridMultilevel"/>
    <w:tmpl w:val="73CE3EC4"/>
    <w:lvl w:ilvl="0" w:tplc="0AE097AE">
      <w:start w:val="9"/>
      <w:numFmt w:val="lowerLetter"/>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3" w15:restartNumberingAfterBreak="0">
    <w:nsid w:val="3ACA0EF0"/>
    <w:multiLevelType w:val="hybridMultilevel"/>
    <w:tmpl w:val="77F8E8CC"/>
    <w:lvl w:ilvl="0" w:tplc="7E70242E">
      <w:start w:val="3"/>
      <w:numFmt w:val="decimal"/>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852985"/>
    <w:multiLevelType w:val="multilevel"/>
    <w:tmpl w:val="40428564"/>
    <w:name w:val="NoteTemplate"/>
    <w:lvl w:ilvl="0">
      <w:start w:val="1"/>
      <w:numFmt w:val="decimal"/>
      <w:pStyle w:val="NoteLevel1"/>
      <w:isLgl/>
      <w:lvlText w:val="%1"/>
      <w:lvlJc w:val="left"/>
      <w:pPr>
        <w:tabs>
          <w:tab w:val="num" w:pos="720"/>
        </w:tabs>
        <w:ind w:left="720" w:hanging="720"/>
      </w:pPr>
      <w:rPr>
        <w:rFonts w:hint="default"/>
        <w:b w:val="0"/>
        <w:i w:val="0"/>
        <w:strike w:val="0"/>
        <w:dstrike w:val="0"/>
        <w:u w:val="none"/>
        <w:effect w:val="none"/>
      </w:rPr>
    </w:lvl>
    <w:lvl w:ilvl="1">
      <w:start w:val="1"/>
      <w:numFmt w:val="lowerLetter"/>
      <w:pStyle w:val="NoteLevel2"/>
      <w:lvlText w:val="(%2)"/>
      <w:lvlJc w:val="left"/>
      <w:pPr>
        <w:tabs>
          <w:tab w:val="num" w:pos="1440"/>
        </w:tabs>
        <w:ind w:left="1440" w:hanging="720"/>
      </w:pPr>
      <w:rPr>
        <w:rFonts w:hint="default"/>
      </w:rPr>
    </w:lvl>
    <w:lvl w:ilvl="2">
      <w:start w:val="1"/>
      <w:numFmt w:val="lowerRoman"/>
      <w:pStyle w:val="NoteLevel3"/>
      <w:lvlText w:val="(%3)"/>
      <w:lvlJc w:val="left"/>
      <w:pPr>
        <w:tabs>
          <w:tab w:val="num" w:pos="2160"/>
        </w:tabs>
        <w:ind w:left="2160" w:hanging="720"/>
      </w:pPr>
      <w:rPr>
        <w:rFonts w:hint="default"/>
      </w:rPr>
    </w:lvl>
    <w:lvl w:ilvl="3">
      <w:start w:val="1"/>
      <w:numFmt w:val="upperLetter"/>
      <w:pStyle w:val="NoteLevel4"/>
      <w:lvlText w:val="(%4)"/>
      <w:lvlJc w:val="left"/>
      <w:pPr>
        <w:tabs>
          <w:tab w:val="num" w:pos="2880"/>
        </w:tabs>
        <w:ind w:left="2880" w:hanging="720"/>
      </w:pPr>
      <w:rPr>
        <w:rFonts w:hint="default"/>
      </w:rPr>
    </w:lvl>
    <w:lvl w:ilvl="4">
      <w:start w:val="1"/>
      <w:numFmt w:val="decimal"/>
      <w:pStyle w:val="NoteLevel5"/>
      <w:lvlText w:val="%5)"/>
      <w:lvlJc w:val="left"/>
      <w:pPr>
        <w:tabs>
          <w:tab w:val="num" w:pos="3600"/>
        </w:tabs>
        <w:ind w:left="3600" w:hanging="720"/>
      </w:pPr>
      <w:rPr>
        <w:rFonts w:hint="default"/>
      </w:rPr>
    </w:lvl>
    <w:lvl w:ilvl="5">
      <w:start w:val="1"/>
      <w:numFmt w:val="lowerLetter"/>
      <w:pStyle w:val="NoteLevel6"/>
      <w:lvlText w:val="%6)"/>
      <w:lvlJc w:val="left"/>
      <w:pPr>
        <w:tabs>
          <w:tab w:val="num" w:pos="4320"/>
        </w:tabs>
        <w:ind w:left="4320" w:hanging="720"/>
      </w:pPr>
      <w:rPr>
        <w:rFonts w:hint="default"/>
      </w:rPr>
    </w:lvl>
    <w:lvl w:ilvl="6">
      <w:start w:val="1"/>
      <w:numFmt w:val="lowerRoman"/>
      <w:pStyle w:val="NoteLevel7"/>
      <w:lvlText w:val="%7)"/>
      <w:lvlJc w:val="left"/>
      <w:pPr>
        <w:tabs>
          <w:tab w:val="num" w:pos="5040"/>
        </w:tabs>
        <w:ind w:left="5040" w:hanging="720"/>
      </w:pPr>
      <w:rPr>
        <w:rFonts w:hint="default"/>
      </w:rPr>
    </w:lvl>
    <w:lvl w:ilvl="7">
      <w:start w:val="1"/>
      <w:numFmt w:val="upperLetter"/>
      <w:pStyle w:val="NoteLevel8"/>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5" w15:restartNumberingAfterBreak="0">
    <w:nsid w:val="47D171AA"/>
    <w:multiLevelType w:val="hybridMultilevel"/>
    <w:tmpl w:val="AE9C0DAA"/>
    <w:lvl w:ilvl="0" w:tplc="970C439E">
      <w:start w:val="1"/>
      <w:numFmt w:val="decimal"/>
      <w:lvlText w:val="%1."/>
      <w:lvlJc w:val="left"/>
      <w:pPr>
        <w:tabs>
          <w:tab w:val="num" w:pos="720"/>
        </w:tabs>
        <w:ind w:left="720" w:hanging="720"/>
      </w:pPr>
      <w:rPr>
        <w:rFonts w:cs="Times New Roman" w:hint="default"/>
        <w:color w:val="auto"/>
      </w:rPr>
    </w:lvl>
    <w:lvl w:ilvl="1" w:tplc="5C8CD726">
      <w:start w:val="1"/>
      <w:numFmt w:val="low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7" w15:restartNumberingAfterBreak="0">
    <w:nsid w:val="66F10928"/>
    <w:multiLevelType w:val="hybridMultilevel"/>
    <w:tmpl w:val="73CE3EC4"/>
    <w:lvl w:ilvl="0" w:tplc="0AE097AE">
      <w:start w:val="9"/>
      <w:numFmt w:val="lowerLetter"/>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8" w15:restartNumberingAfterBreak="0">
    <w:nsid w:val="670A49CC"/>
    <w:multiLevelType w:val="hybridMultilevel"/>
    <w:tmpl w:val="CD8633F2"/>
    <w:lvl w:ilvl="0" w:tplc="5C02192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72B3438"/>
    <w:multiLevelType w:val="hybridMultilevel"/>
    <w:tmpl w:val="706C691A"/>
    <w:lvl w:ilvl="0" w:tplc="1F1CDF74">
      <w:start w:val="13"/>
      <w:numFmt w:val="decimal"/>
      <w:lvlText w:val="%1."/>
      <w:lvlJc w:val="left"/>
      <w:pPr>
        <w:tabs>
          <w:tab w:val="num" w:pos="720"/>
        </w:tabs>
        <w:ind w:left="720" w:hanging="720"/>
      </w:pPr>
      <w:rPr>
        <w:rFonts w:ascii="Arial" w:hAnsi="Arial" w:cs="Arial" w:hint="default"/>
        <w:color w:val="auto"/>
        <w:sz w:val="20"/>
        <w:szCs w:val="20"/>
      </w:rPr>
    </w:lvl>
    <w:lvl w:ilvl="1" w:tplc="5C8CD726">
      <w:start w:val="1"/>
      <w:numFmt w:val="low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C4C5F3F"/>
    <w:multiLevelType w:val="hybridMultilevel"/>
    <w:tmpl w:val="AE9C0DAA"/>
    <w:lvl w:ilvl="0" w:tplc="970C439E">
      <w:start w:val="1"/>
      <w:numFmt w:val="decimal"/>
      <w:lvlText w:val="%1."/>
      <w:lvlJc w:val="left"/>
      <w:pPr>
        <w:tabs>
          <w:tab w:val="num" w:pos="720"/>
        </w:tabs>
        <w:ind w:left="720" w:hanging="720"/>
      </w:pPr>
      <w:rPr>
        <w:rFonts w:cs="Times New Roman" w:hint="default"/>
        <w:color w:val="auto"/>
      </w:rPr>
    </w:lvl>
    <w:lvl w:ilvl="1" w:tplc="5C8CD726">
      <w:start w:val="1"/>
      <w:numFmt w:val="low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D53FF9"/>
    <w:multiLevelType w:val="hybridMultilevel"/>
    <w:tmpl w:val="AE9C0DAA"/>
    <w:lvl w:ilvl="0" w:tplc="970C439E">
      <w:start w:val="1"/>
      <w:numFmt w:val="decimal"/>
      <w:lvlText w:val="%1."/>
      <w:lvlJc w:val="left"/>
      <w:pPr>
        <w:tabs>
          <w:tab w:val="num" w:pos="720"/>
        </w:tabs>
        <w:ind w:left="720" w:hanging="720"/>
      </w:pPr>
      <w:rPr>
        <w:rFonts w:cs="Times New Roman" w:hint="default"/>
        <w:color w:val="auto"/>
      </w:rPr>
    </w:lvl>
    <w:lvl w:ilvl="1" w:tplc="5C8CD726">
      <w:start w:val="1"/>
      <w:numFmt w:val="low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CDB2976"/>
    <w:multiLevelType w:val="hybridMultilevel"/>
    <w:tmpl w:val="AE9C0DAA"/>
    <w:lvl w:ilvl="0" w:tplc="970C439E">
      <w:start w:val="1"/>
      <w:numFmt w:val="decimal"/>
      <w:lvlText w:val="%1."/>
      <w:lvlJc w:val="left"/>
      <w:pPr>
        <w:tabs>
          <w:tab w:val="num" w:pos="720"/>
        </w:tabs>
        <w:ind w:left="720" w:hanging="720"/>
      </w:pPr>
      <w:rPr>
        <w:rFonts w:cs="Times New Roman" w:hint="default"/>
        <w:color w:val="auto"/>
      </w:rPr>
    </w:lvl>
    <w:lvl w:ilvl="1" w:tplc="5C8CD726">
      <w:start w:val="1"/>
      <w:numFmt w:val="low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F8B4C7B"/>
    <w:multiLevelType w:val="hybridMultilevel"/>
    <w:tmpl w:val="2A521B24"/>
    <w:lvl w:ilvl="0" w:tplc="5B4498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5781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519029">
    <w:abstractNumId w:val="4"/>
  </w:num>
  <w:num w:numId="3" w16cid:durableId="1830630173">
    <w:abstractNumId w:val="9"/>
  </w:num>
  <w:num w:numId="4" w16cid:durableId="657656531">
    <w:abstractNumId w:val="10"/>
  </w:num>
  <w:num w:numId="5" w16cid:durableId="2078242764">
    <w:abstractNumId w:val="6"/>
  </w:num>
  <w:num w:numId="6" w16cid:durableId="1324311021">
    <w:abstractNumId w:val="0"/>
  </w:num>
  <w:num w:numId="7" w16cid:durableId="197164499">
    <w:abstractNumId w:val="1"/>
  </w:num>
  <w:num w:numId="8" w16cid:durableId="167058710">
    <w:abstractNumId w:val="7"/>
  </w:num>
  <w:num w:numId="9" w16cid:durableId="18243934">
    <w:abstractNumId w:val="2"/>
  </w:num>
  <w:num w:numId="10" w16cid:durableId="1019282548">
    <w:abstractNumId w:val="5"/>
  </w:num>
  <w:num w:numId="11" w16cid:durableId="941378972">
    <w:abstractNumId w:val="11"/>
  </w:num>
  <w:num w:numId="12" w16cid:durableId="361979311">
    <w:abstractNumId w:val="12"/>
  </w:num>
  <w:num w:numId="13" w16cid:durableId="1997609979">
    <w:abstractNumId w:val="8"/>
  </w:num>
  <w:num w:numId="14" w16cid:durableId="802121419">
    <w:abstractNumId w:val="3"/>
  </w:num>
  <w:num w:numId="15" w16cid:durableId="1905918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85"/>
    <w:rsid w:val="000206F9"/>
    <w:rsid w:val="000235EC"/>
    <w:rsid w:val="000341C3"/>
    <w:rsid w:val="00053426"/>
    <w:rsid w:val="0005389F"/>
    <w:rsid w:val="000A0AA7"/>
    <w:rsid w:val="000A3432"/>
    <w:rsid w:val="000D1D55"/>
    <w:rsid w:val="000D1FD3"/>
    <w:rsid w:val="00111410"/>
    <w:rsid w:val="0018156A"/>
    <w:rsid w:val="001A0B79"/>
    <w:rsid w:val="001C612B"/>
    <w:rsid w:val="00212656"/>
    <w:rsid w:val="0025629B"/>
    <w:rsid w:val="002715CB"/>
    <w:rsid w:val="00291CE1"/>
    <w:rsid w:val="00291F85"/>
    <w:rsid w:val="002F666A"/>
    <w:rsid w:val="0034508D"/>
    <w:rsid w:val="003D36AE"/>
    <w:rsid w:val="003F04FC"/>
    <w:rsid w:val="003F0E96"/>
    <w:rsid w:val="003F4D36"/>
    <w:rsid w:val="00413B14"/>
    <w:rsid w:val="00426ECC"/>
    <w:rsid w:val="004576CF"/>
    <w:rsid w:val="004601CE"/>
    <w:rsid w:val="00467E64"/>
    <w:rsid w:val="00471910"/>
    <w:rsid w:val="004800C3"/>
    <w:rsid w:val="00485637"/>
    <w:rsid w:val="004B5885"/>
    <w:rsid w:val="004C45F1"/>
    <w:rsid w:val="004C6EB0"/>
    <w:rsid w:val="004D4DE9"/>
    <w:rsid w:val="00544331"/>
    <w:rsid w:val="00576E4F"/>
    <w:rsid w:val="0059479F"/>
    <w:rsid w:val="005C5B38"/>
    <w:rsid w:val="005D6B34"/>
    <w:rsid w:val="005E4B8C"/>
    <w:rsid w:val="005F09A6"/>
    <w:rsid w:val="00614533"/>
    <w:rsid w:val="00615671"/>
    <w:rsid w:val="00626355"/>
    <w:rsid w:val="00651DFC"/>
    <w:rsid w:val="006838E1"/>
    <w:rsid w:val="006C153E"/>
    <w:rsid w:val="006D20EB"/>
    <w:rsid w:val="00711F18"/>
    <w:rsid w:val="00745130"/>
    <w:rsid w:val="00753ED7"/>
    <w:rsid w:val="00756A19"/>
    <w:rsid w:val="0076578B"/>
    <w:rsid w:val="007D0FE2"/>
    <w:rsid w:val="007F4B06"/>
    <w:rsid w:val="0080149B"/>
    <w:rsid w:val="00813444"/>
    <w:rsid w:val="008223CA"/>
    <w:rsid w:val="00837FED"/>
    <w:rsid w:val="00850612"/>
    <w:rsid w:val="00852B22"/>
    <w:rsid w:val="0085630C"/>
    <w:rsid w:val="008641C7"/>
    <w:rsid w:val="008859FD"/>
    <w:rsid w:val="00897250"/>
    <w:rsid w:val="008D0B55"/>
    <w:rsid w:val="008D3A51"/>
    <w:rsid w:val="00927E6B"/>
    <w:rsid w:val="0095717C"/>
    <w:rsid w:val="00966F8B"/>
    <w:rsid w:val="00991F22"/>
    <w:rsid w:val="009A50B0"/>
    <w:rsid w:val="009C1493"/>
    <w:rsid w:val="009D32BD"/>
    <w:rsid w:val="009E093B"/>
    <w:rsid w:val="00A705A8"/>
    <w:rsid w:val="00A7144D"/>
    <w:rsid w:val="00A7194E"/>
    <w:rsid w:val="00A735E3"/>
    <w:rsid w:val="00A97792"/>
    <w:rsid w:val="00AA0393"/>
    <w:rsid w:val="00AB3BBA"/>
    <w:rsid w:val="00AB4FFE"/>
    <w:rsid w:val="00B2365A"/>
    <w:rsid w:val="00B350DA"/>
    <w:rsid w:val="00B3724C"/>
    <w:rsid w:val="00B56EB2"/>
    <w:rsid w:val="00BB3239"/>
    <w:rsid w:val="00BC1625"/>
    <w:rsid w:val="00BE320C"/>
    <w:rsid w:val="00BF0EEA"/>
    <w:rsid w:val="00C47C0E"/>
    <w:rsid w:val="00CA27F8"/>
    <w:rsid w:val="00CD5B09"/>
    <w:rsid w:val="00CD6177"/>
    <w:rsid w:val="00CF3DA9"/>
    <w:rsid w:val="00D04781"/>
    <w:rsid w:val="00D055E6"/>
    <w:rsid w:val="00D06CA8"/>
    <w:rsid w:val="00D16BF0"/>
    <w:rsid w:val="00D17BCF"/>
    <w:rsid w:val="00D53C71"/>
    <w:rsid w:val="00D5728A"/>
    <w:rsid w:val="00D74A1A"/>
    <w:rsid w:val="00D845E7"/>
    <w:rsid w:val="00DC0ED8"/>
    <w:rsid w:val="00DC65EF"/>
    <w:rsid w:val="00DF5423"/>
    <w:rsid w:val="00E07070"/>
    <w:rsid w:val="00E23DAE"/>
    <w:rsid w:val="00E62979"/>
    <w:rsid w:val="00EA030D"/>
    <w:rsid w:val="00EA2EF3"/>
    <w:rsid w:val="00EF540F"/>
    <w:rsid w:val="00F009E4"/>
    <w:rsid w:val="00F11C83"/>
    <w:rsid w:val="00F13636"/>
    <w:rsid w:val="00F2305F"/>
    <w:rsid w:val="00F315E6"/>
    <w:rsid w:val="00F4142C"/>
    <w:rsid w:val="00F65731"/>
    <w:rsid w:val="00F66A59"/>
    <w:rsid w:val="00F72345"/>
    <w:rsid w:val="00F961B3"/>
    <w:rsid w:val="00FA64AE"/>
    <w:rsid w:val="00FB5978"/>
    <w:rsid w:val="00FB609D"/>
    <w:rsid w:val="00FD5450"/>
    <w:rsid w:val="00FE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795C"/>
  <w15:docId w15:val="{FF6FCD2C-7B0F-4319-8C7D-FE0BB32F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85"/>
    <w:pPr>
      <w:spacing w:after="0" w:line="288"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B5885"/>
    <w:pPr>
      <w:spacing w:after="240"/>
    </w:pPr>
  </w:style>
  <w:style w:type="paragraph" w:customStyle="1" w:styleId="NoteLevel1">
    <w:name w:val="Note/Level1"/>
    <w:basedOn w:val="Body"/>
    <w:rsid w:val="004B5885"/>
    <w:pPr>
      <w:numPr>
        <w:numId w:val="2"/>
      </w:numPr>
    </w:pPr>
  </w:style>
  <w:style w:type="paragraph" w:customStyle="1" w:styleId="NoteLevel2">
    <w:name w:val="Note/Level2"/>
    <w:basedOn w:val="Body"/>
    <w:rsid w:val="004B5885"/>
    <w:pPr>
      <w:numPr>
        <w:ilvl w:val="1"/>
        <w:numId w:val="2"/>
      </w:numPr>
    </w:pPr>
  </w:style>
  <w:style w:type="paragraph" w:customStyle="1" w:styleId="NoteLevel3">
    <w:name w:val="Note/Level3"/>
    <w:basedOn w:val="Body"/>
    <w:rsid w:val="004B5885"/>
    <w:pPr>
      <w:numPr>
        <w:ilvl w:val="2"/>
        <w:numId w:val="2"/>
      </w:numPr>
    </w:pPr>
  </w:style>
  <w:style w:type="paragraph" w:customStyle="1" w:styleId="NoteLevel4">
    <w:name w:val="Note/Level4"/>
    <w:basedOn w:val="Body"/>
    <w:rsid w:val="004B5885"/>
    <w:pPr>
      <w:numPr>
        <w:ilvl w:val="3"/>
        <w:numId w:val="2"/>
      </w:numPr>
    </w:pPr>
  </w:style>
  <w:style w:type="paragraph" w:customStyle="1" w:styleId="NoteLevel5">
    <w:name w:val="Note/Level5"/>
    <w:basedOn w:val="Body"/>
    <w:rsid w:val="004B5885"/>
    <w:pPr>
      <w:numPr>
        <w:ilvl w:val="4"/>
        <w:numId w:val="2"/>
      </w:numPr>
    </w:pPr>
  </w:style>
  <w:style w:type="paragraph" w:customStyle="1" w:styleId="NoteLevel6">
    <w:name w:val="Note/Level6"/>
    <w:basedOn w:val="Body"/>
    <w:rsid w:val="004B5885"/>
    <w:pPr>
      <w:numPr>
        <w:ilvl w:val="5"/>
        <w:numId w:val="2"/>
      </w:numPr>
    </w:pPr>
  </w:style>
  <w:style w:type="paragraph" w:customStyle="1" w:styleId="NoteLevel7">
    <w:name w:val="Note/Level7"/>
    <w:basedOn w:val="Body"/>
    <w:rsid w:val="004B5885"/>
    <w:pPr>
      <w:numPr>
        <w:ilvl w:val="6"/>
        <w:numId w:val="2"/>
      </w:numPr>
    </w:pPr>
  </w:style>
  <w:style w:type="paragraph" w:customStyle="1" w:styleId="NoteLevel8">
    <w:name w:val="Note/Level8"/>
    <w:basedOn w:val="Body"/>
    <w:rsid w:val="004B5885"/>
    <w:pPr>
      <w:numPr>
        <w:ilvl w:val="7"/>
        <w:numId w:val="2"/>
      </w:numPr>
    </w:pPr>
  </w:style>
  <w:style w:type="character" w:customStyle="1" w:styleId="A1">
    <w:name w:val="A1"/>
    <w:uiPriority w:val="99"/>
    <w:rsid w:val="004B5885"/>
    <w:rPr>
      <w:rFonts w:ascii="Century Gothic" w:hAnsi="Century Gothic" w:cs="Century Gothic" w:hint="default"/>
      <w:color w:val="000000"/>
      <w:sz w:val="20"/>
      <w:szCs w:val="20"/>
    </w:rPr>
  </w:style>
  <w:style w:type="paragraph" w:styleId="Footer">
    <w:name w:val="footer"/>
    <w:basedOn w:val="Normal"/>
    <w:link w:val="FooterChar"/>
    <w:rsid w:val="00D845E7"/>
    <w:pPr>
      <w:tabs>
        <w:tab w:val="center" w:pos="4536"/>
        <w:tab w:val="right" w:pos="9000"/>
      </w:tabs>
    </w:pPr>
  </w:style>
  <w:style w:type="character" w:customStyle="1" w:styleId="FooterChar">
    <w:name w:val="Footer Char"/>
    <w:basedOn w:val="DefaultParagraphFont"/>
    <w:link w:val="Footer"/>
    <w:rsid w:val="00D845E7"/>
    <w:rPr>
      <w:rFonts w:ascii="Arial" w:eastAsia="Times New Roman" w:hAnsi="Arial" w:cs="Times New Roman"/>
      <w:sz w:val="20"/>
      <w:szCs w:val="20"/>
    </w:rPr>
  </w:style>
  <w:style w:type="paragraph" w:styleId="ListParagraph">
    <w:name w:val="List Paragraph"/>
    <w:basedOn w:val="Normal"/>
    <w:uiPriority w:val="34"/>
    <w:qFormat/>
    <w:rsid w:val="0034508D"/>
    <w:pPr>
      <w:spacing w:line="240" w:lineRule="auto"/>
      <w:ind w:left="720"/>
      <w:jc w:val="left"/>
    </w:pPr>
    <w:rPr>
      <w:rFonts w:ascii="Century Gothic" w:hAnsi="Century Gothic"/>
      <w:sz w:val="22"/>
      <w:szCs w:val="22"/>
      <w:lang w:eastAsia="en-GB"/>
    </w:rPr>
  </w:style>
  <w:style w:type="paragraph" w:customStyle="1" w:styleId="CentredHeading">
    <w:name w:val="Centred Heading"/>
    <w:basedOn w:val="Body"/>
    <w:next w:val="Body"/>
    <w:rsid w:val="00F66A59"/>
    <w:pPr>
      <w:keepNext/>
      <w:jc w:val="center"/>
    </w:pPr>
    <w:rPr>
      <w:b/>
      <w:caps/>
    </w:rPr>
  </w:style>
  <w:style w:type="paragraph" w:styleId="Header">
    <w:name w:val="header"/>
    <w:basedOn w:val="Normal"/>
    <w:link w:val="HeaderChar"/>
    <w:uiPriority w:val="99"/>
    <w:unhideWhenUsed/>
    <w:rsid w:val="00FA64AE"/>
    <w:pPr>
      <w:tabs>
        <w:tab w:val="center" w:pos="4513"/>
        <w:tab w:val="right" w:pos="9026"/>
      </w:tabs>
      <w:spacing w:line="240" w:lineRule="auto"/>
    </w:pPr>
  </w:style>
  <w:style w:type="character" w:customStyle="1" w:styleId="HeaderChar">
    <w:name w:val="Header Char"/>
    <w:basedOn w:val="DefaultParagraphFont"/>
    <w:link w:val="Header"/>
    <w:uiPriority w:val="99"/>
    <w:rsid w:val="00FA64AE"/>
    <w:rPr>
      <w:rFonts w:ascii="Arial" w:eastAsia="Times New Roman" w:hAnsi="Arial" w:cs="Times New Roman"/>
      <w:sz w:val="20"/>
      <w:szCs w:val="20"/>
    </w:rPr>
  </w:style>
  <w:style w:type="paragraph" w:customStyle="1" w:styleId="Level1">
    <w:name w:val="Level 1"/>
    <w:basedOn w:val="Normal"/>
    <w:uiPriority w:val="99"/>
    <w:rsid w:val="004601CE"/>
    <w:pPr>
      <w:numPr>
        <w:numId w:val="5"/>
      </w:numPr>
      <w:spacing w:after="240" w:line="312" w:lineRule="auto"/>
      <w:outlineLvl w:val="0"/>
    </w:pPr>
    <w:rPr>
      <w:rFonts w:ascii="Verdana" w:hAnsi="Verdana"/>
      <w:lang w:eastAsia="en-GB"/>
    </w:rPr>
  </w:style>
  <w:style w:type="paragraph" w:customStyle="1" w:styleId="Level2">
    <w:name w:val="Level 2"/>
    <w:basedOn w:val="Normal"/>
    <w:uiPriority w:val="99"/>
    <w:rsid w:val="004601CE"/>
    <w:pPr>
      <w:numPr>
        <w:ilvl w:val="1"/>
        <w:numId w:val="5"/>
      </w:numPr>
      <w:spacing w:after="240" w:line="312" w:lineRule="auto"/>
      <w:outlineLvl w:val="1"/>
    </w:pPr>
    <w:rPr>
      <w:rFonts w:ascii="Verdana" w:hAnsi="Verdana"/>
      <w:lang w:eastAsia="en-GB"/>
    </w:rPr>
  </w:style>
  <w:style w:type="paragraph" w:customStyle="1" w:styleId="Level3">
    <w:name w:val="Level 3"/>
    <w:basedOn w:val="Normal"/>
    <w:uiPriority w:val="99"/>
    <w:rsid w:val="004601CE"/>
    <w:pPr>
      <w:numPr>
        <w:ilvl w:val="2"/>
        <w:numId w:val="5"/>
      </w:numPr>
      <w:spacing w:after="240" w:line="312" w:lineRule="auto"/>
      <w:outlineLvl w:val="2"/>
    </w:pPr>
    <w:rPr>
      <w:rFonts w:ascii="Verdana" w:hAnsi="Verdana"/>
      <w:lang w:eastAsia="en-GB"/>
    </w:rPr>
  </w:style>
  <w:style w:type="paragraph" w:customStyle="1" w:styleId="Level4">
    <w:name w:val="Level 4"/>
    <w:basedOn w:val="Normal"/>
    <w:uiPriority w:val="99"/>
    <w:rsid w:val="004601CE"/>
    <w:pPr>
      <w:numPr>
        <w:ilvl w:val="3"/>
        <w:numId w:val="5"/>
      </w:numPr>
      <w:spacing w:after="240" w:line="312" w:lineRule="auto"/>
      <w:outlineLvl w:val="3"/>
    </w:pPr>
    <w:rPr>
      <w:rFonts w:ascii="Verdana" w:hAnsi="Verdana"/>
      <w:lang w:eastAsia="en-GB"/>
    </w:rPr>
  </w:style>
  <w:style w:type="paragraph" w:customStyle="1" w:styleId="Level5">
    <w:name w:val="Level 5"/>
    <w:basedOn w:val="Normal"/>
    <w:uiPriority w:val="99"/>
    <w:rsid w:val="004601CE"/>
    <w:pPr>
      <w:numPr>
        <w:ilvl w:val="4"/>
        <w:numId w:val="5"/>
      </w:numPr>
      <w:spacing w:after="240" w:line="312" w:lineRule="auto"/>
      <w:outlineLvl w:val="4"/>
    </w:pPr>
    <w:rPr>
      <w:rFonts w:ascii="Verdana" w:hAnsi="Verdana"/>
      <w:lang w:eastAsia="en-GB"/>
    </w:rPr>
  </w:style>
  <w:style w:type="paragraph" w:styleId="ListNumber2">
    <w:name w:val="List Number 2"/>
    <w:basedOn w:val="Normal"/>
    <w:rsid w:val="00813444"/>
    <w:pPr>
      <w:numPr>
        <w:numId w:val="6"/>
      </w:numPr>
      <w:tabs>
        <w:tab w:val="clear" w:pos="643"/>
        <w:tab w:val="num" w:pos="1440"/>
      </w:tabs>
      <w:ind w:left="1440" w:hanging="720"/>
    </w:pPr>
  </w:style>
  <w:style w:type="paragraph" w:styleId="BalloonText">
    <w:name w:val="Balloon Text"/>
    <w:basedOn w:val="Normal"/>
    <w:link w:val="BalloonTextChar"/>
    <w:uiPriority w:val="99"/>
    <w:semiHidden/>
    <w:unhideWhenUsed/>
    <w:rsid w:val="008014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49B"/>
    <w:rPr>
      <w:rFonts w:ascii="Tahoma" w:eastAsia="Times New Roman" w:hAnsi="Tahoma" w:cs="Tahoma"/>
      <w:sz w:val="16"/>
      <w:szCs w:val="16"/>
    </w:rPr>
  </w:style>
  <w:style w:type="paragraph" w:styleId="Revision">
    <w:name w:val="Revision"/>
    <w:hidden/>
    <w:uiPriority w:val="99"/>
    <w:semiHidden/>
    <w:rsid w:val="00B3724C"/>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4350">
      <w:bodyDiv w:val="1"/>
      <w:marLeft w:val="0"/>
      <w:marRight w:val="0"/>
      <w:marTop w:val="0"/>
      <w:marBottom w:val="0"/>
      <w:divBdr>
        <w:top w:val="none" w:sz="0" w:space="0" w:color="auto"/>
        <w:left w:val="none" w:sz="0" w:space="0" w:color="auto"/>
        <w:bottom w:val="none" w:sz="0" w:space="0" w:color="auto"/>
        <w:right w:val="none" w:sz="0" w:space="0" w:color="auto"/>
      </w:divBdr>
    </w:div>
    <w:div w:id="848910736">
      <w:bodyDiv w:val="1"/>
      <w:marLeft w:val="0"/>
      <w:marRight w:val="0"/>
      <w:marTop w:val="0"/>
      <w:marBottom w:val="0"/>
      <w:divBdr>
        <w:top w:val="none" w:sz="0" w:space="0" w:color="auto"/>
        <w:left w:val="none" w:sz="0" w:space="0" w:color="auto"/>
        <w:bottom w:val="none" w:sz="0" w:space="0" w:color="auto"/>
        <w:right w:val="none" w:sz="0" w:space="0" w:color="auto"/>
      </w:divBdr>
    </w:div>
    <w:div w:id="11924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UKMATTERS!203254455.1</documentid>
  <senderid>150089</senderid>
  <senderemail>KIRSTY.UNDERHILL@DLAPIPER.COM</senderemail>
  <lastmodified>2025-01-27T11:59:00.0000000+00:00</lastmodified>
  <database>UKMATTERS</database>
</properties>
</file>

<file path=customXml/itemProps1.xml><?xml version="1.0" encoding="utf-8"?>
<ds:datastoreItem xmlns:ds="http://schemas.openxmlformats.org/officeDocument/2006/customXml" ds:itemID="{D712999F-69F8-4B10-AE06-0E509A00458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Nisbet</dc:creator>
  <cp:lastModifiedBy>Jonathan Williams</cp:lastModifiedBy>
  <cp:revision>13</cp:revision>
  <cp:lastPrinted>2016-09-21T14:15:00Z</cp:lastPrinted>
  <dcterms:created xsi:type="dcterms:W3CDTF">2025-01-27T11:59:00Z</dcterms:created>
  <dcterms:modified xsi:type="dcterms:W3CDTF">2026-03-03T15:29:00Z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56fe12ce-71a2-4901-a58b-9e61874cb7ac</vt:lpwstr>
  </property>
</Properties>
</file>